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DFAB76" w14:textId="77777777" w:rsidR="0031285E" w:rsidRPr="0078630F" w:rsidRDefault="0031285E" w:rsidP="0031285E">
      <w:pPr>
        <w:spacing w:after="0"/>
        <w:rPr>
          <w:rFonts w:ascii="Cambria" w:eastAsia="Cambria" w:hAnsi="Cambria" w:cs="Cambria"/>
          <w:sz w:val="20"/>
          <w:szCs w:val="20"/>
        </w:rPr>
      </w:pPr>
    </w:p>
    <w:p w14:paraId="4EC1D15E" w14:textId="77777777" w:rsidR="0031285E" w:rsidRPr="0078630F" w:rsidRDefault="0031285E" w:rsidP="0031285E">
      <w:pPr>
        <w:spacing w:after="0"/>
        <w:rPr>
          <w:rFonts w:ascii="Cambria" w:eastAsia="Cambria" w:hAnsi="Cambria" w:cs="Cambria"/>
          <w:b/>
          <w:sz w:val="20"/>
          <w:szCs w:val="20"/>
        </w:rPr>
      </w:pPr>
      <w:r w:rsidRPr="0078630F">
        <w:rPr>
          <w:rFonts w:ascii="Cambria" w:eastAsia="Cambria" w:hAnsi="Cambria" w:cs="Cambria"/>
          <w:b/>
          <w:sz w:val="20"/>
          <w:szCs w:val="20"/>
        </w:rPr>
        <w:t>PROSPECTO</w:t>
      </w:r>
      <w:r w:rsidRPr="0094450C">
        <w:rPr>
          <w:rFonts w:ascii="Cambria" w:eastAsia="Cambria" w:hAnsi="Cambria" w:cs="Cambria"/>
          <w:b/>
          <w:sz w:val="20"/>
          <w:szCs w:val="20"/>
        </w:rPr>
        <w:t xml:space="preserve"> </w:t>
      </w:r>
      <w:r w:rsidR="000B2BCA">
        <w:rPr>
          <w:rFonts w:ascii="Cambria" w:eastAsia="Cambria" w:hAnsi="Cambria" w:cs="Cambria"/>
          <w:b/>
          <w:sz w:val="20"/>
          <w:szCs w:val="20"/>
        </w:rPr>
        <w:t>RESUMIDO</w:t>
      </w:r>
    </w:p>
    <w:p w14:paraId="7C89D498" w14:textId="77777777" w:rsidR="0031285E" w:rsidRPr="0078630F" w:rsidRDefault="0031285E" w:rsidP="0031285E">
      <w:pPr>
        <w:spacing w:after="0"/>
        <w:jc w:val="center"/>
        <w:rPr>
          <w:rFonts w:ascii="Cambria" w:eastAsia="Cambria" w:hAnsi="Cambria" w:cs="Cambria"/>
          <w:color w:val="000000"/>
          <w:sz w:val="20"/>
          <w:szCs w:val="20"/>
        </w:rPr>
      </w:pPr>
      <w:r>
        <w:rPr>
          <w:noProof/>
          <w:lang w:val="es-AR"/>
        </w:rPr>
        <w:drawing>
          <wp:inline distT="0" distB="0" distL="0" distR="0" wp14:anchorId="0CAF66F9" wp14:editId="400E0C17">
            <wp:extent cx="1743075" cy="914400"/>
            <wp:effectExtent l="0" t="0" r="9525" b="0"/>
            <wp:docPr id="20" name="Imagen 20"/>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43075" cy="914400"/>
                    </a:xfrm>
                    <a:prstGeom prst="rect">
                      <a:avLst/>
                    </a:prstGeom>
                  </pic:spPr>
                </pic:pic>
              </a:graphicData>
            </a:graphic>
          </wp:inline>
        </w:drawing>
      </w:r>
    </w:p>
    <w:p w14:paraId="4EADB611" w14:textId="77777777" w:rsidR="0031285E" w:rsidRPr="0094636E" w:rsidRDefault="0031285E" w:rsidP="0031285E">
      <w:pPr>
        <w:jc w:val="center"/>
        <w:rPr>
          <w:rFonts w:ascii="Cambria" w:eastAsia="Cambria" w:hAnsi="Cambria" w:cs="Cambria"/>
          <w:b/>
          <w:sz w:val="20"/>
          <w:szCs w:val="20"/>
        </w:rPr>
      </w:pPr>
      <w:r w:rsidRPr="0078630F">
        <w:rPr>
          <w:rFonts w:ascii="Cambria" w:eastAsia="Cambria" w:hAnsi="Cambria" w:cs="Cambria"/>
          <w:b/>
          <w:sz w:val="20"/>
          <w:szCs w:val="20"/>
        </w:rPr>
        <w:t xml:space="preserve">Programa Global para la emisión de Obligaciones Negociables por un monto nominal máximo de hasta </w:t>
      </w:r>
      <w:r w:rsidRPr="006E4259">
        <w:rPr>
          <w:rFonts w:ascii="Cambria" w:hAnsi="Cambria"/>
          <w:b/>
          <w:sz w:val="20"/>
        </w:rPr>
        <w:t>US$ 150.000.000</w:t>
      </w:r>
      <w:r w:rsidRPr="0078630F">
        <w:rPr>
          <w:rFonts w:ascii="Cambria" w:eastAsia="Cambria" w:hAnsi="Cambria" w:cs="Cambria"/>
          <w:b/>
          <w:sz w:val="20"/>
          <w:szCs w:val="20"/>
        </w:rPr>
        <w:t xml:space="preserve"> o su equivalente en otras monedas</w:t>
      </w:r>
      <w:r>
        <w:rPr>
          <w:rFonts w:ascii="Cambria" w:eastAsia="Cambria" w:hAnsi="Cambria" w:cs="Cambria"/>
          <w:b/>
          <w:sz w:val="20"/>
          <w:szCs w:val="20"/>
        </w:rPr>
        <w:t xml:space="preserve"> o unidades monetarias de valor</w:t>
      </w:r>
      <w:r w:rsidRPr="0078630F">
        <w:rPr>
          <w:rFonts w:ascii="Cambria" w:eastAsia="Cambria" w:hAnsi="Cambria" w:cs="Cambria"/>
          <w:b/>
          <w:sz w:val="20"/>
          <w:szCs w:val="20"/>
        </w:rPr>
        <w:t xml:space="preserve"> en circulación en cualquier momento de</w:t>
      </w:r>
    </w:p>
    <w:p w14:paraId="792E84E9" w14:textId="77777777" w:rsidR="0031285E" w:rsidRPr="0078630F" w:rsidRDefault="0031285E" w:rsidP="0031285E">
      <w:pPr>
        <w:spacing w:after="0"/>
        <w:jc w:val="center"/>
        <w:rPr>
          <w:rFonts w:ascii="Cambria" w:eastAsia="Cambria" w:hAnsi="Cambria" w:cs="Cambria"/>
          <w:b/>
          <w:smallCaps/>
          <w:sz w:val="20"/>
          <w:szCs w:val="20"/>
        </w:rPr>
      </w:pPr>
      <w:r w:rsidRPr="0078630F">
        <w:rPr>
          <w:rFonts w:ascii="Cambria" w:eastAsia="Cambria" w:hAnsi="Cambria" w:cs="Cambria"/>
          <w:b/>
          <w:smallCaps/>
          <w:sz w:val="20"/>
          <w:szCs w:val="20"/>
        </w:rPr>
        <w:t>Molinos Agro S.A.</w:t>
      </w:r>
    </w:p>
    <w:p w14:paraId="08ADDD94" w14:textId="77777777" w:rsidR="0031285E" w:rsidRPr="0078630F" w:rsidRDefault="0031285E" w:rsidP="0031285E">
      <w:pPr>
        <w:spacing w:after="0"/>
        <w:jc w:val="center"/>
        <w:rPr>
          <w:rFonts w:ascii="Cambria" w:eastAsia="Cambria" w:hAnsi="Cambria" w:cs="Cambria"/>
          <w:sz w:val="20"/>
          <w:szCs w:val="20"/>
        </w:rPr>
      </w:pPr>
      <w:r w:rsidRPr="0078630F">
        <w:rPr>
          <w:rFonts w:ascii="Cambria" w:eastAsia="Cambria" w:hAnsi="Cambria" w:cs="Cambria"/>
          <w:sz w:val="20"/>
          <w:szCs w:val="20"/>
        </w:rPr>
        <w:t>(Sociedad constituida conforme a las leyes de la República Argentina)</w:t>
      </w:r>
    </w:p>
    <w:p w14:paraId="111A1EDB" w14:textId="77777777" w:rsidR="0031285E" w:rsidRPr="0078630F" w:rsidRDefault="0031285E" w:rsidP="0031285E">
      <w:pPr>
        <w:spacing w:after="0"/>
        <w:jc w:val="center"/>
        <w:rPr>
          <w:rFonts w:ascii="Cambria" w:eastAsia="Cambria" w:hAnsi="Cambria" w:cs="Cambria"/>
          <w:sz w:val="20"/>
          <w:szCs w:val="20"/>
        </w:rPr>
      </w:pPr>
    </w:p>
    <w:p w14:paraId="321E71DB" w14:textId="77777777" w:rsidR="0031285E" w:rsidRPr="0078630F" w:rsidRDefault="0031285E" w:rsidP="0031285E">
      <w:pPr>
        <w:spacing w:after="0"/>
        <w:jc w:val="both"/>
        <w:rPr>
          <w:rFonts w:ascii="Cambria" w:eastAsia="Cambria" w:hAnsi="Cambria" w:cs="Cambria"/>
          <w:sz w:val="20"/>
          <w:szCs w:val="20"/>
        </w:rPr>
      </w:pPr>
      <w:bookmarkStart w:id="0" w:name="_heading=h.gjdgxs" w:colFirst="0" w:colLast="0"/>
      <w:bookmarkEnd w:id="0"/>
      <w:r w:rsidRPr="0078630F">
        <w:rPr>
          <w:rFonts w:ascii="Cambria" w:eastAsia="Cambria" w:hAnsi="Cambria" w:cs="Cambria"/>
          <w:sz w:val="20"/>
          <w:szCs w:val="20"/>
        </w:rPr>
        <w:t>El presente prospecto</w:t>
      </w:r>
      <w:r w:rsidR="00A406DC">
        <w:rPr>
          <w:rFonts w:ascii="Cambria" w:eastAsia="Cambria" w:hAnsi="Cambria" w:cs="Cambria"/>
          <w:sz w:val="20"/>
          <w:szCs w:val="20"/>
        </w:rPr>
        <w:t xml:space="preserve"> resumido</w:t>
      </w:r>
      <w:r w:rsidRPr="0078630F">
        <w:rPr>
          <w:rFonts w:ascii="Cambria" w:eastAsia="Cambria" w:hAnsi="Cambria" w:cs="Cambria"/>
          <w:sz w:val="20"/>
          <w:szCs w:val="20"/>
        </w:rPr>
        <w:t xml:space="preserve"> (el “Prospecto</w:t>
      </w:r>
      <w:r w:rsidR="000B2BCA">
        <w:rPr>
          <w:rFonts w:ascii="Cambria" w:eastAsia="Cambria" w:hAnsi="Cambria" w:cs="Cambria"/>
          <w:sz w:val="20"/>
          <w:szCs w:val="20"/>
        </w:rPr>
        <w:t xml:space="preserve"> Resumido</w:t>
      </w:r>
      <w:r w:rsidRPr="0078630F">
        <w:rPr>
          <w:rFonts w:ascii="Cambria" w:eastAsia="Cambria" w:hAnsi="Cambria" w:cs="Cambria"/>
          <w:sz w:val="20"/>
          <w:szCs w:val="20"/>
        </w:rPr>
        <w:t xml:space="preserve">”) corresponde al programa de Molinos Agro S.A. (indistintamente “Molinos Agro”, la “Sociedad”, la “Compañía” o la “Emisora”) para la emisión de Obligaciones Negociables simples, convertibles o no en acciones, a corto, mediano o largo plazo, subordinadas o no, con garantía especial o con garantía común sobre el patrimonio de la Emisora (el “Programa” y las “Obligaciones Negociables”, respectivamente) por hasta un monto máximo en circulación en cualquier momento de hasta V/N US$ </w:t>
      </w:r>
      <w:r w:rsidRPr="006E4259">
        <w:rPr>
          <w:rFonts w:ascii="Cambria" w:hAnsi="Cambria"/>
          <w:sz w:val="20"/>
        </w:rPr>
        <w:t>150.000.000</w:t>
      </w:r>
      <w:r w:rsidRPr="0078630F">
        <w:rPr>
          <w:rFonts w:ascii="Cambria" w:eastAsia="Cambria" w:hAnsi="Cambria" w:cs="Cambria"/>
          <w:sz w:val="20"/>
          <w:szCs w:val="20"/>
        </w:rPr>
        <w:t xml:space="preserve"> (o su equivalente en otras monedas</w:t>
      </w:r>
      <w:r>
        <w:rPr>
          <w:rFonts w:ascii="Cambria" w:eastAsia="Cambria" w:hAnsi="Cambria" w:cs="Cambria"/>
          <w:sz w:val="20"/>
          <w:szCs w:val="20"/>
        </w:rPr>
        <w:t xml:space="preserve"> o unidades monetarias de valor</w:t>
      </w:r>
      <w:r w:rsidRPr="0078630F">
        <w:rPr>
          <w:rFonts w:ascii="Cambria" w:eastAsia="Cambria" w:hAnsi="Cambria" w:cs="Cambria"/>
          <w:sz w:val="20"/>
          <w:szCs w:val="20"/>
        </w:rPr>
        <w:t>). El Programa puede ser modificado en cualquier momento sin el consentimiento de los tenedores de las Obligaciones Negociables a efectos de aumentar su monto máximo.</w:t>
      </w:r>
    </w:p>
    <w:p w14:paraId="55029E2C" w14:textId="77777777" w:rsidR="0031285E" w:rsidRPr="0078630F" w:rsidRDefault="0031285E" w:rsidP="0031285E">
      <w:pPr>
        <w:spacing w:after="0"/>
        <w:jc w:val="both"/>
        <w:rPr>
          <w:rFonts w:ascii="Cambria" w:eastAsia="Cambria" w:hAnsi="Cambria" w:cs="Cambria"/>
          <w:sz w:val="20"/>
          <w:szCs w:val="20"/>
        </w:rPr>
      </w:pPr>
    </w:p>
    <w:p w14:paraId="607ADFFD" w14:textId="77777777" w:rsidR="0031285E" w:rsidRPr="0078630F" w:rsidRDefault="0031285E" w:rsidP="0031285E">
      <w:pPr>
        <w:spacing w:after="0"/>
        <w:jc w:val="both"/>
        <w:rPr>
          <w:rFonts w:ascii="Cambria" w:eastAsia="Cambria" w:hAnsi="Cambria" w:cs="Cambria"/>
          <w:sz w:val="20"/>
          <w:szCs w:val="20"/>
        </w:rPr>
      </w:pPr>
      <w:r w:rsidRPr="0078630F">
        <w:rPr>
          <w:rFonts w:ascii="Cambria" w:eastAsia="Cambria" w:hAnsi="Cambria" w:cs="Cambria"/>
          <w:sz w:val="20"/>
          <w:szCs w:val="20"/>
        </w:rPr>
        <w:t>Las Obligaciones Negociables podrán ser emitidas en distintas clases y/o series con términos y condiciones específicos diferentes entre las Obligaciones Negociables de las distintas clases, pero las Obligaciones Negociables de una misma clase siempre tendrán los mismos términos y condiciones específicos. Asimismo, las Obligaciones Negociables de una misma clase podrán ser emitidas en distintas series con los mismos términos y condiciones específicos que las demás Obligaciones Negociables de la misma clase y, aunque las Obligaciones Negociables de las distintas series podrán tener diferentes fechas de emisión y/o precios de emisión, las Obligaciones Negociables de una misma serie siempre tendrán las mismas fechas de emisión y precios de emisión.</w:t>
      </w:r>
    </w:p>
    <w:p w14:paraId="64EFDD3A" w14:textId="77777777" w:rsidR="0031285E" w:rsidRPr="0078630F" w:rsidRDefault="0031285E" w:rsidP="0031285E">
      <w:pPr>
        <w:spacing w:after="0"/>
        <w:jc w:val="both"/>
        <w:rPr>
          <w:rFonts w:ascii="Cambria" w:eastAsia="Cambria" w:hAnsi="Cambria" w:cs="Cambria"/>
          <w:sz w:val="20"/>
          <w:szCs w:val="20"/>
        </w:rPr>
      </w:pPr>
    </w:p>
    <w:p w14:paraId="6106DE9F" w14:textId="77777777" w:rsidR="0031285E" w:rsidRPr="0078630F" w:rsidRDefault="0031285E" w:rsidP="0031285E">
      <w:pPr>
        <w:spacing w:after="0"/>
        <w:jc w:val="both"/>
        <w:rPr>
          <w:rFonts w:ascii="Cambria" w:eastAsia="Cambria" w:hAnsi="Cambria" w:cs="Cambria"/>
          <w:sz w:val="20"/>
          <w:szCs w:val="20"/>
        </w:rPr>
      </w:pPr>
      <w:r w:rsidRPr="0078630F">
        <w:rPr>
          <w:rFonts w:ascii="Cambria" w:eastAsia="Cambria" w:hAnsi="Cambria" w:cs="Cambria"/>
          <w:sz w:val="20"/>
          <w:szCs w:val="20"/>
        </w:rPr>
        <w:t>Las Obligaciones Negociables constituirán, una vez emitidas, obligaciones negociables en virtud de las disposiciones de la Ley N° 23.576 de Obligaciones Negociables modificada por la Ley N° 27.440 y sus modificatorias (la “Ley de Obligaciones Negociables”), la Ley N° 26.831 de Mercado de Capitales modificada por la Ley N° 27.440 y sus modificatorias (la “Ley de Mercado de Capitales”), la Resolución General Nº 622/13 de la Comisión Nacional de Valores (la “CNV”) y sus modificatorias, y las restantes normas de la CNV que resulten aplicables (las “Normas de la CNV”).</w:t>
      </w:r>
    </w:p>
    <w:p w14:paraId="5F9770D2" w14:textId="77777777" w:rsidR="0031285E" w:rsidRPr="0078630F" w:rsidRDefault="0031285E" w:rsidP="0031285E">
      <w:pPr>
        <w:spacing w:after="0"/>
        <w:jc w:val="both"/>
        <w:rPr>
          <w:rFonts w:ascii="Cambria" w:eastAsia="Cambria" w:hAnsi="Cambria" w:cs="Cambria"/>
          <w:sz w:val="20"/>
          <w:szCs w:val="20"/>
        </w:rPr>
      </w:pPr>
    </w:p>
    <w:p w14:paraId="4FD01A2E" w14:textId="77777777" w:rsidR="0031285E" w:rsidRPr="0078630F" w:rsidRDefault="0031285E" w:rsidP="0031285E">
      <w:pPr>
        <w:spacing w:after="0"/>
        <w:jc w:val="both"/>
        <w:rPr>
          <w:rFonts w:ascii="Cambria" w:eastAsia="Cambria" w:hAnsi="Cambria" w:cs="Cambria"/>
          <w:sz w:val="20"/>
          <w:szCs w:val="20"/>
        </w:rPr>
      </w:pPr>
      <w:bookmarkStart w:id="1" w:name="_heading=h.30j0zll" w:colFirst="0" w:colLast="0"/>
      <w:bookmarkEnd w:id="1"/>
      <w:r w:rsidRPr="005470D1">
        <w:rPr>
          <w:rFonts w:ascii="Cambria" w:eastAsia="Cambria" w:hAnsi="Cambria" w:cs="Cambria"/>
          <w:sz w:val="20"/>
          <w:szCs w:val="20"/>
        </w:rPr>
        <w:t>La creación del Programa y los términos y condiciones de las Obligaciones Negociables fueron aprobados por la Asamblea Ordinaria y Extraordinaria de accionistas de la Emisora de fecha 6 de julio de 2020</w:t>
      </w:r>
      <w:r>
        <w:rPr>
          <w:rFonts w:ascii="Cambria" w:eastAsia="Cambria" w:hAnsi="Cambria" w:cs="Cambria"/>
          <w:sz w:val="20"/>
          <w:szCs w:val="20"/>
        </w:rPr>
        <w:t xml:space="preserve"> (la “Asamblea”)</w:t>
      </w:r>
      <w:r w:rsidRPr="005470D1">
        <w:rPr>
          <w:rFonts w:ascii="Cambria" w:eastAsia="Cambria" w:hAnsi="Cambria" w:cs="Cambria"/>
          <w:sz w:val="20"/>
          <w:szCs w:val="20"/>
        </w:rPr>
        <w:t xml:space="preserve"> y por resolución del Directorio de la Emisora N° </w:t>
      </w:r>
      <w:r>
        <w:rPr>
          <w:rFonts w:ascii="Cambria" w:eastAsia="Cambria" w:hAnsi="Cambria" w:cs="Cambria"/>
          <w:sz w:val="20"/>
          <w:szCs w:val="20"/>
        </w:rPr>
        <w:t>86</w:t>
      </w:r>
      <w:r w:rsidRPr="005470D1">
        <w:rPr>
          <w:rFonts w:ascii="Cambria" w:eastAsia="Cambria" w:hAnsi="Cambria" w:cs="Cambria"/>
          <w:b/>
          <w:sz w:val="20"/>
          <w:szCs w:val="20"/>
        </w:rPr>
        <w:t xml:space="preserve"> </w:t>
      </w:r>
      <w:r w:rsidRPr="005470D1">
        <w:rPr>
          <w:rFonts w:ascii="Cambria" w:eastAsia="Cambria" w:hAnsi="Cambria" w:cs="Cambria"/>
          <w:sz w:val="20"/>
          <w:szCs w:val="20"/>
        </w:rPr>
        <w:t xml:space="preserve">de fecha </w:t>
      </w:r>
      <w:r w:rsidRPr="00834EDD">
        <w:rPr>
          <w:rFonts w:ascii="Cambria" w:eastAsia="Cambria" w:hAnsi="Cambria" w:cs="Cambria"/>
          <w:sz w:val="20"/>
          <w:szCs w:val="20"/>
        </w:rPr>
        <w:t>5</w:t>
      </w:r>
      <w:r>
        <w:rPr>
          <w:rFonts w:ascii="Cambria" w:eastAsia="Cambria" w:hAnsi="Cambria" w:cs="Cambria"/>
          <w:b/>
          <w:sz w:val="20"/>
          <w:szCs w:val="20"/>
        </w:rPr>
        <w:t xml:space="preserve"> </w:t>
      </w:r>
      <w:r w:rsidRPr="005470D1">
        <w:rPr>
          <w:rFonts w:ascii="Cambria" w:eastAsia="Cambria" w:hAnsi="Cambria" w:cs="Cambria"/>
          <w:sz w:val="20"/>
          <w:szCs w:val="20"/>
        </w:rPr>
        <w:t xml:space="preserve">de </w:t>
      </w:r>
      <w:r w:rsidRPr="00D37986">
        <w:rPr>
          <w:rFonts w:ascii="Cambria" w:eastAsia="Cambria" w:hAnsi="Cambria" w:cs="Cambria"/>
          <w:sz w:val="20"/>
          <w:szCs w:val="20"/>
        </w:rPr>
        <w:t>agosto</w:t>
      </w:r>
      <w:r w:rsidRPr="005470D1">
        <w:rPr>
          <w:rFonts w:ascii="Cambria" w:eastAsia="Cambria" w:hAnsi="Cambria" w:cs="Cambria"/>
          <w:b/>
          <w:sz w:val="20"/>
          <w:szCs w:val="20"/>
        </w:rPr>
        <w:t xml:space="preserve"> </w:t>
      </w:r>
      <w:r w:rsidRPr="005470D1">
        <w:rPr>
          <w:rFonts w:ascii="Cambria" w:eastAsia="Cambria" w:hAnsi="Cambria" w:cs="Cambria"/>
          <w:sz w:val="20"/>
          <w:szCs w:val="20"/>
        </w:rPr>
        <w:t>de 20</w:t>
      </w:r>
      <w:r w:rsidRPr="00D37986">
        <w:rPr>
          <w:rFonts w:ascii="Cambria" w:eastAsia="Cambria" w:hAnsi="Cambria" w:cs="Cambria"/>
          <w:sz w:val="20"/>
          <w:szCs w:val="20"/>
        </w:rPr>
        <w:t>20</w:t>
      </w:r>
      <w:r w:rsidRPr="005470D1">
        <w:rPr>
          <w:rFonts w:ascii="Cambria" w:eastAsia="Cambria" w:hAnsi="Cambria" w:cs="Cambria"/>
          <w:sz w:val="20"/>
          <w:szCs w:val="20"/>
        </w:rPr>
        <w:t>.</w:t>
      </w:r>
      <w:r w:rsidRPr="0078630F">
        <w:rPr>
          <w:rFonts w:ascii="Cambria" w:eastAsia="Cambria" w:hAnsi="Cambria" w:cs="Cambria"/>
          <w:sz w:val="20"/>
          <w:szCs w:val="20"/>
        </w:rPr>
        <w:t xml:space="preserve"> </w:t>
      </w:r>
    </w:p>
    <w:p w14:paraId="7D893425" w14:textId="77777777" w:rsidR="0031285E" w:rsidRPr="0078630F" w:rsidRDefault="0031285E" w:rsidP="0031285E">
      <w:pPr>
        <w:spacing w:after="0"/>
        <w:jc w:val="both"/>
        <w:rPr>
          <w:rFonts w:ascii="Cambria" w:eastAsia="Cambria" w:hAnsi="Cambria" w:cs="Cambria"/>
          <w:sz w:val="20"/>
          <w:szCs w:val="20"/>
        </w:rPr>
      </w:pPr>
    </w:p>
    <w:p w14:paraId="13A25CB1" w14:textId="77777777" w:rsidR="0031285E" w:rsidRPr="0078630F" w:rsidRDefault="0031285E" w:rsidP="0031285E">
      <w:pPr>
        <w:spacing w:after="0"/>
        <w:jc w:val="both"/>
        <w:rPr>
          <w:rFonts w:ascii="Cambria" w:eastAsia="Cambria" w:hAnsi="Cambria" w:cs="Cambria"/>
          <w:sz w:val="20"/>
          <w:szCs w:val="20"/>
        </w:rPr>
      </w:pPr>
      <w:r w:rsidRPr="0078630F">
        <w:rPr>
          <w:rFonts w:ascii="Cambria" w:eastAsia="Cambria" w:hAnsi="Cambria" w:cs="Cambria"/>
          <w:sz w:val="20"/>
          <w:szCs w:val="20"/>
        </w:rPr>
        <w:t>El monto, denominación, moneda, precio de emisión, fechas de amortización y vencimiento, intereses, si los hubiera, y garantías, si las hubiera, junto con los demás términos y condiciones aplicables a cualquier clase y/o serie de Obligaciones Negociables, se detallarán en un suplemento de precio preparado en relación a dicha clase y/o serie de Obligaciones Negociables (cada uno, un “</w:t>
      </w:r>
      <w:r w:rsidRPr="00D37986">
        <w:rPr>
          <w:rFonts w:ascii="Cambria" w:eastAsia="Cambria" w:hAnsi="Cambria" w:cs="Cambria"/>
          <w:sz w:val="20"/>
          <w:szCs w:val="20"/>
        </w:rPr>
        <w:t>Suplemento de Precio</w:t>
      </w:r>
      <w:r w:rsidRPr="0078630F">
        <w:rPr>
          <w:rFonts w:ascii="Cambria" w:eastAsia="Cambria" w:hAnsi="Cambria" w:cs="Cambria"/>
          <w:sz w:val="20"/>
          <w:szCs w:val="20"/>
        </w:rPr>
        <w:t xml:space="preserve">”), el cual complementará los términos y condiciones de las Obligaciones </w:t>
      </w:r>
      <w:r w:rsidRPr="0078630F">
        <w:rPr>
          <w:rFonts w:ascii="Cambria" w:eastAsia="Cambria" w:hAnsi="Cambria" w:cs="Cambria"/>
          <w:sz w:val="20"/>
          <w:szCs w:val="20"/>
        </w:rPr>
        <w:lastRenderedPageBreak/>
        <w:t>Negociables descriptos en la sección “</w:t>
      </w:r>
      <w:r w:rsidRPr="0078630F">
        <w:rPr>
          <w:rFonts w:ascii="Cambria" w:eastAsia="Cambria" w:hAnsi="Cambria" w:cs="Cambria"/>
          <w:i/>
          <w:sz w:val="20"/>
          <w:szCs w:val="20"/>
        </w:rPr>
        <w:t>De la Oferta y Negociación. Términos y Condiciones de las Obligaciones Negociables</w:t>
      </w:r>
      <w:r w:rsidR="007D2D56">
        <w:rPr>
          <w:rFonts w:ascii="Cambria" w:eastAsia="Cambria" w:hAnsi="Cambria" w:cs="Cambria"/>
          <w:sz w:val="20"/>
          <w:szCs w:val="20"/>
        </w:rPr>
        <w:t xml:space="preserve">” del </w:t>
      </w:r>
      <w:r w:rsidRPr="0078630F">
        <w:rPr>
          <w:rFonts w:ascii="Cambria" w:eastAsia="Cambria" w:hAnsi="Cambria" w:cs="Cambria"/>
          <w:sz w:val="20"/>
          <w:szCs w:val="20"/>
        </w:rPr>
        <w:t>Prospecto.</w:t>
      </w:r>
    </w:p>
    <w:p w14:paraId="56CA9F7B" w14:textId="77777777" w:rsidR="0031285E" w:rsidRPr="0078630F" w:rsidRDefault="0031285E" w:rsidP="0031285E">
      <w:pPr>
        <w:spacing w:after="0"/>
        <w:jc w:val="both"/>
        <w:rPr>
          <w:rFonts w:ascii="Cambria" w:eastAsia="Cambria" w:hAnsi="Cambria" w:cs="Cambria"/>
          <w:sz w:val="20"/>
          <w:szCs w:val="20"/>
        </w:rPr>
      </w:pPr>
    </w:p>
    <w:p w14:paraId="36551FD4" w14:textId="77777777" w:rsidR="0031285E" w:rsidRPr="0078630F" w:rsidRDefault="0031285E" w:rsidP="0031285E">
      <w:pPr>
        <w:spacing w:after="0"/>
        <w:jc w:val="both"/>
        <w:rPr>
          <w:rFonts w:ascii="Cambria" w:eastAsia="Cambria" w:hAnsi="Cambria" w:cs="Cambria"/>
          <w:b/>
          <w:sz w:val="20"/>
          <w:szCs w:val="20"/>
        </w:rPr>
      </w:pPr>
      <w:r w:rsidRPr="0078630F">
        <w:rPr>
          <w:rFonts w:ascii="Cambria" w:eastAsia="Cambria" w:hAnsi="Cambria" w:cs="Cambria"/>
          <w:sz w:val="20"/>
          <w:szCs w:val="20"/>
        </w:rPr>
        <w:t xml:space="preserve">El Programa tiene una duración de cinco (5) años contados a partir de la fecha de la Resolución de la CNV que autoriza la creación </w:t>
      </w:r>
      <w:proofErr w:type="gramStart"/>
      <w:r w:rsidRPr="0078630F">
        <w:rPr>
          <w:rFonts w:ascii="Cambria" w:eastAsia="Cambria" w:hAnsi="Cambria" w:cs="Cambria"/>
          <w:sz w:val="20"/>
          <w:szCs w:val="20"/>
        </w:rPr>
        <w:t>del mismo</w:t>
      </w:r>
      <w:proofErr w:type="gramEnd"/>
      <w:r w:rsidRPr="0078630F">
        <w:rPr>
          <w:rFonts w:ascii="Cambria" w:eastAsia="Cambria" w:hAnsi="Cambria" w:cs="Cambria"/>
          <w:sz w:val="20"/>
          <w:szCs w:val="20"/>
        </w:rPr>
        <w:t xml:space="preserve">. Las Obligaciones Negociables podrán emitirse a la par o bajo o sobre </w:t>
      </w:r>
      <w:proofErr w:type="gramStart"/>
      <w:r w:rsidRPr="0078630F">
        <w:rPr>
          <w:rFonts w:ascii="Cambria" w:eastAsia="Cambria" w:hAnsi="Cambria" w:cs="Cambria"/>
          <w:sz w:val="20"/>
          <w:szCs w:val="20"/>
        </w:rPr>
        <w:t>la par</w:t>
      </w:r>
      <w:proofErr w:type="gramEnd"/>
      <w:r w:rsidRPr="0078630F">
        <w:rPr>
          <w:rFonts w:ascii="Cambria" w:eastAsia="Cambria" w:hAnsi="Cambria" w:cs="Cambria"/>
          <w:sz w:val="20"/>
          <w:szCs w:val="20"/>
        </w:rPr>
        <w:t>, devengando interés a tasa fija, tasa flotante, con descuento o sin devengar intereses. Salvo lo indicado en este Prospecto</w:t>
      </w:r>
      <w:r w:rsidR="000B2BCA">
        <w:rPr>
          <w:rFonts w:ascii="Cambria" w:eastAsia="Cambria" w:hAnsi="Cambria" w:cs="Cambria"/>
          <w:sz w:val="20"/>
          <w:szCs w:val="20"/>
        </w:rPr>
        <w:t xml:space="preserve"> Resumido</w:t>
      </w:r>
      <w:r w:rsidR="007D2D56">
        <w:rPr>
          <w:rFonts w:ascii="Cambria" w:eastAsia="Cambria" w:hAnsi="Cambria" w:cs="Cambria"/>
          <w:sz w:val="20"/>
          <w:szCs w:val="20"/>
        </w:rPr>
        <w:t xml:space="preserve"> y en el Prospecto</w:t>
      </w:r>
      <w:r w:rsidRPr="0078630F">
        <w:rPr>
          <w:rFonts w:ascii="Cambria" w:eastAsia="Cambria" w:hAnsi="Cambria" w:cs="Cambria"/>
          <w:sz w:val="20"/>
          <w:szCs w:val="20"/>
        </w:rPr>
        <w:t>, los pagos en concepto de capital, intereses y Montos Adicionales (tal como se define más adelante) si los hubiera, con respecto a las Obligaciones Negociables, se efectuarán sin deducción ni retención por o a cuenta de impuestos argentinos.</w:t>
      </w:r>
      <w:r w:rsidRPr="0078630F">
        <w:rPr>
          <w:rFonts w:ascii="Cambria" w:eastAsia="Cambria" w:hAnsi="Cambria" w:cs="Cambria"/>
          <w:b/>
          <w:sz w:val="20"/>
          <w:szCs w:val="20"/>
        </w:rPr>
        <w:t xml:space="preserve"> </w:t>
      </w:r>
    </w:p>
    <w:p w14:paraId="7AB2E24D" w14:textId="77777777" w:rsidR="0031285E" w:rsidRPr="0078630F" w:rsidRDefault="0031285E" w:rsidP="0031285E">
      <w:pPr>
        <w:spacing w:after="0"/>
        <w:jc w:val="both"/>
        <w:rPr>
          <w:rFonts w:ascii="Cambria" w:eastAsia="Cambria" w:hAnsi="Cambria" w:cs="Cambria"/>
          <w:b/>
          <w:sz w:val="20"/>
          <w:szCs w:val="20"/>
        </w:rPr>
      </w:pPr>
    </w:p>
    <w:p w14:paraId="3BA09F74" w14:textId="77777777" w:rsidR="0031285E" w:rsidRDefault="0031285E" w:rsidP="0031285E">
      <w:pPr>
        <w:jc w:val="both"/>
        <w:rPr>
          <w:rFonts w:ascii="Cambria" w:eastAsia="Cambria" w:hAnsi="Cambria" w:cs="Cambria"/>
          <w:sz w:val="20"/>
          <w:szCs w:val="20"/>
        </w:rPr>
      </w:pPr>
      <w:r w:rsidRPr="0078630F">
        <w:rPr>
          <w:rFonts w:ascii="Cambria" w:eastAsia="Cambria" w:hAnsi="Cambria" w:cs="Cambria"/>
          <w:sz w:val="20"/>
          <w:szCs w:val="20"/>
        </w:rPr>
        <w:t>Las Obligaciones Negociables deberán ser listadas o negociadas en al menos un mercado autorizado por la CNV, pudiendo ser listadas o negociadas en otros mercados del país o del exterior. En consecuencia, las Obligaciones Negociables podrán ser listadas en Bolsas y Mercados Argentinos S.A. (“BYMA”) a través de la Bolsa de Comercio de Buenos Aires (la “BCBA”) (en virtud de la delegación de facultades otorgadas por BYMA a la BCBA, de conformidad con lo dispuesto en la Resolución Nº 18.629 de la CNV)</w:t>
      </w:r>
      <w:r>
        <w:rPr>
          <w:rFonts w:ascii="Cambria" w:eastAsia="Cambria" w:hAnsi="Cambria" w:cs="Cambria"/>
          <w:sz w:val="20"/>
          <w:szCs w:val="20"/>
        </w:rPr>
        <w:t xml:space="preserve"> y negociadas </w:t>
      </w:r>
      <w:r w:rsidRPr="00070AA2">
        <w:rPr>
          <w:rFonts w:ascii="Cambria" w:eastAsia="Cambria" w:hAnsi="Cambria" w:cs="Cambria"/>
          <w:sz w:val="20"/>
          <w:szCs w:val="20"/>
          <w:lang w:val="es-AR"/>
        </w:rPr>
        <w:t>en el Mercado Abierto Electrónico S.A. de la Argentina (el "</w:t>
      </w:r>
      <w:r w:rsidRPr="00070AA2">
        <w:rPr>
          <w:rFonts w:ascii="Cambria" w:eastAsia="Cambria" w:hAnsi="Cambria" w:cs="Cambria"/>
          <w:sz w:val="20"/>
          <w:szCs w:val="20"/>
          <w:u w:val="single"/>
          <w:lang w:val="es-AR"/>
        </w:rPr>
        <w:t>MAE</w:t>
      </w:r>
      <w:r w:rsidRPr="00070AA2">
        <w:rPr>
          <w:rFonts w:ascii="Cambria" w:eastAsia="Cambria" w:hAnsi="Cambria" w:cs="Cambria"/>
          <w:sz w:val="20"/>
          <w:szCs w:val="20"/>
          <w:lang w:val="es-AR"/>
        </w:rPr>
        <w:t>")</w:t>
      </w:r>
      <w:r w:rsidRPr="0078630F">
        <w:rPr>
          <w:rFonts w:ascii="Cambria" w:eastAsia="Cambria" w:hAnsi="Cambria" w:cs="Cambria"/>
          <w:sz w:val="20"/>
          <w:szCs w:val="20"/>
        </w:rPr>
        <w:t>. Asimismo, el Emisor solicitará la autorización de listado de una o más Series y/o Clases de Obligaciones Negociables en uno o más mercados autorizados y/o entidades autorreguladas no bursátiles del país y/o del exterior, según se especifique en el Suplemento de Precio aplicable.</w:t>
      </w:r>
      <w:r>
        <w:rPr>
          <w:rFonts w:ascii="Cambria" w:eastAsia="Cambria" w:hAnsi="Cambria" w:cs="Cambria"/>
          <w:sz w:val="20"/>
          <w:szCs w:val="20"/>
        </w:rPr>
        <w:t xml:space="preserve"> </w:t>
      </w:r>
    </w:p>
    <w:p w14:paraId="1C120C2B" w14:textId="77777777" w:rsidR="0031285E" w:rsidRPr="0078630F" w:rsidRDefault="0031285E" w:rsidP="0031285E">
      <w:pPr>
        <w:jc w:val="both"/>
        <w:rPr>
          <w:rFonts w:ascii="Cambria" w:eastAsia="Cambria" w:hAnsi="Cambria" w:cs="Cambria"/>
          <w:sz w:val="20"/>
          <w:szCs w:val="20"/>
          <w:lang w:bidi="es-ES"/>
        </w:rPr>
      </w:pPr>
      <w:r>
        <w:rPr>
          <w:rFonts w:ascii="Cambria" w:eastAsia="Cambria" w:hAnsi="Cambria" w:cs="Cambria"/>
          <w:sz w:val="20"/>
          <w:szCs w:val="20"/>
        </w:rPr>
        <w:t xml:space="preserve">La Sociedad, como emisora de acciones, ha sido calificada con fecha 16 de julio de 2020 por </w:t>
      </w:r>
      <w:r w:rsidRPr="00A1000B">
        <w:rPr>
          <w:rFonts w:ascii="Cambria" w:eastAsia="Cambria" w:hAnsi="Cambria" w:cs="Cambria"/>
          <w:sz w:val="20"/>
          <w:szCs w:val="20"/>
        </w:rPr>
        <w:t>Fix SCR S.A</w:t>
      </w:r>
      <w:r>
        <w:rPr>
          <w:rFonts w:ascii="Cambria" w:eastAsia="Cambria" w:hAnsi="Cambria" w:cs="Cambria"/>
          <w:sz w:val="20"/>
          <w:szCs w:val="20"/>
        </w:rPr>
        <w:t xml:space="preserve"> la cual otorgó a la Sociedad la calificación de AA- con perspectiva estable. En el informe de calificación de riesgo de las acciones, la calificadora indicó que </w:t>
      </w:r>
      <w:r w:rsidRPr="00B87F80">
        <w:rPr>
          <w:rFonts w:ascii="Cambria" w:eastAsia="Cambria" w:hAnsi="Cambria" w:cs="Cambria"/>
          <w:sz w:val="20"/>
          <w:szCs w:val="20"/>
          <w:lang w:bidi="es-ES"/>
        </w:rPr>
        <w:t>mantiene la perspectiva estable en el sector agroindustrial debido a su menor exposición relativa al impacto negativo generado por el COVID-19 comparada con el resto de las industrias.</w:t>
      </w:r>
      <w:r>
        <w:rPr>
          <w:rFonts w:ascii="Cambria" w:eastAsia="Cambria" w:hAnsi="Cambria" w:cs="Cambria"/>
          <w:sz w:val="20"/>
          <w:szCs w:val="20"/>
          <w:lang w:bidi="es-ES"/>
        </w:rPr>
        <w:t xml:space="preserve"> A su vez, agregó que l</w:t>
      </w:r>
      <w:r w:rsidRPr="00B87F80">
        <w:rPr>
          <w:rFonts w:ascii="Cambria" w:eastAsia="Cambria" w:hAnsi="Cambria" w:cs="Cambria"/>
          <w:sz w:val="20"/>
          <w:szCs w:val="20"/>
          <w:lang w:bidi="es-ES"/>
        </w:rPr>
        <w:t xml:space="preserve">as compañías del sector son actualmente consideradas como actividades esenciales y se espera que su operatoria continúe sin mayores impactos sobre la cadena de pagos. </w:t>
      </w:r>
    </w:p>
    <w:p w14:paraId="7B699E17" w14:textId="77777777" w:rsidR="0031285E" w:rsidRPr="0078630F" w:rsidRDefault="0031285E" w:rsidP="0031285E">
      <w:pPr>
        <w:spacing w:after="0"/>
        <w:jc w:val="both"/>
        <w:rPr>
          <w:rFonts w:ascii="Cambria" w:eastAsia="Cambria" w:hAnsi="Cambria" w:cs="Cambria"/>
          <w:sz w:val="20"/>
          <w:szCs w:val="20"/>
        </w:rPr>
      </w:pPr>
    </w:p>
    <w:p w14:paraId="1DE2DBB5" w14:textId="77777777" w:rsidR="0031285E" w:rsidRPr="0078630F" w:rsidRDefault="0031285E" w:rsidP="0031285E">
      <w:pPr>
        <w:spacing w:after="0"/>
        <w:jc w:val="both"/>
        <w:rPr>
          <w:rFonts w:ascii="Cambria" w:eastAsia="Cambria" w:hAnsi="Cambria" w:cs="Cambria"/>
          <w:b/>
          <w:sz w:val="20"/>
          <w:szCs w:val="20"/>
        </w:rPr>
      </w:pPr>
      <w:r w:rsidRPr="0078630F">
        <w:rPr>
          <w:rFonts w:ascii="Cambria" w:eastAsia="Cambria" w:hAnsi="Cambria" w:cs="Cambria"/>
          <w:b/>
          <w:sz w:val="20"/>
          <w:szCs w:val="20"/>
        </w:rPr>
        <w:t xml:space="preserve">La Emisora ha optado que el Programa no cuente con calificaciones de riesgo. Sin perjuicio de ello, la Emisora podrá optar por calificar o no cada clase y/o serie de Obligaciones Negociables que se emitan bajo el Programa y, en su caso, informará la calificación otorgada en el Suplemento de Precio correspondiente. </w:t>
      </w:r>
      <w:proofErr w:type="gramStart"/>
      <w:r w:rsidRPr="0078630F">
        <w:rPr>
          <w:rFonts w:ascii="Cambria" w:eastAsia="Cambria" w:hAnsi="Cambria" w:cs="Cambria"/>
          <w:b/>
          <w:sz w:val="20"/>
          <w:szCs w:val="20"/>
        </w:rPr>
        <w:t>En caso que</w:t>
      </w:r>
      <w:proofErr w:type="gramEnd"/>
      <w:r w:rsidRPr="0078630F">
        <w:rPr>
          <w:rFonts w:ascii="Cambria" w:eastAsia="Cambria" w:hAnsi="Cambria" w:cs="Cambria"/>
          <w:b/>
          <w:sz w:val="20"/>
          <w:szCs w:val="20"/>
        </w:rPr>
        <w:t xml:space="preserve"> la Emisora opte por calificar una o más clases y/o series de Obligaciones Negociables, las mismas contarán solamente con una calificación de riesgo a menos que se especifique de distinto modo en el Suplemento de Precio correspondiente.</w:t>
      </w:r>
    </w:p>
    <w:p w14:paraId="23137244" w14:textId="77777777" w:rsidR="0031285E" w:rsidRPr="00AA6CF0" w:rsidRDefault="0031285E" w:rsidP="0031285E">
      <w:pPr>
        <w:spacing w:after="0"/>
        <w:jc w:val="both"/>
        <w:rPr>
          <w:rFonts w:ascii="Cambria" w:hAnsi="Cambria"/>
          <w:sz w:val="20"/>
        </w:rPr>
      </w:pPr>
    </w:p>
    <w:p w14:paraId="3C13676E" w14:textId="77777777" w:rsidR="0031285E" w:rsidRPr="0078630F" w:rsidRDefault="0031285E" w:rsidP="0031285E">
      <w:pPr>
        <w:spacing w:after="0"/>
        <w:jc w:val="both"/>
        <w:rPr>
          <w:rFonts w:ascii="Cambria" w:eastAsia="Cambria" w:hAnsi="Cambria" w:cs="Cambria"/>
          <w:i/>
          <w:sz w:val="20"/>
          <w:szCs w:val="20"/>
        </w:rPr>
      </w:pPr>
      <w:r w:rsidRPr="0078630F">
        <w:rPr>
          <w:rFonts w:ascii="Cambria" w:eastAsia="Cambria" w:hAnsi="Cambria" w:cs="Cambria"/>
          <w:sz w:val="20"/>
          <w:szCs w:val="20"/>
        </w:rPr>
        <w:t>Antes de tomar decisiones de inversión respecto de las Obligaciones Negociables, el público inversor deberá considerar los factores de riesgo que se describen en la sección</w:t>
      </w:r>
      <w:r w:rsidRPr="0078630F">
        <w:rPr>
          <w:rFonts w:ascii="Cambria" w:eastAsia="Cambria" w:hAnsi="Cambria" w:cs="Cambria"/>
          <w:i/>
          <w:sz w:val="20"/>
          <w:szCs w:val="20"/>
        </w:rPr>
        <w:t xml:space="preserve"> </w:t>
      </w:r>
      <w:r w:rsidRPr="0078630F">
        <w:rPr>
          <w:rFonts w:ascii="Cambria" w:eastAsia="Cambria" w:hAnsi="Cambria" w:cs="Cambria"/>
          <w:i/>
          <w:color w:val="1155CC"/>
          <w:sz w:val="20"/>
          <w:szCs w:val="20"/>
          <w:u w:val="single"/>
        </w:rPr>
        <w:t>“</w:t>
      </w:r>
      <w:hyperlink w:anchor="_Factores_de_riesgo" w:history="1">
        <w:r w:rsidRPr="0078630F">
          <w:rPr>
            <w:rStyle w:val="Hipervnculo"/>
            <w:rFonts w:ascii="Cambria" w:eastAsia="Cambria" w:hAnsi="Cambria" w:cs="Cambria"/>
            <w:i/>
            <w:sz w:val="20"/>
            <w:szCs w:val="20"/>
          </w:rPr>
          <w:t>Factores de Riesgo</w:t>
        </w:r>
      </w:hyperlink>
      <w:r w:rsidRPr="0078630F">
        <w:rPr>
          <w:rFonts w:ascii="Cambria" w:eastAsia="Cambria" w:hAnsi="Cambria" w:cs="Cambria"/>
          <w:i/>
          <w:color w:val="1155CC"/>
          <w:sz w:val="20"/>
          <w:szCs w:val="20"/>
          <w:u w:val="single"/>
        </w:rPr>
        <w:t>”</w:t>
      </w:r>
      <w:r w:rsidRPr="0078630F">
        <w:rPr>
          <w:rFonts w:ascii="Cambria" w:eastAsia="Cambria" w:hAnsi="Cambria" w:cs="Cambria"/>
          <w:i/>
          <w:sz w:val="20"/>
          <w:szCs w:val="20"/>
        </w:rPr>
        <w:t xml:space="preserve"> </w:t>
      </w:r>
      <w:r w:rsidRPr="0078630F">
        <w:rPr>
          <w:rFonts w:ascii="Cambria" w:eastAsia="Cambria" w:hAnsi="Cambria" w:cs="Cambria"/>
          <w:sz w:val="20"/>
          <w:szCs w:val="20"/>
        </w:rPr>
        <w:t>del presente, eventualmente del Suplemento de Precio correspondiente, y el resto de la información contenida en el</w:t>
      </w:r>
      <w:r w:rsidR="00A406DC">
        <w:rPr>
          <w:rFonts w:ascii="Cambria" w:eastAsia="Cambria" w:hAnsi="Cambria" w:cs="Cambria"/>
          <w:sz w:val="20"/>
          <w:szCs w:val="20"/>
        </w:rPr>
        <w:t xml:space="preserve"> presente</w:t>
      </w:r>
      <w:r w:rsidRPr="0078630F">
        <w:rPr>
          <w:rFonts w:ascii="Cambria" w:eastAsia="Cambria" w:hAnsi="Cambria" w:cs="Cambria"/>
          <w:sz w:val="20"/>
          <w:szCs w:val="20"/>
        </w:rPr>
        <w:t xml:space="preserve"> Prospecto</w:t>
      </w:r>
      <w:r w:rsidR="00A406DC">
        <w:rPr>
          <w:rFonts w:ascii="Cambria" w:eastAsia="Cambria" w:hAnsi="Cambria" w:cs="Cambria"/>
          <w:sz w:val="20"/>
          <w:szCs w:val="20"/>
        </w:rPr>
        <w:t xml:space="preserve"> Resumido, el Prospecto</w:t>
      </w:r>
      <w:r w:rsidRPr="0078630F">
        <w:rPr>
          <w:rFonts w:ascii="Cambria" w:eastAsia="Cambria" w:hAnsi="Cambria" w:cs="Cambria"/>
          <w:sz w:val="20"/>
          <w:szCs w:val="20"/>
        </w:rPr>
        <w:t>, el Suplemento de Precio correspondiente, y/o sus respectivos avisos complementarios.</w:t>
      </w:r>
    </w:p>
    <w:p w14:paraId="4F73C0CD" w14:textId="77777777" w:rsidR="0031285E" w:rsidRPr="0078630F" w:rsidRDefault="0031285E" w:rsidP="0031285E">
      <w:pPr>
        <w:spacing w:after="0"/>
        <w:jc w:val="both"/>
        <w:rPr>
          <w:rFonts w:ascii="Cambria" w:eastAsia="Cambria" w:hAnsi="Cambria" w:cs="Cambria"/>
          <w:sz w:val="20"/>
          <w:szCs w:val="20"/>
        </w:rPr>
      </w:pPr>
    </w:p>
    <w:p w14:paraId="26B84A25" w14:textId="77777777" w:rsidR="0031285E" w:rsidRDefault="0031285E" w:rsidP="0031285E">
      <w:pPr>
        <w:spacing w:after="0"/>
        <w:jc w:val="both"/>
        <w:rPr>
          <w:rFonts w:ascii="Cambria" w:eastAsia="Cambria" w:hAnsi="Cambria" w:cs="Cambria"/>
          <w:b/>
          <w:sz w:val="20"/>
          <w:szCs w:val="20"/>
        </w:rPr>
      </w:pPr>
      <w:r w:rsidRPr="0078630F">
        <w:rPr>
          <w:rFonts w:ascii="Cambria" w:eastAsia="Cambria" w:hAnsi="Cambria" w:cs="Cambria"/>
          <w:b/>
          <w:sz w:val="20"/>
          <w:szCs w:val="20"/>
        </w:rPr>
        <w:t xml:space="preserve">LA OFERTA PÚBLICA DEL PROGRAMA FUE AUTORIZADA POR RESOLUCIÓN Nº </w:t>
      </w:r>
      <w:r>
        <w:rPr>
          <w:rFonts w:ascii="Cambria" w:eastAsia="Cambria" w:hAnsi="Cambria" w:cs="Cambria"/>
          <w:b/>
          <w:sz w:val="20"/>
          <w:szCs w:val="20"/>
        </w:rPr>
        <w:t>RESFC-2020-20836-APN-DIR#CNV</w:t>
      </w:r>
      <w:r w:rsidRPr="0078630F">
        <w:rPr>
          <w:rFonts w:ascii="Cambria" w:eastAsia="Cambria" w:hAnsi="Cambria" w:cs="Cambria"/>
          <w:b/>
          <w:sz w:val="20"/>
          <w:szCs w:val="20"/>
        </w:rPr>
        <w:t xml:space="preserve"> DEL DIRECTORIO DE LA CNV DE FECHA </w:t>
      </w:r>
      <w:r>
        <w:rPr>
          <w:rFonts w:ascii="Cambria" w:eastAsia="Cambria" w:hAnsi="Cambria" w:cs="Cambria"/>
          <w:b/>
          <w:sz w:val="20"/>
          <w:szCs w:val="20"/>
        </w:rPr>
        <w:t>22</w:t>
      </w:r>
      <w:r w:rsidRPr="0078630F">
        <w:rPr>
          <w:rFonts w:ascii="Cambria" w:eastAsia="Cambria" w:hAnsi="Cambria" w:cs="Cambria"/>
          <w:b/>
          <w:sz w:val="20"/>
          <w:szCs w:val="20"/>
        </w:rPr>
        <w:t xml:space="preserve"> DE </w:t>
      </w:r>
      <w:r>
        <w:rPr>
          <w:rFonts w:ascii="Cambria" w:eastAsia="Cambria" w:hAnsi="Cambria" w:cs="Cambria"/>
          <w:b/>
          <w:sz w:val="20"/>
          <w:szCs w:val="20"/>
        </w:rPr>
        <w:t>OCTUBRE</w:t>
      </w:r>
      <w:r w:rsidRPr="0078630F">
        <w:rPr>
          <w:rFonts w:ascii="Cambria" w:eastAsia="Cambria" w:hAnsi="Cambria" w:cs="Cambria"/>
          <w:b/>
          <w:sz w:val="20"/>
          <w:szCs w:val="20"/>
        </w:rPr>
        <w:t xml:space="preserve"> DE 20</w:t>
      </w:r>
      <w:r>
        <w:rPr>
          <w:rFonts w:ascii="Cambria" w:eastAsia="Cambria" w:hAnsi="Cambria" w:cs="Cambria"/>
          <w:b/>
          <w:sz w:val="20"/>
          <w:szCs w:val="20"/>
        </w:rPr>
        <w:t>20</w:t>
      </w:r>
      <w:r w:rsidRPr="00D37986">
        <w:rPr>
          <w:rFonts w:ascii="Cambria" w:eastAsia="Cambria" w:hAnsi="Cambria" w:cs="Cambria"/>
          <w:b/>
          <w:sz w:val="20"/>
          <w:szCs w:val="20"/>
        </w:rPr>
        <w:t>.</w:t>
      </w:r>
      <w:r w:rsidRPr="0078630F">
        <w:rPr>
          <w:rFonts w:ascii="Cambria" w:eastAsia="Cambria" w:hAnsi="Cambria" w:cs="Cambria"/>
          <w:b/>
          <w:sz w:val="20"/>
          <w:szCs w:val="20"/>
        </w:rPr>
        <w:t xml:space="preserve"> ESTA AUTORIZACIÓN SÓLO SIGNIFICA QUE SE HA CUMPLIDO CON LOS REQUISITOS ESTABLECIDOS EN MATERIA DE INFORMACIÓN. LA CNV NO HA EMITIDO JUICIO SOBRE LOS DATOS CONTENIDOS EN EL </w:t>
      </w:r>
      <w:r w:rsidR="00A406DC">
        <w:rPr>
          <w:rFonts w:ascii="Cambria" w:eastAsia="Cambria" w:hAnsi="Cambria" w:cs="Cambria"/>
          <w:b/>
          <w:sz w:val="20"/>
          <w:szCs w:val="20"/>
        </w:rPr>
        <w:t xml:space="preserve">PROSPECTO DEL PROGRAMA (EL “PROSPECTO”) NI SOBRE LOS DATOS CONTENIDOS EN EL </w:t>
      </w:r>
      <w:r w:rsidRPr="0078630F">
        <w:rPr>
          <w:rFonts w:ascii="Cambria" w:eastAsia="Cambria" w:hAnsi="Cambria" w:cs="Cambria"/>
          <w:b/>
          <w:sz w:val="20"/>
          <w:szCs w:val="20"/>
        </w:rPr>
        <w:t>PROSPECTO</w:t>
      </w:r>
      <w:r w:rsidR="00A406DC">
        <w:rPr>
          <w:rFonts w:ascii="Cambria" w:eastAsia="Cambria" w:hAnsi="Cambria" w:cs="Cambria"/>
          <w:b/>
          <w:sz w:val="20"/>
          <w:szCs w:val="20"/>
        </w:rPr>
        <w:t xml:space="preserve"> RESUMIDO</w:t>
      </w:r>
      <w:r w:rsidRPr="0078630F">
        <w:rPr>
          <w:rFonts w:ascii="Cambria" w:eastAsia="Cambria" w:hAnsi="Cambria" w:cs="Cambria"/>
          <w:b/>
          <w:sz w:val="20"/>
          <w:szCs w:val="20"/>
        </w:rPr>
        <w:t>. LA VERACIDAD DE LA INFORMACIÓN CONTABLE, FINANCIERA Y ECONÓMICA, ASÍ COMO DE TODA OTRA INFORMACIÓN SUMINISTRADA EN EL PRESENTE PROSPECTO</w:t>
      </w:r>
      <w:r w:rsidR="00A406DC">
        <w:rPr>
          <w:rFonts w:ascii="Cambria" w:eastAsia="Cambria" w:hAnsi="Cambria" w:cs="Cambria"/>
          <w:b/>
          <w:sz w:val="20"/>
          <w:szCs w:val="20"/>
        </w:rPr>
        <w:t xml:space="preserve"> RESUMIDO Y/O EL PROSPECTO</w:t>
      </w:r>
      <w:r w:rsidRPr="0078630F">
        <w:rPr>
          <w:rFonts w:ascii="Cambria" w:eastAsia="Cambria" w:hAnsi="Cambria" w:cs="Cambria"/>
          <w:b/>
          <w:sz w:val="20"/>
          <w:szCs w:val="20"/>
        </w:rPr>
        <w:t xml:space="preserve"> ES EXCLUSIVA RESPONSABILIDAD DEL </w:t>
      </w:r>
      <w:r w:rsidRPr="0078630F">
        <w:rPr>
          <w:rFonts w:ascii="Cambria" w:eastAsia="Cambria" w:hAnsi="Cambria" w:cs="Cambria"/>
          <w:b/>
          <w:sz w:val="20"/>
          <w:szCs w:val="20"/>
        </w:rPr>
        <w:lastRenderedPageBreak/>
        <w:t>ÓRGANO DE ADMINISTRACIÓN Y, EN LO QUE LES ATAÑE, DEL ÓRGANO DE FISCALIZACIÓN DE LA EMISORA Y DE LOS AUDITORES, EN CUANTO A SUS RESPECTIVOS INFORMES SOBRE LOS ESTADOS FINANCIEROS QUE SE ACOMPAÑAN</w:t>
      </w:r>
      <w:r>
        <w:rPr>
          <w:rFonts w:ascii="Cambria" w:eastAsia="Cambria" w:hAnsi="Cambria" w:cs="Cambria"/>
          <w:b/>
          <w:sz w:val="20"/>
          <w:szCs w:val="20"/>
        </w:rPr>
        <w:t xml:space="preserve"> </w:t>
      </w:r>
      <w:r w:rsidRPr="00BB15A3">
        <w:rPr>
          <w:rFonts w:ascii="Cambria" w:eastAsia="Cambria" w:hAnsi="Cambria" w:cs="Cambria"/>
          <w:b/>
          <w:sz w:val="20"/>
          <w:szCs w:val="20"/>
          <w:lang w:val="es-AR"/>
        </w:rPr>
        <w:t xml:space="preserve">Y DEMÁS RESPONSABLES CONTEMPLADOS EN LOS ARTÍCULOS 119 Y 120 DE LA LEY </w:t>
      </w:r>
      <w:r>
        <w:rPr>
          <w:rFonts w:ascii="Cambria" w:eastAsia="Cambria" w:hAnsi="Cambria" w:cs="Cambria"/>
          <w:b/>
          <w:sz w:val="20"/>
          <w:szCs w:val="20"/>
          <w:lang w:val="es-AR"/>
        </w:rPr>
        <w:t>DE MERCADO DE CAPITALES</w:t>
      </w:r>
      <w:r>
        <w:rPr>
          <w:rFonts w:ascii="Cambria" w:eastAsia="Cambria" w:hAnsi="Cambria" w:cs="Cambria"/>
          <w:b/>
          <w:sz w:val="20"/>
          <w:szCs w:val="20"/>
        </w:rPr>
        <w:t>.</w:t>
      </w:r>
    </w:p>
    <w:p w14:paraId="070146D6" w14:textId="77777777" w:rsidR="0031285E" w:rsidRDefault="0031285E" w:rsidP="0031285E">
      <w:pPr>
        <w:spacing w:after="0"/>
        <w:jc w:val="both"/>
        <w:rPr>
          <w:rFonts w:ascii="Cambria" w:eastAsia="Cambria" w:hAnsi="Cambria" w:cs="Cambria"/>
          <w:b/>
          <w:sz w:val="20"/>
          <w:szCs w:val="20"/>
        </w:rPr>
      </w:pPr>
    </w:p>
    <w:p w14:paraId="5707279A" w14:textId="77777777" w:rsidR="0031285E" w:rsidRDefault="0031285E" w:rsidP="0031285E">
      <w:pPr>
        <w:spacing w:after="0"/>
        <w:jc w:val="both"/>
        <w:rPr>
          <w:rFonts w:ascii="Cambria" w:eastAsia="Cambria" w:hAnsi="Cambria" w:cs="Cambria"/>
          <w:b/>
          <w:sz w:val="20"/>
          <w:szCs w:val="20"/>
        </w:rPr>
      </w:pPr>
      <w:r>
        <w:rPr>
          <w:rFonts w:ascii="Cambria" w:eastAsia="Cambria" w:hAnsi="Cambria" w:cs="Cambria"/>
          <w:b/>
          <w:sz w:val="20"/>
          <w:szCs w:val="20"/>
        </w:rPr>
        <w:t xml:space="preserve">LA SOCIEDAD, COMO EMISORA DE ACCIONES, OBTUVO LA AUTORIZACIÓN DE </w:t>
      </w:r>
      <w:r w:rsidRPr="00080596">
        <w:rPr>
          <w:rFonts w:ascii="Cambria" w:eastAsia="Cambria" w:hAnsi="Cambria" w:cs="Cambria"/>
          <w:b/>
          <w:sz w:val="20"/>
          <w:szCs w:val="20"/>
          <w:lang w:val="es-AR"/>
        </w:rPr>
        <w:t>OFERTA PÚBLICA POR RESOLUCIÓN Nº 18.717 DE FECHA 24 DE MAYO DE 2017 DEL DIRECTORIO DE L</w:t>
      </w:r>
      <w:r>
        <w:rPr>
          <w:rFonts w:ascii="Cambria" w:eastAsia="Cambria" w:hAnsi="Cambria" w:cs="Cambria"/>
          <w:b/>
          <w:sz w:val="20"/>
          <w:szCs w:val="20"/>
          <w:lang w:val="es-AR"/>
        </w:rPr>
        <w:t>A COMISIÓN NACIONAL DE VALORES. ASIMISMO, EL PROSPECTO SE ENCUENTRA PUBLICADO EN LA AUTOPISTA DE LA INFORMACIÓN FINANCIERA DE LA CNV DENTRO DE LA SOLAPA “</w:t>
      </w:r>
      <w:r w:rsidRPr="00716851">
        <w:rPr>
          <w:rFonts w:ascii="Cambria" w:eastAsia="Cambria" w:hAnsi="Cambria" w:cs="Cambria"/>
          <w:b/>
          <w:i/>
          <w:sz w:val="20"/>
          <w:szCs w:val="20"/>
          <w:lang w:val="es-AR"/>
        </w:rPr>
        <w:t xml:space="preserve">EMISIONES </w:t>
      </w:r>
      <w:r>
        <w:rPr>
          <w:rFonts w:ascii="Cambria" w:eastAsia="Cambria" w:hAnsi="Cambria" w:cs="Cambria"/>
          <w:b/>
          <w:i/>
          <w:sz w:val="20"/>
          <w:szCs w:val="20"/>
          <w:lang w:val="es-AR"/>
        </w:rPr>
        <w:t>–</w:t>
      </w:r>
      <w:r w:rsidRPr="00716851">
        <w:rPr>
          <w:rFonts w:ascii="Cambria" w:eastAsia="Cambria" w:hAnsi="Cambria" w:cs="Cambria"/>
          <w:b/>
          <w:i/>
          <w:sz w:val="20"/>
          <w:szCs w:val="20"/>
          <w:lang w:val="es-AR"/>
        </w:rPr>
        <w:t xml:space="preserve"> ACCIONES</w:t>
      </w:r>
      <w:r>
        <w:rPr>
          <w:rFonts w:ascii="Cambria" w:eastAsia="Cambria" w:hAnsi="Cambria" w:cs="Cambria"/>
          <w:b/>
          <w:i/>
          <w:sz w:val="20"/>
          <w:szCs w:val="20"/>
          <w:lang w:val="es-AR"/>
        </w:rPr>
        <w:t xml:space="preserve">” </w:t>
      </w:r>
      <w:r>
        <w:rPr>
          <w:rFonts w:ascii="Cambria" w:eastAsia="Cambria" w:hAnsi="Cambria" w:cs="Cambria"/>
          <w:b/>
          <w:sz w:val="20"/>
          <w:szCs w:val="20"/>
          <w:lang w:val="es-AR"/>
        </w:rPr>
        <w:t xml:space="preserve">BAJO EL ID Nº </w:t>
      </w:r>
      <w:r w:rsidRPr="00716851">
        <w:rPr>
          <w:rFonts w:ascii="Cambria" w:eastAsia="Cambria" w:hAnsi="Cambria" w:cs="Cambria"/>
          <w:b/>
          <w:sz w:val="20"/>
          <w:szCs w:val="20"/>
        </w:rPr>
        <w:t>492452</w:t>
      </w:r>
      <w:r>
        <w:rPr>
          <w:rFonts w:ascii="Cambria" w:eastAsia="Cambria" w:hAnsi="Cambria" w:cs="Cambria"/>
          <w:b/>
          <w:sz w:val="20"/>
          <w:szCs w:val="20"/>
        </w:rPr>
        <w:t>.</w:t>
      </w:r>
    </w:p>
    <w:p w14:paraId="48873110" w14:textId="77777777" w:rsidR="0031285E" w:rsidRPr="00716851" w:rsidRDefault="0031285E" w:rsidP="0031285E">
      <w:pPr>
        <w:spacing w:after="0"/>
        <w:jc w:val="both"/>
        <w:rPr>
          <w:rFonts w:ascii="Cambria" w:eastAsia="Cambria" w:hAnsi="Cambria" w:cs="Cambria"/>
          <w:b/>
          <w:sz w:val="20"/>
          <w:szCs w:val="20"/>
        </w:rPr>
      </w:pPr>
    </w:p>
    <w:p w14:paraId="0571FECB" w14:textId="77777777" w:rsidR="0031285E" w:rsidRPr="0078630F" w:rsidRDefault="0031285E" w:rsidP="0031285E">
      <w:pPr>
        <w:spacing w:after="0"/>
        <w:jc w:val="both"/>
        <w:rPr>
          <w:rFonts w:ascii="Cambria" w:eastAsia="Cambria" w:hAnsi="Cambria" w:cs="Cambria"/>
          <w:b/>
          <w:sz w:val="20"/>
          <w:szCs w:val="20"/>
        </w:rPr>
      </w:pPr>
      <w:r w:rsidRPr="0078630F">
        <w:rPr>
          <w:rFonts w:ascii="Cambria" w:eastAsia="Cambria" w:hAnsi="Cambria" w:cs="Cambria"/>
          <w:b/>
          <w:sz w:val="20"/>
          <w:szCs w:val="20"/>
        </w:rPr>
        <w:t>EL ÓRGANO DE ADMINISTRACIÓN MANIFIESTA, CON CARÁCTER DE DECLARACIÓN JURADA, QUE EL PRESENTE PROSPECTO</w:t>
      </w:r>
      <w:r w:rsidR="00A406DC">
        <w:rPr>
          <w:rFonts w:ascii="Cambria" w:eastAsia="Cambria" w:hAnsi="Cambria" w:cs="Cambria"/>
          <w:b/>
          <w:sz w:val="20"/>
          <w:szCs w:val="20"/>
        </w:rPr>
        <w:t xml:space="preserve"> RESUMIDO</w:t>
      </w:r>
      <w:r w:rsidRPr="0078630F">
        <w:rPr>
          <w:rFonts w:ascii="Cambria" w:eastAsia="Cambria" w:hAnsi="Cambria" w:cs="Cambria"/>
          <w:b/>
          <w:sz w:val="20"/>
          <w:szCs w:val="20"/>
        </w:rPr>
        <w:t xml:space="preserve"> CONTIENE, A LA FECHA DE SU PUBLICACIÓN, INFORMACIÓN VERAZ Y SUFICIENTE SOBRE TODO HECHO RELEVANTE QUE PUEDA AFECTAR LA SITUACIÓN PATRIMONIAL, ECONÓMICA Y FINANCIERA DE LA EMISORA Y DE TODA AQUÉLLA QUE DEBA SER DE CONOCIMIENTO DEL PÚBLICO INVERSOR CON RELACIÓN A LA PRESENTE EMISIÓN, CONFORME LAS NORMAS VIGENTES.</w:t>
      </w:r>
    </w:p>
    <w:p w14:paraId="01486C45" w14:textId="77777777" w:rsidR="0031285E" w:rsidRPr="0078630F" w:rsidRDefault="0031285E" w:rsidP="0031285E">
      <w:pPr>
        <w:spacing w:after="0"/>
        <w:jc w:val="both"/>
        <w:rPr>
          <w:rFonts w:ascii="Cambria" w:eastAsia="Cambria" w:hAnsi="Cambria" w:cs="Cambria"/>
          <w:b/>
          <w:sz w:val="20"/>
          <w:szCs w:val="20"/>
        </w:rPr>
      </w:pPr>
    </w:p>
    <w:p w14:paraId="526E4139" w14:textId="77777777" w:rsidR="0031285E" w:rsidRPr="0078630F" w:rsidRDefault="0031285E" w:rsidP="0031285E">
      <w:pPr>
        <w:spacing w:after="0"/>
        <w:jc w:val="both"/>
        <w:rPr>
          <w:rFonts w:ascii="Cambria" w:eastAsia="Cambria" w:hAnsi="Cambria" w:cs="Cambria"/>
          <w:b/>
          <w:sz w:val="20"/>
          <w:szCs w:val="20"/>
        </w:rPr>
      </w:pPr>
      <w:r w:rsidRPr="0078630F">
        <w:rPr>
          <w:rFonts w:ascii="Cambria" w:eastAsia="Cambria" w:hAnsi="Cambria" w:cs="Cambria"/>
          <w:b/>
          <w:sz w:val="20"/>
          <w:szCs w:val="20"/>
        </w:rPr>
        <w:t>CONFORME CON LO ESTABLECIDO EN EL ARTÍCULO 119 DE LA LEY DE MERCADO DE CAPITALES, LOS EMISORES DE VALORES NEGOCIABLES CON OFERTA PÚBLICA, JUNTO CON LOS INTEGRANTES DE LOS ÓRGANOS DE ADMINISTRACIÓN Y DE FISCALIZACIÓN (ESTOS ÚLTIMOS EN MATERIA DE SU COMPETENCIA), Y EN SU CASO LOS OFERENTES DE LOS VALORES NEGOCIABLES CON RELACIÓN A LA INFORMACIÓN VINCULADA A LOS MISMOS, Y LAS PERSONAS QUE FIRMEN EL PROSPECTO DE UNA EMISIÓN DE VALORES NEGOCIABLES CON OFERTA PÚBLICA, SERÁN RESPONSABLES DE TODA LA INFORMACIÓN INCLUIDA EN LOS PROSPECTOS POR ELLOS REGISTRADOS ANTE LA COMISIÓN NACIONAL DE VALORES. ASIMISMO, CONFORME EL ARTÍCULO 120 DE LA LEY DE MERCADO DE CAPITALES, LAS ENTIDADES Y AGENTES INTERMEDIARIOS EN EL MERCADO QUE PARTICIPEN COMO ORGANIZADORES, O COLOCADORES EN UNA OFERTA PÚBLICA DE VENTA O COMPRA DE VALORES DEBERÁN REVISAR DILIGENTEMENTE LA INFORMACIÓN CONTENIDA EN LOS PROSPECTOS DE LA OFERTA. LOS EXPERTOS O TERCEROS QUE OPINEN SOBRE CIERTAS PARTES DEL PROSPECTO SÓLO SERÁN RESPONSABLES POR LA PARTE DE DICHA INFORMACIÓN SOBRE LA QUE HAN EMITIDO OPINIÓN.</w:t>
      </w:r>
    </w:p>
    <w:p w14:paraId="6AC8FD59" w14:textId="77777777" w:rsidR="0031285E" w:rsidRPr="0078630F" w:rsidRDefault="0031285E" w:rsidP="0031285E">
      <w:pPr>
        <w:spacing w:after="0"/>
        <w:jc w:val="both"/>
        <w:rPr>
          <w:rFonts w:ascii="Cambria" w:eastAsia="Cambria" w:hAnsi="Cambria" w:cs="Cambria"/>
          <w:b/>
          <w:sz w:val="20"/>
          <w:szCs w:val="20"/>
        </w:rPr>
      </w:pPr>
    </w:p>
    <w:p w14:paraId="3BAC3C3D" w14:textId="77777777" w:rsidR="0031285E" w:rsidRPr="0078630F" w:rsidRDefault="0031285E" w:rsidP="0031285E">
      <w:pPr>
        <w:spacing w:after="0"/>
        <w:jc w:val="both"/>
        <w:rPr>
          <w:rFonts w:ascii="Cambria" w:eastAsia="Cambria" w:hAnsi="Cambria" w:cs="Cambria"/>
          <w:b/>
          <w:sz w:val="20"/>
          <w:szCs w:val="20"/>
        </w:rPr>
      </w:pPr>
      <w:r w:rsidRPr="0078630F">
        <w:rPr>
          <w:rFonts w:ascii="Cambria" w:eastAsia="Cambria" w:hAnsi="Cambria" w:cs="Cambria"/>
          <w:b/>
          <w:sz w:val="20"/>
          <w:szCs w:val="20"/>
        </w:rPr>
        <w:t>LOS DIRECTORES Y SÍNDICOS DE LA EMISORA SON ILIMITADA Y SOLIDARIAMENTE RESPONSABLES POR LOS PERJUICIOS QUE LA VIOLACIÓN DE LAS DISPOSICIONES DE LA LEY DE OBLIGACIONES NEGOCIABLES PRODUZCA A LOS OBLIGACIONISTAS, ELLO ATENTO A LO DISPUESTO EN EL ARTÍCULO 34 DE LA LEY DE OBLIGACIONES NEGOCIABLES.</w:t>
      </w:r>
    </w:p>
    <w:p w14:paraId="598FC235" w14:textId="77777777" w:rsidR="0031285E" w:rsidRPr="0078630F" w:rsidRDefault="0031285E" w:rsidP="0031285E">
      <w:pPr>
        <w:spacing w:after="0"/>
        <w:jc w:val="both"/>
        <w:rPr>
          <w:rFonts w:ascii="Cambria" w:eastAsia="Cambria" w:hAnsi="Cambria" w:cs="Cambria"/>
          <w:b/>
          <w:sz w:val="20"/>
          <w:szCs w:val="20"/>
        </w:rPr>
      </w:pPr>
    </w:p>
    <w:p w14:paraId="7B1A411E" w14:textId="77777777" w:rsidR="0031285E" w:rsidRPr="0078630F" w:rsidRDefault="0031285E" w:rsidP="0031285E">
      <w:pPr>
        <w:spacing w:after="0"/>
        <w:jc w:val="both"/>
        <w:rPr>
          <w:rFonts w:ascii="Cambria" w:eastAsia="Cambria" w:hAnsi="Cambria" w:cs="Cambria"/>
          <w:sz w:val="20"/>
          <w:szCs w:val="20"/>
        </w:rPr>
      </w:pPr>
      <w:r w:rsidRPr="0078630F">
        <w:rPr>
          <w:rFonts w:ascii="Cambria" w:eastAsia="Cambria" w:hAnsi="Cambria" w:cs="Cambria"/>
          <w:sz w:val="20"/>
          <w:szCs w:val="20"/>
        </w:rPr>
        <w:t>Las Obligaciones Negociables ser</w:t>
      </w:r>
      <w:r>
        <w:rPr>
          <w:rFonts w:ascii="Cambria" w:eastAsia="Cambria" w:hAnsi="Cambria" w:cs="Cambria"/>
          <w:sz w:val="20"/>
          <w:szCs w:val="20"/>
        </w:rPr>
        <w:t>án</w:t>
      </w:r>
      <w:r w:rsidRPr="0078630F">
        <w:rPr>
          <w:rFonts w:ascii="Cambria" w:eastAsia="Cambria" w:hAnsi="Cambria" w:cs="Cambria"/>
          <w:sz w:val="20"/>
          <w:szCs w:val="20"/>
        </w:rPr>
        <w:t xml:space="preserve"> emitidas bajo este Programa a través de uno o más agentes colocadores designados oportunamente (el “Colocador” o los “Colocadores”), que podrán comprar, en nombre propio, Obligaciones Negociables a la Emisora para su reventa a inversores y a otros compradores a diferentes precios en base a los precios de mercado prevalecientes que el o los Colocadores determinen al momento de la reventa o, sí así se establece, a un precio de oferta fijo. Además, la Emisora podrá convenir con un Colocador que realice sus mejores esfuerzos razonables para colocar las Obligaciones Negociables en carácter de agente de la manera especificada en el Suplemento de Precio correspondiente. Estos Colocadores deberán estar identificados en el Suplemento de Precio correspondiente. La Emisora se reserva el derecho a retirar, cancelar o modificar cualquier oferta de Obligaciones Negociables contemplada en este Prospecto </w:t>
      </w:r>
      <w:r w:rsidR="00A406DC">
        <w:rPr>
          <w:rFonts w:ascii="Cambria" w:eastAsia="Cambria" w:hAnsi="Cambria" w:cs="Cambria"/>
          <w:sz w:val="20"/>
          <w:szCs w:val="20"/>
        </w:rPr>
        <w:t xml:space="preserve">Resumido </w:t>
      </w:r>
      <w:r w:rsidRPr="0078630F">
        <w:rPr>
          <w:rFonts w:ascii="Cambria" w:eastAsia="Cambria" w:hAnsi="Cambria" w:cs="Cambria"/>
          <w:sz w:val="20"/>
          <w:szCs w:val="20"/>
        </w:rPr>
        <w:t>o en cualquier Suplemento de Precio con la debida notificación a los inversores según se establece para cada caso en el Suplemento de Precio correspondiente.</w:t>
      </w:r>
      <w:r>
        <w:rPr>
          <w:rFonts w:ascii="Cambria" w:eastAsia="Cambria" w:hAnsi="Cambria" w:cs="Cambria"/>
          <w:sz w:val="20"/>
          <w:szCs w:val="20"/>
        </w:rPr>
        <w:t xml:space="preserve"> Todo ello de conformidad con lo establecido en Capítulo IV del Título VI de las Normas de la CNV.</w:t>
      </w:r>
    </w:p>
    <w:p w14:paraId="3941223F" w14:textId="77777777" w:rsidR="0031285E" w:rsidRPr="0078630F" w:rsidRDefault="0031285E" w:rsidP="0031285E">
      <w:pPr>
        <w:spacing w:after="0"/>
        <w:jc w:val="both"/>
        <w:rPr>
          <w:rFonts w:ascii="Cambria" w:eastAsia="Cambria" w:hAnsi="Cambria" w:cs="Cambria"/>
          <w:sz w:val="20"/>
          <w:szCs w:val="20"/>
        </w:rPr>
      </w:pPr>
    </w:p>
    <w:p w14:paraId="12CB9897" w14:textId="77777777" w:rsidR="0031285E" w:rsidRPr="0078630F" w:rsidRDefault="0031285E" w:rsidP="0031285E">
      <w:pPr>
        <w:spacing w:after="0"/>
        <w:jc w:val="both"/>
        <w:rPr>
          <w:rFonts w:ascii="Cambria" w:eastAsia="Cambria" w:hAnsi="Cambria" w:cs="Cambria"/>
          <w:sz w:val="20"/>
          <w:szCs w:val="20"/>
        </w:rPr>
      </w:pPr>
      <w:r w:rsidRPr="0078630F">
        <w:rPr>
          <w:rFonts w:ascii="Cambria" w:eastAsia="Cambria" w:hAnsi="Cambria" w:cs="Cambria"/>
          <w:sz w:val="20"/>
          <w:szCs w:val="20"/>
        </w:rPr>
        <w:t>La Emisora es responsable por la información incluida en este Prospecto</w:t>
      </w:r>
      <w:r w:rsidR="00A406DC">
        <w:rPr>
          <w:rFonts w:ascii="Cambria" w:eastAsia="Cambria" w:hAnsi="Cambria" w:cs="Cambria"/>
          <w:sz w:val="20"/>
          <w:szCs w:val="20"/>
        </w:rPr>
        <w:t xml:space="preserve"> Resumido, el Prospecto</w:t>
      </w:r>
      <w:r w:rsidRPr="0078630F">
        <w:rPr>
          <w:rFonts w:ascii="Cambria" w:eastAsia="Cambria" w:hAnsi="Cambria" w:cs="Cambria"/>
          <w:sz w:val="20"/>
          <w:szCs w:val="20"/>
        </w:rPr>
        <w:t xml:space="preserve"> y en los Suplementos de Precio. La Emisora no ha autorizado y los Colocadores, si hubieran, no han autorizado a ningún tercero a suministrar otro tipo de información que no sea la información contenida en este Prospecto</w:t>
      </w:r>
      <w:r w:rsidR="00A406DC">
        <w:rPr>
          <w:rFonts w:ascii="Cambria" w:eastAsia="Cambria" w:hAnsi="Cambria" w:cs="Cambria"/>
          <w:sz w:val="20"/>
          <w:szCs w:val="20"/>
        </w:rPr>
        <w:t xml:space="preserve"> Resumido, el Prospecto</w:t>
      </w:r>
      <w:r w:rsidRPr="0078630F">
        <w:rPr>
          <w:rFonts w:ascii="Cambria" w:eastAsia="Cambria" w:hAnsi="Cambria" w:cs="Cambria"/>
          <w:sz w:val="20"/>
          <w:szCs w:val="20"/>
        </w:rPr>
        <w:t xml:space="preserve"> y en el Suplemento de Precio respectivo. Ni la Emisora ni los Colocadores, si hubiera, asumirán responsabilidad alguna por cualquier información no incluida en este Prospecto</w:t>
      </w:r>
      <w:r w:rsidR="00BD52BA">
        <w:rPr>
          <w:rFonts w:ascii="Cambria" w:eastAsia="Cambria" w:hAnsi="Cambria" w:cs="Cambria"/>
          <w:sz w:val="20"/>
          <w:szCs w:val="20"/>
        </w:rPr>
        <w:t xml:space="preserve"> Resumido, el Prospecto</w:t>
      </w:r>
      <w:r w:rsidRPr="0078630F">
        <w:rPr>
          <w:rFonts w:ascii="Cambria" w:eastAsia="Cambria" w:hAnsi="Cambria" w:cs="Cambria"/>
          <w:sz w:val="20"/>
          <w:szCs w:val="20"/>
        </w:rPr>
        <w:t xml:space="preserve"> y en los Suplementos de Precio. La información contenida en este Prospecto </w:t>
      </w:r>
      <w:r w:rsidR="00BD52BA">
        <w:rPr>
          <w:rFonts w:ascii="Cambria" w:eastAsia="Cambria" w:hAnsi="Cambria" w:cs="Cambria"/>
          <w:sz w:val="20"/>
          <w:szCs w:val="20"/>
        </w:rPr>
        <w:t xml:space="preserve">Resumido, el Prospecto </w:t>
      </w:r>
      <w:r w:rsidRPr="0078630F">
        <w:rPr>
          <w:rFonts w:ascii="Cambria" w:eastAsia="Cambria" w:hAnsi="Cambria" w:cs="Cambria"/>
          <w:sz w:val="20"/>
          <w:szCs w:val="20"/>
        </w:rPr>
        <w:t>y en los Suplementos de Precio se basa en información provista por la Emisora y por otras fuentes que la Emisora considera confiables y es exacta únicamente a la fecha del presente o a la fecha de cada Suplemento de Precio (según corresponda), independientemente de la fecha de entrega de este Prospecto</w:t>
      </w:r>
      <w:r w:rsidR="00BD52BA">
        <w:rPr>
          <w:rFonts w:ascii="Cambria" w:eastAsia="Cambria" w:hAnsi="Cambria" w:cs="Cambria"/>
          <w:sz w:val="20"/>
          <w:szCs w:val="20"/>
        </w:rPr>
        <w:t xml:space="preserve"> Resumido</w:t>
      </w:r>
      <w:r w:rsidRPr="0078630F">
        <w:rPr>
          <w:rFonts w:ascii="Cambria" w:eastAsia="Cambria" w:hAnsi="Cambria" w:cs="Cambria"/>
          <w:sz w:val="20"/>
          <w:szCs w:val="20"/>
        </w:rPr>
        <w:t>,</w:t>
      </w:r>
      <w:r w:rsidR="00BD52BA">
        <w:rPr>
          <w:rFonts w:ascii="Cambria" w:eastAsia="Cambria" w:hAnsi="Cambria" w:cs="Cambria"/>
          <w:sz w:val="20"/>
          <w:szCs w:val="20"/>
        </w:rPr>
        <w:t xml:space="preserve"> el Prospecto, y</w:t>
      </w:r>
      <w:r w:rsidRPr="0078630F">
        <w:rPr>
          <w:rFonts w:ascii="Cambria" w:eastAsia="Cambria" w:hAnsi="Cambria" w:cs="Cambria"/>
          <w:sz w:val="20"/>
          <w:szCs w:val="20"/>
        </w:rPr>
        <w:t xml:space="preserve"> el Suplemento de Precio respectivo o de oferta o suscripción de las Obligaciones Negociables. Ni la Emisora ni los Colocadores, si hubieran, han verificado en forma independiente la información obtenida de terceros.</w:t>
      </w:r>
    </w:p>
    <w:p w14:paraId="27A99A32" w14:textId="77777777" w:rsidR="0031285E" w:rsidRPr="0078630F" w:rsidRDefault="0031285E" w:rsidP="0031285E">
      <w:pPr>
        <w:spacing w:after="0"/>
        <w:jc w:val="both"/>
        <w:rPr>
          <w:rFonts w:ascii="Cambria" w:eastAsia="Cambria" w:hAnsi="Cambria" w:cs="Cambria"/>
          <w:sz w:val="20"/>
          <w:szCs w:val="20"/>
        </w:rPr>
      </w:pPr>
    </w:p>
    <w:p w14:paraId="308D32A0" w14:textId="77777777" w:rsidR="0031285E" w:rsidRPr="0078630F" w:rsidRDefault="0031285E" w:rsidP="0031285E">
      <w:pPr>
        <w:spacing w:after="0"/>
        <w:jc w:val="both"/>
        <w:rPr>
          <w:rFonts w:ascii="Cambria" w:eastAsia="Cambria" w:hAnsi="Cambria" w:cs="Cambria"/>
          <w:sz w:val="20"/>
          <w:szCs w:val="20"/>
        </w:rPr>
      </w:pPr>
      <w:r w:rsidRPr="0078630F">
        <w:rPr>
          <w:rFonts w:ascii="Cambria" w:eastAsia="Cambria" w:hAnsi="Cambria" w:cs="Cambria"/>
          <w:sz w:val="20"/>
          <w:szCs w:val="20"/>
        </w:rPr>
        <w:t>La decisión de invertir en las Obligaciones Negociables deberá basarse en el propio análisis de la Emisora y los términos y condiciones de la oferta, inclusive los méritos y riesgos inherentes, que debe realizar cada inversor. No debe considerarse que este Prospecto</w:t>
      </w:r>
      <w:r w:rsidR="00BD52BA">
        <w:rPr>
          <w:rFonts w:ascii="Cambria" w:eastAsia="Cambria" w:hAnsi="Cambria" w:cs="Cambria"/>
          <w:sz w:val="20"/>
          <w:szCs w:val="20"/>
        </w:rPr>
        <w:t xml:space="preserve"> Resumido, el Prospecto</w:t>
      </w:r>
      <w:r w:rsidRPr="0078630F">
        <w:rPr>
          <w:rFonts w:ascii="Cambria" w:eastAsia="Cambria" w:hAnsi="Cambria" w:cs="Cambria"/>
          <w:sz w:val="20"/>
          <w:szCs w:val="20"/>
        </w:rPr>
        <w:t xml:space="preserve"> y los Suplementos de Precio ofrecen asesoramiento en materia legal, comercial, financiera o impositiva. Se recomienda a los potenciales inversores consultar a sus propios asesores legales, financieros, de negocios o fiscales. Este Prospecto</w:t>
      </w:r>
      <w:r w:rsidR="007C42DB">
        <w:rPr>
          <w:rFonts w:ascii="Cambria" w:eastAsia="Cambria" w:hAnsi="Cambria" w:cs="Cambria"/>
          <w:sz w:val="20"/>
          <w:szCs w:val="20"/>
        </w:rPr>
        <w:t xml:space="preserve"> Resumido, el Prospecto</w:t>
      </w:r>
      <w:r w:rsidRPr="0078630F">
        <w:rPr>
          <w:rFonts w:ascii="Cambria" w:eastAsia="Cambria" w:hAnsi="Cambria" w:cs="Cambria"/>
          <w:sz w:val="20"/>
          <w:szCs w:val="20"/>
        </w:rPr>
        <w:t xml:space="preserve"> y los Suplementos de Precio sólo podrán utilizarse para la finalidad para la que son publicados y no constituye una invitación de la Emisora o de los Colocadores, si hubiera, a suscribir o comprar Obligaciones Negociables. </w:t>
      </w:r>
    </w:p>
    <w:p w14:paraId="33DC0263" w14:textId="77777777" w:rsidR="0031285E" w:rsidRPr="0078630F" w:rsidRDefault="0031285E" w:rsidP="0031285E">
      <w:pPr>
        <w:spacing w:after="0"/>
        <w:jc w:val="both"/>
        <w:rPr>
          <w:rFonts w:ascii="Cambria" w:eastAsia="Cambria" w:hAnsi="Cambria" w:cs="Cambria"/>
          <w:sz w:val="20"/>
          <w:szCs w:val="20"/>
        </w:rPr>
      </w:pPr>
    </w:p>
    <w:p w14:paraId="1A5456C6" w14:textId="77777777" w:rsidR="0031285E" w:rsidRPr="0078630F" w:rsidRDefault="0031285E" w:rsidP="0031285E">
      <w:pPr>
        <w:spacing w:after="0"/>
        <w:jc w:val="both"/>
        <w:rPr>
          <w:rFonts w:ascii="Cambria" w:eastAsia="Cambria" w:hAnsi="Cambria" w:cs="Cambria"/>
          <w:sz w:val="20"/>
          <w:szCs w:val="20"/>
        </w:rPr>
      </w:pPr>
      <w:r w:rsidRPr="0078630F">
        <w:rPr>
          <w:rFonts w:ascii="Cambria" w:eastAsia="Cambria" w:hAnsi="Cambria" w:cs="Cambria"/>
          <w:sz w:val="20"/>
          <w:szCs w:val="20"/>
        </w:rPr>
        <w:t>La distribución de este Prospecto</w:t>
      </w:r>
      <w:r w:rsidR="00BD52BA">
        <w:rPr>
          <w:rFonts w:ascii="Cambria" w:eastAsia="Cambria" w:hAnsi="Cambria" w:cs="Cambria"/>
          <w:sz w:val="20"/>
          <w:szCs w:val="20"/>
        </w:rPr>
        <w:t xml:space="preserve"> Resumido, el Prospecto</w:t>
      </w:r>
      <w:r w:rsidRPr="0078630F">
        <w:rPr>
          <w:rFonts w:ascii="Cambria" w:eastAsia="Cambria" w:hAnsi="Cambria" w:cs="Cambria"/>
          <w:sz w:val="20"/>
          <w:szCs w:val="20"/>
        </w:rPr>
        <w:t xml:space="preserve"> o cualquier parte </w:t>
      </w:r>
      <w:proofErr w:type="gramStart"/>
      <w:r w:rsidRPr="0078630F">
        <w:rPr>
          <w:rFonts w:ascii="Cambria" w:eastAsia="Cambria" w:hAnsi="Cambria" w:cs="Cambria"/>
          <w:sz w:val="20"/>
          <w:szCs w:val="20"/>
        </w:rPr>
        <w:t>del mismo</w:t>
      </w:r>
      <w:proofErr w:type="gramEnd"/>
      <w:r w:rsidRPr="0078630F">
        <w:rPr>
          <w:rFonts w:ascii="Cambria" w:eastAsia="Cambria" w:hAnsi="Cambria" w:cs="Cambria"/>
          <w:sz w:val="20"/>
          <w:szCs w:val="20"/>
        </w:rPr>
        <w:t>, inclusive cualquier Suplemento de Precio y la oferta, venta y entrega de las Obligaciones Negociables en ciertas jurisdicciones puede estar restringida por ley. La Emisora y los Colocadores solicitan a los destinatarios del presente Prospecto</w:t>
      </w:r>
      <w:r w:rsidR="00BD52BA">
        <w:rPr>
          <w:rFonts w:ascii="Cambria" w:eastAsia="Cambria" w:hAnsi="Cambria" w:cs="Cambria"/>
          <w:sz w:val="20"/>
          <w:szCs w:val="20"/>
        </w:rPr>
        <w:t xml:space="preserve"> Resumido</w:t>
      </w:r>
      <w:r w:rsidRPr="0078630F">
        <w:rPr>
          <w:rFonts w:ascii="Cambria" w:eastAsia="Cambria" w:hAnsi="Cambria" w:cs="Cambria"/>
          <w:sz w:val="20"/>
          <w:szCs w:val="20"/>
        </w:rPr>
        <w:t xml:space="preserve"> que analicen y cumplan con tales restricciones. </w:t>
      </w:r>
    </w:p>
    <w:p w14:paraId="3091B65C" w14:textId="77777777" w:rsidR="0031285E" w:rsidRPr="0078630F" w:rsidRDefault="0031285E" w:rsidP="0031285E">
      <w:pPr>
        <w:spacing w:after="0"/>
        <w:jc w:val="both"/>
        <w:rPr>
          <w:rFonts w:ascii="Cambria" w:eastAsia="Cambria" w:hAnsi="Cambria" w:cs="Cambria"/>
          <w:sz w:val="20"/>
          <w:szCs w:val="20"/>
        </w:rPr>
      </w:pPr>
    </w:p>
    <w:p w14:paraId="610DA563" w14:textId="77777777" w:rsidR="0031285E" w:rsidRPr="0078630F" w:rsidRDefault="0031285E" w:rsidP="0031285E">
      <w:pPr>
        <w:spacing w:after="0"/>
        <w:jc w:val="both"/>
        <w:rPr>
          <w:rFonts w:ascii="Cambria" w:eastAsia="Cambria" w:hAnsi="Cambria" w:cs="Cambria"/>
          <w:sz w:val="20"/>
          <w:szCs w:val="20"/>
        </w:rPr>
      </w:pPr>
      <w:r w:rsidRPr="0078630F">
        <w:rPr>
          <w:rFonts w:ascii="Cambria" w:eastAsia="Cambria" w:hAnsi="Cambria" w:cs="Cambria"/>
          <w:sz w:val="20"/>
          <w:szCs w:val="20"/>
        </w:rPr>
        <w:t xml:space="preserve">Las Obligaciones Negociables no han sido recomendadas por ninguna comisión de valores o autoridad regulatoria estadounidense federal ni estadual. Además, tales autoridades no han confirmado la exactitud ni determinado la adecuación de este documento. Toda manifestación en contrario constituye un delito. </w:t>
      </w:r>
    </w:p>
    <w:p w14:paraId="638EA91E" w14:textId="77777777" w:rsidR="0031285E" w:rsidRPr="0078630F" w:rsidRDefault="0031285E" w:rsidP="0031285E">
      <w:pPr>
        <w:spacing w:after="0"/>
        <w:jc w:val="both"/>
        <w:rPr>
          <w:rFonts w:ascii="Cambria" w:eastAsia="Cambria" w:hAnsi="Cambria" w:cs="Cambria"/>
          <w:sz w:val="20"/>
          <w:szCs w:val="20"/>
        </w:rPr>
      </w:pPr>
    </w:p>
    <w:p w14:paraId="72FAE226" w14:textId="77777777" w:rsidR="0031285E" w:rsidRPr="0078630F" w:rsidRDefault="0031285E" w:rsidP="0031285E">
      <w:pPr>
        <w:spacing w:after="0"/>
        <w:jc w:val="both"/>
        <w:rPr>
          <w:rFonts w:ascii="Cambria" w:eastAsia="Cambria" w:hAnsi="Cambria" w:cs="Cambria"/>
          <w:sz w:val="20"/>
          <w:szCs w:val="20"/>
        </w:rPr>
      </w:pPr>
      <w:r w:rsidRPr="0078630F">
        <w:rPr>
          <w:rFonts w:ascii="Cambria" w:eastAsia="Cambria" w:hAnsi="Cambria" w:cs="Cambria"/>
          <w:sz w:val="20"/>
          <w:szCs w:val="20"/>
        </w:rPr>
        <w:t xml:space="preserve">En relación con la emisión de las Obligaciones Negociables, el o los Colocadores, si los hubiera, y/o cualquier otro intermediario que participe en la colocación de las mismas por cuenta propia o por cuenta de la Emisora, podrán, de acuerdo a lo que se reglamente en el Suplemento de Precio correspondiente, sobreadjudicar o efectuar operaciones que estabilicen o mantengan el precio de mercado de las Obligaciones Negociables ofrecidas a un nivel por encima del que prevalecería de otro modo en el mercado. Tales operaciones podrán efectuarse en los mercados bursátiles, extrabursátiles o de otro modo </w:t>
      </w:r>
      <w:proofErr w:type="gramStart"/>
      <w:r w:rsidRPr="0078630F">
        <w:rPr>
          <w:rFonts w:ascii="Cambria" w:eastAsia="Cambria" w:hAnsi="Cambria" w:cs="Cambria"/>
          <w:sz w:val="20"/>
          <w:szCs w:val="20"/>
        </w:rPr>
        <w:t>de acuerdo a</w:t>
      </w:r>
      <w:proofErr w:type="gramEnd"/>
      <w:r w:rsidRPr="0078630F">
        <w:rPr>
          <w:rFonts w:ascii="Cambria" w:eastAsia="Cambria" w:hAnsi="Cambria" w:cs="Cambria"/>
          <w:sz w:val="20"/>
          <w:szCs w:val="20"/>
        </w:rPr>
        <w:t xml:space="preserve"> las normas aplicables vigentes. Dicha estabilización, en caso de iniciarse, podrá ser suspendida en cualquier momento y se desarrollará dentro del plazo y en las condiciones que sean descriptas en el Suplemento de Precio correspondiente a cada clase y/o serie, todo ello de conformidad con las normas aplicables vigentes.</w:t>
      </w:r>
    </w:p>
    <w:p w14:paraId="1DC2CE7B" w14:textId="77777777" w:rsidR="0031285E" w:rsidRPr="0078630F" w:rsidRDefault="0031285E" w:rsidP="0031285E">
      <w:pPr>
        <w:spacing w:after="0"/>
        <w:jc w:val="both"/>
        <w:rPr>
          <w:rFonts w:ascii="Cambria" w:eastAsia="Cambria" w:hAnsi="Cambria" w:cs="Cambria"/>
          <w:sz w:val="20"/>
          <w:szCs w:val="20"/>
        </w:rPr>
      </w:pPr>
    </w:p>
    <w:p w14:paraId="55781621" w14:textId="77777777" w:rsidR="0031285E" w:rsidRPr="0078630F" w:rsidRDefault="0031285E" w:rsidP="0031285E">
      <w:pPr>
        <w:spacing w:after="0"/>
        <w:jc w:val="both"/>
        <w:rPr>
          <w:rFonts w:ascii="Cambria" w:eastAsia="Cambria" w:hAnsi="Cambria" w:cs="Cambria"/>
          <w:sz w:val="20"/>
          <w:szCs w:val="20"/>
        </w:rPr>
      </w:pPr>
      <w:r w:rsidRPr="0078630F">
        <w:rPr>
          <w:rFonts w:ascii="Cambria" w:eastAsia="Cambria" w:hAnsi="Cambria" w:cs="Cambria"/>
          <w:sz w:val="20"/>
          <w:szCs w:val="20"/>
        </w:rPr>
        <w:t>En cada Suplemento de Precio, el o los Colocadores deberán indicar si llevarán a cabo operaciones de estabilización</w:t>
      </w:r>
      <w:r>
        <w:rPr>
          <w:rFonts w:ascii="Cambria" w:eastAsia="Cambria" w:hAnsi="Cambria" w:cs="Cambria"/>
          <w:sz w:val="20"/>
          <w:szCs w:val="20"/>
        </w:rPr>
        <w:t xml:space="preserve"> </w:t>
      </w:r>
      <w:r w:rsidRPr="00C3274F">
        <w:rPr>
          <w:rFonts w:ascii="Cambria" w:eastAsia="Cambria" w:hAnsi="Cambria" w:cs="Cambria"/>
          <w:sz w:val="20"/>
          <w:szCs w:val="20"/>
        </w:rPr>
        <w:t xml:space="preserve">una vez que </w:t>
      </w:r>
      <w:r>
        <w:rPr>
          <w:rFonts w:ascii="Cambria" w:eastAsia="Cambria" w:hAnsi="Cambria" w:cs="Cambria"/>
          <w:sz w:val="20"/>
          <w:szCs w:val="20"/>
        </w:rPr>
        <w:t xml:space="preserve">las Obligaciones Negociables </w:t>
      </w:r>
      <w:r w:rsidRPr="00C3274F">
        <w:rPr>
          <w:rFonts w:ascii="Cambria" w:eastAsia="Cambria" w:hAnsi="Cambria" w:cs="Cambria"/>
          <w:sz w:val="20"/>
          <w:szCs w:val="20"/>
        </w:rPr>
        <w:t>ingresen en la negociación secundaria</w:t>
      </w:r>
      <w:r>
        <w:rPr>
          <w:rFonts w:ascii="Cambria" w:eastAsia="Cambria" w:hAnsi="Cambria" w:cs="Cambria"/>
          <w:sz w:val="20"/>
          <w:szCs w:val="20"/>
        </w:rPr>
        <w:t>,</w:t>
      </w:r>
      <w:r w:rsidRPr="00C3274F">
        <w:rPr>
          <w:rFonts w:ascii="Cambria" w:eastAsia="Cambria" w:hAnsi="Cambria" w:cs="Cambria"/>
          <w:sz w:val="20"/>
          <w:szCs w:val="20"/>
        </w:rPr>
        <w:t xml:space="preserve"> </w:t>
      </w:r>
      <w:r w:rsidRPr="00E14C2A">
        <w:rPr>
          <w:rFonts w:ascii="Cambria" w:eastAsia="Cambria" w:hAnsi="Cambria" w:cs="Cambria"/>
          <w:sz w:val="20"/>
          <w:szCs w:val="20"/>
        </w:rPr>
        <w:t>con el objeto de estabilizar, fijar o mantener el precio de las Obligaciones Negociables</w:t>
      </w:r>
      <w:r>
        <w:rPr>
          <w:rFonts w:ascii="Cambria" w:eastAsia="Cambria" w:hAnsi="Cambria" w:cs="Cambria"/>
          <w:sz w:val="20"/>
          <w:szCs w:val="20"/>
        </w:rPr>
        <w:t xml:space="preserve">, de conformidad con lo establecido en </w:t>
      </w:r>
      <w:r w:rsidRPr="00B8069F">
        <w:rPr>
          <w:rFonts w:ascii="Cambria" w:eastAsia="Cambria" w:hAnsi="Cambria" w:cs="Cambria"/>
          <w:sz w:val="20"/>
          <w:szCs w:val="20"/>
        </w:rPr>
        <w:t>el artículo 12 de</w:t>
      </w:r>
      <w:r>
        <w:rPr>
          <w:rFonts w:ascii="Cambria" w:eastAsia="Cambria" w:hAnsi="Cambria" w:cs="Cambria"/>
          <w:sz w:val="20"/>
          <w:szCs w:val="20"/>
        </w:rPr>
        <w:t xml:space="preserve"> </w:t>
      </w:r>
      <w:r w:rsidRPr="00B8069F">
        <w:rPr>
          <w:rFonts w:ascii="Cambria" w:eastAsia="Cambria" w:hAnsi="Cambria" w:cs="Cambria"/>
          <w:sz w:val="20"/>
          <w:szCs w:val="20"/>
        </w:rPr>
        <w:t>l</w:t>
      </w:r>
      <w:r>
        <w:rPr>
          <w:rFonts w:ascii="Cambria" w:eastAsia="Cambria" w:hAnsi="Cambria" w:cs="Cambria"/>
          <w:sz w:val="20"/>
          <w:szCs w:val="20"/>
        </w:rPr>
        <w:t>a Sección IV del</w:t>
      </w:r>
      <w:r w:rsidRPr="00B8069F">
        <w:rPr>
          <w:rFonts w:ascii="Cambria" w:eastAsia="Cambria" w:hAnsi="Cambria" w:cs="Cambria"/>
          <w:sz w:val="20"/>
          <w:szCs w:val="20"/>
        </w:rPr>
        <w:t xml:space="preserve"> Capítulo IV del Título VI de las Normas de la CNV</w:t>
      </w:r>
      <w:r w:rsidRPr="006E4259">
        <w:rPr>
          <w:rFonts w:ascii="Cambria" w:hAnsi="Cambria"/>
          <w:sz w:val="20"/>
        </w:rPr>
        <w:t>.</w:t>
      </w:r>
      <w:r w:rsidRPr="0078630F">
        <w:rPr>
          <w:rFonts w:ascii="Cambria" w:eastAsia="Cambria" w:hAnsi="Cambria" w:cs="Cambria"/>
          <w:sz w:val="20"/>
          <w:szCs w:val="20"/>
        </w:rPr>
        <w:t xml:space="preserve"> </w:t>
      </w:r>
      <w:r>
        <w:rPr>
          <w:rFonts w:ascii="Cambria" w:eastAsia="Cambria" w:hAnsi="Cambria" w:cs="Cambria"/>
          <w:sz w:val="20"/>
          <w:szCs w:val="20"/>
        </w:rPr>
        <w:t>Dichas operaciones deberán ajustarse a las siguientes condiciones:</w:t>
      </w:r>
      <w:r w:rsidRPr="00AF3E22">
        <w:rPr>
          <w:rFonts w:ascii="Cambria" w:eastAsia="Cambria" w:hAnsi="Cambria" w:cs="Cambria"/>
          <w:sz w:val="20"/>
          <w:szCs w:val="20"/>
        </w:rPr>
        <w:t xml:space="preserve"> (i) las operaciones </w:t>
      </w:r>
      <w:r>
        <w:rPr>
          <w:rFonts w:ascii="Cambria" w:eastAsia="Cambria" w:hAnsi="Cambria" w:cs="Cambria"/>
          <w:sz w:val="20"/>
          <w:szCs w:val="20"/>
        </w:rPr>
        <w:t xml:space="preserve">solo </w:t>
      </w:r>
      <w:r w:rsidRPr="00AF3E22">
        <w:rPr>
          <w:rFonts w:ascii="Cambria" w:eastAsia="Cambria" w:hAnsi="Cambria" w:cs="Cambria"/>
          <w:sz w:val="20"/>
          <w:szCs w:val="20"/>
        </w:rPr>
        <w:t xml:space="preserve">podrán ser realizadas por agentes que hayan participado en la organización y coordinación de la colocación y distribución de </w:t>
      </w:r>
      <w:r>
        <w:rPr>
          <w:rFonts w:ascii="Cambria" w:eastAsia="Cambria" w:hAnsi="Cambria" w:cs="Cambria"/>
          <w:sz w:val="20"/>
          <w:szCs w:val="20"/>
        </w:rPr>
        <w:t>las Obligaciones Negociables;</w:t>
      </w:r>
      <w:r w:rsidRPr="00AF3E22">
        <w:rPr>
          <w:rFonts w:ascii="Cambria" w:eastAsia="Cambria" w:hAnsi="Cambria" w:cs="Cambria"/>
          <w:sz w:val="20"/>
          <w:szCs w:val="20"/>
        </w:rPr>
        <w:t xml:space="preserve"> (ii) las operaciones no podrán extenderse </w:t>
      </w:r>
      <w:r w:rsidRPr="00AF3E22">
        <w:rPr>
          <w:rFonts w:ascii="Cambria" w:eastAsia="Cambria" w:hAnsi="Cambria" w:cs="Cambria"/>
          <w:sz w:val="20"/>
          <w:szCs w:val="20"/>
        </w:rPr>
        <w:lastRenderedPageBreak/>
        <w:t>más allá de los primeros 30 días corridos desde el primer día en el cual se haya iniciado la negociación secundaria de las Obligaciones Negociables en el m</w:t>
      </w:r>
      <w:r>
        <w:rPr>
          <w:rFonts w:ascii="Cambria" w:eastAsia="Cambria" w:hAnsi="Cambria" w:cs="Cambria"/>
          <w:sz w:val="20"/>
          <w:szCs w:val="20"/>
        </w:rPr>
        <w:t>ercado;</w:t>
      </w:r>
      <w:r w:rsidRPr="00AF3E22">
        <w:rPr>
          <w:rFonts w:ascii="Cambria" w:eastAsia="Cambria" w:hAnsi="Cambria" w:cs="Cambria"/>
          <w:sz w:val="20"/>
          <w:szCs w:val="20"/>
        </w:rPr>
        <w:t xml:space="preserve"> (iii) podrán realizarse operaciones de estabilización destinadas a evitar o moderar alteraciones bruscas en el precio al cual se negocien las Obligaciones Negociables que han sido objeto de colocación primaria por medio del sistema de formación de libro o por subasta o licitación pública</w:t>
      </w:r>
      <w:r>
        <w:rPr>
          <w:rFonts w:ascii="Cambria" w:eastAsia="Cambria" w:hAnsi="Cambria" w:cs="Cambria"/>
          <w:sz w:val="20"/>
          <w:szCs w:val="20"/>
        </w:rPr>
        <w:t>;</w:t>
      </w:r>
      <w:r w:rsidRPr="00AF3E22">
        <w:rPr>
          <w:rFonts w:ascii="Cambria" w:eastAsia="Cambria" w:hAnsi="Cambria" w:cs="Cambria"/>
          <w:sz w:val="20"/>
          <w:szCs w:val="20"/>
        </w:rPr>
        <w:t xml:space="preserve"> (iv) ninguna operación de estabilización que se realice en el período autorizado podrá efectuarse a precios superiores a aquellos a los que se hayan negociado las Obligaciones Negociables en los mercados autorizados, en operaciones entre partes no vinculadas con las actividades de organizació</w:t>
      </w:r>
      <w:r>
        <w:rPr>
          <w:rFonts w:ascii="Cambria" w:eastAsia="Cambria" w:hAnsi="Cambria" w:cs="Cambria"/>
          <w:sz w:val="20"/>
          <w:szCs w:val="20"/>
        </w:rPr>
        <w:t>n, colocación y distribución;</w:t>
      </w:r>
      <w:r w:rsidRPr="00AF3E22">
        <w:rPr>
          <w:rFonts w:ascii="Cambria" w:eastAsia="Cambria" w:hAnsi="Cambria" w:cs="Cambria"/>
          <w:sz w:val="20"/>
          <w:szCs w:val="20"/>
        </w:rPr>
        <w:t xml:space="preserve"> (v) los agentes que realicen operaciones en los términos antes indicados, deberán informar a los mercados la indivi</w:t>
      </w:r>
      <w:r>
        <w:rPr>
          <w:rFonts w:ascii="Cambria" w:eastAsia="Cambria" w:hAnsi="Cambria" w:cs="Cambria"/>
          <w:sz w:val="20"/>
          <w:szCs w:val="20"/>
        </w:rPr>
        <w:t>dualización de las mismas; y</w:t>
      </w:r>
      <w:r w:rsidRPr="00AF3E22">
        <w:rPr>
          <w:rFonts w:ascii="Cambria" w:eastAsia="Cambria" w:hAnsi="Cambria" w:cs="Cambria"/>
          <w:sz w:val="20"/>
          <w:szCs w:val="20"/>
        </w:rPr>
        <w:t xml:space="preserve"> (vi) los mercados deberán hacer públicas las operaciones de estabilización, ya fuere en cada operación individual o al cierre diario de las operaciones.</w:t>
      </w:r>
    </w:p>
    <w:p w14:paraId="7AF5DAD5" w14:textId="77777777" w:rsidR="0031285E" w:rsidRPr="0078630F" w:rsidRDefault="0031285E" w:rsidP="0031285E">
      <w:pPr>
        <w:spacing w:after="0"/>
        <w:jc w:val="both"/>
        <w:rPr>
          <w:rFonts w:ascii="Cambria" w:eastAsia="Cambria" w:hAnsi="Cambria" w:cs="Cambria"/>
          <w:sz w:val="20"/>
          <w:szCs w:val="20"/>
        </w:rPr>
      </w:pPr>
    </w:p>
    <w:p w14:paraId="44D91E55" w14:textId="77777777" w:rsidR="0031285E" w:rsidRDefault="0031285E" w:rsidP="0031285E">
      <w:pPr>
        <w:spacing w:after="0"/>
        <w:jc w:val="both"/>
        <w:rPr>
          <w:rFonts w:ascii="Cambria" w:eastAsia="Cambria" w:hAnsi="Cambria" w:cs="Cambria"/>
          <w:sz w:val="20"/>
          <w:szCs w:val="20"/>
        </w:rPr>
      </w:pPr>
      <w:r w:rsidRPr="0078630F">
        <w:rPr>
          <w:rFonts w:ascii="Cambria" w:eastAsia="Cambria" w:hAnsi="Cambria" w:cs="Cambria"/>
          <w:sz w:val="20"/>
          <w:szCs w:val="20"/>
        </w:rPr>
        <w:t>La Emisora es una sociedad anónima constituida de acuerdo con las leyes de la República Argentina, conforme a la cual los accionistas limitan su responsabilidad a la integración de las acciones suscriptas de acuerdo con la Ley N° 19.550 (junto a sus modificatorias, la “Ley General de Sociedades”). Por consiguiente, y en cumplimiento de la Ley N° 25.738, ningún accionista de la Sociedad (ya sea extranjero o nacional) responde en exceso de la citada integración accionaria, por obligaciones emergentes de las operaciones concertadas por la Emisora y relativas a cualquier emisión de Obligaciones Negociables bajo el Programa.</w:t>
      </w:r>
    </w:p>
    <w:p w14:paraId="586D6D95" w14:textId="77777777" w:rsidR="0031285E" w:rsidRPr="00AA6CF0" w:rsidRDefault="0031285E" w:rsidP="0031285E">
      <w:pPr>
        <w:spacing w:after="0"/>
        <w:jc w:val="both"/>
        <w:rPr>
          <w:rFonts w:ascii="Cambria" w:hAnsi="Cambria"/>
          <w:sz w:val="20"/>
        </w:rPr>
      </w:pPr>
    </w:p>
    <w:p w14:paraId="7911CAA3" w14:textId="77777777" w:rsidR="0031285E" w:rsidRPr="00BD7FAC" w:rsidRDefault="0031285E" w:rsidP="0031285E">
      <w:pPr>
        <w:spacing w:after="0"/>
        <w:jc w:val="both"/>
        <w:rPr>
          <w:rFonts w:ascii="Cambria" w:eastAsia="Cambria" w:hAnsi="Cambria" w:cs="Cambria"/>
          <w:b/>
          <w:sz w:val="20"/>
          <w:szCs w:val="20"/>
        </w:rPr>
      </w:pPr>
      <w:r w:rsidRPr="00F70251">
        <w:rPr>
          <w:rFonts w:ascii="Cambria" w:eastAsia="Cambria" w:hAnsi="Cambria" w:cs="Cambria"/>
          <w:b/>
          <w:sz w:val="20"/>
          <w:szCs w:val="20"/>
        </w:rPr>
        <w:t xml:space="preserve">Se deja constancia con carácter de declaración jurada que ni </w:t>
      </w:r>
      <w:r>
        <w:rPr>
          <w:rFonts w:ascii="Cambria" w:eastAsia="Cambria" w:hAnsi="Cambria" w:cs="Cambria"/>
          <w:b/>
          <w:sz w:val="20"/>
          <w:szCs w:val="20"/>
        </w:rPr>
        <w:t>la Sociedad</w:t>
      </w:r>
      <w:r w:rsidRPr="00F70251">
        <w:rPr>
          <w:rFonts w:ascii="Cambria" w:eastAsia="Cambria" w:hAnsi="Cambria" w:cs="Cambria"/>
          <w:b/>
          <w:sz w:val="20"/>
          <w:szCs w:val="20"/>
        </w:rPr>
        <w:t>, ni sus beneficiarios finales,</w:t>
      </w:r>
      <w:r>
        <w:rPr>
          <w:rFonts w:ascii="Cambria" w:eastAsia="Cambria" w:hAnsi="Cambria" w:cs="Cambria"/>
          <w:b/>
          <w:sz w:val="20"/>
          <w:szCs w:val="20"/>
        </w:rPr>
        <w:t xml:space="preserve"> </w:t>
      </w:r>
      <w:r w:rsidRPr="00F70251">
        <w:rPr>
          <w:rFonts w:ascii="Cambria" w:eastAsia="Cambria" w:hAnsi="Cambria" w:cs="Cambria"/>
          <w:b/>
          <w:sz w:val="20"/>
          <w:szCs w:val="20"/>
        </w:rPr>
        <w:t>ni las personas físicas o jurídicas que tienen como mínimo el veinte (20) por ciento de su capital o de</w:t>
      </w:r>
      <w:r>
        <w:rPr>
          <w:rFonts w:ascii="Cambria" w:eastAsia="Cambria" w:hAnsi="Cambria" w:cs="Cambria"/>
          <w:b/>
          <w:sz w:val="20"/>
          <w:szCs w:val="20"/>
        </w:rPr>
        <w:t xml:space="preserve"> </w:t>
      </w:r>
      <w:r w:rsidRPr="00F70251">
        <w:rPr>
          <w:rFonts w:ascii="Cambria" w:eastAsia="Cambria" w:hAnsi="Cambria" w:cs="Cambria"/>
          <w:b/>
          <w:sz w:val="20"/>
          <w:szCs w:val="20"/>
        </w:rPr>
        <w:t xml:space="preserve">los derechos a voto, o que por otros medios ejercen el control final, directo o indirecto, sobre </w:t>
      </w:r>
      <w:r>
        <w:rPr>
          <w:rFonts w:ascii="Cambria" w:eastAsia="Cambria" w:hAnsi="Cambria" w:cs="Cambria"/>
          <w:b/>
          <w:sz w:val="20"/>
          <w:szCs w:val="20"/>
        </w:rPr>
        <w:t>la Sociedad</w:t>
      </w:r>
      <w:r w:rsidRPr="00F70251">
        <w:rPr>
          <w:rFonts w:ascii="Cambria" w:eastAsia="Cambria" w:hAnsi="Cambria" w:cs="Cambria"/>
          <w:b/>
          <w:sz w:val="20"/>
          <w:szCs w:val="20"/>
        </w:rPr>
        <w:t>, registran condenas por delitos de lavado de activos y/o financiamiento del terrorismo ni figuran en las listas de terroristas y organizaciones terroristas emitidas por el Consejo de Seguridad</w:t>
      </w:r>
      <w:r>
        <w:rPr>
          <w:rFonts w:ascii="Cambria" w:eastAsia="Cambria" w:hAnsi="Cambria" w:cs="Cambria"/>
          <w:b/>
          <w:sz w:val="20"/>
          <w:szCs w:val="20"/>
        </w:rPr>
        <w:t xml:space="preserve"> </w:t>
      </w:r>
      <w:r w:rsidRPr="00F70251">
        <w:rPr>
          <w:rFonts w:ascii="Cambria" w:eastAsia="Cambria" w:hAnsi="Cambria" w:cs="Cambria"/>
          <w:b/>
          <w:sz w:val="20"/>
          <w:szCs w:val="20"/>
        </w:rPr>
        <w:t>de las Naciones Unidas.</w:t>
      </w:r>
    </w:p>
    <w:p w14:paraId="3A97C36E" w14:textId="77777777" w:rsidR="0031285E" w:rsidRPr="0078630F" w:rsidRDefault="0031285E" w:rsidP="0031285E">
      <w:pPr>
        <w:spacing w:after="0"/>
        <w:jc w:val="both"/>
        <w:rPr>
          <w:rFonts w:ascii="Cambria" w:eastAsia="Cambria" w:hAnsi="Cambria" w:cs="Cambria"/>
          <w:b/>
          <w:sz w:val="20"/>
          <w:szCs w:val="20"/>
        </w:rPr>
      </w:pPr>
    </w:p>
    <w:p w14:paraId="6B31224F" w14:textId="77777777" w:rsidR="0031285E" w:rsidRPr="0078630F" w:rsidRDefault="0031285E" w:rsidP="0031285E">
      <w:pPr>
        <w:spacing w:after="0"/>
        <w:jc w:val="both"/>
        <w:rPr>
          <w:rFonts w:ascii="Cambria" w:eastAsia="Cambria" w:hAnsi="Cambria" w:cs="Cambria"/>
          <w:sz w:val="20"/>
          <w:szCs w:val="20"/>
        </w:rPr>
      </w:pPr>
      <w:r w:rsidRPr="0078630F">
        <w:rPr>
          <w:rFonts w:ascii="Cambria" w:eastAsia="Cambria" w:hAnsi="Cambria" w:cs="Cambria"/>
          <w:sz w:val="20"/>
          <w:szCs w:val="20"/>
        </w:rPr>
        <w:t>Podrán solicitarse copias de este Prospecto</w:t>
      </w:r>
      <w:r w:rsidR="00BD52BA">
        <w:rPr>
          <w:rFonts w:ascii="Cambria" w:eastAsia="Cambria" w:hAnsi="Cambria" w:cs="Cambria"/>
          <w:sz w:val="20"/>
          <w:szCs w:val="20"/>
        </w:rPr>
        <w:t xml:space="preserve"> Resumido, el Prospecto</w:t>
      </w:r>
      <w:r w:rsidRPr="0078630F">
        <w:rPr>
          <w:rFonts w:ascii="Cambria" w:eastAsia="Cambria" w:hAnsi="Cambria" w:cs="Cambria"/>
          <w:sz w:val="20"/>
          <w:szCs w:val="20"/>
        </w:rPr>
        <w:t>,</w:t>
      </w:r>
      <w:r w:rsidR="00BD52BA">
        <w:rPr>
          <w:rFonts w:ascii="Cambria" w:eastAsia="Cambria" w:hAnsi="Cambria" w:cs="Cambria"/>
          <w:sz w:val="20"/>
          <w:szCs w:val="20"/>
        </w:rPr>
        <w:t xml:space="preserve"> los</w:t>
      </w:r>
      <w:r w:rsidRPr="0078630F">
        <w:rPr>
          <w:rFonts w:ascii="Cambria" w:eastAsia="Cambria" w:hAnsi="Cambria" w:cs="Cambria"/>
          <w:sz w:val="20"/>
          <w:szCs w:val="20"/>
        </w:rPr>
        <w:t xml:space="preserve"> Suplementos de Precio y Estados Financieros de la Emisora (conforme dicho término se define más adelante) los siguientes domicilios de la Emisora: en Uruguay 4075, (B1644HKG), Victoria, Provincia de Buenos Aires, República Argentina y en la sede social de la Emisora sita en Av. Pte. Manuel Quintana 192, Piso 1º (C1014ACO), Ciudad Autónoma de Buenos Aires, en días hábiles en el horario de 10 a 18hs, teléfono +54 (11) 4340-1100</w:t>
      </w:r>
      <w:r w:rsidRPr="0078630F">
        <w:rPr>
          <w:rFonts w:ascii="Cambria" w:eastAsia="Cambria" w:hAnsi="Cambria" w:cs="Cambria"/>
          <w:b/>
          <w:sz w:val="20"/>
          <w:szCs w:val="20"/>
        </w:rPr>
        <w:t>.</w:t>
      </w:r>
      <w:r w:rsidRPr="0078630F">
        <w:rPr>
          <w:rFonts w:ascii="Cambria" w:eastAsia="Cambria" w:hAnsi="Cambria" w:cs="Cambria"/>
          <w:sz w:val="20"/>
          <w:szCs w:val="20"/>
        </w:rPr>
        <w:t xml:space="preserve"> Asimismo, </w:t>
      </w:r>
      <w:r w:rsidR="00BD52BA">
        <w:rPr>
          <w:rFonts w:ascii="Cambria" w:eastAsia="Cambria" w:hAnsi="Cambria" w:cs="Cambria"/>
          <w:sz w:val="20"/>
          <w:szCs w:val="20"/>
        </w:rPr>
        <w:t xml:space="preserve">la </w:t>
      </w:r>
      <w:r w:rsidRPr="0078630F">
        <w:rPr>
          <w:rFonts w:ascii="Cambria" w:eastAsia="Cambria" w:hAnsi="Cambria" w:cs="Cambria"/>
          <w:sz w:val="20"/>
          <w:szCs w:val="20"/>
        </w:rPr>
        <w:t>copia de este Prospecto</w:t>
      </w:r>
      <w:r w:rsidR="00BD52BA">
        <w:rPr>
          <w:rFonts w:ascii="Cambria" w:eastAsia="Cambria" w:hAnsi="Cambria" w:cs="Cambria"/>
          <w:sz w:val="20"/>
          <w:szCs w:val="20"/>
        </w:rPr>
        <w:t xml:space="preserve"> Resumido</w:t>
      </w:r>
      <w:r w:rsidRPr="0078630F">
        <w:rPr>
          <w:rFonts w:ascii="Cambria" w:eastAsia="Cambria" w:hAnsi="Cambria" w:cs="Cambria"/>
          <w:sz w:val="20"/>
          <w:szCs w:val="20"/>
        </w:rPr>
        <w:t xml:space="preserve"> definitivo estará disponible en </w:t>
      </w:r>
      <w:hyperlink r:id="rId8">
        <w:r w:rsidRPr="0078630F">
          <w:rPr>
            <w:rFonts w:ascii="Cambria" w:eastAsia="Cambria" w:hAnsi="Cambria" w:cs="Cambria"/>
            <w:color w:val="0000FF"/>
            <w:sz w:val="20"/>
            <w:szCs w:val="20"/>
            <w:u w:val="single"/>
          </w:rPr>
          <w:t>www.cnv.gob.ar</w:t>
        </w:r>
      </w:hyperlink>
      <w:r w:rsidRPr="0078630F">
        <w:rPr>
          <w:rFonts w:ascii="Cambria" w:eastAsia="Cambria" w:hAnsi="Cambria" w:cs="Cambria"/>
          <w:color w:val="0000FF"/>
          <w:sz w:val="20"/>
          <w:szCs w:val="20"/>
          <w:u w:val="single"/>
        </w:rPr>
        <w:t>/sitioweb</w:t>
      </w:r>
      <w:r w:rsidRPr="0078630F">
        <w:rPr>
          <w:rFonts w:ascii="Cambria" w:eastAsia="Cambria" w:hAnsi="Cambria" w:cs="Cambria"/>
          <w:sz w:val="20"/>
          <w:szCs w:val="20"/>
        </w:rPr>
        <w:t>.</w:t>
      </w:r>
    </w:p>
    <w:p w14:paraId="56FE1840" w14:textId="77777777" w:rsidR="0031285E" w:rsidRPr="0078630F" w:rsidRDefault="0031285E" w:rsidP="0031285E">
      <w:pPr>
        <w:spacing w:after="0"/>
        <w:jc w:val="both"/>
        <w:rPr>
          <w:rFonts w:ascii="Cambria" w:eastAsia="Cambria" w:hAnsi="Cambria" w:cs="Cambria"/>
          <w:sz w:val="20"/>
          <w:szCs w:val="20"/>
        </w:rPr>
      </w:pPr>
    </w:p>
    <w:p w14:paraId="6CF52A49" w14:textId="77777777" w:rsidR="0031285E" w:rsidRPr="0078630F" w:rsidRDefault="0031285E" w:rsidP="0031285E">
      <w:pPr>
        <w:spacing w:after="0"/>
        <w:jc w:val="both"/>
        <w:rPr>
          <w:rFonts w:ascii="Cambria" w:eastAsia="Cambria" w:hAnsi="Cambria" w:cs="Cambria"/>
          <w:sz w:val="20"/>
          <w:szCs w:val="20"/>
        </w:rPr>
      </w:pPr>
    </w:p>
    <w:p w14:paraId="146426F6" w14:textId="77777777" w:rsidR="0031285E" w:rsidRPr="0078630F" w:rsidRDefault="0031285E" w:rsidP="0031285E">
      <w:pPr>
        <w:spacing w:after="0"/>
        <w:jc w:val="both"/>
        <w:rPr>
          <w:rFonts w:ascii="Cambria" w:eastAsia="Cambria" w:hAnsi="Cambria" w:cs="Cambria"/>
          <w:sz w:val="20"/>
          <w:szCs w:val="20"/>
        </w:rPr>
      </w:pPr>
    </w:p>
    <w:p w14:paraId="61376955" w14:textId="60BD0A3D" w:rsidR="0031285E" w:rsidRPr="0078630F" w:rsidRDefault="0031285E" w:rsidP="0031285E">
      <w:pPr>
        <w:spacing w:after="0"/>
        <w:jc w:val="center"/>
        <w:rPr>
          <w:rFonts w:ascii="Cambria" w:eastAsia="Cambria" w:hAnsi="Cambria" w:cs="Cambria"/>
          <w:sz w:val="20"/>
          <w:szCs w:val="20"/>
        </w:rPr>
      </w:pPr>
      <w:r w:rsidRPr="0078630F">
        <w:rPr>
          <w:rFonts w:ascii="Cambria" w:eastAsia="Cambria" w:hAnsi="Cambria" w:cs="Cambria"/>
          <w:sz w:val="20"/>
          <w:szCs w:val="20"/>
        </w:rPr>
        <w:t>La fecha del Prospecto</w:t>
      </w:r>
      <w:r w:rsidR="009F0116">
        <w:rPr>
          <w:rFonts w:ascii="Cambria" w:eastAsia="Cambria" w:hAnsi="Cambria" w:cs="Cambria"/>
          <w:sz w:val="20"/>
          <w:szCs w:val="20"/>
        </w:rPr>
        <w:t xml:space="preserve"> Resumido</w:t>
      </w:r>
      <w:r w:rsidRPr="0078630F">
        <w:rPr>
          <w:rFonts w:ascii="Cambria" w:eastAsia="Cambria" w:hAnsi="Cambria" w:cs="Cambria"/>
          <w:sz w:val="20"/>
          <w:szCs w:val="20"/>
        </w:rPr>
        <w:t xml:space="preserve"> es </w:t>
      </w:r>
      <w:r w:rsidR="00544A28">
        <w:rPr>
          <w:rFonts w:ascii="Cambria" w:eastAsia="Cambria" w:hAnsi="Cambria" w:cs="Cambria"/>
          <w:sz w:val="20"/>
          <w:szCs w:val="20"/>
        </w:rPr>
        <w:t>30</w:t>
      </w:r>
      <w:r w:rsidRPr="0078630F">
        <w:rPr>
          <w:rFonts w:ascii="Cambria" w:eastAsia="Cambria" w:hAnsi="Cambria" w:cs="Cambria"/>
          <w:b/>
          <w:sz w:val="20"/>
          <w:szCs w:val="20"/>
        </w:rPr>
        <w:t xml:space="preserve"> </w:t>
      </w:r>
      <w:r w:rsidRPr="0078630F">
        <w:rPr>
          <w:rFonts w:ascii="Cambria" w:eastAsia="Cambria" w:hAnsi="Cambria" w:cs="Cambria"/>
          <w:sz w:val="20"/>
          <w:szCs w:val="20"/>
        </w:rPr>
        <w:t xml:space="preserve">de </w:t>
      </w:r>
      <w:r>
        <w:rPr>
          <w:rFonts w:ascii="Cambria" w:eastAsia="Cambria" w:hAnsi="Cambria" w:cs="Cambria"/>
          <w:sz w:val="20"/>
          <w:szCs w:val="20"/>
        </w:rPr>
        <w:t>octubre</w:t>
      </w:r>
      <w:r w:rsidRPr="0078630F">
        <w:rPr>
          <w:rFonts w:ascii="Cambria" w:eastAsia="Cambria" w:hAnsi="Cambria" w:cs="Cambria"/>
          <w:b/>
          <w:sz w:val="20"/>
          <w:szCs w:val="20"/>
        </w:rPr>
        <w:t xml:space="preserve"> </w:t>
      </w:r>
      <w:r w:rsidRPr="0078630F">
        <w:rPr>
          <w:rFonts w:ascii="Cambria" w:eastAsia="Cambria" w:hAnsi="Cambria" w:cs="Cambria"/>
          <w:sz w:val="20"/>
          <w:szCs w:val="20"/>
        </w:rPr>
        <w:t>de 2020</w:t>
      </w:r>
    </w:p>
    <w:p w14:paraId="25D0C409" w14:textId="77777777" w:rsidR="0031285E" w:rsidRDefault="0031285E">
      <w:pPr>
        <w:spacing w:after="160" w:line="259" w:lineRule="auto"/>
      </w:pPr>
      <w:r>
        <w:br w:type="page"/>
      </w:r>
    </w:p>
    <w:p w14:paraId="54FD6529" w14:textId="77777777" w:rsidR="0031285E" w:rsidRPr="0078630F" w:rsidRDefault="0031285E" w:rsidP="0031285E">
      <w:pPr>
        <w:spacing w:after="160"/>
        <w:rPr>
          <w:rFonts w:ascii="Cambria" w:eastAsia="Cambria" w:hAnsi="Cambria" w:cs="Cambria"/>
          <w:b/>
          <w:sz w:val="20"/>
          <w:szCs w:val="20"/>
        </w:rPr>
      </w:pPr>
    </w:p>
    <w:p w14:paraId="181EB235" w14:textId="77777777" w:rsidR="0031285E" w:rsidRPr="0094450C" w:rsidRDefault="0031285E" w:rsidP="0031285E">
      <w:pPr>
        <w:pStyle w:val="Ttulo1"/>
        <w:numPr>
          <w:ilvl w:val="0"/>
          <w:numId w:val="1"/>
        </w:numPr>
        <w:rPr>
          <w:sz w:val="20"/>
          <w:szCs w:val="20"/>
          <w:u w:val="single"/>
        </w:rPr>
      </w:pPr>
      <w:bookmarkStart w:id="2" w:name="_heading=h.1fob9te" w:colFirst="0" w:colLast="0"/>
      <w:bookmarkStart w:id="3" w:name="_Toc48825208"/>
      <w:bookmarkEnd w:id="2"/>
      <w:r w:rsidRPr="0078630F">
        <w:rPr>
          <w:rFonts w:eastAsia="Cambria" w:cs="Cambria"/>
          <w:sz w:val="20"/>
          <w:szCs w:val="20"/>
        </w:rPr>
        <w:t>INTRODUCCIÓN</w:t>
      </w:r>
      <w:bookmarkEnd w:id="3"/>
    </w:p>
    <w:p w14:paraId="6CA76CB3" w14:textId="77777777" w:rsidR="0031285E" w:rsidRDefault="0031285E" w:rsidP="0031285E">
      <w:pPr>
        <w:widowControl w:val="0"/>
        <w:spacing w:after="0"/>
        <w:jc w:val="both"/>
        <w:rPr>
          <w:rFonts w:ascii="Cambria" w:eastAsia="Cambria" w:hAnsi="Cambria" w:cs="Cambria"/>
          <w:b/>
          <w:sz w:val="20"/>
          <w:szCs w:val="20"/>
        </w:rPr>
      </w:pPr>
      <w:bookmarkStart w:id="4" w:name="_heading=h.3znysh7" w:colFirst="0" w:colLast="0"/>
      <w:bookmarkEnd w:id="4"/>
    </w:p>
    <w:p w14:paraId="6E01F9DF" w14:textId="77777777" w:rsidR="0031285E" w:rsidRPr="00F10DA5" w:rsidRDefault="0031285E" w:rsidP="0031285E">
      <w:pPr>
        <w:widowControl w:val="0"/>
        <w:spacing w:after="0"/>
        <w:jc w:val="both"/>
        <w:rPr>
          <w:rFonts w:ascii="Cambria" w:eastAsia="Cambria" w:hAnsi="Cambria" w:cs="Cambria"/>
          <w:b/>
          <w:sz w:val="20"/>
          <w:szCs w:val="20"/>
        </w:rPr>
      </w:pPr>
      <w:r w:rsidRPr="00F10DA5">
        <w:rPr>
          <w:rFonts w:ascii="Cambria" w:eastAsia="Cambria" w:hAnsi="Cambria" w:cs="Cambria"/>
          <w:b/>
          <w:sz w:val="20"/>
          <w:szCs w:val="20"/>
        </w:rPr>
        <w:t>INFORMACIÓN SOBRE EL MERCADO Y LA INDUSTRIA</w:t>
      </w:r>
    </w:p>
    <w:p w14:paraId="5CDBE11D" w14:textId="77777777" w:rsidR="0031285E" w:rsidRPr="0078630F" w:rsidRDefault="0031285E" w:rsidP="0031285E">
      <w:pPr>
        <w:spacing w:after="0"/>
        <w:rPr>
          <w:rFonts w:ascii="Cambria" w:eastAsia="Cambria" w:hAnsi="Cambria" w:cs="Cambria"/>
          <w:sz w:val="20"/>
          <w:szCs w:val="20"/>
        </w:rPr>
      </w:pPr>
    </w:p>
    <w:p w14:paraId="7A57EE2C" w14:textId="77777777" w:rsidR="0031285E" w:rsidRPr="0078630F" w:rsidRDefault="0031285E" w:rsidP="0031285E">
      <w:pPr>
        <w:spacing w:after="0"/>
        <w:ind w:right="-80"/>
        <w:jc w:val="both"/>
        <w:rPr>
          <w:rFonts w:ascii="Cambria" w:eastAsia="Cambria" w:hAnsi="Cambria" w:cs="Cambria"/>
          <w:sz w:val="20"/>
          <w:szCs w:val="20"/>
        </w:rPr>
      </w:pPr>
      <w:r w:rsidRPr="0078630F">
        <w:rPr>
          <w:rFonts w:ascii="Cambria" w:eastAsia="Cambria" w:hAnsi="Cambria" w:cs="Cambria"/>
          <w:sz w:val="20"/>
          <w:szCs w:val="20"/>
        </w:rPr>
        <w:t>Las manifestaciones incluidas en este Prospecto</w:t>
      </w:r>
      <w:r w:rsidR="00BC1F92">
        <w:rPr>
          <w:rFonts w:ascii="Cambria" w:eastAsia="Cambria" w:hAnsi="Cambria" w:cs="Cambria"/>
          <w:sz w:val="20"/>
          <w:szCs w:val="20"/>
        </w:rPr>
        <w:t xml:space="preserve"> Resumido</w:t>
      </w:r>
      <w:r w:rsidRPr="0078630F">
        <w:rPr>
          <w:rFonts w:ascii="Cambria" w:eastAsia="Cambria" w:hAnsi="Cambria" w:cs="Cambria"/>
          <w:sz w:val="20"/>
          <w:szCs w:val="20"/>
        </w:rPr>
        <w:t xml:space="preserve"> en relación con información de mercado y de la industria se basan en estadísticas y demás información extraídas de publicaciones independientes del sector e informes emitidos por consultoras u otras fuentes independientes, así como en los estudios realizados por la Emisora derivados del análisis de encuestas y otras fuentes independientes. Tales fuentes no han sido verificadas en forma independiente por la Emisora, los Colocadores o sus respectivos asesores y no se formula manifestación alguna acerca de la exactitud de tales datos y estadísticas, que podrían no ser consistentes con la demás información compilada en las jurisdicciones especificadas o en otras.</w:t>
      </w:r>
    </w:p>
    <w:p w14:paraId="1A59099E" w14:textId="77777777" w:rsidR="0031285E" w:rsidRPr="0078630F" w:rsidRDefault="0031285E" w:rsidP="0031285E">
      <w:pPr>
        <w:spacing w:after="0"/>
        <w:rPr>
          <w:rFonts w:ascii="Cambria" w:eastAsia="Cambria" w:hAnsi="Cambria" w:cs="Cambria"/>
          <w:sz w:val="20"/>
          <w:szCs w:val="20"/>
        </w:rPr>
      </w:pPr>
    </w:p>
    <w:p w14:paraId="64D2C125" w14:textId="77777777" w:rsidR="0031285E" w:rsidRPr="0078630F" w:rsidRDefault="0031285E" w:rsidP="0031285E">
      <w:pPr>
        <w:spacing w:after="0"/>
        <w:jc w:val="both"/>
        <w:rPr>
          <w:rFonts w:ascii="Cambria" w:eastAsia="Cambria" w:hAnsi="Cambria" w:cs="Cambria"/>
          <w:sz w:val="20"/>
          <w:szCs w:val="20"/>
        </w:rPr>
      </w:pPr>
      <w:r w:rsidRPr="0078630F">
        <w:rPr>
          <w:rFonts w:ascii="Cambria" w:eastAsia="Cambria" w:hAnsi="Cambria" w:cs="Cambria"/>
          <w:sz w:val="20"/>
          <w:szCs w:val="20"/>
        </w:rPr>
        <w:t>Además, ciertas manifestaciones incluidas en este Prospecto</w:t>
      </w:r>
      <w:r w:rsidR="00BC1F92">
        <w:rPr>
          <w:rFonts w:ascii="Cambria" w:eastAsia="Cambria" w:hAnsi="Cambria" w:cs="Cambria"/>
          <w:sz w:val="20"/>
          <w:szCs w:val="20"/>
        </w:rPr>
        <w:t xml:space="preserve"> Resumido y en el Prospecto</w:t>
      </w:r>
      <w:r w:rsidRPr="0078630F">
        <w:rPr>
          <w:rFonts w:ascii="Cambria" w:eastAsia="Cambria" w:hAnsi="Cambria" w:cs="Cambria"/>
          <w:sz w:val="20"/>
          <w:szCs w:val="20"/>
        </w:rPr>
        <w:t xml:space="preserve"> sobre el sector industrial en el que opera la Emisora y su posición en el mismo se basan en ciertos supuestos acerca de los clientes y competidores de la Emisora. Estos supuestos se basan en la experiencia de la Emisora, en conversaciones mantenidas con sus principales proveedores y clientes y en su propio estudio de las condiciones de mercado. No puede garantizarse la exactitud de tales supuestos, que podrían no ser indicativos de la posición de la Emisora en el sector en el que opera.</w:t>
      </w:r>
    </w:p>
    <w:p w14:paraId="0448A4FA" w14:textId="77777777" w:rsidR="0031285E" w:rsidRPr="0078630F" w:rsidRDefault="0031285E" w:rsidP="0031285E">
      <w:pPr>
        <w:spacing w:after="0"/>
        <w:jc w:val="both"/>
        <w:rPr>
          <w:rFonts w:ascii="Cambria" w:eastAsia="Cambria" w:hAnsi="Cambria" w:cs="Cambria"/>
          <w:sz w:val="20"/>
          <w:szCs w:val="20"/>
        </w:rPr>
      </w:pPr>
      <w:bookmarkStart w:id="5" w:name="_heading=h.2et92p0" w:colFirst="0" w:colLast="0"/>
      <w:bookmarkEnd w:id="5"/>
    </w:p>
    <w:p w14:paraId="71EDB9F3" w14:textId="77777777" w:rsidR="0031285E" w:rsidRPr="0078630F" w:rsidRDefault="0031285E" w:rsidP="0031285E">
      <w:pPr>
        <w:widowControl w:val="0"/>
        <w:spacing w:after="0"/>
        <w:jc w:val="both"/>
        <w:rPr>
          <w:rFonts w:ascii="Cambria" w:eastAsia="Cambria" w:hAnsi="Cambria" w:cs="Cambria"/>
          <w:b/>
          <w:sz w:val="20"/>
          <w:szCs w:val="20"/>
        </w:rPr>
      </w:pPr>
      <w:bookmarkStart w:id="6" w:name="_heading=h.tyjcwt" w:colFirst="0" w:colLast="0"/>
      <w:bookmarkEnd w:id="6"/>
      <w:r w:rsidRPr="0078630F">
        <w:rPr>
          <w:rFonts w:ascii="Cambria" w:eastAsia="Cambria" w:hAnsi="Cambria" w:cs="Cambria"/>
          <w:b/>
          <w:sz w:val="20"/>
          <w:szCs w:val="20"/>
        </w:rPr>
        <w:t>INFORMACIÓN RELEVANTE</w:t>
      </w:r>
    </w:p>
    <w:p w14:paraId="480382C8" w14:textId="77777777" w:rsidR="0031285E" w:rsidRPr="0078630F" w:rsidRDefault="0031285E" w:rsidP="0031285E">
      <w:pPr>
        <w:spacing w:after="0"/>
        <w:ind w:right="-80"/>
        <w:jc w:val="both"/>
        <w:rPr>
          <w:rFonts w:ascii="Cambria" w:eastAsia="Cambria" w:hAnsi="Cambria" w:cs="Cambria"/>
          <w:sz w:val="20"/>
          <w:szCs w:val="20"/>
        </w:rPr>
      </w:pPr>
    </w:p>
    <w:p w14:paraId="49BD14E3" w14:textId="77777777" w:rsidR="0031285E" w:rsidRPr="0078630F" w:rsidRDefault="0031285E" w:rsidP="0031285E">
      <w:pPr>
        <w:spacing w:after="0"/>
        <w:ind w:right="-80"/>
        <w:jc w:val="both"/>
        <w:rPr>
          <w:rFonts w:ascii="Cambria" w:eastAsia="Cambria" w:hAnsi="Cambria" w:cs="Cambria"/>
          <w:sz w:val="20"/>
          <w:szCs w:val="20"/>
        </w:rPr>
      </w:pPr>
      <w:r w:rsidRPr="0078630F">
        <w:rPr>
          <w:rFonts w:ascii="Cambria" w:eastAsia="Cambria" w:hAnsi="Cambria" w:cs="Cambria"/>
          <w:sz w:val="20"/>
          <w:szCs w:val="20"/>
        </w:rPr>
        <w:t>El Prospecto</w:t>
      </w:r>
      <w:r w:rsidR="00BC1F92">
        <w:rPr>
          <w:rFonts w:ascii="Cambria" w:eastAsia="Cambria" w:hAnsi="Cambria" w:cs="Cambria"/>
          <w:sz w:val="20"/>
          <w:szCs w:val="20"/>
        </w:rPr>
        <w:t xml:space="preserve"> Resumido</w:t>
      </w:r>
      <w:r w:rsidRPr="0078630F">
        <w:rPr>
          <w:rFonts w:ascii="Cambria" w:eastAsia="Cambria" w:hAnsi="Cambria" w:cs="Cambria"/>
          <w:sz w:val="20"/>
          <w:szCs w:val="20"/>
        </w:rPr>
        <w:t xml:space="preserve"> contiene información relevante sobre la Emisora, su Sociedad Controlada y hechos recientes ocurridos en la República Argentina. La Emisora no ha autorizado a ninguna otra persona a brindar otro tipo de información. La situación social, política, económica y legal en la República Argentina, y el marco regulatorio de las actividades de la Emisora y de su Sociedad Controlada, es susceptible de cambio y no puede preverse de qué modo y hasta qué punto algún cambio futuro en la situación descripta afectará a la Emisora y a su Sociedad Controlada. Todo potencial inversor debe tener presente la incertidumbre con respecto a la futura operatoria y situación financiera de la Emisora y su Sociedad Controlada, así como los importantes riesgos relacionados con la inversión. Ver la sección “</w:t>
      </w:r>
      <w:hyperlink w:anchor="_heading=h.pyankxju0w9q" w:history="1">
        <w:r w:rsidRPr="0078630F">
          <w:rPr>
            <w:rFonts w:ascii="Cambria" w:eastAsia="Cambria" w:hAnsi="Cambria" w:cs="Cambria"/>
            <w:i/>
            <w:color w:val="1155CC"/>
            <w:sz w:val="20"/>
            <w:szCs w:val="20"/>
            <w:u w:val="single"/>
          </w:rPr>
          <w:t>Factores de Riesgo</w:t>
        </w:r>
      </w:hyperlink>
      <w:r w:rsidRPr="0078630F">
        <w:rPr>
          <w:rFonts w:ascii="Cambria" w:eastAsia="Cambria" w:hAnsi="Cambria" w:cs="Cambria"/>
          <w:sz w:val="20"/>
          <w:szCs w:val="20"/>
        </w:rPr>
        <w:t>” de este Prospecto</w:t>
      </w:r>
      <w:r w:rsidR="00BC1F92">
        <w:rPr>
          <w:rFonts w:ascii="Cambria" w:eastAsia="Cambria" w:hAnsi="Cambria" w:cs="Cambria"/>
          <w:sz w:val="20"/>
          <w:szCs w:val="20"/>
        </w:rPr>
        <w:t xml:space="preserve"> Resumido, el Prospecto</w:t>
      </w:r>
      <w:r w:rsidRPr="0078630F">
        <w:rPr>
          <w:rFonts w:ascii="Cambria" w:eastAsia="Cambria" w:hAnsi="Cambria" w:cs="Cambria"/>
          <w:sz w:val="20"/>
          <w:szCs w:val="20"/>
        </w:rPr>
        <w:t xml:space="preserve"> y eventualmente del Suplemento de Precio correspondiente.</w:t>
      </w:r>
    </w:p>
    <w:p w14:paraId="75D72752" w14:textId="77777777" w:rsidR="0031285E" w:rsidRPr="0078630F" w:rsidRDefault="0031285E" w:rsidP="0031285E">
      <w:pPr>
        <w:spacing w:after="0"/>
        <w:ind w:right="-80"/>
        <w:jc w:val="both"/>
        <w:rPr>
          <w:rFonts w:ascii="Cambria" w:eastAsia="Cambria" w:hAnsi="Cambria" w:cs="Cambria"/>
          <w:sz w:val="20"/>
          <w:szCs w:val="20"/>
        </w:rPr>
      </w:pPr>
    </w:p>
    <w:p w14:paraId="5A0C7357" w14:textId="77777777" w:rsidR="0031285E" w:rsidRPr="0078630F" w:rsidRDefault="0031285E" w:rsidP="0031285E">
      <w:pPr>
        <w:spacing w:after="0"/>
        <w:jc w:val="both"/>
        <w:rPr>
          <w:rFonts w:ascii="Cambria" w:eastAsia="Cambria" w:hAnsi="Cambria" w:cs="Cambria"/>
          <w:sz w:val="20"/>
          <w:szCs w:val="20"/>
        </w:rPr>
      </w:pPr>
      <w:r w:rsidRPr="0078630F">
        <w:rPr>
          <w:rFonts w:ascii="Cambria" w:eastAsia="Cambria" w:hAnsi="Cambria" w:cs="Cambria"/>
          <w:sz w:val="20"/>
          <w:szCs w:val="20"/>
        </w:rPr>
        <w:t>En el Prospecto</w:t>
      </w:r>
      <w:r w:rsidR="00BC1F92">
        <w:rPr>
          <w:rFonts w:ascii="Cambria" w:eastAsia="Cambria" w:hAnsi="Cambria" w:cs="Cambria"/>
          <w:sz w:val="20"/>
          <w:szCs w:val="20"/>
        </w:rPr>
        <w:t xml:space="preserve"> Resumido y el Prospecto</w:t>
      </w:r>
      <w:r w:rsidRPr="0078630F">
        <w:rPr>
          <w:rFonts w:ascii="Cambria" w:eastAsia="Cambria" w:hAnsi="Cambria" w:cs="Cambria"/>
          <w:sz w:val="20"/>
          <w:szCs w:val="20"/>
        </w:rPr>
        <w:t xml:space="preserve">, la Emisora utiliza indistintamente los términos “Molinos Agro”, la “Sociedad”, la “Compañía” y la “Emisora” para referirse a Molinos Agro S.A. El término “Sociedad Controlada” para referirse a la </w:t>
      </w:r>
      <w:r>
        <w:rPr>
          <w:rFonts w:ascii="Cambria" w:eastAsia="Cambria" w:hAnsi="Cambria" w:cs="Cambria"/>
          <w:sz w:val="20"/>
          <w:szCs w:val="20"/>
        </w:rPr>
        <w:t>S</w:t>
      </w:r>
      <w:r w:rsidRPr="0078630F">
        <w:rPr>
          <w:rFonts w:ascii="Cambria" w:eastAsia="Cambria" w:hAnsi="Cambria" w:cs="Cambria"/>
          <w:sz w:val="20"/>
          <w:szCs w:val="20"/>
        </w:rPr>
        <w:t xml:space="preserve">ociedad </w:t>
      </w:r>
      <w:r>
        <w:rPr>
          <w:rFonts w:ascii="Cambria" w:eastAsia="Cambria" w:hAnsi="Cambria" w:cs="Cambria"/>
          <w:sz w:val="20"/>
          <w:szCs w:val="20"/>
        </w:rPr>
        <w:t>C</w:t>
      </w:r>
      <w:r w:rsidRPr="0078630F">
        <w:rPr>
          <w:rFonts w:ascii="Cambria" w:eastAsia="Cambria" w:hAnsi="Cambria" w:cs="Cambria"/>
          <w:sz w:val="20"/>
          <w:szCs w:val="20"/>
        </w:rPr>
        <w:t xml:space="preserve">ontrolada en forma directa o indirecta por Molinos </w:t>
      </w:r>
      <w:r>
        <w:rPr>
          <w:rFonts w:ascii="Cambria" w:eastAsia="Cambria" w:hAnsi="Cambria" w:cs="Cambria"/>
          <w:sz w:val="20"/>
          <w:szCs w:val="20"/>
        </w:rPr>
        <w:t>A</w:t>
      </w:r>
      <w:r w:rsidRPr="0078630F">
        <w:rPr>
          <w:rFonts w:ascii="Cambria" w:eastAsia="Cambria" w:hAnsi="Cambria" w:cs="Cambria"/>
          <w:sz w:val="20"/>
          <w:szCs w:val="20"/>
        </w:rPr>
        <w:t>gro, en los términos del artículo 33 de la Ley General de Sociedades N° 19.550 y sus modificatorias y complementarias (</w:t>
      </w:r>
      <w:r w:rsidRPr="0094450C">
        <w:rPr>
          <w:rFonts w:ascii="Cambria" w:eastAsia="Cambria" w:hAnsi="Cambria" w:cs="Cambria"/>
          <w:sz w:val="20"/>
          <w:szCs w:val="20"/>
        </w:rPr>
        <w:t>la</w:t>
      </w:r>
      <w:r w:rsidRPr="0078630F">
        <w:rPr>
          <w:rFonts w:ascii="Cambria" w:eastAsia="Cambria" w:hAnsi="Cambria" w:cs="Cambria"/>
          <w:sz w:val="20"/>
          <w:szCs w:val="20"/>
        </w:rPr>
        <w:t xml:space="preserve"> “Ley General de Sociedades”), por sí o en forma conjunta con terceras personas. El término “Argentina” se refiere a la República Argentina. El término “Gobierno Nacional” o “Estado Nacional” se refiere al Gobierno de la Nación Argentina. El término “Banco Central” o “BCRA” se refiere al Banco Central de la República Argentina. El término “BYMA” se refiere a Bolsas y Mercados Argentinos S.A. El término “BNA” se refiere al Banco de la Nación Argentina. El término “BCBA” se refiere a la Bolsa de Comercio de Buenos Aires. El término “CNV” se refiere a la Comisión Nacional de Valores. El término “Pesos”, “Ps.” o “$” se refiere a la moneda de curso legal en la Argentina. El término “Estados Unidos” se refiere a los Estados Unidos de América. El término “euro” se refiere a la moneda de curso legal en la Unión Europea y “Dólar”, “Dólares” o “US$” se refiere a la moneda de curso legal en los Estados Unidos. Las referencias a cualquier norma contenida en el Prospecto</w:t>
      </w:r>
      <w:r w:rsidR="00BC1F92">
        <w:rPr>
          <w:rFonts w:ascii="Cambria" w:eastAsia="Cambria" w:hAnsi="Cambria" w:cs="Cambria"/>
          <w:sz w:val="20"/>
          <w:szCs w:val="20"/>
        </w:rPr>
        <w:t xml:space="preserve"> Resumido y en el Prospecto</w:t>
      </w:r>
      <w:r w:rsidRPr="0078630F">
        <w:rPr>
          <w:rFonts w:ascii="Cambria" w:eastAsia="Cambria" w:hAnsi="Cambria" w:cs="Cambria"/>
          <w:sz w:val="20"/>
          <w:szCs w:val="20"/>
        </w:rPr>
        <w:t xml:space="preserve"> son referencias a las normas en cuestión incluyendo sus modificatorias y reglamentarias.</w:t>
      </w:r>
    </w:p>
    <w:p w14:paraId="2AB1C8DE" w14:textId="77777777" w:rsidR="0031285E" w:rsidRPr="0078630F" w:rsidRDefault="0031285E" w:rsidP="0031285E">
      <w:pPr>
        <w:spacing w:after="0"/>
        <w:ind w:right="-80"/>
        <w:jc w:val="both"/>
        <w:rPr>
          <w:rFonts w:ascii="Cambria" w:eastAsia="Cambria" w:hAnsi="Cambria" w:cs="Cambria"/>
          <w:sz w:val="20"/>
          <w:szCs w:val="20"/>
        </w:rPr>
      </w:pPr>
    </w:p>
    <w:p w14:paraId="0173B495" w14:textId="77777777" w:rsidR="0031285E" w:rsidRPr="0078630F" w:rsidRDefault="0031285E" w:rsidP="0031285E">
      <w:pPr>
        <w:spacing w:after="0"/>
        <w:ind w:right="-80"/>
        <w:jc w:val="both"/>
        <w:rPr>
          <w:rFonts w:ascii="Cambria" w:eastAsia="Cambria" w:hAnsi="Cambria" w:cs="Cambria"/>
          <w:sz w:val="20"/>
          <w:szCs w:val="20"/>
        </w:rPr>
      </w:pPr>
      <w:r w:rsidRPr="0078630F">
        <w:rPr>
          <w:rFonts w:ascii="Cambria" w:eastAsia="Cambria" w:hAnsi="Cambria" w:cs="Cambria"/>
          <w:sz w:val="20"/>
          <w:szCs w:val="20"/>
        </w:rPr>
        <w:t xml:space="preserve">La Emisora también presenta ante la CNV sita en 25 de Mayo 175, Ciudad Autónoma de Buenos Aires, Argentina, estados financieros anuales y trimestrales y otros informes periódicos que pueden obtenerse en su página web </w:t>
      </w:r>
      <w:hyperlink r:id="rId9" w:history="1">
        <w:r w:rsidRPr="0078630F">
          <w:rPr>
            <w:rFonts w:ascii="Cambria" w:eastAsia="Cambria" w:hAnsi="Cambria" w:cs="Cambria"/>
            <w:color w:val="1155CC"/>
            <w:sz w:val="20"/>
            <w:szCs w:val="20"/>
            <w:u w:val="single"/>
          </w:rPr>
          <w:t>www.cnv.gob.ar</w:t>
        </w:r>
      </w:hyperlink>
      <w:hyperlink r:id="rId10" w:history="1">
        <w:r w:rsidRPr="0078630F">
          <w:rPr>
            <w:rFonts w:ascii="Cambria" w:eastAsia="Cambria" w:hAnsi="Cambria" w:cs="Cambria"/>
            <w:color w:val="1155CC"/>
            <w:sz w:val="20"/>
            <w:szCs w:val="20"/>
            <w:u w:val="single"/>
          </w:rPr>
          <w:t>/sitioweb</w:t>
        </w:r>
      </w:hyperlink>
      <w:r w:rsidRPr="0078630F">
        <w:rPr>
          <w:rFonts w:ascii="Cambria" w:eastAsia="Cambria" w:hAnsi="Cambria" w:cs="Cambria"/>
          <w:sz w:val="20"/>
          <w:szCs w:val="20"/>
        </w:rPr>
        <w:t>, Ruta de acceso: Empresas - Molinos Agro S.A. -  “Información Financiera”.</w:t>
      </w:r>
    </w:p>
    <w:p w14:paraId="4EE379FE" w14:textId="77777777" w:rsidR="0031285E" w:rsidRPr="0078630F" w:rsidRDefault="0031285E" w:rsidP="0031285E">
      <w:pPr>
        <w:spacing w:after="0"/>
        <w:jc w:val="both"/>
        <w:rPr>
          <w:rFonts w:ascii="Cambria" w:eastAsia="Cambria" w:hAnsi="Cambria" w:cs="Cambria"/>
          <w:sz w:val="20"/>
          <w:szCs w:val="20"/>
        </w:rPr>
      </w:pPr>
    </w:p>
    <w:p w14:paraId="07CBD228" w14:textId="77777777" w:rsidR="0031285E" w:rsidRPr="0078630F" w:rsidRDefault="0031285E" w:rsidP="0031285E">
      <w:pPr>
        <w:spacing w:after="0"/>
        <w:jc w:val="both"/>
        <w:rPr>
          <w:rFonts w:ascii="Cambria" w:eastAsia="Cambria" w:hAnsi="Cambria" w:cs="Cambria"/>
          <w:sz w:val="20"/>
          <w:szCs w:val="20"/>
        </w:rPr>
      </w:pPr>
      <w:r w:rsidRPr="0078630F">
        <w:rPr>
          <w:rFonts w:ascii="Cambria" w:eastAsia="Cambria" w:hAnsi="Cambria" w:cs="Cambria"/>
          <w:sz w:val="20"/>
          <w:szCs w:val="20"/>
        </w:rPr>
        <w:t>El Prospecto</w:t>
      </w:r>
      <w:r w:rsidR="00231E12">
        <w:rPr>
          <w:rFonts w:ascii="Cambria" w:eastAsia="Cambria" w:hAnsi="Cambria" w:cs="Cambria"/>
          <w:sz w:val="20"/>
          <w:szCs w:val="20"/>
        </w:rPr>
        <w:t xml:space="preserve"> Resumido</w:t>
      </w:r>
      <w:r w:rsidRPr="0078630F">
        <w:rPr>
          <w:rFonts w:ascii="Cambria" w:eastAsia="Cambria" w:hAnsi="Cambria" w:cs="Cambria"/>
          <w:sz w:val="20"/>
          <w:szCs w:val="20"/>
        </w:rPr>
        <w:t xml:space="preserve"> ha sido confeccionado exclusivamente para ser utilizado en relación con el Programa. Cualquier consulta o requerimiento de información adicional con respecto al presente o a las operaciones aquí contempladas, deberá dirigirse a la Emisora, al domicilio y teléfonos indicados en la contratapa.</w:t>
      </w:r>
    </w:p>
    <w:p w14:paraId="3149EF0C" w14:textId="77777777" w:rsidR="0031285E" w:rsidRPr="0078630F" w:rsidRDefault="0031285E" w:rsidP="0031285E">
      <w:pPr>
        <w:spacing w:after="0"/>
        <w:jc w:val="both"/>
        <w:rPr>
          <w:rFonts w:ascii="Cambria" w:eastAsia="Cambria" w:hAnsi="Cambria" w:cs="Cambria"/>
          <w:sz w:val="20"/>
          <w:szCs w:val="20"/>
        </w:rPr>
      </w:pPr>
    </w:p>
    <w:p w14:paraId="7C6460C5" w14:textId="77777777" w:rsidR="0031285E" w:rsidRDefault="0031285E" w:rsidP="0031285E">
      <w:pPr>
        <w:spacing w:after="0"/>
        <w:jc w:val="both"/>
        <w:rPr>
          <w:rFonts w:ascii="Cambria" w:eastAsia="Cambria" w:hAnsi="Cambria" w:cs="Cambria"/>
          <w:sz w:val="20"/>
          <w:szCs w:val="20"/>
        </w:rPr>
      </w:pPr>
      <w:r w:rsidRPr="0078630F">
        <w:rPr>
          <w:rFonts w:ascii="Cambria" w:eastAsia="Cambria" w:hAnsi="Cambria" w:cs="Cambria"/>
          <w:sz w:val="20"/>
          <w:szCs w:val="20"/>
        </w:rPr>
        <w:t>La informac</w:t>
      </w:r>
      <w:r w:rsidR="00231E12">
        <w:rPr>
          <w:rFonts w:ascii="Cambria" w:eastAsia="Cambria" w:hAnsi="Cambria" w:cs="Cambria"/>
          <w:sz w:val="20"/>
          <w:szCs w:val="20"/>
        </w:rPr>
        <w:t>ión contenida en este P</w:t>
      </w:r>
      <w:r w:rsidRPr="0078630F">
        <w:rPr>
          <w:rFonts w:ascii="Cambria" w:eastAsia="Cambria" w:hAnsi="Cambria" w:cs="Cambria"/>
          <w:sz w:val="20"/>
          <w:szCs w:val="20"/>
        </w:rPr>
        <w:t>rospecto</w:t>
      </w:r>
      <w:r w:rsidR="00231E12">
        <w:rPr>
          <w:rFonts w:ascii="Cambria" w:eastAsia="Cambria" w:hAnsi="Cambria" w:cs="Cambria"/>
          <w:sz w:val="20"/>
          <w:szCs w:val="20"/>
        </w:rPr>
        <w:t xml:space="preserve"> Resumido y el Prospecto</w:t>
      </w:r>
      <w:r w:rsidRPr="0078630F">
        <w:rPr>
          <w:rFonts w:ascii="Cambria" w:eastAsia="Cambria" w:hAnsi="Cambria" w:cs="Cambria"/>
          <w:sz w:val="20"/>
          <w:szCs w:val="20"/>
        </w:rPr>
        <w:t xml:space="preserve"> con respecto a la situación política, legal y económica de la Argentina ha sido obtenida de fuentes gubernamentales y otras fuentes públicas. La Emisora y su Directorio sólo serán responsables por la obtención de dicha información de manera precisa. No podrá considerarse que la información contenida en el Prospecto</w:t>
      </w:r>
      <w:r w:rsidR="00231E12">
        <w:rPr>
          <w:rFonts w:ascii="Cambria" w:eastAsia="Cambria" w:hAnsi="Cambria" w:cs="Cambria"/>
          <w:sz w:val="20"/>
          <w:szCs w:val="20"/>
        </w:rPr>
        <w:t xml:space="preserve"> Resumido y el Prospecto</w:t>
      </w:r>
      <w:r w:rsidRPr="0078630F">
        <w:rPr>
          <w:rFonts w:ascii="Cambria" w:eastAsia="Cambria" w:hAnsi="Cambria" w:cs="Cambria"/>
          <w:sz w:val="20"/>
          <w:szCs w:val="20"/>
        </w:rPr>
        <w:t xml:space="preserve"> constituya una promesa o garantía, ya sea con respecto al pasado o al futuro. El Prospecto</w:t>
      </w:r>
      <w:r w:rsidR="00231E12">
        <w:rPr>
          <w:rFonts w:ascii="Cambria" w:eastAsia="Cambria" w:hAnsi="Cambria" w:cs="Cambria"/>
          <w:sz w:val="20"/>
          <w:szCs w:val="20"/>
        </w:rPr>
        <w:t xml:space="preserve"> Resumido y el Prospecto</w:t>
      </w:r>
      <w:r w:rsidRPr="0078630F">
        <w:rPr>
          <w:rFonts w:ascii="Cambria" w:eastAsia="Cambria" w:hAnsi="Cambria" w:cs="Cambria"/>
          <w:sz w:val="20"/>
          <w:szCs w:val="20"/>
        </w:rPr>
        <w:t xml:space="preserve"> contiene</w:t>
      </w:r>
      <w:r w:rsidR="00231E12">
        <w:rPr>
          <w:rFonts w:ascii="Cambria" w:eastAsia="Cambria" w:hAnsi="Cambria" w:cs="Cambria"/>
          <w:sz w:val="20"/>
          <w:szCs w:val="20"/>
        </w:rPr>
        <w:t>n</w:t>
      </w:r>
      <w:r w:rsidRPr="0078630F">
        <w:rPr>
          <w:rFonts w:ascii="Cambria" w:eastAsia="Cambria" w:hAnsi="Cambria" w:cs="Cambria"/>
          <w:sz w:val="20"/>
          <w:szCs w:val="20"/>
        </w:rPr>
        <w:t xml:space="preserve"> resúmenes con respecto a términos de ciertos documentos propios que la Emisora considera precisos. Dichos resúmenes se encuentran condicionados en su totalidad a dichas referencias.</w:t>
      </w:r>
    </w:p>
    <w:p w14:paraId="31E1555C" w14:textId="77777777" w:rsidR="0031285E" w:rsidRDefault="0031285E" w:rsidP="0031285E">
      <w:pPr>
        <w:spacing w:after="0"/>
        <w:jc w:val="both"/>
        <w:rPr>
          <w:rFonts w:ascii="Cambria" w:eastAsia="Cambria" w:hAnsi="Cambria" w:cs="Cambria"/>
          <w:sz w:val="20"/>
          <w:szCs w:val="20"/>
        </w:rPr>
      </w:pPr>
    </w:p>
    <w:p w14:paraId="2C948490" w14:textId="77777777" w:rsidR="0031285E" w:rsidRPr="00BD7FAC" w:rsidRDefault="0031285E" w:rsidP="0031285E">
      <w:pPr>
        <w:spacing w:after="0"/>
        <w:jc w:val="both"/>
        <w:rPr>
          <w:rFonts w:ascii="Cambria" w:eastAsia="Cambria" w:hAnsi="Cambria" w:cs="Cambria"/>
          <w:sz w:val="20"/>
          <w:szCs w:val="20"/>
          <w:u w:val="single"/>
        </w:rPr>
      </w:pPr>
      <w:r w:rsidRPr="00BD7FAC">
        <w:rPr>
          <w:rFonts w:ascii="Cambria" w:eastAsia="Cambria" w:hAnsi="Cambria" w:cs="Cambria"/>
          <w:sz w:val="20"/>
          <w:szCs w:val="20"/>
          <w:u w:val="single"/>
        </w:rPr>
        <w:t>Impacto de la pandemia C</w:t>
      </w:r>
      <w:r>
        <w:rPr>
          <w:rFonts w:ascii="Cambria" w:eastAsia="Cambria" w:hAnsi="Cambria" w:cs="Cambria"/>
          <w:sz w:val="20"/>
          <w:szCs w:val="20"/>
          <w:u w:val="single"/>
        </w:rPr>
        <w:t>OVID</w:t>
      </w:r>
      <w:r w:rsidRPr="00BD7FAC">
        <w:rPr>
          <w:rFonts w:ascii="Cambria" w:eastAsia="Cambria" w:hAnsi="Cambria" w:cs="Cambria"/>
          <w:sz w:val="20"/>
          <w:szCs w:val="20"/>
          <w:u w:val="single"/>
        </w:rPr>
        <w:t xml:space="preserve"> 19 en la Emisora.</w:t>
      </w:r>
    </w:p>
    <w:p w14:paraId="58AE4F7E" w14:textId="77777777" w:rsidR="0031285E" w:rsidRDefault="0031285E" w:rsidP="0031285E">
      <w:pPr>
        <w:spacing w:after="0"/>
        <w:jc w:val="both"/>
        <w:rPr>
          <w:rFonts w:ascii="Cambria" w:eastAsia="Cambria" w:hAnsi="Cambria" w:cs="Cambria"/>
          <w:sz w:val="20"/>
          <w:szCs w:val="20"/>
        </w:rPr>
      </w:pPr>
    </w:p>
    <w:p w14:paraId="322C840B" w14:textId="77777777" w:rsidR="0031285E" w:rsidRPr="00B03C0D" w:rsidRDefault="0031285E" w:rsidP="0031285E">
      <w:pPr>
        <w:jc w:val="both"/>
        <w:rPr>
          <w:rFonts w:ascii="Cambria" w:hAnsi="Cambria"/>
          <w:sz w:val="20"/>
        </w:rPr>
      </w:pPr>
      <w:r w:rsidRPr="00B03C0D">
        <w:rPr>
          <w:rFonts w:ascii="Cambria" w:hAnsi="Cambria"/>
          <w:sz w:val="20"/>
        </w:rPr>
        <w:t>La rápida propagación mundial de una nueva cepa de coronavirus ha creado disrupción económica mundial e incertidumbre. Por ello, estamos monitoreando la información relacionada con la propagación de COVID-19 y continuamos evaluando el potencial impacto adverso en nuestro negocio.</w:t>
      </w:r>
    </w:p>
    <w:p w14:paraId="70D269B8" w14:textId="77777777" w:rsidR="0031285E" w:rsidRDefault="0031285E" w:rsidP="0031285E">
      <w:pPr>
        <w:widowControl w:val="0"/>
        <w:spacing w:after="0"/>
        <w:jc w:val="both"/>
        <w:rPr>
          <w:rFonts w:ascii="Cambria" w:hAnsi="Cambria"/>
          <w:sz w:val="20"/>
        </w:rPr>
      </w:pPr>
      <w:r>
        <w:rPr>
          <w:rFonts w:ascii="Cambria" w:hAnsi="Cambria"/>
          <w:sz w:val="20"/>
        </w:rPr>
        <w:t>C</w:t>
      </w:r>
      <w:r w:rsidRPr="00A15465">
        <w:rPr>
          <w:rFonts w:ascii="Cambria" w:hAnsi="Cambria"/>
          <w:sz w:val="20"/>
        </w:rPr>
        <w:t xml:space="preserve">onforme a las reglamentaciones </w:t>
      </w:r>
      <w:r>
        <w:rPr>
          <w:rFonts w:ascii="Cambria" w:hAnsi="Cambria"/>
          <w:sz w:val="20"/>
        </w:rPr>
        <w:t>implementadas por el Gobierno Nacional</w:t>
      </w:r>
      <w:r w:rsidRPr="00A15465">
        <w:rPr>
          <w:rFonts w:ascii="Cambria" w:hAnsi="Cambria"/>
          <w:sz w:val="20"/>
        </w:rPr>
        <w:t>, qued</w:t>
      </w:r>
      <w:r>
        <w:rPr>
          <w:rFonts w:ascii="Cambria" w:hAnsi="Cambria"/>
          <w:sz w:val="20"/>
        </w:rPr>
        <w:t>aron</w:t>
      </w:r>
      <w:r w:rsidRPr="00A15465">
        <w:rPr>
          <w:rFonts w:ascii="Cambria" w:hAnsi="Cambria"/>
          <w:sz w:val="20"/>
        </w:rPr>
        <w:t xml:space="preserve"> exceptuadas del cumplimiento del aislamiento social, preventivo y obligatorio, las personas afectadas a las actividades y servicios declarados esenciales en la emergencia, entre los cuales se encuentra nuestra actividad, la cual se ha mantenido en funcionamiento ininterrumpido en todos sus orígenes, siempre cumpliendo con los protocolos que establece la normativa aplicable en materia sanitaria en relación con esta pandemia.</w:t>
      </w:r>
    </w:p>
    <w:p w14:paraId="532E9BDF" w14:textId="77777777" w:rsidR="0031285E" w:rsidRDefault="0031285E" w:rsidP="0031285E">
      <w:pPr>
        <w:widowControl w:val="0"/>
        <w:spacing w:after="0"/>
        <w:jc w:val="both"/>
        <w:rPr>
          <w:rFonts w:ascii="Cambria" w:hAnsi="Cambria"/>
          <w:sz w:val="20"/>
        </w:rPr>
      </w:pPr>
    </w:p>
    <w:p w14:paraId="3E1EA6BC" w14:textId="77777777" w:rsidR="0031285E" w:rsidRPr="00A15465" w:rsidRDefault="0031285E" w:rsidP="0031285E">
      <w:pPr>
        <w:widowControl w:val="0"/>
        <w:spacing w:after="0"/>
        <w:jc w:val="both"/>
        <w:rPr>
          <w:rFonts w:ascii="Cambria" w:hAnsi="Cambria"/>
          <w:sz w:val="20"/>
        </w:rPr>
      </w:pPr>
      <w:r w:rsidRPr="00A15465">
        <w:rPr>
          <w:rFonts w:ascii="Cambria" w:hAnsi="Cambria"/>
          <w:sz w:val="20"/>
        </w:rPr>
        <w:t>La escala y el alcance de la pandemia de COVID-19 pueden aumentar los posibles efectos adversos en nuestro negocio, desempeño financiero y resultados operativos para los períodos trimestrales y el año fiscal de 2020, los cuales podrían ser materiales y afectarnos de formas que no podemos prever en este momento.</w:t>
      </w:r>
      <w:r>
        <w:rPr>
          <w:rFonts w:ascii="Cambria" w:hAnsi="Cambria"/>
          <w:sz w:val="20"/>
        </w:rPr>
        <w:t xml:space="preserve"> </w:t>
      </w:r>
      <w:r w:rsidRPr="0078630F">
        <w:rPr>
          <w:rFonts w:ascii="Cambria" w:eastAsia="Cambria" w:hAnsi="Cambria" w:cs="Cambria"/>
          <w:sz w:val="20"/>
          <w:szCs w:val="20"/>
        </w:rPr>
        <w:t xml:space="preserve">Para </w:t>
      </w:r>
      <w:proofErr w:type="gramStart"/>
      <w:r w:rsidRPr="0078630F">
        <w:rPr>
          <w:rFonts w:ascii="Cambria" w:eastAsia="Cambria" w:hAnsi="Cambria" w:cs="Cambria"/>
          <w:sz w:val="20"/>
          <w:szCs w:val="20"/>
        </w:rPr>
        <w:t>mayor información</w:t>
      </w:r>
      <w:proofErr w:type="gramEnd"/>
      <w:r w:rsidRPr="0078630F">
        <w:rPr>
          <w:rFonts w:ascii="Cambria" w:eastAsia="Cambria" w:hAnsi="Cambria" w:cs="Cambria"/>
          <w:sz w:val="20"/>
          <w:szCs w:val="20"/>
        </w:rPr>
        <w:t xml:space="preserve"> véase </w:t>
      </w:r>
      <w:r w:rsidRPr="0078630F">
        <w:rPr>
          <w:rFonts w:ascii="Cambria" w:eastAsia="Cambria" w:hAnsi="Cambria" w:cs="Cambria"/>
          <w:color w:val="000000"/>
          <w:sz w:val="20"/>
          <w:szCs w:val="20"/>
        </w:rPr>
        <w:t>“</w:t>
      </w:r>
      <w:r>
        <w:rPr>
          <w:rFonts w:ascii="Cambria" w:eastAsia="Cambria" w:hAnsi="Cambria" w:cs="Cambria"/>
          <w:i/>
          <w:color w:val="000000"/>
          <w:sz w:val="20"/>
          <w:szCs w:val="20"/>
        </w:rPr>
        <w:t xml:space="preserve">Factores de riesgo - </w:t>
      </w:r>
      <w:r w:rsidRPr="00CF5059">
        <w:rPr>
          <w:rFonts w:ascii="Cambria" w:eastAsia="Cambria" w:hAnsi="Cambria" w:cs="Cambria"/>
          <w:i/>
          <w:color w:val="000000"/>
          <w:sz w:val="20"/>
          <w:szCs w:val="20"/>
        </w:rPr>
        <w:t>Riesgos relacionados con las actividades de la Emisora</w:t>
      </w:r>
      <w:r>
        <w:rPr>
          <w:rFonts w:ascii="Cambria" w:eastAsia="Cambria" w:hAnsi="Cambria" w:cs="Cambria"/>
          <w:i/>
          <w:color w:val="000000"/>
          <w:sz w:val="20"/>
          <w:szCs w:val="20"/>
        </w:rPr>
        <w:t xml:space="preserve"> - </w:t>
      </w:r>
      <w:r w:rsidRPr="00B77CAA">
        <w:rPr>
          <w:rFonts w:ascii="Cambria" w:eastAsia="Cambria" w:hAnsi="Cambria" w:cs="Cambria"/>
          <w:i/>
          <w:color w:val="000000"/>
          <w:sz w:val="20"/>
          <w:szCs w:val="20"/>
        </w:rPr>
        <w:t>La pandemia del covid-19 ha provocado un gran impacto a nivel global y dicho impacto podría empeorar y continuar por un período de tiempo desconocido, lo que podría afectar de manera adversa nuestro negocio y los resultados de nuestras operaciones</w:t>
      </w:r>
      <w:r w:rsidRPr="0078630F">
        <w:rPr>
          <w:rFonts w:ascii="Cambria" w:eastAsia="Cambria" w:hAnsi="Cambria" w:cs="Cambria"/>
          <w:i/>
          <w:color w:val="000000"/>
          <w:sz w:val="20"/>
          <w:szCs w:val="20"/>
        </w:rPr>
        <w:t xml:space="preserve">” </w:t>
      </w:r>
      <w:r w:rsidR="00231E12">
        <w:rPr>
          <w:rFonts w:ascii="Cambria" w:eastAsia="Cambria" w:hAnsi="Cambria" w:cs="Cambria"/>
          <w:color w:val="000000"/>
          <w:sz w:val="20"/>
          <w:szCs w:val="20"/>
        </w:rPr>
        <w:t>de</w:t>
      </w:r>
      <w:r w:rsidRPr="0078630F">
        <w:rPr>
          <w:rFonts w:ascii="Cambria" w:eastAsia="Cambria" w:hAnsi="Cambria" w:cs="Cambria"/>
          <w:color w:val="000000"/>
          <w:sz w:val="20"/>
          <w:szCs w:val="20"/>
        </w:rPr>
        <w:t xml:space="preserve"> Prospecto.</w:t>
      </w:r>
    </w:p>
    <w:p w14:paraId="38EF4347" w14:textId="77777777" w:rsidR="0031285E" w:rsidRPr="0078630F" w:rsidRDefault="0031285E" w:rsidP="0031285E">
      <w:pPr>
        <w:spacing w:after="0"/>
        <w:jc w:val="both"/>
        <w:rPr>
          <w:rFonts w:ascii="Cambria" w:eastAsia="Cambria" w:hAnsi="Cambria" w:cs="Cambria"/>
          <w:sz w:val="20"/>
          <w:szCs w:val="20"/>
        </w:rPr>
      </w:pPr>
    </w:p>
    <w:p w14:paraId="4DF4D17C" w14:textId="77777777" w:rsidR="0031285E" w:rsidRPr="0078630F" w:rsidRDefault="0031285E" w:rsidP="0031285E">
      <w:pPr>
        <w:spacing w:after="0"/>
        <w:jc w:val="center"/>
        <w:rPr>
          <w:rFonts w:ascii="Cambria" w:eastAsia="Cambria" w:hAnsi="Cambria" w:cs="Cambria"/>
          <w:sz w:val="20"/>
          <w:szCs w:val="20"/>
        </w:rPr>
      </w:pPr>
    </w:p>
    <w:p w14:paraId="441561F5" w14:textId="77777777" w:rsidR="0031285E" w:rsidRPr="0078630F" w:rsidRDefault="0031285E" w:rsidP="0031285E">
      <w:pPr>
        <w:spacing w:after="0"/>
        <w:jc w:val="both"/>
        <w:rPr>
          <w:rFonts w:ascii="Cambria" w:eastAsia="Cambria" w:hAnsi="Cambria" w:cs="Cambria"/>
          <w:b/>
          <w:sz w:val="20"/>
          <w:szCs w:val="20"/>
          <w:highlight w:val="yellow"/>
        </w:rPr>
      </w:pPr>
      <w:bookmarkStart w:id="7" w:name="_heading=h.3dy6vkm" w:colFirst="0" w:colLast="0"/>
      <w:bookmarkEnd w:id="7"/>
      <w:r w:rsidRPr="0078630F">
        <w:rPr>
          <w:rFonts w:ascii="Cambria" w:eastAsia="Cambria" w:hAnsi="Cambria" w:cs="Cambria"/>
          <w:b/>
          <w:sz w:val="20"/>
          <w:szCs w:val="20"/>
        </w:rPr>
        <w:t xml:space="preserve">INFORMACIÓN CONTABLE </w:t>
      </w:r>
      <w:r w:rsidRPr="0094450C">
        <w:rPr>
          <w:rFonts w:ascii="Cambria" w:eastAsia="Cambria" w:hAnsi="Cambria" w:cs="Cambria"/>
          <w:b/>
          <w:sz w:val="20"/>
          <w:szCs w:val="20"/>
        </w:rPr>
        <w:t>DISPONIBLE</w:t>
      </w:r>
      <w:r w:rsidRPr="0078630F">
        <w:rPr>
          <w:rFonts w:ascii="Cambria" w:eastAsia="Cambria" w:hAnsi="Cambria" w:cs="Cambria"/>
          <w:b/>
          <w:sz w:val="20"/>
          <w:szCs w:val="20"/>
          <w:highlight w:val="yellow"/>
        </w:rPr>
        <w:t xml:space="preserve"> </w:t>
      </w:r>
    </w:p>
    <w:p w14:paraId="035BBAAA" w14:textId="77777777" w:rsidR="0031285E" w:rsidRPr="0078630F" w:rsidRDefault="0031285E" w:rsidP="0031285E">
      <w:pPr>
        <w:tabs>
          <w:tab w:val="left" w:pos="-720"/>
          <w:tab w:val="left" w:pos="0"/>
          <w:tab w:val="left" w:pos="320"/>
          <w:tab w:val="left" w:pos="720"/>
        </w:tabs>
        <w:spacing w:after="0"/>
        <w:jc w:val="both"/>
        <w:rPr>
          <w:rFonts w:ascii="Cambria" w:eastAsia="Cambria" w:hAnsi="Cambria" w:cs="Cambria"/>
          <w:sz w:val="20"/>
          <w:szCs w:val="20"/>
          <w:highlight w:val="yellow"/>
        </w:rPr>
      </w:pPr>
    </w:p>
    <w:p w14:paraId="7114CA3F" w14:textId="77777777" w:rsidR="0031285E" w:rsidRPr="00537C9D" w:rsidRDefault="0031285E" w:rsidP="0031285E">
      <w:pPr>
        <w:jc w:val="both"/>
        <w:rPr>
          <w:rFonts w:ascii="Cambria" w:eastAsia="Cambria" w:hAnsi="Cambria" w:cs="Cambria"/>
          <w:sz w:val="20"/>
          <w:szCs w:val="20"/>
        </w:rPr>
      </w:pPr>
      <w:r w:rsidRPr="00537C9D">
        <w:rPr>
          <w:rFonts w:ascii="Cambria" w:eastAsia="Cambria" w:hAnsi="Cambria" w:cs="Cambria"/>
          <w:sz w:val="20"/>
          <w:szCs w:val="20"/>
        </w:rPr>
        <w:t>El Prospecto</w:t>
      </w:r>
      <w:r w:rsidR="00231E12">
        <w:rPr>
          <w:rFonts w:ascii="Cambria" w:eastAsia="Cambria" w:hAnsi="Cambria" w:cs="Cambria"/>
          <w:sz w:val="20"/>
          <w:szCs w:val="20"/>
        </w:rPr>
        <w:t xml:space="preserve"> Resumido</w:t>
      </w:r>
      <w:r w:rsidRPr="00537C9D">
        <w:rPr>
          <w:rFonts w:ascii="Cambria" w:eastAsia="Cambria" w:hAnsi="Cambria" w:cs="Cambria"/>
          <w:sz w:val="20"/>
          <w:szCs w:val="20"/>
        </w:rPr>
        <w:t xml:space="preserve"> presenta la información financiera consolidada y reexpresada en moneda corriente de ejercicios anuales y por actualizaciones para periodos intermedios; así como también otra información de la Emisora, su Sociedad Controlada y participaciones en sociedades en las que se ejerce influencia significativa por los ejercicios anuales finalizados el 31 de marzo de 2020, 2019 y 2018 (“los Estados Financieros anuales”) publicados en la Autopista de la Información Financiera(“AIF”) bajo los N° 2618598 (03/06/2020), ID N° 2477150</w:t>
      </w:r>
      <w:r w:rsidRPr="006E4259">
        <w:rPr>
          <w:rFonts w:ascii="Cambria" w:hAnsi="Cambria"/>
          <w:sz w:val="20"/>
        </w:rPr>
        <w:t xml:space="preserve"> </w:t>
      </w:r>
      <w:r w:rsidRPr="00537C9D">
        <w:rPr>
          <w:rFonts w:ascii="Cambria" w:eastAsia="Cambria" w:hAnsi="Cambria" w:cs="Cambria"/>
          <w:sz w:val="20"/>
          <w:szCs w:val="20"/>
        </w:rPr>
        <w:t>(21/5/2019)</w:t>
      </w:r>
      <w:bookmarkStart w:id="8" w:name="OLE_LINK1"/>
      <w:r w:rsidRPr="00537C9D">
        <w:rPr>
          <w:rFonts w:ascii="Cambria" w:eastAsia="Cambria" w:hAnsi="Cambria" w:cs="Cambria"/>
          <w:sz w:val="20"/>
          <w:szCs w:val="20"/>
        </w:rPr>
        <w:t xml:space="preserve"> e ID N° </w:t>
      </w:r>
      <w:bookmarkEnd w:id="8"/>
      <w:r w:rsidRPr="00537C9D">
        <w:rPr>
          <w:rFonts w:ascii="Cambria" w:eastAsia="Cambria" w:hAnsi="Cambria" w:cs="Cambria"/>
          <w:sz w:val="20"/>
          <w:szCs w:val="20"/>
        </w:rPr>
        <w:t xml:space="preserve">575962 (7/6/2018), los cuales están reexpresados en moneda corriente del 31 de marzo de 2020 y por el </w:t>
      </w:r>
      <w:r w:rsidRPr="00537C9D">
        <w:rPr>
          <w:rFonts w:ascii="Cambria" w:eastAsia="Cambria" w:hAnsi="Cambria" w:cs="Cambria"/>
          <w:sz w:val="20"/>
          <w:szCs w:val="20"/>
        </w:rPr>
        <w:lastRenderedPageBreak/>
        <w:t>período tres meses finalizado el 30 de junio de 2020, comparativo con el mismo periodo del ejercicio anterior (“Estado Financiero No Auditado”), publicado en AIF bajo el ID N° 2641054 (05/08/2020), los cuales están reexpresados en moneda corriente del 30 de junio de 2020, todos ellos, (conjuntamente los “Estados Financieros”)  preparados de acuerdo a las Normas de la CNV, las cuales establecen que las entidades emisoras de acciones y/u obligaciones negociables, con ciertas excepciones, están obligadas a preparar sus estados financieros de acuerdo con la Resolución Técnica N° 26 (y modificatorias) de la Federación Argentina de Consejos Profesionales de Ciencias Económicas (FACPCE), que dispone la adopción de las Normas Internacionales de Información Financiera (NIIF) según las emitió el Consejo de Normas Internacionales de Contabilidad (IASB, por su sigla en inglés).</w:t>
      </w:r>
    </w:p>
    <w:p w14:paraId="459FBF75" w14:textId="77777777" w:rsidR="0031285E" w:rsidRPr="00537C9D" w:rsidRDefault="0031285E" w:rsidP="0031285E">
      <w:pPr>
        <w:jc w:val="both"/>
        <w:rPr>
          <w:rFonts w:ascii="Cambria" w:eastAsia="Cambria" w:hAnsi="Cambria" w:cs="Cambria"/>
          <w:sz w:val="20"/>
          <w:szCs w:val="20"/>
        </w:rPr>
      </w:pPr>
      <w:r w:rsidRPr="00537C9D">
        <w:rPr>
          <w:rFonts w:ascii="Cambria" w:eastAsia="Cambria" w:hAnsi="Cambria" w:cs="Cambria"/>
          <w:sz w:val="20"/>
          <w:szCs w:val="20"/>
        </w:rPr>
        <w:t xml:space="preserve">El resumen de la información patrimonial y de resultados correspondiente a los ejercicios económicos finalizados el 31 de marzo de 2020, 2019 y 2018, y por el periodo de tres meses finalizado el 30 de junio de 2020, han sido obtenidos de los Estados Financieros Consolidados de la Emisora a dichas fechas. </w:t>
      </w:r>
    </w:p>
    <w:p w14:paraId="1C80CCFD" w14:textId="77777777" w:rsidR="0031285E" w:rsidRPr="00537C9D" w:rsidRDefault="0031285E" w:rsidP="0031285E">
      <w:pPr>
        <w:spacing w:after="0"/>
        <w:jc w:val="both"/>
        <w:rPr>
          <w:rFonts w:ascii="Cambria" w:eastAsia="Cambria" w:hAnsi="Cambria" w:cs="Cambria"/>
          <w:sz w:val="20"/>
          <w:szCs w:val="20"/>
        </w:rPr>
      </w:pPr>
      <w:r w:rsidRPr="00537C9D">
        <w:rPr>
          <w:rFonts w:ascii="Cambria" w:eastAsia="Cambria" w:hAnsi="Cambria" w:cs="Cambria"/>
          <w:sz w:val="20"/>
          <w:szCs w:val="20"/>
        </w:rPr>
        <w:t xml:space="preserve">Los Estados Financieros auditados han sido auditados por los auditores independientes Pistrelli, Henry Martin y Asociados S.R.L. - miembro de Ernst &amp; Young Global, tal como se indica en sus informes de fechas 3 de junio de 2020, 20 de mayo de 2019 y 6 de junio de 2018, respecto de los estados financieros correspondientes a los ejercicios anuales finalizados el 31 de marzo de 2020, 2019 y 2018, respectivamente. </w:t>
      </w:r>
    </w:p>
    <w:p w14:paraId="1444C574" w14:textId="77777777" w:rsidR="0031285E" w:rsidRPr="00537C9D" w:rsidRDefault="0031285E" w:rsidP="0031285E">
      <w:pPr>
        <w:spacing w:after="0"/>
        <w:jc w:val="both"/>
        <w:rPr>
          <w:rFonts w:ascii="Cambria" w:eastAsia="Cambria" w:hAnsi="Cambria" w:cs="Cambria"/>
          <w:sz w:val="20"/>
          <w:szCs w:val="20"/>
        </w:rPr>
      </w:pPr>
    </w:p>
    <w:p w14:paraId="2D57A7D1" w14:textId="77777777" w:rsidR="0031285E" w:rsidRPr="00537C9D" w:rsidRDefault="0031285E" w:rsidP="0031285E">
      <w:pPr>
        <w:spacing w:after="0"/>
        <w:jc w:val="both"/>
        <w:rPr>
          <w:rFonts w:ascii="Cambria" w:eastAsia="Cambria" w:hAnsi="Cambria" w:cs="Cambria"/>
          <w:sz w:val="20"/>
          <w:szCs w:val="20"/>
        </w:rPr>
      </w:pPr>
      <w:r w:rsidRPr="00537C9D">
        <w:rPr>
          <w:rFonts w:ascii="Cambria" w:eastAsia="Cambria" w:hAnsi="Cambria" w:cs="Cambria"/>
          <w:sz w:val="20"/>
          <w:szCs w:val="20"/>
        </w:rPr>
        <w:t>Los Estados Financieros no auditados correspondientes al período de tres meses finalizado el 30 de junio de 2020 fueron objeto de revisión por Pistrelli, Henry Martin y Asociados S.R.L- miembro de Ernst &amp; Young Global, tal como indica en su informe de fecha 5 de agosto de 2020.</w:t>
      </w:r>
    </w:p>
    <w:p w14:paraId="16CDCB01" w14:textId="77777777" w:rsidR="0031285E" w:rsidRPr="00537C9D" w:rsidRDefault="0031285E" w:rsidP="0031285E">
      <w:pPr>
        <w:spacing w:after="0"/>
        <w:jc w:val="both"/>
        <w:rPr>
          <w:rFonts w:ascii="Cambria" w:eastAsia="Cambria" w:hAnsi="Cambria" w:cs="Cambria"/>
          <w:sz w:val="20"/>
          <w:szCs w:val="20"/>
        </w:rPr>
      </w:pPr>
    </w:p>
    <w:p w14:paraId="6FF1A32D" w14:textId="77777777" w:rsidR="0031285E" w:rsidRPr="00537C9D" w:rsidRDefault="0031285E" w:rsidP="0031285E">
      <w:pPr>
        <w:spacing w:after="0"/>
        <w:jc w:val="both"/>
        <w:rPr>
          <w:rFonts w:ascii="Cambria" w:eastAsia="Cambria" w:hAnsi="Cambria" w:cs="Cambria"/>
          <w:sz w:val="20"/>
          <w:szCs w:val="20"/>
        </w:rPr>
      </w:pPr>
      <w:bookmarkStart w:id="9" w:name="_Toc312431409"/>
      <w:r w:rsidRPr="00537C9D">
        <w:rPr>
          <w:rFonts w:ascii="Cambria" w:eastAsia="Cambria" w:hAnsi="Cambria" w:cs="Cambria"/>
          <w:sz w:val="20"/>
          <w:szCs w:val="20"/>
        </w:rPr>
        <w:t>La preparación de los Estados Contables Auditados, de acuerdo con las normas mencionadas, requiere la consideración por parte del Directorio de la Sociedad de estimaciones y supuestos que podrían afectar los montos informados sobre activos y pasivos, la exposición de activos y pasivos contingentes a la fecha de dichos estados contables y los montos informados sobre ingresos y egresos. Los resultados finales podrían diferir de esas estimaciones. Ver la sección “</w:t>
      </w:r>
      <w:r w:rsidRPr="00231E12">
        <w:rPr>
          <w:rFonts w:ascii="Cambria" w:eastAsia="Cambria" w:hAnsi="Cambria" w:cs="Cambria"/>
          <w:i/>
          <w:sz w:val="20"/>
          <w:szCs w:val="20"/>
        </w:rPr>
        <w:t>Reseña y Perspectiva Operativa y Financiera</w:t>
      </w:r>
      <w:r w:rsidRPr="00537C9D">
        <w:rPr>
          <w:rFonts w:ascii="Cambria" w:eastAsia="Cambria" w:hAnsi="Cambria" w:cs="Cambria"/>
          <w:sz w:val="20"/>
          <w:szCs w:val="20"/>
        </w:rPr>
        <w:t>” de este Prospecto</w:t>
      </w:r>
      <w:r w:rsidR="00231E12">
        <w:rPr>
          <w:rFonts w:ascii="Cambria" w:eastAsia="Cambria" w:hAnsi="Cambria" w:cs="Cambria"/>
          <w:sz w:val="20"/>
          <w:szCs w:val="20"/>
        </w:rPr>
        <w:t xml:space="preserve"> Resumido</w:t>
      </w:r>
      <w:r w:rsidRPr="00537C9D">
        <w:rPr>
          <w:rFonts w:ascii="Cambria" w:eastAsia="Cambria" w:hAnsi="Cambria" w:cs="Cambria"/>
          <w:sz w:val="20"/>
          <w:szCs w:val="20"/>
        </w:rPr>
        <w:t>.</w:t>
      </w:r>
      <w:bookmarkEnd w:id="9"/>
    </w:p>
    <w:p w14:paraId="240DEFEF" w14:textId="77777777" w:rsidR="0031285E" w:rsidRPr="00537C9D" w:rsidRDefault="0031285E" w:rsidP="0031285E">
      <w:pPr>
        <w:spacing w:after="0"/>
        <w:jc w:val="both"/>
        <w:rPr>
          <w:rFonts w:ascii="Cambria" w:eastAsia="Cambria" w:hAnsi="Cambria" w:cs="Cambria"/>
          <w:sz w:val="20"/>
          <w:szCs w:val="20"/>
        </w:rPr>
      </w:pPr>
    </w:p>
    <w:p w14:paraId="45BA5D98" w14:textId="77777777" w:rsidR="0031285E" w:rsidRPr="00537C9D" w:rsidRDefault="0031285E" w:rsidP="0031285E">
      <w:pPr>
        <w:spacing w:after="0"/>
        <w:jc w:val="both"/>
        <w:rPr>
          <w:rFonts w:ascii="Cambria" w:eastAsia="Cambria" w:hAnsi="Cambria" w:cs="Cambria"/>
          <w:sz w:val="20"/>
          <w:szCs w:val="20"/>
        </w:rPr>
      </w:pPr>
      <w:r w:rsidRPr="00537C9D">
        <w:rPr>
          <w:rFonts w:ascii="Cambria" w:eastAsia="Cambria" w:hAnsi="Cambria" w:cs="Cambria"/>
          <w:sz w:val="20"/>
          <w:szCs w:val="20"/>
        </w:rPr>
        <w:t>Los Estados Financieros consolidados han sido preparados sobre la base del modelo de costo histórico, a excepción de la valuación de ciertas partidas que han sido medidos por su valor razonable de acuerdo con lo indicado en la sección “</w:t>
      </w:r>
      <w:r w:rsidRPr="00231E12">
        <w:rPr>
          <w:rFonts w:ascii="Cambria" w:eastAsia="Cambria" w:hAnsi="Cambria" w:cs="Cambria"/>
          <w:i/>
          <w:sz w:val="20"/>
          <w:szCs w:val="20"/>
        </w:rPr>
        <w:t>Políticas contables críticas</w:t>
      </w:r>
      <w:r w:rsidRPr="00537C9D">
        <w:rPr>
          <w:rFonts w:ascii="Cambria" w:eastAsia="Cambria" w:hAnsi="Cambria" w:cs="Cambria"/>
          <w:sz w:val="20"/>
          <w:szCs w:val="20"/>
        </w:rPr>
        <w:t>” del presente Prospecto</w:t>
      </w:r>
      <w:r w:rsidR="00231E12">
        <w:rPr>
          <w:rFonts w:ascii="Cambria" w:eastAsia="Cambria" w:hAnsi="Cambria" w:cs="Cambria"/>
          <w:sz w:val="20"/>
          <w:szCs w:val="20"/>
        </w:rPr>
        <w:t xml:space="preserve"> Resumido</w:t>
      </w:r>
      <w:r w:rsidRPr="00537C9D">
        <w:rPr>
          <w:rFonts w:ascii="Cambria" w:eastAsia="Cambria" w:hAnsi="Cambria" w:cs="Cambria"/>
          <w:sz w:val="20"/>
          <w:szCs w:val="20"/>
        </w:rPr>
        <w:t>. Adicionalmente, los Estados Financieros fueron preparados en su moneda funcional, que es el dólar estadounidense, y luego son convertidos a su moneda de presentación que es el peso argentino.</w:t>
      </w:r>
    </w:p>
    <w:p w14:paraId="19A56BC9" w14:textId="77777777" w:rsidR="0031285E" w:rsidRPr="00537C9D" w:rsidRDefault="0031285E" w:rsidP="0031285E">
      <w:pPr>
        <w:tabs>
          <w:tab w:val="left" w:pos="426"/>
        </w:tabs>
        <w:spacing w:after="0"/>
        <w:jc w:val="both"/>
        <w:rPr>
          <w:rFonts w:ascii="Cambria" w:eastAsia="Cambria" w:hAnsi="Cambria" w:cs="Cambria"/>
          <w:sz w:val="20"/>
          <w:szCs w:val="20"/>
        </w:rPr>
      </w:pPr>
    </w:p>
    <w:p w14:paraId="7A24B025" w14:textId="77777777" w:rsidR="0031285E" w:rsidRPr="00537C9D" w:rsidRDefault="0031285E" w:rsidP="0031285E">
      <w:pPr>
        <w:spacing w:after="0"/>
        <w:jc w:val="both"/>
        <w:rPr>
          <w:rFonts w:ascii="Cambria" w:eastAsia="Cambria" w:hAnsi="Cambria" w:cs="Cambria"/>
          <w:sz w:val="20"/>
          <w:szCs w:val="20"/>
        </w:rPr>
      </w:pPr>
      <w:r w:rsidRPr="00537C9D">
        <w:rPr>
          <w:rFonts w:ascii="Cambria" w:eastAsia="Cambria" w:hAnsi="Cambria" w:cs="Cambria"/>
          <w:sz w:val="20"/>
          <w:szCs w:val="20"/>
        </w:rPr>
        <w:t>Los inversores podrán obtener los Estados Financieros, junto con este Prospecto</w:t>
      </w:r>
      <w:r w:rsidR="00231E12">
        <w:rPr>
          <w:rFonts w:ascii="Cambria" w:eastAsia="Cambria" w:hAnsi="Cambria" w:cs="Cambria"/>
          <w:sz w:val="20"/>
          <w:szCs w:val="20"/>
        </w:rPr>
        <w:t xml:space="preserve"> Resumido y el Prospecto</w:t>
      </w:r>
      <w:r w:rsidRPr="00537C9D">
        <w:rPr>
          <w:rFonts w:ascii="Cambria" w:eastAsia="Cambria" w:hAnsi="Cambria" w:cs="Cambria"/>
          <w:sz w:val="20"/>
          <w:szCs w:val="20"/>
        </w:rPr>
        <w:t xml:space="preserve">, en el siguiente domicilio de la Emisora: Uruguay 4075, (B1644HKG), Victoria, Provincia de Buenos Aires, República Argentina y en la sede social de la Emisora sita en Av. Pte. Manuel Quintana 192, Piso 1º (C1014ACO), Ciudad Autónoma de Buenos Aires, República Argentina. Asimismo, podrán consultar los Estados Financieros, accediendo a la página web de la CNV </w:t>
      </w:r>
      <w:hyperlink r:id="rId11" w:history="1">
        <w:r w:rsidRPr="006E4259">
          <w:rPr>
            <w:rFonts w:ascii="Cambria" w:hAnsi="Cambria"/>
            <w:sz w:val="20"/>
          </w:rPr>
          <w:t>www.cnv.gob.ar</w:t>
        </w:r>
      </w:hyperlink>
      <w:r w:rsidRPr="00537C9D">
        <w:rPr>
          <w:rFonts w:ascii="Cambria" w:eastAsia="Cambria" w:hAnsi="Cambria" w:cs="Cambria"/>
          <w:sz w:val="20"/>
          <w:szCs w:val="20"/>
        </w:rPr>
        <w:t xml:space="preserve"> en la sección “Información Financiera”.</w:t>
      </w:r>
    </w:p>
    <w:p w14:paraId="6C866922" w14:textId="77777777" w:rsidR="0031285E" w:rsidRPr="0078630F" w:rsidRDefault="0031285E" w:rsidP="0031285E">
      <w:pPr>
        <w:spacing w:after="0"/>
        <w:jc w:val="both"/>
        <w:rPr>
          <w:rFonts w:ascii="Cambria" w:eastAsia="Cambria" w:hAnsi="Cambria" w:cs="Cambria"/>
          <w:sz w:val="20"/>
          <w:szCs w:val="20"/>
        </w:rPr>
      </w:pPr>
    </w:p>
    <w:p w14:paraId="7B7C3A8E" w14:textId="77777777" w:rsidR="0031285E" w:rsidRPr="0078630F" w:rsidRDefault="0031285E" w:rsidP="0031285E">
      <w:pPr>
        <w:spacing w:after="0"/>
        <w:jc w:val="both"/>
        <w:rPr>
          <w:rFonts w:ascii="Cambria" w:eastAsia="Cambria" w:hAnsi="Cambria" w:cs="Cambria"/>
          <w:b/>
          <w:bCs/>
          <w:sz w:val="20"/>
          <w:szCs w:val="20"/>
        </w:rPr>
      </w:pPr>
      <w:r w:rsidRPr="0078630F">
        <w:rPr>
          <w:rFonts w:ascii="Cambria" w:eastAsia="Cambria" w:hAnsi="Cambria" w:cs="Cambria"/>
          <w:b/>
          <w:bCs/>
          <w:sz w:val="20"/>
          <w:szCs w:val="20"/>
        </w:rPr>
        <w:t xml:space="preserve">Bases de consolidación </w:t>
      </w:r>
    </w:p>
    <w:p w14:paraId="67DF4781" w14:textId="77777777" w:rsidR="0031285E" w:rsidRPr="0078630F" w:rsidRDefault="0031285E" w:rsidP="0031285E">
      <w:pPr>
        <w:spacing w:after="0"/>
        <w:jc w:val="both"/>
        <w:rPr>
          <w:rFonts w:ascii="Cambria" w:eastAsia="Cambria" w:hAnsi="Cambria" w:cs="Cambria"/>
          <w:sz w:val="20"/>
          <w:szCs w:val="20"/>
        </w:rPr>
      </w:pPr>
    </w:p>
    <w:p w14:paraId="7BC70BAF" w14:textId="77777777" w:rsidR="0031285E" w:rsidRPr="005B081E" w:rsidRDefault="0031285E" w:rsidP="0031285E">
      <w:pPr>
        <w:keepNext/>
        <w:tabs>
          <w:tab w:val="left" w:pos="426"/>
        </w:tabs>
        <w:jc w:val="both"/>
        <w:rPr>
          <w:rFonts w:ascii="Cambria" w:eastAsia="Cambria" w:hAnsi="Cambria" w:cs="Cambria"/>
          <w:sz w:val="20"/>
          <w:szCs w:val="20"/>
        </w:rPr>
      </w:pPr>
      <w:r w:rsidRPr="005B081E">
        <w:rPr>
          <w:rFonts w:ascii="Cambria" w:eastAsia="Cambria" w:hAnsi="Cambria" w:cs="Cambria"/>
          <w:sz w:val="20"/>
          <w:szCs w:val="20"/>
        </w:rPr>
        <w:t>Los estados financieros consolidados incluyen (i) los activos y pasivos de la Emisora y su Sociedad Controlad</w:t>
      </w:r>
      <w:r>
        <w:rPr>
          <w:rFonts w:ascii="Cambria" w:eastAsia="Cambria" w:hAnsi="Cambria" w:cs="Cambria"/>
          <w:sz w:val="20"/>
          <w:szCs w:val="20"/>
        </w:rPr>
        <w:t>a</w:t>
      </w:r>
      <w:r w:rsidRPr="005B081E">
        <w:rPr>
          <w:rFonts w:ascii="Cambria" w:eastAsia="Cambria" w:hAnsi="Cambria" w:cs="Cambria"/>
          <w:sz w:val="20"/>
          <w:szCs w:val="20"/>
        </w:rPr>
        <w:t xml:space="preserve"> (en adelante “el Grupo Molinos Agro)” al 31 de marzo de 2020, 2019 y 2018 y al 30 de junio de 2020 y 2019, y (ii) los resultados de la Emisora y su Sociedad Controlada desde el momento </w:t>
      </w:r>
      <w:r w:rsidRPr="005B081E">
        <w:rPr>
          <w:rFonts w:ascii="Cambria" w:eastAsia="Cambria" w:hAnsi="Cambria" w:cs="Cambria"/>
          <w:sz w:val="20"/>
          <w:szCs w:val="20"/>
        </w:rPr>
        <w:lastRenderedPageBreak/>
        <w:t>de incorporación al grupo económico, por los ejercicios finalizados el 31 de marzo de 2020, 2019 y 2018 y por los periodos de tres meses finalizados el 30 de junio de 2020 y 2019.</w:t>
      </w:r>
    </w:p>
    <w:p w14:paraId="1E182107" w14:textId="77777777" w:rsidR="0031285E" w:rsidRPr="005B081E" w:rsidRDefault="0031285E" w:rsidP="0031285E">
      <w:pPr>
        <w:keepNext/>
        <w:tabs>
          <w:tab w:val="left" w:pos="426"/>
        </w:tabs>
        <w:spacing w:after="0"/>
        <w:jc w:val="both"/>
        <w:rPr>
          <w:rFonts w:ascii="Cambria" w:eastAsia="Cambria" w:hAnsi="Cambria" w:cs="Cambria"/>
          <w:sz w:val="20"/>
          <w:szCs w:val="20"/>
        </w:rPr>
      </w:pPr>
      <w:r w:rsidRPr="005B081E">
        <w:rPr>
          <w:rFonts w:ascii="Cambria" w:eastAsia="Cambria" w:hAnsi="Cambria" w:cs="Cambria"/>
          <w:sz w:val="20"/>
          <w:szCs w:val="20"/>
        </w:rPr>
        <w:t xml:space="preserve">La Sociedad Controlada se consolida totalmente a partir de la fecha de adquisición, que es la fecha en la que la Emisora obtiene el control (directo o indirecto) y sigue siendo consolidada hasta la fecha en que dicho control cesa. En el proceso de la consolidación, los importes de la inversión en la controlada y la participación en sus resultados y flujos de efectivo se reemplazan por la totalidad de los activos, pasivos, resultados y flujos de efectivo de </w:t>
      </w:r>
      <w:proofErr w:type="gramStart"/>
      <w:r w:rsidRPr="005B081E">
        <w:rPr>
          <w:rFonts w:ascii="Cambria" w:eastAsia="Cambria" w:hAnsi="Cambria" w:cs="Cambria"/>
          <w:sz w:val="20"/>
          <w:szCs w:val="20"/>
        </w:rPr>
        <w:t>la misma</w:t>
      </w:r>
      <w:proofErr w:type="gramEnd"/>
      <w:r w:rsidRPr="005B081E">
        <w:rPr>
          <w:rFonts w:ascii="Cambria" w:eastAsia="Cambria" w:hAnsi="Cambria" w:cs="Cambria"/>
          <w:sz w:val="20"/>
          <w:szCs w:val="20"/>
        </w:rPr>
        <w:t xml:space="preserve">, reflejando separadamente en los resultados y patrimonio la participación no controladora en la misma, si hubiera. </w:t>
      </w:r>
    </w:p>
    <w:p w14:paraId="1EB7C51D" w14:textId="77777777" w:rsidR="0031285E" w:rsidRPr="005B081E" w:rsidRDefault="0031285E" w:rsidP="0031285E">
      <w:pPr>
        <w:autoSpaceDE w:val="0"/>
        <w:autoSpaceDN w:val="0"/>
        <w:adjustRightInd w:val="0"/>
        <w:spacing w:after="0"/>
        <w:jc w:val="both"/>
        <w:rPr>
          <w:rFonts w:ascii="Cambria" w:eastAsia="Cambria" w:hAnsi="Cambria" w:cs="Cambria"/>
          <w:sz w:val="20"/>
          <w:szCs w:val="20"/>
        </w:rPr>
      </w:pPr>
    </w:p>
    <w:p w14:paraId="0B11AC86" w14:textId="77777777" w:rsidR="0031285E" w:rsidRPr="005B081E" w:rsidRDefault="0031285E" w:rsidP="0031285E">
      <w:pPr>
        <w:pStyle w:val="Body"/>
        <w:spacing w:after="0" w:line="276" w:lineRule="auto"/>
        <w:rPr>
          <w:rFonts w:ascii="Cambria" w:eastAsia="Cambria" w:hAnsi="Cambria" w:cs="Cambria"/>
          <w:sz w:val="20"/>
          <w:lang w:eastAsia="es-AR"/>
        </w:rPr>
      </w:pPr>
      <w:r w:rsidRPr="005B081E">
        <w:rPr>
          <w:rFonts w:ascii="Cambria" w:eastAsia="Cambria" w:hAnsi="Cambria" w:cs="Cambria"/>
          <w:sz w:val="20"/>
          <w:lang w:eastAsia="es-AR"/>
        </w:rPr>
        <w:t xml:space="preserve">La subsidiaria consolidada y la participación de la </w:t>
      </w:r>
      <w:r>
        <w:rPr>
          <w:rFonts w:ascii="Cambria" w:eastAsia="Cambria" w:hAnsi="Cambria" w:cs="Cambria"/>
          <w:sz w:val="20"/>
          <w:lang w:eastAsia="es-AR"/>
        </w:rPr>
        <w:t>E</w:t>
      </w:r>
      <w:r w:rsidRPr="005B081E">
        <w:rPr>
          <w:rFonts w:ascii="Cambria" w:eastAsia="Cambria" w:hAnsi="Cambria" w:cs="Cambria"/>
          <w:sz w:val="20"/>
          <w:lang w:eastAsia="es-AR"/>
        </w:rPr>
        <w:t>misora a las fechas respectivas son las siguientes:</w:t>
      </w:r>
    </w:p>
    <w:p w14:paraId="401452FE" w14:textId="77777777" w:rsidR="0031285E" w:rsidRPr="006E4259" w:rsidRDefault="0031285E" w:rsidP="0031285E">
      <w:pPr>
        <w:pStyle w:val="Body"/>
        <w:spacing w:after="0" w:line="276" w:lineRule="auto"/>
        <w:rPr>
          <w:rFonts w:ascii="Times New Roman" w:hAnsi="Times New Roman"/>
          <w:color w:val="1F4E79" w:themeColor="accent1" w:themeShade="80"/>
        </w:rPr>
      </w:pPr>
    </w:p>
    <w:p w14:paraId="66C0AA98" w14:textId="77777777" w:rsidR="0031285E" w:rsidRPr="006E4259" w:rsidRDefault="0031285E" w:rsidP="0031285E">
      <w:pPr>
        <w:autoSpaceDE w:val="0"/>
        <w:autoSpaceDN w:val="0"/>
        <w:adjustRightInd w:val="0"/>
        <w:spacing w:after="0"/>
        <w:jc w:val="both"/>
        <w:rPr>
          <w:rFonts w:ascii="Times New Roman" w:hAnsi="Times New Roman"/>
        </w:rPr>
      </w:pPr>
      <w:r w:rsidRPr="006E4259">
        <w:rPr>
          <w:noProof/>
          <w:lang w:val="es-AR"/>
        </w:rPr>
        <w:drawing>
          <wp:inline distT="0" distB="0" distL="0" distR="0" wp14:anchorId="233917FC" wp14:editId="6059EDD2">
            <wp:extent cx="5193030" cy="577850"/>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93030" cy="577850"/>
                    </a:xfrm>
                    <a:prstGeom prst="rect">
                      <a:avLst/>
                    </a:prstGeom>
                    <a:noFill/>
                    <a:ln>
                      <a:noFill/>
                    </a:ln>
                  </pic:spPr>
                </pic:pic>
              </a:graphicData>
            </a:graphic>
          </wp:inline>
        </w:drawing>
      </w:r>
    </w:p>
    <w:p w14:paraId="085D7EA3" w14:textId="77777777" w:rsidR="0031285E" w:rsidRPr="006E4259" w:rsidRDefault="0031285E" w:rsidP="0031285E">
      <w:pPr>
        <w:autoSpaceDE w:val="0"/>
        <w:autoSpaceDN w:val="0"/>
        <w:adjustRightInd w:val="0"/>
        <w:spacing w:after="0"/>
        <w:jc w:val="both"/>
        <w:rPr>
          <w:rFonts w:ascii="Times New Roman" w:hAnsi="Times New Roman"/>
        </w:rPr>
      </w:pPr>
    </w:p>
    <w:p w14:paraId="05CFD888" w14:textId="77777777" w:rsidR="0031285E" w:rsidRPr="005B081E" w:rsidRDefault="0031285E" w:rsidP="0031285E">
      <w:pPr>
        <w:keepNext/>
        <w:tabs>
          <w:tab w:val="left" w:pos="426"/>
        </w:tabs>
        <w:spacing w:after="0"/>
        <w:jc w:val="both"/>
        <w:rPr>
          <w:rFonts w:ascii="Cambria" w:eastAsia="Cambria" w:hAnsi="Cambria" w:cs="Cambria"/>
          <w:sz w:val="20"/>
          <w:szCs w:val="20"/>
        </w:rPr>
      </w:pPr>
      <w:r w:rsidRPr="005B081E">
        <w:rPr>
          <w:rFonts w:ascii="Cambria" w:eastAsia="Cambria" w:hAnsi="Cambria" w:cs="Cambria"/>
          <w:sz w:val="20"/>
          <w:szCs w:val="20"/>
        </w:rPr>
        <w:t xml:space="preserve">Los estados financieros de la Sociedad Controlada se preparan para el mismo período de información que el de la Emisora, aplicando políticas contables uniformes. Todos los saldos, operaciones, ganancias y pérdidas no realizadas que surjan de las operaciones entre la </w:t>
      </w:r>
      <w:r>
        <w:rPr>
          <w:rFonts w:ascii="Cambria" w:eastAsia="Cambria" w:hAnsi="Cambria" w:cs="Cambria"/>
          <w:sz w:val="20"/>
          <w:szCs w:val="20"/>
        </w:rPr>
        <w:t>S</w:t>
      </w:r>
      <w:r w:rsidRPr="005B081E">
        <w:rPr>
          <w:rFonts w:ascii="Cambria" w:eastAsia="Cambria" w:hAnsi="Cambria" w:cs="Cambria"/>
          <w:sz w:val="20"/>
          <w:szCs w:val="20"/>
        </w:rPr>
        <w:t xml:space="preserve">ociedad </w:t>
      </w:r>
      <w:r>
        <w:rPr>
          <w:rFonts w:ascii="Cambria" w:eastAsia="Cambria" w:hAnsi="Cambria" w:cs="Cambria"/>
          <w:sz w:val="20"/>
          <w:szCs w:val="20"/>
        </w:rPr>
        <w:t>C</w:t>
      </w:r>
      <w:r w:rsidRPr="005B081E">
        <w:rPr>
          <w:rFonts w:ascii="Cambria" w:eastAsia="Cambria" w:hAnsi="Cambria" w:cs="Cambria"/>
          <w:sz w:val="20"/>
          <w:szCs w:val="20"/>
        </w:rPr>
        <w:t xml:space="preserve">ontrolada y la </w:t>
      </w:r>
      <w:r>
        <w:rPr>
          <w:rFonts w:ascii="Cambria" w:eastAsia="Cambria" w:hAnsi="Cambria" w:cs="Cambria"/>
          <w:sz w:val="20"/>
          <w:szCs w:val="20"/>
        </w:rPr>
        <w:t>E</w:t>
      </w:r>
      <w:r w:rsidRPr="005B081E">
        <w:rPr>
          <w:rFonts w:ascii="Cambria" w:eastAsia="Cambria" w:hAnsi="Cambria" w:cs="Cambria"/>
          <w:sz w:val="20"/>
          <w:szCs w:val="20"/>
        </w:rPr>
        <w:t>misora se eliminan totalmente. Las pérdidas de una Sociedad controlada se atribuyen a la participación no controladora, aún si esto resultare en un saldo negativo.</w:t>
      </w:r>
    </w:p>
    <w:p w14:paraId="11B29E6B" w14:textId="77777777" w:rsidR="0031285E" w:rsidRPr="005B081E" w:rsidRDefault="0031285E" w:rsidP="0031285E">
      <w:pPr>
        <w:keepNext/>
        <w:tabs>
          <w:tab w:val="left" w:pos="426"/>
        </w:tabs>
        <w:spacing w:after="0"/>
        <w:jc w:val="both"/>
        <w:rPr>
          <w:rFonts w:ascii="Cambria" w:eastAsia="Cambria" w:hAnsi="Cambria" w:cs="Cambria"/>
          <w:sz w:val="20"/>
          <w:szCs w:val="20"/>
        </w:rPr>
      </w:pPr>
    </w:p>
    <w:p w14:paraId="0C742D84" w14:textId="77777777" w:rsidR="0031285E" w:rsidRPr="005B081E" w:rsidRDefault="0031285E" w:rsidP="0031285E">
      <w:pPr>
        <w:keepNext/>
        <w:tabs>
          <w:tab w:val="left" w:pos="426"/>
        </w:tabs>
        <w:spacing w:after="0"/>
        <w:jc w:val="both"/>
        <w:rPr>
          <w:rFonts w:ascii="Cambria" w:eastAsia="Cambria" w:hAnsi="Cambria" w:cs="Cambria"/>
          <w:sz w:val="20"/>
          <w:szCs w:val="20"/>
        </w:rPr>
      </w:pPr>
      <w:r w:rsidRPr="005B081E">
        <w:rPr>
          <w:rFonts w:ascii="Cambria" w:eastAsia="Cambria" w:hAnsi="Cambria" w:cs="Cambria"/>
          <w:sz w:val="20"/>
          <w:szCs w:val="20"/>
        </w:rPr>
        <w:t>Para más información ver la sección “</w:t>
      </w:r>
      <w:r w:rsidRPr="005B081E">
        <w:rPr>
          <w:rFonts w:ascii="Cambria" w:eastAsia="Cambria" w:hAnsi="Cambria" w:cs="Cambria"/>
          <w:i/>
          <w:sz w:val="20"/>
          <w:szCs w:val="20"/>
        </w:rPr>
        <w:t>Información Clave sobre la Emisora</w:t>
      </w:r>
      <w:r w:rsidRPr="006E4259">
        <w:rPr>
          <w:rFonts w:ascii="Cambria" w:hAnsi="Cambria"/>
          <w:i/>
          <w:sz w:val="20"/>
        </w:rPr>
        <w:t>” y “</w:t>
      </w:r>
      <w:r w:rsidRPr="005B081E">
        <w:rPr>
          <w:rFonts w:ascii="Cambria" w:eastAsia="Cambria" w:hAnsi="Cambria" w:cs="Cambria"/>
          <w:i/>
          <w:sz w:val="20"/>
          <w:szCs w:val="20"/>
        </w:rPr>
        <w:t>Reseña y Perspectiva Operativa y Financiera</w:t>
      </w:r>
      <w:r w:rsidRPr="005B081E">
        <w:rPr>
          <w:rFonts w:ascii="Cambria" w:eastAsia="Cambria" w:hAnsi="Cambria" w:cs="Cambria"/>
          <w:sz w:val="20"/>
          <w:szCs w:val="20"/>
        </w:rPr>
        <w:t>” en este Prospecto</w:t>
      </w:r>
      <w:r w:rsidR="00231E12">
        <w:rPr>
          <w:rFonts w:ascii="Cambria" w:eastAsia="Cambria" w:hAnsi="Cambria" w:cs="Cambria"/>
          <w:sz w:val="20"/>
          <w:szCs w:val="20"/>
        </w:rPr>
        <w:t xml:space="preserve"> Resumido</w:t>
      </w:r>
      <w:r w:rsidRPr="005B081E">
        <w:rPr>
          <w:rFonts w:ascii="Cambria" w:eastAsia="Cambria" w:hAnsi="Cambria" w:cs="Cambria"/>
          <w:sz w:val="20"/>
          <w:szCs w:val="20"/>
        </w:rPr>
        <w:t>.</w:t>
      </w:r>
    </w:p>
    <w:p w14:paraId="6002CEBC" w14:textId="77777777" w:rsidR="0031285E" w:rsidRPr="0078630F" w:rsidRDefault="0031285E" w:rsidP="0031285E">
      <w:pPr>
        <w:spacing w:after="0"/>
        <w:jc w:val="both"/>
        <w:rPr>
          <w:rFonts w:ascii="Cambria" w:eastAsia="Cambria" w:hAnsi="Cambria" w:cs="Cambria"/>
          <w:sz w:val="20"/>
          <w:szCs w:val="20"/>
        </w:rPr>
      </w:pPr>
    </w:p>
    <w:p w14:paraId="66C1DB76" w14:textId="77777777" w:rsidR="0031285E" w:rsidRPr="0078630F" w:rsidRDefault="0031285E" w:rsidP="0031285E">
      <w:pPr>
        <w:spacing w:after="0"/>
        <w:jc w:val="both"/>
        <w:rPr>
          <w:rFonts w:ascii="Cambria" w:eastAsia="Cambria" w:hAnsi="Cambria" w:cs="Cambria"/>
          <w:sz w:val="20"/>
          <w:szCs w:val="20"/>
        </w:rPr>
      </w:pPr>
    </w:p>
    <w:p w14:paraId="360D1D8D" w14:textId="77777777" w:rsidR="0031285E" w:rsidRPr="006E4259" w:rsidRDefault="0031285E" w:rsidP="0031285E">
      <w:pPr>
        <w:spacing w:after="0"/>
        <w:jc w:val="both"/>
        <w:rPr>
          <w:rFonts w:ascii="Cambria" w:hAnsi="Cambria"/>
          <w:sz w:val="20"/>
        </w:rPr>
      </w:pPr>
      <w:r w:rsidRPr="0078630F">
        <w:rPr>
          <w:rFonts w:ascii="Cambria" w:eastAsia="Cambria" w:hAnsi="Cambria" w:cs="Cambria"/>
          <w:b/>
          <w:bCs/>
          <w:sz w:val="20"/>
          <w:szCs w:val="20"/>
        </w:rPr>
        <w:t>Bases de preparación, conversión y presentación de los estados financieros consolidados</w:t>
      </w:r>
    </w:p>
    <w:p w14:paraId="30338257" w14:textId="77777777" w:rsidR="0031285E" w:rsidRPr="006E4259" w:rsidRDefault="0031285E" w:rsidP="0031285E">
      <w:pPr>
        <w:spacing w:after="0"/>
        <w:jc w:val="both"/>
        <w:rPr>
          <w:rFonts w:ascii="Cambria" w:hAnsi="Cambria"/>
          <w:sz w:val="20"/>
        </w:rPr>
      </w:pPr>
    </w:p>
    <w:p w14:paraId="431C0E75" w14:textId="77777777" w:rsidR="0031285E" w:rsidRPr="006E4259" w:rsidRDefault="0031285E" w:rsidP="0031285E">
      <w:pPr>
        <w:spacing w:after="240"/>
        <w:jc w:val="both"/>
        <w:rPr>
          <w:rFonts w:ascii="Cambria" w:hAnsi="Cambria"/>
          <w:b/>
          <w:sz w:val="20"/>
        </w:rPr>
      </w:pPr>
      <w:r w:rsidRPr="006E4259">
        <w:rPr>
          <w:rFonts w:ascii="Cambria" w:hAnsi="Cambria"/>
          <w:b/>
          <w:sz w:val="20"/>
        </w:rPr>
        <w:t>Moneda Funcional</w:t>
      </w:r>
      <w:r w:rsidRPr="005A59F8">
        <w:rPr>
          <w:rFonts w:ascii="Cambria" w:eastAsia="Cambria" w:hAnsi="Cambria" w:cs="Cambria"/>
          <w:b/>
          <w:bCs/>
          <w:sz w:val="20"/>
          <w:szCs w:val="20"/>
        </w:rPr>
        <w:t xml:space="preserve"> </w:t>
      </w:r>
    </w:p>
    <w:p w14:paraId="266389F4" w14:textId="77777777" w:rsidR="0031285E" w:rsidRPr="005B081E" w:rsidRDefault="0031285E" w:rsidP="0031285E">
      <w:pPr>
        <w:spacing w:after="240"/>
        <w:jc w:val="both"/>
        <w:rPr>
          <w:rFonts w:ascii="Cambria" w:eastAsia="Cambria" w:hAnsi="Cambria" w:cs="Cambria"/>
          <w:sz w:val="20"/>
          <w:szCs w:val="20"/>
        </w:rPr>
      </w:pPr>
      <w:r w:rsidRPr="005B081E">
        <w:rPr>
          <w:rFonts w:ascii="Cambria" w:eastAsia="Cambria" w:hAnsi="Cambria" w:cs="Cambria"/>
          <w:sz w:val="20"/>
          <w:szCs w:val="20"/>
        </w:rPr>
        <w:t xml:space="preserve">La Emisora, sobre la base de los parámetros establecidos en la NIC 21 “Efectos de las variaciones de las tasas de cambio de la moneda extranjera” y dada la naturaleza de operaciones que realiza, ha definido como su moneda funcional el dólar estadounidense. Consecuentemente, las partidas no monetarias, que se midan en términos de costo histórico, así como los resultados, son valuados en moneda funcional utilizando a tales fines el tipo de cambio de la fecha de transacción. </w:t>
      </w:r>
    </w:p>
    <w:p w14:paraId="53B01B40" w14:textId="77777777" w:rsidR="0031285E" w:rsidRPr="005B081E" w:rsidRDefault="0031285E" w:rsidP="0031285E">
      <w:pPr>
        <w:spacing w:after="240"/>
        <w:jc w:val="both"/>
        <w:rPr>
          <w:rFonts w:ascii="Cambria" w:eastAsia="Cambria" w:hAnsi="Cambria" w:cs="Cambria"/>
          <w:sz w:val="20"/>
          <w:szCs w:val="20"/>
        </w:rPr>
      </w:pPr>
      <w:r w:rsidRPr="005B081E">
        <w:rPr>
          <w:rFonts w:ascii="Cambria" w:eastAsia="Cambria" w:hAnsi="Cambria" w:cs="Cambria"/>
          <w:sz w:val="20"/>
          <w:szCs w:val="20"/>
        </w:rPr>
        <w:t xml:space="preserve">Las transacciones en monedas distintas de la moneda funcional de la Emisora se consideran transacciones en “moneda extranjera” y se contabilizan en su moneda funcional al tipo de cambio vigente en la fecha de la operación. Al cierre de cada ejercicio o periodo, o al momento de su cancelación, los saldos de las partidas monetarias en moneda distinta a la moneda funcional se convierten al tipo de cambio vigente a dicha fecha y las diferencias de cambio, que surgen de tal valoración, se registran en el apartado como ingresos o costos financieros en el estado del resultado integral del ejercicio en que se producen. </w:t>
      </w:r>
    </w:p>
    <w:p w14:paraId="26123646" w14:textId="77777777" w:rsidR="0031285E" w:rsidRPr="005A59F8" w:rsidRDefault="0031285E" w:rsidP="0031285E">
      <w:pPr>
        <w:spacing w:after="240"/>
        <w:jc w:val="both"/>
        <w:rPr>
          <w:rFonts w:ascii="Cambria" w:eastAsia="Cambria" w:hAnsi="Cambria" w:cs="Cambria"/>
          <w:sz w:val="20"/>
          <w:szCs w:val="20"/>
        </w:rPr>
      </w:pPr>
      <w:r w:rsidRPr="005B081E">
        <w:rPr>
          <w:rFonts w:ascii="Cambria" w:eastAsia="Cambria" w:hAnsi="Cambria" w:cs="Cambria"/>
          <w:sz w:val="20"/>
          <w:szCs w:val="20"/>
        </w:rPr>
        <w:t>Los activos, pasivos y resultados correspondientes a la subsidiaria y a las sociedades con influencia significativa, se expresan en sus respectivas monedas funcionales. Los efectos de la conversión a dólares de la información contable de las sociedades cuya moneda funcional es distinta del dólar se registran en "Otros resultados integrales" dentro del</w:t>
      </w:r>
      <w:r>
        <w:rPr>
          <w:rFonts w:ascii="Cambria" w:eastAsia="Cambria" w:hAnsi="Cambria" w:cs="Cambria"/>
          <w:sz w:val="20"/>
          <w:szCs w:val="20"/>
        </w:rPr>
        <w:t xml:space="preserve"> estado del resultado integral.</w:t>
      </w:r>
    </w:p>
    <w:p w14:paraId="23B8F4F9" w14:textId="77777777" w:rsidR="0031285E" w:rsidRPr="006E4259" w:rsidRDefault="0031285E" w:rsidP="0031285E">
      <w:pPr>
        <w:spacing w:after="240"/>
        <w:jc w:val="both"/>
        <w:rPr>
          <w:rFonts w:ascii="Cambria" w:hAnsi="Cambria"/>
          <w:b/>
          <w:sz w:val="20"/>
        </w:rPr>
      </w:pPr>
      <w:r w:rsidRPr="006E4259">
        <w:rPr>
          <w:rFonts w:ascii="Cambria" w:hAnsi="Cambria"/>
          <w:b/>
          <w:sz w:val="20"/>
        </w:rPr>
        <w:t>Moneda de presentación y criterios utilizados para la conversión</w:t>
      </w:r>
    </w:p>
    <w:p w14:paraId="099AAA42" w14:textId="77777777" w:rsidR="0031285E" w:rsidRPr="005B081E" w:rsidRDefault="0031285E" w:rsidP="0031285E">
      <w:pPr>
        <w:spacing w:after="120"/>
        <w:jc w:val="both"/>
        <w:rPr>
          <w:rFonts w:ascii="Cambria" w:eastAsia="Cambria" w:hAnsi="Cambria" w:cs="Cambria"/>
          <w:sz w:val="20"/>
          <w:szCs w:val="20"/>
        </w:rPr>
      </w:pPr>
      <w:r w:rsidRPr="005B081E">
        <w:rPr>
          <w:rFonts w:ascii="Cambria" w:eastAsia="Cambria" w:hAnsi="Cambria" w:cs="Cambria"/>
          <w:sz w:val="20"/>
          <w:szCs w:val="20"/>
        </w:rPr>
        <w:lastRenderedPageBreak/>
        <w:t xml:space="preserve">La Emisora debe presentar sus estados financieros en pesos argentinos, </w:t>
      </w:r>
      <w:proofErr w:type="gramStart"/>
      <w:r w:rsidRPr="005B081E">
        <w:rPr>
          <w:rFonts w:ascii="Cambria" w:eastAsia="Cambria" w:hAnsi="Cambria" w:cs="Cambria"/>
          <w:sz w:val="20"/>
          <w:szCs w:val="20"/>
        </w:rPr>
        <w:t>de acuerdo a</w:t>
      </w:r>
      <w:proofErr w:type="gramEnd"/>
      <w:r w:rsidRPr="005B081E">
        <w:rPr>
          <w:rFonts w:ascii="Cambria" w:eastAsia="Cambria" w:hAnsi="Cambria" w:cs="Cambria"/>
          <w:sz w:val="20"/>
          <w:szCs w:val="20"/>
        </w:rPr>
        <w:t xml:space="preserve"> lo establecido por Normas de la CNV (N.T. 2013 y modificatorias). Por tal motivo y según lo establecido por la NIC 21, los estados financieros son preparados en la moneda funcional de la Emisora (dólares) y se convierten a la moneda de presentación (pesos) utilizando los siguientes procedimientos:</w:t>
      </w:r>
    </w:p>
    <w:p w14:paraId="0D82697E" w14:textId="77777777" w:rsidR="0031285E" w:rsidRPr="005B081E" w:rsidRDefault="0031285E" w:rsidP="0031285E">
      <w:pPr>
        <w:numPr>
          <w:ilvl w:val="0"/>
          <w:numId w:val="2"/>
        </w:numPr>
        <w:spacing w:after="0"/>
        <w:jc w:val="both"/>
        <w:rPr>
          <w:rFonts w:ascii="Cambria" w:eastAsia="Cambria" w:hAnsi="Cambria" w:cs="Cambria"/>
          <w:sz w:val="20"/>
          <w:szCs w:val="20"/>
        </w:rPr>
      </w:pPr>
      <w:r w:rsidRPr="005B081E">
        <w:rPr>
          <w:rFonts w:ascii="Cambria" w:eastAsia="Cambria" w:hAnsi="Cambria" w:cs="Cambria"/>
          <w:sz w:val="20"/>
          <w:szCs w:val="20"/>
        </w:rPr>
        <w:t xml:space="preserve">Los activos y pasivos de cada uno de los estados de situación financiera presentados (es decir, incluyendo las cifras comparativas), se convierten al tipo de cambio de cierre en la fecha del correspondiente estado de situación financiera. </w:t>
      </w:r>
    </w:p>
    <w:p w14:paraId="5F15AD23" w14:textId="77777777" w:rsidR="0031285E" w:rsidRPr="005B081E" w:rsidRDefault="0031285E" w:rsidP="0031285E">
      <w:pPr>
        <w:numPr>
          <w:ilvl w:val="0"/>
          <w:numId w:val="2"/>
        </w:numPr>
        <w:spacing w:after="0"/>
        <w:jc w:val="both"/>
        <w:rPr>
          <w:rFonts w:ascii="Cambria" w:eastAsia="Cambria" w:hAnsi="Cambria" w:cs="Cambria"/>
          <w:sz w:val="20"/>
          <w:szCs w:val="20"/>
        </w:rPr>
      </w:pPr>
      <w:r w:rsidRPr="005B081E">
        <w:rPr>
          <w:rFonts w:ascii="Cambria" w:eastAsia="Cambria" w:hAnsi="Cambria" w:cs="Cambria"/>
          <w:sz w:val="20"/>
          <w:szCs w:val="20"/>
        </w:rPr>
        <w:t xml:space="preserve">Las partidas del estado del resultado integral se convierten al tipo de cambio del momento en el que se generaron las operaciones (o, por razones prácticas y cuando el tipo de cambio no ha variado significativamente, al tipo de cambio promedio de cada mes). </w:t>
      </w:r>
    </w:p>
    <w:p w14:paraId="5D9FF18D" w14:textId="77777777" w:rsidR="0031285E" w:rsidRPr="005B081E" w:rsidRDefault="0031285E" w:rsidP="0031285E">
      <w:pPr>
        <w:numPr>
          <w:ilvl w:val="0"/>
          <w:numId w:val="2"/>
        </w:numPr>
        <w:spacing w:after="0"/>
        <w:jc w:val="both"/>
        <w:rPr>
          <w:rFonts w:ascii="Cambria" w:eastAsia="Cambria" w:hAnsi="Cambria" w:cs="Cambria"/>
          <w:sz w:val="20"/>
          <w:szCs w:val="20"/>
        </w:rPr>
      </w:pPr>
      <w:r w:rsidRPr="005B081E">
        <w:rPr>
          <w:rFonts w:ascii="Cambria" w:eastAsia="Cambria" w:hAnsi="Cambria" w:cs="Cambria"/>
          <w:sz w:val="20"/>
          <w:szCs w:val="20"/>
        </w:rPr>
        <w:t>Todas las diferencias de conversión que se produzcan como resultado de lo anterior, se reconocen en el apartado “Otros resultados integrales” dentro del estado del resultado integral.</w:t>
      </w:r>
    </w:p>
    <w:p w14:paraId="5C02A642" w14:textId="77777777" w:rsidR="0031285E" w:rsidRPr="005B081E" w:rsidRDefault="0031285E" w:rsidP="0031285E">
      <w:pPr>
        <w:numPr>
          <w:ilvl w:val="0"/>
          <w:numId w:val="2"/>
        </w:numPr>
        <w:spacing w:after="240"/>
        <w:jc w:val="both"/>
        <w:rPr>
          <w:rFonts w:ascii="Cambria" w:eastAsia="Cambria" w:hAnsi="Cambria" w:cs="Cambria"/>
          <w:sz w:val="20"/>
          <w:szCs w:val="20"/>
        </w:rPr>
      </w:pPr>
      <w:r w:rsidRPr="005B081E">
        <w:rPr>
          <w:rFonts w:ascii="Cambria" w:eastAsia="Cambria" w:hAnsi="Cambria" w:cs="Cambria"/>
          <w:sz w:val="20"/>
          <w:szCs w:val="20"/>
        </w:rPr>
        <w:t>Por último, los rubros del patrimonio (capital social, reservas y resultados acumulados) se convierten al tipo de cambio histórico.</w:t>
      </w:r>
    </w:p>
    <w:p w14:paraId="6CB10B5D" w14:textId="77777777" w:rsidR="0031285E" w:rsidRPr="005B081E" w:rsidRDefault="0031285E" w:rsidP="0031285E">
      <w:pPr>
        <w:jc w:val="both"/>
        <w:rPr>
          <w:rFonts w:ascii="Cambria" w:eastAsia="Cambria" w:hAnsi="Cambria" w:cs="Cambria"/>
          <w:sz w:val="20"/>
          <w:szCs w:val="20"/>
        </w:rPr>
      </w:pPr>
      <w:r w:rsidRPr="005B081E">
        <w:rPr>
          <w:rFonts w:ascii="Cambria" w:eastAsia="Cambria" w:hAnsi="Cambria" w:cs="Cambria"/>
          <w:sz w:val="20"/>
          <w:szCs w:val="20"/>
        </w:rPr>
        <w:t>La diferencia surgida por la utilización del tipo de cambio de cierre para la conversión de activos y pasivos netos al cierre y tipo de cambio vigente a la fecha de cada transacción para los resultados y rubros del Patrimonio y sus variaciones es expuesta directamente en el patrimonio en el rubro “Diferencia de cambio por conversión de estados financieros en moneda funcional distinta del peso argentino”.</w:t>
      </w:r>
    </w:p>
    <w:p w14:paraId="5F0DE35F" w14:textId="77777777" w:rsidR="0031285E" w:rsidRPr="006E4259" w:rsidRDefault="0031285E" w:rsidP="0031285E">
      <w:pPr>
        <w:spacing w:after="240"/>
        <w:jc w:val="both"/>
        <w:rPr>
          <w:rFonts w:ascii="Cambria" w:hAnsi="Cambria"/>
          <w:b/>
          <w:sz w:val="20"/>
        </w:rPr>
      </w:pPr>
      <w:r w:rsidRPr="006E4259">
        <w:rPr>
          <w:rFonts w:ascii="Cambria" w:hAnsi="Cambria"/>
          <w:b/>
          <w:sz w:val="20"/>
        </w:rPr>
        <w:t>Reexpresión de los estados financieros</w:t>
      </w:r>
      <w:r w:rsidRPr="005A59F8">
        <w:rPr>
          <w:rFonts w:ascii="Cambria" w:eastAsia="Cambria" w:hAnsi="Cambria" w:cs="Cambria"/>
          <w:b/>
          <w:bCs/>
          <w:sz w:val="20"/>
          <w:szCs w:val="20"/>
        </w:rPr>
        <w:t xml:space="preserve"> auditados y no auditados</w:t>
      </w:r>
    </w:p>
    <w:p w14:paraId="32D8A5A1" w14:textId="77777777" w:rsidR="0031285E" w:rsidRPr="005A59F8" w:rsidRDefault="0031285E" w:rsidP="0031285E">
      <w:pPr>
        <w:spacing w:after="240"/>
        <w:jc w:val="both"/>
        <w:rPr>
          <w:rFonts w:ascii="Cambria" w:eastAsia="Cambria" w:hAnsi="Cambria" w:cs="Cambria"/>
          <w:sz w:val="20"/>
          <w:szCs w:val="20"/>
        </w:rPr>
      </w:pPr>
      <w:r w:rsidRPr="005B081E">
        <w:rPr>
          <w:rFonts w:ascii="Cambria" w:eastAsia="Cambria" w:hAnsi="Cambria" w:cs="Cambria"/>
          <w:sz w:val="20"/>
          <w:szCs w:val="20"/>
        </w:rPr>
        <w:t xml:space="preserve">Si bien la NIC 21 no requiere ninguna reexpresión de las cifras de los estados contables una vez convertidos a su moneda de presentación (Pesos), su aplicación literal daría lugar a la presentación de información de distinto poder adquisitivo, dado que la información comparativa, el patrimonio neto inicial y sus variaciones, los anexos evolutivos y los resultados de la entidad no estarían expresados en moneda de un mismo poder adquisitivo. A efectos de mitigar esta distorsión, y siguiendo el Informe N° 1 “Aplicación práctica de temas de contabilidad y auditoría en empresas en el ámbito de la Oferta Pública”, del 26 de febrero de 2019, emitido por la Comisión de Actuación Profesional en Empresas que Participan en la Oferta Pública, la Sociedad optó como política contable reexpresar a moneda de cierre toda la información que se encuentra expresada en una moneda distinta a la de cierre, a saber: los aportes de los propietarios, la reserva legal, la reserva para futura distribución de utilidades, los resultados no asignados, los dividendos distribuidos, así como cada uno de los conceptos que componen el resultado del ejercicio. El efecto de dicha reexpresión fue imputado en el rubro “Diferencia de cambio por conversión de estados financieros en moneda funcional distinta del peso argentino”, dentro del Patrimonio Neto, de forma tal que el saldo de dicha cuenta resulte expresado en términos reales. Asimismo, la reexpresión mencionada es consistente con el mecanismo de reexpresión previsto en la Resolución Técnica N° 6 de la FACPCE. A los efectos </w:t>
      </w:r>
      <w:r w:rsidR="00231E12">
        <w:rPr>
          <w:rFonts w:ascii="Cambria" w:eastAsia="Cambria" w:hAnsi="Cambria" w:cs="Cambria"/>
          <w:sz w:val="20"/>
          <w:szCs w:val="20"/>
        </w:rPr>
        <w:t>de compatibilidad del presente P</w:t>
      </w:r>
      <w:r w:rsidRPr="005B081E">
        <w:rPr>
          <w:rFonts w:ascii="Cambria" w:eastAsia="Cambria" w:hAnsi="Cambria" w:cs="Cambria"/>
          <w:sz w:val="20"/>
          <w:szCs w:val="20"/>
        </w:rPr>
        <w:t>rospecto</w:t>
      </w:r>
      <w:r w:rsidR="00231E12">
        <w:rPr>
          <w:rFonts w:ascii="Cambria" w:eastAsia="Cambria" w:hAnsi="Cambria" w:cs="Cambria"/>
          <w:sz w:val="20"/>
          <w:szCs w:val="20"/>
        </w:rPr>
        <w:t xml:space="preserve"> Resumido</w:t>
      </w:r>
      <w:r w:rsidRPr="005B081E">
        <w:rPr>
          <w:rFonts w:ascii="Cambria" w:eastAsia="Cambria" w:hAnsi="Cambria" w:cs="Cambria"/>
          <w:sz w:val="20"/>
          <w:szCs w:val="20"/>
        </w:rPr>
        <w:t xml:space="preserve">, toda la información suministrada en pesos argentinos para los ejercicios anuales finalizados al 31 de marzo de 2020, 2019 y 2018, está reexpresada a moneda del 31 de marzo de 2020 y la información financiera, por los periodos de tres meses finalizados el 30 de junio de 2020 y 2019, se encuentra reexpresada en </w:t>
      </w:r>
      <w:r>
        <w:rPr>
          <w:rFonts w:ascii="Cambria" w:eastAsia="Cambria" w:hAnsi="Cambria" w:cs="Cambria"/>
          <w:sz w:val="20"/>
          <w:szCs w:val="20"/>
        </w:rPr>
        <w:t>moneda del 30 de junio de 2020.</w:t>
      </w:r>
    </w:p>
    <w:p w14:paraId="3C56DD77" w14:textId="77777777" w:rsidR="0031285E" w:rsidRPr="005A59F8" w:rsidRDefault="0031285E" w:rsidP="0031285E">
      <w:pPr>
        <w:spacing w:after="240"/>
        <w:jc w:val="both"/>
        <w:rPr>
          <w:rFonts w:ascii="Cambria" w:eastAsia="Cambria" w:hAnsi="Cambria" w:cs="Cambria"/>
          <w:b/>
          <w:bCs/>
          <w:sz w:val="20"/>
          <w:szCs w:val="20"/>
        </w:rPr>
      </w:pPr>
      <w:r w:rsidRPr="005A59F8">
        <w:rPr>
          <w:rFonts w:ascii="Cambria" w:eastAsia="Cambria" w:hAnsi="Cambria" w:cs="Cambria"/>
          <w:b/>
          <w:bCs/>
          <w:sz w:val="20"/>
          <w:szCs w:val="20"/>
        </w:rPr>
        <w:t>Tipos de cambio</w:t>
      </w:r>
    </w:p>
    <w:p w14:paraId="6B7AFF1C" w14:textId="77777777" w:rsidR="0031285E" w:rsidRPr="005B081E" w:rsidRDefault="0031285E" w:rsidP="0031285E">
      <w:pPr>
        <w:spacing w:after="0"/>
        <w:jc w:val="both"/>
        <w:rPr>
          <w:rFonts w:ascii="Cambria" w:eastAsia="Cambria" w:hAnsi="Cambria" w:cs="Cambria"/>
          <w:sz w:val="20"/>
          <w:szCs w:val="20"/>
        </w:rPr>
      </w:pPr>
      <w:r w:rsidRPr="005B081E">
        <w:rPr>
          <w:rFonts w:ascii="Cambria" w:eastAsia="Cambria" w:hAnsi="Cambria" w:cs="Cambria"/>
          <w:sz w:val="20"/>
          <w:szCs w:val="20"/>
        </w:rPr>
        <w:t>Solamente para conveniencia del lector, ciertas cifras incluidas en este Prospecto</w:t>
      </w:r>
      <w:r w:rsidR="00231E12">
        <w:rPr>
          <w:rFonts w:ascii="Cambria" w:eastAsia="Cambria" w:hAnsi="Cambria" w:cs="Cambria"/>
          <w:sz w:val="20"/>
          <w:szCs w:val="20"/>
        </w:rPr>
        <w:t xml:space="preserve"> Resumido</w:t>
      </w:r>
      <w:r w:rsidRPr="005B081E">
        <w:rPr>
          <w:rFonts w:ascii="Cambria" w:eastAsia="Cambria" w:hAnsi="Cambria" w:cs="Cambria"/>
          <w:sz w:val="20"/>
          <w:szCs w:val="20"/>
        </w:rPr>
        <w:t xml:space="preserve"> han sido convertidas de Pesos a Dólares o viceversa. Las cifras se han convertido utilizando el tipo de cambio vigente informado por el BNA a la fecha de cierre de cada ejercicio o periodo aplicable para la </w:t>
      </w:r>
      <w:r w:rsidRPr="005B081E">
        <w:rPr>
          <w:rFonts w:ascii="Cambria" w:eastAsia="Cambria" w:hAnsi="Cambria" w:cs="Cambria"/>
          <w:sz w:val="20"/>
          <w:szCs w:val="20"/>
        </w:rPr>
        <w:lastRenderedPageBreak/>
        <w:t>liquidación de las respectivas operaciones, para el caso de saldos al cierre de cada ejercicio o periodo, y el tipo de cambio vigente al cierre de cada día aplicable para la liquidación de las respectivas operaciones, para el caso de operaciones perfeccionadas en momentos distintos a la fecha de cierre de cada ejercicio o periodo. Estas conversiones no deben ser consideradas representaciones de que los importes han sido, podrían haber sido o podrían ser convertidos en Dólares o a Pesos a ese o a cualquier otro tipo de cambio.</w:t>
      </w:r>
    </w:p>
    <w:p w14:paraId="6899D00D" w14:textId="77777777" w:rsidR="0031285E" w:rsidRPr="006E4259" w:rsidRDefault="0031285E" w:rsidP="0031285E">
      <w:pPr>
        <w:spacing w:after="0"/>
        <w:jc w:val="both"/>
        <w:rPr>
          <w:rFonts w:ascii="Times New Roman" w:hAnsi="Times New Roman"/>
          <w:color w:val="4472C4" w:themeColor="accent5"/>
        </w:rPr>
      </w:pPr>
    </w:p>
    <w:p w14:paraId="6FCF7EBA" w14:textId="77777777" w:rsidR="0031285E" w:rsidRPr="005A59F8" w:rsidRDefault="0031285E" w:rsidP="0031285E">
      <w:pPr>
        <w:spacing w:after="240"/>
        <w:jc w:val="both"/>
        <w:rPr>
          <w:rFonts w:ascii="Cambria" w:eastAsia="Cambria" w:hAnsi="Cambria" w:cs="Cambria"/>
          <w:b/>
          <w:bCs/>
          <w:sz w:val="20"/>
          <w:szCs w:val="20"/>
        </w:rPr>
      </w:pPr>
      <w:r w:rsidRPr="005A59F8">
        <w:rPr>
          <w:rFonts w:ascii="Cambria" w:eastAsia="Cambria" w:hAnsi="Cambria" w:cs="Cambria"/>
          <w:b/>
          <w:bCs/>
          <w:sz w:val="20"/>
          <w:szCs w:val="20"/>
        </w:rPr>
        <w:t>EBTDA Consolidado</w:t>
      </w:r>
    </w:p>
    <w:p w14:paraId="063D9704" w14:textId="77777777" w:rsidR="0031285E" w:rsidRPr="005B081E" w:rsidRDefault="0031285E" w:rsidP="0031285E">
      <w:pPr>
        <w:spacing w:after="0"/>
        <w:jc w:val="both"/>
        <w:rPr>
          <w:rFonts w:ascii="Cambria" w:eastAsia="Cambria" w:hAnsi="Cambria" w:cs="Cambria"/>
          <w:sz w:val="20"/>
          <w:szCs w:val="20"/>
        </w:rPr>
      </w:pPr>
      <w:r w:rsidRPr="005B081E">
        <w:rPr>
          <w:rFonts w:ascii="Cambria" w:eastAsia="Cambria" w:hAnsi="Cambria" w:cs="Cambria"/>
          <w:sz w:val="20"/>
          <w:szCs w:val="20"/>
        </w:rPr>
        <w:t xml:space="preserve">Se ha incluido información del EBTDA consolidado con el solo fin de facilitar la comparación de la performance de las operaciones entre ejercicios o períodos. </w:t>
      </w:r>
      <w:r>
        <w:rPr>
          <w:rFonts w:ascii="Cambria" w:eastAsia="Cambria" w:hAnsi="Cambria" w:cs="Cambria"/>
          <w:sz w:val="20"/>
          <w:szCs w:val="20"/>
        </w:rPr>
        <w:t>No obstante, e</w:t>
      </w:r>
      <w:r w:rsidRPr="005B081E">
        <w:rPr>
          <w:rFonts w:ascii="Cambria" w:eastAsia="Cambria" w:hAnsi="Cambria" w:cs="Cambria"/>
          <w:sz w:val="20"/>
          <w:szCs w:val="20"/>
        </w:rPr>
        <w:t>l EBTDA consolidado no es una medida de la situación financiera de la Emisora ni de su Sociedad Controlada sea bajo las normas de la CNV, Normas Contables Profesionales o bajo las NIIF y, por lo tanto, no debería ser considerada como medida de la situación operativa, de los flujos de fondos de las actividades, o de la liquidez de la Emisora. El EBTDA consolidado de la Emisora para un determinado período o ejercicio comprende la ganancia neta de cada ejercicio</w:t>
      </w:r>
      <w:r>
        <w:rPr>
          <w:rFonts w:ascii="Cambria" w:eastAsia="Cambria" w:hAnsi="Cambria" w:cs="Cambria"/>
          <w:sz w:val="20"/>
          <w:szCs w:val="20"/>
        </w:rPr>
        <w:t xml:space="preserve"> o período</w:t>
      </w:r>
      <w:r w:rsidRPr="005B081E">
        <w:rPr>
          <w:rFonts w:ascii="Cambria" w:eastAsia="Cambria" w:hAnsi="Cambria" w:cs="Cambria"/>
          <w:sz w:val="20"/>
          <w:szCs w:val="20"/>
        </w:rPr>
        <w:t xml:space="preserve"> antes del impuesto a las ganancias </w:t>
      </w:r>
      <w:r>
        <w:rPr>
          <w:rFonts w:ascii="Cambria" w:eastAsia="Cambria" w:hAnsi="Cambria" w:cs="Cambria"/>
          <w:sz w:val="20"/>
          <w:szCs w:val="20"/>
        </w:rPr>
        <w:t>más</w:t>
      </w:r>
      <w:r w:rsidRPr="005B081E">
        <w:rPr>
          <w:rFonts w:ascii="Cambria" w:eastAsia="Cambria" w:hAnsi="Cambria" w:cs="Cambria"/>
          <w:sz w:val="20"/>
          <w:szCs w:val="20"/>
        </w:rPr>
        <w:t xml:space="preserve"> las depreciaciones y amortizaciones. Ver la sección “</w:t>
      </w:r>
      <w:r w:rsidRPr="00231E12">
        <w:rPr>
          <w:rFonts w:ascii="Cambria" w:eastAsia="Cambria" w:hAnsi="Cambria" w:cs="Cambria"/>
          <w:i/>
          <w:sz w:val="20"/>
          <w:szCs w:val="20"/>
        </w:rPr>
        <w:t>Información clave sobre la Emisora</w:t>
      </w:r>
      <w:r w:rsidRPr="005B081E">
        <w:rPr>
          <w:rFonts w:ascii="Cambria" w:eastAsia="Cambria" w:hAnsi="Cambria" w:cs="Cambria"/>
          <w:sz w:val="20"/>
          <w:szCs w:val="20"/>
        </w:rPr>
        <w:t>” y “</w:t>
      </w:r>
      <w:r w:rsidRPr="00231E12">
        <w:rPr>
          <w:rFonts w:ascii="Cambria" w:eastAsia="Cambria" w:hAnsi="Cambria" w:cs="Cambria"/>
          <w:i/>
          <w:sz w:val="20"/>
          <w:szCs w:val="20"/>
        </w:rPr>
        <w:t>Reseña y Perspectiva Operativa y Financiera</w:t>
      </w:r>
      <w:r w:rsidRPr="005B081E">
        <w:rPr>
          <w:rFonts w:ascii="Cambria" w:eastAsia="Cambria" w:hAnsi="Cambria" w:cs="Cambria"/>
          <w:sz w:val="20"/>
          <w:szCs w:val="20"/>
        </w:rPr>
        <w:t>” de este Prospecto.</w:t>
      </w:r>
    </w:p>
    <w:p w14:paraId="03D7283C" w14:textId="77777777" w:rsidR="0031285E" w:rsidRPr="005B081E" w:rsidRDefault="0031285E" w:rsidP="0031285E">
      <w:pPr>
        <w:spacing w:after="0"/>
        <w:jc w:val="both"/>
        <w:rPr>
          <w:rFonts w:ascii="Cambria" w:eastAsia="Cambria" w:hAnsi="Cambria" w:cs="Cambria"/>
          <w:sz w:val="20"/>
          <w:szCs w:val="20"/>
        </w:rPr>
      </w:pPr>
    </w:p>
    <w:p w14:paraId="702F269D" w14:textId="77777777" w:rsidR="0031285E" w:rsidRDefault="0031285E" w:rsidP="0031285E">
      <w:pPr>
        <w:spacing w:after="0"/>
        <w:jc w:val="both"/>
        <w:rPr>
          <w:rFonts w:ascii="Cambria" w:eastAsia="Cambria" w:hAnsi="Cambria" w:cs="Cambria"/>
          <w:sz w:val="20"/>
          <w:szCs w:val="20"/>
        </w:rPr>
      </w:pPr>
      <w:r w:rsidRPr="00200334">
        <w:rPr>
          <w:rFonts w:ascii="Cambria" w:eastAsia="Cambria" w:hAnsi="Cambria" w:cs="Cambria"/>
          <w:sz w:val="20"/>
          <w:szCs w:val="20"/>
        </w:rPr>
        <w:t>El EBTDA consolidado tiene</w:t>
      </w:r>
      <w:r>
        <w:rPr>
          <w:rFonts w:ascii="Cambria" w:eastAsia="Cambria" w:hAnsi="Cambria" w:cs="Cambria"/>
          <w:sz w:val="20"/>
          <w:szCs w:val="20"/>
        </w:rPr>
        <w:t>, por lo tanto,</w:t>
      </w:r>
      <w:r w:rsidRPr="00200334">
        <w:rPr>
          <w:rFonts w:ascii="Cambria" w:eastAsia="Cambria" w:hAnsi="Cambria" w:cs="Cambria"/>
          <w:sz w:val="20"/>
          <w:szCs w:val="20"/>
        </w:rPr>
        <w:t xml:space="preserve"> importantes limitaciones como herramienta analítica, y los inversores no deberán considerarlo en forma separada como un indicativo del efectivo de la Emisora disponible para efectuar pagos de las Obligaciones Negociables</w:t>
      </w:r>
      <w:r>
        <w:rPr>
          <w:rFonts w:ascii="Cambria" w:eastAsia="Cambria" w:hAnsi="Cambria" w:cs="Cambria"/>
          <w:sz w:val="20"/>
          <w:szCs w:val="20"/>
        </w:rPr>
        <w:t>, toda vez que</w:t>
      </w:r>
      <w:r w:rsidRPr="00200334">
        <w:rPr>
          <w:rFonts w:ascii="Cambria" w:eastAsia="Cambria" w:hAnsi="Cambria" w:cs="Cambria"/>
          <w:sz w:val="20"/>
          <w:szCs w:val="20"/>
        </w:rPr>
        <w:t xml:space="preserve"> no refleja (a) el impuesto a las ganancias, el que resulta una parte necesaria y corriente de las operaciones de la Emisora y (b) la depreciación y amortización, los que, debido a que la Emisora debe utilizar las propiedades, equipos y activos intangibles para generar ingresos, resulta una parte necesaria y corriente de los costos de la Emisora. Asimismo, el EBTDA consolidado puede ser calculado de manera diferente por otras compañías en la industria.</w:t>
      </w:r>
    </w:p>
    <w:p w14:paraId="5BE9444D" w14:textId="77777777" w:rsidR="0031285E" w:rsidRPr="006E4259" w:rsidRDefault="0031285E" w:rsidP="0031285E">
      <w:pPr>
        <w:spacing w:after="0"/>
        <w:jc w:val="both"/>
        <w:rPr>
          <w:rFonts w:ascii="Times New Roman" w:hAnsi="Times New Roman"/>
          <w:color w:val="4472C4" w:themeColor="accent5"/>
        </w:rPr>
      </w:pPr>
    </w:p>
    <w:p w14:paraId="1EEE3423" w14:textId="77777777" w:rsidR="0031285E" w:rsidRPr="005A59F8" w:rsidRDefault="0031285E" w:rsidP="0031285E">
      <w:pPr>
        <w:spacing w:after="240"/>
        <w:jc w:val="both"/>
        <w:rPr>
          <w:rFonts w:ascii="Cambria" w:eastAsia="Cambria" w:hAnsi="Cambria" w:cs="Cambria"/>
          <w:b/>
          <w:bCs/>
          <w:sz w:val="20"/>
          <w:szCs w:val="20"/>
        </w:rPr>
      </w:pPr>
      <w:r w:rsidRPr="005A59F8">
        <w:rPr>
          <w:rFonts w:ascii="Cambria" w:eastAsia="Cambria" w:hAnsi="Cambria" w:cs="Cambria"/>
          <w:b/>
          <w:bCs/>
          <w:sz w:val="20"/>
          <w:szCs w:val="20"/>
        </w:rPr>
        <w:t xml:space="preserve">Redondeo </w:t>
      </w:r>
    </w:p>
    <w:p w14:paraId="3352E75A" w14:textId="77777777" w:rsidR="0031285E" w:rsidRPr="005B081E" w:rsidRDefault="0031285E" w:rsidP="0031285E">
      <w:pPr>
        <w:spacing w:after="0"/>
        <w:jc w:val="both"/>
        <w:rPr>
          <w:rFonts w:ascii="Cambria" w:eastAsia="Cambria" w:hAnsi="Cambria" w:cs="Cambria"/>
          <w:sz w:val="20"/>
          <w:szCs w:val="20"/>
        </w:rPr>
      </w:pPr>
      <w:r w:rsidRPr="005B081E">
        <w:rPr>
          <w:rFonts w:ascii="Cambria" w:eastAsia="Cambria" w:hAnsi="Cambria" w:cs="Cambria"/>
          <w:sz w:val="20"/>
          <w:szCs w:val="20"/>
        </w:rPr>
        <w:t>Ciertos montos, incluidos los montos en porcentaje, publicados en este Prospecto</w:t>
      </w:r>
      <w:r w:rsidR="006A25D8">
        <w:rPr>
          <w:rFonts w:ascii="Cambria" w:eastAsia="Cambria" w:hAnsi="Cambria" w:cs="Cambria"/>
          <w:sz w:val="20"/>
          <w:szCs w:val="20"/>
        </w:rPr>
        <w:t xml:space="preserve"> Resumido</w:t>
      </w:r>
      <w:r w:rsidRPr="005B081E">
        <w:rPr>
          <w:rFonts w:ascii="Cambria" w:eastAsia="Cambria" w:hAnsi="Cambria" w:cs="Cambria"/>
          <w:sz w:val="20"/>
          <w:szCs w:val="20"/>
        </w:rPr>
        <w:t xml:space="preserve"> han sido objeto de redondeo a efectos de la presentación. Por esta razón, ciertos porcentajes y sumas totales en este Prospecto</w:t>
      </w:r>
      <w:r w:rsidR="006A25D8">
        <w:rPr>
          <w:rFonts w:ascii="Cambria" w:eastAsia="Cambria" w:hAnsi="Cambria" w:cs="Cambria"/>
          <w:sz w:val="20"/>
          <w:szCs w:val="20"/>
        </w:rPr>
        <w:t xml:space="preserve"> Resumido</w:t>
      </w:r>
      <w:r w:rsidRPr="005B081E">
        <w:rPr>
          <w:rFonts w:ascii="Cambria" w:eastAsia="Cambria" w:hAnsi="Cambria" w:cs="Cambria"/>
          <w:sz w:val="20"/>
          <w:szCs w:val="20"/>
        </w:rPr>
        <w:t xml:space="preserve"> pueden variar de las obtenidas mediante la realización de los mismos cálculos utilizando las cifras de los estados financieros de la Emisora y las cifras indicadas como totales en ciertos cuadros pueden no ser una exacta suma aritmética de las otras sumas indicadas en dichos cuadros.</w:t>
      </w:r>
    </w:p>
    <w:p w14:paraId="0E8229DC" w14:textId="77777777" w:rsidR="0031285E" w:rsidRPr="006E4259" w:rsidRDefault="0031285E" w:rsidP="0031285E">
      <w:pPr>
        <w:spacing w:after="0"/>
        <w:jc w:val="both"/>
        <w:rPr>
          <w:rFonts w:ascii="Times New Roman" w:hAnsi="Times New Roman"/>
          <w:color w:val="4472C4" w:themeColor="accent5"/>
        </w:rPr>
      </w:pPr>
    </w:p>
    <w:p w14:paraId="328C9F4F" w14:textId="77777777" w:rsidR="0031285E" w:rsidRPr="005A59F8" w:rsidRDefault="0031285E" w:rsidP="0031285E">
      <w:pPr>
        <w:spacing w:after="240"/>
        <w:jc w:val="both"/>
        <w:rPr>
          <w:rFonts w:ascii="Cambria" w:eastAsia="Cambria" w:hAnsi="Cambria" w:cs="Cambria"/>
          <w:b/>
          <w:bCs/>
          <w:sz w:val="20"/>
          <w:szCs w:val="20"/>
        </w:rPr>
      </w:pPr>
      <w:r w:rsidRPr="005A59F8">
        <w:rPr>
          <w:rFonts w:ascii="Cambria" w:eastAsia="Cambria" w:hAnsi="Cambria" w:cs="Cambria"/>
          <w:b/>
          <w:bCs/>
          <w:sz w:val="20"/>
          <w:szCs w:val="20"/>
        </w:rPr>
        <w:t>Cambios Significativos</w:t>
      </w:r>
    </w:p>
    <w:p w14:paraId="57C870FD" w14:textId="77777777" w:rsidR="0031285E" w:rsidRPr="005B081E" w:rsidRDefault="0031285E" w:rsidP="0031285E">
      <w:pPr>
        <w:spacing w:after="0"/>
        <w:jc w:val="both"/>
        <w:rPr>
          <w:rFonts w:ascii="Cambria" w:eastAsia="Cambria" w:hAnsi="Cambria" w:cs="Cambria"/>
          <w:sz w:val="20"/>
          <w:szCs w:val="20"/>
        </w:rPr>
      </w:pPr>
      <w:r w:rsidRPr="005B081E">
        <w:rPr>
          <w:rFonts w:ascii="Cambria" w:eastAsia="Cambria" w:hAnsi="Cambria" w:cs="Cambria"/>
          <w:sz w:val="20"/>
          <w:szCs w:val="20"/>
        </w:rPr>
        <w:t>Se hace saber que no han ocurrido cambios significativos desde la fecha de los Estados Financieros Consolidados al 30 de junio de 2020 incluidos en este Prospecto</w:t>
      </w:r>
      <w:r w:rsidR="006A25D8">
        <w:rPr>
          <w:rFonts w:ascii="Cambria" w:eastAsia="Cambria" w:hAnsi="Cambria" w:cs="Cambria"/>
          <w:sz w:val="20"/>
          <w:szCs w:val="20"/>
        </w:rPr>
        <w:t xml:space="preserve"> Resumido</w:t>
      </w:r>
      <w:r w:rsidRPr="005B081E">
        <w:rPr>
          <w:rFonts w:ascii="Cambria" w:eastAsia="Cambria" w:hAnsi="Cambria" w:cs="Cambria"/>
          <w:sz w:val="20"/>
          <w:szCs w:val="20"/>
        </w:rPr>
        <w:t>.</w:t>
      </w:r>
    </w:p>
    <w:p w14:paraId="3FA38B34" w14:textId="77777777" w:rsidR="0031285E" w:rsidRPr="0078630F" w:rsidRDefault="0031285E" w:rsidP="0031285E">
      <w:pPr>
        <w:spacing w:after="0"/>
        <w:jc w:val="both"/>
        <w:rPr>
          <w:rFonts w:ascii="Cambria" w:eastAsia="Cambria" w:hAnsi="Cambria" w:cs="Cambria"/>
          <w:sz w:val="20"/>
          <w:szCs w:val="20"/>
        </w:rPr>
      </w:pPr>
    </w:p>
    <w:p w14:paraId="002015F2" w14:textId="77777777" w:rsidR="0031285E" w:rsidRPr="0078630F" w:rsidRDefault="0031285E" w:rsidP="0031285E">
      <w:pPr>
        <w:spacing w:after="0"/>
        <w:jc w:val="both"/>
        <w:rPr>
          <w:rFonts w:ascii="Cambria" w:eastAsia="Cambria" w:hAnsi="Cambria" w:cs="Cambria"/>
          <w:b/>
          <w:sz w:val="20"/>
          <w:szCs w:val="20"/>
        </w:rPr>
      </w:pPr>
      <w:r w:rsidRPr="0078630F">
        <w:rPr>
          <w:rFonts w:ascii="Cambria" w:eastAsia="Cambria" w:hAnsi="Cambria" w:cs="Cambria"/>
          <w:b/>
          <w:sz w:val="20"/>
          <w:szCs w:val="20"/>
        </w:rPr>
        <w:t>MANIFESTACIONES SOBRE EL FUTURO</w:t>
      </w:r>
    </w:p>
    <w:p w14:paraId="69F6A666" w14:textId="77777777" w:rsidR="0031285E" w:rsidRPr="0078630F" w:rsidRDefault="0031285E" w:rsidP="0031285E">
      <w:pPr>
        <w:spacing w:after="0"/>
        <w:jc w:val="both"/>
        <w:rPr>
          <w:rFonts w:ascii="Cambria" w:eastAsia="Cambria" w:hAnsi="Cambria" w:cs="Cambria"/>
          <w:b/>
          <w:sz w:val="20"/>
          <w:szCs w:val="20"/>
        </w:rPr>
      </w:pPr>
    </w:p>
    <w:p w14:paraId="365A8DD2" w14:textId="77777777" w:rsidR="0031285E" w:rsidRPr="0094450C" w:rsidRDefault="0031285E" w:rsidP="0031285E">
      <w:pPr>
        <w:spacing w:after="0"/>
        <w:jc w:val="both"/>
        <w:rPr>
          <w:rFonts w:ascii="Cambria" w:eastAsia="Cambria" w:hAnsi="Cambria" w:cs="Cambria"/>
          <w:sz w:val="20"/>
          <w:szCs w:val="20"/>
        </w:rPr>
      </w:pPr>
      <w:r w:rsidRPr="0094450C">
        <w:rPr>
          <w:rFonts w:ascii="Cambria" w:eastAsia="Cambria" w:hAnsi="Cambria" w:cs="Cambria"/>
          <w:sz w:val="20"/>
          <w:szCs w:val="20"/>
        </w:rPr>
        <w:t>Este Prospecto</w:t>
      </w:r>
      <w:r w:rsidR="006A25D8">
        <w:rPr>
          <w:rFonts w:ascii="Cambria" w:eastAsia="Cambria" w:hAnsi="Cambria" w:cs="Cambria"/>
          <w:sz w:val="20"/>
          <w:szCs w:val="20"/>
        </w:rPr>
        <w:t xml:space="preserve"> Resumido</w:t>
      </w:r>
      <w:r w:rsidRPr="0094450C">
        <w:rPr>
          <w:rFonts w:ascii="Cambria" w:eastAsia="Cambria" w:hAnsi="Cambria" w:cs="Cambria"/>
          <w:sz w:val="20"/>
          <w:szCs w:val="20"/>
        </w:rPr>
        <w:t xml:space="preserve"> contiene declaraciones que consideramos constituyen manifestaciones a futuro. Estas manifestaciones a futuro pueden incluir declaraciones acerca de la intención, la opinión o las expectativas actuales de la Emisora y de su dirección, incluso manifestaciones sobre tendencias que afectan su situación patrimonial, </w:t>
      </w:r>
      <w:proofErr w:type="gramStart"/>
      <w:r w:rsidRPr="0094450C">
        <w:rPr>
          <w:rFonts w:ascii="Cambria" w:eastAsia="Cambria" w:hAnsi="Cambria" w:cs="Cambria"/>
          <w:sz w:val="20"/>
          <w:szCs w:val="20"/>
        </w:rPr>
        <w:t>ratios financieros</w:t>
      </w:r>
      <w:proofErr w:type="gramEnd"/>
      <w:r w:rsidRPr="0094450C">
        <w:rPr>
          <w:rFonts w:ascii="Cambria" w:eastAsia="Cambria" w:hAnsi="Cambria" w:cs="Cambria"/>
          <w:sz w:val="20"/>
          <w:szCs w:val="20"/>
        </w:rPr>
        <w:t xml:space="preserve">, los resultados de sus operaciones, negocios y estrategias, así como sus planes de gastos de capital, estrategias comerciales, concentración geográfica y políticas de ahorro de costos, inversiones y distribución de dividendos. Estas manifestaciones no garantizan un desempeño futuro y están sujetas a riesgos significativos, incertidumbre, cambios y otros factores que podrían estar fuera del control de la Emisora o ser </w:t>
      </w:r>
      <w:r w:rsidRPr="0094450C">
        <w:rPr>
          <w:rFonts w:ascii="Cambria" w:eastAsia="Cambria" w:hAnsi="Cambria" w:cs="Cambria"/>
          <w:sz w:val="20"/>
          <w:szCs w:val="20"/>
        </w:rPr>
        <w:lastRenderedPageBreak/>
        <w:t>difíciles de predecir. Por lo tanto, la futura situación patrimonial, precios, ratios financieras, resultados de las operaciones, negocios, estrategias, concentración geográfica, gastos de capital, políticas de ahorro de costos, inversiones y distribución de dividendos podrían diferir sustancialmente de los indicados en forma expresa o implícita en tales manifestaciones a futuro. Estos factores incluyen, sin limitación, fluctuaciones monetarias, la capacidad de reducir costos y aumentar la eficiencia operativa sin interrumpir las operaciones, consideraciones ambientales, regulatorias y legales y las condiciones económicas y comerciales generales de la Argentina, así como otros factores que se describen en las secciones “</w:t>
      </w:r>
      <w:r w:rsidRPr="001B356B">
        <w:rPr>
          <w:rFonts w:ascii="Cambria" w:eastAsia="Cambria" w:hAnsi="Cambria" w:cs="Cambria"/>
          <w:i/>
          <w:sz w:val="20"/>
          <w:szCs w:val="20"/>
        </w:rPr>
        <w:t>Factores de Riesgo</w:t>
      </w:r>
      <w:r w:rsidRPr="0094450C">
        <w:rPr>
          <w:rFonts w:ascii="Cambria" w:eastAsia="Cambria" w:hAnsi="Cambria" w:cs="Cambria"/>
          <w:sz w:val="20"/>
          <w:szCs w:val="20"/>
        </w:rPr>
        <w:t>” y “</w:t>
      </w:r>
      <w:r w:rsidRPr="001B356B">
        <w:rPr>
          <w:rFonts w:ascii="Cambria" w:eastAsia="Cambria" w:hAnsi="Cambria" w:cs="Cambria"/>
          <w:i/>
          <w:sz w:val="20"/>
          <w:szCs w:val="20"/>
        </w:rPr>
        <w:t>Reseña y Perspectiva Operativa y Financiera</w:t>
      </w:r>
      <w:r w:rsidRPr="0094450C">
        <w:rPr>
          <w:rFonts w:ascii="Cambria" w:eastAsia="Cambria" w:hAnsi="Cambria" w:cs="Cambria"/>
          <w:sz w:val="20"/>
          <w:szCs w:val="20"/>
        </w:rPr>
        <w:t>”. Ni la Emisora ni los Colocadores, si hubiera, se comprometen a actualizar públicamente o revisar estas manifestaciones a futuro aún si como resultado de la experiencia o futuros cambios resulta claro que los resultados o condiciones proyectados no serán los allí indicados en forma expresa o implícita. En virtud de los riesgos e incertidumbres descriptos, los hechos a los que se refieren las estimaciones o en las manifestaciones a futuro incluidos en este Prospecto</w:t>
      </w:r>
      <w:r w:rsidR="006A25D8">
        <w:rPr>
          <w:rFonts w:ascii="Cambria" w:eastAsia="Cambria" w:hAnsi="Cambria" w:cs="Cambria"/>
          <w:sz w:val="20"/>
          <w:szCs w:val="20"/>
        </w:rPr>
        <w:t xml:space="preserve"> Resumido</w:t>
      </w:r>
      <w:r w:rsidRPr="0094450C">
        <w:rPr>
          <w:rFonts w:ascii="Cambria" w:eastAsia="Cambria" w:hAnsi="Cambria" w:cs="Cambria"/>
          <w:sz w:val="20"/>
          <w:szCs w:val="20"/>
        </w:rPr>
        <w:t xml:space="preserve"> pueden o no ocurrir y el desempeño de los negocios de la Emisora y los resultados de sus operaciones pueden diferir significativamente de aquellos previstos en las estimaciones o en las manifestaciones a futuro debido a factores que incluyen, pero no se encuentran limitados aquellos descriptos arriba. Los inversores han sido advertidos a no fiarse indebidamente en las estimaciones o manifestaciones a futuro al momento de tomar decisiones relacionadas con la inversión en las Obligaciones Negociables.</w:t>
      </w:r>
    </w:p>
    <w:p w14:paraId="4AFF6F54" w14:textId="77777777" w:rsidR="0031285E" w:rsidRDefault="0031285E">
      <w:pPr>
        <w:spacing w:after="160" w:line="259" w:lineRule="auto"/>
      </w:pPr>
      <w:r>
        <w:br w:type="page"/>
      </w:r>
    </w:p>
    <w:p w14:paraId="445ED2A4" w14:textId="77777777" w:rsidR="0031285E" w:rsidRPr="00F10DA5" w:rsidRDefault="0031285E" w:rsidP="0031285E">
      <w:pPr>
        <w:pStyle w:val="Ttulo1"/>
        <w:numPr>
          <w:ilvl w:val="0"/>
          <w:numId w:val="1"/>
        </w:numPr>
        <w:rPr>
          <w:rFonts w:eastAsia="Cambria" w:cs="Cambria"/>
          <w:sz w:val="20"/>
          <w:szCs w:val="20"/>
        </w:rPr>
      </w:pPr>
      <w:bookmarkStart w:id="10" w:name="_Toc48825209"/>
      <w:r w:rsidRPr="00F10DA5">
        <w:rPr>
          <w:rFonts w:eastAsia="Cambria" w:cs="Cambria"/>
          <w:sz w:val="20"/>
          <w:szCs w:val="20"/>
        </w:rPr>
        <w:lastRenderedPageBreak/>
        <w:t>DATOS ESTADÍSTICOS Y PROGRAMA PREVISTO PARA LA OFERTA</w:t>
      </w:r>
      <w:bookmarkEnd w:id="10"/>
    </w:p>
    <w:p w14:paraId="04C3B15A" w14:textId="77777777" w:rsidR="0031285E" w:rsidRPr="006E4259" w:rsidRDefault="0031285E" w:rsidP="0031285E"/>
    <w:p w14:paraId="62778004" w14:textId="77777777" w:rsidR="0031285E" w:rsidRPr="0078630F" w:rsidRDefault="0031285E" w:rsidP="0031285E">
      <w:pPr>
        <w:jc w:val="both"/>
        <w:rPr>
          <w:rFonts w:ascii="Cambria" w:eastAsia="Cambria" w:hAnsi="Cambria" w:cs="Cambria"/>
          <w:i/>
          <w:sz w:val="20"/>
          <w:szCs w:val="20"/>
        </w:rPr>
      </w:pPr>
      <w:r w:rsidRPr="0078630F">
        <w:rPr>
          <w:rFonts w:ascii="Cambria" w:eastAsia="Cambria" w:hAnsi="Cambria" w:cs="Cambria"/>
          <w:i/>
          <w:sz w:val="20"/>
          <w:szCs w:val="20"/>
        </w:rPr>
        <w:t>Los términos y condiciones aplicables a cada clase y/o serie de las Obligaciones Negociables en particular constarán en el Suplemento de Precio correspondiente, en el cual se podrán completar o ampliar, respecto de dicha clase y/o serie en particular, los términos y condiciones generales de las Obligaciones Negociables que se incluyen en el siguiente texto y que se aplicarán a cada clase y/o serie de las Obligaciones Negociables. El siguiente es un resumen de los términos y condiciones generales de las Obligaciones Negociables que se describen en la sección “De la Oferta y Negociación – Términos y Condiciones de las O</w:t>
      </w:r>
      <w:r w:rsidR="006A25D8">
        <w:rPr>
          <w:rFonts w:ascii="Cambria" w:eastAsia="Cambria" w:hAnsi="Cambria" w:cs="Cambria"/>
          <w:i/>
          <w:sz w:val="20"/>
          <w:szCs w:val="20"/>
        </w:rPr>
        <w:t>bligaciones Negociables” del</w:t>
      </w:r>
      <w:r w:rsidRPr="0078630F">
        <w:rPr>
          <w:rFonts w:ascii="Cambria" w:eastAsia="Cambria" w:hAnsi="Cambria" w:cs="Cambria"/>
          <w:i/>
          <w:sz w:val="20"/>
          <w:szCs w:val="20"/>
        </w:rPr>
        <w:t xml:space="preserve"> Prospecto, y está condicionado en su totalidad por la información más detallada co</w:t>
      </w:r>
      <w:r w:rsidR="006A25D8">
        <w:rPr>
          <w:rFonts w:ascii="Cambria" w:eastAsia="Cambria" w:hAnsi="Cambria" w:cs="Cambria"/>
          <w:i/>
          <w:sz w:val="20"/>
          <w:szCs w:val="20"/>
        </w:rPr>
        <w:t>ntenida en dicha sección del</w:t>
      </w:r>
      <w:r w:rsidRPr="0078630F">
        <w:rPr>
          <w:rFonts w:ascii="Cambria" w:eastAsia="Cambria" w:hAnsi="Cambria" w:cs="Cambria"/>
          <w:i/>
          <w:sz w:val="20"/>
          <w:szCs w:val="20"/>
        </w:rPr>
        <w:t xml:space="preserve"> Prospecto.</w:t>
      </w:r>
    </w:p>
    <w:tbl>
      <w:tblPr>
        <w:tblStyle w:val="10"/>
        <w:tblW w:w="8752" w:type="dxa"/>
        <w:tblInd w:w="-108" w:type="dxa"/>
        <w:tblLayout w:type="fixed"/>
        <w:tblLook w:val="0000" w:firstRow="0" w:lastRow="0" w:firstColumn="0" w:lastColumn="0" w:noHBand="0" w:noVBand="0"/>
      </w:tblPr>
      <w:tblGrid>
        <w:gridCol w:w="70"/>
        <w:gridCol w:w="166"/>
        <w:gridCol w:w="2797"/>
        <w:gridCol w:w="70"/>
        <w:gridCol w:w="5511"/>
        <w:gridCol w:w="138"/>
      </w:tblGrid>
      <w:tr w:rsidR="0031285E" w:rsidRPr="0078630F" w14:paraId="54E4F52A" w14:textId="77777777" w:rsidTr="006A25D8">
        <w:trPr>
          <w:gridBefore w:val="1"/>
          <w:wBefore w:w="70" w:type="dxa"/>
        </w:trPr>
        <w:tc>
          <w:tcPr>
            <w:tcW w:w="3033" w:type="dxa"/>
            <w:gridSpan w:val="3"/>
          </w:tcPr>
          <w:p w14:paraId="1D770DBF" w14:textId="77777777" w:rsidR="0031285E" w:rsidRPr="0078630F" w:rsidRDefault="0031285E" w:rsidP="006A25D8">
            <w:pPr>
              <w:rPr>
                <w:rFonts w:ascii="Cambria" w:eastAsia="Cambria" w:hAnsi="Cambria" w:cs="Cambria"/>
                <w:b/>
                <w:sz w:val="20"/>
                <w:szCs w:val="20"/>
              </w:rPr>
            </w:pPr>
            <w:r w:rsidRPr="0078630F">
              <w:rPr>
                <w:rFonts w:ascii="Cambria" w:eastAsia="Cambria" w:hAnsi="Cambria" w:cs="Cambria"/>
                <w:b/>
                <w:sz w:val="20"/>
                <w:szCs w:val="20"/>
              </w:rPr>
              <w:t>Descripción:</w:t>
            </w:r>
          </w:p>
        </w:tc>
        <w:tc>
          <w:tcPr>
            <w:tcW w:w="5649" w:type="dxa"/>
            <w:gridSpan w:val="2"/>
          </w:tcPr>
          <w:p w14:paraId="7B570843" w14:textId="77777777" w:rsidR="0031285E" w:rsidRPr="0078630F" w:rsidRDefault="0031285E" w:rsidP="006A25D8">
            <w:pPr>
              <w:jc w:val="both"/>
              <w:rPr>
                <w:rFonts w:ascii="Cambria" w:eastAsia="Cambria" w:hAnsi="Cambria" w:cs="Cambria"/>
                <w:sz w:val="20"/>
                <w:szCs w:val="20"/>
              </w:rPr>
            </w:pPr>
            <w:r w:rsidRPr="0078630F">
              <w:rPr>
                <w:rFonts w:ascii="Cambria" w:eastAsia="Cambria" w:hAnsi="Cambria" w:cs="Cambria"/>
                <w:sz w:val="20"/>
                <w:szCs w:val="20"/>
              </w:rPr>
              <w:t>Las Obligaciones Negociables serán obligaciones negociables simples convertibles o no en acciones, a corto, mediano o largo plazo, subordinadas o no, con garantía especial o con garantía común sobre el patrimonio de la Emisora.</w:t>
            </w:r>
          </w:p>
        </w:tc>
      </w:tr>
      <w:tr w:rsidR="0031285E" w:rsidRPr="0078630F" w14:paraId="18AF5B59" w14:textId="77777777" w:rsidTr="006A25D8">
        <w:trPr>
          <w:gridBefore w:val="1"/>
          <w:wBefore w:w="70" w:type="dxa"/>
        </w:trPr>
        <w:tc>
          <w:tcPr>
            <w:tcW w:w="3033" w:type="dxa"/>
            <w:gridSpan w:val="3"/>
          </w:tcPr>
          <w:p w14:paraId="6E9E2BCA" w14:textId="77777777" w:rsidR="0031285E" w:rsidRPr="0078630F" w:rsidRDefault="0031285E" w:rsidP="006A25D8">
            <w:pPr>
              <w:rPr>
                <w:rFonts w:ascii="Cambria" w:eastAsia="Cambria" w:hAnsi="Cambria" w:cs="Cambria"/>
                <w:b/>
                <w:sz w:val="20"/>
                <w:szCs w:val="20"/>
              </w:rPr>
            </w:pPr>
            <w:r w:rsidRPr="0078630F">
              <w:rPr>
                <w:rFonts w:ascii="Cambria" w:eastAsia="Cambria" w:hAnsi="Cambria" w:cs="Cambria"/>
                <w:b/>
                <w:sz w:val="20"/>
                <w:szCs w:val="20"/>
              </w:rPr>
              <w:t>Monto Máximo:</w:t>
            </w:r>
          </w:p>
        </w:tc>
        <w:tc>
          <w:tcPr>
            <w:tcW w:w="5649" w:type="dxa"/>
            <w:gridSpan w:val="2"/>
          </w:tcPr>
          <w:p w14:paraId="4502D4ED" w14:textId="77777777" w:rsidR="0031285E" w:rsidRPr="0078630F" w:rsidRDefault="0031285E" w:rsidP="006A25D8">
            <w:pPr>
              <w:jc w:val="both"/>
              <w:rPr>
                <w:rFonts w:ascii="Cambria" w:eastAsia="Cambria" w:hAnsi="Cambria" w:cs="Cambria"/>
                <w:sz w:val="20"/>
                <w:szCs w:val="20"/>
              </w:rPr>
            </w:pPr>
            <w:r w:rsidRPr="0078630F">
              <w:rPr>
                <w:rFonts w:ascii="Cambria" w:eastAsia="Cambria" w:hAnsi="Cambria" w:cs="Cambria"/>
                <w:sz w:val="20"/>
                <w:szCs w:val="20"/>
              </w:rPr>
              <w:t>El monto máximo de las Obligaciones Negociables en circulación en cualquier momento bajo el Programa no podrá [exceder de V/N US$ 150.000.000, o su equivalente en otras monedas</w:t>
            </w:r>
            <w:r>
              <w:rPr>
                <w:rFonts w:ascii="Cambria" w:eastAsia="Cambria" w:hAnsi="Cambria" w:cs="Cambria"/>
                <w:sz w:val="20"/>
                <w:szCs w:val="20"/>
              </w:rPr>
              <w:t xml:space="preserve"> o unidades monetarias de valor</w:t>
            </w:r>
            <w:r w:rsidRPr="0078630F">
              <w:rPr>
                <w:rFonts w:ascii="Cambria" w:eastAsia="Cambria" w:hAnsi="Cambria" w:cs="Cambria"/>
                <w:sz w:val="20"/>
                <w:szCs w:val="20"/>
              </w:rPr>
              <w:t>.</w:t>
            </w:r>
          </w:p>
        </w:tc>
      </w:tr>
      <w:tr w:rsidR="0031285E" w:rsidRPr="0078630F" w14:paraId="2CB21372" w14:textId="77777777" w:rsidTr="006A25D8">
        <w:trPr>
          <w:gridBefore w:val="1"/>
          <w:wBefore w:w="70" w:type="dxa"/>
        </w:trPr>
        <w:tc>
          <w:tcPr>
            <w:tcW w:w="3033" w:type="dxa"/>
            <w:gridSpan w:val="3"/>
          </w:tcPr>
          <w:p w14:paraId="1A50113E" w14:textId="77777777" w:rsidR="0031285E" w:rsidRPr="0078630F" w:rsidRDefault="0031285E" w:rsidP="006A25D8">
            <w:pPr>
              <w:rPr>
                <w:rFonts w:ascii="Cambria" w:eastAsia="Cambria" w:hAnsi="Cambria" w:cs="Cambria"/>
                <w:b/>
                <w:sz w:val="20"/>
                <w:szCs w:val="20"/>
              </w:rPr>
            </w:pPr>
            <w:r w:rsidRPr="0078630F">
              <w:rPr>
                <w:rFonts w:ascii="Cambria" w:eastAsia="Cambria" w:hAnsi="Cambria" w:cs="Cambria"/>
                <w:b/>
                <w:sz w:val="20"/>
                <w:szCs w:val="20"/>
              </w:rPr>
              <w:t>Monedas:</w:t>
            </w:r>
          </w:p>
        </w:tc>
        <w:tc>
          <w:tcPr>
            <w:tcW w:w="5649" w:type="dxa"/>
            <w:gridSpan w:val="2"/>
          </w:tcPr>
          <w:p w14:paraId="0CB23BF0" w14:textId="77777777" w:rsidR="0031285E" w:rsidRPr="0078630F" w:rsidRDefault="0031285E" w:rsidP="006A25D8">
            <w:pPr>
              <w:jc w:val="both"/>
              <w:rPr>
                <w:rFonts w:ascii="Cambria" w:eastAsia="Cambria" w:hAnsi="Cambria" w:cs="Cambria"/>
                <w:sz w:val="20"/>
                <w:szCs w:val="20"/>
              </w:rPr>
            </w:pPr>
            <w:r w:rsidRPr="0078630F">
              <w:rPr>
                <w:rFonts w:ascii="Cambria" w:eastAsia="Cambria" w:hAnsi="Cambria" w:cs="Cambria"/>
                <w:sz w:val="20"/>
                <w:szCs w:val="20"/>
              </w:rPr>
              <w:t>Las Obligaciones Negociables podrán estar denominadas en Dólares, Pesos o en cualquier otra moneda</w:t>
            </w:r>
            <w:r>
              <w:rPr>
                <w:rFonts w:ascii="Cambria" w:eastAsia="Cambria" w:hAnsi="Cambria" w:cs="Cambria"/>
                <w:sz w:val="20"/>
                <w:szCs w:val="20"/>
              </w:rPr>
              <w:t xml:space="preserve"> </w:t>
            </w:r>
            <w:r w:rsidRPr="0094426F">
              <w:rPr>
                <w:rFonts w:ascii="Cambria" w:eastAsia="Cambria" w:hAnsi="Cambria" w:cs="Cambria"/>
                <w:sz w:val="20"/>
                <w:szCs w:val="20"/>
              </w:rPr>
              <w:t>o unidades monetarias de valor, entre las que se encuentran, a la fecha del presente Prospecto</w:t>
            </w:r>
            <w:r w:rsidR="003F02DD">
              <w:rPr>
                <w:rFonts w:ascii="Cambria" w:eastAsia="Cambria" w:hAnsi="Cambria" w:cs="Cambria"/>
                <w:sz w:val="20"/>
                <w:szCs w:val="20"/>
              </w:rPr>
              <w:t xml:space="preserve"> Resumido</w:t>
            </w:r>
            <w:r w:rsidRPr="0094426F">
              <w:rPr>
                <w:rFonts w:ascii="Cambria" w:eastAsia="Cambria" w:hAnsi="Cambria" w:cs="Cambria"/>
                <w:sz w:val="20"/>
                <w:szCs w:val="20"/>
              </w:rPr>
              <w:t>, las UVAs y UVIs</w:t>
            </w:r>
            <w:r w:rsidRPr="0078630F">
              <w:rPr>
                <w:rFonts w:ascii="Cambria" w:eastAsia="Cambria" w:hAnsi="Cambria" w:cs="Cambria"/>
                <w:sz w:val="20"/>
                <w:szCs w:val="20"/>
              </w:rPr>
              <w:t>, según se especifique en cada Suplemento de Precio correspondiente.</w:t>
            </w:r>
          </w:p>
        </w:tc>
      </w:tr>
      <w:tr w:rsidR="0031285E" w:rsidRPr="0078630F" w14:paraId="1A28D4DD" w14:textId="77777777" w:rsidTr="006A25D8">
        <w:trPr>
          <w:gridAfter w:val="1"/>
          <w:wAfter w:w="138" w:type="dxa"/>
        </w:trPr>
        <w:tc>
          <w:tcPr>
            <w:tcW w:w="236" w:type="dxa"/>
            <w:gridSpan w:val="2"/>
            <w:tcMar>
              <w:left w:w="108" w:type="dxa"/>
              <w:right w:w="108" w:type="dxa"/>
            </w:tcMar>
          </w:tcPr>
          <w:p w14:paraId="46A0CB2A" w14:textId="77777777" w:rsidR="0031285E" w:rsidRPr="009B409B" w:rsidRDefault="0031285E" w:rsidP="006A25D8">
            <w:pPr>
              <w:widowControl w:val="0"/>
              <w:pBdr>
                <w:top w:val="nil"/>
                <w:left w:val="nil"/>
                <w:bottom w:val="nil"/>
                <w:right w:val="nil"/>
                <w:between w:val="nil"/>
              </w:pBdr>
              <w:spacing w:after="0"/>
              <w:rPr>
                <w:rFonts w:ascii="Cambria" w:eastAsia="Times New Roman" w:hAnsi="Cambria"/>
                <w:sz w:val="20"/>
                <w:szCs w:val="20"/>
              </w:rPr>
            </w:pPr>
          </w:p>
        </w:tc>
        <w:tc>
          <w:tcPr>
            <w:tcW w:w="2797" w:type="dxa"/>
            <w:tcMar>
              <w:left w:w="108" w:type="dxa"/>
              <w:right w:w="108" w:type="dxa"/>
            </w:tcMar>
          </w:tcPr>
          <w:p w14:paraId="219EE06D" w14:textId="77777777" w:rsidR="0031285E" w:rsidRPr="0078630F" w:rsidRDefault="0031285E" w:rsidP="006A25D8">
            <w:pPr>
              <w:rPr>
                <w:rFonts w:ascii="Cambria" w:eastAsia="Cambria" w:hAnsi="Cambria" w:cs="Cambria"/>
                <w:b/>
                <w:sz w:val="20"/>
                <w:szCs w:val="20"/>
              </w:rPr>
            </w:pPr>
            <w:r w:rsidRPr="0078630F">
              <w:rPr>
                <w:rFonts w:ascii="Cambria" w:eastAsia="Cambria" w:hAnsi="Cambria" w:cs="Cambria"/>
                <w:b/>
                <w:sz w:val="20"/>
                <w:szCs w:val="20"/>
              </w:rPr>
              <w:t>Denominación en UVIs o UVAs</w:t>
            </w:r>
          </w:p>
        </w:tc>
        <w:tc>
          <w:tcPr>
            <w:tcW w:w="5581" w:type="dxa"/>
            <w:gridSpan w:val="2"/>
            <w:tcMar>
              <w:left w:w="108" w:type="dxa"/>
              <w:right w:w="108" w:type="dxa"/>
            </w:tcMar>
          </w:tcPr>
          <w:p w14:paraId="67148B17" w14:textId="77777777" w:rsidR="0031285E" w:rsidRPr="0078630F" w:rsidRDefault="0031285E" w:rsidP="006A25D8">
            <w:pPr>
              <w:jc w:val="both"/>
              <w:rPr>
                <w:rFonts w:ascii="Cambria" w:eastAsia="Cambria" w:hAnsi="Cambria" w:cs="Cambria"/>
                <w:sz w:val="20"/>
                <w:szCs w:val="20"/>
              </w:rPr>
            </w:pPr>
            <w:r w:rsidRPr="0078630F">
              <w:rPr>
                <w:rFonts w:ascii="Cambria" w:eastAsia="Cambria" w:hAnsi="Cambria" w:cs="Cambria"/>
                <w:sz w:val="20"/>
                <w:szCs w:val="20"/>
              </w:rPr>
              <w:t>Las Obligaciones Negociables podrán estar denominadas en Unidades de Vivienda actualizables por el Índice del Costo de la Construcción en el Gran Buenos Aires, en virtud de la Ley N° 27.271 (“UVI”) o en Unidades de Valor Adquisitivo, actualizables por el Coeficiente de Estabilización de Referencia, en virtud de la Ley N° 25.827 y de conformidad con lo dispuesto por el Decreto de Necesidad y Urgencia N°146/2017 del Poder Ejecutivo Nacional (“UVA”).</w:t>
            </w:r>
          </w:p>
        </w:tc>
      </w:tr>
      <w:tr w:rsidR="0031285E" w:rsidRPr="0078630F" w14:paraId="3362ADBC" w14:textId="77777777" w:rsidTr="006A25D8">
        <w:trPr>
          <w:gridBefore w:val="1"/>
          <w:wBefore w:w="70" w:type="dxa"/>
        </w:trPr>
        <w:tc>
          <w:tcPr>
            <w:tcW w:w="3033" w:type="dxa"/>
            <w:gridSpan w:val="3"/>
          </w:tcPr>
          <w:p w14:paraId="2B7ADE28" w14:textId="77777777" w:rsidR="0031285E" w:rsidRPr="0078630F" w:rsidRDefault="0031285E" w:rsidP="006A25D8">
            <w:pPr>
              <w:rPr>
                <w:rFonts w:ascii="Cambria" w:eastAsia="Cambria" w:hAnsi="Cambria" w:cs="Cambria"/>
                <w:b/>
                <w:sz w:val="20"/>
                <w:szCs w:val="20"/>
              </w:rPr>
            </w:pPr>
            <w:r w:rsidRPr="0078630F">
              <w:rPr>
                <w:rFonts w:ascii="Cambria" w:eastAsia="Cambria" w:hAnsi="Cambria" w:cs="Cambria"/>
                <w:b/>
                <w:sz w:val="20"/>
                <w:szCs w:val="20"/>
              </w:rPr>
              <w:t>Precio de Emisión:</w:t>
            </w:r>
          </w:p>
        </w:tc>
        <w:tc>
          <w:tcPr>
            <w:tcW w:w="5649" w:type="dxa"/>
            <w:gridSpan w:val="2"/>
          </w:tcPr>
          <w:p w14:paraId="23A95D07" w14:textId="77777777" w:rsidR="0031285E" w:rsidRPr="0078630F" w:rsidRDefault="0031285E" w:rsidP="003F02DD">
            <w:pPr>
              <w:jc w:val="both"/>
              <w:rPr>
                <w:rFonts w:ascii="Cambria" w:eastAsia="Cambria" w:hAnsi="Cambria" w:cs="Cambria"/>
                <w:sz w:val="20"/>
                <w:szCs w:val="20"/>
              </w:rPr>
            </w:pPr>
            <w:r w:rsidRPr="0078630F">
              <w:rPr>
                <w:rFonts w:ascii="Cambria" w:eastAsia="Cambria" w:hAnsi="Cambria" w:cs="Cambria"/>
                <w:sz w:val="20"/>
                <w:szCs w:val="20"/>
              </w:rPr>
              <w:t>Las Obligaciones Negociables podrán ser emitidas a la par, con desc</w:t>
            </w:r>
            <w:r>
              <w:rPr>
                <w:rFonts w:ascii="Cambria" w:eastAsia="Cambria" w:hAnsi="Cambria" w:cs="Cambria"/>
                <w:sz w:val="20"/>
                <w:szCs w:val="20"/>
              </w:rPr>
              <w:t xml:space="preserve">uento o con prima sobre </w:t>
            </w:r>
            <w:proofErr w:type="gramStart"/>
            <w:r>
              <w:rPr>
                <w:rFonts w:ascii="Cambria" w:eastAsia="Cambria" w:hAnsi="Cambria" w:cs="Cambria"/>
                <w:sz w:val="20"/>
                <w:szCs w:val="20"/>
              </w:rPr>
              <w:t>la par</w:t>
            </w:r>
            <w:proofErr w:type="gramEnd"/>
            <w:r>
              <w:rPr>
                <w:rFonts w:ascii="Cambria" w:eastAsia="Cambria" w:hAnsi="Cambria" w:cs="Cambria"/>
                <w:sz w:val="20"/>
                <w:szCs w:val="20"/>
              </w:rPr>
              <w:t>,</w:t>
            </w:r>
            <w:r w:rsidRPr="0078630F">
              <w:rPr>
                <w:rFonts w:ascii="Cambria" w:eastAsia="Cambria" w:hAnsi="Cambria" w:cs="Cambria"/>
                <w:sz w:val="20"/>
                <w:szCs w:val="20"/>
              </w:rPr>
              <w:t xml:space="preserve"> o estar sujetas a cualquier otra condición y modalidad, según se especifique en cada Suplemento de Precio correspondiente aplic</w:t>
            </w:r>
            <w:r>
              <w:rPr>
                <w:rFonts w:ascii="Cambria" w:eastAsia="Cambria" w:hAnsi="Cambria" w:cs="Cambria"/>
                <w:sz w:val="20"/>
                <w:szCs w:val="20"/>
              </w:rPr>
              <w:t>able a su Clase o Serie</w:t>
            </w:r>
            <w:r w:rsidRPr="0078630F">
              <w:rPr>
                <w:rFonts w:ascii="Cambria" w:eastAsia="Cambria" w:hAnsi="Cambria" w:cs="Cambria"/>
                <w:sz w:val="20"/>
                <w:szCs w:val="20"/>
              </w:rPr>
              <w:t xml:space="preserve">. Para </w:t>
            </w:r>
            <w:proofErr w:type="gramStart"/>
            <w:r w:rsidRPr="0078630F">
              <w:rPr>
                <w:rFonts w:ascii="Cambria" w:eastAsia="Cambria" w:hAnsi="Cambria" w:cs="Cambria"/>
                <w:sz w:val="20"/>
                <w:szCs w:val="20"/>
              </w:rPr>
              <w:t>mayor información</w:t>
            </w:r>
            <w:proofErr w:type="gramEnd"/>
            <w:r w:rsidRPr="0078630F">
              <w:rPr>
                <w:rFonts w:ascii="Cambria" w:eastAsia="Cambria" w:hAnsi="Cambria" w:cs="Cambria"/>
                <w:sz w:val="20"/>
                <w:szCs w:val="20"/>
              </w:rPr>
              <w:t xml:space="preserve"> véase </w:t>
            </w:r>
            <w:r w:rsidRPr="0078630F">
              <w:rPr>
                <w:rFonts w:ascii="Cambria" w:eastAsia="Cambria" w:hAnsi="Cambria" w:cs="Cambria"/>
                <w:color w:val="000000"/>
                <w:sz w:val="20"/>
                <w:szCs w:val="20"/>
              </w:rPr>
              <w:t>“</w:t>
            </w:r>
            <w:r w:rsidRPr="0078630F">
              <w:rPr>
                <w:rFonts w:ascii="Cambria" w:eastAsia="Cambria" w:hAnsi="Cambria" w:cs="Cambria"/>
                <w:i/>
                <w:color w:val="000000"/>
                <w:sz w:val="20"/>
                <w:szCs w:val="20"/>
              </w:rPr>
              <w:t>De la Oferta y Negociación – Términos y Condiciones de las Obligaciones Negociables –</w:t>
            </w:r>
            <w:r w:rsidRPr="0078630F">
              <w:rPr>
                <w:rFonts w:ascii="Cambria" w:eastAsia="Cambria" w:hAnsi="Cambria" w:cs="Cambria"/>
                <w:b/>
                <w:sz w:val="20"/>
                <w:szCs w:val="20"/>
              </w:rPr>
              <w:t xml:space="preserve"> </w:t>
            </w:r>
            <w:r w:rsidRPr="0078630F">
              <w:rPr>
                <w:rFonts w:ascii="Cambria" w:eastAsia="Cambria" w:hAnsi="Cambria" w:cs="Cambria"/>
                <w:i/>
                <w:sz w:val="20"/>
                <w:szCs w:val="20"/>
              </w:rPr>
              <w:t>Precio de Emisión</w:t>
            </w:r>
            <w:r w:rsidRPr="0078630F">
              <w:rPr>
                <w:rFonts w:ascii="Cambria" w:eastAsia="Cambria" w:hAnsi="Cambria" w:cs="Cambria"/>
                <w:i/>
                <w:color w:val="000000"/>
                <w:sz w:val="20"/>
                <w:szCs w:val="20"/>
              </w:rPr>
              <w:t xml:space="preserve">” </w:t>
            </w:r>
            <w:r w:rsidR="003F02DD">
              <w:rPr>
                <w:rFonts w:ascii="Cambria" w:eastAsia="Cambria" w:hAnsi="Cambria" w:cs="Cambria"/>
                <w:color w:val="000000"/>
                <w:sz w:val="20"/>
                <w:szCs w:val="20"/>
              </w:rPr>
              <w:t xml:space="preserve">del </w:t>
            </w:r>
            <w:r w:rsidRPr="0078630F">
              <w:rPr>
                <w:rFonts w:ascii="Cambria" w:eastAsia="Cambria" w:hAnsi="Cambria" w:cs="Cambria"/>
                <w:color w:val="000000"/>
                <w:sz w:val="20"/>
                <w:szCs w:val="20"/>
              </w:rPr>
              <w:t>Prospecto.</w:t>
            </w:r>
          </w:p>
        </w:tc>
      </w:tr>
      <w:tr w:rsidR="0031285E" w:rsidRPr="0078630F" w14:paraId="4D565421" w14:textId="77777777" w:rsidTr="006A25D8">
        <w:trPr>
          <w:gridBefore w:val="1"/>
          <w:wBefore w:w="70" w:type="dxa"/>
        </w:trPr>
        <w:tc>
          <w:tcPr>
            <w:tcW w:w="3033" w:type="dxa"/>
            <w:gridSpan w:val="3"/>
          </w:tcPr>
          <w:p w14:paraId="6BAFD71E" w14:textId="77777777" w:rsidR="0031285E" w:rsidRPr="0078630F" w:rsidRDefault="0031285E" w:rsidP="006A25D8">
            <w:pPr>
              <w:rPr>
                <w:rFonts w:ascii="Cambria" w:eastAsia="Cambria" w:hAnsi="Cambria" w:cs="Cambria"/>
                <w:b/>
                <w:sz w:val="20"/>
                <w:szCs w:val="20"/>
              </w:rPr>
            </w:pPr>
            <w:r w:rsidRPr="0078630F">
              <w:rPr>
                <w:rFonts w:ascii="Cambria" w:eastAsia="Cambria" w:hAnsi="Cambria" w:cs="Cambria"/>
                <w:b/>
                <w:sz w:val="20"/>
                <w:szCs w:val="20"/>
              </w:rPr>
              <w:t>Clases y series:</w:t>
            </w:r>
          </w:p>
        </w:tc>
        <w:tc>
          <w:tcPr>
            <w:tcW w:w="5649" w:type="dxa"/>
            <w:gridSpan w:val="2"/>
          </w:tcPr>
          <w:p w14:paraId="53DC8139" w14:textId="77777777" w:rsidR="0031285E" w:rsidRPr="0078630F" w:rsidRDefault="0031285E" w:rsidP="003F02DD">
            <w:pPr>
              <w:jc w:val="both"/>
              <w:rPr>
                <w:rFonts w:ascii="Cambria" w:eastAsia="Cambria" w:hAnsi="Cambria" w:cs="Cambria"/>
                <w:sz w:val="20"/>
                <w:szCs w:val="20"/>
              </w:rPr>
            </w:pPr>
            <w:r w:rsidRPr="0078630F">
              <w:rPr>
                <w:rFonts w:ascii="Cambria" w:eastAsia="Cambria" w:hAnsi="Cambria" w:cs="Cambria"/>
                <w:sz w:val="20"/>
                <w:szCs w:val="20"/>
              </w:rPr>
              <w:t xml:space="preserve">Las Obligaciones Negociables podrán ser emitidas en distintas clases con términos y condiciones específicos diferentes entre las Obligaciones Negociables de las distintas clases, pero las Obligaciones Negociables de una misma clase siempre tendrán los mismos términos y condiciones específicos. Asimismo, las Obligaciones Negociables de una misma clase podrán ser emitidas en distintas series con los mismos términos y condiciones específicos que las demás Obligaciones Negociables </w:t>
            </w:r>
            <w:r w:rsidRPr="0078630F">
              <w:rPr>
                <w:rFonts w:ascii="Cambria" w:eastAsia="Cambria" w:hAnsi="Cambria" w:cs="Cambria"/>
                <w:sz w:val="20"/>
                <w:szCs w:val="20"/>
              </w:rPr>
              <w:lastRenderedPageBreak/>
              <w:t xml:space="preserve">de la misma clase y, aunque las Obligaciones Negociables de las distintas series podrán tener diferentes fechas de emisión y/o precios de emisión, las Obligaciones Negociables de una misma serie siempre tendrán las mismas fechas de emisión y precios de emisión. Para </w:t>
            </w:r>
            <w:proofErr w:type="gramStart"/>
            <w:r w:rsidRPr="0078630F">
              <w:rPr>
                <w:rFonts w:ascii="Cambria" w:eastAsia="Cambria" w:hAnsi="Cambria" w:cs="Cambria"/>
                <w:sz w:val="20"/>
                <w:szCs w:val="20"/>
              </w:rPr>
              <w:t>mayor información</w:t>
            </w:r>
            <w:proofErr w:type="gramEnd"/>
            <w:r w:rsidRPr="0078630F">
              <w:rPr>
                <w:rFonts w:ascii="Cambria" w:eastAsia="Cambria" w:hAnsi="Cambria" w:cs="Cambria"/>
                <w:sz w:val="20"/>
                <w:szCs w:val="20"/>
              </w:rPr>
              <w:t xml:space="preserve"> véase </w:t>
            </w:r>
            <w:r w:rsidRPr="0078630F">
              <w:rPr>
                <w:rFonts w:ascii="Cambria" w:eastAsia="Cambria" w:hAnsi="Cambria" w:cs="Cambria"/>
                <w:color w:val="000000"/>
                <w:sz w:val="20"/>
                <w:szCs w:val="20"/>
              </w:rPr>
              <w:t>“</w:t>
            </w:r>
            <w:r w:rsidRPr="0078630F">
              <w:rPr>
                <w:rFonts w:ascii="Cambria" w:eastAsia="Cambria" w:hAnsi="Cambria" w:cs="Cambria"/>
                <w:i/>
                <w:color w:val="000000"/>
                <w:sz w:val="20"/>
                <w:szCs w:val="20"/>
              </w:rPr>
              <w:t>De la Oferta y Negociación – Términos y Condiciones de las Obligaciones Negociables –</w:t>
            </w:r>
            <w:r w:rsidRPr="0078630F">
              <w:rPr>
                <w:rFonts w:ascii="Cambria" w:eastAsia="Cambria" w:hAnsi="Cambria" w:cs="Cambria"/>
                <w:b/>
                <w:sz w:val="20"/>
                <w:szCs w:val="20"/>
              </w:rPr>
              <w:t xml:space="preserve"> </w:t>
            </w:r>
            <w:r>
              <w:rPr>
                <w:rFonts w:ascii="Cambria" w:eastAsia="Cambria" w:hAnsi="Cambria" w:cs="Cambria"/>
                <w:i/>
                <w:color w:val="000000"/>
                <w:sz w:val="20"/>
                <w:szCs w:val="20"/>
              </w:rPr>
              <w:t>Clases y Series</w:t>
            </w:r>
            <w:r w:rsidRPr="0078630F">
              <w:rPr>
                <w:rFonts w:ascii="Cambria" w:eastAsia="Cambria" w:hAnsi="Cambria" w:cs="Cambria"/>
                <w:i/>
                <w:color w:val="000000"/>
                <w:sz w:val="20"/>
                <w:szCs w:val="20"/>
              </w:rPr>
              <w:t xml:space="preserve">” </w:t>
            </w:r>
            <w:r w:rsidR="003F02DD">
              <w:rPr>
                <w:rFonts w:ascii="Cambria" w:eastAsia="Cambria" w:hAnsi="Cambria" w:cs="Cambria"/>
                <w:color w:val="000000"/>
                <w:sz w:val="20"/>
                <w:szCs w:val="20"/>
              </w:rPr>
              <w:t xml:space="preserve">del </w:t>
            </w:r>
            <w:r w:rsidRPr="0078630F">
              <w:rPr>
                <w:rFonts w:ascii="Cambria" w:eastAsia="Cambria" w:hAnsi="Cambria" w:cs="Cambria"/>
                <w:color w:val="000000"/>
                <w:sz w:val="20"/>
                <w:szCs w:val="20"/>
              </w:rPr>
              <w:t>Prospecto.</w:t>
            </w:r>
          </w:p>
        </w:tc>
      </w:tr>
      <w:tr w:rsidR="0031285E" w:rsidRPr="0078630F" w14:paraId="046395A0" w14:textId="77777777" w:rsidTr="006A25D8">
        <w:trPr>
          <w:gridBefore w:val="1"/>
          <w:wBefore w:w="70" w:type="dxa"/>
        </w:trPr>
        <w:tc>
          <w:tcPr>
            <w:tcW w:w="3033" w:type="dxa"/>
            <w:gridSpan w:val="3"/>
          </w:tcPr>
          <w:p w14:paraId="03E64976" w14:textId="77777777" w:rsidR="0031285E" w:rsidRPr="0078630F" w:rsidRDefault="0031285E" w:rsidP="006A25D8">
            <w:pPr>
              <w:rPr>
                <w:rFonts w:ascii="Cambria" w:eastAsia="Cambria" w:hAnsi="Cambria" w:cs="Cambria"/>
                <w:b/>
                <w:sz w:val="20"/>
                <w:szCs w:val="20"/>
              </w:rPr>
            </w:pPr>
            <w:r w:rsidRPr="0078630F">
              <w:rPr>
                <w:rFonts w:ascii="Cambria" w:eastAsia="Cambria" w:hAnsi="Cambria" w:cs="Cambria"/>
                <w:b/>
                <w:sz w:val="20"/>
                <w:szCs w:val="20"/>
              </w:rPr>
              <w:lastRenderedPageBreak/>
              <w:t>Plazos y Formas de Amortización:</w:t>
            </w:r>
          </w:p>
        </w:tc>
        <w:tc>
          <w:tcPr>
            <w:tcW w:w="5649" w:type="dxa"/>
            <w:gridSpan w:val="2"/>
          </w:tcPr>
          <w:p w14:paraId="349CF4AE" w14:textId="77777777" w:rsidR="0031285E" w:rsidRPr="0078630F" w:rsidRDefault="0031285E" w:rsidP="006A25D8">
            <w:pPr>
              <w:jc w:val="both"/>
              <w:rPr>
                <w:rFonts w:ascii="Cambria" w:eastAsia="Cambria" w:hAnsi="Cambria" w:cs="Cambria"/>
                <w:sz w:val="20"/>
                <w:szCs w:val="20"/>
              </w:rPr>
            </w:pPr>
            <w:r w:rsidRPr="0078630F">
              <w:rPr>
                <w:rFonts w:ascii="Cambria" w:eastAsia="Cambria" w:hAnsi="Cambria" w:cs="Cambria"/>
                <w:sz w:val="20"/>
                <w:szCs w:val="20"/>
              </w:rPr>
              <w:t xml:space="preserve">Los plazos y las formas de amortización de las Obligaciones Negociables serán los que se especifiquen en cada Suplemento de Precio correspondiente. Los plazos siempre estarán dentro de los plazos mínimos y máximos que permitan las normas vigentes. Para </w:t>
            </w:r>
            <w:proofErr w:type="gramStart"/>
            <w:r w:rsidRPr="0078630F">
              <w:rPr>
                <w:rFonts w:ascii="Cambria" w:eastAsia="Cambria" w:hAnsi="Cambria" w:cs="Cambria"/>
                <w:sz w:val="20"/>
                <w:szCs w:val="20"/>
              </w:rPr>
              <w:t>mayor información</w:t>
            </w:r>
            <w:proofErr w:type="gramEnd"/>
            <w:r w:rsidRPr="0078630F">
              <w:rPr>
                <w:rFonts w:ascii="Cambria" w:eastAsia="Cambria" w:hAnsi="Cambria" w:cs="Cambria"/>
                <w:sz w:val="20"/>
                <w:szCs w:val="20"/>
              </w:rPr>
              <w:t xml:space="preserve"> véase </w:t>
            </w:r>
            <w:r w:rsidRPr="0078630F">
              <w:rPr>
                <w:rFonts w:ascii="Cambria" w:eastAsia="Cambria" w:hAnsi="Cambria" w:cs="Cambria"/>
                <w:color w:val="000000"/>
                <w:sz w:val="20"/>
                <w:szCs w:val="20"/>
              </w:rPr>
              <w:t>“</w:t>
            </w:r>
            <w:r w:rsidRPr="0078630F">
              <w:rPr>
                <w:rFonts w:ascii="Cambria" w:eastAsia="Cambria" w:hAnsi="Cambria" w:cs="Cambria"/>
                <w:i/>
                <w:color w:val="000000"/>
                <w:sz w:val="20"/>
                <w:szCs w:val="20"/>
              </w:rPr>
              <w:t>De la Oferta y Negociación – Términos y Condiciones de las Obligaciones Negociables –</w:t>
            </w:r>
            <w:r w:rsidRPr="0078630F">
              <w:rPr>
                <w:rFonts w:ascii="Cambria" w:eastAsia="Cambria" w:hAnsi="Cambria" w:cs="Cambria"/>
                <w:b/>
                <w:sz w:val="20"/>
                <w:szCs w:val="20"/>
              </w:rPr>
              <w:t xml:space="preserve"> </w:t>
            </w:r>
            <w:r w:rsidRPr="0078630F">
              <w:rPr>
                <w:rFonts w:ascii="Cambria" w:eastAsia="Cambria" w:hAnsi="Cambria" w:cs="Cambria"/>
                <w:i/>
                <w:color w:val="000000"/>
                <w:sz w:val="20"/>
                <w:szCs w:val="20"/>
              </w:rPr>
              <w:t xml:space="preserve">Plazos y Formas de Amortización” </w:t>
            </w:r>
            <w:r w:rsidR="003F02DD">
              <w:rPr>
                <w:rFonts w:ascii="Cambria" w:eastAsia="Cambria" w:hAnsi="Cambria" w:cs="Cambria"/>
                <w:color w:val="000000"/>
                <w:sz w:val="20"/>
                <w:szCs w:val="20"/>
              </w:rPr>
              <w:t>del</w:t>
            </w:r>
            <w:r w:rsidRPr="0078630F">
              <w:rPr>
                <w:rFonts w:ascii="Cambria" w:eastAsia="Cambria" w:hAnsi="Cambria" w:cs="Cambria"/>
                <w:color w:val="000000"/>
                <w:sz w:val="20"/>
                <w:szCs w:val="20"/>
              </w:rPr>
              <w:t xml:space="preserve"> Prospecto.</w:t>
            </w:r>
          </w:p>
        </w:tc>
      </w:tr>
      <w:tr w:rsidR="0031285E" w:rsidRPr="0078630F" w14:paraId="28575560" w14:textId="77777777" w:rsidTr="006A25D8">
        <w:trPr>
          <w:gridBefore w:val="1"/>
          <w:wBefore w:w="70" w:type="dxa"/>
        </w:trPr>
        <w:tc>
          <w:tcPr>
            <w:tcW w:w="3033" w:type="dxa"/>
            <w:gridSpan w:val="3"/>
          </w:tcPr>
          <w:p w14:paraId="7B6FC981" w14:textId="77777777" w:rsidR="0031285E" w:rsidRPr="0078630F" w:rsidRDefault="0031285E" w:rsidP="006A25D8">
            <w:pPr>
              <w:rPr>
                <w:rFonts w:ascii="Cambria" w:eastAsia="Cambria" w:hAnsi="Cambria" w:cs="Cambria"/>
                <w:b/>
                <w:sz w:val="20"/>
                <w:szCs w:val="20"/>
              </w:rPr>
            </w:pPr>
            <w:r w:rsidRPr="0078630F">
              <w:rPr>
                <w:rFonts w:ascii="Cambria" w:eastAsia="Cambria" w:hAnsi="Cambria" w:cs="Cambria"/>
                <w:b/>
                <w:sz w:val="20"/>
                <w:szCs w:val="20"/>
              </w:rPr>
              <w:t>Intereses:</w:t>
            </w:r>
          </w:p>
        </w:tc>
        <w:tc>
          <w:tcPr>
            <w:tcW w:w="5649" w:type="dxa"/>
            <w:gridSpan w:val="2"/>
          </w:tcPr>
          <w:p w14:paraId="0A92446A" w14:textId="77777777" w:rsidR="0031285E" w:rsidRPr="0078630F" w:rsidRDefault="0031285E" w:rsidP="006A25D8">
            <w:pPr>
              <w:jc w:val="both"/>
              <w:rPr>
                <w:rFonts w:ascii="Cambria" w:eastAsia="Cambria" w:hAnsi="Cambria" w:cs="Cambria"/>
                <w:sz w:val="20"/>
                <w:szCs w:val="20"/>
              </w:rPr>
            </w:pPr>
            <w:r w:rsidRPr="0078630F">
              <w:rPr>
                <w:rFonts w:ascii="Cambria" w:eastAsia="Cambria" w:hAnsi="Cambria" w:cs="Cambria"/>
                <w:sz w:val="20"/>
                <w:szCs w:val="20"/>
              </w:rPr>
              <w:t xml:space="preserve">Las Obligaciones Negociables podrán devengar intereses a tasa fija o variable o de cualquier otra manera, o no devengar intereses, según se especifique en cada Suplemento de Precio correspondiente. En caso de devengar intereses, éstos serán pagados en las fechas y en las formas que se especifiquen en cada Suplemento de Precio correspondiente. Para </w:t>
            </w:r>
            <w:proofErr w:type="gramStart"/>
            <w:r w:rsidRPr="0078630F">
              <w:rPr>
                <w:rFonts w:ascii="Cambria" w:eastAsia="Cambria" w:hAnsi="Cambria" w:cs="Cambria"/>
                <w:sz w:val="20"/>
                <w:szCs w:val="20"/>
              </w:rPr>
              <w:t>mayor información</w:t>
            </w:r>
            <w:proofErr w:type="gramEnd"/>
            <w:r w:rsidRPr="0078630F">
              <w:rPr>
                <w:rFonts w:ascii="Cambria" w:eastAsia="Cambria" w:hAnsi="Cambria" w:cs="Cambria"/>
                <w:sz w:val="20"/>
                <w:szCs w:val="20"/>
              </w:rPr>
              <w:t xml:space="preserve"> véase </w:t>
            </w:r>
            <w:r w:rsidRPr="0078630F">
              <w:rPr>
                <w:rFonts w:ascii="Cambria" w:eastAsia="Cambria" w:hAnsi="Cambria" w:cs="Cambria"/>
                <w:color w:val="000000"/>
                <w:sz w:val="20"/>
                <w:szCs w:val="20"/>
              </w:rPr>
              <w:t>“</w:t>
            </w:r>
            <w:r w:rsidRPr="0078630F">
              <w:rPr>
                <w:rFonts w:ascii="Cambria" w:eastAsia="Cambria" w:hAnsi="Cambria" w:cs="Cambria"/>
                <w:i/>
                <w:color w:val="000000"/>
                <w:sz w:val="20"/>
                <w:szCs w:val="20"/>
              </w:rPr>
              <w:t>De la Oferta y Negociación – Términos y Condiciones de las Obligaciones Negociables –</w:t>
            </w:r>
            <w:r>
              <w:rPr>
                <w:rFonts w:ascii="Cambria" w:eastAsia="Cambria" w:hAnsi="Cambria" w:cs="Cambria"/>
                <w:i/>
                <w:color w:val="000000"/>
                <w:sz w:val="20"/>
                <w:szCs w:val="20"/>
              </w:rPr>
              <w:t xml:space="preserve"> </w:t>
            </w:r>
            <w:r w:rsidRPr="0078630F">
              <w:rPr>
                <w:rFonts w:ascii="Cambria" w:eastAsia="Cambria" w:hAnsi="Cambria" w:cs="Cambria"/>
                <w:i/>
                <w:color w:val="000000"/>
                <w:sz w:val="20"/>
                <w:szCs w:val="20"/>
              </w:rPr>
              <w:t xml:space="preserve">Intereses” </w:t>
            </w:r>
            <w:r w:rsidR="003F02DD">
              <w:rPr>
                <w:rFonts w:ascii="Cambria" w:eastAsia="Cambria" w:hAnsi="Cambria" w:cs="Cambria"/>
                <w:color w:val="000000"/>
                <w:sz w:val="20"/>
                <w:szCs w:val="20"/>
              </w:rPr>
              <w:t>del</w:t>
            </w:r>
            <w:r w:rsidRPr="0078630F">
              <w:rPr>
                <w:rFonts w:ascii="Cambria" w:eastAsia="Cambria" w:hAnsi="Cambria" w:cs="Cambria"/>
                <w:color w:val="000000"/>
                <w:sz w:val="20"/>
                <w:szCs w:val="20"/>
              </w:rPr>
              <w:t xml:space="preserve"> Prospecto.</w:t>
            </w:r>
          </w:p>
        </w:tc>
      </w:tr>
      <w:tr w:rsidR="0031285E" w:rsidRPr="0078630F" w14:paraId="11B22C58" w14:textId="77777777" w:rsidTr="006A25D8">
        <w:trPr>
          <w:gridBefore w:val="1"/>
          <w:wBefore w:w="70" w:type="dxa"/>
        </w:trPr>
        <w:tc>
          <w:tcPr>
            <w:tcW w:w="3033" w:type="dxa"/>
            <w:gridSpan w:val="3"/>
          </w:tcPr>
          <w:p w14:paraId="39730690" w14:textId="77777777" w:rsidR="0031285E" w:rsidRPr="0078630F" w:rsidRDefault="0031285E" w:rsidP="006A25D8">
            <w:pPr>
              <w:rPr>
                <w:rFonts w:ascii="Cambria" w:eastAsia="Cambria" w:hAnsi="Cambria" w:cs="Cambria"/>
                <w:b/>
                <w:sz w:val="20"/>
                <w:szCs w:val="20"/>
              </w:rPr>
            </w:pPr>
            <w:r w:rsidRPr="0078630F">
              <w:rPr>
                <w:rFonts w:ascii="Cambria" w:eastAsia="Cambria" w:hAnsi="Cambria" w:cs="Cambria"/>
                <w:b/>
                <w:sz w:val="20"/>
                <w:szCs w:val="20"/>
              </w:rPr>
              <w:t>Forma:</w:t>
            </w:r>
          </w:p>
        </w:tc>
        <w:tc>
          <w:tcPr>
            <w:tcW w:w="5649" w:type="dxa"/>
            <w:gridSpan w:val="2"/>
          </w:tcPr>
          <w:p w14:paraId="0CCF8F1E" w14:textId="77777777" w:rsidR="0031285E" w:rsidRPr="0078630F" w:rsidRDefault="0031285E" w:rsidP="006A25D8">
            <w:pPr>
              <w:jc w:val="both"/>
              <w:rPr>
                <w:rFonts w:ascii="Cambria" w:eastAsia="Cambria" w:hAnsi="Cambria" w:cs="Cambria"/>
                <w:sz w:val="20"/>
                <w:szCs w:val="20"/>
              </w:rPr>
            </w:pPr>
            <w:r w:rsidRPr="0078630F">
              <w:rPr>
                <w:rFonts w:ascii="Cambria" w:eastAsia="Cambria" w:hAnsi="Cambria" w:cs="Cambria"/>
                <w:sz w:val="20"/>
                <w:szCs w:val="20"/>
              </w:rPr>
              <w:t xml:space="preserve">Las Obligaciones Negociables podrán ser emitidas en forma escritural o en forma de títulos nominativos no endosables (con o sin cupones de interés) o en otra forma que eventualmente autoricen las normas aplicables. De conformidad con lo dispuesto por la Ley N°24.587 y el Decreto Nº 259/1996, las sociedades argentinas no pueden emitir títulos valores al portador o en forma nominativa endosable. Conforme a ello, y en la medida en que dicha legislación esté vigente, la Emisora sólo emitirá Obligaciones Negociables nominativas no endosables. De tal manera, podrá emitir Obligaciones Negociables representadas en certificados globales o parciales inscriptos o depositados en regímenes de depósito colectivo nacionales o extranjeros, como ser Depository Trust Company (“DTC”), Euroclear, SA/NV (“Euroclear”), Clearstream Banking, Société Anonyme (“Clearstream”) o Caja de Valores S.A. (“Caja de Valores”), entre otros. Las liquidaciones, negociaciones y transferencias dentro de aquellas entidades se realizarán de acuerdo con las normas y procedimientos operativos habituales del sistema pertinente. La forma en la cual se emita cada Clase y/o Serie de Obligaciones Negociables, así como también las denominaciones mínimas, entre otras características, se especificarán en el Suplemento de Precio correspondiente, sujeto a la legislación aplicable. Para </w:t>
            </w:r>
            <w:proofErr w:type="gramStart"/>
            <w:r w:rsidRPr="0078630F">
              <w:rPr>
                <w:rFonts w:ascii="Cambria" w:eastAsia="Cambria" w:hAnsi="Cambria" w:cs="Cambria"/>
                <w:sz w:val="20"/>
                <w:szCs w:val="20"/>
              </w:rPr>
              <w:t>mayor información</w:t>
            </w:r>
            <w:proofErr w:type="gramEnd"/>
            <w:r w:rsidRPr="0078630F">
              <w:rPr>
                <w:rFonts w:ascii="Cambria" w:eastAsia="Cambria" w:hAnsi="Cambria" w:cs="Cambria"/>
                <w:sz w:val="20"/>
                <w:szCs w:val="20"/>
              </w:rPr>
              <w:t xml:space="preserve"> véase “</w:t>
            </w:r>
            <w:r w:rsidRPr="0078630F">
              <w:rPr>
                <w:rFonts w:ascii="Cambria" w:eastAsia="Cambria" w:hAnsi="Cambria" w:cs="Cambria"/>
                <w:i/>
                <w:color w:val="000000"/>
                <w:sz w:val="20"/>
                <w:szCs w:val="20"/>
              </w:rPr>
              <w:t>De la Oferta y Negociación – Términos y Condiciones de las Obligaciones Negociables –</w:t>
            </w:r>
            <w:r>
              <w:rPr>
                <w:rFonts w:ascii="Cambria" w:eastAsia="Cambria" w:hAnsi="Cambria" w:cs="Cambria"/>
                <w:i/>
                <w:color w:val="000000"/>
                <w:sz w:val="20"/>
                <w:szCs w:val="20"/>
              </w:rPr>
              <w:t xml:space="preserve"> </w:t>
            </w:r>
            <w:r w:rsidRPr="0078630F">
              <w:rPr>
                <w:rFonts w:ascii="Cambria" w:eastAsia="Cambria" w:hAnsi="Cambria" w:cs="Cambria"/>
                <w:i/>
                <w:color w:val="000000"/>
                <w:sz w:val="20"/>
                <w:szCs w:val="20"/>
              </w:rPr>
              <w:t xml:space="preserve">Forma” </w:t>
            </w:r>
            <w:r w:rsidR="003F02DD">
              <w:rPr>
                <w:rFonts w:ascii="Cambria" w:eastAsia="Cambria" w:hAnsi="Cambria" w:cs="Cambria"/>
                <w:color w:val="000000"/>
                <w:sz w:val="20"/>
                <w:szCs w:val="20"/>
              </w:rPr>
              <w:t>del</w:t>
            </w:r>
            <w:r w:rsidRPr="0078630F">
              <w:rPr>
                <w:rFonts w:ascii="Cambria" w:eastAsia="Cambria" w:hAnsi="Cambria" w:cs="Cambria"/>
                <w:color w:val="000000"/>
                <w:sz w:val="20"/>
                <w:szCs w:val="20"/>
              </w:rPr>
              <w:t xml:space="preserve"> Prospecto.</w:t>
            </w:r>
            <w:r w:rsidRPr="0078630F">
              <w:rPr>
                <w:rFonts w:ascii="Cambria" w:eastAsia="Cambria" w:hAnsi="Cambria" w:cs="Cambria"/>
                <w:i/>
                <w:color w:val="000000"/>
                <w:sz w:val="20"/>
                <w:szCs w:val="20"/>
              </w:rPr>
              <w:t xml:space="preserve"> </w:t>
            </w:r>
            <w:r w:rsidRPr="0078630F">
              <w:rPr>
                <w:rFonts w:ascii="Cambria" w:eastAsia="Cambria" w:hAnsi="Cambria" w:cs="Cambria"/>
                <w:sz w:val="20"/>
                <w:szCs w:val="20"/>
              </w:rPr>
              <w:t xml:space="preserve"> </w:t>
            </w:r>
          </w:p>
        </w:tc>
      </w:tr>
      <w:tr w:rsidR="0031285E" w:rsidRPr="0078630F" w14:paraId="678946CF" w14:textId="77777777" w:rsidTr="006A25D8">
        <w:trPr>
          <w:gridBefore w:val="1"/>
          <w:wBefore w:w="70" w:type="dxa"/>
        </w:trPr>
        <w:tc>
          <w:tcPr>
            <w:tcW w:w="3033" w:type="dxa"/>
            <w:gridSpan w:val="3"/>
          </w:tcPr>
          <w:p w14:paraId="7B5BF984" w14:textId="77777777" w:rsidR="0031285E" w:rsidRPr="009B409B" w:rsidRDefault="0031285E" w:rsidP="006A25D8">
            <w:pPr>
              <w:rPr>
                <w:rFonts w:ascii="Cambria" w:eastAsia="Times New Roman" w:hAnsi="Cambria"/>
                <w:sz w:val="20"/>
                <w:szCs w:val="20"/>
              </w:rPr>
            </w:pPr>
            <w:r w:rsidRPr="0078630F">
              <w:rPr>
                <w:rFonts w:ascii="Cambria" w:eastAsia="Cambria" w:hAnsi="Cambria" w:cs="Cambria"/>
                <w:b/>
                <w:sz w:val="20"/>
                <w:szCs w:val="20"/>
              </w:rPr>
              <w:lastRenderedPageBreak/>
              <w:t>Destino de los fondos:</w:t>
            </w:r>
          </w:p>
          <w:p w14:paraId="12803D15" w14:textId="77777777" w:rsidR="0031285E" w:rsidRPr="009B409B" w:rsidRDefault="0031285E" w:rsidP="006A25D8">
            <w:pPr>
              <w:rPr>
                <w:rFonts w:ascii="Cambria" w:eastAsia="Times New Roman" w:hAnsi="Cambria"/>
                <w:sz w:val="20"/>
                <w:szCs w:val="20"/>
              </w:rPr>
            </w:pPr>
            <w:r>
              <w:rPr>
                <w:rFonts w:ascii="Cambria" w:hAnsi="Cambria"/>
                <w:sz w:val="20"/>
                <w:szCs w:val="20"/>
              </w:rPr>
              <w:t xml:space="preserve">               </w:t>
            </w:r>
          </w:p>
          <w:p w14:paraId="5CB4197B" w14:textId="77777777" w:rsidR="0031285E" w:rsidRPr="009B409B" w:rsidRDefault="0031285E" w:rsidP="006A25D8">
            <w:pPr>
              <w:rPr>
                <w:rFonts w:ascii="Cambria" w:eastAsia="Times New Roman" w:hAnsi="Cambria"/>
                <w:sz w:val="20"/>
                <w:szCs w:val="20"/>
              </w:rPr>
            </w:pPr>
          </w:p>
          <w:p w14:paraId="04426F22" w14:textId="77777777" w:rsidR="0031285E" w:rsidRPr="009B409B" w:rsidRDefault="0031285E" w:rsidP="006A25D8">
            <w:pPr>
              <w:rPr>
                <w:rFonts w:ascii="Cambria" w:eastAsia="Times New Roman" w:hAnsi="Cambria"/>
                <w:sz w:val="20"/>
                <w:szCs w:val="20"/>
              </w:rPr>
            </w:pPr>
          </w:p>
          <w:p w14:paraId="03AE30F7" w14:textId="77777777" w:rsidR="0031285E" w:rsidRPr="009B409B" w:rsidRDefault="0031285E" w:rsidP="006A25D8">
            <w:pPr>
              <w:rPr>
                <w:rFonts w:ascii="Cambria" w:eastAsia="Cambria" w:hAnsi="Cambria" w:cs="Cambria"/>
                <w:b/>
                <w:sz w:val="20"/>
                <w:szCs w:val="20"/>
              </w:rPr>
            </w:pPr>
            <w:r w:rsidRPr="0078630F">
              <w:rPr>
                <w:rFonts w:ascii="Cambria" w:eastAsia="Cambria" w:hAnsi="Cambria" w:cs="Cambria"/>
                <w:b/>
                <w:sz w:val="20"/>
                <w:szCs w:val="20"/>
              </w:rPr>
              <w:t>Denominaciones:</w:t>
            </w:r>
          </w:p>
        </w:tc>
        <w:tc>
          <w:tcPr>
            <w:tcW w:w="5649" w:type="dxa"/>
            <w:gridSpan w:val="2"/>
          </w:tcPr>
          <w:p w14:paraId="4C991D64" w14:textId="77777777" w:rsidR="0031285E" w:rsidRPr="0078630F" w:rsidRDefault="0031285E" w:rsidP="006A25D8">
            <w:pPr>
              <w:jc w:val="both"/>
              <w:rPr>
                <w:rFonts w:ascii="Cambria" w:eastAsia="Cambria" w:hAnsi="Cambria" w:cs="Cambria"/>
                <w:sz w:val="20"/>
                <w:szCs w:val="20"/>
              </w:rPr>
            </w:pPr>
            <w:r w:rsidRPr="0078630F">
              <w:rPr>
                <w:rFonts w:ascii="Cambria" w:eastAsia="Cambria" w:hAnsi="Cambria" w:cs="Cambria"/>
                <w:sz w:val="20"/>
                <w:szCs w:val="20"/>
              </w:rPr>
              <w:t xml:space="preserve">Los fondos netos provenientes de la emisión de cada Clase y/o Serie de Obligaciones Negociables serán aplicados por la Emisora a uno o más fines establecidos en el Artículo 36 de la Ley de Obligaciones Negociables. Para </w:t>
            </w:r>
            <w:proofErr w:type="gramStart"/>
            <w:r w:rsidRPr="0078630F">
              <w:rPr>
                <w:rFonts w:ascii="Cambria" w:eastAsia="Cambria" w:hAnsi="Cambria" w:cs="Cambria"/>
                <w:sz w:val="20"/>
                <w:szCs w:val="20"/>
              </w:rPr>
              <w:t>mayor información</w:t>
            </w:r>
            <w:proofErr w:type="gramEnd"/>
            <w:r w:rsidRPr="0078630F">
              <w:rPr>
                <w:rFonts w:ascii="Cambria" w:eastAsia="Cambria" w:hAnsi="Cambria" w:cs="Cambria"/>
                <w:sz w:val="20"/>
                <w:szCs w:val="20"/>
              </w:rPr>
              <w:t xml:space="preserve"> véase “</w:t>
            </w:r>
            <w:r w:rsidRPr="00B83293">
              <w:rPr>
                <w:rFonts w:ascii="Cambria" w:eastAsia="Cambria" w:hAnsi="Cambria" w:cs="Cambria"/>
                <w:i/>
                <w:sz w:val="20"/>
                <w:szCs w:val="20"/>
              </w:rPr>
              <w:t>De la Oferta y Negociación – Términos y Condiciones de las Obligaciones Negociables</w:t>
            </w:r>
            <w:r w:rsidRPr="00B83293" w:rsidDel="00B83293">
              <w:rPr>
                <w:rFonts w:ascii="Cambria" w:eastAsia="Cambria" w:hAnsi="Cambria" w:cs="Cambria"/>
                <w:i/>
                <w:sz w:val="20"/>
                <w:szCs w:val="20"/>
              </w:rPr>
              <w:t xml:space="preserve"> </w:t>
            </w:r>
            <w:r>
              <w:rPr>
                <w:rFonts w:ascii="Cambria" w:eastAsia="Cambria" w:hAnsi="Cambria" w:cs="Cambria"/>
                <w:i/>
                <w:sz w:val="20"/>
                <w:szCs w:val="20"/>
              </w:rPr>
              <w:t>-</w:t>
            </w:r>
            <w:r w:rsidRPr="0078630F">
              <w:rPr>
                <w:rFonts w:ascii="Cambria" w:eastAsia="Cambria" w:hAnsi="Cambria" w:cs="Cambria"/>
                <w:i/>
                <w:sz w:val="20"/>
                <w:szCs w:val="20"/>
              </w:rPr>
              <w:t xml:space="preserve"> Destino de los Fondos</w:t>
            </w:r>
            <w:r w:rsidR="003F02DD">
              <w:rPr>
                <w:rFonts w:ascii="Cambria" w:eastAsia="Cambria" w:hAnsi="Cambria" w:cs="Cambria"/>
                <w:sz w:val="20"/>
                <w:szCs w:val="20"/>
              </w:rPr>
              <w:t>” del</w:t>
            </w:r>
            <w:r w:rsidRPr="0078630F">
              <w:rPr>
                <w:rFonts w:ascii="Cambria" w:eastAsia="Cambria" w:hAnsi="Cambria" w:cs="Cambria"/>
                <w:sz w:val="20"/>
                <w:szCs w:val="20"/>
              </w:rPr>
              <w:t xml:space="preserve"> Prospecto.</w:t>
            </w:r>
          </w:p>
          <w:p w14:paraId="29095EDF" w14:textId="77777777" w:rsidR="0031285E" w:rsidRPr="0078630F" w:rsidRDefault="0031285E" w:rsidP="006A25D8">
            <w:pPr>
              <w:jc w:val="both"/>
              <w:rPr>
                <w:rFonts w:ascii="Cambria" w:eastAsia="Cambria" w:hAnsi="Cambria" w:cs="Cambria"/>
                <w:sz w:val="20"/>
                <w:szCs w:val="20"/>
              </w:rPr>
            </w:pPr>
            <w:r w:rsidRPr="0078630F">
              <w:rPr>
                <w:rFonts w:ascii="Cambria" w:eastAsia="Cambria" w:hAnsi="Cambria" w:cs="Cambria"/>
                <w:sz w:val="20"/>
                <w:szCs w:val="20"/>
              </w:rPr>
              <w:t>Las Obligaciones Negociables tendrán una denominación de mil Pesos $1.000 (o su equivalente en otras monedas</w:t>
            </w:r>
            <w:r>
              <w:rPr>
                <w:rFonts w:ascii="Cambria" w:eastAsia="Cambria" w:hAnsi="Cambria" w:cs="Cambria"/>
                <w:sz w:val="20"/>
                <w:szCs w:val="20"/>
              </w:rPr>
              <w:t xml:space="preserve"> o unidades monetarias de valor</w:t>
            </w:r>
            <w:r w:rsidRPr="0078630F">
              <w:rPr>
                <w:rFonts w:ascii="Cambria" w:eastAsia="Cambria" w:hAnsi="Cambria" w:cs="Cambria"/>
                <w:sz w:val="20"/>
                <w:szCs w:val="20"/>
              </w:rPr>
              <w:t>) y múltiplos de mil $1.000 (o su equivalente en otras monedas</w:t>
            </w:r>
            <w:r>
              <w:rPr>
                <w:rFonts w:ascii="Cambria" w:eastAsia="Cambria" w:hAnsi="Cambria" w:cs="Cambria"/>
                <w:sz w:val="20"/>
                <w:szCs w:val="20"/>
              </w:rPr>
              <w:t xml:space="preserve"> o unidades monetarias de valor</w:t>
            </w:r>
            <w:r w:rsidRPr="0078630F">
              <w:rPr>
                <w:rFonts w:ascii="Cambria" w:eastAsia="Cambria" w:hAnsi="Cambria" w:cs="Cambria"/>
                <w:sz w:val="20"/>
                <w:szCs w:val="20"/>
              </w:rPr>
              <w:t xml:space="preserve">) por encima de dicho monto, a menos que se especifique </w:t>
            </w:r>
            <w:r w:rsidRPr="0078630F">
              <w:rPr>
                <w:rFonts w:ascii="Cambria" w:eastAsia="Cambria" w:hAnsi="Cambria" w:cs="Cambria"/>
                <w:color w:val="000000"/>
                <w:sz w:val="20"/>
                <w:szCs w:val="20"/>
              </w:rPr>
              <w:t xml:space="preserve">de distinto modo </w:t>
            </w:r>
            <w:r w:rsidRPr="0078630F">
              <w:rPr>
                <w:rFonts w:ascii="Cambria" w:eastAsia="Cambria" w:hAnsi="Cambria" w:cs="Cambria"/>
                <w:sz w:val="20"/>
                <w:szCs w:val="20"/>
              </w:rPr>
              <w:t xml:space="preserve">en el Suplemento de Precio correspondiente. Para </w:t>
            </w:r>
            <w:proofErr w:type="gramStart"/>
            <w:r w:rsidRPr="0078630F">
              <w:rPr>
                <w:rFonts w:ascii="Cambria" w:eastAsia="Cambria" w:hAnsi="Cambria" w:cs="Cambria"/>
                <w:sz w:val="20"/>
                <w:szCs w:val="20"/>
              </w:rPr>
              <w:t>mayor información</w:t>
            </w:r>
            <w:proofErr w:type="gramEnd"/>
            <w:r w:rsidRPr="0078630F">
              <w:rPr>
                <w:rFonts w:ascii="Cambria" w:eastAsia="Cambria" w:hAnsi="Cambria" w:cs="Cambria"/>
                <w:sz w:val="20"/>
                <w:szCs w:val="20"/>
              </w:rPr>
              <w:t xml:space="preserve"> véase </w:t>
            </w:r>
            <w:r w:rsidRPr="0078630F">
              <w:rPr>
                <w:rFonts w:ascii="Cambria" w:eastAsia="Cambria" w:hAnsi="Cambria" w:cs="Cambria"/>
                <w:color w:val="000000"/>
                <w:sz w:val="20"/>
                <w:szCs w:val="20"/>
              </w:rPr>
              <w:t>“</w:t>
            </w:r>
            <w:r w:rsidRPr="0078630F">
              <w:rPr>
                <w:rFonts w:ascii="Cambria" w:eastAsia="Cambria" w:hAnsi="Cambria" w:cs="Cambria"/>
                <w:i/>
                <w:color w:val="000000"/>
                <w:sz w:val="20"/>
                <w:szCs w:val="20"/>
              </w:rPr>
              <w:t xml:space="preserve">De la Oferta y Negociación – Términos y Condiciones de las Obligaciones Negociables –Denominaciones” </w:t>
            </w:r>
            <w:r w:rsidR="003F02DD">
              <w:rPr>
                <w:rFonts w:ascii="Cambria" w:eastAsia="Cambria" w:hAnsi="Cambria" w:cs="Cambria"/>
                <w:color w:val="000000"/>
                <w:sz w:val="20"/>
                <w:szCs w:val="20"/>
              </w:rPr>
              <w:t>del</w:t>
            </w:r>
            <w:r w:rsidRPr="0078630F">
              <w:rPr>
                <w:rFonts w:ascii="Cambria" w:eastAsia="Cambria" w:hAnsi="Cambria" w:cs="Cambria"/>
                <w:color w:val="000000"/>
                <w:sz w:val="20"/>
                <w:szCs w:val="20"/>
              </w:rPr>
              <w:t xml:space="preserve"> Prospecto.</w:t>
            </w:r>
          </w:p>
        </w:tc>
      </w:tr>
      <w:tr w:rsidR="0031285E" w:rsidRPr="0078630F" w14:paraId="4EA1F054" w14:textId="77777777" w:rsidTr="006A25D8">
        <w:trPr>
          <w:gridBefore w:val="1"/>
          <w:wBefore w:w="70" w:type="dxa"/>
        </w:trPr>
        <w:tc>
          <w:tcPr>
            <w:tcW w:w="3033" w:type="dxa"/>
            <w:gridSpan w:val="3"/>
          </w:tcPr>
          <w:p w14:paraId="186E5D13" w14:textId="77777777" w:rsidR="0031285E" w:rsidRPr="0078630F" w:rsidRDefault="0031285E" w:rsidP="006A25D8">
            <w:pPr>
              <w:rPr>
                <w:rFonts w:ascii="Cambria" w:eastAsia="Cambria" w:hAnsi="Cambria" w:cs="Cambria"/>
                <w:b/>
                <w:sz w:val="20"/>
                <w:szCs w:val="20"/>
              </w:rPr>
            </w:pPr>
            <w:r w:rsidRPr="0078630F">
              <w:rPr>
                <w:rFonts w:ascii="Cambria" w:eastAsia="Cambria" w:hAnsi="Cambria" w:cs="Cambria"/>
                <w:b/>
                <w:sz w:val="20"/>
                <w:szCs w:val="20"/>
              </w:rPr>
              <w:t>Compromisos:</w:t>
            </w:r>
          </w:p>
        </w:tc>
        <w:tc>
          <w:tcPr>
            <w:tcW w:w="5649" w:type="dxa"/>
            <w:gridSpan w:val="2"/>
          </w:tcPr>
          <w:p w14:paraId="5CF56EA1" w14:textId="77777777" w:rsidR="0031285E" w:rsidRPr="0078630F" w:rsidRDefault="0031285E" w:rsidP="006A25D8">
            <w:pPr>
              <w:jc w:val="both"/>
              <w:rPr>
                <w:rFonts w:ascii="Cambria" w:eastAsia="Cambria" w:hAnsi="Cambria" w:cs="Cambria"/>
                <w:sz w:val="20"/>
                <w:szCs w:val="20"/>
              </w:rPr>
            </w:pPr>
            <w:r w:rsidRPr="0078630F">
              <w:rPr>
                <w:rFonts w:ascii="Cambria" w:eastAsia="Cambria" w:hAnsi="Cambria" w:cs="Cambria"/>
                <w:sz w:val="20"/>
                <w:szCs w:val="20"/>
              </w:rPr>
              <w:t xml:space="preserve">A menos que se especifique </w:t>
            </w:r>
            <w:r w:rsidRPr="0078630F">
              <w:rPr>
                <w:rFonts w:ascii="Cambria" w:eastAsia="Cambria" w:hAnsi="Cambria" w:cs="Cambria"/>
                <w:color w:val="000000"/>
                <w:sz w:val="20"/>
                <w:szCs w:val="20"/>
              </w:rPr>
              <w:t xml:space="preserve">de distinto modo </w:t>
            </w:r>
            <w:r w:rsidRPr="0078630F">
              <w:rPr>
                <w:rFonts w:ascii="Cambria" w:eastAsia="Cambria" w:hAnsi="Cambria" w:cs="Cambria"/>
                <w:sz w:val="20"/>
                <w:szCs w:val="20"/>
              </w:rPr>
              <w:t>en el Suplemento de Precio correspondiente (en el cual se podrá</w:t>
            </w:r>
            <w:r>
              <w:rPr>
                <w:rFonts w:ascii="Cambria" w:eastAsia="Cambria" w:hAnsi="Cambria" w:cs="Cambria"/>
                <w:sz w:val="20"/>
                <w:szCs w:val="20"/>
              </w:rPr>
              <w:t>n</w:t>
            </w:r>
            <w:r w:rsidRPr="0078630F">
              <w:rPr>
                <w:rFonts w:ascii="Cambria" w:eastAsia="Cambria" w:hAnsi="Cambria" w:cs="Cambria"/>
                <w:sz w:val="20"/>
                <w:szCs w:val="20"/>
              </w:rPr>
              <w:t xml:space="preserve"> agregar compromisos adicionales a los detallados en el presente en relación con las Obligaciones Negociables de la clase en cuestión), la Emisora se obliga a cumplir, y a hacer que su Sociedad Controlada cumpla, los compromisos que se detallan en la sección </w:t>
            </w:r>
            <w:r w:rsidRPr="00DC609A">
              <w:rPr>
                <w:rFonts w:ascii="Cambria" w:eastAsia="Cambria" w:hAnsi="Cambria" w:cs="Cambria"/>
                <w:i/>
                <w:sz w:val="20"/>
                <w:szCs w:val="20"/>
              </w:rPr>
              <w:t>“De la Oferta y Negociación - Términos y Condiciones de las Obligaciones Negociables – Compromisos”</w:t>
            </w:r>
            <w:r w:rsidRPr="00E20B54">
              <w:rPr>
                <w:rFonts w:ascii="Cambria" w:eastAsia="Cambria" w:hAnsi="Cambria" w:cs="Cambria"/>
                <w:sz w:val="20"/>
                <w:szCs w:val="20"/>
              </w:rPr>
              <w:t xml:space="preserve"> </w:t>
            </w:r>
            <w:r w:rsidRPr="0078630F">
              <w:rPr>
                <w:rFonts w:ascii="Cambria" w:eastAsia="Cambria" w:hAnsi="Cambria" w:cs="Cambria"/>
                <w:sz w:val="20"/>
                <w:szCs w:val="20"/>
              </w:rPr>
              <w:t xml:space="preserve">de este Prospecto, en tanto existan Obligaciones Negociables en circulación. Para </w:t>
            </w:r>
            <w:proofErr w:type="gramStart"/>
            <w:r w:rsidRPr="0078630F">
              <w:rPr>
                <w:rFonts w:ascii="Cambria" w:eastAsia="Cambria" w:hAnsi="Cambria" w:cs="Cambria"/>
                <w:sz w:val="20"/>
                <w:szCs w:val="20"/>
              </w:rPr>
              <w:t>mayor información</w:t>
            </w:r>
            <w:proofErr w:type="gramEnd"/>
            <w:r w:rsidRPr="0078630F">
              <w:rPr>
                <w:rFonts w:ascii="Cambria" w:eastAsia="Cambria" w:hAnsi="Cambria" w:cs="Cambria"/>
                <w:sz w:val="20"/>
                <w:szCs w:val="20"/>
              </w:rPr>
              <w:t xml:space="preserve"> véase </w:t>
            </w:r>
            <w:r w:rsidRPr="0078630F">
              <w:rPr>
                <w:rFonts w:ascii="Cambria" w:eastAsia="Cambria" w:hAnsi="Cambria" w:cs="Cambria"/>
                <w:color w:val="000000"/>
                <w:sz w:val="20"/>
                <w:szCs w:val="20"/>
              </w:rPr>
              <w:t>“</w:t>
            </w:r>
            <w:r w:rsidRPr="0078630F">
              <w:rPr>
                <w:rFonts w:ascii="Cambria" w:eastAsia="Cambria" w:hAnsi="Cambria" w:cs="Cambria"/>
                <w:i/>
                <w:color w:val="000000"/>
                <w:sz w:val="20"/>
                <w:szCs w:val="20"/>
              </w:rPr>
              <w:t xml:space="preserve">De la Oferta y Negociación – Términos y Condiciones de las Obligaciones Negociables –Compromisos” </w:t>
            </w:r>
            <w:r w:rsidR="003F02DD">
              <w:rPr>
                <w:rFonts w:ascii="Cambria" w:eastAsia="Cambria" w:hAnsi="Cambria" w:cs="Cambria"/>
                <w:color w:val="000000"/>
                <w:sz w:val="20"/>
                <w:szCs w:val="20"/>
              </w:rPr>
              <w:t>del</w:t>
            </w:r>
            <w:r w:rsidRPr="0078630F">
              <w:rPr>
                <w:rFonts w:ascii="Cambria" w:eastAsia="Cambria" w:hAnsi="Cambria" w:cs="Cambria"/>
                <w:color w:val="000000"/>
                <w:sz w:val="20"/>
                <w:szCs w:val="20"/>
              </w:rPr>
              <w:t xml:space="preserve"> Prospecto</w:t>
            </w:r>
            <w:r w:rsidRPr="0078630F">
              <w:rPr>
                <w:rFonts w:ascii="Cambria" w:eastAsia="Cambria" w:hAnsi="Cambria" w:cs="Cambria"/>
                <w:i/>
                <w:color w:val="000000"/>
                <w:sz w:val="20"/>
                <w:szCs w:val="20"/>
              </w:rPr>
              <w:t xml:space="preserve">. </w:t>
            </w:r>
          </w:p>
        </w:tc>
      </w:tr>
      <w:tr w:rsidR="0031285E" w:rsidRPr="0078630F" w14:paraId="0EBB4F47" w14:textId="77777777" w:rsidTr="006A25D8">
        <w:trPr>
          <w:gridBefore w:val="1"/>
          <w:wBefore w:w="70" w:type="dxa"/>
        </w:trPr>
        <w:tc>
          <w:tcPr>
            <w:tcW w:w="3033" w:type="dxa"/>
            <w:gridSpan w:val="3"/>
          </w:tcPr>
          <w:p w14:paraId="358D9830" w14:textId="77777777" w:rsidR="0031285E" w:rsidRPr="0078630F" w:rsidRDefault="0031285E" w:rsidP="006A25D8">
            <w:pPr>
              <w:jc w:val="both"/>
              <w:rPr>
                <w:rFonts w:ascii="Cambria" w:eastAsia="Cambria" w:hAnsi="Cambria" w:cs="Cambria"/>
                <w:b/>
                <w:sz w:val="20"/>
                <w:szCs w:val="20"/>
              </w:rPr>
            </w:pPr>
            <w:r w:rsidRPr="0078630F">
              <w:rPr>
                <w:rFonts w:ascii="Cambria" w:eastAsia="Cambria" w:hAnsi="Cambria" w:cs="Cambria"/>
                <w:b/>
                <w:sz w:val="20"/>
                <w:szCs w:val="20"/>
              </w:rPr>
              <w:t>Compra o Adquisición de Obligaciones Negociables por parte de la Emisora</w:t>
            </w:r>
          </w:p>
          <w:p w14:paraId="141442D4" w14:textId="77777777" w:rsidR="0031285E" w:rsidRPr="0078630F" w:rsidRDefault="0031285E" w:rsidP="006A25D8">
            <w:pPr>
              <w:rPr>
                <w:rFonts w:ascii="Cambria" w:eastAsia="Cambria" w:hAnsi="Cambria" w:cs="Cambria"/>
                <w:b/>
                <w:sz w:val="20"/>
                <w:szCs w:val="20"/>
              </w:rPr>
            </w:pPr>
          </w:p>
        </w:tc>
        <w:tc>
          <w:tcPr>
            <w:tcW w:w="5649" w:type="dxa"/>
            <w:gridSpan w:val="2"/>
          </w:tcPr>
          <w:p w14:paraId="68548D3D" w14:textId="77777777" w:rsidR="0031285E" w:rsidRPr="0078630F" w:rsidRDefault="0031285E" w:rsidP="006A25D8">
            <w:pPr>
              <w:jc w:val="both"/>
              <w:rPr>
                <w:rFonts w:ascii="Cambria" w:eastAsia="Cambria" w:hAnsi="Cambria" w:cs="Cambria"/>
                <w:b/>
                <w:sz w:val="20"/>
                <w:szCs w:val="20"/>
              </w:rPr>
            </w:pPr>
            <w:r w:rsidRPr="0078630F">
              <w:rPr>
                <w:rFonts w:ascii="Cambria" w:eastAsia="Cambria" w:hAnsi="Cambria" w:cs="Cambria"/>
                <w:sz w:val="20"/>
                <w:szCs w:val="20"/>
              </w:rPr>
              <w:t xml:space="preserve">A menos que se especifique de distinto modo en el Suplemento de Precio correspondiente, la Emisora y/o cualquier parte relacionada de la Emisora podrá, de acuerdo con las normas vigentes y en la medida permitida por dichas normas, en cualquier momento y de cualquier forma, comprar y/o de cualquier otra forma adquirir Obligaciones Negociables en circulación y realizar con ellas cualquier acto jurídico, pudiendo en tal caso la Emisora y/o dicha parte relacionada de la Emisora, sin carácter limitativo, mantener en cartera, transferir a terceros y/o cancelar tales Obligaciones Negociables. Para </w:t>
            </w:r>
            <w:proofErr w:type="gramStart"/>
            <w:r w:rsidRPr="0078630F">
              <w:rPr>
                <w:rFonts w:ascii="Cambria" w:eastAsia="Cambria" w:hAnsi="Cambria" w:cs="Cambria"/>
                <w:sz w:val="20"/>
                <w:szCs w:val="20"/>
              </w:rPr>
              <w:t>mayor información</w:t>
            </w:r>
            <w:proofErr w:type="gramEnd"/>
            <w:r w:rsidRPr="0078630F">
              <w:rPr>
                <w:rFonts w:ascii="Cambria" w:eastAsia="Cambria" w:hAnsi="Cambria" w:cs="Cambria"/>
                <w:sz w:val="20"/>
                <w:szCs w:val="20"/>
              </w:rPr>
              <w:t xml:space="preserve"> véase</w:t>
            </w:r>
            <w:r w:rsidRPr="0078630F">
              <w:rPr>
                <w:rFonts w:ascii="Cambria" w:eastAsia="Cambria" w:hAnsi="Cambria" w:cs="Cambria"/>
                <w:color w:val="000000"/>
                <w:sz w:val="20"/>
                <w:szCs w:val="20"/>
              </w:rPr>
              <w:t xml:space="preserve"> “</w:t>
            </w:r>
            <w:r w:rsidRPr="0078630F">
              <w:rPr>
                <w:rFonts w:ascii="Cambria" w:eastAsia="Cambria" w:hAnsi="Cambria" w:cs="Cambria"/>
                <w:i/>
                <w:color w:val="000000"/>
                <w:sz w:val="20"/>
                <w:szCs w:val="20"/>
              </w:rPr>
              <w:t xml:space="preserve">De la Oferta y Negociación – Términos y Condiciones de las Obligaciones Negociables - </w:t>
            </w:r>
            <w:r w:rsidRPr="0078630F">
              <w:rPr>
                <w:rFonts w:ascii="Cambria" w:eastAsia="Cambria" w:hAnsi="Cambria" w:cs="Cambria"/>
                <w:i/>
                <w:sz w:val="20"/>
                <w:szCs w:val="20"/>
              </w:rPr>
              <w:t xml:space="preserve">Compra o Adquisición de Obligaciones Negociables por parte de la Emisora” </w:t>
            </w:r>
            <w:r w:rsidR="003F02DD">
              <w:rPr>
                <w:rFonts w:ascii="Cambria" w:eastAsia="Cambria" w:hAnsi="Cambria" w:cs="Cambria"/>
                <w:sz w:val="20"/>
                <w:szCs w:val="20"/>
              </w:rPr>
              <w:t>del</w:t>
            </w:r>
            <w:r w:rsidRPr="0078630F">
              <w:rPr>
                <w:rFonts w:ascii="Cambria" w:eastAsia="Cambria" w:hAnsi="Cambria" w:cs="Cambria"/>
                <w:sz w:val="20"/>
                <w:szCs w:val="20"/>
              </w:rPr>
              <w:t xml:space="preserve"> Prospecto</w:t>
            </w:r>
            <w:r w:rsidRPr="0078630F">
              <w:rPr>
                <w:rFonts w:ascii="Cambria" w:eastAsia="Cambria" w:hAnsi="Cambria" w:cs="Cambria"/>
                <w:color w:val="000000"/>
                <w:sz w:val="20"/>
                <w:szCs w:val="20"/>
              </w:rPr>
              <w:t>.</w:t>
            </w:r>
          </w:p>
        </w:tc>
      </w:tr>
      <w:tr w:rsidR="0031285E" w:rsidRPr="0078630F" w14:paraId="6462D04B" w14:textId="77777777" w:rsidTr="006A25D8">
        <w:trPr>
          <w:gridBefore w:val="1"/>
          <w:wBefore w:w="70" w:type="dxa"/>
        </w:trPr>
        <w:tc>
          <w:tcPr>
            <w:tcW w:w="3033" w:type="dxa"/>
            <w:gridSpan w:val="3"/>
          </w:tcPr>
          <w:p w14:paraId="42DD22C5" w14:textId="77777777" w:rsidR="0031285E" w:rsidRPr="0078630F" w:rsidRDefault="0031285E" w:rsidP="006A25D8">
            <w:pPr>
              <w:rPr>
                <w:rFonts w:ascii="Cambria" w:eastAsia="Cambria" w:hAnsi="Cambria" w:cs="Cambria"/>
                <w:b/>
                <w:sz w:val="20"/>
                <w:szCs w:val="20"/>
              </w:rPr>
            </w:pPr>
            <w:r w:rsidRPr="0078630F">
              <w:rPr>
                <w:rFonts w:ascii="Cambria" w:eastAsia="Cambria" w:hAnsi="Cambria" w:cs="Cambria"/>
                <w:b/>
                <w:sz w:val="20"/>
                <w:szCs w:val="20"/>
              </w:rPr>
              <w:t>Rescate a Opción de la Emisora y/o de los tenedores:</w:t>
            </w:r>
          </w:p>
        </w:tc>
        <w:tc>
          <w:tcPr>
            <w:tcW w:w="5649" w:type="dxa"/>
            <w:gridSpan w:val="2"/>
          </w:tcPr>
          <w:p w14:paraId="388BC073" w14:textId="77777777" w:rsidR="0031285E" w:rsidRPr="0078630F" w:rsidRDefault="0031285E" w:rsidP="006A25D8">
            <w:pPr>
              <w:jc w:val="both"/>
              <w:rPr>
                <w:rFonts w:ascii="Cambria" w:eastAsia="Cambria" w:hAnsi="Cambria" w:cs="Cambria"/>
                <w:b/>
                <w:i/>
                <w:color w:val="000000"/>
                <w:sz w:val="20"/>
                <w:szCs w:val="20"/>
              </w:rPr>
            </w:pPr>
            <w:r w:rsidRPr="0078630F">
              <w:rPr>
                <w:rFonts w:ascii="Cambria" w:eastAsia="Cambria" w:hAnsi="Cambria" w:cs="Cambria"/>
                <w:sz w:val="20"/>
                <w:szCs w:val="20"/>
              </w:rPr>
              <w:t xml:space="preserve">En caso </w:t>
            </w:r>
            <w:r>
              <w:rPr>
                <w:rFonts w:ascii="Cambria" w:eastAsia="Cambria" w:hAnsi="Cambria" w:cs="Cambria"/>
                <w:sz w:val="20"/>
                <w:szCs w:val="20"/>
              </w:rPr>
              <w:t xml:space="preserve">de </w:t>
            </w:r>
            <w:r w:rsidRPr="0078630F">
              <w:rPr>
                <w:rFonts w:ascii="Cambria" w:eastAsia="Cambria" w:hAnsi="Cambria" w:cs="Cambria"/>
                <w:sz w:val="20"/>
                <w:szCs w:val="20"/>
              </w:rPr>
              <w:t xml:space="preserve">que así se especifique en el Suplemento de Precio correspondiente, las Obligaciones Negociables podrán ser rescatadas total o parcialmente a opción de la Emisora y/o de los tenedores con anterioridad al vencimiento de </w:t>
            </w:r>
            <w:proofErr w:type="gramStart"/>
            <w:r w:rsidRPr="0078630F">
              <w:rPr>
                <w:rFonts w:ascii="Cambria" w:eastAsia="Cambria" w:hAnsi="Cambria" w:cs="Cambria"/>
                <w:sz w:val="20"/>
                <w:szCs w:val="20"/>
              </w:rPr>
              <w:t>las mismas</w:t>
            </w:r>
            <w:proofErr w:type="gramEnd"/>
            <w:r w:rsidRPr="0078630F">
              <w:rPr>
                <w:rFonts w:ascii="Cambria" w:eastAsia="Cambria" w:hAnsi="Cambria" w:cs="Cambria"/>
                <w:sz w:val="20"/>
                <w:szCs w:val="20"/>
              </w:rPr>
              <w:t xml:space="preserve">, de conformidad con los términos y condiciones que se especifiquen en dicho Suplemento de Precio. El rescate anticipado en todos los casos se realizará respetando el principio de trato igualitario entre inversores. Para </w:t>
            </w:r>
            <w:proofErr w:type="gramStart"/>
            <w:r w:rsidRPr="0078630F">
              <w:rPr>
                <w:rFonts w:ascii="Cambria" w:eastAsia="Cambria" w:hAnsi="Cambria" w:cs="Cambria"/>
                <w:sz w:val="20"/>
                <w:szCs w:val="20"/>
              </w:rPr>
              <w:t>mayor información</w:t>
            </w:r>
            <w:proofErr w:type="gramEnd"/>
            <w:r w:rsidRPr="0078630F">
              <w:rPr>
                <w:rFonts w:ascii="Cambria" w:eastAsia="Cambria" w:hAnsi="Cambria" w:cs="Cambria"/>
                <w:sz w:val="20"/>
                <w:szCs w:val="20"/>
              </w:rPr>
              <w:t xml:space="preserve"> véase</w:t>
            </w:r>
            <w:r w:rsidRPr="0078630F">
              <w:rPr>
                <w:rFonts w:ascii="Cambria" w:eastAsia="Cambria" w:hAnsi="Cambria" w:cs="Cambria"/>
                <w:color w:val="000000"/>
                <w:sz w:val="20"/>
                <w:szCs w:val="20"/>
              </w:rPr>
              <w:t xml:space="preserve"> la sección “</w:t>
            </w:r>
            <w:r w:rsidRPr="0078630F">
              <w:rPr>
                <w:rFonts w:ascii="Cambria" w:eastAsia="Cambria" w:hAnsi="Cambria" w:cs="Cambria"/>
                <w:i/>
                <w:color w:val="000000"/>
                <w:sz w:val="20"/>
                <w:szCs w:val="20"/>
              </w:rPr>
              <w:t xml:space="preserve">De la </w:t>
            </w:r>
            <w:r w:rsidRPr="0078630F">
              <w:rPr>
                <w:rFonts w:ascii="Cambria" w:eastAsia="Cambria" w:hAnsi="Cambria" w:cs="Cambria"/>
                <w:i/>
                <w:color w:val="000000"/>
                <w:sz w:val="20"/>
                <w:szCs w:val="20"/>
              </w:rPr>
              <w:lastRenderedPageBreak/>
              <w:t>Oferta y Negociación – Términos y Condiciones de las Obligaciones Negociables - Rescate a Opción de la Emisora y/o de los tenedores</w:t>
            </w:r>
            <w:r w:rsidR="003F02DD">
              <w:rPr>
                <w:rFonts w:ascii="Cambria" w:eastAsia="Cambria" w:hAnsi="Cambria" w:cs="Cambria"/>
                <w:color w:val="000000"/>
                <w:sz w:val="20"/>
                <w:szCs w:val="20"/>
              </w:rPr>
              <w:t>” del</w:t>
            </w:r>
            <w:r w:rsidRPr="0078630F">
              <w:rPr>
                <w:rFonts w:ascii="Cambria" w:eastAsia="Cambria" w:hAnsi="Cambria" w:cs="Cambria"/>
                <w:color w:val="000000"/>
                <w:sz w:val="20"/>
                <w:szCs w:val="20"/>
              </w:rPr>
              <w:t xml:space="preserve"> Prospecto.</w:t>
            </w:r>
          </w:p>
        </w:tc>
      </w:tr>
      <w:tr w:rsidR="0031285E" w:rsidRPr="0078630F" w14:paraId="120E994B" w14:textId="77777777" w:rsidTr="006A25D8">
        <w:trPr>
          <w:gridBefore w:val="1"/>
          <w:wBefore w:w="70" w:type="dxa"/>
        </w:trPr>
        <w:tc>
          <w:tcPr>
            <w:tcW w:w="3033" w:type="dxa"/>
            <w:gridSpan w:val="3"/>
          </w:tcPr>
          <w:p w14:paraId="3DDDC941" w14:textId="77777777" w:rsidR="0031285E" w:rsidRPr="0078630F" w:rsidRDefault="0031285E" w:rsidP="006A25D8">
            <w:pPr>
              <w:rPr>
                <w:rFonts w:ascii="Cambria" w:eastAsia="Cambria" w:hAnsi="Cambria" w:cs="Cambria"/>
                <w:b/>
                <w:sz w:val="20"/>
                <w:szCs w:val="20"/>
              </w:rPr>
            </w:pPr>
            <w:r w:rsidRPr="0078630F">
              <w:rPr>
                <w:rFonts w:ascii="Cambria" w:eastAsia="Cambria" w:hAnsi="Cambria" w:cs="Cambria"/>
                <w:b/>
                <w:sz w:val="20"/>
                <w:szCs w:val="20"/>
              </w:rPr>
              <w:lastRenderedPageBreak/>
              <w:t>Rescate por Razones Impositivas:</w:t>
            </w:r>
          </w:p>
        </w:tc>
        <w:tc>
          <w:tcPr>
            <w:tcW w:w="5649" w:type="dxa"/>
            <w:gridSpan w:val="2"/>
          </w:tcPr>
          <w:p w14:paraId="007E8DB2" w14:textId="77777777" w:rsidR="0031285E" w:rsidRPr="0078630F" w:rsidRDefault="0031285E" w:rsidP="006A25D8">
            <w:pPr>
              <w:pBdr>
                <w:top w:val="nil"/>
                <w:left w:val="nil"/>
                <w:bottom w:val="nil"/>
                <w:right w:val="nil"/>
                <w:between w:val="nil"/>
              </w:pBdr>
              <w:spacing w:after="0"/>
              <w:jc w:val="both"/>
              <w:rPr>
                <w:rFonts w:ascii="Cambria" w:eastAsia="Cambria" w:hAnsi="Cambria" w:cs="Cambria"/>
                <w:color w:val="000000"/>
                <w:sz w:val="20"/>
                <w:szCs w:val="20"/>
              </w:rPr>
            </w:pPr>
            <w:r w:rsidRPr="0078630F">
              <w:rPr>
                <w:rFonts w:ascii="Cambria" w:eastAsia="Cambria" w:hAnsi="Cambria" w:cs="Cambria"/>
                <w:color w:val="000000"/>
                <w:sz w:val="20"/>
                <w:szCs w:val="20"/>
              </w:rPr>
              <w:t>A menos que se especifique de distinto modo en los Suplementos de Precio correspondientes, la Emisora podrá rescatar cualquier clase y/o serie de Obligaciones Negociables en su totalidad, pero no parcialmente, en caso</w:t>
            </w:r>
            <w:r>
              <w:rPr>
                <w:rFonts w:ascii="Cambria" w:eastAsia="Cambria" w:hAnsi="Cambria" w:cs="Cambria"/>
                <w:color w:val="000000"/>
                <w:sz w:val="20"/>
                <w:szCs w:val="20"/>
              </w:rPr>
              <w:t xml:space="preserve"> de</w:t>
            </w:r>
            <w:r w:rsidRPr="0078630F">
              <w:rPr>
                <w:rFonts w:ascii="Cambria" w:eastAsia="Cambria" w:hAnsi="Cambria" w:cs="Cambria"/>
                <w:color w:val="000000"/>
                <w:sz w:val="20"/>
                <w:szCs w:val="20"/>
              </w:rPr>
              <w:t xml:space="preserve"> que tuvieran lugar ciertos cambios impositivos que generen en la Emisora la obligación de pagar ciertos montos adicionales bajo las Obligaciones Negociables. Para </w:t>
            </w:r>
            <w:proofErr w:type="gramStart"/>
            <w:r w:rsidRPr="0078630F">
              <w:rPr>
                <w:rFonts w:ascii="Cambria" w:eastAsia="Cambria" w:hAnsi="Cambria" w:cs="Cambria"/>
                <w:color w:val="000000"/>
                <w:sz w:val="20"/>
                <w:szCs w:val="20"/>
              </w:rPr>
              <w:t>mayor información</w:t>
            </w:r>
            <w:proofErr w:type="gramEnd"/>
            <w:r w:rsidRPr="0078630F">
              <w:rPr>
                <w:rFonts w:ascii="Cambria" w:eastAsia="Cambria" w:hAnsi="Cambria" w:cs="Cambria"/>
                <w:color w:val="000000"/>
                <w:sz w:val="20"/>
                <w:szCs w:val="20"/>
              </w:rPr>
              <w:t xml:space="preserve"> véase la sección “</w:t>
            </w:r>
            <w:r w:rsidRPr="0078630F">
              <w:rPr>
                <w:rFonts w:ascii="Cambria" w:eastAsia="Cambria" w:hAnsi="Cambria" w:cs="Cambria"/>
                <w:i/>
                <w:color w:val="000000"/>
                <w:sz w:val="20"/>
                <w:szCs w:val="20"/>
              </w:rPr>
              <w:t>De la Oferta y Negociación – Términos y Condiciones de las Obligaciones Negociables - Rescate por Razones Impositivas</w:t>
            </w:r>
            <w:r w:rsidR="003F02DD">
              <w:rPr>
                <w:rFonts w:ascii="Cambria" w:eastAsia="Cambria" w:hAnsi="Cambria" w:cs="Cambria"/>
                <w:color w:val="000000"/>
                <w:sz w:val="20"/>
                <w:szCs w:val="20"/>
              </w:rPr>
              <w:t>” del</w:t>
            </w:r>
            <w:r w:rsidRPr="0078630F">
              <w:rPr>
                <w:rFonts w:ascii="Cambria" w:eastAsia="Cambria" w:hAnsi="Cambria" w:cs="Cambria"/>
                <w:color w:val="000000"/>
                <w:sz w:val="20"/>
                <w:szCs w:val="20"/>
              </w:rPr>
              <w:t xml:space="preserve"> Prospecto.</w:t>
            </w:r>
          </w:p>
        </w:tc>
      </w:tr>
      <w:tr w:rsidR="0031285E" w:rsidRPr="0078630F" w14:paraId="091835E6" w14:textId="77777777" w:rsidTr="006A25D8">
        <w:trPr>
          <w:gridBefore w:val="1"/>
          <w:wBefore w:w="70" w:type="dxa"/>
        </w:trPr>
        <w:tc>
          <w:tcPr>
            <w:tcW w:w="3033" w:type="dxa"/>
            <w:gridSpan w:val="3"/>
          </w:tcPr>
          <w:p w14:paraId="551B8B7E" w14:textId="77777777" w:rsidR="0031285E" w:rsidRPr="0078630F" w:rsidRDefault="0031285E" w:rsidP="006A25D8">
            <w:pPr>
              <w:rPr>
                <w:rFonts w:ascii="Cambria" w:eastAsia="Cambria" w:hAnsi="Cambria" w:cs="Cambria"/>
                <w:b/>
                <w:sz w:val="20"/>
                <w:szCs w:val="20"/>
              </w:rPr>
            </w:pPr>
          </w:p>
        </w:tc>
        <w:tc>
          <w:tcPr>
            <w:tcW w:w="5649" w:type="dxa"/>
            <w:gridSpan w:val="2"/>
          </w:tcPr>
          <w:p w14:paraId="1CC33D6D" w14:textId="77777777" w:rsidR="0031285E" w:rsidRPr="0078630F" w:rsidRDefault="0031285E" w:rsidP="006A25D8">
            <w:pPr>
              <w:pBdr>
                <w:top w:val="nil"/>
                <w:left w:val="nil"/>
                <w:bottom w:val="nil"/>
                <w:right w:val="nil"/>
                <w:between w:val="nil"/>
              </w:pBdr>
              <w:spacing w:after="0"/>
              <w:jc w:val="both"/>
              <w:rPr>
                <w:rFonts w:ascii="Cambria" w:eastAsia="Cambria" w:hAnsi="Cambria" w:cs="Cambria"/>
                <w:color w:val="000000"/>
                <w:sz w:val="20"/>
                <w:szCs w:val="20"/>
              </w:rPr>
            </w:pPr>
          </w:p>
        </w:tc>
      </w:tr>
      <w:tr w:rsidR="0031285E" w:rsidRPr="0078630F" w14:paraId="3CA20850" w14:textId="77777777" w:rsidTr="006A25D8">
        <w:trPr>
          <w:gridBefore w:val="1"/>
          <w:wBefore w:w="70" w:type="dxa"/>
        </w:trPr>
        <w:tc>
          <w:tcPr>
            <w:tcW w:w="3033" w:type="dxa"/>
            <w:gridSpan w:val="3"/>
          </w:tcPr>
          <w:p w14:paraId="00D86DFC" w14:textId="77777777" w:rsidR="0031285E" w:rsidRPr="0078630F" w:rsidRDefault="0031285E" w:rsidP="006A25D8">
            <w:pPr>
              <w:rPr>
                <w:rFonts w:ascii="Cambria" w:eastAsia="Cambria" w:hAnsi="Cambria" w:cs="Cambria"/>
                <w:b/>
                <w:sz w:val="20"/>
                <w:szCs w:val="20"/>
              </w:rPr>
            </w:pPr>
            <w:r w:rsidRPr="0078630F">
              <w:rPr>
                <w:rFonts w:ascii="Cambria" w:eastAsia="Cambria" w:hAnsi="Cambria" w:cs="Cambria"/>
                <w:b/>
                <w:sz w:val="20"/>
                <w:szCs w:val="20"/>
              </w:rPr>
              <w:t>Eventos de Incumplimiento:</w:t>
            </w:r>
          </w:p>
        </w:tc>
        <w:tc>
          <w:tcPr>
            <w:tcW w:w="5649" w:type="dxa"/>
            <w:gridSpan w:val="2"/>
          </w:tcPr>
          <w:p w14:paraId="09FFFD38" w14:textId="77777777" w:rsidR="0031285E" w:rsidRPr="0078630F" w:rsidRDefault="0031285E" w:rsidP="006A25D8">
            <w:pPr>
              <w:jc w:val="both"/>
              <w:rPr>
                <w:rFonts w:ascii="Cambria" w:eastAsia="Cambria" w:hAnsi="Cambria" w:cs="Cambria"/>
                <w:sz w:val="20"/>
                <w:szCs w:val="20"/>
              </w:rPr>
            </w:pPr>
            <w:r w:rsidRPr="0078630F">
              <w:rPr>
                <w:rFonts w:ascii="Cambria" w:eastAsia="Cambria" w:hAnsi="Cambria" w:cs="Cambria"/>
                <w:sz w:val="20"/>
                <w:szCs w:val="20"/>
              </w:rPr>
              <w:t xml:space="preserve">Si se produce y subsiste uno o más de los eventos de incumplimiento que se especifican en la sección </w:t>
            </w:r>
            <w:hyperlink w:anchor="_heading=h.g4sq4citrf75" w:history="1">
              <w:r w:rsidRPr="008779A2">
                <w:rPr>
                  <w:rFonts w:ascii="Cambria" w:eastAsia="Cambria" w:hAnsi="Cambria" w:cs="Cambria"/>
                  <w:i/>
                  <w:sz w:val="20"/>
                  <w:szCs w:val="20"/>
                </w:rPr>
                <w:t>“De la Oferta y Negociación – Términos y Condiciones de las Obligaciones Negociables – Eventos de Incumplimiento</w:t>
              </w:r>
            </w:hyperlink>
            <w:r w:rsidRPr="00A92644">
              <w:rPr>
                <w:rFonts w:ascii="Cambria" w:eastAsia="Cambria" w:hAnsi="Cambria" w:cs="Cambria"/>
                <w:i/>
                <w:sz w:val="20"/>
                <w:szCs w:val="20"/>
              </w:rPr>
              <w:t>”</w:t>
            </w:r>
            <w:r w:rsidRPr="00A92644">
              <w:rPr>
                <w:rFonts w:ascii="Cambria" w:eastAsia="Cambria" w:hAnsi="Cambria" w:cs="Cambria"/>
                <w:sz w:val="20"/>
                <w:szCs w:val="20"/>
              </w:rPr>
              <w:t xml:space="preserve"> </w:t>
            </w:r>
            <w:r w:rsidRPr="0078630F">
              <w:rPr>
                <w:rFonts w:ascii="Cambria" w:eastAsia="Cambria" w:hAnsi="Cambria" w:cs="Cambria"/>
                <w:sz w:val="20"/>
                <w:szCs w:val="20"/>
              </w:rPr>
              <w:t xml:space="preserve">de este Prospecto, se podrá producir la caducidad de los plazos bajo las Obligaciones Negociables. En cada Suplemento de Precio correspondiente se podrán establecer modificaciones o eliminar uno o más eventos de incumplimiento o bien incluir eventos de incumplimiento adicionales a los detallados en la sección </w:t>
            </w:r>
            <w:r w:rsidRPr="0078630F">
              <w:rPr>
                <w:rFonts w:ascii="Cambria" w:eastAsia="Cambria" w:hAnsi="Cambria" w:cs="Cambria"/>
                <w:i/>
                <w:sz w:val="20"/>
                <w:szCs w:val="20"/>
              </w:rPr>
              <w:t xml:space="preserve">“De la Oferta y Negociación – Términos y Condiciones de las Obligaciones Negociables – Eventos de Incumplimiento” </w:t>
            </w:r>
            <w:r w:rsidR="003F02DD">
              <w:rPr>
                <w:rFonts w:ascii="Cambria" w:eastAsia="Cambria" w:hAnsi="Cambria" w:cs="Cambria"/>
                <w:sz w:val="20"/>
                <w:szCs w:val="20"/>
              </w:rPr>
              <w:t>del</w:t>
            </w:r>
            <w:r w:rsidRPr="0078630F">
              <w:rPr>
                <w:rFonts w:ascii="Cambria" w:eastAsia="Cambria" w:hAnsi="Cambria" w:cs="Cambria"/>
                <w:sz w:val="20"/>
                <w:szCs w:val="20"/>
              </w:rPr>
              <w:t xml:space="preserve"> Prospecto, modificar los mismos y/o establecer que uno o más de los mismos no serán aplicables en relación con las Obligaciones Negociables de la clase y/o serie en cuestión.</w:t>
            </w:r>
          </w:p>
        </w:tc>
      </w:tr>
      <w:tr w:rsidR="0031285E" w:rsidRPr="0078630F" w14:paraId="0417B244" w14:textId="77777777" w:rsidTr="006A25D8">
        <w:trPr>
          <w:gridBefore w:val="1"/>
          <w:wBefore w:w="70" w:type="dxa"/>
        </w:trPr>
        <w:tc>
          <w:tcPr>
            <w:tcW w:w="3033" w:type="dxa"/>
            <w:gridSpan w:val="3"/>
          </w:tcPr>
          <w:p w14:paraId="2F25C888" w14:textId="77777777" w:rsidR="0031285E" w:rsidRPr="0078630F" w:rsidRDefault="0031285E" w:rsidP="006A25D8">
            <w:pPr>
              <w:rPr>
                <w:rFonts w:ascii="Cambria" w:eastAsia="Cambria" w:hAnsi="Cambria" w:cs="Cambria"/>
                <w:b/>
                <w:sz w:val="20"/>
                <w:szCs w:val="20"/>
              </w:rPr>
            </w:pPr>
            <w:r w:rsidRPr="0078630F">
              <w:rPr>
                <w:rFonts w:ascii="Cambria" w:eastAsia="Cambria" w:hAnsi="Cambria" w:cs="Cambria"/>
                <w:b/>
                <w:sz w:val="20"/>
                <w:szCs w:val="20"/>
              </w:rPr>
              <w:t>Rango:</w:t>
            </w:r>
          </w:p>
        </w:tc>
        <w:tc>
          <w:tcPr>
            <w:tcW w:w="5649" w:type="dxa"/>
            <w:gridSpan w:val="2"/>
          </w:tcPr>
          <w:p w14:paraId="578AD4EF" w14:textId="77777777" w:rsidR="0031285E" w:rsidRPr="0078630F" w:rsidRDefault="0031285E" w:rsidP="006A25D8">
            <w:pPr>
              <w:jc w:val="both"/>
              <w:rPr>
                <w:rFonts w:ascii="Cambria" w:eastAsia="Cambria" w:hAnsi="Cambria" w:cs="Cambria"/>
                <w:sz w:val="20"/>
                <w:szCs w:val="20"/>
              </w:rPr>
            </w:pPr>
            <w:r w:rsidRPr="0078630F">
              <w:rPr>
                <w:rFonts w:ascii="Cambria" w:eastAsia="Cambria" w:hAnsi="Cambria" w:cs="Cambria"/>
                <w:sz w:val="20"/>
                <w:szCs w:val="20"/>
              </w:rPr>
              <w:t xml:space="preserve">Las Obligaciones Negociables constituirán, en principio, y salvo que se </w:t>
            </w:r>
            <w:r w:rsidRPr="0078630F">
              <w:rPr>
                <w:rFonts w:ascii="Cambria" w:eastAsia="Cambria" w:hAnsi="Cambria" w:cs="Cambria"/>
                <w:color w:val="000000"/>
                <w:sz w:val="20"/>
                <w:szCs w:val="20"/>
              </w:rPr>
              <w:t xml:space="preserve">especifique de distinto modo en </w:t>
            </w:r>
            <w:r w:rsidRPr="0078630F">
              <w:rPr>
                <w:rFonts w:ascii="Cambria" w:eastAsia="Cambria" w:hAnsi="Cambria" w:cs="Cambria"/>
                <w:sz w:val="20"/>
                <w:szCs w:val="20"/>
              </w:rPr>
              <w:t xml:space="preserve">el respectivo Suplemento de Precio, obligaciones simples, incondicionales, con garantía común y no subordinadas de la Emisora. El Suplemento de Precio podrá establecer para una determinada clase y/o serie de Obligaciones Negociables, que éstas cuenten con garantías o que sean subordinadas. Las Obligaciones Negociables de una determinada clase y/o serie con garantía común no tendrán el beneficio de los bienes afectados a garantías especiales, reales, flotantes, fiduciarias u otras garantías de cualquier otra deuda de la Emisora, incluyendo Obligaciones Negociables de otras clases y/o series garantizadas. Para </w:t>
            </w:r>
            <w:proofErr w:type="gramStart"/>
            <w:r w:rsidRPr="0078630F">
              <w:rPr>
                <w:rFonts w:ascii="Cambria" w:eastAsia="Cambria" w:hAnsi="Cambria" w:cs="Cambria"/>
                <w:sz w:val="20"/>
                <w:szCs w:val="20"/>
              </w:rPr>
              <w:t>mayor información</w:t>
            </w:r>
            <w:proofErr w:type="gramEnd"/>
            <w:r w:rsidRPr="0078630F">
              <w:rPr>
                <w:rFonts w:ascii="Cambria" w:eastAsia="Cambria" w:hAnsi="Cambria" w:cs="Cambria"/>
                <w:sz w:val="20"/>
                <w:szCs w:val="20"/>
              </w:rPr>
              <w:t xml:space="preserve"> véase</w:t>
            </w:r>
            <w:r w:rsidRPr="0078630F">
              <w:rPr>
                <w:rFonts w:ascii="Cambria" w:eastAsia="Cambria" w:hAnsi="Cambria" w:cs="Cambria"/>
                <w:color w:val="000000"/>
                <w:sz w:val="20"/>
                <w:szCs w:val="20"/>
              </w:rPr>
              <w:t xml:space="preserve"> la sección “</w:t>
            </w:r>
            <w:r w:rsidRPr="0078630F">
              <w:rPr>
                <w:rFonts w:ascii="Cambria" w:eastAsia="Cambria" w:hAnsi="Cambria" w:cs="Cambria"/>
                <w:i/>
                <w:color w:val="000000"/>
                <w:sz w:val="20"/>
                <w:szCs w:val="20"/>
              </w:rPr>
              <w:t>De la Oferta y Negociación – Términos y Condiciones de las Obligaciones Negociables - Rango</w:t>
            </w:r>
            <w:r w:rsidR="003F02DD">
              <w:rPr>
                <w:rFonts w:ascii="Cambria" w:eastAsia="Cambria" w:hAnsi="Cambria" w:cs="Cambria"/>
                <w:color w:val="000000"/>
                <w:sz w:val="20"/>
                <w:szCs w:val="20"/>
              </w:rPr>
              <w:t>” del</w:t>
            </w:r>
            <w:r w:rsidRPr="0078630F">
              <w:rPr>
                <w:rFonts w:ascii="Cambria" w:eastAsia="Cambria" w:hAnsi="Cambria" w:cs="Cambria"/>
                <w:color w:val="000000"/>
                <w:sz w:val="20"/>
                <w:szCs w:val="20"/>
              </w:rPr>
              <w:t xml:space="preserve"> Prospecto.</w:t>
            </w:r>
          </w:p>
        </w:tc>
      </w:tr>
      <w:tr w:rsidR="0031285E" w:rsidRPr="0078630F" w14:paraId="77857EA6" w14:textId="77777777" w:rsidTr="006A25D8">
        <w:trPr>
          <w:gridBefore w:val="1"/>
          <w:wBefore w:w="70" w:type="dxa"/>
        </w:trPr>
        <w:tc>
          <w:tcPr>
            <w:tcW w:w="3033" w:type="dxa"/>
            <w:gridSpan w:val="3"/>
          </w:tcPr>
          <w:p w14:paraId="1C1E7B39" w14:textId="77777777" w:rsidR="0031285E" w:rsidRPr="0078630F" w:rsidRDefault="0031285E" w:rsidP="006A25D8">
            <w:pPr>
              <w:rPr>
                <w:rFonts w:ascii="Cambria" w:eastAsia="Cambria" w:hAnsi="Cambria" w:cs="Cambria"/>
                <w:b/>
                <w:sz w:val="20"/>
                <w:szCs w:val="20"/>
              </w:rPr>
            </w:pPr>
            <w:r w:rsidRPr="0078630F">
              <w:rPr>
                <w:rFonts w:ascii="Cambria" w:eastAsia="Cambria" w:hAnsi="Cambria" w:cs="Cambria"/>
                <w:b/>
                <w:sz w:val="20"/>
                <w:szCs w:val="20"/>
              </w:rPr>
              <w:t>Fiduciarios, Agentes Fiscales y Otros Agentes:</w:t>
            </w:r>
          </w:p>
        </w:tc>
        <w:tc>
          <w:tcPr>
            <w:tcW w:w="5649" w:type="dxa"/>
            <w:gridSpan w:val="2"/>
          </w:tcPr>
          <w:p w14:paraId="586A0D1A" w14:textId="77777777" w:rsidR="0031285E" w:rsidRPr="0078630F" w:rsidRDefault="0031285E" w:rsidP="006A25D8">
            <w:pPr>
              <w:jc w:val="both"/>
              <w:rPr>
                <w:rFonts w:ascii="Cambria" w:eastAsia="Cambria" w:hAnsi="Cambria" w:cs="Cambria"/>
                <w:sz w:val="20"/>
                <w:szCs w:val="20"/>
              </w:rPr>
            </w:pPr>
            <w:r w:rsidRPr="0078630F">
              <w:rPr>
                <w:rFonts w:ascii="Cambria" w:eastAsia="Cambria" w:hAnsi="Cambria" w:cs="Cambria"/>
                <w:sz w:val="20"/>
                <w:szCs w:val="20"/>
              </w:rPr>
              <w:t xml:space="preserve">Las Obligaciones Negociables podrán ser emitidas en el marco de contratos de fideicomiso y/o de contratos de agencia fiscal que oportunamente la Emisora celebre con entidades que actúen como fiduciarios y/o agentes fiscales, lo cual será especificado en el Suplemento de Precio correspondiente. Tales fiduciarios y/o agentes fiscales desempeñarán funciones solamente respecto de las clases de Obligaciones Negociables que se especifiquen en los </w:t>
            </w:r>
            <w:r w:rsidRPr="0078630F">
              <w:rPr>
                <w:rFonts w:ascii="Cambria" w:eastAsia="Cambria" w:hAnsi="Cambria" w:cs="Cambria"/>
                <w:sz w:val="20"/>
                <w:szCs w:val="20"/>
              </w:rPr>
              <w:lastRenderedPageBreak/>
              <w:t xml:space="preserve">respectivos contratos, y tendrán los derechos y obligaciones que se especifiquen en los mismos. Asimismo, la Emisora podrá designar otros agentes en relación con las Obligaciones Negociables para que desempeñen funciones solamente respecto de las clases de Obligaciones Negociables que se especifiquen en cada caso. Para </w:t>
            </w:r>
            <w:proofErr w:type="gramStart"/>
            <w:r w:rsidRPr="0078630F">
              <w:rPr>
                <w:rFonts w:ascii="Cambria" w:eastAsia="Cambria" w:hAnsi="Cambria" w:cs="Cambria"/>
                <w:sz w:val="20"/>
                <w:szCs w:val="20"/>
              </w:rPr>
              <w:t>mayor información</w:t>
            </w:r>
            <w:proofErr w:type="gramEnd"/>
            <w:r w:rsidRPr="0078630F">
              <w:rPr>
                <w:rFonts w:ascii="Cambria" w:eastAsia="Cambria" w:hAnsi="Cambria" w:cs="Cambria"/>
                <w:sz w:val="20"/>
                <w:szCs w:val="20"/>
              </w:rPr>
              <w:t xml:space="preserve"> véase</w:t>
            </w:r>
            <w:r w:rsidRPr="0078630F">
              <w:rPr>
                <w:rFonts w:ascii="Cambria" w:eastAsia="Cambria" w:hAnsi="Cambria" w:cs="Cambria"/>
                <w:color w:val="000000"/>
                <w:sz w:val="20"/>
                <w:szCs w:val="20"/>
              </w:rPr>
              <w:t xml:space="preserve"> la sección “</w:t>
            </w:r>
            <w:r w:rsidRPr="0078630F">
              <w:rPr>
                <w:rFonts w:ascii="Cambria" w:eastAsia="Cambria" w:hAnsi="Cambria" w:cs="Cambria"/>
                <w:i/>
                <w:color w:val="000000"/>
                <w:sz w:val="20"/>
                <w:szCs w:val="20"/>
              </w:rPr>
              <w:t>De la Oferta y Negociación – Términos y Condiciones de las Obligaciones Negociables – Fiduciarios, Agentes Fiscales y Otros Agentes</w:t>
            </w:r>
            <w:r w:rsidRPr="0078630F">
              <w:rPr>
                <w:rFonts w:ascii="Cambria" w:eastAsia="Cambria" w:hAnsi="Cambria" w:cs="Cambria"/>
                <w:color w:val="000000"/>
                <w:sz w:val="20"/>
                <w:szCs w:val="20"/>
              </w:rPr>
              <w:t>” d</w:t>
            </w:r>
            <w:r w:rsidR="003F02DD">
              <w:rPr>
                <w:rFonts w:ascii="Cambria" w:eastAsia="Cambria" w:hAnsi="Cambria" w:cs="Cambria"/>
                <w:color w:val="000000"/>
                <w:sz w:val="20"/>
                <w:szCs w:val="20"/>
              </w:rPr>
              <w:t>el</w:t>
            </w:r>
            <w:r w:rsidRPr="0078630F">
              <w:rPr>
                <w:rFonts w:ascii="Cambria" w:eastAsia="Cambria" w:hAnsi="Cambria" w:cs="Cambria"/>
                <w:color w:val="000000"/>
                <w:sz w:val="20"/>
                <w:szCs w:val="20"/>
              </w:rPr>
              <w:t xml:space="preserve"> Prospecto.</w:t>
            </w:r>
          </w:p>
        </w:tc>
      </w:tr>
      <w:tr w:rsidR="0031285E" w:rsidRPr="0078630F" w14:paraId="1A461E22" w14:textId="77777777" w:rsidTr="006A25D8">
        <w:trPr>
          <w:gridBefore w:val="1"/>
          <w:wBefore w:w="70" w:type="dxa"/>
        </w:trPr>
        <w:tc>
          <w:tcPr>
            <w:tcW w:w="3033" w:type="dxa"/>
            <w:gridSpan w:val="3"/>
          </w:tcPr>
          <w:p w14:paraId="5758AF33" w14:textId="77777777" w:rsidR="0031285E" w:rsidRPr="0078630F" w:rsidRDefault="0031285E" w:rsidP="006A25D8">
            <w:pPr>
              <w:rPr>
                <w:rFonts w:ascii="Cambria" w:eastAsia="Cambria" w:hAnsi="Cambria" w:cs="Cambria"/>
                <w:b/>
                <w:sz w:val="20"/>
                <w:szCs w:val="20"/>
              </w:rPr>
            </w:pPr>
            <w:r w:rsidRPr="0078630F">
              <w:rPr>
                <w:rFonts w:ascii="Cambria" w:eastAsia="Cambria" w:hAnsi="Cambria" w:cs="Cambria"/>
                <w:b/>
                <w:sz w:val="20"/>
                <w:szCs w:val="20"/>
              </w:rPr>
              <w:lastRenderedPageBreak/>
              <w:t>Agentes Colocadores:</w:t>
            </w:r>
          </w:p>
        </w:tc>
        <w:tc>
          <w:tcPr>
            <w:tcW w:w="5649" w:type="dxa"/>
            <w:gridSpan w:val="2"/>
          </w:tcPr>
          <w:p w14:paraId="00460BFA" w14:textId="77777777" w:rsidR="0031285E" w:rsidRPr="0078630F" w:rsidRDefault="0031285E" w:rsidP="006A25D8">
            <w:pPr>
              <w:jc w:val="both"/>
              <w:rPr>
                <w:rFonts w:ascii="Cambria" w:eastAsia="Cambria" w:hAnsi="Cambria" w:cs="Cambria"/>
                <w:sz w:val="20"/>
                <w:szCs w:val="20"/>
              </w:rPr>
            </w:pPr>
            <w:r w:rsidRPr="0078630F">
              <w:rPr>
                <w:rFonts w:ascii="Cambria" w:eastAsia="Cambria" w:hAnsi="Cambria" w:cs="Cambria"/>
                <w:sz w:val="20"/>
                <w:szCs w:val="20"/>
              </w:rPr>
              <w:t xml:space="preserve">El o los agentes colocadores de las Obligaciones Negociables de cada clase y/o serie serán aquéllos que se especifiquen en los Suplementos de Precio correspondientes. Para </w:t>
            </w:r>
            <w:proofErr w:type="gramStart"/>
            <w:r w:rsidRPr="0078630F">
              <w:rPr>
                <w:rFonts w:ascii="Cambria" w:eastAsia="Cambria" w:hAnsi="Cambria" w:cs="Cambria"/>
                <w:sz w:val="20"/>
                <w:szCs w:val="20"/>
              </w:rPr>
              <w:t>mayor información</w:t>
            </w:r>
            <w:proofErr w:type="gramEnd"/>
            <w:r w:rsidRPr="0078630F">
              <w:rPr>
                <w:rFonts w:ascii="Cambria" w:eastAsia="Cambria" w:hAnsi="Cambria" w:cs="Cambria"/>
                <w:sz w:val="20"/>
                <w:szCs w:val="20"/>
              </w:rPr>
              <w:t xml:space="preserve"> véase</w:t>
            </w:r>
            <w:r w:rsidRPr="0078630F">
              <w:rPr>
                <w:rFonts w:ascii="Cambria" w:eastAsia="Cambria" w:hAnsi="Cambria" w:cs="Cambria"/>
                <w:color w:val="000000"/>
                <w:sz w:val="20"/>
                <w:szCs w:val="20"/>
              </w:rPr>
              <w:t xml:space="preserve"> la sección “</w:t>
            </w:r>
            <w:r w:rsidRPr="0078630F">
              <w:rPr>
                <w:rFonts w:ascii="Cambria" w:eastAsia="Cambria" w:hAnsi="Cambria" w:cs="Cambria"/>
                <w:i/>
                <w:color w:val="000000"/>
                <w:sz w:val="20"/>
                <w:szCs w:val="20"/>
              </w:rPr>
              <w:t xml:space="preserve">De la Oferta y Negociación – Términos y Condiciones de las Obligaciones Negociables – </w:t>
            </w:r>
            <w:r>
              <w:rPr>
                <w:rFonts w:ascii="Cambria" w:eastAsia="Cambria" w:hAnsi="Cambria" w:cs="Cambria"/>
                <w:i/>
                <w:color w:val="000000"/>
                <w:sz w:val="20"/>
                <w:szCs w:val="20"/>
              </w:rPr>
              <w:t>Colocación</w:t>
            </w:r>
            <w:r w:rsidR="003F02DD">
              <w:rPr>
                <w:rFonts w:ascii="Cambria" w:eastAsia="Cambria" w:hAnsi="Cambria" w:cs="Cambria"/>
                <w:color w:val="000000"/>
                <w:sz w:val="20"/>
                <w:szCs w:val="20"/>
              </w:rPr>
              <w:t>” del</w:t>
            </w:r>
            <w:r w:rsidRPr="0078630F">
              <w:rPr>
                <w:rFonts w:ascii="Cambria" w:eastAsia="Cambria" w:hAnsi="Cambria" w:cs="Cambria"/>
                <w:color w:val="000000"/>
                <w:sz w:val="20"/>
                <w:szCs w:val="20"/>
              </w:rPr>
              <w:t xml:space="preserve"> Prospecto.</w:t>
            </w:r>
          </w:p>
        </w:tc>
      </w:tr>
      <w:tr w:rsidR="0031285E" w:rsidRPr="0078630F" w14:paraId="5A2FEB13" w14:textId="77777777" w:rsidTr="006A25D8">
        <w:trPr>
          <w:gridBefore w:val="1"/>
          <w:wBefore w:w="70" w:type="dxa"/>
        </w:trPr>
        <w:tc>
          <w:tcPr>
            <w:tcW w:w="3033" w:type="dxa"/>
            <w:gridSpan w:val="3"/>
          </w:tcPr>
          <w:p w14:paraId="0EFECD8E" w14:textId="77777777" w:rsidR="0031285E" w:rsidRPr="0078630F" w:rsidRDefault="0031285E" w:rsidP="006A25D8">
            <w:pPr>
              <w:rPr>
                <w:rFonts w:ascii="Cambria" w:eastAsia="Cambria" w:hAnsi="Cambria" w:cs="Cambria"/>
                <w:b/>
                <w:sz w:val="20"/>
                <w:szCs w:val="20"/>
              </w:rPr>
            </w:pPr>
            <w:r w:rsidRPr="0078630F">
              <w:rPr>
                <w:rFonts w:ascii="Cambria" w:eastAsia="Cambria" w:hAnsi="Cambria" w:cs="Cambria"/>
                <w:b/>
                <w:sz w:val="20"/>
                <w:szCs w:val="20"/>
              </w:rPr>
              <w:t>Otras Emisiones de Obligaciones Negociables:</w:t>
            </w:r>
          </w:p>
        </w:tc>
        <w:tc>
          <w:tcPr>
            <w:tcW w:w="5649" w:type="dxa"/>
            <w:gridSpan w:val="2"/>
          </w:tcPr>
          <w:p w14:paraId="60208234" w14:textId="77777777" w:rsidR="0031285E" w:rsidRPr="0078630F" w:rsidRDefault="0031285E" w:rsidP="006A25D8">
            <w:pPr>
              <w:jc w:val="both"/>
              <w:rPr>
                <w:rFonts w:ascii="Cambria" w:eastAsia="Cambria" w:hAnsi="Cambria" w:cs="Cambria"/>
                <w:sz w:val="20"/>
                <w:szCs w:val="20"/>
              </w:rPr>
            </w:pPr>
            <w:r w:rsidRPr="0078630F">
              <w:rPr>
                <w:rFonts w:ascii="Cambria" w:eastAsia="Cambria" w:hAnsi="Cambria" w:cs="Cambria"/>
                <w:sz w:val="20"/>
                <w:szCs w:val="20"/>
              </w:rPr>
              <w:t xml:space="preserve">A menos que se especifique </w:t>
            </w:r>
            <w:r w:rsidRPr="0078630F">
              <w:rPr>
                <w:rFonts w:ascii="Cambria" w:eastAsia="Cambria" w:hAnsi="Cambria" w:cs="Cambria"/>
                <w:color w:val="000000"/>
                <w:sz w:val="20"/>
                <w:szCs w:val="20"/>
              </w:rPr>
              <w:t xml:space="preserve">de distinto modo </w:t>
            </w:r>
            <w:r w:rsidRPr="0078630F">
              <w:rPr>
                <w:rFonts w:ascii="Cambria" w:eastAsia="Cambria" w:hAnsi="Cambria" w:cs="Cambria"/>
                <w:sz w:val="20"/>
                <w:szCs w:val="20"/>
              </w:rPr>
              <w:t xml:space="preserve">en el Suplemento de Precio correspondiente, la Emisora, sin el consentimiento de los tenedores de Obligaciones Negociables de cualquier clase y/o serie en circulación, podrá en cualquier momento emitir nuevas Obligaciones Negociables que tengan los mismos términos y condiciones que las Obligaciones Negociables de cualquier clase en circulación y que sean iguales en todo sentido, excepto por sus fechas de emisión y/o precios de emisión, de manera que tales nuevas Obligaciones Negociables sean consideradas Obligaciones Negociables de la misma clase que dichas Obligaciones Negociables en circulación y sean fungibles con las mismas.. Para </w:t>
            </w:r>
            <w:proofErr w:type="gramStart"/>
            <w:r w:rsidRPr="0078630F">
              <w:rPr>
                <w:rFonts w:ascii="Cambria" w:eastAsia="Cambria" w:hAnsi="Cambria" w:cs="Cambria"/>
                <w:sz w:val="20"/>
                <w:szCs w:val="20"/>
              </w:rPr>
              <w:t>mayor información</w:t>
            </w:r>
            <w:proofErr w:type="gramEnd"/>
            <w:r w:rsidRPr="0078630F">
              <w:rPr>
                <w:rFonts w:ascii="Cambria" w:eastAsia="Cambria" w:hAnsi="Cambria" w:cs="Cambria"/>
                <w:sz w:val="20"/>
                <w:szCs w:val="20"/>
              </w:rPr>
              <w:t xml:space="preserve"> véase</w:t>
            </w:r>
            <w:r w:rsidRPr="0078630F">
              <w:rPr>
                <w:rFonts w:ascii="Cambria" w:eastAsia="Cambria" w:hAnsi="Cambria" w:cs="Cambria"/>
                <w:color w:val="000000"/>
                <w:sz w:val="20"/>
                <w:szCs w:val="20"/>
              </w:rPr>
              <w:t xml:space="preserve"> la sección “</w:t>
            </w:r>
            <w:r w:rsidRPr="0078630F">
              <w:rPr>
                <w:rFonts w:ascii="Cambria" w:eastAsia="Cambria" w:hAnsi="Cambria" w:cs="Cambria"/>
                <w:i/>
                <w:color w:val="000000"/>
                <w:sz w:val="20"/>
                <w:szCs w:val="20"/>
              </w:rPr>
              <w:t>De la Oferta y Negociación – Términos y Condiciones de las Obligaciones Negociables – Otras Emisiones de Obligaciones Negociables</w:t>
            </w:r>
            <w:r w:rsidR="003F02DD">
              <w:rPr>
                <w:rFonts w:ascii="Cambria" w:eastAsia="Cambria" w:hAnsi="Cambria" w:cs="Cambria"/>
                <w:color w:val="000000"/>
                <w:sz w:val="20"/>
                <w:szCs w:val="20"/>
              </w:rPr>
              <w:t>” del</w:t>
            </w:r>
            <w:r w:rsidRPr="0078630F">
              <w:rPr>
                <w:rFonts w:ascii="Cambria" w:eastAsia="Cambria" w:hAnsi="Cambria" w:cs="Cambria"/>
                <w:color w:val="000000"/>
                <w:sz w:val="20"/>
                <w:szCs w:val="20"/>
              </w:rPr>
              <w:t xml:space="preserve"> Prospecto.</w:t>
            </w:r>
          </w:p>
        </w:tc>
      </w:tr>
      <w:tr w:rsidR="0031285E" w:rsidRPr="0078630F" w14:paraId="722DE534" w14:textId="77777777" w:rsidTr="006A25D8">
        <w:trPr>
          <w:gridBefore w:val="1"/>
          <w:wBefore w:w="70" w:type="dxa"/>
        </w:trPr>
        <w:tc>
          <w:tcPr>
            <w:tcW w:w="3033" w:type="dxa"/>
            <w:gridSpan w:val="3"/>
          </w:tcPr>
          <w:p w14:paraId="7B5A1050" w14:textId="77777777" w:rsidR="0031285E" w:rsidRPr="0078630F" w:rsidRDefault="0031285E" w:rsidP="006A25D8">
            <w:pPr>
              <w:rPr>
                <w:rFonts w:ascii="Cambria" w:eastAsia="Cambria" w:hAnsi="Cambria" w:cs="Cambria"/>
                <w:b/>
                <w:sz w:val="20"/>
                <w:szCs w:val="20"/>
              </w:rPr>
            </w:pPr>
            <w:r w:rsidRPr="0078630F">
              <w:rPr>
                <w:rFonts w:ascii="Cambria" w:eastAsia="Cambria" w:hAnsi="Cambria" w:cs="Cambria"/>
                <w:b/>
                <w:sz w:val="20"/>
                <w:szCs w:val="20"/>
              </w:rPr>
              <w:t>Calificación de Riesgo</w:t>
            </w:r>
            <w:r w:rsidRPr="009B409B">
              <w:rPr>
                <w:rFonts w:ascii="Cambria" w:eastAsia="Times New Roman" w:hAnsi="Cambria"/>
                <w:sz w:val="20"/>
                <w:szCs w:val="20"/>
              </w:rPr>
              <w:t>:</w:t>
            </w:r>
          </w:p>
        </w:tc>
        <w:tc>
          <w:tcPr>
            <w:tcW w:w="5649" w:type="dxa"/>
            <w:gridSpan w:val="2"/>
          </w:tcPr>
          <w:p w14:paraId="4930DA27" w14:textId="77777777" w:rsidR="0031285E" w:rsidRPr="0078630F" w:rsidRDefault="0031285E" w:rsidP="006A25D8">
            <w:pPr>
              <w:jc w:val="both"/>
              <w:rPr>
                <w:rFonts w:ascii="Cambria" w:eastAsia="Cambria" w:hAnsi="Cambria" w:cs="Cambria"/>
                <w:sz w:val="20"/>
                <w:szCs w:val="20"/>
              </w:rPr>
            </w:pPr>
            <w:r w:rsidRPr="0078630F">
              <w:rPr>
                <w:rFonts w:ascii="Cambria" w:eastAsia="Cambria" w:hAnsi="Cambria" w:cs="Cambria"/>
                <w:sz w:val="20"/>
                <w:szCs w:val="20"/>
              </w:rPr>
              <w:t xml:space="preserve">El presente Programa no cuenta con calificación de riesgo. Según la Emisora establezca en el correspondiente Suplemento de Precio, las Obligaciones Negociables que se emitan en el marco del Programa podrán o no estar calificadas. Si una Clase y/o Serie de Obligaciones Negociables en el marco de este Programa recibiera calificación, la Emisora proporcionará la calificación de riesgo y la información relativa a ella en el Suplemento de Precio correspondiente. Para </w:t>
            </w:r>
            <w:proofErr w:type="gramStart"/>
            <w:r w:rsidRPr="0078630F">
              <w:rPr>
                <w:rFonts w:ascii="Cambria" w:eastAsia="Cambria" w:hAnsi="Cambria" w:cs="Cambria"/>
                <w:sz w:val="20"/>
                <w:szCs w:val="20"/>
              </w:rPr>
              <w:t>mayor información</w:t>
            </w:r>
            <w:proofErr w:type="gramEnd"/>
            <w:r w:rsidRPr="0078630F">
              <w:rPr>
                <w:rFonts w:ascii="Cambria" w:eastAsia="Cambria" w:hAnsi="Cambria" w:cs="Cambria"/>
                <w:sz w:val="20"/>
                <w:szCs w:val="20"/>
              </w:rPr>
              <w:t xml:space="preserve"> véase</w:t>
            </w:r>
            <w:r w:rsidRPr="0078630F">
              <w:rPr>
                <w:rFonts w:ascii="Cambria" w:eastAsia="Cambria" w:hAnsi="Cambria" w:cs="Cambria"/>
                <w:color w:val="000000"/>
                <w:sz w:val="20"/>
                <w:szCs w:val="20"/>
              </w:rPr>
              <w:t xml:space="preserve"> la sección “</w:t>
            </w:r>
            <w:r w:rsidRPr="0078630F">
              <w:rPr>
                <w:rFonts w:ascii="Cambria" w:eastAsia="Cambria" w:hAnsi="Cambria" w:cs="Cambria"/>
                <w:i/>
                <w:color w:val="000000"/>
                <w:sz w:val="20"/>
                <w:szCs w:val="20"/>
              </w:rPr>
              <w:t>De la Oferta y Negociación – Términos y Condiciones de las Obligaciones Negociables – Calificación de Riesgo</w:t>
            </w:r>
            <w:r w:rsidR="003F02DD">
              <w:rPr>
                <w:rFonts w:ascii="Cambria" w:eastAsia="Cambria" w:hAnsi="Cambria" w:cs="Cambria"/>
                <w:color w:val="000000"/>
                <w:sz w:val="20"/>
                <w:szCs w:val="20"/>
              </w:rPr>
              <w:t>” del</w:t>
            </w:r>
            <w:r w:rsidRPr="0078630F">
              <w:rPr>
                <w:rFonts w:ascii="Cambria" w:eastAsia="Cambria" w:hAnsi="Cambria" w:cs="Cambria"/>
                <w:color w:val="000000"/>
                <w:sz w:val="20"/>
                <w:szCs w:val="20"/>
              </w:rPr>
              <w:t xml:space="preserve"> Prospecto.</w:t>
            </w:r>
          </w:p>
        </w:tc>
      </w:tr>
      <w:tr w:rsidR="0031285E" w:rsidRPr="0078630F" w14:paraId="25A502A0" w14:textId="77777777" w:rsidTr="006A25D8">
        <w:trPr>
          <w:gridBefore w:val="1"/>
          <w:wBefore w:w="70" w:type="dxa"/>
        </w:trPr>
        <w:tc>
          <w:tcPr>
            <w:tcW w:w="3033" w:type="dxa"/>
            <w:gridSpan w:val="3"/>
          </w:tcPr>
          <w:p w14:paraId="65BEF054" w14:textId="77777777" w:rsidR="0031285E" w:rsidRPr="0078630F" w:rsidRDefault="0031285E" w:rsidP="006A25D8">
            <w:pPr>
              <w:rPr>
                <w:rFonts w:ascii="Cambria" w:eastAsia="Cambria" w:hAnsi="Cambria" w:cs="Cambria"/>
                <w:b/>
                <w:sz w:val="20"/>
                <w:szCs w:val="20"/>
              </w:rPr>
            </w:pPr>
            <w:r w:rsidRPr="0078630F">
              <w:rPr>
                <w:rFonts w:ascii="Cambria" w:eastAsia="Cambria" w:hAnsi="Cambria" w:cs="Cambria"/>
                <w:b/>
                <w:sz w:val="20"/>
                <w:szCs w:val="20"/>
              </w:rPr>
              <w:t>Ley Aplicable:</w:t>
            </w:r>
          </w:p>
        </w:tc>
        <w:tc>
          <w:tcPr>
            <w:tcW w:w="5649" w:type="dxa"/>
            <w:gridSpan w:val="2"/>
          </w:tcPr>
          <w:p w14:paraId="6916AAD8" w14:textId="77777777" w:rsidR="0031285E" w:rsidRPr="0078630F" w:rsidRDefault="0031285E" w:rsidP="006A25D8">
            <w:pPr>
              <w:jc w:val="both"/>
              <w:rPr>
                <w:rFonts w:ascii="Cambria" w:eastAsia="Cambria" w:hAnsi="Cambria" w:cs="Cambria"/>
                <w:sz w:val="20"/>
                <w:szCs w:val="20"/>
              </w:rPr>
            </w:pPr>
            <w:r w:rsidRPr="0078630F">
              <w:rPr>
                <w:rFonts w:ascii="Cambria" w:eastAsia="Cambria" w:hAnsi="Cambria" w:cs="Cambria"/>
                <w:sz w:val="20"/>
                <w:szCs w:val="20"/>
              </w:rPr>
              <w:t xml:space="preserve">Las Obligaciones Negociables se regirán por, y serán interpretadas de conformidad con, las leyes de Argentina y/o de cualquier otra jurisdicción que se especifique en el Suplemento de Precio correspondiente (incluyendo, sin limitación, las leyes del Estado de Nueva York, Estados Unidos); estableciéndose, sin embargo, que todas las cuestiones relativas a la autorización, firma, otorgamiento y entrega de las Obligaciones Negociables por la Emisora, así como todas las cuestiones relativas a los requisitos legales necesarios para que las Obligaciones </w:t>
            </w:r>
            <w:r w:rsidRPr="0078630F">
              <w:rPr>
                <w:rFonts w:ascii="Cambria" w:eastAsia="Cambria" w:hAnsi="Cambria" w:cs="Cambria"/>
                <w:sz w:val="20"/>
                <w:szCs w:val="20"/>
              </w:rPr>
              <w:lastRenderedPageBreak/>
              <w:t xml:space="preserve">Negociables sean “obligaciones negociables” bajo las leyes de Argentina, se regirán por la Ley de Obligaciones Negociables, la Ley General de Sociedades y todas las demás normas vigentes argentinas. Para </w:t>
            </w:r>
            <w:proofErr w:type="gramStart"/>
            <w:r w:rsidRPr="0078630F">
              <w:rPr>
                <w:rFonts w:ascii="Cambria" w:eastAsia="Cambria" w:hAnsi="Cambria" w:cs="Cambria"/>
                <w:sz w:val="20"/>
                <w:szCs w:val="20"/>
              </w:rPr>
              <w:t>mayor información</w:t>
            </w:r>
            <w:proofErr w:type="gramEnd"/>
            <w:r w:rsidRPr="0078630F">
              <w:rPr>
                <w:rFonts w:ascii="Cambria" w:eastAsia="Cambria" w:hAnsi="Cambria" w:cs="Cambria"/>
                <w:sz w:val="20"/>
                <w:szCs w:val="20"/>
              </w:rPr>
              <w:t xml:space="preserve"> véase</w:t>
            </w:r>
            <w:r w:rsidRPr="0078630F">
              <w:rPr>
                <w:rFonts w:ascii="Cambria" w:eastAsia="Cambria" w:hAnsi="Cambria" w:cs="Cambria"/>
                <w:color w:val="000000"/>
                <w:sz w:val="20"/>
                <w:szCs w:val="20"/>
              </w:rPr>
              <w:t xml:space="preserve"> la sección “</w:t>
            </w:r>
            <w:r w:rsidRPr="0078630F">
              <w:rPr>
                <w:rFonts w:ascii="Cambria" w:eastAsia="Cambria" w:hAnsi="Cambria" w:cs="Cambria"/>
                <w:i/>
                <w:color w:val="000000"/>
                <w:sz w:val="20"/>
                <w:szCs w:val="20"/>
              </w:rPr>
              <w:t>De la Oferta y Negociación – Términos y Condiciones de las Obligaciones Negociables – Ley Aplicable</w:t>
            </w:r>
            <w:r w:rsidR="003F02DD">
              <w:rPr>
                <w:rFonts w:ascii="Cambria" w:eastAsia="Cambria" w:hAnsi="Cambria" w:cs="Cambria"/>
                <w:color w:val="000000"/>
                <w:sz w:val="20"/>
                <w:szCs w:val="20"/>
              </w:rPr>
              <w:t>” del</w:t>
            </w:r>
            <w:r w:rsidRPr="0078630F">
              <w:rPr>
                <w:rFonts w:ascii="Cambria" w:eastAsia="Cambria" w:hAnsi="Cambria" w:cs="Cambria"/>
                <w:color w:val="000000"/>
                <w:sz w:val="20"/>
                <w:szCs w:val="20"/>
              </w:rPr>
              <w:t xml:space="preserve"> Prospecto.</w:t>
            </w:r>
          </w:p>
        </w:tc>
      </w:tr>
      <w:tr w:rsidR="0031285E" w:rsidRPr="0078630F" w14:paraId="67279DA6" w14:textId="77777777" w:rsidTr="006A25D8">
        <w:trPr>
          <w:gridBefore w:val="1"/>
          <w:wBefore w:w="70" w:type="dxa"/>
        </w:trPr>
        <w:tc>
          <w:tcPr>
            <w:tcW w:w="3033" w:type="dxa"/>
            <w:gridSpan w:val="3"/>
          </w:tcPr>
          <w:p w14:paraId="46628C04" w14:textId="77777777" w:rsidR="0031285E" w:rsidRPr="0078630F" w:rsidRDefault="0031285E" w:rsidP="006A25D8">
            <w:pPr>
              <w:rPr>
                <w:rFonts w:ascii="Cambria" w:eastAsia="Cambria" w:hAnsi="Cambria" w:cs="Cambria"/>
                <w:b/>
                <w:sz w:val="20"/>
                <w:szCs w:val="20"/>
              </w:rPr>
            </w:pPr>
            <w:r w:rsidRPr="0078630F">
              <w:rPr>
                <w:rFonts w:ascii="Cambria" w:eastAsia="Cambria" w:hAnsi="Cambria" w:cs="Cambria"/>
                <w:b/>
                <w:sz w:val="20"/>
                <w:szCs w:val="20"/>
              </w:rPr>
              <w:lastRenderedPageBreak/>
              <w:t>Jurisdicción:</w:t>
            </w:r>
          </w:p>
        </w:tc>
        <w:tc>
          <w:tcPr>
            <w:tcW w:w="5649" w:type="dxa"/>
            <w:gridSpan w:val="2"/>
          </w:tcPr>
          <w:p w14:paraId="4DA251C4" w14:textId="77777777" w:rsidR="0031285E" w:rsidRPr="0078630F" w:rsidRDefault="0031285E" w:rsidP="006A25D8">
            <w:pPr>
              <w:jc w:val="both"/>
              <w:rPr>
                <w:rFonts w:ascii="Cambria" w:eastAsia="Cambria" w:hAnsi="Cambria" w:cs="Cambria"/>
                <w:sz w:val="20"/>
                <w:szCs w:val="20"/>
              </w:rPr>
            </w:pPr>
            <w:r w:rsidRPr="0078630F">
              <w:rPr>
                <w:rFonts w:ascii="Cambria" w:eastAsia="Cambria" w:hAnsi="Cambria" w:cs="Cambria"/>
                <w:sz w:val="20"/>
                <w:szCs w:val="20"/>
              </w:rPr>
              <w:t xml:space="preserve">A menos que se especifique </w:t>
            </w:r>
            <w:r w:rsidRPr="0078630F">
              <w:rPr>
                <w:rFonts w:ascii="Cambria" w:eastAsia="Cambria" w:hAnsi="Cambria" w:cs="Cambria"/>
                <w:color w:val="000000"/>
                <w:sz w:val="20"/>
                <w:szCs w:val="20"/>
              </w:rPr>
              <w:t xml:space="preserve">de distinto modo </w:t>
            </w:r>
            <w:r w:rsidRPr="0078630F">
              <w:rPr>
                <w:rFonts w:ascii="Cambria" w:eastAsia="Cambria" w:hAnsi="Cambria" w:cs="Cambria"/>
                <w:sz w:val="20"/>
                <w:szCs w:val="20"/>
              </w:rPr>
              <w:t xml:space="preserve">en el Suplemento de Precio correspondiente, toda controversia que se suscite entre la Emisora y los tenedores de Obligaciones Negociables en relación con las Obligaciones Negociables se resolverá definitivamente por el Tribunal de Arbitraje General de la BCBA (en virtud del ejercicio de la facultad delegada por el BYMA a la BCBA conforme lo dispuesto por la Resolución N° 18.629 de la CNV) o el que lo reemplace en el futuro en la BCBA, de conformidad con el Artículo 46 de la Ley de Mercado de Capitales. No </w:t>
            </w:r>
            <w:proofErr w:type="gramStart"/>
            <w:r w:rsidRPr="0078630F">
              <w:rPr>
                <w:rFonts w:ascii="Cambria" w:eastAsia="Cambria" w:hAnsi="Cambria" w:cs="Cambria"/>
                <w:sz w:val="20"/>
                <w:szCs w:val="20"/>
              </w:rPr>
              <w:t>obstante</w:t>
            </w:r>
            <w:proofErr w:type="gramEnd"/>
            <w:r w:rsidRPr="0078630F">
              <w:rPr>
                <w:rFonts w:ascii="Cambria" w:eastAsia="Cambria" w:hAnsi="Cambria" w:cs="Cambria"/>
                <w:sz w:val="20"/>
                <w:szCs w:val="20"/>
              </w:rPr>
              <w:t xml:space="preserve"> lo anterior, los inversores tendrán el derecho de optar por acudir a los tribunales judiciales competentes. Asimismo, en los casos en que las normas vigentes establezcan la acumulación de acciones entabladas con idéntica finalidad ante un solo tribunal, la acumulación se efectuará ante</w:t>
            </w:r>
            <w:r>
              <w:rPr>
                <w:rFonts w:ascii="Cambria" w:eastAsia="Cambria" w:hAnsi="Cambria" w:cs="Cambria"/>
                <w:sz w:val="20"/>
                <w:szCs w:val="20"/>
              </w:rPr>
              <w:t xml:space="preserve"> </w:t>
            </w:r>
            <w:r w:rsidRPr="0078630F">
              <w:rPr>
                <w:rFonts w:ascii="Cambria" w:eastAsia="Cambria" w:hAnsi="Cambria" w:cs="Cambria"/>
                <w:sz w:val="20"/>
                <w:szCs w:val="20"/>
              </w:rPr>
              <w:t xml:space="preserve">un tribunal judicial. Para </w:t>
            </w:r>
            <w:proofErr w:type="gramStart"/>
            <w:r w:rsidRPr="0078630F">
              <w:rPr>
                <w:rFonts w:ascii="Cambria" w:eastAsia="Cambria" w:hAnsi="Cambria" w:cs="Cambria"/>
                <w:sz w:val="20"/>
                <w:szCs w:val="20"/>
              </w:rPr>
              <w:t>mayor información</w:t>
            </w:r>
            <w:proofErr w:type="gramEnd"/>
            <w:r w:rsidRPr="0078630F">
              <w:rPr>
                <w:rFonts w:ascii="Cambria" w:eastAsia="Cambria" w:hAnsi="Cambria" w:cs="Cambria"/>
                <w:sz w:val="20"/>
                <w:szCs w:val="20"/>
              </w:rPr>
              <w:t xml:space="preserve"> véase</w:t>
            </w:r>
            <w:r w:rsidRPr="0078630F">
              <w:rPr>
                <w:rFonts w:ascii="Cambria" w:eastAsia="Cambria" w:hAnsi="Cambria" w:cs="Cambria"/>
                <w:color w:val="000000"/>
                <w:sz w:val="20"/>
                <w:szCs w:val="20"/>
              </w:rPr>
              <w:t xml:space="preserve"> la sección “</w:t>
            </w:r>
            <w:r w:rsidRPr="0078630F">
              <w:rPr>
                <w:rFonts w:ascii="Cambria" w:eastAsia="Cambria" w:hAnsi="Cambria" w:cs="Cambria"/>
                <w:i/>
                <w:color w:val="000000"/>
                <w:sz w:val="20"/>
                <w:szCs w:val="20"/>
              </w:rPr>
              <w:t>De la Oferta y Negociación – Términos y Condiciones de las Obligaciones Negociables - Jurisdicción</w:t>
            </w:r>
            <w:r w:rsidR="003F02DD">
              <w:rPr>
                <w:rFonts w:ascii="Cambria" w:eastAsia="Cambria" w:hAnsi="Cambria" w:cs="Cambria"/>
                <w:color w:val="000000"/>
                <w:sz w:val="20"/>
                <w:szCs w:val="20"/>
              </w:rPr>
              <w:t>” del</w:t>
            </w:r>
            <w:r w:rsidRPr="0078630F">
              <w:rPr>
                <w:rFonts w:ascii="Cambria" w:eastAsia="Cambria" w:hAnsi="Cambria" w:cs="Cambria"/>
                <w:color w:val="000000"/>
                <w:sz w:val="20"/>
                <w:szCs w:val="20"/>
              </w:rPr>
              <w:t xml:space="preserve"> Prospecto.</w:t>
            </w:r>
          </w:p>
        </w:tc>
      </w:tr>
      <w:tr w:rsidR="0031285E" w:rsidRPr="0078630F" w14:paraId="3405F14C" w14:textId="77777777" w:rsidTr="006A25D8">
        <w:trPr>
          <w:gridBefore w:val="1"/>
          <w:wBefore w:w="70" w:type="dxa"/>
        </w:trPr>
        <w:tc>
          <w:tcPr>
            <w:tcW w:w="3033" w:type="dxa"/>
            <w:gridSpan w:val="3"/>
          </w:tcPr>
          <w:p w14:paraId="75D7D426" w14:textId="77777777" w:rsidR="0031285E" w:rsidRPr="0078630F" w:rsidRDefault="0031285E" w:rsidP="006A25D8">
            <w:pPr>
              <w:rPr>
                <w:rFonts w:ascii="Cambria" w:eastAsia="Cambria" w:hAnsi="Cambria" w:cs="Cambria"/>
                <w:b/>
                <w:sz w:val="20"/>
                <w:szCs w:val="20"/>
              </w:rPr>
            </w:pPr>
            <w:r w:rsidRPr="0078630F">
              <w:rPr>
                <w:rFonts w:ascii="Cambria" w:eastAsia="Cambria" w:hAnsi="Cambria" w:cs="Cambria"/>
                <w:b/>
                <w:sz w:val="20"/>
                <w:szCs w:val="20"/>
              </w:rPr>
              <w:t>Acción Ejecutiva:</w:t>
            </w:r>
          </w:p>
        </w:tc>
        <w:tc>
          <w:tcPr>
            <w:tcW w:w="5649" w:type="dxa"/>
            <w:gridSpan w:val="2"/>
          </w:tcPr>
          <w:p w14:paraId="73F2B6C1" w14:textId="77777777" w:rsidR="0031285E" w:rsidRPr="0078630F" w:rsidRDefault="0031285E" w:rsidP="006A25D8">
            <w:pPr>
              <w:jc w:val="both"/>
              <w:rPr>
                <w:rFonts w:ascii="Cambria" w:eastAsia="Cambria" w:hAnsi="Cambria" w:cs="Cambria"/>
                <w:sz w:val="20"/>
                <w:szCs w:val="20"/>
              </w:rPr>
            </w:pPr>
            <w:r w:rsidRPr="0078630F">
              <w:rPr>
                <w:rFonts w:ascii="Cambria" w:eastAsia="Cambria" w:hAnsi="Cambria" w:cs="Cambria"/>
                <w:sz w:val="20"/>
                <w:szCs w:val="20"/>
              </w:rPr>
              <w:t xml:space="preserve">Las Obligaciones Negociables serán emitidas conforme con la Ley de Obligaciones Negociables y constituirán “obligaciones negociables” conforme con las disposiciones de </w:t>
            </w:r>
            <w:proofErr w:type="gramStart"/>
            <w:r w:rsidRPr="0078630F">
              <w:rPr>
                <w:rFonts w:ascii="Cambria" w:eastAsia="Cambria" w:hAnsi="Cambria" w:cs="Cambria"/>
                <w:sz w:val="20"/>
                <w:szCs w:val="20"/>
              </w:rPr>
              <w:t>la misma</w:t>
            </w:r>
            <w:proofErr w:type="gramEnd"/>
            <w:r w:rsidRPr="0078630F">
              <w:rPr>
                <w:rFonts w:ascii="Cambria" w:eastAsia="Cambria" w:hAnsi="Cambria" w:cs="Cambria"/>
                <w:sz w:val="20"/>
                <w:szCs w:val="20"/>
              </w:rPr>
              <w:t xml:space="preserve"> y gozarán de los derechos allí establecidos. En particular, conforme con el artículo 29 de dicha ley, en el supuesto de incumplimiento por parte de la Emisora en el pago de cualquier monto adeudado bajo las Obligaciones Negociables, los tenedores de </w:t>
            </w:r>
            <w:proofErr w:type="gramStart"/>
            <w:r w:rsidRPr="0078630F">
              <w:rPr>
                <w:rFonts w:ascii="Cambria" w:eastAsia="Cambria" w:hAnsi="Cambria" w:cs="Cambria"/>
                <w:sz w:val="20"/>
                <w:szCs w:val="20"/>
              </w:rPr>
              <w:t>las mismas</w:t>
            </w:r>
            <w:proofErr w:type="gramEnd"/>
            <w:r w:rsidRPr="0078630F">
              <w:rPr>
                <w:rFonts w:ascii="Cambria" w:eastAsia="Cambria" w:hAnsi="Cambria" w:cs="Cambria"/>
                <w:sz w:val="20"/>
                <w:szCs w:val="20"/>
              </w:rPr>
              <w:t xml:space="preserve"> podrán iniciar acciones ejecutivas ante tribunales competentes de la Argentina para reclamar el pago de los montos adeudados por la Emisora.</w:t>
            </w:r>
          </w:p>
          <w:p w14:paraId="4159FB2E" w14:textId="77777777" w:rsidR="0031285E" w:rsidRPr="0078630F" w:rsidRDefault="0031285E" w:rsidP="006A25D8">
            <w:pPr>
              <w:jc w:val="both"/>
              <w:rPr>
                <w:rFonts w:ascii="Cambria" w:eastAsia="Cambria" w:hAnsi="Cambria" w:cs="Cambria"/>
                <w:sz w:val="20"/>
                <w:szCs w:val="20"/>
              </w:rPr>
            </w:pPr>
            <w:r w:rsidRPr="0078630F">
              <w:rPr>
                <w:rFonts w:ascii="Cambria" w:eastAsia="Cambria" w:hAnsi="Cambria" w:cs="Cambria"/>
                <w:sz w:val="20"/>
                <w:szCs w:val="20"/>
              </w:rPr>
              <w:t>En caso</w:t>
            </w:r>
            <w:r>
              <w:rPr>
                <w:rFonts w:ascii="Cambria" w:eastAsia="Cambria" w:hAnsi="Cambria" w:cs="Cambria"/>
                <w:sz w:val="20"/>
                <w:szCs w:val="20"/>
              </w:rPr>
              <w:t xml:space="preserve"> de</w:t>
            </w:r>
            <w:r w:rsidRPr="0078630F">
              <w:rPr>
                <w:rFonts w:ascii="Cambria" w:eastAsia="Cambria" w:hAnsi="Cambria" w:cs="Cambria"/>
                <w:sz w:val="20"/>
                <w:szCs w:val="20"/>
              </w:rPr>
              <w:t xml:space="preserve"> que las Obligaciones Negociables fueran nominativas no endosables representadas por títulos globales, y los beneficiarios tengan participaciones en los mismos, pero no sean los titulares registrales de las mismas, el correspondiente depositario podrá expedir certificados de tenencia a favor de tales beneficiarios a solicitud de éstos y éstos podrán iniciar con tales certificados las acciones ejecutivas mencionadas. Asimismo, en caso </w:t>
            </w:r>
            <w:r>
              <w:rPr>
                <w:rFonts w:ascii="Cambria" w:eastAsia="Cambria" w:hAnsi="Cambria" w:cs="Cambria"/>
                <w:sz w:val="20"/>
                <w:szCs w:val="20"/>
              </w:rPr>
              <w:t xml:space="preserve">de </w:t>
            </w:r>
            <w:r w:rsidRPr="0078630F">
              <w:rPr>
                <w:rFonts w:ascii="Cambria" w:eastAsia="Cambria" w:hAnsi="Cambria" w:cs="Cambria"/>
                <w:sz w:val="20"/>
                <w:szCs w:val="20"/>
              </w:rPr>
              <w:t xml:space="preserve">que las Obligaciones Negociables fueran escriturales, la Emisora o el correspondiente agente de registro </w:t>
            </w:r>
            <w:r>
              <w:rPr>
                <w:rFonts w:ascii="Cambria" w:eastAsia="Cambria" w:hAnsi="Cambria" w:cs="Cambria"/>
                <w:sz w:val="20"/>
                <w:szCs w:val="20"/>
              </w:rPr>
              <w:t>deberá</w:t>
            </w:r>
            <w:r w:rsidRPr="0078630F">
              <w:rPr>
                <w:rFonts w:ascii="Cambria" w:eastAsia="Cambria" w:hAnsi="Cambria" w:cs="Cambria"/>
                <w:sz w:val="20"/>
                <w:szCs w:val="20"/>
              </w:rPr>
              <w:t xml:space="preserve"> expedir certificados de tenencia a favor de los titulares registrales en cuestión a solicitud de éstos y éstos podrán iniciar con tales certificados las acciones ejecutivas mencionadas. Para </w:t>
            </w:r>
            <w:proofErr w:type="gramStart"/>
            <w:r w:rsidRPr="0078630F">
              <w:rPr>
                <w:rFonts w:ascii="Cambria" w:eastAsia="Cambria" w:hAnsi="Cambria" w:cs="Cambria"/>
                <w:sz w:val="20"/>
                <w:szCs w:val="20"/>
              </w:rPr>
              <w:t>mayor información</w:t>
            </w:r>
            <w:proofErr w:type="gramEnd"/>
            <w:r w:rsidRPr="0078630F">
              <w:rPr>
                <w:rFonts w:ascii="Cambria" w:eastAsia="Cambria" w:hAnsi="Cambria" w:cs="Cambria"/>
                <w:sz w:val="20"/>
                <w:szCs w:val="20"/>
              </w:rPr>
              <w:t xml:space="preserve"> véase</w:t>
            </w:r>
            <w:r w:rsidRPr="0078630F">
              <w:rPr>
                <w:rFonts w:ascii="Cambria" w:eastAsia="Cambria" w:hAnsi="Cambria" w:cs="Cambria"/>
                <w:color w:val="000000"/>
                <w:sz w:val="20"/>
                <w:szCs w:val="20"/>
              </w:rPr>
              <w:t xml:space="preserve"> la sección “</w:t>
            </w:r>
            <w:r w:rsidRPr="0078630F">
              <w:rPr>
                <w:rFonts w:ascii="Cambria" w:eastAsia="Cambria" w:hAnsi="Cambria" w:cs="Cambria"/>
                <w:i/>
                <w:color w:val="000000"/>
                <w:sz w:val="20"/>
                <w:szCs w:val="20"/>
              </w:rPr>
              <w:t>De la Oferta y Negociación – Términos y Condiciones de las Obligaciones Negociables – Acción Ejecutiva</w:t>
            </w:r>
            <w:r w:rsidR="003F02DD">
              <w:rPr>
                <w:rFonts w:ascii="Cambria" w:eastAsia="Cambria" w:hAnsi="Cambria" w:cs="Cambria"/>
                <w:color w:val="000000"/>
                <w:sz w:val="20"/>
                <w:szCs w:val="20"/>
              </w:rPr>
              <w:t>” del</w:t>
            </w:r>
            <w:r w:rsidRPr="0078630F">
              <w:rPr>
                <w:rFonts w:ascii="Cambria" w:eastAsia="Cambria" w:hAnsi="Cambria" w:cs="Cambria"/>
                <w:color w:val="000000"/>
                <w:sz w:val="20"/>
                <w:szCs w:val="20"/>
              </w:rPr>
              <w:t xml:space="preserve"> Prospecto.</w:t>
            </w:r>
          </w:p>
        </w:tc>
      </w:tr>
      <w:tr w:rsidR="0031285E" w:rsidRPr="0078630F" w14:paraId="07FFB17F" w14:textId="77777777" w:rsidTr="006A25D8">
        <w:trPr>
          <w:gridBefore w:val="1"/>
          <w:wBefore w:w="70" w:type="dxa"/>
        </w:trPr>
        <w:tc>
          <w:tcPr>
            <w:tcW w:w="3033" w:type="dxa"/>
            <w:gridSpan w:val="3"/>
          </w:tcPr>
          <w:p w14:paraId="6306C56D" w14:textId="77777777" w:rsidR="0031285E" w:rsidRPr="0078630F" w:rsidRDefault="0031285E" w:rsidP="006A25D8">
            <w:pPr>
              <w:rPr>
                <w:rFonts w:ascii="Cambria" w:eastAsia="Cambria" w:hAnsi="Cambria" w:cs="Cambria"/>
                <w:b/>
                <w:sz w:val="20"/>
                <w:szCs w:val="20"/>
              </w:rPr>
            </w:pPr>
            <w:r w:rsidRPr="0078630F">
              <w:rPr>
                <w:rFonts w:ascii="Cambria" w:eastAsia="Cambria" w:hAnsi="Cambria" w:cs="Cambria"/>
                <w:b/>
                <w:sz w:val="20"/>
                <w:szCs w:val="20"/>
              </w:rPr>
              <w:lastRenderedPageBreak/>
              <w:t>Duración del Programa:</w:t>
            </w:r>
          </w:p>
        </w:tc>
        <w:tc>
          <w:tcPr>
            <w:tcW w:w="5649" w:type="dxa"/>
            <w:gridSpan w:val="2"/>
          </w:tcPr>
          <w:p w14:paraId="15D0D81E" w14:textId="77777777" w:rsidR="0031285E" w:rsidRPr="0078630F" w:rsidRDefault="0031285E" w:rsidP="006A25D8">
            <w:pPr>
              <w:jc w:val="both"/>
              <w:rPr>
                <w:rFonts w:ascii="Cambria" w:eastAsia="Cambria" w:hAnsi="Cambria" w:cs="Cambria"/>
                <w:sz w:val="20"/>
                <w:szCs w:val="20"/>
              </w:rPr>
            </w:pPr>
            <w:r w:rsidRPr="0078630F">
              <w:rPr>
                <w:rFonts w:ascii="Cambria" w:eastAsia="Cambria" w:hAnsi="Cambria" w:cs="Cambria"/>
                <w:sz w:val="20"/>
                <w:szCs w:val="20"/>
              </w:rPr>
              <w:t xml:space="preserve">El plazo de duración del Programa, dentro del cual podrán emitirse las Obligaciones Negociables, será de (5) cinco años contados desde la fecha de la autorización de oferta pública otorgada por la CNV que se detalla en la portada del presente. Para </w:t>
            </w:r>
            <w:proofErr w:type="gramStart"/>
            <w:r w:rsidRPr="0078630F">
              <w:rPr>
                <w:rFonts w:ascii="Cambria" w:eastAsia="Cambria" w:hAnsi="Cambria" w:cs="Cambria"/>
                <w:sz w:val="20"/>
                <w:szCs w:val="20"/>
              </w:rPr>
              <w:t>mayor información</w:t>
            </w:r>
            <w:proofErr w:type="gramEnd"/>
            <w:r w:rsidRPr="0078630F">
              <w:rPr>
                <w:rFonts w:ascii="Cambria" w:eastAsia="Cambria" w:hAnsi="Cambria" w:cs="Cambria"/>
                <w:sz w:val="20"/>
                <w:szCs w:val="20"/>
              </w:rPr>
              <w:t xml:space="preserve"> véase</w:t>
            </w:r>
            <w:r w:rsidRPr="0078630F">
              <w:rPr>
                <w:rFonts w:ascii="Cambria" w:eastAsia="Cambria" w:hAnsi="Cambria" w:cs="Cambria"/>
                <w:color w:val="000000"/>
                <w:sz w:val="20"/>
                <w:szCs w:val="20"/>
              </w:rPr>
              <w:t xml:space="preserve"> la sección “</w:t>
            </w:r>
            <w:r w:rsidRPr="0078630F">
              <w:rPr>
                <w:rFonts w:ascii="Cambria" w:eastAsia="Cambria" w:hAnsi="Cambria" w:cs="Cambria"/>
                <w:i/>
                <w:color w:val="000000"/>
                <w:sz w:val="20"/>
                <w:szCs w:val="20"/>
              </w:rPr>
              <w:t>De la Oferta y Negociación – Términos y Condiciones de las Obligaciones Negociables – Duración del Programa</w:t>
            </w:r>
            <w:r w:rsidR="003F02DD">
              <w:rPr>
                <w:rFonts w:ascii="Cambria" w:eastAsia="Cambria" w:hAnsi="Cambria" w:cs="Cambria"/>
                <w:color w:val="000000"/>
                <w:sz w:val="20"/>
                <w:szCs w:val="20"/>
              </w:rPr>
              <w:t>” del</w:t>
            </w:r>
            <w:r w:rsidRPr="0078630F">
              <w:rPr>
                <w:rFonts w:ascii="Cambria" w:eastAsia="Cambria" w:hAnsi="Cambria" w:cs="Cambria"/>
                <w:color w:val="000000"/>
                <w:sz w:val="20"/>
                <w:szCs w:val="20"/>
              </w:rPr>
              <w:t xml:space="preserve"> Prospecto.</w:t>
            </w:r>
          </w:p>
        </w:tc>
      </w:tr>
      <w:tr w:rsidR="0031285E" w:rsidRPr="0078630F" w14:paraId="61B852BC" w14:textId="77777777" w:rsidTr="006A25D8">
        <w:trPr>
          <w:gridBefore w:val="1"/>
          <w:wBefore w:w="70" w:type="dxa"/>
        </w:trPr>
        <w:tc>
          <w:tcPr>
            <w:tcW w:w="3033" w:type="dxa"/>
            <w:gridSpan w:val="3"/>
          </w:tcPr>
          <w:p w14:paraId="77490A42" w14:textId="77777777" w:rsidR="0031285E" w:rsidRPr="0078630F" w:rsidRDefault="0031285E" w:rsidP="006A25D8">
            <w:pPr>
              <w:rPr>
                <w:rFonts w:ascii="Cambria" w:eastAsia="Cambria" w:hAnsi="Cambria" w:cs="Cambria"/>
                <w:b/>
                <w:sz w:val="20"/>
                <w:szCs w:val="20"/>
              </w:rPr>
            </w:pPr>
            <w:r w:rsidRPr="0078630F">
              <w:rPr>
                <w:rFonts w:ascii="Cambria" w:eastAsia="Cambria" w:hAnsi="Cambria" w:cs="Cambria"/>
                <w:b/>
                <w:sz w:val="20"/>
                <w:szCs w:val="20"/>
              </w:rPr>
              <w:t>Mercados:</w:t>
            </w:r>
          </w:p>
        </w:tc>
        <w:tc>
          <w:tcPr>
            <w:tcW w:w="5649" w:type="dxa"/>
            <w:gridSpan w:val="2"/>
          </w:tcPr>
          <w:p w14:paraId="481B7DDD" w14:textId="77777777" w:rsidR="0031285E" w:rsidRPr="0078630F" w:rsidRDefault="0031285E" w:rsidP="006A25D8">
            <w:pPr>
              <w:jc w:val="both"/>
              <w:rPr>
                <w:rFonts w:ascii="Cambria" w:eastAsia="Cambria" w:hAnsi="Cambria" w:cs="Cambria"/>
                <w:sz w:val="20"/>
                <w:szCs w:val="20"/>
              </w:rPr>
            </w:pPr>
            <w:r w:rsidRPr="0078630F">
              <w:rPr>
                <w:rFonts w:ascii="Cambria" w:eastAsia="Cambria" w:hAnsi="Cambria" w:cs="Cambria"/>
                <w:sz w:val="20"/>
                <w:szCs w:val="20"/>
              </w:rPr>
              <w:t xml:space="preserve">La Emisora podrá solicitar autorización para el listado y/o negociación de una o más clases y/o series de Obligaciones Negociables que se emitan bajo el Programa en uno o </w:t>
            </w:r>
            <w:r w:rsidRPr="0078630F">
              <w:rPr>
                <w:rFonts w:ascii="Cambria" w:eastAsia="Cambria" w:hAnsi="Cambria" w:cs="Cambria"/>
                <w:color w:val="000000"/>
                <w:sz w:val="20"/>
                <w:szCs w:val="20"/>
              </w:rPr>
              <w:t xml:space="preserve">mercados de valores </w:t>
            </w:r>
            <w:r w:rsidRPr="0078630F">
              <w:rPr>
                <w:rFonts w:ascii="Cambria" w:eastAsia="Cambria" w:hAnsi="Cambria" w:cs="Cambria"/>
                <w:sz w:val="20"/>
                <w:szCs w:val="20"/>
              </w:rPr>
              <w:t xml:space="preserve">del país y/o del exterior, según se especifique en el Suplemento de Precio correspondiente. Para </w:t>
            </w:r>
            <w:proofErr w:type="gramStart"/>
            <w:r w:rsidRPr="0078630F">
              <w:rPr>
                <w:rFonts w:ascii="Cambria" w:eastAsia="Cambria" w:hAnsi="Cambria" w:cs="Cambria"/>
                <w:sz w:val="20"/>
                <w:szCs w:val="20"/>
              </w:rPr>
              <w:t>mayor información</w:t>
            </w:r>
            <w:proofErr w:type="gramEnd"/>
            <w:r w:rsidRPr="0078630F">
              <w:rPr>
                <w:rFonts w:ascii="Cambria" w:eastAsia="Cambria" w:hAnsi="Cambria" w:cs="Cambria"/>
                <w:sz w:val="20"/>
                <w:szCs w:val="20"/>
              </w:rPr>
              <w:t xml:space="preserve"> véase</w:t>
            </w:r>
            <w:r w:rsidRPr="0078630F">
              <w:rPr>
                <w:rFonts w:ascii="Cambria" w:eastAsia="Cambria" w:hAnsi="Cambria" w:cs="Cambria"/>
                <w:color w:val="000000"/>
                <w:sz w:val="20"/>
                <w:szCs w:val="20"/>
              </w:rPr>
              <w:t xml:space="preserve"> la sección “</w:t>
            </w:r>
            <w:r w:rsidRPr="0078630F">
              <w:rPr>
                <w:rFonts w:ascii="Cambria" w:eastAsia="Cambria" w:hAnsi="Cambria" w:cs="Cambria"/>
                <w:i/>
                <w:color w:val="000000"/>
                <w:sz w:val="20"/>
                <w:szCs w:val="20"/>
              </w:rPr>
              <w:t>De la Oferta y Negociación – Términos y Condiciones de las Obligaciones Negociables - Mercados</w:t>
            </w:r>
            <w:r w:rsidR="003F02DD">
              <w:rPr>
                <w:rFonts w:ascii="Cambria" w:eastAsia="Cambria" w:hAnsi="Cambria" w:cs="Cambria"/>
                <w:color w:val="000000"/>
                <w:sz w:val="20"/>
                <w:szCs w:val="20"/>
              </w:rPr>
              <w:t>” del</w:t>
            </w:r>
            <w:r w:rsidRPr="0078630F">
              <w:rPr>
                <w:rFonts w:ascii="Cambria" w:eastAsia="Cambria" w:hAnsi="Cambria" w:cs="Cambria"/>
                <w:color w:val="000000"/>
                <w:sz w:val="20"/>
                <w:szCs w:val="20"/>
              </w:rPr>
              <w:t xml:space="preserve"> Prospecto.</w:t>
            </w:r>
          </w:p>
        </w:tc>
      </w:tr>
      <w:tr w:rsidR="0031285E" w:rsidRPr="0078630F" w14:paraId="5ECBFA5E" w14:textId="77777777" w:rsidTr="006A25D8">
        <w:trPr>
          <w:gridBefore w:val="1"/>
          <w:wBefore w:w="70" w:type="dxa"/>
        </w:trPr>
        <w:tc>
          <w:tcPr>
            <w:tcW w:w="3033" w:type="dxa"/>
            <w:gridSpan w:val="3"/>
          </w:tcPr>
          <w:p w14:paraId="774AF320" w14:textId="77777777" w:rsidR="0031285E" w:rsidRPr="0078630F" w:rsidRDefault="0031285E" w:rsidP="006A25D8">
            <w:pPr>
              <w:jc w:val="both"/>
              <w:rPr>
                <w:rFonts w:ascii="Cambria" w:eastAsia="Cambria" w:hAnsi="Cambria" w:cs="Cambria"/>
                <w:b/>
                <w:sz w:val="20"/>
                <w:szCs w:val="20"/>
              </w:rPr>
            </w:pPr>
            <w:r w:rsidRPr="0078630F">
              <w:rPr>
                <w:rFonts w:ascii="Cambria" w:eastAsia="Cambria" w:hAnsi="Cambria" w:cs="Cambria"/>
                <w:b/>
                <w:sz w:val="20"/>
                <w:szCs w:val="20"/>
              </w:rPr>
              <w:t>Aprobaciones societarias:</w:t>
            </w:r>
          </w:p>
        </w:tc>
        <w:tc>
          <w:tcPr>
            <w:tcW w:w="5649" w:type="dxa"/>
            <w:gridSpan w:val="2"/>
          </w:tcPr>
          <w:p w14:paraId="115E03FF" w14:textId="77777777" w:rsidR="0031285E" w:rsidRPr="0078630F" w:rsidRDefault="0031285E" w:rsidP="006A25D8">
            <w:pPr>
              <w:jc w:val="both"/>
              <w:rPr>
                <w:rFonts w:ascii="Cambria" w:eastAsia="Cambria" w:hAnsi="Cambria" w:cs="Cambria"/>
                <w:sz w:val="20"/>
                <w:szCs w:val="20"/>
              </w:rPr>
            </w:pPr>
            <w:r w:rsidRPr="0078630F">
              <w:rPr>
                <w:rFonts w:ascii="Cambria" w:eastAsia="Cambria" w:hAnsi="Cambria" w:cs="Cambria"/>
                <w:sz w:val="20"/>
                <w:szCs w:val="20"/>
              </w:rPr>
              <w:t xml:space="preserve">La creación del Programa y los términos y condiciones de las Obligaciones Negociables fueron aprobados por la Asamblea Ordinaria y Extraordinaria de accionistas de la Emisora de fecha 6 de julio de 2020 y por resolución del Directorio de la Emisora N° </w:t>
            </w:r>
            <w:r>
              <w:rPr>
                <w:rFonts w:ascii="Cambria" w:eastAsia="Cambria" w:hAnsi="Cambria" w:cs="Cambria"/>
                <w:sz w:val="20"/>
                <w:szCs w:val="20"/>
              </w:rPr>
              <w:t>86</w:t>
            </w:r>
            <w:r w:rsidRPr="0078630F">
              <w:rPr>
                <w:rFonts w:ascii="Cambria" w:eastAsia="Cambria" w:hAnsi="Cambria" w:cs="Cambria"/>
                <w:sz w:val="20"/>
                <w:szCs w:val="20"/>
              </w:rPr>
              <w:t xml:space="preserve"> de fecha </w:t>
            </w:r>
            <w:r>
              <w:rPr>
                <w:rFonts w:ascii="Cambria" w:eastAsia="Cambria" w:hAnsi="Cambria" w:cs="Cambria"/>
                <w:sz w:val="20"/>
                <w:szCs w:val="20"/>
              </w:rPr>
              <w:t>5 de agosto de 2020</w:t>
            </w:r>
            <w:r w:rsidRPr="0078630F">
              <w:rPr>
                <w:rFonts w:ascii="Cambria" w:eastAsia="Cambria" w:hAnsi="Cambria" w:cs="Cambria"/>
                <w:sz w:val="20"/>
                <w:szCs w:val="20"/>
              </w:rPr>
              <w:t>.</w:t>
            </w:r>
          </w:p>
        </w:tc>
      </w:tr>
      <w:tr w:rsidR="0031285E" w:rsidRPr="0078630F" w14:paraId="2F1AB6EB" w14:textId="77777777" w:rsidTr="006A25D8">
        <w:trPr>
          <w:gridBefore w:val="1"/>
          <w:wBefore w:w="70" w:type="dxa"/>
        </w:trPr>
        <w:tc>
          <w:tcPr>
            <w:tcW w:w="3033" w:type="dxa"/>
            <w:gridSpan w:val="3"/>
          </w:tcPr>
          <w:p w14:paraId="5250D2D8" w14:textId="77777777" w:rsidR="0031285E" w:rsidRPr="0078630F" w:rsidRDefault="0031285E" w:rsidP="006A25D8">
            <w:pPr>
              <w:jc w:val="both"/>
              <w:rPr>
                <w:rFonts w:ascii="Cambria" w:eastAsia="Cambria" w:hAnsi="Cambria" w:cs="Cambria"/>
                <w:b/>
                <w:sz w:val="20"/>
                <w:szCs w:val="20"/>
              </w:rPr>
            </w:pPr>
            <w:r w:rsidRPr="0078630F">
              <w:rPr>
                <w:rFonts w:ascii="Cambria" w:eastAsia="Cambria" w:hAnsi="Cambria" w:cs="Cambria"/>
                <w:b/>
                <w:sz w:val="20"/>
                <w:szCs w:val="20"/>
              </w:rPr>
              <w:t>Autorización:</w:t>
            </w:r>
          </w:p>
        </w:tc>
        <w:tc>
          <w:tcPr>
            <w:tcW w:w="5649" w:type="dxa"/>
            <w:gridSpan w:val="2"/>
          </w:tcPr>
          <w:p w14:paraId="01B59B7D" w14:textId="77777777" w:rsidR="0031285E" w:rsidRPr="0078630F" w:rsidRDefault="0031285E" w:rsidP="006A25D8">
            <w:pPr>
              <w:jc w:val="both"/>
              <w:rPr>
                <w:rFonts w:ascii="Cambria" w:eastAsia="Cambria" w:hAnsi="Cambria" w:cs="Cambria"/>
                <w:sz w:val="20"/>
                <w:szCs w:val="20"/>
              </w:rPr>
            </w:pPr>
            <w:r w:rsidRPr="0078630F">
              <w:rPr>
                <w:rFonts w:ascii="Cambria" w:eastAsia="Cambria" w:hAnsi="Cambria" w:cs="Cambria"/>
                <w:sz w:val="20"/>
                <w:szCs w:val="20"/>
              </w:rPr>
              <w:t xml:space="preserve">El Programa ha sido aprobado por la CNV mediante </w:t>
            </w:r>
            <w:r w:rsidRPr="009B409B">
              <w:rPr>
                <w:rFonts w:ascii="Cambria" w:eastAsia="Cambria" w:hAnsi="Cambria" w:cs="Cambria"/>
                <w:sz w:val="20"/>
                <w:szCs w:val="20"/>
              </w:rPr>
              <w:t>Resolución</w:t>
            </w:r>
            <w:r w:rsidRPr="0078630F">
              <w:rPr>
                <w:rFonts w:ascii="Cambria" w:eastAsia="Cambria" w:hAnsi="Cambria" w:cs="Cambria"/>
                <w:sz w:val="20"/>
                <w:szCs w:val="20"/>
              </w:rPr>
              <w:t xml:space="preserve"> del Directorio N° </w:t>
            </w:r>
            <w:r w:rsidRPr="003D67BA">
              <w:rPr>
                <w:rFonts w:ascii="Cambria" w:eastAsia="Cambria" w:hAnsi="Cambria" w:cs="Cambria"/>
                <w:sz w:val="20"/>
                <w:szCs w:val="20"/>
              </w:rPr>
              <w:t>RESFC-2020-20836-APN-DIR#</w:t>
            </w:r>
            <w:proofErr w:type="gramStart"/>
            <w:r w:rsidRPr="003D67BA">
              <w:rPr>
                <w:rFonts w:ascii="Cambria" w:eastAsia="Cambria" w:hAnsi="Cambria" w:cs="Cambria"/>
                <w:sz w:val="20"/>
                <w:szCs w:val="20"/>
              </w:rPr>
              <w:t>CNV</w:t>
            </w:r>
            <w:r w:rsidRPr="003D67BA" w:rsidDel="003D67BA">
              <w:rPr>
                <w:rFonts w:ascii="Cambria" w:eastAsia="Cambria" w:hAnsi="Cambria" w:cs="Cambria"/>
                <w:sz w:val="20"/>
                <w:szCs w:val="20"/>
              </w:rPr>
              <w:t xml:space="preserve"> </w:t>
            </w:r>
            <w:r>
              <w:rPr>
                <w:rFonts w:ascii="Cambria" w:eastAsia="Cambria" w:hAnsi="Cambria" w:cs="Cambria"/>
                <w:sz w:val="20"/>
                <w:szCs w:val="20"/>
              </w:rPr>
              <w:t xml:space="preserve"> </w:t>
            </w:r>
            <w:r w:rsidRPr="0078630F">
              <w:rPr>
                <w:rFonts w:ascii="Cambria" w:eastAsia="Cambria" w:hAnsi="Cambria" w:cs="Cambria"/>
                <w:sz w:val="20"/>
                <w:szCs w:val="20"/>
              </w:rPr>
              <w:t>de</w:t>
            </w:r>
            <w:proofErr w:type="gramEnd"/>
            <w:r w:rsidRPr="0078630F">
              <w:rPr>
                <w:rFonts w:ascii="Cambria" w:eastAsia="Cambria" w:hAnsi="Cambria" w:cs="Cambria"/>
                <w:sz w:val="20"/>
                <w:szCs w:val="20"/>
              </w:rPr>
              <w:t xml:space="preserve"> fecha </w:t>
            </w:r>
            <w:r>
              <w:rPr>
                <w:rFonts w:ascii="Cambria" w:eastAsia="Cambria" w:hAnsi="Cambria" w:cs="Cambria"/>
                <w:sz w:val="20"/>
                <w:szCs w:val="20"/>
              </w:rPr>
              <w:t>22 de octubre</w:t>
            </w:r>
            <w:r w:rsidRPr="0078630F">
              <w:rPr>
                <w:rFonts w:ascii="Cambria" w:eastAsia="Cambria" w:hAnsi="Cambria" w:cs="Cambria"/>
                <w:sz w:val="20"/>
                <w:szCs w:val="20"/>
              </w:rPr>
              <w:t xml:space="preserve"> de 2020</w:t>
            </w:r>
            <w:r>
              <w:rPr>
                <w:rFonts w:ascii="Cambria" w:eastAsia="Cambria" w:hAnsi="Cambria" w:cs="Cambria"/>
                <w:sz w:val="20"/>
                <w:szCs w:val="20"/>
              </w:rPr>
              <w:t>.</w:t>
            </w:r>
          </w:p>
        </w:tc>
      </w:tr>
    </w:tbl>
    <w:p w14:paraId="2EE82B2B" w14:textId="77777777" w:rsidR="0031285E" w:rsidRDefault="0031285E"/>
    <w:p w14:paraId="1BCCDA47" w14:textId="77777777" w:rsidR="0031285E" w:rsidRDefault="0031285E" w:rsidP="0031285E"/>
    <w:p w14:paraId="1CDE9E7A" w14:textId="77777777" w:rsidR="0031285E" w:rsidRDefault="0031285E">
      <w:pPr>
        <w:spacing w:after="160" w:line="259" w:lineRule="auto"/>
      </w:pPr>
      <w:r>
        <w:br w:type="page"/>
      </w:r>
    </w:p>
    <w:p w14:paraId="23726924" w14:textId="77777777" w:rsidR="0031285E" w:rsidRPr="0078630F" w:rsidRDefault="0031285E" w:rsidP="000C02A3">
      <w:pPr>
        <w:pStyle w:val="Ttulo1"/>
        <w:widowControl w:val="0"/>
        <w:numPr>
          <w:ilvl w:val="0"/>
          <w:numId w:val="5"/>
        </w:numPr>
        <w:spacing w:after="0"/>
        <w:rPr>
          <w:b w:val="0"/>
          <w:sz w:val="20"/>
          <w:szCs w:val="20"/>
        </w:rPr>
      </w:pPr>
      <w:bookmarkStart w:id="11" w:name="_Toc48825210"/>
      <w:r w:rsidRPr="0078630F">
        <w:rPr>
          <w:sz w:val="20"/>
          <w:szCs w:val="20"/>
        </w:rPr>
        <w:lastRenderedPageBreak/>
        <w:t>INFORMACIÓN DEL EMISOR</w:t>
      </w:r>
      <w:bookmarkEnd w:id="11"/>
    </w:p>
    <w:p w14:paraId="7738541B" w14:textId="77777777" w:rsidR="0031285E" w:rsidRPr="0078630F" w:rsidRDefault="0031285E" w:rsidP="0031285E">
      <w:pPr>
        <w:widowControl w:val="0"/>
        <w:spacing w:after="0"/>
        <w:jc w:val="both"/>
        <w:rPr>
          <w:rFonts w:ascii="Cambria" w:eastAsia="Cambria" w:hAnsi="Cambria" w:cs="Cambria"/>
          <w:sz w:val="20"/>
          <w:szCs w:val="20"/>
        </w:rPr>
      </w:pPr>
    </w:p>
    <w:p w14:paraId="46FF7B55" w14:textId="77777777" w:rsidR="0031285E" w:rsidRPr="007D583B" w:rsidRDefault="0031285E" w:rsidP="000C02A3">
      <w:pPr>
        <w:pStyle w:val="Ttulo2"/>
        <w:keepLines w:val="0"/>
        <w:numPr>
          <w:ilvl w:val="0"/>
          <w:numId w:val="6"/>
        </w:numPr>
        <w:spacing w:before="120" w:after="120"/>
        <w:rPr>
          <w:rFonts w:ascii="Cambria" w:eastAsia="Cambria" w:hAnsi="Cambria" w:cs="Cambria"/>
          <w:color w:val="auto"/>
          <w:sz w:val="20"/>
        </w:rPr>
      </w:pPr>
      <w:r w:rsidRPr="007D583B">
        <w:rPr>
          <w:rFonts w:ascii="Cambria" w:eastAsia="Cambria" w:hAnsi="Cambria" w:cs="Cambria"/>
          <w:color w:val="auto"/>
          <w:sz w:val="20"/>
        </w:rPr>
        <w:t xml:space="preserve">Historia y desarrollo de la Sociedad </w:t>
      </w:r>
    </w:p>
    <w:p w14:paraId="522B3888" w14:textId="77777777" w:rsidR="0031285E" w:rsidRPr="0078630F" w:rsidRDefault="0031285E" w:rsidP="0031285E">
      <w:pPr>
        <w:widowControl w:val="0"/>
        <w:spacing w:after="0"/>
        <w:jc w:val="both"/>
        <w:rPr>
          <w:rFonts w:ascii="Cambria" w:eastAsia="Cambria" w:hAnsi="Cambria" w:cs="Cambria"/>
          <w:b/>
          <w:sz w:val="20"/>
          <w:szCs w:val="20"/>
        </w:rPr>
      </w:pPr>
    </w:p>
    <w:p w14:paraId="5F248C46" w14:textId="77777777" w:rsidR="0031285E" w:rsidRPr="0078630F" w:rsidRDefault="0031285E" w:rsidP="0031285E">
      <w:pPr>
        <w:widowControl w:val="0"/>
        <w:spacing w:after="0"/>
        <w:jc w:val="both"/>
        <w:rPr>
          <w:rFonts w:ascii="Cambria" w:eastAsia="Cambria" w:hAnsi="Cambria" w:cs="Cambria"/>
          <w:sz w:val="20"/>
          <w:szCs w:val="20"/>
        </w:rPr>
      </w:pPr>
      <w:r w:rsidRPr="0078630F">
        <w:rPr>
          <w:rFonts w:ascii="Cambria" w:eastAsia="Cambria" w:hAnsi="Cambria" w:cs="Cambria"/>
          <w:sz w:val="20"/>
          <w:szCs w:val="20"/>
        </w:rPr>
        <w:t>La Sociedad fue constituida el 22 de diciembre de 2015 e inscripta en el Registro Público de la Ciudad Autónoma de Buenos Aires el 19 de enero de 2016, bajo el Nro. 987 del Libro 77 de Sociedades por Acciones. Seguidamente se enuncia cierta información de la Sociedad:</w:t>
      </w:r>
    </w:p>
    <w:p w14:paraId="18265597" w14:textId="77777777" w:rsidR="0031285E" w:rsidRPr="0078630F" w:rsidRDefault="0031285E" w:rsidP="0031285E">
      <w:pPr>
        <w:widowControl w:val="0"/>
        <w:spacing w:after="0"/>
        <w:ind w:left="360"/>
        <w:jc w:val="both"/>
        <w:rPr>
          <w:rFonts w:ascii="Cambria" w:eastAsia="Cambria" w:hAnsi="Cambria" w:cs="Cambria"/>
          <w:sz w:val="20"/>
          <w:szCs w:val="20"/>
        </w:rPr>
      </w:pPr>
    </w:p>
    <w:p w14:paraId="11AE3483" w14:textId="77777777" w:rsidR="0031285E" w:rsidRPr="009B409B" w:rsidRDefault="0031285E" w:rsidP="000C02A3">
      <w:pPr>
        <w:widowControl w:val="0"/>
        <w:numPr>
          <w:ilvl w:val="0"/>
          <w:numId w:val="3"/>
        </w:numPr>
        <w:spacing w:after="0"/>
        <w:ind w:left="1068"/>
        <w:jc w:val="both"/>
        <w:rPr>
          <w:rFonts w:ascii="Cambria" w:eastAsia="Times New Roman" w:hAnsi="Cambria"/>
          <w:b/>
          <w:sz w:val="20"/>
          <w:szCs w:val="20"/>
        </w:rPr>
      </w:pPr>
      <w:r w:rsidRPr="0078630F">
        <w:rPr>
          <w:rFonts w:ascii="Cambria" w:eastAsia="Cambria" w:hAnsi="Cambria" w:cs="Cambria"/>
          <w:sz w:val="20"/>
          <w:szCs w:val="20"/>
          <w:u w:val="single"/>
        </w:rPr>
        <w:t>Denominación social</w:t>
      </w:r>
      <w:r w:rsidRPr="0078630F">
        <w:rPr>
          <w:rFonts w:ascii="Cambria" w:eastAsia="Cambria" w:hAnsi="Cambria" w:cs="Cambria"/>
          <w:sz w:val="20"/>
          <w:szCs w:val="20"/>
        </w:rPr>
        <w:t xml:space="preserve">: Molinos Agro S.A. </w:t>
      </w:r>
    </w:p>
    <w:p w14:paraId="632130F9" w14:textId="77777777" w:rsidR="0031285E" w:rsidRPr="0078630F" w:rsidRDefault="0031285E" w:rsidP="0031285E">
      <w:pPr>
        <w:widowControl w:val="0"/>
        <w:spacing w:after="0"/>
        <w:ind w:left="1068"/>
        <w:jc w:val="both"/>
        <w:rPr>
          <w:rFonts w:ascii="Cambria" w:eastAsia="Cambria" w:hAnsi="Cambria" w:cs="Cambria"/>
          <w:b/>
          <w:sz w:val="20"/>
          <w:szCs w:val="20"/>
        </w:rPr>
      </w:pPr>
    </w:p>
    <w:p w14:paraId="0B60A0D1" w14:textId="77777777" w:rsidR="0031285E" w:rsidRPr="009B409B" w:rsidRDefault="0031285E" w:rsidP="000C02A3">
      <w:pPr>
        <w:widowControl w:val="0"/>
        <w:numPr>
          <w:ilvl w:val="0"/>
          <w:numId w:val="3"/>
        </w:numPr>
        <w:spacing w:after="0"/>
        <w:ind w:left="1068"/>
        <w:jc w:val="both"/>
        <w:rPr>
          <w:rFonts w:ascii="Cambria" w:eastAsia="Times New Roman" w:hAnsi="Cambria"/>
          <w:b/>
          <w:sz w:val="20"/>
          <w:szCs w:val="20"/>
        </w:rPr>
      </w:pPr>
      <w:r w:rsidRPr="0078630F">
        <w:rPr>
          <w:rFonts w:ascii="Cambria" w:eastAsia="Cambria" w:hAnsi="Cambria" w:cs="Cambria"/>
          <w:sz w:val="20"/>
          <w:szCs w:val="20"/>
          <w:u w:val="single"/>
        </w:rPr>
        <w:t>CUIT</w:t>
      </w:r>
      <w:r w:rsidRPr="0078630F">
        <w:rPr>
          <w:rFonts w:ascii="Cambria" w:eastAsia="Cambria" w:hAnsi="Cambria" w:cs="Cambria"/>
          <w:sz w:val="20"/>
          <w:szCs w:val="20"/>
        </w:rPr>
        <w:t>: 30-71511877-3.</w:t>
      </w:r>
    </w:p>
    <w:p w14:paraId="15063C08" w14:textId="77777777" w:rsidR="0031285E" w:rsidRPr="0078630F" w:rsidRDefault="0031285E" w:rsidP="0031285E">
      <w:pPr>
        <w:widowControl w:val="0"/>
        <w:spacing w:after="0"/>
        <w:ind w:left="1440"/>
        <w:jc w:val="both"/>
        <w:rPr>
          <w:rFonts w:ascii="Cambria" w:eastAsia="Cambria" w:hAnsi="Cambria" w:cs="Cambria"/>
          <w:b/>
          <w:sz w:val="20"/>
          <w:szCs w:val="20"/>
        </w:rPr>
      </w:pPr>
    </w:p>
    <w:p w14:paraId="2B39CB09" w14:textId="77777777" w:rsidR="0031285E" w:rsidRPr="009B409B" w:rsidRDefault="0031285E" w:rsidP="000C02A3">
      <w:pPr>
        <w:widowControl w:val="0"/>
        <w:numPr>
          <w:ilvl w:val="0"/>
          <w:numId w:val="3"/>
        </w:numPr>
        <w:spacing w:after="0"/>
        <w:ind w:left="1068"/>
        <w:jc w:val="both"/>
        <w:rPr>
          <w:rFonts w:ascii="Cambria" w:eastAsia="Times New Roman" w:hAnsi="Cambria"/>
          <w:sz w:val="20"/>
          <w:szCs w:val="20"/>
        </w:rPr>
      </w:pPr>
      <w:r w:rsidRPr="0078630F">
        <w:rPr>
          <w:rFonts w:ascii="Cambria" w:eastAsia="Cambria" w:hAnsi="Cambria" w:cs="Cambria"/>
          <w:sz w:val="20"/>
          <w:szCs w:val="20"/>
          <w:u w:val="single"/>
        </w:rPr>
        <w:t>Fecha de constitución y plazo de duración</w:t>
      </w:r>
      <w:r w:rsidRPr="0078630F">
        <w:rPr>
          <w:rFonts w:ascii="Cambria" w:eastAsia="Cambria" w:hAnsi="Cambria" w:cs="Cambria"/>
          <w:sz w:val="20"/>
          <w:szCs w:val="20"/>
        </w:rPr>
        <w:t>: La Sociedad se constituye con fecha 22 de diciembre de 2015 bajo las leyes de la República Argentina. Según el artículo 4 de su estatuto social, su plazo de duración es de 99 años.</w:t>
      </w:r>
    </w:p>
    <w:p w14:paraId="632EE0B9" w14:textId="77777777" w:rsidR="0031285E" w:rsidRPr="0078630F" w:rsidRDefault="0031285E" w:rsidP="0031285E">
      <w:pPr>
        <w:widowControl w:val="0"/>
        <w:spacing w:after="0"/>
        <w:ind w:left="1440"/>
        <w:jc w:val="both"/>
        <w:rPr>
          <w:rFonts w:ascii="Cambria" w:eastAsia="Cambria" w:hAnsi="Cambria" w:cs="Cambria"/>
          <w:sz w:val="20"/>
          <w:szCs w:val="20"/>
        </w:rPr>
      </w:pPr>
    </w:p>
    <w:p w14:paraId="18700BDA" w14:textId="77777777" w:rsidR="0031285E" w:rsidRPr="009B409B" w:rsidRDefault="0031285E" w:rsidP="000C02A3">
      <w:pPr>
        <w:widowControl w:val="0"/>
        <w:numPr>
          <w:ilvl w:val="0"/>
          <w:numId w:val="3"/>
        </w:numPr>
        <w:spacing w:after="0"/>
        <w:ind w:left="1068"/>
        <w:jc w:val="both"/>
        <w:rPr>
          <w:rFonts w:ascii="Cambria" w:eastAsia="Times New Roman" w:hAnsi="Cambria"/>
          <w:sz w:val="20"/>
          <w:szCs w:val="20"/>
        </w:rPr>
      </w:pPr>
      <w:r w:rsidRPr="0078630F">
        <w:rPr>
          <w:rFonts w:ascii="Cambria" w:eastAsia="Cambria" w:hAnsi="Cambria" w:cs="Cambria"/>
          <w:sz w:val="20"/>
          <w:szCs w:val="20"/>
          <w:u w:val="single"/>
        </w:rPr>
        <w:t>Domicilio legal y sede social</w:t>
      </w:r>
      <w:r w:rsidRPr="0078630F">
        <w:rPr>
          <w:rFonts w:ascii="Cambria" w:eastAsia="Cambria" w:hAnsi="Cambria" w:cs="Cambria"/>
          <w:sz w:val="20"/>
          <w:szCs w:val="20"/>
        </w:rPr>
        <w:t xml:space="preserve">: Conforme el artículo 2 del estatuto social de la Sociedad, el domicilio de </w:t>
      </w:r>
      <w:proofErr w:type="gramStart"/>
      <w:r w:rsidRPr="0078630F">
        <w:rPr>
          <w:rFonts w:ascii="Cambria" w:eastAsia="Cambria" w:hAnsi="Cambria" w:cs="Cambria"/>
          <w:sz w:val="20"/>
          <w:szCs w:val="20"/>
        </w:rPr>
        <w:t>la misma</w:t>
      </w:r>
      <w:proofErr w:type="gramEnd"/>
      <w:r w:rsidRPr="0078630F">
        <w:rPr>
          <w:rFonts w:ascii="Cambria" w:eastAsia="Cambria" w:hAnsi="Cambria" w:cs="Cambria"/>
          <w:sz w:val="20"/>
          <w:szCs w:val="20"/>
        </w:rPr>
        <w:t xml:space="preserve"> radica en la Ciudad Autónoma de Buenos Aires. Su sede social se ha fijado en Av. Pte. </w:t>
      </w:r>
      <w:r>
        <w:rPr>
          <w:rFonts w:ascii="Cambria" w:eastAsia="Cambria" w:hAnsi="Cambria" w:cs="Cambria"/>
          <w:sz w:val="20"/>
          <w:szCs w:val="20"/>
        </w:rPr>
        <w:t xml:space="preserve">Manuel </w:t>
      </w:r>
      <w:r w:rsidRPr="0078630F">
        <w:rPr>
          <w:rFonts w:ascii="Cambria" w:eastAsia="Cambria" w:hAnsi="Cambria" w:cs="Cambria"/>
          <w:sz w:val="20"/>
          <w:szCs w:val="20"/>
        </w:rPr>
        <w:t>Quintana 192, Piso 1º (C1293Y) de la Ciudad Autónoma de Buenos Aires, República Argentina. La sede administrativa de la Sociedad se encuentra en Uruguay 4075 (B1644HKG), Victoria, Partido de San Fernando, Provincia de Buenos Aires. La Sociedad tiene la planta industrial ubicada en Benielli 398 (2200) San Lorenzo, Provincia de Santa Fe</w:t>
      </w:r>
      <w:r>
        <w:rPr>
          <w:rFonts w:ascii="Cambria" w:eastAsia="Cambria" w:hAnsi="Cambria" w:cs="Cambria"/>
          <w:sz w:val="20"/>
          <w:szCs w:val="20"/>
        </w:rPr>
        <w:t xml:space="preserve"> (la “Planta”)</w:t>
      </w:r>
      <w:r w:rsidRPr="0078630F">
        <w:rPr>
          <w:rFonts w:ascii="Cambria" w:eastAsia="Cambria" w:hAnsi="Cambria" w:cs="Cambria"/>
          <w:sz w:val="20"/>
          <w:szCs w:val="20"/>
        </w:rPr>
        <w:t>. Los libros de comercio y societarios de la Sociedad se ubican en la sede social.</w:t>
      </w:r>
    </w:p>
    <w:p w14:paraId="1D835A3A" w14:textId="77777777" w:rsidR="0031285E" w:rsidRPr="0078630F" w:rsidRDefault="0031285E" w:rsidP="0031285E">
      <w:pPr>
        <w:widowControl w:val="0"/>
        <w:spacing w:after="0"/>
        <w:ind w:left="360"/>
        <w:jc w:val="both"/>
        <w:rPr>
          <w:rFonts w:ascii="Cambria" w:eastAsia="Cambria" w:hAnsi="Cambria" w:cs="Cambria"/>
          <w:sz w:val="20"/>
          <w:szCs w:val="20"/>
        </w:rPr>
      </w:pPr>
    </w:p>
    <w:p w14:paraId="5329271B" w14:textId="77777777" w:rsidR="0031285E" w:rsidRPr="009B409B" w:rsidRDefault="0031285E" w:rsidP="000C02A3">
      <w:pPr>
        <w:widowControl w:val="0"/>
        <w:numPr>
          <w:ilvl w:val="0"/>
          <w:numId w:val="3"/>
        </w:numPr>
        <w:spacing w:after="0"/>
        <w:ind w:left="1068"/>
        <w:jc w:val="both"/>
        <w:rPr>
          <w:rFonts w:ascii="Cambria" w:eastAsia="Times New Roman" w:hAnsi="Cambria"/>
          <w:sz w:val="20"/>
          <w:szCs w:val="20"/>
        </w:rPr>
      </w:pPr>
      <w:r w:rsidRPr="0078630F">
        <w:rPr>
          <w:rFonts w:ascii="Cambria" w:eastAsia="Cambria" w:hAnsi="Cambria" w:cs="Cambria"/>
          <w:sz w:val="20"/>
          <w:szCs w:val="20"/>
          <w:u w:val="single"/>
        </w:rPr>
        <w:t>Teléfono/Fax</w:t>
      </w:r>
      <w:r w:rsidRPr="0078630F">
        <w:rPr>
          <w:rFonts w:ascii="Cambria" w:eastAsia="Cambria" w:hAnsi="Cambria" w:cs="Cambria"/>
          <w:sz w:val="20"/>
          <w:szCs w:val="20"/>
        </w:rPr>
        <w:t xml:space="preserve">: Tel. Conmutador: 4340-1100/Fax: 4340-1105. </w:t>
      </w:r>
    </w:p>
    <w:p w14:paraId="6CCE0DF3" w14:textId="77777777" w:rsidR="0031285E" w:rsidRPr="0078630F" w:rsidRDefault="0031285E" w:rsidP="0031285E">
      <w:pPr>
        <w:widowControl w:val="0"/>
        <w:spacing w:after="0"/>
        <w:ind w:left="1068"/>
        <w:jc w:val="both"/>
        <w:rPr>
          <w:rFonts w:ascii="Cambria" w:eastAsia="Cambria" w:hAnsi="Cambria" w:cs="Cambria"/>
          <w:sz w:val="20"/>
          <w:szCs w:val="20"/>
        </w:rPr>
      </w:pPr>
    </w:p>
    <w:p w14:paraId="37FA06A2" w14:textId="77777777" w:rsidR="0031285E" w:rsidRPr="009B409B" w:rsidRDefault="0031285E" w:rsidP="000C02A3">
      <w:pPr>
        <w:widowControl w:val="0"/>
        <w:numPr>
          <w:ilvl w:val="0"/>
          <w:numId w:val="3"/>
        </w:numPr>
        <w:spacing w:after="0"/>
        <w:ind w:left="1068"/>
        <w:jc w:val="both"/>
        <w:rPr>
          <w:rFonts w:ascii="Cambria" w:eastAsia="Times New Roman" w:hAnsi="Cambria"/>
          <w:sz w:val="20"/>
          <w:szCs w:val="20"/>
        </w:rPr>
      </w:pPr>
      <w:r w:rsidRPr="0078630F">
        <w:rPr>
          <w:rFonts w:ascii="Cambria" w:eastAsia="Cambria" w:hAnsi="Cambria" w:cs="Cambria"/>
          <w:sz w:val="20"/>
          <w:szCs w:val="20"/>
          <w:u w:val="single"/>
        </w:rPr>
        <w:t>Objeto Social</w:t>
      </w:r>
      <w:r w:rsidRPr="0078630F">
        <w:rPr>
          <w:rFonts w:ascii="Cambria" w:eastAsia="Cambria" w:hAnsi="Cambria" w:cs="Cambria"/>
          <w:sz w:val="20"/>
          <w:szCs w:val="20"/>
        </w:rPr>
        <w:t xml:space="preserve">: Conforme al estatuto de la Sociedad, ésta tiene por objeto la realización y el desarrollo, ya sea actuando por cuenta propia o de terceros o asociada a terceros, sean dichos terceros vinculados o no, de las siguientes actividades: i) la explotación de toda clase de molinos, elevadores de granos, silos, maquinarias y plantas industriales y otras instalaciones para procesar, industrializar, almacenar, acondicionar y transportar toda clase de granos, semillas, cereales, oleaginosas, legumbres, frutos, hortalizas, pastos y forrajes; (ii) la siembra, cosecha, limpieza, molienda, mezcla, transformación, tratamiento, venta, corretaje, comercialización, importación, exportación y fraccionamiento, depósito y/o almacenaje, de toda clase de granos, semillas, cereales, oleaginosas, legumbres, frutos, hortalizas, pastos y forrajes; (iii) la compra, corretaje, comercialización, venta, canje, permuta o adquisición por cualquier título, comercialización y/o reventa, distribución, suministro, depósito y almacenaje, de insumos agrícolas, tales como fertilizantes, agroquímicos, gasoil y otros combustibles líquidos e hidrocarburos, forrajes, entre otros, y de las materias primas insumidas por la Sociedad en sus procesos productivos; (iv) la industrialización, preparación, venta, exportación, distribución, transporte, depósito y/o almacenaje, de los subproductos obtenidos de los procesos productivos descriptos en el presente; (v) la administración, explotación y/u operación de puertos y/o terminales portuarias de propiedad particular, municipal, provincial y/o nacional, de uso público o privado y destino comercial y/o industrial; la recepción, almacenaje, acondicionamiento y elevación para ser cargados y/o descargados en buques, barcazas y, en general todo tipo de artefacto naval apto, de graneles líquidos, sólidos y gaseosos, como también mercaderías en bultos, bolsas, big bag, pallets, contenedores u otro tipo de embalajes; estibaje con y sin contenedores; eslingaje; depósito particular y/o depósito fiscal de exportación, </w:t>
      </w:r>
      <w:r w:rsidRPr="0078630F">
        <w:rPr>
          <w:rFonts w:ascii="Cambria" w:eastAsia="Cambria" w:hAnsi="Cambria" w:cs="Cambria"/>
          <w:sz w:val="20"/>
          <w:szCs w:val="20"/>
        </w:rPr>
        <w:lastRenderedPageBreak/>
        <w:t xml:space="preserve">importación y/o removido; servicios de grúa; de remolque; de practicaje y demás servicios suplementarios y complementarios realizados por los puertos y las terminales portuarias; (vi) la constitución y contratación de depósitos, almacenamientos, de mercaderías, materias primas u otros productos, propios y/o de terceros, a los fines de su conservación, clasificación, distribución y/o expendio; (vii) la elaboración, compra, venta, canje, permuta, comercialización, reventa, distribución, suministro, depósito y/o almacenaje, de combustibles líquidos biocombustibles y/o hidrocarburos, propios o de terceros; (viii) la generación, producción, comercialización y venta de energía eléctrica; (ix) el desarrollo de nuevos productos de base biotecnológica relacionados con la cadena de valor de la soja; (x) la constitución de sociedades y realización de aportes de capital (x) la realización, de operaciones de inversión y/o compraventa de acciones, títulos, debentures, obligaciones negociables y demás valores mobiliarios, monedas y </w:t>
      </w:r>
      <w:r w:rsidRPr="00834EDD">
        <w:rPr>
          <w:rFonts w:ascii="Cambria" w:eastAsia="Cambria" w:hAnsi="Cambria" w:cs="Cambria"/>
          <w:i/>
          <w:sz w:val="20"/>
          <w:szCs w:val="20"/>
        </w:rPr>
        <w:t>commodities</w:t>
      </w:r>
      <w:r w:rsidRPr="0078630F">
        <w:rPr>
          <w:rFonts w:ascii="Cambria" w:eastAsia="Cambria" w:hAnsi="Cambria" w:cs="Cambria"/>
          <w:sz w:val="20"/>
          <w:szCs w:val="20"/>
        </w:rPr>
        <w:t xml:space="preserve">, incluyendo la realización de operaciones a futuro, opciones, de cobertura o cualquier otra operación de derivados; (xi) la realización de operaciones de afianzamiento financiero, comercial o de otro tipo, incluyendo, aunque no limitándose a, el otorgamiento de avales, fianzas y/u otras garantías, reales o no, tendientes a asegurar y garantizar obligaciones de la Sociedad o de terceros; (xii) la realización de operaciones financieras incluyendo, aunque no limitándose a, el otorgamiento de préstamos y financiaciones con o sin garantías reales, quedando expresamente excluidas aquellas actividades que estuvieran vedadas por la Ley de Entidades Financieras; (xiii) la realización de operaciones, y el desempeño en cualquiera de las categorías de agentes habilitados, en el marco de la Ley de Mercado de Capitales N° 26.831 (tal como sea modificada, reglamentada, complementada, reemplazada o sustituida), y (xiv) la realización, sin limitación alguna, de todo tipo de operaciones lícitas, incluyendo sin limitación, la exportación e importación, que se relacionen con el objeto social, pudiendo actuar en negocios y/o industrias derivadas, subsidiarias y/o complementarias y/o afines de los anteriormente mencionados.  </w:t>
      </w:r>
    </w:p>
    <w:p w14:paraId="0DDD494D" w14:textId="77777777" w:rsidR="0031285E" w:rsidRPr="0078630F" w:rsidRDefault="0031285E" w:rsidP="0031285E">
      <w:pPr>
        <w:widowControl w:val="0"/>
        <w:spacing w:after="0"/>
        <w:ind w:left="360"/>
        <w:jc w:val="both"/>
        <w:rPr>
          <w:rFonts w:ascii="Cambria" w:eastAsia="Cambria" w:hAnsi="Cambria" w:cs="Cambria"/>
          <w:sz w:val="20"/>
          <w:szCs w:val="20"/>
        </w:rPr>
      </w:pPr>
    </w:p>
    <w:p w14:paraId="7D51B748" w14:textId="77777777" w:rsidR="0031285E" w:rsidRPr="009B409B" w:rsidRDefault="0031285E" w:rsidP="000C02A3">
      <w:pPr>
        <w:widowControl w:val="0"/>
        <w:numPr>
          <w:ilvl w:val="0"/>
          <w:numId w:val="3"/>
        </w:numPr>
        <w:spacing w:after="0"/>
        <w:ind w:left="1068"/>
        <w:jc w:val="both"/>
        <w:rPr>
          <w:rFonts w:ascii="Cambria" w:eastAsia="Times New Roman" w:hAnsi="Cambria"/>
          <w:sz w:val="20"/>
          <w:szCs w:val="20"/>
        </w:rPr>
      </w:pPr>
      <w:r w:rsidRPr="0078630F">
        <w:rPr>
          <w:rFonts w:ascii="Cambria" w:eastAsia="Cambria" w:hAnsi="Cambria" w:cs="Cambria"/>
          <w:sz w:val="20"/>
          <w:szCs w:val="20"/>
          <w:u w:val="single"/>
        </w:rPr>
        <w:t>Capital Social</w:t>
      </w:r>
      <w:r w:rsidRPr="0078630F">
        <w:rPr>
          <w:rFonts w:ascii="Cambria" w:eastAsia="Cambria" w:hAnsi="Cambria" w:cs="Cambria"/>
          <w:sz w:val="20"/>
          <w:szCs w:val="20"/>
        </w:rPr>
        <w:t xml:space="preserve">: </w:t>
      </w:r>
      <w:r w:rsidRPr="0078630F">
        <w:rPr>
          <w:rFonts w:ascii="Cambria" w:eastAsia="Cambria" w:hAnsi="Cambria" w:cs="Cambria"/>
          <w:sz w:val="20"/>
          <w:szCs w:val="20"/>
          <w:lang w:val="es-MX"/>
        </w:rPr>
        <w:t>El capital social de la Sociedad es equivalente a la suma de $49.082.024, representado por (i) 203.938 acciones ordinarias escriturales Clase A, de cinco votos por acción y de $1 valor nominal cada una; y (ii) 48.878.086 acciones ordinarias escriturales Clase B, de un voto por acción y de $1 valor nominal cada una. Todas las acciones emitidas se enc</w:t>
      </w:r>
      <w:r>
        <w:rPr>
          <w:rFonts w:ascii="Cambria" w:eastAsia="Cambria" w:hAnsi="Cambria" w:cs="Cambria"/>
          <w:sz w:val="20"/>
          <w:szCs w:val="20"/>
          <w:lang w:val="es-MX"/>
        </w:rPr>
        <w:t>uentran</w:t>
      </w:r>
      <w:r w:rsidRPr="0078630F">
        <w:rPr>
          <w:rFonts w:ascii="Cambria" w:eastAsia="Cambria" w:hAnsi="Cambria" w:cs="Cambria"/>
          <w:sz w:val="20"/>
          <w:szCs w:val="20"/>
          <w:lang w:val="es-MX"/>
        </w:rPr>
        <w:t xml:space="preserve"> sometidas en su totalidad al régimen de oferta pública de títulos valores establecido en la Ley Nro. 26.831.</w:t>
      </w:r>
    </w:p>
    <w:p w14:paraId="42F13AB8" w14:textId="77777777" w:rsidR="0031285E" w:rsidRPr="0078630F" w:rsidRDefault="0031285E" w:rsidP="0031285E">
      <w:pPr>
        <w:widowControl w:val="0"/>
        <w:spacing w:after="0"/>
        <w:ind w:left="360"/>
        <w:jc w:val="both"/>
        <w:rPr>
          <w:rFonts w:ascii="Cambria" w:eastAsia="Cambria" w:hAnsi="Cambria" w:cs="Cambria"/>
          <w:b/>
          <w:sz w:val="20"/>
          <w:szCs w:val="20"/>
        </w:rPr>
      </w:pPr>
    </w:p>
    <w:p w14:paraId="3B667E89" w14:textId="77777777" w:rsidR="0031285E" w:rsidRPr="009B409B" w:rsidRDefault="0031285E" w:rsidP="000C02A3">
      <w:pPr>
        <w:widowControl w:val="0"/>
        <w:numPr>
          <w:ilvl w:val="0"/>
          <w:numId w:val="3"/>
        </w:numPr>
        <w:spacing w:after="0"/>
        <w:ind w:left="1068"/>
        <w:jc w:val="both"/>
        <w:rPr>
          <w:rFonts w:ascii="Cambria" w:eastAsia="Times New Roman" w:hAnsi="Cambria"/>
          <w:sz w:val="20"/>
          <w:szCs w:val="20"/>
        </w:rPr>
      </w:pPr>
      <w:r w:rsidRPr="0078630F">
        <w:rPr>
          <w:rFonts w:ascii="Cambria" w:eastAsia="Cambria" w:hAnsi="Cambria" w:cs="Cambria"/>
          <w:sz w:val="20"/>
          <w:szCs w:val="20"/>
          <w:u w:val="single"/>
        </w:rPr>
        <w:t>Fecha de cierre del ejercicio social</w:t>
      </w:r>
      <w:r w:rsidRPr="0078630F">
        <w:rPr>
          <w:rFonts w:ascii="Cambria" w:eastAsia="Cambria" w:hAnsi="Cambria" w:cs="Cambria"/>
          <w:sz w:val="20"/>
          <w:szCs w:val="20"/>
        </w:rPr>
        <w:t>: 31 de marzo de cada año.</w:t>
      </w:r>
    </w:p>
    <w:p w14:paraId="66111181" w14:textId="77777777" w:rsidR="0031285E" w:rsidRPr="0078630F" w:rsidRDefault="0031285E" w:rsidP="0031285E">
      <w:pPr>
        <w:widowControl w:val="0"/>
        <w:spacing w:after="0"/>
        <w:ind w:left="1068"/>
        <w:jc w:val="both"/>
        <w:rPr>
          <w:rFonts w:ascii="Cambria" w:eastAsia="Cambria" w:hAnsi="Cambria" w:cs="Cambria"/>
          <w:sz w:val="20"/>
          <w:szCs w:val="20"/>
        </w:rPr>
      </w:pPr>
    </w:p>
    <w:p w14:paraId="37D9637F" w14:textId="77777777" w:rsidR="0031285E" w:rsidRPr="0078630F" w:rsidRDefault="0031285E" w:rsidP="0031285E">
      <w:pPr>
        <w:widowControl w:val="0"/>
        <w:spacing w:after="0"/>
        <w:jc w:val="both"/>
        <w:rPr>
          <w:rFonts w:ascii="Cambria" w:eastAsia="Cambria" w:hAnsi="Cambria" w:cs="Cambria"/>
          <w:i/>
          <w:sz w:val="20"/>
          <w:szCs w:val="20"/>
        </w:rPr>
      </w:pPr>
    </w:p>
    <w:p w14:paraId="29CACC9D" w14:textId="77777777" w:rsidR="0031285E" w:rsidRPr="0078630F" w:rsidRDefault="0031285E" w:rsidP="0031285E">
      <w:pPr>
        <w:widowControl w:val="0"/>
        <w:spacing w:after="0"/>
        <w:jc w:val="both"/>
        <w:rPr>
          <w:rFonts w:ascii="Cambria" w:eastAsia="Cambria" w:hAnsi="Cambria" w:cs="Cambria"/>
          <w:b/>
          <w:i/>
          <w:sz w:val="20"/>
          <w:szCs w:val="20"/>
        </w:rPr>
      </w:pPr>
      <w:r w:rsidRPr="0078630F">
        <w:rPr>
          <w:rFonts w:ascii="Cambria" w:eastAsia="Cambria" w:hAnsi="Cambria" w:cs="Cambria"/>
          <w:b/>
          <w:i/>
          <w:sz w:val="20"/>
          <w:szCs w:val="20"/>
        </w:rPr>
        <w:t>Reorganización societaria</w:t>
      </w:r>
    </w:p>
    <w:p w14:paraId="641875D4" w14:textId="77777777" w:rsidR="0031285E" w:rsidRPr="0078630F" w:rsidRDefault="0031285E" w:rsidP="0031285E">
      <w:pPr>
        <w:widowControl w:val="0"/>
        <w:spacing w:after="0"/>
        <w:jc w:val="both"/>
        <w:rPr>
          <w:rFonts w:ascii="Cambria" w:eastAsia="Cambria" w:hAnsi="Cambria" w:cs="Cambria"/>
          <w:sz w:val="20"/>
          <w:szCs w:val="20"/>
        </w:rPr>
      </w:pPr>
    </w:p>
    <w:p w14:paraId="196D3B35" w14:textId="77777777" w:rsidR="0031285E" w:rsidRPr="0078630F" w:rsidRDefault="0031285E" w:rsidP="0031285E">
      <w:pPr>
        <w:widowControl w:val="0"/>
        <w:spacing w:after="0"/>
        <w:jc w:val="both"/>
        <w:rPr>
          <w:rFonts w:ascii="Cambria" w:eastAsia="Cambria" w:hAnsi="Cambria" w:cs="Cambria"/>
          <w:sz w:val="20"/>
          <w:szCs w:val="20"/>
        </w:rPr>
      </w:pPr>
      <w:r w:rsidRPr="0078630F">
        <w:rPr>
          <w:rFonts w:ascii="Cambria" w:eastAsia="Cambria" w:hAnsi="Cambria" w:cs="Cambria"/>
          <w:sz w:val="20"/>
          <w:szCs w:val="20"/>
        </w:rPr>
        <w:t xml:space="preserve">Si bien la Sociedad ha sido constituida el 22 de diciembre de 2015, el hito trascendental fue la participación de la Sociedad en el proceso de reorganización societaria transitado en forma conjunta con Molinos Río de la Plata S.A. (“Molinos Río”) y PCF S.A., que consistió en (i) la fusión entre PCF S.A. y Molinos Río </w:t>
      </w:r>
      <w:r>
        <w:rPr>
          <w:rFonts w:ascii="Cambria" w:eastAsia="Cambria" w:hAnsi="Cambria" w:cs="Cambria"/>
          <w:sz w:val="20"/>
          <w:szCs w:val="20"/>
        </w:rPr>
        <w:t>;</w:t>
      </w:r>
      <w:r w:rsidRPr="0078630F">
        <w:rPr>
          <w:rFonts w:ascii="Cambria" w:eastAsia="Cambria" w:hAnsi="Cambria" w:cs="Cambria"/>
          <w:sz w:val="20"/>
          <w:szCs w:val="20"/>
        </w:rPr>
        <w:t xml:space="preserve"> y (ii) la escisión del negocio de graneles de Molinos Río, que conlleva las actividades de compra, acondicionamiento e industrialización de granos y oleaginosas y la comercialización de dichos granos y oleaginosas y/o de los productos derivados de su industrialización (el “Negocio de Graneles”), para que sea destinado a su fusión con Molinos Agro (la “Escisión-Fusión”, y junto con la Fusión, la “Reorganización” o la “Operación” en forma indistinta). En otros términos y como se expondrá sintéticamente luego, es a partir de la fecha en la cual la Reorganización comienza a producir efectos desde la cual la Sociedad realiza su objeto con los activos y pasivos asociados al giro de sus negocios.  </w:t>
      </w:r>
    </w:p>
    <w:p w14:paraId="0E851708" w14:textId="77777777" w:rsidR="0031285E" w:rsidRPr="0078630F" w:rsidRDefault="0031285E" w:rsidP="0031285E">
      <w:pPr>
        <w:spacing w:after="0"/>
        <w:jc w:val="both"/>
        <w:rPr>
          <w:rFonts w:ascii="Cambria" w:eastAsia="Cambria" w:hAnsi="Cambria" w:cs="Cambria"/>
          <w:sz w:val="20"/>
          <w:szCs w:val="20"/>
        </w:rPr>
      </w:pPr>
    </w:p>
    <w:p w14:paraId="22D138EB" w14:textId="77777777" w:rsidR="0031285E" w:rsidRPr="0078630F" w:rsidRDefault="0031285E" w:rsidP="0031285E">
      <w:pPr>
        <w:spacing w:after="0"/>
        <w:jc w:val="both"/>
        <w:rPr>
          <w:rFonts w:ascii="Cambria" w:eastAsia="Cambria" w:hAnsi="Cambria" w:cs="Cambria"/>
          <w:sz w:val="20"/>
          <w:szCs w:val="20"/>
        </w:rPr>
      </w:pPr>
      <w:r w:rsidRPr="0078630F">
        <w:rPr>
          <w:rFonts w:ascii="Cambria" w:eastAsia="Cambria" w:hAnsi="Cambria" w:cs="Cambria"/>
          <w:sz w:val="20"/>
          <w:szCs w:val="20"/>
        </w:rPr>
        <w:lastRenderedPageBreak/>
        <w:t xml:space="preserve">Los términos y condiciones de la Reorganización fueron acordados, preliminarmente, por los representantes de las sociedades participantes mediante la suscripción de un Acuerdo Preliminar de Fusión y Escisión-Fusión con fecha 21 de marzo de 2016, el que fue aprobado oportunamente por los Directorios de las sociedades participantes y las respectivas </w:t>
      </w:r>
      <w:r>
        <w:rPr>
          <w:rFonts w:ascii="Cambria" w:eastAsia="Cambria" w:hAnsi="Cambria" w:cs="Cambria"/>
          <w:sz w:val="20"/>
          <w:szCs w:val="20"/>
        </w:rPr>
        <w:t>a</w:t>
      </w:r>
      <w:r w:rsidRPr="0078630F">
        <w:rPr>
          <w:rFonts w:ascii="Cambria" w:eastAsia="Cambria" w:hAnsi="Cambria" w:cs="Cambria"/>
          <w:sz w:val="20"/>
          <w:szCs w:val="20"/>
        </w:rPr>
        <w:t xml:space="preserve">sambleas </w:t>
      </w:r>
      <w:r>
        <w:rPr>
          <w:rFonts w:ascii="Cambria" w:eastAsia="Cambria" w:hAnsi="Cambria" w:cs="Cambria"/>
          <w:sz w:val="20"/>
          <w:szCs w:val="20"/>
        </w:rPr>
        <w:t>g</w:t>
      </w:r>
      <w:r w:rsidRPr="0078630F">
        <w:rPr>
          <w:rFonts w:ascii="Cambria" w:eastAsia="Cambria" w:hAnsi="Cambria" w:cs="Cambria"/>
          <w:sz w:val="20"/>
          <w:szCs w:val="20"/>
        </w:rPr>
        <w:t xml:space="preserve">enerales </w:t>
      </w:r>
      <w:r>
        <w:rPr>
          <w:rFonts w:ascii="Cambria" w:eastAsia="Cambria" w:hAnsi="Cambria" w:cs="Cambria"/>
          <w:sz w:val="20"/>
          <w:szCs w:val="20"/>
        </w:rPr>
        <w:t>e</w:t>
      </w:r>
      <w:r w:rsidRPr="0078630F">
        <w:rPr>
          <w:rFonts w:ascii="Cambria" w:eastAsia="Cambria" w:hAnsi="Cambria" w:cs="Cambria"/>
          <w:sz w:val="20"/>
          <w:szCs w:val="20"/>
        </w:rPr>
        <w:t xml:space="preserve">xtraordinarias de </w:t>
      </w:r>
      <w:r>
        <w:rPr>
          <w:rFonts w:ascii="Cambria" w:eastAsia="Cambria" w:hAnsi="Cambria" w:cs="Cambria"/>
          <w:sz w:val="20"/>
          <w:szCs w:val="20"/>
        </w:rPr>
        <w:t>a</w:t>
      </w:r>
      <w:r w:rsidRPr="0078630F">
        <w:rPr>
          <w:rFonts w:ascii="Cambria" w:eastAsia="Cambria" w:hAnsi="Cambria" w:cs="Cambria"/>
          <w:sz w:val="20"/>
          <w:szCs w:val="20"/>
        </w:rPr>
        <w:t xml:space="preserve">ccionistas de las sociedades participantes. Posteriormente, se llevó a cabo la suscripción del correspondiente Compromiso Previo de Fusión y Escisión-Fusión con fecha 23 de agosto de 2016, el cual fue aprobado por parte de los respectivos Directorios de las sociedades participantes con fecha 23 de agosto de 2016 y posteriormente aprobado el 13 de septiembre de 2016, y por las respectivas </w:t>
      </w:r>
      <w:r>
        <w:rPr>
          <w:rFonts w:ascii="Cambria" w:eastAsia="Cambria" w:hAnsi="Cambria" w:cs="Cambria"/>
          <w:sz w:val="20"/>
          <w:szCs w:val="20"/>
        </w:rPr>
        <w:t>a</w:t>
      </w:r>
      <w:r w:rsidRPr="0078630F">
        <w:rPr>
          <w:rFonts w:ascii="Cambria" w:eastAsia="Cambria" w:hAnsi="Cambria" w:cs="Cambria"/>
          <w:sz w:val="20"/>
          <w:szCs w:val="20"/>
        </w:rPr>
        <w:t xml:space="preserve">sambleas </w:t>
      </w:r>
      <w:r>
        <w:rPr>
          <w:rFonts w:ascii="Cambria" w:eastAsia="Cambria" w:hAnsi="Cambria" w:cs="Cambria"/>
          <w:sz w:val="20"/>
          <w:szCs w:val="20"/>
        </w:rPr>
        <w:t>g</w:t>
      </w:r>
      <w:r w:rsidRPr="0078630F">
        <w:rPr>
          <w:rFonts w:ascii="Cambria" w:eastAsia="Cambria" w:hAnsi="Cambria" w:cs="Cambria"/>
          <w:sz w:val="20"/>
          <w:szCs w:val="20"/>
        </w:rPr>
        <w:t xml:space="preserve">enerales </w:t>
      </w:r>
      <w:r>
        <w:rPr>
          <w:rFonts w:ascii="Cambria" w:eastAsia="Cambria" w:hAnsi="Cambria" w:cs="Cambria"/>
          <w:sz w:val="20"/>
          <w:szCs w:val="20"/>
        </w:rPr>
        <w:t>e</w:t>
      </w:r>
      <w:r w:rsidRPr="0078630F">
        <w:rPr>
          <w:rFonts w:ascii="Cambria" w:eastAsia="Cambria" w:hAnsi="Cambria" w:cs="Cambria"/>
          <w:sz w:val="20"/>
          <w:szCs w:val="20"/>
        </w:rPr>
        <w:t xml:space="preserve">xtraordinarias de </w:t>
      </w:r>
      <w:r>
        <w:rPr>
          <w:rFonts w:ascii="Cambria" w:eastAsia="Cambria" w:hAnsi="Cambria" w:cs="Cambria"/>
          <w:sz w:val="20"/>
          <w:szCs w:val="20"/>
        </w:rPr>
        <w:t>a</w:t>
      </w:r>
      <w:r w:rsidRPr="0078630F">
        <w:rPr>
          <w:rFonts w:ascii="Cambria" w:eastAsia="Cambria" w:hAnsi="Cambria" w:cs="Cambria"/>
          <w:sz w:val="20"/>
          <w:szCs w:val="20"/>
        </w:rPr>
        <w:t>ccionistas de las Sociedades Participantes el 6 de octubre de 2016. El prospecto de la reorganización fue publicado el 22 de septiembre de 2016. La Reorganización fue aprobada por Resolución N°18.579 de fecha 23 de marzo de 2017 del Directorio de la CNV, e inscripta bajo el N° 7.692 del Libro 83, Tomo Sociedades por Acciones, con fecha 25 de abril de 2017.</w:t>
      </w:r>
    </w:p>
    <w:p w14:paraId="4F814CE3" w14:textId="77777777" w:rsidR="0031285E" w:rsidRPr="0078630F" w:rsidRDefault="0031285E" w:rsidP="0031285E">
      <w:pPr>
        <w:widowControl w:val="0"/>
        <w:spacing w:after="0"/>
        <w:jc w:val="both"/>
        <w:rPr>
          <w:rFonts w:ascii="Cambria" w:eastAsia="Cambria" w:hAnsi="Cambria" w:cs="Cambria"/>
          <w:sz w:val="20"/>
          <w:szCs w:val="20"/>
        </w:rPr>
      </w:pPr>
    </w:p>
    <w:p w14:paraId="2E6F7F2D" w14:textId="77777777" w:rsidR="0031285E" w:rsidRPr="0078630F" w:rsidRDefault="0031285E" w:rsidP="0031285E">
      <w:pPr>
        <w:widowControl w:val="0"/>
        <w:spacing w:after="0"/>
        <w:jc w:val="both"/>
        <w:rPr>
          <w:rFonts w:ascii="Cambria" w:eastAsia="Cambria" w:hAnsi="Cambria" w:cs="Cambria"/>
          <w:sz w:val="20"/>
          <w:szCs w:val="20"/>
        </w:rPr>
      </w:pPr>
      <w:r w:rsidRPr="0078630F">
        <w:rPr>
          <w:rFonts w:ascii="Cambria" w:eastAsia="Cambria" w:hAnsi="Cambria" w:cs="Cambria"/>
          <w:sz w:val="20"/>
          <w:szCs w:val="20"/>
        </w:rPr>
        <w:t xml:space="preserve">Molinos Agro solicitó en consecuencia su ingreso a la oferta pública en la CNV y el listado en BYMA a través de la BCBA, en virtud del ejercicio de la facultad delegada por BYMA a la BCBA conforme lo dispuesto por la Resolución N° 18.629 de la CNV, de todas sus acciones (incluyendo a las que fueron emitidas como consecuencia de la Reorganización) de conformidad con la normativa aplicable. </w:t>
      </w:r>
    </w:p>
    <w:p w14:paraId="066EAB9B" w14:textId="77777777" w:rsidR="0031285E" w:rsidRPr="0078630F" w:rsidRDefault="0031285E" w:rsidP="0031285E">
      <w:pPr>
        <w:widowControl w:val="0"/>
        <w:spacing w:after="0"/>
        <w:jc w:val="both"/>
        <w:rPr>
          <w:rFonts w:ascii="Cambria" w:eastAsia="Cambria" w:hAnsi="Cambria" w:cs="Cambria"/>
          <w:sz w:val="20"/>
          <w:szCs w:val="20"/>
        </w:rPr>
      </w:pPr>
    </w:p>
    <w:p w14:paraId="5EBA0D02" w14:textId="77777777" w:rsidR="0031285E" w:rsidRPr="0078630F" w:rsidRDefault="0031285E" w:rsidP="0031285E">
      <w:pPr>
        <w:spacing w:after="0"/>
        <w:jc w:val="both"/>
        <w:rPr>
          <w:rFonts w:ascii="Cambria" w:eastAsia="Cambria" w:hAnsi="Cambria" w:cs="Cambria"/>
          <w:sz w:val="20"/>
          <w:szCs w:val="20"/>
        </w:rPr>
      </w:pPr>
      <w:r w:rsidRPr="0078630F">
        <w:rPr>
          <w:rFonts w:ascii="Cambria" w:eastAsia="Cambria" w:hAnsi="Cambria" w:cs="Cambria"/>
          <w:sz w:val="20"/>
          <w:szCs w:val="20"/>
        </w:rPr>
        <w:t xml:space="preserve">El 1 de julio de 2016 es considerada la fecha de la Reorganización (la “Fecha Efectiva de Reorganización”), a partir de la cual ésta produjo efectos y, consecuentemente, el Negocio de Graneles, junto con la totalidad de los activos y pasivos, derechos y obligaciones conexos, resultantes y/o correspondientes al Negocio de Graneles que se indican en el Compromiso Previo de Fusión y Escisión-Fusión fue fusionado a Molinos Agro. Los activos y pasivos referidos comprendieron, entre otros, todas las patentes, marcas, créditos, muebles, inmuebles, intangibles, personal en relación de dependencia, derechos intelectuales, deudas, derechos y obligaciones contractuales, e incluyendo, aunque sin encontrarse limitado a, la </w:t>
      </w:r>
      <w:r>
        <w:rPr>
          <w:rFonts w:ascii="Cambria" w:eastAsia="Cambria" w:hAnsi="Cambria" w:cs="Cambria"/>
          <w:sz w:val="20"/>
          <w:szCs w:val="20"/>
        </w:rPr>
        <w:t>P</w:t>
      </w:r>
      <w:r w:rsidRPr="0078630F">
        <w:rPr>
          <w:rFonts w:ascii="Cambria" w:eastAsia="Cambria" w:hAnsi="Cambria" w:cs="Cambria"/>
          <w:sz w:val="20"/>
          <w:szCs w:val="20"/>
        </w:rPr>
        <w:t xml:space="preserve">lanta industrial ubicada en la localidad de San Lorenzo, Provincia </w:t>
      </w:r>
      <w:r w:rsidRPr="005474E7">
        <w:rPr>
          <w:rFonts w:ascii="Cambria" w:eastAsia="Cambria" w:hAnsi="Cambria" w:cs="Cambria"/>
          <w:sz w:val="20"/>
          <w:szCs w:val="20"/>
        </w:rPr>
        <w:t>de Santa Fe, el puerto ubicado en esa localidad y todos los derechos y obligaciones emergentes del Decreto PEN 884/2005 que lo habilitó.</w:t>
      </w:r>
    </w:p>
    <w:p w14:paraId="2291EC4E" w14:textId="77777777" w:rsidR="0031285E" w:rsidRPr="0078630F" w:rsidRDefault="0031285E" w:rsidP="0031285E">
      <w:pPr>
        <w:spacing w:after="0"/>
        <w:jc w:val="both"/>
        <w:rPr>
          <w:rFonts w:ascii="Cambria" w:eastAsia="Cambria" w:hAnsi="Cambria" w:cs="Cambria"/>
          <w:sz w:val="20"/>
          <w:szCs w:val="20"/>
        </w:rPr>
      </w:pPr>
    </w:p>
    <w:p w14:paraId="5323395D" w14:textId="77777777" w:rsidR="0031285E" w:rsidRPr="0078630F" w:rsidRDefault="0031285E" w:rsidP="0031285E">
      <w:pPr>
        <w:spacing w:after="0"/>
        <w:jc w:val="both"/>
        <w:rPr>
          <w:rFonts w:ascii="Cambria" w:eastAsia="Cambria" w:hAnsi="Cambria" w:cs="Cambria"/>
          <w:sz w:val="20"/>
          <w:szCs w:val="20"/>
        </w:rPr>
      </w:pPr>
      <w:r w:rsidRPr="0078630F">
        <w:rPr>
          <w:rFonts w:ascii="Cambria" w:eastAsia="Cambria" w:hAnsi="Cambria" w:cs="Cambria"/>
          <w:sz w:val="20"/>
          <w:szCs w:val="20"/>
        </w:rPr>
        <w:t xml:space="preserve">La incorporación del patrimonio correspondiente al Negocio de Graneles se realizó a su valor registrado en el Estado Especial de Escisión y </w:t>
      </w:r>
      <w:proofErr w:type="gramStart"/>
      <w:r w:rsidRPr="0078630F">
        <w:rPr>
          <w:rFonts w:ascii="Cambria" w:eastAsia="Cambria" w:hAnsi="Cambria" w:cs="Cambria"/>
          <w:sz w:val="20"/>
          <w:szCs w:val="20"/>
        </w:rPr>
        <w:t>de acuerdo a</w:t>
      </w:r>
      <w:proofErr w:type="gramEnd"/>
      <w:r w:rsidRPr="0078630F">
        <w:rPr>
          <w:rFonts w:ascii="Cambria" w:eastAsia="Cambria" w:hAnsi="Cambria" w:cs="Cambria"/>
          <w:sz w:val="20"/>
          <w:szCs w:val="20"/>
        </w:rPr>
        <w:t xml:space="preserve"> sus notas. Dicha incorporación incluyó, entre otros, los derechos y obligaciones de Molinos Río derivados de las relaciones con la porción de su personal afectado al Negocio de Graneles, el cual pasó a depender directamente de Molinos Agro desde la Fecha Efectiva de Reorganización, respetándose su antigüedad, beneficios y demás derechos adquiridos. </w:t>
      </w:r>
    </w:p>
    <w:p w14:paraId="095C7423" w14:textId="77777777" w:rsidR="0031285E" w:rsidRPr="00D91361" w:rsidRDefault="0031285E" w:rsidP="0031285E">
      <w:pPr>
        <w:spacing w:after="0"/>
        <w:jc w:val="both"/>
        <w:rPr>
          <w:rFonts w:ascii="Cambria" w:eastAsia="Cambria" w:hAnsi="Cambria" w:cs="Cambria"/>
          <w:sz w:val="20"/>
          <w:szCs w:val="20"/>
        </w:rPr>
      </w:pPr>
    </w:p>
    <w:p w14:paraId="3AE023E7" w14:textId="77777777" w:rsidR="0031285E" w:rsidRPr="0078630F" w:rsidRDefault="0031285E" w:rsidP="0031285E">
      <w:pPr>
        <w:spacing w:after="0"/>
        <w:jc w:val="both"/>
        <w:rPr>
          <w:rFonts w:ascii="Cambria" w:eastAsia="Cambria" w:hAnsi="Cambria" w:cs="Cambria"/>
          <w:sz w:val="20"/>
          <w:szCs w:val="20"/>
        </w:rPr>
      </w:pPr>
      <w:r w:rsidRPr="00D91361">
        <w:rPr>
          <w:rFonts w:ascii="Cambria" w:eastAsia="Cambria" w:hAnsi="Cambria" w:cs="Cambria"/>
          <w:sz w:val="20"/>
          <w:szCs w:val="20"/>
        </w:rPr>
        <w:t xml:space="preserve">Sin perjuicio de los activos y pasivos transferidos, Molinos Río será responsable por cualquier contingencia que resulte de los actos llevados a cabo por Molinos Río con anterioridad a la Fecha Efectiva de Reorganización, incluyendo, aunque sin limitarse a, las causas judiciales y sumarios administrativos pendientes de resolución, conforme lo acordado en el </w:t>
      </w:r>
      <w:r>
        <w:rPr>
          <w:rFonts w:ascii="Cambria" w:eastAsia="Cambria" w:hAnsi="Cambria" w:cs="Cambria"/>
          <w:sz w:val="20"/>
          <w:szCs w:val="20"/>
        </w:rPr>
        <w:t>a</w:t>
      </w:r>
      <w:r w:rsidRPr="00D91361">
        <w:rPr>
          <w:rFonts w:ascii="Cambria" w:eastAsia="Cambria" w:hAnsi="Cambria" w:cs="Cambria"/>
          <w:sz w:val="20"/>
          <w:szCs w:val="20"/>
        </w:rPr>
        <w:t xml:space="preserve">cuerdo </w:t>
      </w:r>
      <w:r>
        <w:rPr>
          <w:rFonts w:ascii="Cambria" w:eastAsia="Cambria" w:hAnsi="Cambria" w:cs="Cambria"/>
          <w:sz w:val="20"/>
          <w:szCs w:val="20"/>
        </w:rPr>
        <w:t>m</w:t>
      </w:r>
      <w:r w:rsidRPr="00D91361">
        <w:rPr>
          <w:rFonts w:ascii="Cambria" w:eastAsia="Cambria" w:hAnsi="Cambria" w:cs="Cambria"/>
          <w:sz w:val="20"/>
          <w:szCs w:val="20"/>
        </w:rPr>
        <w:t xml:space="preserve">arco de </w:t>
      </w:r>
      <w:r>
        <w:rPr>
          <w:rFonts w:ascii="Cambria" w:eastAsia="Cambria" w:hAnsi="Cambria" w:cs="Cambria"/>
          <w:sz w:val="20"/>
          <w:szCs w:val="20"/>
        </w:rPr>
        <w:t>i</w:t>
      </w:r>
      <w:r w:rsidRPr="00D91361">
        <w:rPr>
          <w:rFonts w:ascii="Cambria" w:eastAsia="Cambria" w:hAnsi="Cambria" w:cs="Cambria"/>
          <w:sz w:val="20"/>
          <w:szCs w:val="20"/>
        </w:rPr>
        <w:t>mplementación de la Reorganización.</w:t>
      </w:r>
      <w:r w:rsidRPr="0078630F">
        <w:rPr>
          <w:rFonts w:ascii="Cambria" w:eastAsia="Cambria" w:hAnsi="Cambria" w:cs="Cambria"/>
          <w:sz w:val="20"/>
          <w:szCs w:val="20"/>
        </w:rPr>
        <w:t xml:space="preserve"> </w:t>
      </w:r>
    </w:p>
    <w:p w14:paraId="43CE2FCE" w14:textId="77777777" w:rsidR="0031285E" w:rsidRPr="0078630F" w:rsidRDefault="0031285E" w:rsidP="0031285E">
      <w:pPr>
        <w:widowControl w:val="0"/>
        <w:spacing w:after="0"/>
        <w:jc w:val="both"/>
        <w:rPr>
          <w:rFonts w:ascii="Cambria" w:eastAsia="Cambria" w:hAnsi="Cambria" w:cs="Cambria"/>
          <w:b/>
          <w:sz w:val="20"/>
          <w:szCs w:val="20"/>
        </w:rPr>
      </w:pPr>
    </w:p>
    <w:p w14:paraId="580CD856" w14:textId="77777777" w:rsidR="0031285E" w:rsidRDefault="0031285E" w:rsidP="0031285E">
      <w:pPr>
        <w:pStyle w:val="Ttulo2"/>
        <w:rPr>
          <w:rFonts w:ascii="Cambria" w:eastAsia="Cambria" w:hAnsi="Cambria"/>
          <w:color w:val="auto"/>
          <w:sz w:val="20"/>
        </w:rPr>
      </w:pPr>
      <w:r w:rsidRPr="007D583B">
        <w:rPr>
          <w:rFonts w:ascii="Cambria" w:eastAsia="Cambria" w:hAnsi="Cambria"/>
          <w:color w:val="auto"/>
          <w:sz w:val="20"/>
        </w:rPr>
        <w:t xml:space="preserve">Descripción del negocio </w:t>
      </w:r>
    </w:p>
    <w:p w14:paraId="7FD447A9" w14:textId="77777777" w:rsidR="007D583B" w:rsidRPr="007D583B" w:rsidRDefault="007D583B" w:rsidP="007D583B"/>
    <w:p w14:paraId="0DCE183B" w14:textId="77777777" w:rsidR="0031285E" w:rsidRPr="006E4259" w:rsidRDefault="0031285E" w:rsidP="000C02A3">
      <w:pPr>
        <w:pStyle w:val="Prrafodelista"/>
        <w:numPr>
          <w:ilvl w:val="0"/>
          <w:numId w:val="9"/>
        </w:numPr>
        <w:jc w:val="both"/>
        <w:rPr>
          <w:rFonts w:ascii="Cambria" w:hAnsi="Cambria"/>
          <w:i/>
          <w:sz w:val="20"/>
        </w:rPr>
      </w:pPr>
      <w:r w:rsidRPr="006E4259">
        <w:rPr>
          <w:rFonts w:ascii="Cambria" w:hAnsi="Cambria"/>
          <w:i/>
          <w:sz w:val="20"/>
        </w:rPr>
        <w:t>Descripción del sector en que se desarrolla su actividad</w:t>
      </w:r>
    </w:p>
    <w:p w14:paraId="36845066" w14:textId="77777777" w:rsidR="0031285E" w:rsidRDefault="0031285E" w:rsidP="0031285E">
      <w:pPr>
        <w:widowControl w:val="0"/>
        <w:spacing w:after="0"/>
        <w:jc w:val="both"/>
        <w:rPr>
          <w:rFonts w:ascii="Cambria" w:eastAsia="Cambria" w:hAnsi="Cambria" w:cs="Cambria"/>
          <w:sz w:val="20"/>
          <w:szCs w:val="20"/>
        </w:rPr>
      </w:pPr>
      <w:r w:rsidRPr="00F82D66">
        <w:rPr>
          <w:rFonts w:ascii="Cambria" w:eastAsia="Cambria" w:hAnsi="Cambria" w:cs="Cambria"/>
          <w:sz w:val="20"/>
          <w:szCs w:val="20"/>
        </w:rPr>
        <w:t>La Sociedad</w:t>
      </w:r>
      <w:r>
        <w:rPr>
          <w:rFonts w:ascii="Cambria" w:eastAsia="Cambria" w:hAnsi="Cambria" w:cs="Cambria"/>
          <w:sz w:val="20"/>
          <w:szCs w:val="20"/>
        </w:rPr>
        <w:t xml:space="preserve"> es una empresa líder en el mercado agroindustrial siendo su </w:t>
      </w:r>
      <w:r w:rsidRPr="00F82D66">
        <w:rPr>
          <w:rFonts w:ascii="Cambria" w:eastAsia="Cambria" w:hAnsi="Cambria" w:cs="Cambria"/>
          <w:sz w:val="20"/>
          <w:szCs w:val="20"/>
        </w:rPr>
        <w:t>objeto principal las actividades de compra, acondicionamiento e industrialización de granos</w:t>
      </w:r>
      <w:r>
        <w:rPr>
          <w:rFonts w:ascii="Cambria" w:eastAsia="Cambria" w:hAnsi="Cambria" w:cs="Cambria"/>
          <w:sz w:val="20"/>
          <w:szCs w:val="20"/>
        </w:rPr>
        <w:t>, cereales</w:t>
      </w:r>
      <w:r w:rsidRPr="00F82D66">
        <w:rPr>
          <w:rFonts w:ascii="Cambria" w:eastAsia="Cambria" w:hAnsi="Cambria" w:cs="Cambria"/>
          <w:sz w:val="20"/>
          <w:szCs w:val="20"/>
        </w:rPr>
        <w:t xml:space="preserve"> y oleaginosas,</w:t>
      </w:r>
      <w:r>
        <w:rPr>
          <w:rFonts w:ascii="Cambria" w:eastAsia="Cambria" w:hAnsi="Cambria" w:cs="Cambria"/>
          <w:sz w:val="20"/>
          <w:szCs w:val="20"/>
        </w:rPr>
        <w:t xml:space="preserve"> para</w:t>
      </w:r>
      <w:r w:rsidRPr="00F82D66">
        <w:rPr>
          <w:rFonts w:ascii="Cambria" w:eastAsia="Cambria" w:hAnsi="Cambria" w:cs="Cambria"/>
          <w:sz w:val="20"/>
          <w:szCs w:val="20"/>
        </w:rPr>
        <w:t xml:space="preserve"> </w:t>
      </w:r>
      <w:r>
        <w:rPr>
          <w:rFonts w:ascii="Cambria" w:eastAsia="Cambria" w:hAnsi="Cambria" w:cs="Cambria"/>
          <w:sz w:val="20"/>
          <w:szCs w:val="20"/>
        </w:rPr>
        <w:t>su</w:t>
      </w:r>
      <w:r w:rsidRPr="00F82D66">
        <w:rPr>
          <w:rFonts w:ascii="Cambria" w:eastAsia="Cambria" w:hAnsi="Cambria" w:cs="Cambria"/>
          <w:sz w:val="20"/>
          <w:szCs w:val="20"/>
        </w:rPr>
        <w:t xml:space="preserve"> comercialización </w:t>
      </w:r>
      <w:r>
        <w:rPr>
          <w:rFonts w:ascii="Cambria" w:eastAsia="Cambria" w:hAnsi="Cambria" w:cs="Cambria"/>
          <w:sz w:val="20"/>
          <w:szCs w:val="20"/>
        </w:rPr>
        <w:t xml:space="preserve">y </w:t>
      </w:r>
      <w:r w:rsidRPr="00F82D66">
        <w:rPr>
          <w:rFonts w:ascii="Cambria" w:eastAsia="Cambria" w:hAnsi="Cambria" w:cs="Cambria"/>
          <w:sz w:val="20"/>
          <w:szCs w:val="20"/>
        </w:rPr>
        <w:t xml:space="preserve">de </w:t>
      </w:r>
      <w:r>
        <w:rPr>
          <w:rFonts w:ascii="Cambria" w:eastAsia="Cambria" w:hAnsi="Cambria" w:cs="Cambria"/>
          <w:sz w:val="20"/>
          <w:szCs w:val="20"/>
        </w:rPr>
        <w:t>los productos</w:t>
      </w:r>
      <w:r w:rsidRPr="00F82D66">
        <w:rPr>
          <w:rFonts w:ascii="Cambria" w:eastAsia="Cambria" w:hAnsi="Cambria" w:cs="Cambria"/>
          <w:sz w:val="20"/>
          <w:szCs w:val="20"/>
        </w:rPr>
        <w:t xml:space="preserve"> derivados de su industrialización </w:t>
      </w:r>
      <w:r>
        <w:rPr>
          <w:rFonts w:ascii="Cambria" w:eastAsia="Cambria" w:hAnsi="Cambria" w:cs="Cambria"/>
          <w:sz w:val="20"/>
          <w:szCs w:val="20"/>
        </w:rPr>
        <w:t>en su P</w:t>
      </w:r>
      <w:r w:rsidRPr="00F82D66">
        <w:rPr>
          <w:rFonts w:ascii="Cambria" w:eastAsia="Cambria" w:hAnsi="Cambria" w:cs="Cambria"/>
          <w:sz w:val="20"/>
          <w:szCs w:val="20"/>
        </w:rPr>
        <w:t xml:space="preserve">lanta o </w:t>
      </w:r>
      <w:r>
        <w:rPr>
          <w:rFonts w:ascii="Cambria" w:eastAsia="Cambria" w:hAnsi="Cambria" w:cs="Cambria"/>
          <w:sz w:val="20"/>
          <w:szCs w:val="20"/>
        </w:rPr>
        <w:t xml:space="preserve">en plantas </w:t>
      </w:r>
      <w:r w:rsidRPr="00F82D66">
        <w:rPr>
          <w:rFonts w:ascii="Cambria" w:eastAsia="Cambria" w:hAnsi="Cambria" w:cs="Cambria"/>
          <w:sz w:val="20"/>
          <w:szCs w:val="20"/>
        </w:rPr>
        <w:t>de terceros</w:t>
      </w:r>
      <w:r>
        <w:rPr>
          <w:rFonts w:ascii="Cambria" w:eastAsia="Cambria" w:hAnsi="Cambria" w:cs="Cambria"/>
          <w:sz w:val="20"/>
          <w:szCs w:val="20"/>
        </w:rPr>
        <w:t>, para su comercialización al mercado exterior principalmente, y al mercado local</w:t>
      </w:r>
      <w:r w:rsidRPr="00F82D66">
        <w:rPr>
          <w:rFonts w:ascii="Cambria" w:eastAsia="Cambria" w:hAnsi="Cambria" w:cs="Cambria"/>
          <w:sz w:val="20"/>
          <w:szCs w:val="20"/>
        </w:rPr>
        <w:t>.</w:t>
      </w:r>
    </w:p>
    <w:p w14:paraId="0D0D1F0B" w14:textId="77777777" w:rsidR="0031285E" w:rsidRDefault="0031285E" w:rsidP="0031285E">
      <w:pPr>
        <w:widowControl w:val="0"/>
        <w:spacing w:after="0"/>
        <w:jc w:val="both"/>
        <w:rPr>
          <w:rFonts w:ascii="Cambria" w:eastAsia="Cambria" w:hAnsi="Cambria" w:cs="Cambria"/>
          <w:sz w:val="20"/>
          <w:szCs w:val="20"/>
        </w:rPr>
      </w:pPr>
    </w:p>
    <w:p w14:paraId="4B6C8F22" w14:textId="77777777" w:rsidR="0031285E" w:rsidRDefault="0031285E" w:rsidP="0031285E">
      <w:pPr>
        <w:widowControl w:val="0"/>
        <w:spacing w:after="0"/>
        <w:jc w:val="both"/>
        <w:rPr>
          <w:rFonts w:ascii="Cambria" w:eastAsia="Cambria" w:hAnsi="Cambria" w:cs="Cambria"/>
          <w:sz w:val="20"/>
          <w:szCs w:val="20"/>
        </w:rPr>
      </w:pPr>
      <w:r>
        <w:rPr>
          <w:rFonts w:ascii="Cambria" w:eastAsia="Cambria" w:hAnsi="Cambria" w:cs="Cambria"/>
          <w:sz w:val="20"/>
          <w:szCs w:val="20"/>
        </w:rPr>
        <w:t>Molinos Agro e</w:t>
      </w:r>
      <w:r w:rsidRPr="00F82D66">
        <w:rPr>
          <w:rFonts w:ascii="Cambria" w:eastAsia="Cambria" w:hAnsi="Cambria" w:cs="Cambria"/>
          <w:sz w:val="20"/>
          <w:szCs w:val="20"/>
        </w:rPr>
        <w:t>s una de las principales procesadoras de poroto de soja</w:t>
      </w:r>
      <w:r>
        <w:rPr>
          <w:rFonts w:ascii="Cambria" w:eastAsia="Cambria" w:hAnsi="Cambria" w:cs="Cambria"/>
          <w:sz w:val="20"/>
          <w:szCs w:val="20"/>
        </w:rPr>
        <w:t xml:space="preserve"> </w:t>
      </w:r>
      <w:r w:rsidRPr="00F82D66">
        <w:rPr>
          <w:rFonts w:ascii="Cambria" w:eastAsia="Cambria" w:hAnsi="Cambria" w:cs="Cambria"/>
          <w:sz w:val="20"/>
          <w:szCs w:val="20"/>
        </w:rPr>
        <w:t xml:space="preserve">en Argentina, con una capacidad de molienda de 6 millones de toneladas anuales. </w:t>
      </w:r>
    </w:p>
    <w:p w14:paraId="1EBBF6A7" w14:textId="77777777" w:rsidR="0031285E" w:rsidRDefault="0031285E" w:rsidP="0031285E">
      <w:pPr>
        <w:widowControl w:val="0"/>
        <w:spacing w:after="0"/>
        <w:jc w:val="both"/>
        <w:rPr>
          <w:rFonts w:ascii="Cambria" w:eastAsia="Cambria" w:hAnsi="Cambria" w:cs="Cambria"/>
          <w:sz w:val="20"/>
          <w:szCs w:val="20"/>
        </w:rPr>
      </w:pPr>
    </w:p>
    <w:p w14:paraId="2BF21C57" w14:textId="77777777" w:rsidR="0031285E" w:rsidRPr="00F82D66" w:rsidRDefault="0031285E" w:rsidP="0031285E">
      <w:pPr>
        <w:widowControl w:val="0"/>
        <w:spacing w:after="0"/>
        <w:jc w:val="both"/>
        <w:rPr>
          <w:rFonts w:ascii="Cambria" w:eastAsia="Cambria" w:hAnsi="Cambria" w:cs="Cambria"/>
          <w:sz w:val="20"/>
          <w:szCs w:val="20"/>
        </w:rPr>
      </w:pPr>
      <w:r w:rsidRPr="00F82D66">
        <w:rPr>
          <w:rFonts w:ascii="Cambria" w:eastAsia="Cambria" w:hAnsi="Cambria" w:cs="Cambria"/>
          <w:sz w:val="20"/>
          <w:szCs w:val="20"/>
        </w:rPr>
        <w:t xml:space="preserve">Actualmente, desde </w:t>
      </w:r>
      <w:r>
        <w:rPr>
          <w:rFonts w:ascii="Cambria" w:eastAsia="Cambria" w:hAnsi="Cambria" w:cs="Cambria"/>
          <w:sz w:val="20"/>
          <w:szCs w:val="20"/>
        </w:rPr>
        <w:t>el</w:t>
      </w:r>
      <w:r w:rsidRPr="00F82D66">
        <w:rPr>
          <w:rFonts w:ascii="Cambria" w:eastAsia="Cambria" w:hAnsi="Cambria" w:cs="Cambria"/>
          <w:sz w:val="20"/>
          <w:szCs w:val="20"/>
        </w:rPr>
        <w:t xml:space="preserve"> puerto “San Benito”</w:t>
      </w:r>
      <w:r>
        <w:rPr>
          <w:rFonts w:ascii="Cambria" w:eastAsia="Cambria" w:hAnsi="Cambria" w:cs="Cambria"/>
          <w:sz w:val="20"/>
          <w:szCs w:val="20"/>
        </w:rPr>
        <w:t xml:space="preserve"> adyacente a la Planta en la localidad de San Lorenzo, provincia de Santa Fe sobre el río Paraná (en adelante, el “Puerto San Benito”)</w:t>
      </w:r>
      <w:r w:rsidRPr="00F82D66">
        <w:rPr>
          <w:rFonts w:ascii="Cambria" w:eastAsia="Cambria" w:hAnsi="Cambria" w:cs="Cambria"/>
          <w:sz w:val="20"/>
          <w:szCs w:val="20"/>
        </w:rPr>
        <w:t xml:space="preserve"> se exporta</w:t>
      </w:r>
      <w:r>
        <w:rPr>
          <w:rFonts w:ascii="Cambria" w:eastAsia="Cambria" w:hAnsi="Cambria" w:cs="Cambria"/>
          <w:sz w:val="20"/>
          <w:szCs w:val="20"/>
        </w:rPr>
        <w:t xml:space="preserve">, además de aceite de soja, </w:t>
      </w:r>
      <w:r w:rsidRPr="00F82D66">
        <w:rPr>
          <w:rFonts w:ascii="Cambria" w:eastAsia="Cambria" w:hAnsi="Cambria" w:cs="Cambria"/>
          <w:sz w:val="20"/>
          <w:szCs w:val="20"/>
        </w:rPr>
        <w:t>el 5% del total de la harina de soja que consume el mundo</w:t>
      </w:r>
      <w:r>
        <w:rPr>
          <w:rFonts w:ascii="Cambria" w:eastAsia="Cambria" w:hAnsi="Cambria" w:cs="Cambria"/>
          <w:sz w:val="20"/>
          <w:szCs w:val="20"/>
        </w:rPr>
        <w:t xml:space="preserve">, </w:t>
      </w:r>
      <w:r w:rsidRPr="00F82D66">
        <w:rPr>
          <w:rFonts w:ascii="Cambria" w:eastAsia="Cambria" w:hAnsi="Cambria" w:cs="Cambria"/>
          <w:sz w:val="20"/>
          <w:szCs w:val="20"/>
        </w:rPr>
        <w:t>más de 2 millones de toneladas anuales de maíz y trigo</w:t>
      </w:r>
      <w:r>
        <w:rPr>
          <w:rFonts w:ascii="Cambria" w:eastAsia="Cambria" w:hAnsi="Cambria" w:cs="Cambria"/>
          <w:sz w:val="20"/>
          <w:szCs w:val="20"/>
        </w:rPr>
        <w:t>, aceite de soja y de girasol y biodiesel</w:t>
      </w:r>
      <w:r w:rsidRPr="00F82D66">
        <w:rPr>
          <w:rFonts w:ascii="Cambria" w:eastAsia="Cambria" w:hAnsi="Cambria" w:cs="Cambria"/>
          <w:sz w:val="20"/>
          <w:szCs w:val="20"/>
        </w:rPr>
        <w:t xml:space="preserve">. </w:t>
      </w:r>
    </w:p>
    <w:p w14:paraId="02360DE0" w14:textId="77777777" w:rsidR="0031285E" w:rsidRDefault="0031285E" w:rsidP="0031285E">
      <w:pPr>
        <w:widowControl w:val="0"/>
        <w:spacing w:after="0"/>
        <w:jc w:val="both"/>
        <w:rPr>
          <w:rFonts w:ascii="Cambria" w:eastAsia="Cambria" w:hAnsi="Cambria" w:cs="Cambria"/>
          <w:sz w:val="20"/>
          <w:szCs w:val="20"/>
        </w:rPr>
      </w:pPr>
    </w:p>
    <w:p w14:paraId="6EBEFCCD" w14:textId="77777777" w:rsidR="0031285E" w:rsidRPr="00E35B7B" w:rsidRDefault="0031285E" w:rsidP="0031285E">
      <w:pPr>
        <w:jc w:val="both"/>
        <w:rPr>
          <w:rFonts w:ascii="Cambria" w:eastAsia="Cambria" w:hAnsi="Cambria" w:cs="Cambria"/>
          <w:sz w:val="20"/>
          <w:szCs w:val="20"/>
        </w:rPr>
      </w:pPr>
      <w:r>
        <w:rPr>
          <w:rFonts w:ascii="Cambria" w:eastAsia="Cambria" w:hAnsi="Cambria" w:cs="Cambria"/>
          <w:sz w:val="20"/>
          <w:szCs w:val="20"/>
        </w:rPr>
        <w:t xml:space="preserve">       b</w:t>
      </w:r>
      <w:r w:rsidRPr="00E35B7B">
        <w:rPr>
          <w:rFonts w:ascii="Cambria" w:eastAsia="Cambria" w:hAnsi="Cambria" w:cs="Cambria"/>
          <w:sz w:val="20"/>
          <w:szCs w:val="20"/>
        </w:rPr>
        <w:t xml:space="preserve">) </w:t>
      </w:r>
      <w:r>
        <w:rPr>
          <w:rFonts w:ascii="Cambria" w:eastAsia="Cambria" w:hAnsi="Cambria" w:cs="Cambria"/>
          <w:sz w:val="20"/>
          <w:szCs w:val="20"/>
        </w:rPr>
        <w:t xml:space="preserve">   </w:t>
      </w:r>
      <w:r w:rsidRPr="006E4259">
        <w:rPr>
          <w:rFonts w:ascii="Cambria" w:hAnsi="Cambria"/>
          <w:i/>
          <w:sz w:val="20"/>
        </w:rPr>
        <w:t>Descripción de las actividades y negocios</w:t>
      </w:r>
      <w:r w:rsidRPr="00E35B7B">
        <w:rPr>
          <w:rFonts w:ascii="Cambria" w:eastAsia="Cambria" w:hAnsi="Cambria" w:cs="Cambria"/>
          <w:sz w:val="20"/>
          <w:szCs w:val="20"/>
        </w:rPr>
        <w:t xml:space="preserve"> </w:t>
      </w:r>
    </w:p>
    <w:p w14:paraId="2FF527AE" w14:textId="77777777" w:rsidR="0031285E" w:rsidRPr="00E35B7B" w:rsidRDefault="0031285E" w:rsidP="0031285E">
      <w:pPr>
        <w:jc w:val="both"/>
        <w:rPr>
          <w:rFonts w:ascii="Cambria" w:eastAsia="Cambria" w:hAnsi="Cambria" w:cs="Cambria"/>
          <w:sz w:val="20"/>
          <w:szCs w:val="20"/>
        </w:rPr>
      </w:pPr>
      <w:r w:rsidRPr="00E35B7B">
        <w:rPr>
          <w:rFonts w:ascii="Cambria" w:eastAsia="Cambria" w:hAnsi="Cambria" w:cs="Cambria"/>
          <w:sz w:val="20"/>
          <w:szCs w:val="20"/>
        </w:rPr>
        <w:t>Visión, misión y valores</w:t>
      </w:r>
    </w:p>
    <w:p w14:paraId="6B001BA5" w14:textId="77777777" w:rsidR="0031285E" w:rsidRPr="00E35B7B" w:rsidRDefault="0031285E" w:rsidP="000C02A3">
      <w:pPr>
        <w:pStyle w:val="Prrafodelista"/>
        <w:numPr>
          <w:ilvl w:val="0"/>
          <w:numId w:val="7"/>
        </w:numPr>
        <w:spacing w:after="0"/>
        <w:jc w:val="both"/>
        <w:rPr>
          <w:rFonts w:ascii="Cambria" w:eastAsia="Cambria" w:hAnsi="Cambria" w:cs="Cambria"/>
          <w:sz w:val="20"/>
          <w:szCs w:val="20"/>
        </w:rPr>
      </w:pPr>
      <w:r w:rsidRPr="00E35B7B">
        <w:rPr>
          <w:rFonts w:ascii="Cambria" w:eastAsia="Cambria" w:hAnsi="Cambria" w:cs="Cambria"/>
          <w:sz w:val="20"/>
          <w:szCs w:val="20"/>
        </w:rPr>
        <w:t>Visión</w:t>
      </w:r>
    </w:p>
    <w:p w14:paraId="7E31762F" w14:textId="77777777" w:rsidR="0031285E" w:rsidRPr="00E35B7B" w:rsidRDefault="0031285E" w:rsidP="0031285E">
      <w:pPr>
        <w:pStyle w:val="Prrafodelista"/>
        <w:spacing w:after="0"/>
        <w:jc w:val="both"/>
        <w:rPr>
          <w:rFonts w:ascii="Cambria" w:eastAsia="Cambria" w:hAnsi="Cambria" w:cs="Cambria"/>
          <w:sz w:val="20"/>
          <w:szCs w:val="20"/>
        </w:rPr>
      </w:pPr>
    </w:p>
    <w:p w14:paraId="4A8FE2FB" w14:textId="77777777" w:rsidR="0031285E" w:rsidRPr="00E35B7B" w:rsidRDefault="0031285E" w:rsidP="0031285E">
      <w:pPr>
        <w:shd w:val="clear" w:color="auto" w:fill="FFFFFF"/>
        <w:ind w:left="360"/>
        <w:jc w:val="both"/>
        <w:textAlignment w:val="baseline"/>
        <w:rPr>
          <w:rFonts w:ascii="Cambria" w:eastAsia="Cambria" w:hAnsi="Cambria" w:cs="Cambria"/>
          <w:sz w:val="20"/>
          <w:szCs w:val="20"/>
        </w:rPr>
      </w:pPr>
      <w:r w:rsidRPr="00E35B7B">
        <w:rPr>
          <w:rFonts w:ascii="Cambria" w:eastAsia="Cambria" w:hAnsi="Cambria" w:cs="Cambria"/>
          <w:sz w:val="20"/>
          <w:szCs w:val="20"/>
        </w:rPr>
        <w:t>Ser un participante relevante dentro de un grupo de empresas líderes para el desarrollo del futuro de la Argentina.</w:t>
      </w:r>
    </w:p>
    <w:p w14:paraId="0D03A568" w14:textId="77777777" w:rsidR="0031285E" w:rsidRPr="00E35B7B" w:rsidRDefault="0031285E" w:rsidP="0031285E">
      <w:pPr>
        <w:shd w:val="clear" w:color="auto" w:fill="FFFFFF"/>
        <w:ind w:left="360"/>
        <w:jc w:val="both"/>
        <w:textAlignment w:val="baseline"/>
        <w:rPr>
          <w:rFonts w:ascii="Cambria" w:eastAsia="Cambria" w:hAnsi="Cambria" w:cs="Cambria"/>
          <w:sz w:val="20"/>
          <w:szCs w:val="20"/>
        </w:rPr>
      </w:pPr>
      <w:r w:rsidRPr="00E35B7B">
        <w:rPr>
          <w:rFonts w:ascii="Cambria" w:eastAsia="Cambria" w:hAnsi="Cambria" w:cs="Cambria"/>
          <w:sz w:val="20"/>
          <w:szCs w:val="20"/>
        </w:rPr>
        <w:t>La Sociedad considera a la PRODUCTIVIDAD, EFICIENCIA e INNOVACIÓN como los pilares clave de diferenciación.</w:t>
      </w:r>
    </w:p>
    <w:p w14:paraId="5FED41AC" w14:textId="77777777" w:rsidR="0031285E" w:rsidRPr="00E35B7B" w:rsidRDefault="0031285E" w:rsidP="000C02A3">
      <w:pPr>
        <w:pStyle w:val="Prrafodelista"/>
        <w:numPr>
          <w:ilvl w:val="0"/>
          <w:numId w:val="7"/>
        </w:numPr>
        <w:spacing w:after="0"/>
        <w:jc w:val="both"/>
        <w:rPr>
          <w:rFonts w:ascii="Cambria" w:eastAsia="Cambria" w:hAnsi="Cambria" w:cs="Cambria"/>
          <w:sz w:val="20"/>
          <w:szCs w:val="20"/>
        </w:rPr>
      </w:pPr>
      <w:r w:rsidRPr="00E35B7B">
        <w:rPr>
          <w:rFonts w:ascii="Cambria" w:eastAsia="Cambria" w:hAnsi="Cambria" w:cs="Cambria"/>
          <w:sz w:val="20"/>
          <w:szCs w:val="20"/>
        </w:rPr>
        <w:t>Misión</w:t>
      </w:r>
    </w:p>
    <w:p w14:paraId="2BFD5AD9" w14:textId="77777777" w:rsidR="0031285E" w:rsidRPr="00E35B7B" w:rsidRDefault="0031285E" w:rsidP="0031285E">
      <w:pPr>
        <w:pStyle w:val="Prrafodelista"/>
        <w:spacing w:after="0"/>
        <w:jc w:val="both"/>
        <w:rPr>
          <w:rFonts w:ascii="Cambria" w:eastAsia="Cambria" w:hAnsi="Cambria" w:cs="Cambria"/>
          <w:sz w:val="20"/>
          <w:szCs w:val="20"/>
        </w:rPr>
      </w:pPr>
    </w:p>
    <w:p w14:paraId="3192F7DF" w14:textId="77777777" w:rsidR="0031285E" w:rsidRPr="00E35B7B" w:rsidRDefault="0031285E" w:rsidP="0031285E">
      <w:pPr>
        <w:shd w:val="clear" w:color="auto" w:fill="FFFFFF"/>
        <w:jc w:val="both"/>
        <w:textAlignment w:val="baseline"/>
        <w:rPr>
          <w:rFonts w:ascii="Cambria" w:eastAsia="Cambria" w:hAnsi="Cambria" w:cs="Cambria"/>
          <w:sz w:val="20"/>
          <w:szCs w:val="20"/>
        </w:rPr>
      </w:pPr>
      <w:r w:rsidRPr="00E35B7B">
        <w:rPr>
          <w:rFonts w:ascii="Cambria" w:eastAsia="Cambria" w:hAnsi="Cambria" w:cs="Cambria"/>
          <w:sz w:val="20"/>
          <w:szCs w:val="20"/>
        </w:rPr>
        <w:t>La Sociedad quiere consolidarse como un proveedor internacional de productos de la molienda de OLEAGINOSAS y exportación de CEREALES, para clientes independientes de escala relevante, basados en activos de clase mundial, innovación de punta y servicios de alta eficiencia.</w:t>
      </w:r>
    </w:p>
    <w:p w14:paraId="6E3BF2F6" w14:textId="77777777" w:rsidR="0031285E" w:rsidRPr="00E35B7B" w:rsidRDefault="0031285E" w:rsidP="000C02A3">
      <w:pPr>
        <w:pStyle w:val="Prrafodelista"/>
        <w:numPr>
          <w:ilvl w:val="0"/>
          <w:numId w:val="7"/>
        </w:numPr>
        <w:spacing w:after="0"/>
        <w:jc w:val="both"/>
        <w:rPr>
          <w:rFonts w:ascii="Cambria" w:eastAsia="Cambria" w:hAnsi="Cambria" w:cs="Cambria"/>
          <w:sz w:val="20"/>
          <w:szCs w:val="20"/>
        </w:rPr>
      </w:pPr>
      <w:r w:rsidRPr="00E35B7B">
        <w:rPr>
          <w:rFonts w:ascii="Cambria" w:eastAsia="Cambria" w:hAnsi="Cambria" w:cs="Cambria"/>
          <w:sz w:val="20"/>
          <w:szCs w:val="20"/>
        </w:rPr>
        <w:t>Valores</w:t>
      </w:r>
    </w:p>
    <w:p w14:paraId="0CE4B61D" w14:textId="77777777" w:rsidR="0031285E" w:rsidRPr="00E35B7B" w:rsidRDefault="0031285E" w:rsidP="0031285E">
      <w:pPr>
        <w:spacing w:after="0"/>
        <w:ind w:left="360"/>
        <w:jc w:val="both"/>
        <w:rPr>
          <w:rFonts w:ascii="Cambria" w:eastAsia="Cambria" w:hAnsi="Cambria" w:cs="Cambria"/>
          <w:sz w:val="20"/>
          <w:szCs w:val="20"/>
        </w:rPr>
      </w:pPr>
    </w:p>
    <w:p w14:paraId="3D2B3BFF" w14:textId="77777777" w:rsidR="0031285E" w:rsidRPr="00E35B7B" w:rsidRDefault="0031285E" w:rsidP="000C02A3">
      <w:pPr>
        <w:numPr>
          <w:ilvl w:val="0"/>
          <w:numId w:val="8"/>
        </w:numPr>
        <w:shd w:val="clear" w:color="auto" w:fill="FFFFFF"/>
        <w:spacing w:after="0"/>
        <w:contextualSpacing/>
        <w:jc w:val="both"/>
        <w:textAlignment w:val="baseline"/>
        <w:rPr>
          <w:rFonts w:ascii="Cambria" w:eastAsia="Cambria" w:hAnsi="Cambria" w:cs="Cambria"/>
          <w:sz w:val="20"/>
          <w:szCs w:val="20"/>
        </w:rPr>
      </w:pPr>
      <w:r w:rsidRPr="00E35B7B">
        <w:rPr>
          <w:rFonts w:ascii="Cambria" w:eastAsia="Cambria" w:hAnsi="Cambria" w:cs="Cambria"/>
          <w:sz w:val="20"/>
          <w:szCs w:val="20"/>
        </w:rPr>
        <w:t>Ética y credibilidad en las relaciones y conducción de negocios</w:t>
      </w:r>
    </w:p>
    <w:p w14:paraId="3EA967B9" w14:textId="77777777" w:rsidR="0031285E" w:rsidRPr="00E35B7B" w:rsidRDefault="0031285E" w:rsidP="000C02A3">
      <w:pPr>
        <w:numPr>
          <w:ilvl w:val="0"/>
          <w:numId w:val="8"/>
        </w:numPr>
        <w:shd w:val="clear" w:color="auto" w:fill="FFFFFF"/>
        <w:spacing w:after="0"/>
        <w:contextualSpacing/>
        <w:jc w:val="both"/>
        <w:textAlignment w:val="baseline"/>
        <w:rPr>
          <w:rFonts w:ascii="Cambria" w:eastAsia="Cambria" w:hAnsi="Cambria" w:cs="Cambria"/>
          <w:sz w:val="20"/>
          <w:szCs w:val="20"/>
        </w:rPr>
      </w:pPr>
      <w:r w:rsidRPr="00E35B7B">
        <w:rPr>
          <w:rFonts w:ascii="Cambria" w:eastAsia="Cambria" w:hAnsi="Cambria" w:cs="Cambria"/>
          <w:sz w:val="20"/>
          <w:szCs w:val="20"/>
        </w:rPr>
        <w:t>Protección del Medio Ambiente</w:t>
      </w:r>
    </w:p>
    <w:p w14:paraId="03FD05FE" w14:textId="77777777" w:rsidR="0031285E" w:rsidRPr="00E35B7B" w:rsidRDefault="0031285E" w:rsidP="000C02A3">
      <w:pPr>
        <w:numPr>
          <w:ilvl w:val="0"/>
          <w:numId w:val="8"/>
        </w:numPr>
        <w:shd w:val="clear" w:color="auto" w:fill="FFFFFF"/>
        <w:spacing w:after="0"/>
        <w:contextualSpacing/>
        <w:jc w:val="both"/>
        <w:textAlignment w:val="baseline"/>
        <w:rPr>
          <w:rFonts w:ascii="Cambria" w:eastAsia="Cambria" w:hAnsi="Cambria" w:cs="Cambria"/>
          <w:sz w:val="20"/>
          <w:szCs w:val="20"/>
        </w:rPr>
      </w:pPr>
      <w:r w:rsidRPr="00E35B7B">
        <w:rPr>
          <w:rFonts w:ascii="Cambria" w:eastAsia="Cambria" w:hAnsi="Cambria" w:cs="Cambria"/>
          <w:sz w:val="20"/>
          <w:szCs w:val="20"/>
        </w:rPr>
        <w:t>Trabajo en equipo</w:t>
      </w:r>
    </w:p>
    <w:p w14:paraId="1CDB9653" w14:textId="77777777" w:rsidR="0031285E" w:rsidRPr="00E35B7B" w:rsidRDefault="0031285E" w:rsidP="000C02A3">
      <w:pPr>
        <w:numPr>
          <w:ilvl w:val="0"/>
          <w:numId w:val="8"/>
        </w:numPr>
        <w:shd w:val="clear" w:color="auto" w:fill="FFFFFF"/>
        <w:spacing w:after="0"/>
        <w:contextualSpacing/>
        <w:jc w:val="both"/>
        <w:textAlignment w:val="baseline"/>
        <w:rPr>
          <w:rFonts w:ascii="Cambria" w:eastAsia="Cambria" w:hAnsi="Cambria" w:cs="Cambria"/>
          <w:sz w:val="20"/>
          <w:szCs w:val="20"/>
        </w:rPr>
      </w:pPr>
      <w:r w:rsidRPr="00E35B7B">
        <w:rPr>
          <w:rFonts w:ascii="Cambria" w:eastAsia="Cambria" w:hAnsi="Cambria" w:cs="Cambria"/>
          <w:sz w:val="20"/>
          <w:szCs w:val="20"/>
        </w:rPr>
        <w:t>Liderazgo desde el conocimiento y a través del ejemplo</w:t>
      </w:r>
    </w:p>
    <w:p w14:paraId="2F22B8B5" w14:textId="77777777" w:rsidR="0031285E" w:rsidRPr="00E35B7B" w:rsidRDefault="0031285E" w:rsidP="000C02A3">
      <w:pPr>
        <w:numPr>
          <w:ilvl w:val="0"/>
          <w:numId w:val="8"/>
        </w:numPr>
        <w:shd w:val="clear" w:color="auto" w:fill="FFFFFF"/>
        <w:spacing w:after="0"/>
        <w:contextualSpacing/>
        <w:jc w:val="both"/>
        <w:textAlignment w:val="baseline"/>
        <w:rPr>
          <w:rFonts w:ascii="Cambria" w:eastAsia="Cambria" w:hAnsi="Cambria" w:cs="Cambria"/>
          <w:sz w:val="20"/>
          <w:szCs w:val="20"/>
        </w:rPr>
      </w:pPr>
      <w:r w:rsidRPr="00E35B7B">
        <w:rPr>
          <w:rFonts w:ascii="Cambria" w:eastAsia="Cambria" w:hAnsi="Cambria" w:cs="Cambria"/>
          <w:sz w:val="20"/>
          <w:szCs w:val="20"/>
        </w:rPr>
        <w:t>Transparencia en las comunicaciones</w:t>
      </w:r>
    </w:p>
    <w:p w14:paraId="6214C753" w14:textId="77777777" w:rsidR="0031285E" w:rsidRPr="00E35B7B" w:rsidRDefault="0031285E" w:rsidP="000C02A3">
      <w:pPr>
        <w:numPr>
          <w:ilvl w:val="0"/>
          <w:numId w:val="8"/>
        </w:numPr>
        <w:shd w:val="clear" w:color="auto" w:fill="FFFFFF"/>
        <w:spacing w:after="0"/>
        <w:contextualSpacing/>
        <w:jc w:val="both"/>
        <w:textAlignment w:val="baseline"/>
        <w:rPr>
          <w:rFonts w:ascii="Cambria" w:eastAsia="Cambria" w:hAnsi="Cambria" w:cs="Cambria"/>
          <w:sz w:val="20"/>
          <w:szCs w:val="20"/>
        </w:rPr>
      </w:pPr>
      <w:r w:rsidRPr="00E35B7B">
        <w:rPr>
          <w:rFonts w:ascii="Cambria" w:eastAsia="Cambria" w:hAnsi="Cambria" w:cs="Cambria"/>
          <w:sz w:val="20"/>
          <w:szCs w:val="20"/>
        </w:rPr>
        <w:t>Seguridad y salud de nuestra gente</w:t>
      </w:r>
    </w:p>
    <w:p w14:paraId="522FB79C" w14:textId="77777777" w:rsidR="0031285E" w:rsidRPr="00E35B7B" w:rsidRDefault="0031285E" w:rsidP="000C02A3">
      <w:pPr>
        <w:numPr>
          <w:ilvl w:val="0"/>
          <w:numId w:val="8"/>
        </w:numPr>
        <w:shd w:val="clear" w:color="auto" w:fill="FFFFFF"/>
        <w:spacing w:after="0"/>
        <w:contextualSpacing/>
        <w:jc w:val="both"/>
        <w:textAlignment w:val="baseline"/>
        <w:rPr>
          <w:rFonts w:ascii="Cambria" w:eastAsia="Cambria" w:hAnsi="Cambria" w:cs="Cambria"/>
          <w:sz w:val="20"/>
          <w:szCs w:val="20"/>
        </w:rPr>
      </w:pPr>
      <w:r w:rsidRPr="00E35B7B">
        <w:rPr>
          <w:rFonts w:ascii="Cambria" w:eastAsia="Cambria" w:hAnsi="Cambria" w:cs="Cambria"/>
          <w:sz w:val="20"/>
          <w:szCs w:val="20"/>
        </w:rPr>
        <w:t>Aprendizaje de nuestros errores</w:t>
      </w:r>
    </w:p>
    <w:p w14:paraId="0BA3AA33" w14:textId="77777777" w:rsidR="0031285E" w:rsidRPr="00E35B7B" w:rsidRDefault="0031285E" w:rsidP="000C02A3">
      <w:pPr>
        <w:numPr>
          <w:ilvl w:val="0"/>
          <w:numId w:val="8"/>
        </w:numPr>
        <w:shd w:val="clear" w:color="auto" w:fill="FFFFFF"/>
        <w:spacing w:after="0"/>
        <w:contextualSpacing/>
        <w:jc w:val="both"/>
        <w:textAlignment w:val="baseline"/>
        <w:rPr>
          <w:rFonts w:ascii="Cambria" w:eastAsia="Cambria" w:hAnsi="Cambria" w:cs="Cambria"/>
          <w:sz w:val="20"/>
          <w:szCs w:val="20"/>
        </w:rPr>
      </w:pPr>
      <w:r w:rsidRPr="00E35B7B">
        <w:rPr>
          <w:rFonts w:ascii="Cambria" w:eastAsia="Cambria" w:hAnsi="Cambria" w:cs="Cambria"/>
          <w:sz w:val="20"/>
          <w:szCs w:val="20"/>
        </w:rPr>
        <w:t>Actitud ganadora sin soberbia</w:t>
      </w:r>
    </w:p>
    <w:p w14:paraId="20C527CB" w14:textId="77777777" w:rsidR="0031285E" w:rsidRPr="00E35B7B" w:rsidRDefault="0031285E" w:rsidP="000C02A3">
      <w:pPr>
        <w:numPr>
          <w:ilvl w:val="0"/>
          <w:numId w:val="8"/>
        </w:numPr>
        <w:shd w:val="clear" w:color="auto" w:fill="FFFFFF"/>
        <w:spacing w:after="0"/>
        <w:contextualSpacing/>
        <w:jc w:val="both"/>
        <w:textAlignment w:val="baseline"/>
        <w:rPr>
          <w:rFonts w:ascii="Cambria" w:eastAsia="Cambria" w:hAnsi="Cambria" w:cs="Cambria"/>
          <w:sz w:val="20"/>
          <w:szCs w:val="20"/>
        </w:rPr>
      </w:pPr>
      <w:r w:rsidRPr="00E35B7B">
        <w:rPr>
          <w:rFonts w:ascii="Cambria" w:eastAsia="Cambria" w:hAnsi="Cambria" w:cs="Cambria"/>
          <w:sz w:val="20"/>
          <w:szCs w:val="20"/>
        </w:rPr>
        <w:t>Desarrollo personal y profesional de nuestra gente en un ámbito de motivación e innovación</w:t>
      </w:r>
    </w:p>
    <w:p w14:paraId="4694523D" w14:textId="77777777" w:rsidR="0031285E" w:rsidRPr="00E35B7B" w:rsidRDefault="0031285E" w:rsidP="000C02A3">
      <w:pPr>
        <w:numPr>
          <w:ilvl w:val="0"/>
          <w:numId w:val="8"/>
        </w:numPr>
        <w:shd w:val="clear" w:color="auto" w:fill="FFFFFF"/>
        <w:spacing w:after="0"/>
        <w:contextualSpacing/>
        <w:jc w:val="both"/>
        <w:textAlignment w:val="baseline"/>
        <w:rPr>
          <w:rFonts w:ascii="Cambria" w:eastAsia="Cambria" w:hAnsi="Cambria" w:cs="Cambria"/>
          <w:sz w:val="20"/>
          <w:szCs w:val="20"/>
        </w:rPr>
      </w:pPr>
      <w:r w:rsidRPr="00E35B7B">
        <w:rPr>
          <w:rFonts w:ascii="Cambria" w:eastAsia="Cambria" w:hAnsi="Cambria" w:cs="Cambria"/>
          <w:sz w:val="20"/>
          <w:szCs w:val="20"/>
        </w:rPr>
        <w:t>Mejora continua en la calidad de gestión</w:t>
      </w:r>
    </w:p>
    <w:p w14:paraId="4323D08B" w14:textId="77777777" w:rsidR="0031285E" w:rsidRDefault="0031285E" w:rsidP="0031285E">
      <w:pPr>
        <w:widowControl w:val="0"/>
        <w:spacing w:after="0"/>
        <w:jc w:val="both"/>
        <w:rPr>
          <w:rFonts w:ascii="Cambria" w:eastAsia="Cambria" w:hAnsi="Cambria" w:cs="Cambria"/>
          <w:sz w:val="20"/>
          <w:szCs w:val="20"/>
        </w:rPr>
      </w:pPr>
    </w:p>
    <w:p w14:paraId="50042AEE" w14:textId="77777777" w:rsidR="0031285E" w:rsidRPr="00E35B7B" w:rsidRDefault="0031285E" w:rsidP="0031285E">
      <w:pPr>
        <w:jc w:val="both"/>
        <w:rPr>
          <w:rFonts w:ascii="Cambria" w:eastAsia="Cambria" w:hAnsi="Cambria" w:cs="Cambria"/>
          <w:sz w:val="20"/>
          <w:szCs w:val="20"/>
        </w:rPr>
      </w:pPr>
      <w:r w:rsidRPr="00E35B7B">
        <w:rPr>
          <w:rFonts w:ascii="Cambria" w:eastAsia="Cambria" w:hAnsi="Cambria" w:cs="Cambria"/>
          <w:sz w:val="20"/>
          <w:szCs w:val="20"/>
        </w:rPr>
        <w:t>Operaciones</w:t>
      </w:r>
    </w:p>
    <w:p w14:paraId="4AEFBC69" w14:textId="77777777" w:rsidR="0031285E" w:rsidRPr="00F82D66" w:rsidRDefault="0031285E" w:rsidP="0031285E">
      <w:pPr>
        <w:widowControl w:val="0"/>
        <w:spacing w:after="0"/>
        <w:jc w:val="both"/>
        <w:rPr>
          <w:rFonts w:ascii="Cambria" w:eastAsia="Cambria" w:hAnsi="Cambria" w:cs="Cambria"/>
          <w:sz w:val="20"/>
          <w:szCs w:val="20"/>
        </w:rPr>
      </w:pPr>
      <w:r w:rsidRPr="00E35B7B">
        <w:rPr>
          <w:rFonts w:ascii="Cambria" w:eastAsia="Cambria" w:hAnsi="Cambria" w:cs="Cambria"/>
          <w:sz w:val="20"/>
          <w:szCs w:val="20"/>
        </w:rPr>
        <w:t>Originación de materias primas</w:t>
      </w:r>
      <w:r w:rsidRPr="00F82D66">
        <w:rPr>
          <w:rFonts w:ascii="Cambria" w:eastAsia="Cambria" w:hAnsi="Cambria" w:cs="Cambria"/>
          <w:sz w:val="20"/>
          <w:szCs w:val="20"/>
        </w:rPr>
        <w:t xml:space="preserve">: como protagonista de la cadena agroindustrial, la Sociedad trabaja con el objetivo de agregar valor a la producción del campo argentino. El sector de originación compra las materias primas que serán utilizadas posteriormente en la molienda, o que serán exportadas luego de </w:t>
      </w:r>
      <w:r>
        <w:rPr>
          <w:rFonts w:ascii="Cambria" w:eastAsia="Cambria" w:hAnsi="Cambria" w:cs="Cambria"/>
          <w:sz w:val="20"/>
          <w:szCs w:val="20"/>
        </w:rPr>
        <w:t xml:space="preserve">su acondicionamiento para </w:t>
      </w:r>
      <w:r w:rsidRPr="00F82D66">
        <w:rPr>
          <w:rFonts w:ascii="Cambria" w:eastAsia="Cambria" w:hAnsi="Cambria" w:cs="Cambria"/>
          <w:sz w:val="20"/>
          <w:szCs w:val="20"/>
        </w:rPr>
        <w:t xml:space="preserve">homogenizar diversos parámetros, adaptándolos a los requerimientos </w:t>
      </w:r>
      <w:r>
        <w:rPr>
          <w:rFonts w:ascii="Cambria" w:eastAsia="Cambria" w:hAnsi="Cambria" w:cs="Cambria"/>
          <w:sz w:val="20"/>
          <w:szCs w:val="20"/>
        </w:rPr>
        <w:t xml:space="preserve">de la demanda de exportación </w:t>
      </w:r>
      <w:r w:rsidRPr="00F82D66">
        <w:rPr>
          <w:rFonts w:ascii="Cambria" w:eastAsia="Cambria" w:hAnsi="Cambria" w:cs="Cambria"/>
          <w:sz w:val="20"/>
          <w:szCs w:val="20"/>
        </w:rPr>
        <w:t xml:space="preserve">en sus especificaciones (trazabilidad, tolerancia a insecticidas, grado, humedad y cuerpos extraños, entre otras particularidades).  </w:t>
      </w:r>
    </w:p>
    <w:p w14:paraId="6A1BDAB7" w14:textId="77777777" w:rsidR="0031285E" w:rsidRPr="00F82D66" w:rsidRDefault="0031285E" w:rsidP="0031285E">
      <w:pPr>
        <w:widowControl w:val="0"/>
        <w:spacing w:after="0"/>
        <w:jc w:val="both"/>
        <w:rPr>
          <w:rFonts w:ascii="Cambria" w:eastAsia="Cambria" w:hAnsi="Cambria" w:cs="Cambria"/>
          <w:sz w:val="20"/>
          <w:szCs w:val="20"/>
        </w:rPr>
      </w:pPr>
    </w:p>
    <w:p w14:paraId="49A27EC3" w14:textId="77777777" w:rsidR="0031285E" w:rsidRPr="00F82D66" w:rsidRDefault="0031285E" w:rsidP="0031285E">
      <w:pPr>
        <w:widowControl w:val="0"/>
        <w:spacing w:after="0"/>
        <w:jc w:val="both"/>
        <w:rPr>
          <w:rFonts w:ascii="Cambria" w:eastAsia="Cambria" w:hAnsi="Cambria" w:cs="Cambria"/>
          <w:sz w:val="20"/>
          <w:szCs w:val="20"/>
        </w:rPr>
      </w:pPr>
      <w:r w:rsidRPr="00E35B7B">
        <w:rPr>
          <w:rFonts w:ascii="Cambria" w:eastAsia="Cambria" w:hAnsi="Cambria" w:cs="Cambria"/>
          <w:sz w:val="20"/>
          <w:szCs w:val="20"/>
        </w:rPr>
        <w:t>Servicios al Productor</w:t>
      </w:r>
      <w:r w:rsidRPr="00F82D66">
        <w:rPr>
          <w:rFonts w:ascii="Cambria" w:eastAsia="Cambria" w:hAnsi="Cambria" w:cs="Cambria"/>
          <w:sz w:val="20"/>
          <w:szCs w:val="20"/>
        </w:rPr>
        <w:t>: la Sociedad ofrece servicios</w:t>
      </w:r>
      <w:r>
        <w:rPr>
          <w:rFonts w:ascii="Cambria" w:eastAsia="Cambria" w:hAnsi="Cambria" w:cs="Cambria"/>
          <w:sz w:val="20"/>
          <w:szCs w:val="20"/>
        </w:rPr>
        <w:t xml:space="preserve"> a los productores de las materias primas, como ser, recepción y acondicionamiento, </w:t>
      </w:r>
      <w:r w:rsidRPr="00F82D66">
        <w:rPr>
          <w:rFonts w:ascii="Cambria" w:eastAsia="Cambria" w:hAnsi="Cambria" w:cs="Cambria"/>
          <w:sz w:val="20"/>
          <w:szCs w:val="20"/>
        </w:rPr>
        <w:t>canje de granos por fertilizantes, provisión de fletes del campo a los acopios y/o planta de procesamiento y apoyo financiero al productor.</w:t>
      </w:r>
    </w:p>
    <w:p w14:paraId="79E5E856" w14:textId="77777777" w:rsidR="0031285E" w:rsidRPr="00F82D66" w:rsidRDefault="0031285E" w:rsidP="0031285E">
      <w:pPr>
        <w:widowControl w:val="0"/>
        <w:spacing w:after="0"/>
        <w:jc w:val="both"/>
        <w:rPr>
          <w:rFonts w:ascii="Cambria" w:eastAsia="Cambria" w:hAnsi="Cambria" w:cs="Cambria"/>
          <w:sz w:val="20"/>
          <w:szCs w:val="20"/>
        </w:rPr>
      </w:pPr>
    </w:p>
    <w:p w14:paraId="040F21DC" w14:textId="77777777" w:rsidR="0031285E" w:rsidRPr="00F82D66" w:rsidRDefault="0031285E" w:rsidP="0031285E">
      <w:pPr>
        <w:widowControl w:val="0"/>
        <w:spacing w:after="0"/>
        <w:jc w:val="both"/>
        <w:rPr>
          <w:rFonts w:ascii="Cambria" w:eastAsia="Cambria" w:hAnsi="Cambria" w:cs="Cambria"/>
          <w:sz w:val="20"/>
          <w:szCs w:val="20"/>
        </w:rPr>
      </w:pPr>
      <w:r w:rsidRPr="00E35B7B">
        <w:rPr>
          <w:rFonts w:ascii="Cambria" w:eastAsia="Cambria" w:hAnsi="Cambria" w:cs="Cambria"/>
          <w:sz w:val="20"/>
          <w:szCs w:val="20"/>
        </w:rPr>
        <w:lastRenderedPageBreak/>
        <w:t>Molienda de soja</w:t>
      </w:r>
      <w:r w:rsidRPr="00F82D66">
        <w:rPr>
          <w:rFonts w:ascii="Cambria" w:eastAsia="Cambria" w:hAnsi="Cambria" w:cs="Cambria"/>
          <w:sz w:val="20"/>
          <w:szCs w:val="20"/>
        </w:rPr>
        <w:t xml:space="preserve">: la </w:t>
      </w:r>
      <w:r>
        <w:rPr>
          <w:rFonts w:ascii="Cambria" w:eastAsia="Cambria" w:hAnsi="Cambria" w:cs="Cambria"/>
          <w:sz w:val="20"/>
          <w:szCs w:val="20"/>
        </w:rPr>
        <w:t>P</w:t>
      </w:r>
      <w:r w:rsidRPr="00F82D66">
        <w:rPr>
          <w:rFonts w:ascii="Cambria" w:eastAsia="Cambria" w:hAnsi="Cambria" w:cs="Cambria"/>
          <w:sz w:val="20"/>
          <w:szCs w:val="20"/>
        </w:rPr>
        <w:t>lanta</w:t>
      </w:r>
      <w:r>
        <w:rPr>
          <w:rFonts w:ascii="Cambria" w:eastAsia="Cambria" w:hAnsi="Cambria" w:cs="Cambria"/>
          <w:sz w:val="20"/>
          <w:szCs w:val="20"/>
        </w:rPr>
        <w:t xml:space="preserve"> que la Emisora posee</w:t>
      </w:r>
      <w:r w:rsidRPr="00F82D66">
        <w:rPr>
          <w:rFonts w:ascii="Cambria" w:eastAsia="Cambria" w:hAnsi="Cambria" w:cs="Cambria"/>
          <w:sz w:val="20"/>
          <w:szCs w:val="20"/>
        </w:rPr>
        <w:t xml:space="preserve"> de San Lorenzo, </w:t>
      </w:r>
      <w:r>
        <w:rPr>
          <w:rFonts w:ascii="Cambria" w:eastAsia="Cambria" w:hAnsi="Cambria" w:cs="Cambria"/>
          <w:sz w:val="20"/>
          <w:szCs w:val="20"/>
        </w:rPr>
        <w:t xml:space="preserve">provincia de Santa Fe, es </w:t>
      </w:r>
      <w:r w:rsidRPr="00F82D66">
        <w:rPr>
          <w:rFonts w:ascii="Cambria" w:eastAsia="Cambria" w:hAnsi="Cambria" w:cs="Cambria"/>
          <w:sz w:val="20"/>
          <w:szCs w:val="20"/>
        </w:rPr>
        <w:t>una de las más eficientes del mundo</w:t>
      </w:r>
      <w:r>
        <w:rPr>
          <w:rFonts w:ascii="Cambria" w:eastAsia="Cambria" w:hAnsi="Cambria" w:cs="Cambria"/>
          <w:sz w:val="20"/>
          <w:szCs w:val="20"/>
        </w:rPr>
        <w:t xml:space="preserve"> y cuenta con capacidad para procesar hasta más de 6mm de toneladas, que transforma en harina de soja, aceite y otros con calidad exportación. </w:t>
      </w:r>
    </w:p>
    <w:p w14:paraId="539296B7" w14:textId="77777777" w:rsidR="0031285E" w:rsidRPr="00E35B7B" w:rsidRDefault="0031285E" w:rsidP="0031285E">
      <w:pPr>
        <w:widowControl w:val="0"/>
        <w:spacing w:after="0"/>
        <w:jc w:val="both"/>
        <w:rPr>
          <w:rFonts w:ascii="Cambria" w:eastAsia="Cambria" w:hAnsi="Cambria" w:cs="Cambria"/>
          <w:sz w:val="20"/>
          <w:szCs w:val="20"/>
        </w:rPr>
      </w:pPr>
    </w:p>
    <w:p w14:paraId="39ACC140" w14:textId="77777777" w:rsidR="0031285E" w:rsidRPr="00F82D66" w:rsidRDefault="0031285E" w:rsidP="0031285E">
      <w:pPr>
        <w:widowControl w:val="0"/>
        <w:spacing w:after="0"/>
        <w:jc w:val="both"/>
        <w:rPr>
          <w:rFonts w:ascii="Cambria" w:eastAsia="Cambria" w:hAnsi="Cambria" w:cs="Cambria"/>
          <w:sz w:val="20"/>
          <w:szCs w:val="20"/>
        </w:rPr>
      </w:pPr>
      <w:r w:rsidRPr="00E35B7B">
        <w:rPr>
          <w:rFonts w:ascii="Cambria" w:eastAsia="Cambria" w:hAnsi="Cambria" w:cs="Cambria"/>
          <w:sz w:val="20"/>
          <w:szCs w:val="20"/>
        </w:rPr>
        <w:t>Molienda de girasol</w:t>
      </w:r>
      <w:r w:rsidRPr="00F82D66">
        <w:rPr>
          <w:rFonts w:ascii="Cambria" w:eastAsia="Cambria" w:hAnsi="Cambria" w:cs="Cambria"/>
          <w:sz w:val="20"/>
          <w:szCs w:val="20"/>
        </w:rPr>
        <w:t>: a partir de 2019</w:t>
      </w:r>
      <w:r>
        <w:rPr>
          <w:rFonts w:ascii="Cambria" w:eastAsia="Cambria" w:hAnsi="Cambria" w:cs="Cambria"/>
          <w:sz w:val="20"/>
          <w:szCs w:val="20"/>
        </w:rPr>
        <w:t xml:space="preserve"> Molinos Agro amplió </w:t>
      </w:r>
      <w:r w:rsidRPr="00F82D66">
        <w:rPr>
          <w:rFonts w:ascii="Cambria" w:eastAsia="Cambria" w:hAnsi="Cambria" w:cs="Cambria"/>
          <w:sz w:val="20"/>
          <w:szCs w:val="20"/>
        </w:rPr>
        <w:t xml:space="preserve">el </w:t>
      </w:r>
      <w:proofErr w:type="gramStart"/>
      <w:r w:rsidRPr="00F82D66">
        <w:rPr>
          <w:rFonts w:ascii="Cambria" w:eastAsia="Cambria" w:hAnsi="Cambria" w:cs="Cambria"/>
          <w:sz w:val="20"/>
          <w:szCs w:val="20"/>
        </w:rPr>
        <w:t>portfolio</w:t>
      </w:r>
      <w:proofErr w:type="gramEnd"/>
      <w:r w:rsidRPr="00F82D66">
        <w:rPr>
          <w:rFonts w:ascii="Cambria" w:eastAsia="Cambria" w:hAnsi="Cambria" w:cs="Cambria"/>
          <w:sz w:val="20"/>
          <w:szCs w:val="20"/>
        </w:rPr>
        <w:t xml:space="preserve"> de actividades </w:t>
      </w:r>
      <w:r>
        <w:rPr>
          <w:rFonts w:ascii="Cambria" w:eastAsia="Cambria" w:hAnsi="Cambria" w:cs="Cambria"/>
          <w:sz w:val="20"/>
          <w:szCs w:val="20"/>
        </w:rPr>
        <w:t xml:space="preserve">industriales </w:t>
      </w:r>
      <w:r w:rsidRPr="00F82D66">
        <w:rPr>
          <w:rFonts w:ascii="Cambria" w:eastAsia="Cambria" w:hAnsi="Cambria" w:cs="Cambria"/>
          <w:sz w:val="20"/>
          <w:szCs w:val="20"/>
        </w:rPr>
        <w:t>de la sociedad</w:t>
      </w:r>
      <w:r>
        <w:rPr>
          <w:rFonts w:ascii="Cambria" w:eastAsia="Cambria" w:hAnsi="Cambria" w:cs="Cambria"/>
          <w:sz w:val="20"/>
          <w:szCs w:val="20"/>
        </w:rPr>
        <w:t xml:space="preserve">, con la incorporación de la molienda de </w:t>
      </w:r>
      <w:r w:rsidRPr="00F82D66">
        <w:rPr>
          <w:rFonts w:ascii="Cambria" w:eastAsia="Cambria" w:hAnsi="Cambria" w:cs="Cambria"/>
          <w:sz w:val="20"/>
          <w:szCs w:val="20"/>
        </w:rPr>
        <w:t xml:space="preserve">girasol en </w:t>
      </w:r>
      <w:r>
        <w:rPr>
          <w:rFonts w:ascii="Cambria" w:eastAsia="Cambria" w:hAnsi="Cambria" w:cs="Cambria"/>
          <w:sz w:val="20"/>
          <w:szCs w:val="20"/>
        </w:rPr>
        <w:t>p</w:t>
      </w:r>
      <w:r w:rsidRPr="00F82D66">
        <w:rPr>
          <w:rFonts w:ascii="Cambria" w:eastAsia="Cambria" w:hAnsi="Cambria" w:cs="Cambria"/>
          <w:sz w:val="20"/>
          <w:szCs w:val="20"/>
        </w:rPr>
        <w:t>lanta</w:t>
      </w:r>
      <w:r>
        <w:rPr>
          <w:rFonts w:ascii="Cambria" w:eastAsia="Cambria" w:hAnsi="Cambria" w:cs="Cambria"/>
          <w:sz w:val="20"/>
          <w:szCs w:val="20"/>
        </w:rPr>
        <w:t>, cuyos productos son destinados tanto a la exportación como el mercado local</w:t>
      </w:r>
      <w:r w:rsidRPr="00F82D66">
        <w:rPr>
          <w:rFonts w:ascii="Cambria" w:eastAsia="Cambria" w:hAnsi="Cambria" w:cs="Cambria"/>
          <w:sz w:val="20"/>
          <w:szCs w:val="20"/>
        </w:rPr>
        <w:t xml:space="preserve"> </w:t>
      </w:r>
    </w:p>
    <w:p w14:paraId="337E74C4" w14:textId="77777777" w:rsidR="0031285E" w:rsidRPr="00E35B7B" w:rsidRDefault="0031285E" w:rsidP="0031285E">
      <w:pPr>
        <w:widowControl w:val="0"/>
        <w:spacing w:after="0"/>
        <w:jc w:val="both"/>
        <w:rPr>
          <w:rFonts w:ascii="Cambria" w:eastAsia="Cambria" w:hAnsi="Cambria" w:cs="Cambria"/>
          <w:sz w:val="20"/>
          <w:szCs w:val="20"/>
        </w:rPr>
      </w:pPr>
    </w:p>
    <w:p w14:paraId="155245BE" w14:textId="77777777" w:rsidR="0031285E" w:rsidRDefault="0031285E" w:rsidP="0031285E">
      <w:pPr>
        <w:widowControl w:val="0"/>
        <w:spacing w:after="0"/>
        <w:jc w:val="both"/>
        <w:rPr>
          <w:rFonts w:ascii="Cambria" w:eastAsia="Cambria" w:hAnsi="Cambria" w:cs="Cambria"/>
          <w:sz w:val="20"/>
          <w:szCs w:val="20"/>
        </w:rPr>
      </w:pPr>
      <w:r w:rsidRPr="00E35B7B">
        <w:rPr>
          <w:rFonts w:ascii="Cambria" w:eastAsia="Cambria" w:hAnsi="Cambria" w:cs="Cambria"/>
          <w:sz w:val="20"/>
          <w:szCs w:val="20"/>
        </w:rPr>
        <w:t>Exportación a granel</w:t>
      </w:r>
      <w:r w:rsidRPr="00F82D66">
        <w:rPr>
          <w:rFonts w:ascii="Cambria" w:eastAsia="Cambria" w:hAnsi="Cambria" w:cs="Cambria"/>
          <w:sz w:val="20"/>
          <w:szCs w:val="20"/>
        </w:rPr>
        <w:t>: como resultado de los procesos de molienda de poroto de soja y de girasol, la Sociedad produce una variada gama de harinas y aceites a granel para</w:t>
      </w:r>
      <w:r>
        <w:rPr>
          <w:rFonts w:ascii="Cambria" w:eastAsia="Cambria" w:hAnsi="Cambria" w:cs="Cambria"/>
          <w:sz w:val="20"/>
          <w:szCs w:val="20"/>
        </w:rPr>
        <w:t xml:space="preserve"> un competitivo </w:t>
      </w:r>
      <w:r w:rsidRPr="00F82D66">
        <w:rPr>
          <w:rFonts w:ascii="Cambria" w:eastAsia="Cambria" w:hAnsi="Cambria" w:cs="Cambria"/>
          <w:sz w:val="20"/>
          <w:szCs w:val="20"/>
        </w:rPr>
        <w:t>mercado</w:t>
      </w:r>
      <w:r>
        <w:rPr>
          <w:rFonts w:ascii="Cambria" w:eastAsia="Cambria" w:hAnsi="Cambria" w:cs="Cambria"/>
          <w:sz w:val="20"/>
          <w:szCs w:val="20"/>
        </w:rPr>
        <w:t xml:space="preserve"> </w:t>
      </w:r>
      <w:r w:rsidRPr="00F82D66">
        <w:rPr>
          <w:rFonts w:ascii="Cambria" w:eastAsia="Cambria" w:hAnsi="Cambria" w:cs="Cambria"/>
          <w:sz w:val="20"/>
          <w:szCs w:val="20"/>
        </w:rPr>
        <w:t xml:space="preserve">internacional, tales como harina de soja de alta proteína (HiPro), </w:t>
      </w:r>
      <w:r>
        <w:rPr>
          <w:rFonts w:ascii="Cambria" w:eastAsia="Cambria" w:hAnsi="Cambria" w:cs="Cambria"/>
          <w:sz w:val="20"/>
          <w:szCs w:val="20"/>
        </w:rPr>
        <w:t xml:space="preserve">y </w:t>
      </w:r>
      <w:r w:rsidRPr="00F82D66">
        <w:rPr>
          <w:rFonts w:ascii="Cambria" w:eastAsia="Cambria" w:hAnsi="Cambria" w:cs="Cambria"/>
          <w:sz w:val="20"/>
          <w:szCs w:val="20"/>
        </w:rPr>
        <w:t>aceite crudo de soja</w:t>
      </w:r>
      <w:r>
        <w:rPr>
          <w:rFonts w:ascii="Cambria" w:eastAsia="Cambria" w:hAnsi="Cambria" w:cs="Cambria"/>
          <w:sz w:val="20"/>
          <w:szCs w:val="20"/>
        </w:rPr>
        <w:t xml:space="preserve"> mercado en el que nuestro país representa un 45% del comercio mundial como así también </w:t>
      </w:r>
      <w:r w:rsidRPr="00AF00DC">
        <w:rPr>
          <w:rFonts w:ascii="Cambria" w:eastAsia="Cambria" w:hAnsi="Cambria" w:cs="Cambria"/>
          <w:sz w:val="20"/>
          <w:szCs w:val="20"/>
        </w:rPr>
        <w:t>pellet de cáscara de soja,</w:t>
      </w:r>
      <w:r>
        <w:rPr>
          <w:rFonts w:ascii="Cambria" w:eastAsia="Cambria" w:hAnsi="Cambria" w:cs="Cambria"/>
          <w:sz w:val="20"/>
          <w:szCs w:val="20"/>
        </w:rPr>
        <w:t xml:space="preserve"> biodiesel,</w:t>
      </w:r>
      <w:r w:rsidRPr="00F82D66">
        <w:rPr>
          <w:rFonts w:ascii="Cambria" w:eastAsia="Cambria" w:hAnsi="Cambria" w:cs="Cambria"/>
          <w:sz w:val="20"/>
          <w:szCs w:val="20"/>
        </w:rPr>
        <w:t xml:space="preserve"> pellets de girasol y aceite de girasol.</w:t>
      </w:r>
    </w:p>
    <w:p w14:paraId="104A48E4" w14:textId="77777777" w:rsidR="0031285E" w:rsidRDefault="0031285E" w:rsidP="0031285E">
      <w:pPr>
        <w:widowControl w:val="0"/>
        <w:spacing w:after="0"/>
        <w:jc w:val="both"/>
        <w:rPr>
          <w:rFonts w:ascii="Cambria" w:eastAsia="Cambria" w:hAnsi="Cambria" w:cs="Cambria"/>
          <w:sz w:val="20"/>
          <w:szCs w:val="20"/>
        </w:rPr>
      </w:pPr>
    </w:p>
    <w:p w14:paraId="0CDB1585" w14:textId="77777777" w:rsidR="0031285E" w:rsidRPr="00F82D66" w:rsidRDefault="0031285E" w:rsidP="0031285E">
      <w:pPr>
        <w:widowControl w:val="0"/>
        <w:spacing w:after="0"/>
        <w:jc w:val="both"/>
        <w:rPr>
          <w:rFonts w:ascii="Cambria" w:eastAsia="Cambria" w:hAnsi="Cambria" w:cs="Cambria"/>
          <w:sz w:val="20"/>
          <w:szCs w:val="20"/>
        </w:rPr>
      </w:pPr>
      <w:r>
        <w:rPr>
          <w:rFonts w:ascii="Cambria" w:eastAsia="Cambria" w:hAnsi="Cambria" w:cs="Cambria"/>
          <w:sz w:val="20"/>
          <w:szCs w:val="20"/>
        </w:rPr>
        <w:t xml:space="preserve">Adicionalmente, la Sociedad acondiciona y exporta </w:t>
      </w:r>
      <w:r w:rsidRPr="00F82D66">
        <w:rPr>
          <w:rFonts w:ascii="Cambria" w:eastAsia="Cambria" w:hAnsi="Cambria" w:cs="Cambria"/>
          <w:sz w:val="20"/>
          <w:szCs w:val="20"/>
        </w:rPr>
        <w:t xml:space="preserve">cereales, como maíz y trigo bajo las condiciones </w:t>
      </w:r>
      <w:r>
        <w:rPr>
          <w:rFonts w:ascii="Cambria" w:eastAsia="Cambria" w:hAnsi="Cambria" w:cs="Cambria"/>
          <w:sz w:val="20"/>
          <w:szCs w:val="20"/>
        </w:rPr>
        <w:t>requeridas por el mercado internacional.</w:t>
      </w:r>
      <w:r w:rsidRPr="00F82D66">
        <w:rPr>
          <w:rFonts w:ascii="Cambria" w:eastAsia="Cambria" w:hAnsi="Cambria" w:cs="Cambria"/>
          <w:sz w:val="20"/>
          <w:szCs w:val="20"/>
        </w:rPr>
        <w:t xml:space="preserve"> </w:t>
      </w:r>
    </w:p>
    <w:p w14:paraId="4BD535C1" w14:textId="77777777" w:rsidR="0031285E" w:rsidRPr="00E35B7B" w:rsidRDefault="0031285E" w:rsidP="0031285E">
      <w:pPr>
        <w:widowControl w:val="0"/>
        <w:spacing w:after="0"/>
        <w:jc w:val="both"/>
        <w:rPr>
          <w:rFonts w:ascii="Cambria" w:eastAsia="Cambria" w:hAnsi="Cambria" w:cs="Cambria"/>
          <w:sz w:val="20"/>
          <w:szCs w:val="20"/>
        </w:rPr>
      </w:pPr>
    </w:p>
    <w:p w14:paraId="4D7C0DEC" w14:textId="77777777" w:rsidR="0031285E" w:rsidRPr="00F82D66" w:rsidRDefault="0031285E" w:rsidP="0031285E">
      <w:pPr>
        <w:widowControl w:val="0"/>
        <w:spacing w:after="0"/>
        <w:jc w:val="both"/>
        <w:rPr>
          <w:rFonts w:ascii="Cambria" w:eastAsia="Cambria" w:hAnsi="Cambria" w:cs="Cambria"/>
          <w:sz w:val="20"/>
          <w:szCs w:val="20"/>
        </w:rPr>
      </w:pPr>
      <w:r w:rsidRPr="00F82D66">
        <w:rPr>
          <w:rFonts w:ascii="Cambria" w:eastAsia="Cambria" w:hAnsi="Cambria" w:cs="Cambria"/>
          <w:sz w:val="20"/>
          <w:szCs w:val="20"/>
        </w:rPr>
        <w:t xml:space="preserve">- Puerto San Benito: la Sociedad </w:t>
      </w:r>
      <w:r>
        <w:rPr>
          <w:rFonts w:ascii="Cambria" w:eastAsia="Cambria" w:hAnsi="Cambria" w:cs="Cambria"/>
          <w:sz w:val="20"/>
          <w:szCs w:val="20"/>
        </w:rPr>
        <w:t>posee</w:t>
      </w:r>
      <w:r w:rsidRPr="00F82D66">
        <w:rPr>
          <w:rFonts w:ascii="Cambria" w:eastAsia="Cambria" w:hAnsi="Cambria" w:cs="Cambria"/>
          <w:sz w:val="20"/>
          <w:szCs w:val="20"/>
        </w:rPr>
        <w:t xml:space="preserve"> un puerto, el Puerto San Benito, integrado a la </w:t>
      </w:r>
      <w:r>
        <w:rPr>
          <w:rFonts w:ascii="Cambria" w:eastAsia="Cambria" w:hAnsi="Cambria" w:cs="Cambria"/>
          <w:sz w:val="20"/>
          <w:szCs w:val="20"/>
        </w:rPr>
        <w:t>P</w:t>
      </w:r>
      <w:r w:rsidRPr="00F82D66">
        <w:rPr>
          <w:rFonts w:ascii="Cambria" w:eastAsia="Cambria" w:hAnsi="Cambria" w:cs="Cambria"/>
          <w:sz w:val="20"/>
          <w:szCs w:val="20"/>
        </w:rPr>
        <w:t>lanta</w:t>
      </w:r>
      <w:r>
        <w:rPr>
          <w:rFonts w:ascii="Cambria" w:eastAsia="Cambria" w:hAnsi="Cambria" w:cs="Cambria"/>
          <w:sz w:val="20"/>
          <w:szCs w:val="20"/>
        </w:rPr>
        <w:t xml:space="preserve"> industrial </w:t>
      </w:r>
      <w:r w:rsidRPr="00F82D66">
        <w:rPr>
          <w:rFonts w:ascii="Cambria" w:eastAsia="Cambria" w:hAnsi="Cambria" w:cs="Cambria"/>
          <w:sz w:val="20"/>
          <w:szCs w:val="20"/>
        </w:rPr>
        <w:t>a orillas del Río Paraná, a la altura del kilómetro 441,5 Puerto San Lorenzo, Provincia de Santa Fe,</w:t>
      </w:r>
      <w:r>
        <w:rPr>
          <w:rFonts w:ascii="Cambria" w:eastAsia="Cambria" w:hAnsi="Cambria" w:cs="Cambria"/>
          <w:sz w:val="20"/>
          <w:szCs w:val="20"/>
        </w:rPr>
        <w:t xml:space="preserve"> cuyas operaciones iniciaron </w:t>
      </w:r>
      <w:r w:rsidRPr="00F82D66">
        <w:rPr>
          <w:rFonts w:ascii="Cambria" w:eastAsia="Cambria" w:hAnsi="Cambria" w:cs="Cambria"/>
          <w:sz w:val="20"/>
          <w:szCs w:val="20"/>
        </w:rPr>
        <w:t>en marzo de</w:t>
      </w:r>
      <w:r>
        <w:rPr>
          <w:rFonts w:ascii="Cambria" w:eastAsia="Cambria" w:hAnsi="Cambria" w:cs="Cambria"/>
          <w:sz w:val="20"/>
          <w:szCs w:val="20"/>
        </w:rPr>
        <w:t>l</w:t>
      </w:r>
      <w:r w:rsidRPr="00F82D66">
        <w:rPr>
          <w:rFonts w:ascii="Cambria" w:eastAsia="Cambria" w:hAnsi="Cambria" w:cs="Cambria"/>
          <w:sz w:val="20"/>
          <w:szCs w:val="20"/>
        </w:rPr>
        <w:t xml:space="preserve"> 2005</w:t>
      </w:r>
      <w:r>
        <w:rPr>
          <w:rFonts w:ascii="Cambria" w:eastAsia="Cambria" w:hAnsi="Cambria" w:cs="Cambria"/>
          <w:sz w:val="20"/>
          <w:szCs w:val="20"/>
        </w:rPr>
        <w:t xml:space="preserve"> (el “Puerto San Benito”)</w:t>
      </w:r>
      <w:r w:rsidRPr="00F82D66">
        <w:rPr>
          <w:rFonts w:ascii="Cambria" w:eastAsia="Cambria" w:hAnsi="Cambria" w:cs="Cambria"/>
          <w:sz w:val="20"/>
          <w:szCs w:val="20"/>
        </w:rPr>
        <w:t xml:space="preserve">. Totalmente dedicado tanto al complejo </w:t>
      </w:r>
      <w:r>
        <w:rPr>
          <w:rFonts w:ascii="Cambria" w:eastAsia="Cambria" w:hAnsi="Cambria" w:cs="Cambria"/>
          <w:sz w:val="20"/>
          <w:szCs w:val="20"/>
        </w:rPr>
        <w:t>oleaginoso</w:t>
      </w:r>
      <w:r w:rsidRPr="00F82D66">
        <w:rPr>
          <w:rFonts w:ascii="Cambria" w:eastAsia="Cambria" w:hAnsi="Cambria" w:cs="Cambria"/>
          <w:sz w:val="20"/>
          <w:szCs w:val="20"/>
        </w:rPr>
        <w:t xml:space="preserve"> como al cerealero, ofrece las más modernas condiciones para la carga de mercaderías en un ambiente de control de calidad y seguridad óptimos. El </w:t>
      </w:r>
      <w:r>
        <w:rPr>
          <w:rFonts w:ascii="Cambria" w:eastAsia="Cambria" w:hAnsi="Cambria" w:cs="Cambria"/>
          <w:sz w:val="20"/>
          <w:szCs w:val="20"/>
        </w:rPr>
        <w:t>P</w:t>
      </w:r>
      <w:r w:rsidRPr="00F82D66">
        <w:rPr>
          <w:rFonts w:ascii="Cambria" w:eastAsia="Cambria" w:hAnsi="Cambria" w:cs="Cambria"/>
          <w:sz w:val="20"/>
          <w:szCs w:val="20"/>
        </w:rPr>
        <w:t>uerto</w:t>
      </w:r>
      <w:r>
        <w:rPr>
          <w:rFonts w:ascii="Cambria" w:eastAsia="Cambria" w:hAnsi="Cambria" w:cs="Cambria"/>
          <w:sz w:val="20"/>
          <w:szCs w:val="20"/>
        </w:rPr>
        <w:t xml:space="preserve"> San Benito</w:t>
      </w:r>
      <w:r w:rsidRPr="00F82D66">
        <w:rPr>
          <w:rFonts w:ascii="Cambria" w:eastAsia="Cambria" w:hAnsi="Cambria" w:cs="Cambria"/>
          <w:sz w:val="20"/>
          <w:szCs w:val="20"/>
        </w:rPr>
        <w:t>, de secos y líquidos, tiene una capacidad de carga de 8 millones de toneladas al año.</w:t>
      </w:r>
    </w:p>
    <w:p w14:paraId="2B2EE449" w14:textId="77777777" w:rsidR="0031285E" w:rsidRPr="00E35B7B" w:rsidRDefault="0031285E" w:rsidP="0031285E">
      <w:pPr>
        <w:widowControl w:val="0"/>
        <w:spacing w:after="0"/>
        <w:jc w:val="both"/>
        <w:rPr>
          <w:rFonts w:ascii="Cambria" w:eastAsia="Cambria" w:hAnsi="Cambria" w:cs="Cambria"/>
          <w:sz w:val="20"/>
          <w:szCs w:val="20"/>
        </w:rPr>
      </w:pPr>
    </w:p>
    <w:p w14:paraId="40F89E49" w14:textId="77777777" w:rsidR="0031285E" w:rsidRPr="00F82D66" w:rsidRDefault="0031285E" w:rsidP="0031285E">
      <w:pPr>
        <w:widowControl w:val="0"/>
        <w:spacing w:after="0"/>
        <w:jc w:val="both"/>
        <w:rPr>
          <w:rFonts w:ascii="Cambria" w:eastAsia="Cambria" w:hAnsi="Cambria" w:cs="Cambria"/>
          <w:sz w:val="20"/>
          <w:szCs w:val="20"/>
        </w:rPr>
      </w:pPr>
      <w:r w:rsidRPr="00F82D66">
        <w:rPr>
          <w:rFonts w:ascii="Cambria" w:eastAsia="Cambria" w:hAnsi="Cambria" w:cs="Cambria"/>
          <w:sz w:val="20"/>
          <w:szCs w:val="20"/>
        </w:rPr>
        <w:t xml:space="preserve">- Biodiesel: el biodiesel es la energía renovable cuyo consumo más se desarrolló a nivel global en los últimos años pasando de 3,2 millones de toneladas en 2005 a casi 39 millones de toneladas en 2019. El biodiesel en un eslabón importante en la cadena de valor de la soja y la Sociedad, como empresa líder del sector, se sumó a esta tendencia mundial a partir de distintos convenios de producción celebrados con otras compañías. </w:t>
      </w:r>
    </w:p>
    <w:p w14:paraId="1CDD213A" w14:textId="77777777" w:rsidR="0031285E" w:rsidRPr="00F82D66" w:rsidRDefault="0031285E" w:rsidP="0031285E">
      <w:pPr>
        <w:widowControl w:val="0"/>
        <w:spacing w:after="0"/>
        <w:jc w:val="both"/>
        <w:rPr>
          <w:rFonts w:ascii="Cambria" w:eastAsia="Cambria" w:hAnsi="Cambria" w:cs="Cambria"/>
          <w:sz w:val="20"/>
          <w:szCs w:val="20"/>
        </w:rPr>
      </w:pPr>
    </w:p>
    <w:p w14:paraId="6A506537" w14:textId="77777777" w:rsidR="0031285E" w:rsidRPr="00F82D66" w:rsidRDefault="0031285E" w:rsidP="0031285E">
      <w:pPr>
        <w:widowControl w:val="0"/>
        <w:spacing w:after="0"/>
        <w:jc w:val="both"/>
        <w:rPr>
          <w:rFonts w:ascii="Cambria" w:eastAsia="Cambria" w:hAnsi="Cambria" w:cs="Cambria"/>
          <w:sz w:val="20"/>
          <w:szCs w:val="20"/>
        </w:rPr>
      </w:pPr>
      <w:r w:rsidRPr="00F82D66">
        <w:rPr>
          <w:rFonts w:ascii="Cambria" w:eastAsia="Cambria" w:hAnsi="Cambria" w:cs="Cambria"/>
          <w:sz w:val="20"/>
          <w:szCs w:val="20"/>
        </w:rPr>
        <w:t>Asimismo, la Sociedad obtuvo la certificación bajo esquemas de sustentabilidad que cumplen con la Directiva de Energías Renovables 2009/28/CE emitida por el Parlamento de la Comunidad Europeo y el Consejo de la Unión Europea.</w:t>
      </w:r>
    </w:p>
    <w:p w14:paraId="2947E332" w14:textId="77777777" w:rsidR="0031285E" w:rsidRPr="00E35B7B" w:rsidRDefault="0031285E" w:rsidP="0031285E">
      <w:pPr>
        <w:widowControl w:val="0"/>
        <w:spacing w:after="0"/>
        <w:jc w:val="both"/>
        <w:rPr>
          <w:rFonts w:ascii="Cambria" w:eastAsia="Cambria" w:hAnsi="Cambria" w:cs="Cambria"/>
          <w:sz w:val="20"/>
          <w:szCs w:val="20"/>
        </w:rPr>
      </w:pPr>
    </w:p>
    <w:p w14:paraId="45E3C470" w14:textId="77777777" w:rsidR="0031285E" w:rsidRPr="00F82D66" w:rsidRDefault="0031285E" w:rsidP="0031285E">
      <w:pPr>
        <w:widowControl w:val="0"/>
        <w:spacing w:after="0"/>
        <w:jc w:val="both"/>
        <w:rPr>
          <w:rFonts w:ascii="Cambria" w:eastAsia="Cambria" w:hAnsi="Cambria" w:cs="Cambria"/>
          <w:sz w:val="20"/>
          <w:szCs w:val="20"/>
        </w:rPr>
      </w:pPr>
      <w:r w:rsidRPr="00E35B7B">
        <w:rPr>
          <w:rFonts w:ascii="Cambria" w:eastAsia="Cambria" w:hAnsi="Cambria" w:cs="Cambria"/>
          <w:sz w:val="20"/>
          <w:szCs w:val="20"/>
        </w:rPr>
        <w:t>Alimentación animal</w:t>
      </w:r>
      <w:r w:rsidRPr="00F82D66">
        <w:rPr>
          <w:rFonts w:ascii="Cambria" w:eastAsia="Cambria" w:hAnsi="Cambria" w:cs="Cambria"/>
          <w:sz w:val="20"/>
          <w:szCs w:val="20"/>
        </w:rPr>
        <w:t xml:space="preserve">: </w:t>
      </w:r>
      <w:r>
        <w:rPr>
          <w:rFonts w:ascii="Cambria" w:eastAsia="Cambria" w:hAnsi="Cambria" w:cs="Cambria"/>
          <w:sz w:val="20"/>
          <w:szCs w:val="20"/>
        </w:rPr>
        <w:t>la Sociedad</w:t>
      </w:r>
      <w:r w:rsidRPr="00F82D66">
        <w:rPr>
          <w:rFonts w:ascii="Cambria" w:eastAsia="Cambria" w:hAnsi="Cambria" w:cs="Cambria"/>
          <w:sz w:val="20"/>
          <w:szCs w:val="20"/>
        </w:rPr>
        <w:t xml:space="preserve"> ofrece, </w:t>
      </w:r>
      <w:r>
        <w:rPr>
          <w:rFonts w:ascii="Cambria" w:eastAsia="Cambria" w:hAnsi="Cambria" w:cs="Cambria"/>
          <w:sz w:val="20"/>
          <w:szCs w:val="20"/>
        </w:rPr>
        <w:t>localmente</w:t>
      </w:r>
      <w:r w:rsidRPr="00F82D66">
        <w:rPr>
          <w:rFonts w:ascii="Cambria" w:eastAsia="Cambria" w:hAnsi="Cambria" w:cs="Cambria"/>
          <w:sz w:val="20"/>
          <w:szCs w:val="20"/>
        </w:rPr>
        <w:t>, materias primas provenientes de los procesos de molienda del poroto de soja y de girasol para la elaboración de alimentos balanceados y su utilización en la producción aviar, porcina, feedlots y lechería. En línea con su tradición, la Sociedad se ha convertido en uno de los principales proveedores de este segmento producto de su compromiso con el servicio y la calidad, siendo estos los atributos más valorados por los clientes del negocio de alimentación animal.</w:t>
      </w:r>
    </w:p>
    <w:p w14:paraId="4DF3DD45" w14:textId="77777777" w:rsidR="0031285E" w:rsidRPr="00E35B7B" w:rsidRDefault="0031285E" w:rsidP="0031285E">
      <w:pPr>
        <w:widowControl w:val="0"/>
        <w:spacing w:after="0"/>
        <w:jc w:val="both"/>
        <w:rPr>
          <w:rFonts w:ascii="Cambria" w:eastAsia="Cambria" w:hAnsi="Cambria" w:cs="Cambria"/>
          <w:sz w:val="20"/>
          <w:szCs w:val="20"/>
        </w:rPr>
      </w:pPr>
    </w:p>
    <w:p w14:paraId="1F7C7F14" w14:textId="77777777" w:rsidR="0031285E" w:rsidRDefault="0031285E" w:rsidP="0031285E">
      <w:pPr>
        <w:jc w:val="both"/>
        <w:rPr>
          <w:rFonts w:ascii="Cambria" w:eastAsia="Cambria" w:hAnsi="Cambria" w:cs="Cambria"/>
          <w:sz w:val="20"/>
          <w:szCs w:val="20"/>
        </w:rPr>
      </w:pPr>
      <w:r w:rsidRPr="00E35B7B">
        <w:rPr>
          <w:rFonts w:ascii="Cambria" w:eastAsia="Cambria" w:hAnsi="Cambria" w:cs="Cambria"/>
          <w:sz w:val="20"/>
          <w:szCs w:val="20"/>
        </w:rPr>
        <w:t>Administración de riesgo y Research</w:t>
      </w:r>
      <w:r w:rsidRPr="00F82D66">
        <w:rPr>
          <w:rFonts w:ascii="Cambria" w:eastAsia="Cambria" w:hAnsi="Cambria" w:cs="Cambria"/>
          <w:sz w:val="20"/>
          <w:szCs w:val="20"/>
        </w:rPr>
        <w:t xml:space="preserve">: un equipo de administración de riesgo, apoyado en Research que provee información de oferta y demanda de cultivos y </w:t>
      </w:r>
      <w:r w:rsidRPr="00834EDD">
        <w:rPr>
          <w:rFonts w:ascii="Cambria" w:eastAsia="Cambria" w:hAnsi="Cambria" w:cs="Cambria"/>
          <w:i/>
          <w:sz w:val="20"/>
          <w:szCs w:val="20"/>
        </w:rPr>
        <w:t>commodities</w:t>
      </w:r>
      <w:r w:rsidRPr="00F82D66">
        <w:rPr>
          <w:rFonts w:ascii="Cambria" w:eastAsia="Cambria" w:hAnsi="Cambria" w:cs="Cambria"/>
          <w:sz w:val="20"/>
          <w:szCs w:val="20"/>
        </w:rPr>
        <w:t xml:space="preserve"> a nivel local e internacional, diseña y administra herramientas de cobertura para minimizar la exposición del negocio, y asegurar la correcta ejecución de los distintos programas de exportación.</w:t>
      </w:r>
    </w:p>
    <w:p w14:paraId="0623E209" w14:textId="77777777" w:rsidR="0031285E" w:rsidRPr="00E35B7B" w:rsidRDefault="0031285E" w:rsidP="0031285E">
      <w:pPr>
        <w:jc w:val="both"/>
        <w:rPr>
          <w:rFonts w:ascii="Cambria" w:eastAsia="Cambria" w:hAnsi="Cambria" w:cs="Cambria"/>
          <w:sz w:val="20"/>
          <w:szCs w:val="20"/>
        </w:rPr>
      </w:pPr>
      <w:r w:rsidRPr="00E35B7B">
        <w:rPr>
          <w:rFonts w:ascii="Cambria" w:eastAsia="Cambria" w:hAnsi="Cambria" w:cs="Cambria"/>
          <w:sz w:val="20"/>
          <w:szCs w:val="20"/>
        </w:rPr>
        <w:t>Produc</w:t>
      </w:r>
      <w:r>
        <w:rPr>
          <w:rFonts w:ascii="Cambria" w:eastAsia="Cambria" w:hAnsi="Cambria" w:cs="Cambria"/>
          <w:sz w:val="20"/>
          <w:szCs w:val="20"/>
        </w:rPr>
        <w:t>ción</w:t>
      </w:r>
    </w:p>
    <w:p w14:paraId="29A3167D" w14:textId="77777777" w:rsidR="0031285E" w:rsidRPr="00F82D66" w:rsidRDefault="0031285E" w:rsidP="0031285E">
      <w:pPr>
        <w:widowControl w:val="0"/>
        <w:spacing w:after="0"/>
        <w:jc w:val="both"/>
        <w:rPr>
          <w:rFonts w:ascii="Cambria" w:eastAsia="Cambria" w:hAnsi="Cambria" w:cs="Cambria"/>
          <w:sz w:val="20"/>
          <w:szCs w:val="20"/>
        </w:rPr>
      </w:pPr>
      <w:r w:rsidRPr="00F82D66">
        <w:rPr>
          <w:rFonts w:ascii="Cambria" w:eastAsia="Cambria" w:hAnsi="Cambria" w:cs="Cambria"/>
          <w:sz w:val="20"/>
          <w:szCs w:val="20"/>
        </w:rPr>
        <w:t xml:space="preserve">En los últimos años, </w:t>
      </w:r>
      <w:r>
        <w:rPr>
          <w:rFonts w:ascii="Cambria" w:eastAsia="Cambria" w:hAnsi="Cambria" w:cs="Cambria"/>
          <w:sz w:val="20"/>
          <w:szCs w:val="20"/>
        </w:rPr>
        <w:t xml:space="preserve">Molinos Agro </w:t>
      </w:r>
      <w:r w:rsidRPr="00F82D66">
        <w:rPr>
          <w:rFonts w:ascii="Cambria" w:eastAsia="Cambria" w:hAnsi="Cambria" w:cs="Cambria"/>
          <w:sz w:val="20"/>
          <w:szCs w:val="20"/>
        </w:rPr>
        <w:t xml:space="preserve">ha invertido y continuará realizando las inversiones necesarias para aumentar la capacidad productiva e instrumentar mejoras e innovaciones tecnológicas que permitan el fortalecimiento y la consolidación de su posición en el sector. Trabajando con tecnología de última generación y profesionales altamente capacitados, la Sociedad asegura los más altos </w:t>
      </w:r>
      <w:r w:rsidRPr="00F82D66">
        <w:rPr>
          <w:rFonts w:ascii="Cambria" w:eastAsia="Cambria" w:hAnsi="Cambria" w:cs="Cambria"/>
          <w:sz w:val="20"/>
          <w:szCs w:val="20"/>
        </w:rPr>
        <w:lastRenderedPageBreak/>
        <w:t>estándares industriales, de calidad y de protección ambiental.</w:t>
      </w:r>
    </w:p>
    <w:p w14:paraId="70A27B1F" w14:textId="77777777" w:rsidR="0031285E" w:rsidRPr="00F82D66" w:rsidRDefault="0031285E" w:rsidP="0031285E">
      <w:pPr>
        <w:widowControl w:val="0"/>
        <w:spacing w:after="0"/>
        <w:jc w:val="both"/>
        <w:rPr>
          <w:rFonts w:ascii="Cambria" w:eastAsia="Cambria" w:hAnsi="Cambria" w:cs="Cambria"/>
          <w:sz w:val="20"/>
          <w:szCs w:val="20"/>
        </w:rPr>
      </w:pPr>
    </w:p>
    <w:p w14:paraId="245A3991" w14:textId="77777777" w:rsidR="0031285E" w:rsidRPr="00F82D66" w:rsidRDefault="0031285E" w:rsidP="0031285E">
      <w:pPr>
        <w:jc w:val="both"/>
        <w:rPr>
          <w:rFonts w:ascii="Cambria" w:eastAsia="Cambria" w:hAnsi="Cambria" w:cs="Cambria"/>
          <w:sz w:val="20"/>
          <w:szCs w:val="20"/>
        </w:rPr>
      </w:pPr>
      <w:r w:rsidRPr="00F82D66">
        <w:rPr>
          <w:rFonts w:ascii="Cambria" w:eastAsia="Cambria" w:hAnsi="Cambria" w:cs="Cambria"/>
          <w:sz w:val="20"/>
          <w:szCs w:val="20"/>
        </w:rPr>
        <w:t xml:space="preserve">En línea con lo mencionado en el párrafo anterior, a partir de abril de 2016, la Sociedad realizó la inversión de USD 62 millones para ampliar los espacios de almacenamiento de su </w:t>
      </w:r>
      <w:r>
        <w:rPr>
          <w:rFonts w:ascii="Cambria" w:eastAsia="Cambria" w:hAnsi="Cambria" w:cs="Cambria"/>
          <w:sz w:val="20"/>
          <w:szCs w:val="20"/>
        </w:rPr>
        <w:t>P</w:t>
      </w:r>
      <w:r w:rsidRPr="00F82D66">
        <w:rPr>
          <w:rFonts w:ascii="Cambria" w:eastAsia="Cambria" w:hAnsi="Cambria" w:cs="Cambria"/>
          <w:sz w:val="20"/>
          <w:szCs w:val="20"/>
        </w:rPr>
        <w:t xml:space="preserve">lanta. La obra, comenzó a ejecutarse en octubre de 2016, con la construcción de una celda para harinas con capacidad para 72.000 toneladas, otra para almacenamiento de poroto de soja con capacidad para 180.000 toneladas y dos silos verticales con capacidad para 20.000 toneladas de cereales, además del reacondicionamiento de otros espacios existentes. Durante 2019, se efectuaron reformas sobre la línea 1, permitiendo su adaptación para la molienda de girasol y la ampliación de los equipos de secado de harina, que incrementaron la capacidad de molienda de soja de la </w:t>
      </w:r>
      <w:r>
        <w:rPr>
          <w:rFonts w:ascii="Cambria" w:eastAsia="Cambria" w:hAnsi="Cambria" w:cs="Cambria"/>
          <w:sz w:val="20"/>
          <w:szCs w:val="20"/>
        </w:rPr>
        <w:t>P</w:t>
      </w:r>
      <w:r w:rsidRPr="00F82D66">
        <w:rPr>
          <w:rFonts w:ascii="Cambria" w:eastAsia="Cambria" w:hAnsi="Cambria" w:cs="Cambria"/>
          <w:sz w:val="20"/>
          <w:szCs w:val="20"/>
        </w:rPr>
        <w:t xml:space="preserve">lanta. </w:t>
      </w:r>
    </w:p>
    <w:p w14:paraId="345F3955" w14:textId="77777777" w:rsidR="0031285E" w:rsidRPr="006E4259" w:rsidRDefault="0031285E" w:rsidP="0031285E">
      <w:pPr>
        <w:jc w:val="both"/>
        <w:rPr>
          <w:rFonts w:ascii="Cambria" w:hAnsi="Cambria"/>
          <w:b/>
          <w:sz w:val="20"/>
        </w:rPr>
      </w:pPr>
      <w:r w:rsidRPr="006E4259">
        <w:rPr>
          <w:rFonts w:ascii="Cambria" w:hAnsi="Cambria"/>
          <w:b/>
          <w:sz w:val="20"/>
        </w:rPr>
        <w:t>Mercados</w:t>
      </w:r>
    </w:p>
    <w:p w14:paraId="44273A8F" w14:textId="77777777" w:rsidR="0031285E" w:rsidRPr="006E4259" w:rsidRDefault="0031285E" w:rsidP="0031285E">
      <w:pPr>
        <w:widowControl w:val="0"/>
        <w:spacing w:after="0"/>
        <w:jc w:val="both"/>
        <w:rPr>
          <w:rFonts w:ascii="Cambria" w:hAnsi="Cambria"/>
          <w:i/>
          <w:sz w:val="20"/>
        </w:rPr>
      </w:pPr>
      <w:r w:rsidRPr="006E4259">
        <w:rPr>
          <w:rFonts w:ascii="Cambria" w:hAnsi="Cambria"/>
          <w:i/>
          <w:sz w:val="20"/>
        </w:rPr>
        <w:t>Mercados internacionales</w:t>
      </w:r>
    </w:p>
    <w:p w14:paraId="2FFE6122" w14:textId="77777777" w:rsidR="0031285E" w:rsidRPr="00F82D66" w:rsidRDefault="0031285E" w:rsidP="0031285E">
      <w:pPr>
        <w:widowControl w:val="0"/>
        <w:spacing w:after="0"/>
        <w:jc w:val="both"/>
        <w:rPr>
          <w:rFonts w:ascii="Cambria" w:eastAsia="Cambria" w:hAnsi="Cambria" w:cs="Cambria"/>
          <w:sz w:val="20"/>
          <w:szCs w:val="20"/>
        </w:rPr>
      </w:pPr>
      <w:r w:rsidRPr="00F82D66">
        <w:rPr>
          <w:rFonts w:ascii="Cambria" w:eastAsia="Cambria" w:hAnsi="Cambria" w:cs="Cambria"/>
          <w:sz w:val="20"/>
          <w:szCs w:val="20"/>
        </w:rPr>
        <w:t xml:space="preserve"> </w:t>
      </w:r>
    </w:p>
    <w:p w14:paraId="4CE11F61" w14:textId="77777777" w:rsidR="0031285E" w:rsidRPr="00F82D66" w:rsidRDefault="0031285E" w:rsidP="0031285E">
      <w:pPr>
        <w:widowControl w:val="0"/>
        <w:spacing w:after="0"/>
        <w:jc w:val="both"/>
        <w:rPr>
          <w:rFonts w:ascii="Cambria" w:eastAsia="Cambria" w:hAnsi="Cambria" w:cs="Cambria"/>
          <w:sz w:val="20"/>
          <w:szCs w:val="20"/>
        </w:rPr>
      </w:pPr>
      <w:r w:rsidRPr="00F82D66">
        <w:rPr>
          <w:rFonts w:ascii="Cambria" w:eastAsia="Cambria" w:hAnsi="Cambria" w:cs="Cambria"/>
          <w:sz w:val="20"/>
          <w:szCs w:val="20"/>
        </w:rPr>
        <w:t>Como fue mencionado anteriormente, Argentina se ha consolidado como el principal exportador mundial de harina y aceite de soja, representando más del 45% del comercio global de ambos productos.</w:t>
      </w:r>
    </w:p>
    <w:p w14:paraId="737DB7C2" w14:textId="77777777" w:rsidR="0031285E" w:rsidRPr="00F82D66" w:rsidRDefault="0031285E" w:rsidP="0031285E">
      <w:pPr>
        <w:widowControl w:val="0"/>
        <w:spacing w:after="0"/>
        <w:jc w:val="both"/>
        <w:rPr>
          <w:rFonts w:ascii="Cambria" w:eastAsia="Cambria" w:hAnsi="Cambria" w:cs="Cambria"/>
          <w:sz w:val="20"/>
          <w:szCs w:val="20"/>
        </w:rPr>
      </w:pPr>
    </w:p>
    <w:p w14:paraId="38FF806B" w14:textId="77777777" w:rsidR="0031285E" w:rsidRPr="00F82D66" w:rsidRDefault="0031285E" w:rsidP="0031285E">
      <w:pPr>
        <w:widowControl w:val="0"/>
        <w:spacing w:after="0"/>
        <w:jc w:val="both"/>
        <w:rPr>
          <w:rFonts w:ascii="Cambria" w:eastAsia="Cambria" w:hAnsi="Cambria" w:cs="Cambria"/>
          <w:sz w:val="20"/>
          <w:szCs w:val="20"/>
        </w:rPr>
      </w:pPr>
      <w:r w:rsidRPr="00F82D66">
        <w:rPr>
          <w:rFonts w:ascii="Cambria" w:eastAsia="Cambria" w:hAnsi="Cambria" w:cs="Cambria"/>
          <w:sz w:val="20"/>
          <w:szCs w:val="20"/>
        </w:rPr>
        <w:t xml:space="preserve">No ajena a esto, la Sociedad cubre una participación muy representativa del intercambio comercial, ofreciendo entre el 4 y el 5% del total de la harina y el aceite de soja comercializado en todo el mundo.  </w:t>
      </w:r>
    </w:p>
    <w:p w14:paraId="3CEE54EC" w14:textId="77777777" w:rsidR="0031285E" w:rsidRPr="00F82D66" w:rsidRDefault="0031285E" w:rsidP="0031285E">
      <w:pPr>
        <w:widowControl w:val="0"/>
        <w:spacing w:after="0"/>
        <w:jc w:val="both"/>
        <w:rPr>
          <w:rFonts w:ascii="Cambria" w:eastAsia="Cambria" w:hAnsi="Cambria" w:cs="Cambria"/>
          <w:sz w:val="20"/>
          <w:szCs w:val="20"/>
        </w:rPr>
      </w:pPr>
    </w:p>
    <w:p w14:paraId="1E3CC996" w14:textId="77777777" w:rsidR="0031285E" w:rsidRDefault="0031285E" w:rsidP="0031285E">
      <w:pPr>
        <w:widowControl w:val="0"/>
        <w:spacing w:after="0"/>
        <w:jc w:val="both"/>
        <w:rPr>
          <w:rFonts w:ascii="Cambria" w:eastAsia="Cambria" w:hAnsi="Cambria" w:cs="Cambria"/>
          <w:sz w:val="20"/>
          <w:szCs w:val="20"/>
        </w:rPr>
      </w:pPr>
      <w:r w:rsidRPr="00F82D66">
        <w:rPr>
          <w:rFonts w:ascii="Cambria" w:eastAsia="Cambria" w:hAnsi="Cambria" w:cs="Cambria"/>
          <w:sz w:val="20"/>
          <w:szCs w:val="20"/>
        </w:rPr>
        <w:t xml:space="preserve">Entre los principales destinatarios de la harina proteica producida por la Sociedad, se destacan los países del Sudeste Asiático, la Unión Europea y África. En aceite, Asia es el principal destino; mientras que en biodiesel el destino casi excluyente ha sido Europa. </w:t>
      </w:r>
    </w:p>
    <w:p w14:paraId="1D0E4FE5" w14:textId="77777777" w:rsidR="0031285E" w:rsidRDefault="0031285E" w:rsidP="0031285E">
      <w:pPr>
        <w:widowControl w:val="0"/>
        <w:spacing w:after="0"/>
        <w:jc w:val="both"/>
        <w:rPr>
          <w:rFonts w:ascii="Cambria" w:eastAsia="Cambria" w:hAnsi="Cambria" w:cs="Cambria"/>
          <w:sz w:val="20"/>
          <w:szCs w:val="20"/>
        </w:rPr>
      </w:pPr>
    </w:p>
    <w:p w14:paraId="491BB3D8" w14:textId="77777777" w:rsidR="0031285E" w:rsidRDefault="0031285E" w:rsidP="0031285E">
      <w:pPr>
        <w:widowControl w:val="0"/>
        <w:spacing w:after="0"/>
        <w:jc w:val="both"/>
        <w:rPr>
          <w:rFonts w:ascii="Cambria" w:eastAsia="Cambria" w:hAnsi="Cambria" w:cs="Cambria"/>
          <w:sz w:val="20"/>
          <w:szCs w:val="20"/>
        </w:rPr>
      </w:pPr>
      <w:r w:rsidRPr="00A41F5C">
        <w:rPr>
          <w:rFonts w:ascii="Cambria" w:eastAsia="Cambria" w:hAnsi="Cambria" w:cs="Cambria"/>
          <w:sz w:val="20"/>
          <w:szCs w:val="20"/>
        </w:rPr>
        <w:t>Con respecto al maíz, Argentina se ha transformado en el tercer exportador mundial de este cereal; complementando la oferta global en un período en el que Estados Unidos y Brasil se encuentran prácticamente fuera del mercado. En este sentido, Molinos Agro logra alcanzar una participación del 1% en el comercio mundial.</w:t>
      </w:r>
    </w:p>
    <w:p w14:paraId="46CF5363" w14:textId="77777777" w:rsidR="0031285E" w:rsidRDefault="0031285E" w:rsidP="0031285E">
      <w:pPr>
        <w:widowControl w:val="0"/>
        <w:spacing w:after="0"/>
        <w:jc w:val="both"/>
        <w:rPr>
          <w:rFonts w:ascii="Cambria" w:eastAsia="Cambria" w:hAnsi="Cambria" w:cs="Cambria"/>
          <w:sz w:val="20"/>
          <w:szCs w:val="20"/>
        </w:rPr>
      </w:pPr>
    </w:p>
    <w:p w14:paraId="1ABEE8B7" w14:textId="77777777" w:rsidR="0031285E" w:rsidRPr="00F750A1" w:rsidRDefault="0031285E" w:rsidP="0031285E">
      <w:pPr>
        <w:widowControl w:val="0"/>
        <w:spacing w:after="0"/>
        <w:jc w:val="both"/>
        <w:rPr>
          <w:rFonts w:ascii="Cambria" w:eastAsia="Cambria" w:hAnsi="Cambria" w:cs="Cambria"/>
          <w:sz w:val="20"/>
          <w:szCs w:val="20"/>
        </w:rPr>
      </w:pPr>
      <w:r w:rsidRPr="00F750A1">
        <w:rPr>
          <w:rFonts w:ascii="Cambria" w:eastAsia="Cambria" w:hAnsi="Cambria" w:cs="Cambria"/>
          <w:sz w:val="20"/>
          <w:szCs w:val="20"/>
        </w:rPr>
        <w:t>Cabe mencionar que</w:t>
      </w:r>
      <w:r>
        <w:rPr>
          <w:rFonts w:ascii="Cambria" w:eastAsia="Cambria" w:hAnsi="Cambria" w:cs="Cambria"/>
          <w:sz w:val="20"/>
          <w:szCs w:val="20"/>
        </w:rPr>
        <w:t xml:space="preserve"> la Sociedad exporta el 90% de su facturación anual y que</w:t>
      </w:r>
      <w:r w:rsidRPr="00F750A1">
        <w:rPr>
          <w:rFonts w:ascii="Cambria" w:eastAsia="Cambria" w:hAnsi="Cambria" w:cs="Cambria"/>
          <w:sz w:val="20"/>
          <w:szCs w:val="20"/>
        </w:rPr>
        <w:t xml:space="preserve"> la totalidad de </w:t>
      </w:r>
      <w:r>
        <w:rPr>
          <w:rFonts w:ascii="Cambria" w:eastAsia="Cambria" w:hAnsi="Cambria" w:cs="Cambria"/>
          <w:sz w:val="20"/>
          <w:szCs w:val="20"/>
        </w:rPr>
        <w:t>sus</w:t>
      </w:r>
      <w:r w:rsidRPr="00F750A1">
        <w:rPr>
          <w:rFonts w:ascii="Cambria" w:eastAsia="Cambria" w:hAnsi="Cambria" w:cs="Cambria"/>
          <w:sz w:val="20"/>
          <w:szCs w:val="20"/>
        </w:rPr>
        <w:t xml:space="preserve"> ventas al exterior se realizan en términos FOB (Free O</w:t>
      </w:r>
      <w:r>
        <w:rPr>
          <w:rFonts w:ascii="Cambria" w:eastAsia="Cambria" w:hAnsi="Cambria" w:cs="Cambria"/>
          <w:sz w:val="20"/>
          <w:szCs w:val="20"/>
        </w:rPr>
        <w:t>n Board)</w:t>
      </w:r>
      <w:r w:rsidRPr="00F750A1">
        <w:rPr>
          <w:rFonts w:ascii="Cambria" w:eastAsia="Cambria" w:hAnsi="Cambria" w:cs="Cambria"/>
          <w:sz w:val="20"/>
          <w:szCs w:val="20"/>
        </w:rPr>
        <w:t>. Así, es el cliente internacional quien dispone el buque para trasladar los productos a sus respectivos destinos.</w:t>
      </w:r>
    </w:p>
    <w:p w14:paraId="28F26F9A" w14:textId="77777777" w:rsidR="0031285E" w:rsidRPr="00F750A1" w:rsidRDefault="0031285E" w:rsidP="0031285E">
      <w:pPr>
        <w:widowControl w:val="0"/>
        <w:spacing w:after="0"/>
        <w:jc w:val="both"/>
        <w:rPr>
          <w:rFonts w:ascii="Cambria" w:eastAsia="Cambria" w:hAnsi="Cambria" w:cs="Cambria"/>
          <w:sz w:val="20"/>
          <w:szCs w:val="20"/>
        </w:rPr>
      </w:pPr>
    </w:p>
    <w:p w14:paraId="77B0267B" w14:textId="77777777" w:rsidR="0031285E" w:rsidRPr="00E35B7B" w:rsidRDefault="0031285E" w:rsidP="0031285E">
      <w:pPr>
        <w:widowControl w:val="0"/>
        <w:spacing w:after="0"/>
        <w:jc w:val="both"/>
        <w:rPr>
          <w:rFonts w:ascii="Cambria" w:eastAsia="Cambria" w:hAnsi="Cambria" w:cs="Cambria"/>
          <w:sz w:val="20"/>
          <w:szCs w:val="20"/>
        </w:rPr>
      </w:pPr>
      <w:r w:rsidRPr="00A41F5C">
        <w:rPr>
          <w:rFonts w:ascii="Cambria" w:eastAsia="Cambria" w:hAnsi="Cambria" w:cs="Cambria"/>
          <w:sz w:val="20"/>
          <w:szCs w:val="20"/>
        </w:rPr>
        <w:t xml:space="preserve"> </w:t>
      </w:r>
    </w:p>
    <w:p w14:paraId="3BC13E16" w14:textId="77777777" w:rsidR="0031285E" w:rsidRPr="006E4259" w:rsidRDefault="0031285E" w:rsidP="0031285E">
      <w:pPr>
        <w:widowControl w:val="0"/>
        <w:spacing w:after="0"/>
        <w:jc w:val="both"/>
        <w:rPr>
          <w:rFonts w:ascii="Cambria" w:hAnsi="Cambria"/>
          <w:i/>
          <w:sz w:val="20"/>
        </w:rPr>
      </w:pPr>
      <w:r w:rsidRPr="006E4259">
        <w:rPr>
          <w:rFonts w:ascii="Cambria" w:hAnsi="Cambria"/>
          <w:i/>
          <w:sz w:val="20"/>
        </w:rPr>
        <w:t>Mercado Local</w:t>
      </w:r>
    </w:p>
    <w:p w14:paraId="7F77A024" w14:textId="77777777" w:rsidR="0031285E" w:rsidRPr="00E35B7B" w:rsidRDefault="0031285E" w:rsidP="0031285E">
      <w:pPr>
        <w:widowControl w:val="0"/>
        <w:spacing w:after="0"/>
        <w:jc w:val="both"/>
        <w:rPr>
          <w:rFonts w:ascii="Cambria" w:eastAsia="Cambria" w:hAnsi="Cambria" w:cs="Cambria"/>
          <w:sz w:val="20"/>
          <w:szCs w:val="20"/>
        </w:rPr>
      </w:pPr>
    </w:p>
    <w:p w14:paraId="2B47703A" w14:textId="77777777" w:rsidR="0031285E" w:rsidRPr="00F750A1" w:rsidRDefault="0031285E" w:rsidP="0031285E">
      <w:pPr>
        <w:widowControl w:val="0"/>
        <w:spacing w:after="0"/>
        <w:jc w:val="both"/>
        <w:rPr>
          <w:rFonts w:ascii="Cambria" w:eastAsia="Cambria" w:hAnsi="Cambria" w:cs="Cambria"/>
          <w:sz w:val="20"/>
          <w:szCs w:val="20"/>
        </w:rPr>
      </w:pPr>
      <w:r w:rsidRPr="00F750A1">
        <w:rPr>
          <w:rFonts w:ascii="Cambria" w:eastAsia="Cambria" w:hAnsi="Cambria" w:cs="Cambria"/>
          <w:sz w:val="20"/>
          <w:szCs w:val="20"/>
        </w:rPr>
        <w:t xml:space="preserve">En lo que </w:t>
      </w:r>
      <w:r>
        <w:rPr>
          <w:rFonts w:ascii="Cambria" w:eastAsia="Cambria" w:hAnsi="Cambria" w:cs="Cambria"/>
          <w:sz w:val="20"/>
          <w:szCs w:val="20"/>
        </w:rPr>
        <w:t>refiere</w:t>
      </w:r>
      <w:r w:rsidRPr="00F750A1">
        <w:rPr>
          <w:rFonts w:ascii="Cambria" w:eastAsia="Cambria" w:hAnsi="Cambria" w:cs="Cambria"/>
          <w:sz w:val="20"/>
          <w:szCs w:val="20"/>
        </w:rPr>
        <w:t xml:space="preserve"> al mercado doméstico, la </w:t>
      </w:r>
      <w:r>
        <w:rPr>
          <w:rFonts w:ascii="Cambria" w:eastAsia="Cambria" w:hAnsi="Cambria" w:cs="Cambria"/>
          <w:sz w:val="20"/>
          <w:szCs w:val="20"/>
        </w:rPr>
        <w:t>Sociedad</w:t>
      </w:r>
      <w:r w:rsidRPr="00F750A1">
        <w:rPr>
          <w:rFonts w:ascii="Cambria" w:eastAsia="Cambria" w:hAnsi="Cambria" w:cs="Cambria"/>
          <w:sz w:val="20"/>
          <w:szCs w:val="20"/>
        </w:rPr>
        <w:t xml:space="preserve"> comercializa un 10% de su facturación total. Este porcentaje es la resultante de un mercado local acotado.</w:t>
      </w:r>
    </w:p>
    <w:p w14:paraId="6EA93151" w14:textId="77777777" w:rsidR="0031285E" w:rsidRPr="006F3A7A" w:rsidRDefault="0031285E" w:rsidP="0031285E">
      <w:pPr>
        <w:widowControl w:val="0"/>
        <w:spacing w:after="0"/>
        <w:jc w:val="both"/>
        <w:rPr>
          <w:rFonts w:ascii="Cambria" w:eastAsia="Cambria" w:hAnsi="Cambria" w:cs="Cambria"/>
          <w:sz w:val="20"/>
          <w:szCs w:val="20"/>
        </w:rPr>
      </w:pPr>
    </w:p>
    <w:p w14:paraId="6BD5DEDE" w14:textId="77777777" w:rsidR="0031285E" w:rsidRPr="00A41F5C" w:rsidRDefault="0031285E" w:rsidP="0031285E">
      <w:pPr>
        <w:widowControl w:val="0"/>
        <w:spacing w:after="0"/>
        <w:jc w:val="both"/>
        <w:rPr>
          <w:rFonts w:ascii="Cambria" w:eastAsia="Cambria" w:hAnsi="Cambria" w:cs="Cambria"/>
          <w:sz w:val="20"/>
          <w:szCs w:val="20"/>
        </w:rPr>
      </w:pPr>
      <w:r w:rsidRPr="006F3A7A">
        <w:rPr>
          <w:rFonts w:ascii="Cambria" w:eastAsia="Cambria" w:hAnsi="Cambria" w:cs="Cambria"/>
          <w:sz w:val="20"/>
          <w:szCs w:val="20"/>
        </w:rPr>
        <w:t xml:space="preserve">A diferencia de países como Estados Unidos o Brasil, el consumo local de productos provenientes de la molienda de soja no </w:t>
      </w:r>
      <w:r w:rsidRPr="00A41F5C">
        <w:rPr>
          <w:rFonts w:ascii="Cambria" w:eastAsia="Cambria" w:hAnsi="Cambria" w:cs="Cambria"/>
          <w:sz w:val="20"/>
          <w:szCs w:val="20"/>
        </w:rPr>
        <w:t xml:space="preserve">se encuentra tan desarrollado en Argentina; destinándose menos del 10% de la producción total de harinas y pellets para la elaboración de alimentos balanceados, y alrededor del 15% del aceite en el consumo alimenticio y en la transformación a biodiesel. </w:t>
      </w:r>
    </w:p>
    <w:p w14:paraId="06D3E0F7" w14:textId="77777777" w:rsidR="0031285E" w:rsidRPr="00A41F5C" w:rsidRDefault="0031285E" w:rsidP="0031285E">
      <w:pPr>
        <w:widowControl w:val="0"/>
        <w:spacing w:after="0"/>
        <w:jc w:val="both"/>
        <w:rPr>
          <w:rFonts w:ascii="Cambria" w:eastAsia="Cambria" w:hAnsi="Cambria" w:cs="Cambria"/>
          <w:sz w:val="20"/>
          <w:szCs w:val="20"/>
        </w:rPr>
      </w:pPr>
    </w:p>
    <w:p w14:paraId="096A1004" w14:textId="77777777" w:rsidR="0031285E" w:rsidRPr="00F750A1" w:rsidRDefault="0031285E" w:rsidP="0031285E">
      <w:pPr>
        <w:widowControl w:val="0"/>
        <w:spacing w:after="0"/>
        <w:jc w:val="both"/>
        <w:rPr>
          <w:rFonts w:ascii="Cambria" w:eastAsia="Cambria" w:hAnsi="Cambria" w:cs="Cambria"/>
          <w:sz w:val="20"/>
          <w:szCs w:val="20"/>
        </w:rPr>
      </w:pPr>
      <w:r w:rsidRPr="00F750A1">
        <w:rPr>
          <w:rFonts w:ascii="Cambria" w:eastAsia="Cambria" w:hAnsi="Cambria" w:cs="Cambria"/>
          <w:sz w:val="20"/>
          <w:szCs w:val="20"/>
        </w:rPr>
        <w:t xml:space="preserve">Molinos </w:t>
      </w:r>
      <w:r>
        <w:rPr>
          <w:rFonts w:ascii="Cambria" w:eastAsia="Cambria" w:hAnsi="Cambria" w:cs="Cambria"/>
          <w:sz w:val="20"/>
          <w:szCs w:val="20"/>
        </w:rPr>
        <w:t>Agro</w:t>
      </w:r>
      <w:r w:rsidRPr="00F750A1">
        <w:rPr>
          <w:rFonts w:ascii="Cambria" w:eastAsia="Cambria" w:hAnsi="Cambria" w:cs="Cambria"/>
          <w:sz w:val="20"/>
          <w:szCs w:val="20"/>
        </w:rPr>
        <w:t xml:space="preserve"> ofrece materias primas provenientes de los procesos de molienda del poroto de soja y de girasol para la elaboración de alimentos balanceados, que se utilizan para la alimentación de producciones animales. Los principales clientes de la empresa son grandes elaboradores de balanceados, las principales empresas productoras de pollos, cerdos y grandes feedlots y tambos.</w:t>
      </w:r>
    </w:p>
    <w:p w14:paraId="44F52A57" w14:textId="77777777" w:rsidR="0031285E" w:rsidRPr="00F750A1" w:rsidRDefault="0031285E" w:rsidP="0031285E">
      <w:pPr>
        <w:widowControl w:val="0"/>
        <w:spacing w:after="0"/>
        <w:jc w:val="both"/>
        <w:rPr>
          <w:rFonts w:ascii="Cambria" w:eastAsia="Cambria" w:hAnsi="Cambria" w:cs="Cambria"/>
          <w:sz w:val="20"/>
          <w:szCs w:val="20"/>
        </w:rPr>
      </w:pPr>
      <w:r w:rsidRPr="00F750A1">
        <w:rPr>
          <w:rFonts w:ascii="Cambria" w:eastAsia="Cambria" w:hAnsi="Cambria" w:cs="Cambria"/>
          <w:sz w:val="20"/>
          <w:szCs w:val="20"/>
        </w:rPr>
        <w:t xml:space="preserve">Molinos </w:t>
      </w:r>
      <w:r>
        <w:rPr>
          <w:rFonts w:ascii="Cambria" w:eastAsia="Cambria" w:hAnsi="Cambria" w:cs="Cambria"/>
          <w:sz w:val="20"/>
          <w:szCs w:val="20"/>
        </w:rPr>
        <w:t>A</w:t>
      </w:r>
      <w:r w:rsidRPr="00F750A1">
        <w:rPr>
          <w:rFonts w:ascii="Cambria" w:eastAsia="Cambria" w:hAnsi="Cambria" w:cs="Cambria"/>
          <w:sz w:val="20"/>
          <w:szCs w:val="20"/>
        </w:rPr>
        <w:t xml:space="preserve">gro es uno de los principales </w:t>
      </w:r>
      <w:r>
        <w:rPr>
          <w:rFonts w:ascii="Cambria" w:eastAsia="Cambria" w:hAnsi="Cambria" w:cs="Cambria"/>
          <w:sz w:val="20"/>
          <w:szCs w:val="20"/>
        </w:rPr>
        <w:t>proveedores</w:t>
      </w:r>
      <w:r w:rsidRPr="00F750A1">
        <w:rPr>
          <w:rFonts w:ascii="Cambria" w:eastAsia="Cambria" w:hAnsi="Cambria" w:cs="Cambria"/>
          <w:sz w:val="20"/>
          <w:szCs w:val="20"/>
        </w:rPr>
        <w:t xml:space="preserve"> debido a su alto compromiso con el servicio y la calidad, muy valorado por los clientes.</w:t>
      </w:r>
    </w:p>
    <w:p w14:paraId="0C6630FD" w14:textId="77777777" w:rsidR="0031285E" w:rsidRPr="00F750A1" w:rsidRDefault="0031285E" w:rsidP="0031285E">
      <w:pPr>
        <w:widowControl w:val="0"/>
        <w:spacing w:after="0"/>
        <w:jc w:val="both"/>
        <w:rPr>
          <w:rFonts w:ascii="Cambria" w:eastAsia="Cambria" w:hAnsi="Cambria" w:cs="Cambria"/>
          <w:sz w:val="20"/>
          <w:szCs w:val="20"/>
        </w:rPr>
      </w:pPr>
    </w:p>
    <w:p w14:paraId="4772042B" w14:textId="77777777" w:rsidR="0031285E" w:rsidRPr="00146D0A" w:rsidRDefault="0031285E" w:rsidP="0031285E">
      <w:pPr>
        <w:widowControl w:val="0"/>
        <w:spacing w:after="0"/>
        <w:jc w:val="both"/>
        <w:rPr>
          <w:rFonts w:ascii="Cambria" w:eastAsia="Cambria" w:hAnsi="Cambria" w:cs="Cambria"/>
          <w:sz w:val="20"/>
          <w:szCs w:val="20"/>
        </w:rPr>
      </w:pPr>
      <w:r w:rsidRPr="00F750A1">
        <w:rPr>
          <w:rFonts w:ascii="Cambria" w:eastAsia="Cambria" w:hAnsi="Cambria" w:cs="Cambria"/>
          <w:sz w:val="20"/>
          <w:szCs w:val="20"/>
        </w:rPr>
        <w:t xml:space="preserve">En cuanto al biodiesel, la Sociedad provee a empresas nacionales en el marco del mandato oficial de mercado local (B10, que implica un corte del 10% al gasoil de origen mineral), con la calidad y logística habituales. </w:t>
      </w:r>
    </w:p>
    <w:p w14:paraId="7C16D08A" w14:textId="77777777" w:rsidR="0031285E" w:rsidRPr="00E35B7B" w:rsidRDefault="0031285E" w:rsidP="0031285E">
      <w:pPr>
        <w:widowControl w:val="0"/>
        <w:spacing w:after="0"/>
        <w:jc w:val="both"/>
        <w:rPr>
          <w:rFonts w:ascii="Cambria" w:eastAsia="Cambria" w:hAnsi="Cambria" w:cs="Cambria"/>
          <w:sz w:val="20"/>
          <w:szCs w:val="20"/>
        </w:rPr>
      </w:pPr>
    </w:p>
    <w:p w14:paraId="124B460E" w14:textId="77777777" w:rsidR="0031285E" w:rsidRPr="00E35B7B" w:rsidRDefault="0031285E" w:rsidP="0031285E">
      <w:pPr>
        <w:widowControl w:val="0"/>
        <w:spacing w:after="0"/>
        <w:jc w:val="both"/>
        <w:rPr>
          <w:rFonts w:ascii="Cambria" w:eastAsia="Cambria" w:hAnsi="Cambria" w:cs="Cambria"/>
          <w:sz w:val="20"/>
          <w:szCs w:val="20"/>
        </w:rPr>
      </w:pPr>
      <w:r w:rsidRPr="00E35B7B">
        <w:rPr>
          <w:rFonts w:ascii="Cambria" w:eastAsia="Cambria" w:hAnsi="Cambria" w:cs="Cambria"/>
          <w:sz w:val="20"/>
          <w:szCs w:val="20"/>
        </w:rPr>
        <w:t>Estacionalidad</w:t>
      </w:r>
    </w:p>
    <w:p w14:paraId="6CCB4DBE" w14:textId="77777777" w:rsidR="0031285E" w:rsidRPr="00E35B7B" w:rsidRDefault="0031285E" w:rsidP="0031285E">
      <w:pPr>
        <w:widowControl w:val="0"/>
        <w:spacing w:after="0"/>
        <w:jc w:val="both"/>
        <w:rPr>
          <w:rFonts w:ascii="Cambria" w:eastAsia="Cambria" w:hAnsi="Cambria" w:cs="Cambria"/>
          <w:sz w:val="20"/>
          <w:szCs w:val="20"/>
        </w:rPr>
      </w:pPr>
    </w:p>
    <w:p w14:paraId="4E7256E0" w14:textId="77777777" w:rsidR="0031285E" w:rsidRPr="00A41F5C" w:rsidRDefault="0031285E" w:rsidP="0031285E">
      <w:pPr>
        <w:widowControl w:val="0"/>
        <w:spacing w:after="0"/>
        <w:jc w:val="both"/>
        <w:rPr>
          <w:rFonts w:ascii="Cambria" w:eastAsia="Cambria" w:hAnsi="Cambria" w:cs="Cambria"/>
          <w:sz w:val="20"/>
          <w:szCs w:val="20"/>
        </w:rPr>
      </w:pPr>
      <w:r w:rsidRPr="00A41F5C">
        <w:rPr>
          <w:rFonts w:ascii="Cambria" w:eastAsia="Cambria" w:hAnsi="Cambria" w:cs="Cambria"/>
          <w:sz w:val="20"/>
          <w:szCs w:val="20"/>
        </w:rPr>
        <w:t xml:space="preserve">Si bien la cosecha de soja en el país tiene una marcada estacionalidad entre los meses de abril y junio, la comercialización de </w:t>
      </w:r>
      <w:proofErr w:type="gramStart"/>
      <w:r w:rsidRPr="00A41F5C">
        <w:rPr>
          <w:rFonts w:ascii="Cambria" w:eastAsia="Cambria" w:hAnsi="Cambria" w:cs="Cambria"/>
          <w:sz w:val="20"/>
          <w:szCs w:val="20"/>
        </w:rPr>
        <w:t>la misma</w:t>
      </w:r>
      <w:proofErr w:type="gramEnd"/>
      <w:r w:rsidRPr="00A41F5C">
        <w:rPr>
          <w:rFonts w:ascii="Cambria" w:eastAsia="Cambria" w:hAnsi="Cambria" w:cs="Cambria"/>
          <w:sz w:val="20"/>
          <w:szCs w:val="20"/>
        </w:rPr>
        <w:t xml:space="preserve"> se mantiene activa durante todo el año, al igual que la venta de los productos. </w:t>
      </w:r>
    </w:p>
    <w:p w14:paraId="137BBC19" w14:textId="77777777" w:rsidR="0031285E" w:rsidRDefault="0031285E" w:rsidP="0031285E">
      <w:pPr>
        <w:widowControl w:val="0"/>
        <w:spacing w:after="0"/>
        <w:jc w:val="both"/>
        <w:rPr>
          <w:rFonts w:ascii="Cambria" w:eastAsia="Cambria" w:hAnsi="Cambria" w:cs="Cambria"/>
          <w:sz w:val="20"/>
          <w:szCs w:val="20"/>
        </w:rPr>
      </w:pPr>
    </w:p>
    <w:p w14:paraId="0CEBD411" w14:textId="77777777" w:rsidR="0031285E" w:rsidRPr="00A41F5C" w:rsidRDefault="0031285E" w:rsidP="0031285E">
      <w:pPr>
        <w:widowControl w:val="0"/>
        <w:spacing w:after="0"/>
        <w:jc w:val="both"/>
        <w:rPr>
          <w:rFonts w:ascii="Cambria" w:eastAsia="Cambria" w:hAnsi="Cambria" w:cs="Cambria"/>
          <w:sz w:val="20"/>
          <w:szCs w:val="20"/>
        </w:rPr>
      </w:pPr>
      <w:r w:rsidRPr="00A41F5C">
        <w:rPr>
          <w:rFonts w:ascii="Cambria" w:eastAsia="Cambria" w:hAnsi="Cambria" w:cs="Cambria"/>
          <w:sz w:val="20"/>
          <w:szCs w:val="20"/>
        </w:rPr>
        <w:t xml:space="preserve">A partir de octubre, entra al juego la cosecha de Estados Unidos, compitiendo en las exportaciones de productos de la molienda de soja. Sin embargo, al ser Argentina el principal proveedor mundial de harina y aceite de soja, la industria continúa trabajando y exportando a los destinos habituales. </w:t>
      </w:r>
    </w:p>
    <w:p w14:paraId="4E334081" w14:textId="77777777" w:rsidR="0031285E" w:rsidRPr="00A41F5C" w:rsidRDefault="0031285E" w:rsidP="0031285E">
      <w:pPr>
        <w:widowControl w:val="0"/>
        <w:spacing w:after="0"/>
        <w:jc w:val="both"/>
        <w:rPr>
          <w:rFonts w:ascii="Cambria" w:eastAsia="Cambria" w:hAnsi="Cambria" w:cs="Cambria"/>
          <w:sz w:val="20"/>
          <w:szCs w:val="20"/>
        </w:rPr>
      </w:pPr>
    </w:p>
    <w:p w14:paraId="1F3E74C6" w14:textId="77777777" w:rsidR="0031285E" w:rsidRPr="00A41F5C" w:rsidRDefault="0031285E" w:rsidP="0031285E">
      <w:pPr>
        <w:widowControl w:val="0"/>
        <w:spacing w:after="0"/>
        <w:jc w:val="both"/>
        <w:rPr>
          <w:rFonts w:ascii="Cambria" w:eastAsia="Cambria" w:hAnsi="Cambria" w:cs="Cambria"/>
          <w:sz w:val="20"/>
          <w:szCs w:val="20"/>
        </w:rPr>
      </w:pPr>
      <w:r w:rsidRPr="00A41F5C">
        <w:rPr>
          <w:rFonts w:ascii="Cambria" w:eastAsia="Cambria" w:hAnsi="Cambria" w:cs="Cambria"/>
          <w:sz w:val="20"/>
          <w:szCs w:val="20"/>
        </w:rPr>
        <w:t xml:space="preserve">En cuanto a maíz, debido a los dos períodos de cosecha que se dan en el país, Argentina se mantiene activo en las exportaciones, compartiendo mercado principalmente con Brasil entre julio y octubre; pero con amplia participación mundial entre marzo y mayo de cada año, luego de la finalización de la cosecha estadounidense.   </w:t>
      </w:r>
    </w:p>
    <w:p w14:paraId="3A129696" w14:textId="77777777" w:rsidR="0031285E" w:rsidRPr="00A41F5C" w:rsidRDefault="0031285E" w:rsidP="0031285E">
      <w:pPr>
        <w:widowControl w:val="0"/>
        <w:spacing w:after="0"/>
        <w:jc w:val="both"/>
        <w:rPr>
          <w:rFonts w:ascii="Cambria" w:eastAsia="Cambria" w:hAnsi="Cambria" w:cs="Cambria"/>
          <w:sz w:val="20"/>
          <w:szCs w:val="20"/>
        </w:rPr>
      </w:pPr>
    </w:p>
    <w:p w14:paraId="7627DD58" w14:textId="77777777" w:rsidR="0031285E" w:rsidRPr="00A41F5C" w:rsidRDefault="0031285E" w:rsidP="0031285E">
      <w:pPr>
        <w:widowControl w:val="0"/>
        <w:spacing w:after="0"/>
        <w:jc w:val="both"/>
        <w:rPr>
          <w:rFonts w:ascii="Cambria" w:eastAsia="Cambria" w:hAnsi="Cambria" w:cs="Cambria"/>
          <w:sz w:val="20"/>
          <w:szCs w:val="20"/>
        </w:rPr>
      </w:pPr>
      <w:r w:rsidRPr="00A41F5C">
        <w:rPr>
          <w:rFonts w:ascii="Cambria" w:eastAsia="Cambria" w:hAnsi="Cambria" w:cs="Cambria"/>
          <w:sz w:val="20"/>
          <w:szCs w:val="20"/>
        </w:rPr>
        <w:t xml:space="preserve">Respecto de trigo, la estacionalidad de cosecha y comercialización es bastante más marcada, principalmente alrededor de cosecha (entre los meses de diciembre y febrero); con una participación mundial sensiblemente menor, debido a la gran atomización existente entre los principales países exportadores del grano. </w:t>
      </w:r>
    </w:p>
    <w:p w14:paraId="72636589" w14:textId="77777777" w:rsidR="0031285E" w:rsidRPr="00E35B7B" w:rsidRDefault="0031285E" w:rsidP="0031285E">
      <w:pPr>
        <w:widowControl w:val="0"/>
        <w:spacing w:after="0"/>
        <w:jc w:val="both"/>
        <w:rPr>
          <w:rFonts w:ascii="Cambria" w:eastAsia="Cambria" w:hAnsi="Cambria" w:cs="Cambria"/>
          <w:sz w:val="20"/>
          <w:szCs w:val="20"/>
        </w:rPr>
      </w:pPr>
    </w:p>
    <w:p w14:paraId="6A3B409D" w14:textId="77777777" w:rsidR="0031285E" w:rsidRPr="00E35B7B" w:rsidRDefault="0031285E" w:rsidP="0031285E">
      <w:pPr>
        <w:widowControl w:val="0"/>
        <w:spacing w:after="0"/>
        <w:jc w:val="both"/>
        <w:rPr>
          <w:rFonts w:ascii="Cambria" w:eastAsia="Cambria" w:hAnsi="Cambria" w:cs="Cambria"/>
          <w:sz w:val="20"/>
          <w:szCs w:val="20"/>
        </w:rPr>
      </w:pPr>
      <w:r w:rsidRPr="00E35B7B">
        <w:rPr>
          <w:rFonts w:ascii="Cambria" w:eastAsia="Cambria" w:hAnsi="Cambria" w:cs="Cambria"/>
          <w:sz w:val="20"/>
          <w:szCs w:val="20"/>
        </w:rPr>
        <w:t>Materias primas y proveedores</w:t>
      </w:r>
    </w:p>
    <w:p w14:paraId="7E2AAD02" w14:textId="77777777" w:rsidR="0031285E" w:rsidRPr="00E35B7B" w:rsidRDefault="0031285E" w:rsidP="0031285E">
      <w:pPr>
        <w:widowControl w:val="0"/>
        <w:spacing w:after="0"/>
        <w:jc w:val="both"/>
        <w:rPr>
          <w:rFonts w:ascii="Cambria" w:eastAsia="Cambria" w:hAnsi="Cambria" w:cs="Cambria"/>
          <w:sz w:val="20"/>
          <w:szCs w:val="20"/>
        </w:rPr>
      </w:pPr>
    </w:p>
    <w:p w14:paraId="463C2E19" w14:textId="77777777" w:rsidR="0031285E" w:rsidRDefault="0031285E" w:rsidP="0031285E">
      <w:pPr>
        <w:widowControl w:val="0"/>
        <w:spacing w:after="0"/>
        <w:jc w:val="both"/>
        <w:rPr>
          <w:rFonts w:ascii="Cambria" w:eastAsia="Cambria" w:hAnsi="Cambria" w:cs="Cambria"/>
          <w:sz w:val="20"/>
          <w:szCs w:val="20"/>
        </w:rPr>
      </w:pPr>
      <w:r w:rsidRPr="00F82D66">
        <w:rPr>
          <w:rFonts w:ascii="Cambria" w:eastAsia="Cambria" w:hAnsi="Cambria" w:cs="Cambria"/>
          <w:sz w:val="20"/>
          <w:szCs w:val="20"/>
        </w:rPr>
        <w:t>Como protagonista de la cadena agroindustrial, la Sociedad y su antecesora trabaja, desde 1902, con el objetivo de agregar valor a la producción del campo argentino. El área de originación es la responsable de la compra de las materias primas que son utilizadas para la producción y su comercialización. De esta forma, en los últimos años la Sociedad, ha originado un promedio anual de 4,5 millones de toneladas de poroto de soja y más de 2 millones de toneladas de maíz y trigo. Esta estrategia de originación está apalancada en un equipo comercial con presencia en los principales puntos del núcleo productivo argentino y en una red de acopios ubicados estratégicamente dando soporte en forma permanente, lo que permite a la Sociedad forjar relaciones de largo plazo con más de 1.000 productores en forma directa de distintos lugares de nuestro país.</w:t>
      </w:r>
    </w:p>
    <w:p w14:paraId="0DC13F0A" w14:textId="77777777" w:rsidR="0031285E" w:rsidRDefault="0031285E" w:rsidP="0031285E">
      <w:pPr>
        <w:widowControl w:val="0"/>
        <w:spacing w:after="0"/>
        <w:jc w:val="both"/>
        <w:rPr>
          <w:rFonts w:ascii="Cambria" w:eastAsia="Cambria" w:hAnsi="Cambria" w:cs="Cambria"/>
          <w:sz w:val="20"/>
          <w:szCs w:val="20"/>
        </w:rPr>
      </w:pPr>
    </w:p>
    <w:p w14:paraId="499C20D3" w14:textId="77777777" w:rsidR="0031285E" w:rsidRPr="00E35B7B" w:rsidRDefault="0031285E" w:rsidP="0031285E">
      <w:pPr>
        <w:jc w:val="both"/>
        <w:rPr>
          <w:rFonts w:ascii="Cambria" w:eastAsia="Cambria" w:hAnsi="Cambria" w:cs="Cambria"/>
          <w:i/>
          <w:sz w:val="20"/>
          <w:szCs w:val="20"/>
        </w:rPr>
      </w:pPr>
      <w:bookmarkStart w:id="12" w:name="_Hlk14787882"/>
      <w:r w:rsidRPr="00E35B7B">
        <w:rPr>
          <w:rFonts w:ascii="Cambria" w:eastAsia="Cambria" w:hAnsi="Cambria" w:cs="Cambria"/>
          <w:i/>
          <w:sz w:val="20"/>
          <w:szCs w:val="20"/>
        </w:rPr>
        <w:t>Canales de comercialización</w:t>
      </w:r>
      <w:bookmarkEnd w:id="12"/>
    </w:p>
    <w:p w14:paraId="05A40F5B" w14:textId="77777777" w:rsidR="0031285E" w:rsidRPr="00A41F5C" w:rsidRDefault="0031285E" w:rsidP="0031285E">
      <w:pPr>
        <w:widowControl w:val="0"/>
        <w:spacing w:after="0"/>
        <w:jc w:val="both"/>
        <w:rPr>
          <w:rFonts w:ascii="Cambria" w:eastAsia="Cambria" w:hAnsi="Cambria" w:cs="Cambria"/>
          <w:sz w:val="20"/>
          <w:szCs w:val="20"/>
        </w:rPr>
      </w:pPr>
      <w:r w:rsidRPr="00A41F5C">
        <w:rPr>
          <w:rFonts w:ascii="Cambria" w:eastAsia="Cambria" w:hAnsi="Cambria" w:cs="Cambria"/>
          <w:sz w:val="20"/>
          <w:szCs w:val="20"/>
        </w:rPr>
        <w:t>Molinos Agro realiza la exportación de sus productos desde puerto San Benito al mundo</w:t>
      </w:r>
      <w:r>
        <w:rPr>
          <w:rFonts w:ascii="Cambria" w:eastAsia="Cambria" w:hAnsi="Cambria" w:cs="Cambria"/>
          <w:sz w:val="20"/>
          <w:szCs w:val="20"/>
        </w:rPr>
        <w:t>. Su Sociedad Controlada a su vez</w:t>
      </w:r>
      <w:r w:rsidRPr="00A41F5C">
        <w:rPr>
          <w:rFonts w:ascii="Cambria" w:eastAsia="Cambria" w:hAnsi="Cambria" w:cs="Cambria"/>
          <w:sz w:val="20"/>
          <w:szCs w:val="20"/>
        </w:rPr>
        <w:t xml:space="preserve"> desarrolla relaciones de largo plazo </w:t>
      </w:r>
      <w:r>
        <w:rPr>
          <w:rFonts w:ascii="Cambria" w:eastAsia="Cambria" w:hAnsi="Cambria" w:cs="Cambria"/>
          <w:sz w:val="20"/>
          <w:szCs w:val="20"/>
        </w:rPr>
        <w:t>con</w:t>
      </w:r>
      <w:r w:rsidRPr="00A41F5C">
        <w:rPr>
          <w:rFonts w:ascii="Cambria" w:eastAsia="Cambria" w:hAnsi="Cambria" w:cs="Cambria"/>
          <w:sz w:val="20"/>
          <w:szCs w:val="20"/>
        </w:rPr>
        <w:t xml:space="preserve"> clientes con escala relevante en destino. </w:t>
      </w:r>
    </w:p>
    <w:p w14:paraId="01EDBB3A" w14:textId="77777777" w:rsidR="0031285E" w:rsidRDefault="0031285E" w:rsidP="0031285E">
      <w:pPr>
        <w:widowControl w:val="0"/>
        <w:spacing w:after="0"/>
        <w:jc w:val="both"/>
        <w:rPr>
          <w:rFonts w:ascii="Cambria" w:eastAsia="Cambria" w:hAnsi="Cambria" w:cs="Cambria"/>
          <w:sz w:val="20"/>
          <w:szCs w:val="20"/>
        </w:rPr>
      </w:pPr>
    </w:p>
    <w:p w14:paraId="18345725" w14:textId="77777777" w:rsidR="0031285E" w:rsidRPr="00E35B7B" w:rsidRDefault="0031285E" w:rsidP="0031285E">
      <w:pPr>
        <w:widowControl w:val="0"/>
        <w:spacing w:after="0"/>
        <w:jc w:val="both"/>
        <w:rPr>
          <w:rFonts w:ascii="Cambria" w:eastAsia="Cambria" w:hAnsi="Cambria" w:cs="Cambria"/>
          <w:i/>
          <w:sz w:val="20"/>
          <w:szCs w:val="20"/>
        </w:rPr>
      </w:pPr>
      <w:r w:rsidRPr="00E35B7B">
        <w:rPr>
          <w:rFonts w:ascii="Cambria" w:eastAsia="Cambria" w:hAnsi="Cambria" w:cs="Cambria"/>
          <w:i/>
          <w:sz w:val="20"/>
          <w:szCs w:val="20"/>
        </w:rPr>
        <w:t>Patentes Licencias o Contratos Industriales</w:t>
      </w:r>
    </w:p>
    <w:p w14:paraId="2AFFED54" w14:textId="77777777" w:rsidR="0031285E" w:rsidRDefault="0031285E" w:rsidP="0031285E">
      <w:pPr>
        <w:widowControl w:val="0"/>
        <w:spacing w:after="0"/>
        <w:jc w:val="both"/>
        <w:rPr>
          <w:rFonts w:ascii="Cambria" w:eastAsia="Cambria" w:hAnsi="Cambria" w:cs="Cambria"/>
          <w:sz w:val="20"/>
          <w:szCs w:val="20"/>
        </w:rPr>
      </w:pPr>
    </w:p>
    <w:p w14:paraId="3740738D" w14:textId="77777777" w:rsidR="0031285E" w:rsidRDefault="0031285E" w:rsidP="0031285E">
      <w:pPr>
        <w:jc w:val="both"/>
        <w:rPr>
          <w:rFonts w:ascii="Cambria" w:eastAsia="Cambria" w:hAnsi="Cambria" w:cs="Cambria"/>
          <w:sz w:val="20"/>
          <w:szCs w:val="20"/>
        </w:rPr>
      </w:pPr>
      <w:r w:rsidRPr="00AC6946">
        <w:rPr>
          <w:rFonts w:ascii="Cambria" w:eastAsia="Cambria" w:hAnsi="Cambria" w:cs="Cambria"/>
          <w:sz w:val="20"/>
          <w:szCs w:val="20"/>
        </w:rPr>
        <w:t>La Sociedad no tiene patentes ni utiliza licencias que sean relevantes para la rentabilidad del negocio. Tampoco tiene contratos con proveedores industriales que sean relevantes para el negocio.</w:t>
      </w:r>
    </w:p>
    <w:p w14:paraId="3E9DBF5D" w14:textId="77777777" w:rsidR="0031285E" w:rsidRPr="00E35B7B" w:rsidRDefault="0031285E" w:rsidP="0031285E">
      <w:pPr>
        <w:jc w:val="both"/>
        <w:rPr>
          <w:rFonts w:ascii="Cambria" w:eastAsia="Cambria" w:hAnsi="Cambria" w:cs="Cambria"/>
          <w:i/>
          <w:sz w:val="20"/>
          <w:szCs w:val="20"/>
        </w:rPr>
      </w:pPr>
      <w:r w:rsidRPr="00E35B7B">
        <w:rPr>
          <w:rFonts w:ascii="Cambria" w:eastAsia="Cambria" w:hAnsi="Cambria" w:cs="Cambria"/>
          <w:i/>
          <w:sz w:val="20"/>
          <w:szCs w:val="20"/>
        </w:rPr>
        <w:t>Regulación estatal y medioambiental</w:t>
      </w:r>
    </w:p>
    <w:p w14:paraId="44C33624" w14:textId="77777777" w:rsidR="0031285E" w:rsidRDefault="0031285E" w:rsidP="0031285E">
      <w:pPr>
        <w:jc w:val="both"/>
        <w:rPr>
          <w:rFonts w:ascii="Cambria" w:eastAsia="Cambria" w:hAnsi="Cambria" w:cs="Cambria"/>
          <w:sz w:val="20"/>
          <w:szCs w:val="20"/>
        </w:rPr>
      </w:pPr>
      <w:r w:rsidRPr="00F82D66">
        <w:rPr>
          <w:rFonts w:ascii="Cambria" w:eastAsia="Cambria" w:hAnsi="Cambria" w:cs="Cambria"/>
          <w:sz w:val="20"/>
          <w:szCs w:val="20"/>
        </w:rPr>
        <w:t xml:space="preserve">El negocio agroindustrial exportador en el que participa Molinos </w:t>
      </w:r>
      <w:r>
        <w:rPr>
          <w:rFonts w:ascii="Cambria" w:eastAsia="Cambria" w:hAnsi="Cambria" w:cs="Cambria"/>
          <w:sz w:val="20"/>
          <w:szCs w:val="20"/>
        </w:rPr>
        <w:t>A</w:t>
      </w:r>
      <w:r w:rsidRPr="00F82D66">
        <w:rPr>
          <w:rFonts w:ascii="Cambria" w:eastAsia="Cambria" w:hAnsi="Cambria" w:cs="Cambria"/>
          <w:sz w:val="20"/>
          <w:szCs w:val="20"/>
        </w:rPr>
        <w:t xml:space="preserve">gro requiere de activos específicos, como una </w:t>
      </w:r>
      <w:r>
        <w:rPr>
          <w:rFonts w:ascii="Cambria" w:eastAsia="Cambria" w:hAnsi="Cambria" w:cs="Cambria"/>
          <w:sz w:val="20"/>
          <w:szCs w:val="20"/>
        </w:rPr>
        <w:t>p</w:t>
      </w:r>
      <w:r w:rsidRPr="00F82D66">
        <w:rPr>
          <w:rFonts w:ascii="Cambria" w:eastAsia="Cambria" w:hAnsi="Cambria" w:cs="Cambria"/>
          <w:sz w:val="20"/>
          <w:szCs w:val="20"/>
        </w:rPr>
        <w:t>lanta de almacenamiento y procesamiento, y un puerto</w:t>
      </w:r>
      <w:r>
        <w:rPr>
          <w:rFonts w:ascii="Cambria" w:eastAsia="Cambria" w:hAnsi="Cambria" w:cs="Cambria"/>
          <w:sz w:val="20"/>
          <w:szCs w:val="20"/>
        </w:rPr>
        <w:t xml:space="preserve">, siendo una actividad que requiere </w:t>
      </w:r>
      <w:r>
        <w:rPr>
          <w:rFonts w:ascii="Cambria" w:eastAsia="Cambria" w:hAnsi="Cambria" w:cs="Cambria"/>
          <w:sz w:val="20"/>
          <w:szCs w:val="20"/>
        </w:rPr>
        <w:lastRenderedPageBreak/>
        <w:t>habilitaciones, así como los establecimientos, y está altamente regulada por distintos organismos de contralor tanto nacionales como provinciales y municipales</w:t>
      </w:r>
    </w:p>
    <w:p w14:paraId="1000D760" w14:textId="77777777" w:rsidR="0031285E" w:rsidRPr="00F82D66" w:rsidRDefault="0031285E" w:rsidP="0031285E">
      <w:pPr>
        <w:jc w:val="both"/>
        <w:rPr>
          <w:rFonts w:ascii="Cambria" w:eastAsia="Cambria" w:hAnsi="Cambria" w:cs="Cambria"/>
          <w:sz w:val="20"/>
          <w:szCs w:val="20"/>
        </w:rPr>
      </w:pPr>
      <w:r w:rsidRPr="00F82D66">
        <w:rPr>
          <w:rFonts w:ascii="Cambria" w:eastAsia="Cambria" w:hAnsi="Cambria" w:cs="Cambria"/>
          <w:sz w:val="20"/>
          <w:szCs w:val="20"/>
        </w:rPr>
        <w:t>La habilitación municipal y provincial de estos activos requirió de un muy completo Estudio de Impacto Ambiental</w:t>
      </w:r>
      <w:r>
        <w:rPr>
          <w:rFonts w:ascii="Cambria" w:eastAsia="Cambria" w:hAnsi="Cambria" w:cs="Cambria"/>
          <w:sz w:val="20"/>
          <w:szCs w:val="20"/>
        </w:rPr>
        <w:t xml:space="preserve"> presentado y aprobado por el </w:t>
      </w:r>
      <w:r w:rsidRPr="00F82D66">
        <w:rPr>
          <w:rFonts w:ascii="Cambria" w:eastAsia="Cambria" w:hAnsi="Cambria" w:cs="Cambria"/>
          <w:sz w:val="20"/>
          <w:szCs w:val="20"/>
        </w:rPr>
        <w:t>Ministerio de Medio Ambiente de la Provincia de Santa Fe.</w:t>
      </w:r>
    </w:p>
    <w:p w14:paraId="0B533E9E" w14:textId="77777777" w:rsidR="0031285E" w:rsidRDefault="0031285E" w:rsidP="0031285E">
      <w:pPr>
        <w:widowControl w:val="0"/>
        <w:spacing w:after="0"/>
        <w:jc w:val="both"/>
        <w:rPr>
          <w:rFonts w:ascii="Cambria" w:eastAsia="Cambria" w:hAnsi="Cambria" w:cs="Cambria"/>
          <w:sz w:val="20"/>
          <w:szCs w:val="20"/>
        </w:rPr>
      </w:pPr>
      <w:r w:rsidRPr="00F82D66">
        <w:rPr>
          <w:rFonts w:ascii="Cambria" w:eastAsia="Cambria" w:hAnsi="Cambria" w:cs="Cambria"/>
          <w:sz w:val="20"/>
          <w:szCs w:val="20"/>
        </w:rPr>
        <w:t>Luego, y de forma periódica, la Municipalidad de San Lorenzo es la encargada de monitorear los distintos parámetros ambientales, informando al Ministerio Provincial cualquier desvío detectado, a lo que sigue un informe del caso y un plan de acción por parte de la empresa.</w:t>
      </w:r>
    </w:p>
    <w:p w14:paraId="1395E47B" w14:textId="77777777" w:rsidR="0031285E" w:rsidRDefault="0031285E" w:rsidP="0031285E">
      <w:pPr>
        <w:widowControl w:val="0"/>
        <w:spacing w:after="0"/>
        <w:jc w:val="both"/>
        <w:rPr>
          <w:rFonts w:ascii="Cambria" w:eastAsia="Cambria" w:hAnsi="Cambria" w:cs="Cambria"/>
          <w:sz w:val="20"/>
          <w:szCs w:val="20"/>
        </w:rPr>
      </w:pPr>
    </w:p>
    <w:p w14:paraId="786AF52F" w14:textId="77777777" w:rsidR="0031285E" w:rsidRPr="006E4259" w:rsidRDefault="0031285E" w:rsidP="0031285E">
      <w:pPr>
        <w:widowControl w:val="0"/>
        <w:spacing w:after="0"/>
        <w:jc w:val="both"/>
        <w:rPr>
          <w:rFonts w:ascii="Cambria" w:hAnsi="Cambria"/>
          <w:i/>
          <w:sz w:val="20"/>
        </w:rPr>
      </w:pPr>
      <w:r w:rsidRPr="006E4259">
        <w:rPr>
          <w:rFonts w:ascii="Cambria" w:hAnsi="Cambria"/>
          <w:i/>
          <w:sz w:val="20"/>
        </w:rPr>
        <w:t>Sustentabilidad en el Marco de Negocios</w:t>
      </w:r>
    </w:p>
    <w:p w14:paraId="3A4CF640" w14:textId="77777777" w:rsidR="0031285E" w:rsidRPr="00F82D66" w:rsidRDefault="0031285E" w:rsidP="0031285E">
      <w:pPr>
        <w:jc w:val="both"/>
        <w:rPr>
          <w:rFonts w:ascii="Cambria" w:eastAsia="Cambria" w:hAnsi="Cambria" w:cs="Cambria"/>
          <w:sz w:val="20"/>
          <w:szCs w:val="20"/>
        </w:rPr>
      </w:pPr>
      <w:r>
        <w:rPr>
          <w:rFonts w:ascii="Cambria" w:eastAsia="Cambria" w:hAnsi="Cambria" w:cs="Cambria"/>
          <w:sz w:val="20"/>
          <w:szCs w:val="20"/>
        </w:rPr>
        <w:t>Los cuatro</w:t>
      </w:r>
      <w:r w:rsidRPr="00F82D66">
        <w:rPr>
          <w:rFonts w:ascii="Cambria" w:eastAsia="Cambria" w:hAnsi="Cambria" w:cs="Cambria"/>
          <w:sz w:val="20"/>
          <w:szCs w:val="20"/>
        </w:rPr>
        <w:t xml:space="preserve"> pilares del programa de sustentabilidad</w:t>
      </w:r>
      <w:r>
        <w:rPr>
          <w:rFonts w:ascii="Cambria" w:eastAsia="Cambria" w:hAnsi="Cambria" w:cs="Cambria"/>
          <w:sz w:val="20"/>
          <w:szCs w:val="20"/>
        </w:rPr>
        <w:t xml:space="preserve"> de Molinos Agro son los siguientes</w:t>
      </w:r>
      <w:r w:rsidRPr="00F82D66">
        <w:rPr>
          <w:rFonts w:ascii="Cambria" w:eastAsia="Cambria" w:hAnsi="Cambria" w:cs="Cambria"/>
          <w:sz w:val="20"/>
          <w:szCs w:val="20"/>
        </w:rPr>
        <w:t>:</w:t>
      </w:r>
    </w:p>
    <w:p w14:paraId="358FB790" w14:textId="77777777" w:rsidR="0031285E" w:rsidRPr="00E35B7B" w:rsidRDefault="0031285E" w:rsidP="000C02A3">
      <w:pPr>
        <w:numPr>
          <w:ilvl w:val="0"/>
          <w:numId w:val="4"/>
        </w:numPr>
        <w:pBdr>
          <w:top w:val="nil"/>
          <w:left w:val="nil"/>
          <w:bottom w:val="nil"/>
          <w:right w:val="nil"/>
          <w:between w:val="nil"/>
        </w:pBdr>
        <w:spacing w:after="0"/>
        <w:rPr>
          <w:rFonts w:ascii="Cambria" w:eastAsia="Cambria" w:hAnsi="Cambria" w:cs="Cambria"/>
          <w:sz w:val="20"/>
          <w:szCs w:val="20"/>
        </w:rPr>
      </w:pPr>
      <w:r w:rsidRPr="00E35B7B">
        <w:rPr>
          <w:rFonts w:ascii="Cambria" w:eastAsia="Cambria" w:hAnsi="Cambria" w:cs="Cambria"/>
          <w:sz w:val="20"/>
          <w:szCs w:val="20"/>
        </w:rPr>
        <w:t>La sustentabilidad del negocio,</w:t>
      </w:r>
    </w:p>
    <w:p w14:paraId="6581DFA2" w14:textId="77777777" w:rsidR="0031285E" w:rsidRPr="00E35B7B" w:rsidRDefault="0031285E" w:rsidP="000C02A3">
      <w:pPr>
        <w:numPr>
          <w:ilvl w:val="0"/>
          <w:numId w:val="4"/>
        </w:numPr>
        <w:pBdr>
          <w:top w:val="nil"/>
          <w:left w:val="nil"/>
          <w:bottom w:val="nil"/>
          <w:right w:val="nil"/>
          <w:between w:val="nil"/>
        </w:pBdr>
        <w:spacing w:after="0"/>
        <w:rPr>
          <w:rFonts w:ascii="Cambria" w:eastAsia="Cambria" w:hAnsi="Cambria" w:cs="Cambria"/>
          <w:sz w:val="20"/>
          <w:szCs w:val="20"/>
        </w:rPr>
      </w:pPr>
      <w:r w:rsidRPr="00E35B7B">
        <w:rPr>
          <w:rFonts w:ascii="Cambria" w:eastAsia="Cambria" w:hAnsi="Cambria" w:cs="Cambria"/>
          <w:sz w:val="20"/>
          <w:szCs w:val="20"/>
        </w:rPr>
        <w:t>El abastecimiento agrícola sostenible,</w:t>
      </w:r>
    </w:p>
    <w:p w14:paraId="426D3F44" w14:textId="77777777" w:rsidR="0031285E" w:rsidRPr="00E35B7B" w:rsidRDefault="0031285E" w:rsidP="000C02A3">
      <w:pPr>
        <w:numPr>
          <w:ilvl w:val="0"/>
          <w:numId w:val="4"/>
        </w:numPr>
        <w:pBdr>
          <w:top w:val="nil"/>
          <w:left w:val="nil"/>
          <w:bottom w:val="nil"/>
          <w:right w:val="nil"/>
          <w:between w:val="nil"/>
        </w:pBdr>
        <w:spacing w:after="0"/>
        <w:rPr>
          <w:rFonts w:ascii="Cambria" w:eastAsia="Cambria" w:hAnsi="Cambria" w:cs="Cambria"/>
          <w:sz w:val="20"/>
          <w:szCs w:val="20"/>
        </w:rPr>
      </w:pPr>
      <w:r w:rsidRPr="00E35B7B">
        <w:rPr>
          <w:rFonts w:ascii="Cambria" w:eastAsia="Cambria" w:hAnsi="Cambria" w:cs="Cambria"/>
          <w:sz w:val="20"/>
          <w:szCs w:val="20"/>
        </w:rPr>
        <w:t>Las personas y la comunidad, y</w:t>
      </w:r>
    </w:p>
    <w:p w14:paraId="7420DF61" w14:textId="77777777" w:rsidR="0031285E" w:rsidRPr="00E35B7B" w:rsidRDefault="0031285E" w:rsidP="000C02A3">
      <w:pPr>
        <w:numPr>
          <w:ilvl w:val="0"/>
          <w:numId w:val="4"/>
        </w:numPr>
        <w:pBdr>
          <w:top w:val="nil"/>
          <w:left w:val="nil"/>
          <w:bottom w:val="nil"/>
          <w:right w:val="nil"/>
          <w:between w:val="nil"/>
        </w:pBdr>
        <w:spacing w:after="0"/>
        <w:rPr>
          <w:rFonts w:ascii="Cambria" w:eastAsia="Cambria" w:hAnsi="Cambria" w:cs="Cambria"/>
          <w:sz w:val="20"/>
          <w:szCs w:val="20"/>
        </w:rPr>
      </w:pPr>
      <w:r w:rsidRPr="00E35B7B">
        <w:rPr>
          <w:rFonts w:ascii="Cambria" w:eastAsia="Cambria" w:hAnsi="Cambria" w:cs="Cambria"/>
          <w:sz w:val="20"/>
          <w:szCs w:val="20"/>
        </w:rPr>
        <w:t>El cuidado ambiental</w:t>
      </w:r>
    </w:p>
    <w:p w14:paraId="2C26779D" w14:textId="77777777" w:rsidR="0031285E" w:rsidRDefault="0031285E" w:rsidP="0031285E">
      <w:pPr>
        <w:jc w:val="both"/>
        <w:rPr>
          <w:rFonts w:ascii="Cambria" w:eastAsia="Cambria" w:hAnsi="Cambria" w:cs="Cambria"/>
          <w:sz w:val="20"/>
          <w:szCs w:val="20"/>
        </w:rPr>
      </w:pPr>
    </w:p>
    <w:p w14:paraId="5AC780C0" w14:textId="77777777" w:rsidR="0031285E" w:rsidRPr="006E4259" w:rsidRDefault="0031285E" w:rsidP="0031285E">
      <w:pPr>
        <w:jc w:val="both"/>
        <w:rPr>
          <w:rFonts w:ascii="Cambria" w:hAnsi="Cambria"/>
          <w:sz w:val="20"/>
        </w:rPr>
      </w:pPr>
      <w:r>
        <w:rPr>
          <w:rFonts w:ascii="Cambria" w:eastAsia="Cambria" w:hAnsi="Cambria" w:cs="Cambria"/>
          <w:sz w:val="20"/>
          <w:szCs w:val="20"/>
        </w:rPr>
        <w:t>En el marco de los</w:t>
      </w:r>
      <w:r w:rsidRPr="00F82D66">
        <w:rPr>
          <w:rFonts w:ascii="Cambria" w:eastAsia="Cambria" w:hAnsi="Cambria" w:cs="Cambria"/>
          <w:sz w:val="20"/>
          <w:szCs w:val="20"/>
        </w:rPr>
        <w:t xml:space="preserve"> Objetivos de Desarrollo Sostenible y las Metas de la Agenda de Naciones Unidas 2030</w:t>
      </w:r>
      <w:r>
        <w:rPr>
          <w:rFonts w:ascii="Cambria" w:eastAsia="Cambria" w:hAnsi="Cambria" w:cs="Cambria"/>
          <w:sz w:val="20"/>
          <w:szCs w:val="20"/>
        </w:rPr>
        <w:t xml:space="preserve">, la Sociedad elabora y cumple </w:t>
      </w:r>
      <w:r w:rsidRPr="00F82D66">
        <w:rPr>
          <w:rFonts w:ascii="Cambria" w:eastAsia="Cambria" w:hAnsi="Cambria" w:cs="Cambria"/>
          <w:sz w:val="20"/>
          <w:szCs w:val="20"/>
        </w:rPr>
        <w:t>anualmente bajo normativa de Global Reporting Initiative (GRI)</w:t>
      </w:r>
      <w:r>
        <w:rPr>
          <w:rFonts w:ascii="Cambria" w:eastAsia="Cambria" w:hAnsi="Cambria" w:cs="Cambria"/>
          <w:sz w:val="20"/>
          <w:szCs w:val="20"/>
        </w:rPr>
        <w:t xml:space="preserve"> el reporte de sustentabilidad</w:t>
      </w:r>
      <w:r w:rsidRPr="00F82D66">
        <w:rPr>
          <w:rFonts w:ascii="Cambria" w:eastAsia="Cambria" w:hAnsi="Cambria" w:cs="Cambria"/>
          <w:sz w:val="20"/>
          <w:szCs w:val="20"/>
        </w:rPr>
        <w:t xml:space="preserve">, dando cuenta no sólo de la situación de la empresa </w:t>
      </w:r>
      <w:proofErr w:type="gramStart"/>
      <w:r w:rsidRPr="00F82D66">
        <w:rPr>
          <w:rFonts w:ascii="Cambria" w:eastAsia="Cambria" w:hAnsi="Cambria" w:cs="Cambria"/>
          <w:sz w:val="20"/>
          <w:szCs w:val="20"/>
        </w:rPr>
        <w:t>en relación a</w:t>
      </w:r>
      <w:proofErr w:type="gramEnd"/>
      <w:r w:rsidRPr="00F82D66">
        <w:rPr>
          <w:rFonts w:ascii="Cambria" w:eastAsia="Cambria" w:hAnsi="Cambria" w:cs="Cambria"/>
          <w:sz w:val="20"/>
          <w:szCs w:val="20"/>
        </w:rPr>
        <w:t xml:space="preserve"> los cuatro pilares fundamentales ya mencionados, sino también a los temas aspiracionales. A este reporte se puede acceder en la página web de la empresa: </w:t>
      </w:r>
      <w:hyperlink r:id="rId13">
        <w:r w:rsidRPr="00F82D66">
          <w:rPr>
            <w:rFonts w:ascii="Cambria" w:eastAsia="Cambria" w:hAnsi="Cambria" w:cs="Cambria"/>
            <w:b/>
            <w:color w:val="0000FF"/>
            <w:sz w:val="20"/>
            <w:szCs w:val="20"/>
            <w:u w:val="single"/>
          </w:rPr>
          <w:t>www.molinosagro.com.ar</w:t>
        </w:r>
      </w:hyperlink>
    </w:p>
    <w:p w14:paraId="32A320DD" w14:textId="77777777" w:rsidR="0031285E" w:rsidRPr="0031285E" w:rsidRDefault="0031285E" w:rsidP="0031285E">
      <w:pPr>
        <w:pStyle w:val="Ttulo2"/>
        <w:rPr>
          <w:rFonts w:ascii="Cambria" w:eastAsia="Cambria" w:hAnsi="Cambria"/>
          <w:i/>
          <w:color w:val="auto"/>
          <w:sz w:val="20"/>
        </w:rPr>
      </w:pPr>
      <w:r w:rsidRPr="0031285E">
        <w:rPr>
          <w:rFonts w:ascii="Cambria" w:eastAsia="Cambria" w:hAnsi="Cambria"/>
          <w:i/>
          <w:color w:val="auto"/>
          <w:sz w:val="20"/>
        </w:rPr>
        <w:t>Marco regulatorio</w:t>
      </w:r>
    </w:p>
    <w:p w14:paraId="37309354" w14:textId="77777777" w:rsidR="0031285E" w:rsidRPr="0031285E" w:rsidRDefault="0031285E" w:rsidP="0031285E"/>
    <w:p w14:paraId="5D90DD92" w14:textId="77777777" w:rsidR="0031285E" w:rsidRPr="00F750A1" w:rsidRDefault="0031285E" w:rsidP="0031285E">
      <w:pPr>
        <w:jc w:val="both"/>
        <w:rPr>
          <w:rFonts w:ascii="Cambria" w:hAnsi="Cambria"/>
          <w:sz w:val="20"/>
          <w:szCs w:val="20"/>
        </w:rPr>
      </w:pPr>
      <w:r w:rsidRPr="00F750A1">
        <w:rPr>
          <w:rFonts w:ascii="Cambria" w:hAnsi="Cambria"/>
          <w:sz w:val="20"/>
          <w:szCs w:val="20"/>
        </w:rPr>
        <w:t>Las actividades desarrolladas por la Sociedad están sujetas a numerosas normas jurídicas nacionales, provinciales y municipales que regulan</w:t>
      </w:r>
      <w:r>
        <w:rPr>
          <w:rFonts w:ascii="Cambria" w:hAnsi="Cambria"/>
          <w:sz w:val="20"/>
          <w:szCs w:val="20"/>
        </w:rPr>
        <w:t xml:space="preserve"> las</w:t>
      </w:r>
      <w:r w:rsidRPr="00F750A1">
        <w:rPr>
          <w:rFonts w:ascii="Cambria" w:hAnsi="Cambria"/>
          <w:sz w:val="20"/>
          <w:szCs w:val="20"/>
        </w:rPr>
        <w:t xml:space="preserve"> distintas áreas y unidades de negocio descri</w:t>
      </w:r>
      <w:r>
        <w:rPr>
          <w:rFonts w:ascii="Cambria" w:hAnsi="Cambria"/>
          <w:sz w:val="20"/>
          <w:szCs w:val="20"/>
        </w:rPr>
        <w:t>p</w:t>
      </w:r>
      <w:r w:rsidRPr="00F750A1">
        <w:rPr>
          <w:rFonts w:ascii="Cambria" w:hAnsi="Cambria"/>
          <w:sz w:val="20"/>
          <w:szCs w:val="20"/>
        </w:rPr>
        <w:t>tas en el presente apartado del Prospecto</w:t>
      </w:r>
      <w:r w:rsidR="009961CD">
        <w:rPr>
          <w:rFonts w:ascii="Cambria" w:hAnsi="Cambria"/>
          <w:sz w:val="20"/>
          <w:szCs w:val="20"/>
        </w:rPr>
        <w:t xml:space="preserve"> Resumido</w:t>
      </w:r>
      <w:r w:rsidRPr="00F750A1">
        <w:rPr>
          <w:rFonts w:ascii="Cambria" w:hAnsi="Cambria"/>
          <w:sz w:val="20"/>
          <w:szCs w:val="20"/>
        </w:rPr>
        <w:t>. A la fecha de este Prospecto</w:t>
      </w:r>
      <w:r w:rsidR="009961CD">
        <w:rPr>
          <w:rFonts w:ascii="Cambria" w:hAnsi="Cambria"/>
          <w:sz w:val="20"/>
          <w:szCs w:val="20"/>
        </w:rPr>
        <w:t xml:space="preserve"> Resumido</w:t>
      </w:r>
      <w:r w:rsidRPr="00F750A1">
        <w:rPr>
          <w:rFonts w:ascii="Cambria" w:hAnsi="Cambria"/>
          <w:sz w:val="20"/>
          <w:szCs w:val="20"/>
        </w:rPr>
        <w:t>, la Compañía considera que cumple con toda la normativa legal aplicable vigente. De la misma manera, la Emisora cuenta con todas las licencias y permisos sustanciales requeridos para el desarrollo de sus actividades.</w:t>
      </w:r>
    </w:p>
    <w:p w14:paraId="19912500" w14:textId="77777777" w:rsidR="0031285E" w:rsidRDefault="0031285E" w:rsidP="0031285E">
      <w:pPr>
        <w:jc w:val="both"/>
        <w:rPr>
          <w:rFonts w:ascii="Cambria" w:hAnsi="Cambria"/>
          <w:sz w:val="20"/>
          <w:szCs w:val="20"/>
        </w:rPr>
      </w:pPr>
      <w:r w:rsidRPr="00F750A1">
        <w:rPr>
          <w:rFonts w:ascii="Cambria" w:hAnsi="Cambria"/>
          <w:sz w:val="20"/>
          <w:szCs w:val="20"/>
        </w:rPr>
        <w:t xml:space="preserve">A continuación, se presenta un resumen de los principales regímenes normativos a los cuales se encuentra sujeta la Emisora en virtud de sus actividades y de la clasificación de unidades de negocios descriptas en esta sección: </w:t>
      </w:r>
    </w:p>
    <w:p w14:paraId="7045273F" w14:textId="77777777" w:rsidR="0031285E" w:rsidRPr="00F750A1" w:rsidRDefault="0031285E" w:rsidP="0031285E">
      <w:pPr>
        <w:jc w:val="both"/>
        <w:rPr>
          <w:rFonts w:ascii="Cambria" w:hAnsi="Cambria"/>
          <w:iCs/>
          <w:sz w:val="20"/>
          <w:szCs w:val="20"/>
        </w:rPr>
      </w:pPr>
      <w:r w:rsidRPr="008779A2">
        <w:rPr>
          <w:rFonts w:ascii="Cambria" w:hAnsi="Cambria"/>
          <w:i/>
          <w:sz w:val="20"/>
          <w:szCs w:val="20"/>
        </w:rPr>
        <w:t xml:space="preserve">- </w:t>
      </w:r>
      <w:r w:rsidRPr="00566E32">
        <w:rPr>
          <w:rFonts w:ascii="Cambria" w:hAnsi="Cambria"/>
          <w:i/>
          <w:sz w:val="20"/>
          <w:szCs w:val="20"/>
        </w:rPr>
        <w:t>Originación de Materias Primas, industrialización y comercialización de Subproductos</w:t>
      </w:r>
      <w:r w:rsidRPr="00945915">
        <w:rPr>
          <w:rFonts w:ascii="Cambria" w:hAnsi="Cambria"/>
          <w:iCs/>
          <w:sz w:val="20"/>
          <w:szCs w:val="20"/>
        </w:rPr>
        <w:t>:</w:t>
      </w:r>
      <w:r>
        <w:rPr>
          <w:rFonts w:ascii="Cambria" w:hAnsi="Cambria"/>
          <w:iCs/>
          <w:sz w:val="20"/>
          <w:szCs w:val="20"/>
        </w:rPr>
        <w:t xml:space="preserve"> </w:t>
      </w:r>
      <w:r w:rsidRPr="00F750A1">
        <w:rPr>
          <w:rFonts w:ascii="Cambria" w:hAnsi="Cambria"/>
          <w:iCs/>
          <w:sz w:val="20"/>
          <w:szCs w:val="20"/>
        </w:rPr>
        <w:t xml:space="preserve">En su calidad de elaborador de productos provenientes de la molienda de soja, y desde el primer eslabón de su negocio, como originador de materias primas, </w:t>
      </w:r>
      <w:r>
        <w:rPr>
          <w:rFonts w:ascii="Cambria" w:hAnsi="Cambria"/>
          <w:iCs/>
          <w:sz w:val="20"/>
          <w:szCs w:val="20"/>
        </w:rPr>
        <w:t>las relaciones</w:t>
      </w:r>
      <w:r w:rsidRPr="00F750A1">
        <w:rPr>
          <w:rFonts w:ascii="Cambria" w:hAnsi="Cambria"/>
          <w:iCs/>
          <w:sz w:val="20"/>
          <w:szCs w:val="20"/>
        </w:rPr>
        <w:t xml:space="preserve"> de la Emisora</w:t>
      </w:r>
      <w:r>
        <w:rPr>
          <w:rFonts w:ascii="Cambria" w:hAnsi="Cambria"/>
          <w:iCs/>
          <w:sz w:val="20"/>
          <w:szCs w:val="20"/>
        </w:rPr>
        <w:t xml:space="preserve"> con los proveedores de materias primas</w:t>
      </w:r>
      <w:r w:rsidRPr="00F750A1">
        <w:rPr>
          <w:rFonts w:ascii="Cambria" w:hAnsi="Cambria"/>
          <w:iCs/>
          <w:sz w:val="20"/>
          <w:szCs w:val="20"/>
        </w:rPr>
        <w:t xml:space="preserve"> se encuentran regulada</w:t>
      </w:r>
      <w:r>
        <w:rPr>
          <w:rFonts w:ascii="Cambria" w:hAnsi="Cambria"/>
          <w:iCs/>
          <w:sz w:val="20"/>
          <w:szCs w:val="20"/>
        </w:rPr>
        <w:t>s</w:t>
      </w:r>
      <w:r w:rsidRPr="00F750A1">
        <w:rPr>
          <w:rFonts w:ascii="Cambria" w:hAnsi="Cambria"/>
          <w:iCs/>
          <w:sz w:val="20"/>
          <w:szCs w:val="20"/>
        </w:rPr>
        <w:t xml:space="preserve"> principalmente por el Código Civil y Comercial de la Nación y por las Reglas y Costumbres del Mercado de Granos. Estas reglas fueron compiladas por las distintas Cámaras Arbitrales de Cereales del país, y refieren a usos y costumbres que resultan de aplicación general en los contratos relacionados con la comercialización, producción e industrialización de frutos, productos agropecuarios, subproductos derivados y afines. </w:t>
      </w:r>
    </w:p>
    <w:p w14:paraId="27FF8935" w14:textId="77777777" w:rsidR="0031285E" w:rsidRPr="00F750A1" w:rsidRDefault="0031285E" w:rsidP="0031285E">
      <w:pPr>
        <w:jc w:val="both"/>
        <w:rPr>
          <w:rFonts w:ascii="Cambria" w:hAnsi="Cambria"/>
          <w:sz w:val="20"/>
          <w:szCs w:val="20"/>
        </w:rPr>
      </w:pPr>
      <w:r w:rsidRPr="00F750A1">
        <w:rPr>
          <w:rFonts w:ascii="Cambria" w:hAnsi="Cambria"/>
          <w:iCs/>
          <w:sz w:val="20"/>
          <w:szCs w:val="20"/>
        </w:rPr>
        <w:t>Asimismo, y como</w:t>
      </w:r>
      <w:r w:rsidRPr="00F750A1">
        <w:rPr>
          <w:rFonts w:ascii="Cambria" w:hAnsi="Cambria"/>
          <w:sz w:val="20"/>
          <w:szCs w:val="20"/>
        </w:rPr>
        <w:t xml:space="preserve"> protagonista de la cadena agroindustrial, la Emisora </w:t>
      </w:r>
      <w:r>
        <w:rPr>
          <w:rFonts w:ascii="Cambria" w:hAnsi="Cambria"/>
          <w:sz w:val="20"/>
          <w:szCs w:val="20"/>
        </w:rPr>
        <w:t>sujeta</w:t>
      </w:r>
      <w:r w:rsidRPr="00F750A1">
        <w:rPr>
          <w:rFonts w:ascii="Cambria" w:hAnsi="Cambria"/>
          <w:sz w:val="20"/>
          <w:szCs w:val="20"/>
        </w:rPr>
        <w:t xml:space="preserve"> su actividad a estrictos procedimientos de trazabilidad dispuestos por el Ministerio de Agricultura Ganadería y Pesca de la Nación Argentina</w:t>
      </w:r>
      <w:r>
        <w:rPr>
          <w:rFonts w:ascii="Cambria" w:hAnsi="Cambria"/>
          <w:sz w:val="20"/>
          <w:szCs w:val="20"/>
        </w:rPr>
        <w:t xml:space="preserve"> y por la Administración Federal de Ingresos Públicos</w:t>
      </w:r>
      <w:r w:rsidRPr="00F750A1">
        <w:rPr>
          <w:rFonts w:ascii="Cambria" w:hAnsi="Cambria"/>
          <w:sz w:val="20"/>
          <w:szCs w:val="20"/>
        </w:rPr>
        <w:t xml:space="preserve">. Es así </w:t>
      </w:r>
      <w:proofErr w:type="gramStart"/>
      <w:r w:rsidRPr="00F750A1">
        <w:rPr>
          <w:rFonts w:ascii="Cambria" w:hAnsi="Cambria"/>
          <w:sz w:val="20"/>
          <w:szCs w:val="20"/>
        </w:rPr>
        <w:t>que</w:t>
      </w:r>
      <w:proofErr w:type="gramEnd"/>
      <w:r w:rsidRPr="00F750A1">
        <w:rPr>
          <w:rFonts w:ascii="Cambria" w:hAnsi="Cambria"/>
          <w:sz w:val="20"/>
          <w:szCs w:val="20"/>
        </w:rPr>
        <w:t xml:space="preserve">, tanto sus establecimientos como las actividades que la Emisora realiza en los mismos </w:t>
      </w:r>
      <w:r>
        <w:rPr>
          <w:rFonts w:ascii="Cambria" w:hAnsi="Cambria"/>
          <w:sz w:val="20"/>
          <w:szCs w:val="20"/>
        </w:rPr>
        <w:t>se encuentran controladas por, entre otros, por</w:t>
      </w:r>
      <w:r w:rsidRPr="00F750A1">
        <w:rPr>
          <w:rFonts w:ascii="Cambria" w:hAnsi="Cambria"/>
          <w:sz w:val="20"/>
          <w:szCs w:val="20"/>
        </w:rPr>
        <w:t xml:space="preserve"> </w:t>
      </w:r>
      <w:r>
        <w:rPr>
          <w:rFonts w:ascii="Cambria" w:hAnsi="Cambria"/>
          <w:sz w:val="20"/>
          <w:szCs w:val="20"/>
        </w:rPr>
        <w:t xml:space="preserve">el </w:t>
      </w:r>
      <w:r w:rsidRPr="00F750A1">
        <w:rPr>
          <w:rFonts w:ascii="Cambria" w:hAnsi="Cambria"/>
          <w:sz w:val="20"/>
          <w:szCs w:val="20"/>
        </w:rPr>
        <w:t xml:space="preserve">Registro Único de la Cadena Agroalimentaria (RUCA). </w:t>
      </w:r>
    </w:p>
    <w:p w14:paraId="113F90B2" w14:textId="77777777" w:rsidR="0031285E" w:rsidRPr="00F750A1" w:rsidRDefault="0031285E" w:rsidP="0031285E">
      <w:pPr>
        <w:jc w:val="both"/>
        <w:rPr>
          <w:rFonts w:ascii="Cambria" w:hAnsi="Cambria"/>
          <w:sz w:val="20"/>
          <w:szCs w:val="20"/>
        </w:rPr>
      </w:pPr>
      <w:r w:rsidRPr="00F750A1">
        <w:rPr>
          <w:rFonts w:ascii="Cambria" w:hAnsi="Cambria"/>
          <w:sz w:val="20"/>
          <w:szCs w:val="20"/>
        </w:rPr>
        <w:lastRenderedPageBreak/>
        <w:t xml:space="preserve">Por otro lado, y </w:t>
      </w:r>
      <w:proofErr w:type="gramStart"/>
      <w:r w:rsidRPr="00F750A1">
        <w:rPr>
          <w:rFonts w:ascii="Cambria" w:hAnsi="Cambria"/>
          <w:sz w:val="20"/>
          <w:szCs w:val="20"/>
        </w:rPr>
        <w:t>en relación a</w:t>
      </w:r>
      <w:proofErr w:type="gramEnd"/>
      <w:r w:rsidRPr="00F750A1">
        <w:rPr>
          <w:rFonts w:ascii="Cambria" w:hAnsi="Cambria"/>
          <w:sz w:val="20"/>
          <w:szCs w:val="20"/>
        </w:rPr>
        <w:t xml:space="preserve"> la sanidad</w:t>
      </w:r>
      <w:r>
        <w:rPr>
          <w:rFonts w:ascii="Cambria" w:hAnsi="Cambria"/>
          <w:sz w:val="20"/>
          <w:szCs w:val="20"/>
        </w:rPr>
        <w:t>,</w:t>
      </w:r>
      <w:r w:rsidRPr="00F750A1">
        <w:rPr>
          <w:rFonts w:ascii="Cambria" w:hAnsi="Cambria"/>
          <w:sz w:val="20"/>
          <w:szCs w:val="20"/>
        </w:rPr>
        <w:t xml:space="preserve"> tanto sus establecimientos, como todos los subproductos que la Emisora comercializa, en forma local y/o a través de sus exportaciones, deben estar debidamente registrados y certificados por el Servicio Nacional de Sanidad y Calidad Agroalimentaria (SENASA) entidad dependiente del Ministerio de Agricultura Ganadería y Pesca de la Nación Argentina.</w:t>
      </w:r>
    </w:p>
    <w:p w14:paraId="4E9EB95B" w14:textId="77777777" w:rsidR="0031285E" w:rsidRDefault="0031285E" w:rsidP="0031285E">
      <w:pPr>
        <w:jc w:val="both"/>
        <w:rPr>
          <w:rFonts w:ascii="Cambria" w:hAnsi="Cambria"/>
          <w:sz w:val="20"/>
          <w:szCs w:val="20"/>
          <w:lang w:eastAsia="es-ES_tradnl"/>
        </w:rPr>
      </w:pPr>
      <w:r w:rsidRPr="00566E32">
        <w:rPr>
          <w:rFonts w:ascii="Cambria" w:hAnsi="Cambria"/>
          <w:i/>
          <w:iCs/>
          <w:sz w:val="20"/>
          <w:szCs w:val="20"/>
        </w:rPr>
        <w:t>Régimen de Exportaciones de Productos Agrícolas</w:t>
      </w:r>
      <w:r w:rsidRPr="00F750A1">
        <w:rPr>
          <w:rFonts w:ascii="Cambria" w:hAnsi="Cambria"/>
          <w:sz w:val="20"/>
          <w:szCs w:val="20"/>
        </w:rPr>
        <w:t>:</w:t>
      </w:r>
      <w:r>
        <w:rPr>
          <w:rFonts w:ascii="Cambria" w:hAnsi="Cambria"/>
          <w:sz w:val="20"/>
          <w:szCs w:val="20"/>
        </w:rPr>
        <w:t xml:space="preserve"> </w:t>
      </w:r>
      <w:r w:rsidRPr="00F750A1">
        <w:rPr>
          <w:rFonts w:ascii="Cambria" w:hAnsi="Cambria"/>
          <w:sz w:val="20"/>
          <w:szCs w:val="20"/>
        </w:rPr>
        <w:t xml:space="preserve">Los </w:t>
      </w:r>
      <w:r w:rsidRPr="0031285E">
        <w:rPr>
          <w:rStyle w:val="Cuerpodeltexto2Sinnegrita8"/>
          <w:rFonts w:ascii="Cambria" w:hAnsi="Cambria"/>
          <w:b w:val="0"/>
          <w:sz w:val="20"/>
          <w:szCs w:val="20"/>
          <w:lang w:eastAsia="es-ES_tradnl"/>
        </w:rPr>
        <w:t xml:space="preserve">productos agrícolas exportados por la Emisora, se encuentran sujetos a derechos de exportación. Particularmente, los productos principales se encuentran sujetos al régimen especial para la exportación establecido por la Ley N° 21.453 (Boletín Oficial 11 de noviembre de 1976) (tal como ha sido modificada y complementada de tanto en tanto, el “Régimen de Exportaciones Agrícolas”). Dicho Régimen de Exportaciones Agrícolas dispone principalmente: (i) la obligación de registrar ante las autoridades del Registro de Declaraciones juradas de Venta al Exterior, dependiente del Ministerio de Agricultura de la Nación Argentina, las ventas al exterior de estos productos agrícolas, </w:t>
      </w:r>
      <w:r w:rsidRPr="0031285E">
        <w:rPr>
          <w:rFonts w:ascii="Cambria" w:hAnsi="Cambria"/>
          <w:sz w:val="20"/>
          <w:szCs w:val="20"/>
        </w:rPr>
        <w:t>hasta las 11 horas del primer día hábil siguiente a aquel en que se hubiese cerrado la venta correspondiente</w:t>
      </w:r>
      <w:r w:rsidRPr="0031285E">
        <w:rPr>
          <w:rFonts w:ascii="Cambria" w:hAnsi="Cambria"/>
          <w:b/>
          <w:sz w:val="20"/>
          <w:szCs w:val="20"/>
        </w:rPr>
        <w:t>,</w:t>
      </w:r>
      <w:r w:rsidRPr="0031285E">
        <w:rPr>
          <w:rStyle w:val="Cuerpodeltexto2Sinnegrita8"/>
          <w:rFonts w:ascii="Cambria" w:hAnsi="Cambria"/>
          <w:b w:val="0"/>
          <w:sz w:val="20"/>
          <w:szCs w:val="20"/>
          <w:lang w:eastAsia="es-ES_tradnl"/>
        </w:rPr>
        <w:t xml:space="preserve"> y obtener su aprobación, mediante la presentación de una declaración jurada denominada Declaración Jurada de Venta al Exterior (“DJVE”), y (ii) </w:t>
      </w:r>
      <w:r w:rsidRPr="00F750A1">
        <w:rPr>
          <w:rFonts w:ascii="Cambria" w:hAnsi="Cambria"/>
          <w:sz w:val="20"/>
          <w:szCs w:val="20"/>
          <w:lang w:eastAsia="es-ES_tradnl"/>
        </w:rPr>
        <w:t xml:space="preserve">la aplicación del régimen tributario (alícuota y precio FOB oficial) vigente a la fecha de cierre de cada venta para </w:t>
      </w:r>
      <w:r w:rsidRPr="00F750A1">
        <w:rPr>
          <w:rFonts w:ascii="Cambria" w:hAnsi="Cambria"/>
          <w:sz w:val="20"/>
          <w:szCs w:val="20"/>
        </w:rPr>
        <w:t>la liquidación -entre otros- de los derechos de exportación</w:t>
      </w:r>
      <w:r w:rsidRPr="00F750A1">
        <w:rPr>
          <w:rFonts w:ascii="Cambria" w:hAnsi="Cambria"/>
          <w:sz w:val="20"/>
          <w:szCs w:val="20"/>
          <w:lang w:eastAsia="es-ES_tradnl"/>
        </w:rPr>
        <w:t>.</w:t>
      </w:r>
    </w:p>
    <w:p w14:paraId="3A39B6D8" w14:textId="77777777" w:rsidR="0031285E" w:rsidRDefault="0031285E" w:rsidP="0031285E">
      <w:pPr>
        <w:jc w:val="both"/>
        <w:rPr>
          <w:rFonts w:ascii="Cambria" w:hAnsi="Cambria"/>
          <w:sz w:val="20"/>
          <w:szCs w:val="20"/>
          <w:lang w:eastAsia="es-ES_tradnl"/>
        </w:rPr>
      </w:pPr>
      <w:r>
        <w:rPr>
          <w:rFonts w:ascii="Cambria" w:hAnsi="Cambria"/>
          <w:sz w:val="20"/>
          <w:szCs w:val="20"/>
          <w:lang w:eastAsia="es-ES_tradnl"/>
        </w:rPr>
        <w:t>Por su parte, las variaciones de los derechos de exportación aplicables a los productos impactan en la cadena productiva, resultando su observancia de relevancia en el mercado, así como el cumplimiento de los recaudos de la ley 26.351 para la acreditación de la adquisición o tenencia de la mercadería c</w:t>
      </w:r>
      <w:r w:rsidRPr="00F750A1">
        <w:rPr>
          <w:rFonts w:ascii="Cambria" w:hAnsi="Cambria"/>
          <w:sz w:val="20"/>
          <w:szCs w:val="20"/>
          <w:lang w:eastAsia="es-ES_tradnl"/>
        </w:rPr>
        <w:t>uando se produjera un incremento en más de las alícuotas correspondientes a los derechos de exportación de productos agropecuarios alcanzados por las disposiciones de la Ley Nº 21.453</w:t>
      </w:r>
      <w:r>
        <w:rPr>
          <w:rFonts w:ascii="Cambria" w:hAnsi="Cambria"/>
          <w:sz w:val="20"/>
          <w:szCs w:val="20"/>
          <w:lang w:eastAsia="es-ES_tradnl"/>
        </w:rPr>
        <w:t>.</w:t>
      </w:r>
    </w:p>
    <w:p w14:paraId="53284DB1" w14:textId="77777777" w:rsidR="0031285E" w:rsidRPr="00E974F5" w:rsidRDefault="0031285E" w:rsidP="0031285E">
      <w:pPr>
        <w:jc w:val="both"/>
        <w:rPr>
          <w:rFonts w:ascii="Cambria" w:hAnsi="Cambria"/>
          <w:sz w:val="20"/>
          <w:szCs w:val="20"/>
          <w:lang w:val="es-AR" w:eastAsia="es-ES_tradnl"/>
        </w:rPr>
      </w:pPr>
      <w:r>
        <w:rPr>
          <w:rFonts w:ascii="Cambria" w:hAnsi="Cambria"/>
          <w:sz w:val="20"/>
          <w:szCs w:val="20"/>
          <w:lang w:eastAsia="es-ES_tradnl"/>
        </w:rPr>
        <w:t>-</w:t>
      </w:r>
      <w:r w:rsidRPr="00E974F5">
        <w:rPr>
          <w:rFonts w:ascii="Cambria" w:hAnsi="Cambria"/>
          <w:sz w:val="20"/>
          <w:szCs w:val="20"/>
          <w:lang w:eastAsia="es-ES_tradnl"/>
        </w:rPr>
        <w:t xml:space="preserve">El Decreto Nº 789/2020 </w:t>
      </w:r>
      <w:r>
        <w:rPr>
          <w:rFonts w:ascii="Cambria" w:hAnsi="Cambria"/>
          <w:sz w:val="20"/>
          <w:szCs w:val="20"/>
          <w:lang w:eastAsia="es-ES_tradnl"/>
        </w:rPr>
        <w:t>d</w:t>
      </w:r>
      <w:r w:rsidRPr="00E974F5">
        <w:rPr>
          <w:rFonts w:ascii="Cambria" w:hAnsi="Cambria"/>
          <w:sz w:val="20"/>
          <w:szCs w:val="20"/>
          <w:lang w:eastAsia="es-ES_tradnl"/>
        </w:rPr>
        <w:t xml:space="preserve">el Poder Ejecutivo Nacional </w:t>
      </w:r>
      <w:r w:rsidRPr="00E974F5">
        <w:rPr>
          <w:rFonts w:ascii="Cambria" w:hAnsi="Cambria"/>
          <w:sz w:val="20"/>
          <w:szCs w:val="20"/>
          <w:lang w:val="es-AR" w:eastAsia="es-ES_tradnl"/>
        </w:rPr>
        <w:t xml:space="preserve">modificó las alícuotas de los derechos de exportación para ciertas posiciones arancelarias incluidas en su Anexo I, cuya exportación quedará gravada exclusivamente a la alícuota allí establecida. Por otra parte, redujo al cero por ciento (0%) los derechos de exportación para los bienes finales correspondientes al sector automotriz incluidos en su Anexo II, para aquellas exportaciones que sean incrementales, tomando como base los últimos doce (12) meses anteriores a la </w:t>
      </w:r>
      <w:proofErr w:type="gramStart"/>
      <w:r w:rsidRPr="00E974F5">
        <w:rPr>
          <w:rFonts w:ascii="Cambria" w:hAnsi="Cambria"/>
          <w:sz w:val="20"/>
          <w:szCs w:val="20"/>
          <w:lang w:val="es-AR" w:eastAsia="es-ES_tradnl"/>
        </w:rPr>
        <w:t>entrada en vigencia</w:t>
      </w:r>
      <w:proofErr w:type="gramEnd"/>
      <w:r w:rsidRPr="00E974F5">
        <w:rPr>
          <w:rFonts w:ascii="Cambria" w:hAnsi="Cambria"/>
          <w:sz w:val="20"/>
          <w:szCs w:val="20"/>
          <w:lang w:val="es-AR" w:eastAsia="es-ES_tradnl"/>
        </w:rPr>
        <w:t xml:space="preserve"> del Decreto (5.10.20), y que tenga destino extra-Mercosur. Por último, se modificaron las alícuotas de reintegros a la exportación de insumos elaborados y bienes finales detallados en el Anexo III del decreto 789/20 -que quedaron fijadas en el cinco por ciento (5%) y el siete por ciento (7%), según la posición arancelaria-, y que sustituyen los porcentajes establecidos en el Anexo I del Decreto N° 1126/17 y sus modificatorias. Las mercaderías alcanzadas por lo dispuesto en este último punto contarán con el nivel de reintegro que específicamente allí se señala, o el previsto en el Anexo XIV del Decreto N° 1126/17 y sus modificatorios o en cualquier otra norma, el que resulte mayor.</w:t>
      </w:r>
    </w:p>
    <w:p w14:paraId="4C39553E" w14:textId="77777777" w:rsidR="0031285E" w:rsidRPr="00A8056C" w:rsidRDefault="0031285E" w:rsidP="0031285E">
      <w:pPr>
        <w:jc w:val="both"/>
        <w:rPr>
          <w:rFonts w:ascii="Cambria" w:hAnsi="Cambria"/>
          <w:i/>
          <w:sz w:val="20"/>
          <w:szCs w:val="20"/>
          <w:lang w:eastAsia="es-ES_tradnl"/>
        </w:rPr>
      </w:pPr>
      <w:r w:rsidRPr="00A8056C">
        <w:rPr>
          <w:rFonts w:ascii="Cambria" w:hAnsi="Cambria"/>
          <w:sz w:val="20"/>
          <w:szCs w:val="20"/>
          <w:lang w:eastAsia="es-ES_tradnl"/>
        </w:rPr>
        <w:t xml:space="preserve">El Decreto Nº 790/2020 del Poder Ejecutivo Nacional </w:t>
      </w:r>
      <w:r w:rsidRPr="00A8056C">
        <w:rPr>
          <w:rFonts w:ascii="Cambria" w:hAnsi="Cambria"/>
          <w:sz w:val="20"/>
          <w:szCs w:val="20"/>
          <w:lang w:val="es-AR" w:eastAsia="es-ES_tradnl"/>
        </w:rPr>
        <w:t>estableció modificaciones a las alícuotas de los derechos de exportación para determinados productos que se det</w:t>
      </w:r>
      <w:r>
        <w:rPr>
          <w:rFonts w:ascii="Cambria" w:hAnsi="Cambria"/>
          <w:sz w:val="20"/>
          <w:szCs w:val="20"/>
          <w:lang w:val="es-AR" w:eastAsia="es-ES_tradnl"/>
        </w:rPr>
        <w:t>allan en su anexo, entre ellos,</w:t>
      </w:r>
      <w:r w:rsidRPr="00A8056C">
        <w:rPr>
          <w:rFonts w:ascii="Cambria" w:hAnsi="Cambria"/>
          <w:sz w:val="20"/>
          <w:szCs w:val="20"/>
          <w:lang w:val="es-AR" w:eastAsia="es-ES_tradnl"/>
        </w:rPr>
        <w:t xml:space="preserve"> el poroto de soja y los productos derivados de su molienda. En ese sentido, redujo las alícuotas previas y estableció un cronograma de alícuotas progresivas para para la mercadería que se embarque antes del 1 de enero del 2021, para los meses octubre, noviembre y diciembre de 2020 hasta converger en las alícuotas fijadas a partir del 1º de enero de 2021. Cabe destacar que el esquema de alícuotas de derechos de exportación prevé un diferencial arancelario de dos puntos entre el poroto de soja y aquellos derivados de su molienda.</w:t>
      </w:r>
      <w:r w:rsidRPr="00A8056C">
        <w:rPr>
          <w:rFonts w:ascii="Cambria" w:hAnsi="Cambria"/>
          <w:i/>
          <w:sz w:val="20"/>
          <w:szCs w:val="20"/>
          <w:lang w:eastAsia="es-ES_tradnl"/>
        </w:rPr>
        <w:t xml:space="preserve"> </w:t>
      </w:r>
    </w:p>
    <w:p w14:paraId="4E881279" w14:textId="77777777" w:rsidR="0031285E" w:rsidRPr="0078630F" w:rsidRDefault="0031285E" w:rsidP="0031285E">
      <w:pPr>
        <w:jc w:val="both"/>
        <w:rPr>
          <w:rFonts w:ascii="Cambria" w:eastAsia="Cambria" w:hAnsi="Cambria" w:cs="Cambria"/>
          <w:sz w:val="20"/>
          <w:szCs w:val="20"/>
        </w:rPr>
      </w:pPr>
      <w:r w:rsidRPr="0078630F">
        <w:rPr>
          <w:rFonts w:ascii="Cambria" w:eastAsia="Cambria" w:hAnsi="Cambria" w:cs="Cambria"/>
          <w:i/>
          <w:sz w:val="20"/>
          <w:szCs w:val="20"/>
        </w:rPr>
        <w:t>-Defensa de la Competencia:</w:t>
      </w:r>
      <w:r w:rsidRPr="0078630F">
        <w:rPr>
          <w:rFonts w:ascii="Cambria" w:eastAsia="Cambria" w:hAnsi="Cambria" w:cs="Cambria"/>
          <w:sz w:val="20"/>
          <w:szCs w:val="20"/>
        </w:rPr>
        <w:t xml:space="preserve"> La Ley N° 27.442 de Defensa de la Competencia (la “Ley de Defensa de la Competencia”), como así también sus modificatorias y complementarias, prohíben los actos o conductas que tengan por objeto o efecto, limitar, restringir, falsear o distorsionar la competencia o el acceso al mercado o constituyan un abuso de posición dominante de forma que pudieran generar </w:t>
      </w:r>
      <w:r w:rsidRPr="0078630F">
        <w:rPr>
          <w:rFonts w:ascii="Cambria" w:eastAsia="Cambria" w:hAnsi="Cambria" w:cs="Cambria"/>
          <w:sz w:val="20"/>
          <w:szCs w:val="20"/>
        </w:rPr>
        <w:lastRenderedPageBreak/>
        <w:t xml:space="preserve">un perjuicio para el interés económico general y exigen un mecanismo de autorización administrativa para operaciones que, en los términos del artículo 7 de la Ley de Defensa de la Competencia constituyen supuestos de concentración económica. Conforme a dicha normativa, las fusiones, transferencias de fondos de comercio, adquisiciones de propiedad o cualquier derecho sobre acciones, participaciones de capital u otros valores convertibles, la transferencia de activos u operaciones por las cuales el comprador adquiere el control o influencia sustancial en una empresa o su estrategia competitiva son consideradas una concentración económica. Cuando en la Argentina el volumen de negocio de las empresas involucradas supere la suma de cien millones -100.000.000- de unidades móviles (actualmente el valor de la unidad móvil asciende a AR$40,61, pero se actualiza anualmente), la respectiva concentración debe ser notificada a la Autoridad Nacional de la Competencia para su aprobación (esta nueva Autoridad es un organismo descentralizado del Poder Ejecutivo que se encuentra en proceso de creación; hasta que ello ocurra las concentraciones económicas deben notificarse ante la Comisión Nacional de Defensa de la Competencia, dependiente de la Secretaría de Comercio). Actualmente, la solicitud de aprobación puede ser presentada con anterioridad al cierre de la operación o dentro de una semana desde ocurrido el cierre de </w:t>
      </w:r>
      <w:proofErr w:type="gramStart"/>
      <w:r w:rsidRPr="0078630F">
        <w:rPr>
          <w:rFonts w:ascii="Cambria" w:eastAsia="Cambria" w:hAnsi="Cambria" w:cs="Cambria"/>
          <w:sz w:val="20"/>
          <w:szCs w:val="20"/>
        </w:rPr>
        <w:t>la misma</w:t>
      </w:r>
      <w:proofErr w:type="gramEnd"/>
      <w:r w:rsidRPr="0078630F">
        <w:rPr>
          <w:rFonts w:ascii="Cambria" w:eastAsia="Cambria" w:hAnsi="Cambria" w:cs="Cambria"/>
          <w:sz w:val="20"/>
          <w:szCs w:val="20"/>
        </w:rPr>
        <w:t xml:space="preserve">. Sin perjuicio que la Ley de Defensa de la Competencia prevé que la operación sea necesariamente notificada con anterioridad a su cierre, esta obligación se encontrará vigente luego de transcurrido el plazo de un año desde la puesta en funcionamiento de la Autoridad Nacional de la Competencia. </w:t>
      </w:r>
    </w:p>
    <w:p w14:paraId="55399BD3" w14:textId="77777777" w:rsidR="0031285E" w:rsidRPr="0078630F" w:rsidRDefault="0031285E" w:rsidP="0031285E">
      <w:pPr>
        <w:jc w:val="both"/>
        <w:rPr>
          <w:rFonts w:ascii="Cambria" w:eastAsia="Cambria" w:hAnsi="Cambria" w:cs="Cambria"/>
          <w:sz w:val="20"/>
          <w:szCs w:val="20"/>
        </w:rPr>
      </w:pPr>
      <w:r w:rsidRPr="0078630F">
        <w:rPr>
          <w:rFonts w:ascii="Cambria" w:eastAsia="Cambria" w:hAnsi="Cambria" w:cs="Cambria"/>
          <w:sz w:val="20"/>
          <w:szCs w:val="20"/>
        </w:rPr>
        <w:t xml:space="preserve">La Ley de Defensa de la Competencia establece que las concentraciones económicas en las cuales el monto de la operación y el valor de los activos absorbidos, adquiridos, transferidos o controlados en la Argentina, no excedan cada uno los 20 millones de unidades móviles, se encuentran exentas de la necesidad de autorización administrativa. Sin perjuicio de lo que antecede, cuando las operaciones efectuadas en ese mercado durante el período previo de 12 meses exceden en total veinte millones -20.000.000- de unidades móviles o 60 millones de unidades móviles durante los últimos 36 meses, estas operaciones deben ser notificadas a la Autoridad Nacional de la Competencia. </w:t>
      </w:r>
    </w:p>
    <w:p w14:paraId="1E1BCEC3" w14:textId="77777777" w:rsidR="0031285E" w:rsidRPr="0078630F" w:rsidRDefault="0031285E" w:rsidP="0031285E">
      <w:pPr>
        <w:jc w:val="both"/>
        <w:rPr>
          <w:rFonts w:ascii="Cambria" w:eastAsia="Cambria" w:hAnsi="Cambria" w:cs="Cambria"/>
          <w:sz w:val="20"/>
          <w:szCs w:val="20"/>
        </w:rPr>
      </w:pPr>
      <w:r w:rsidRPr="0078630F">
        <w:rPr>
          <w:rFonts w:ascii="Cambria" w:eastAsia="Cambria" w:hAnsi="Cambria" w:cs="Cambria"/>
          <w:sz w:val="20"/>
          <w:szCs w:val="20"/>
        </w:rPr>
        <w:t xml:space="preserve">Cuando se presenta una solicitud de aprobación, la Comisión Nacional de Defensa de la Competencia podrá (i) autorizar la transacción sin condicionamientos; (ii) supeditar la transacción al cumplimiento de ciertas condiciones, o (iii) rechazar la autorización. </w:t>
      </w:r>
    </w:p>
    <w:p w14:paraId="2BD7D1E7" w14:textId="77777777" w:rsidR="0031285E" w:rsidRPr="0078630F" w:rsidRDefault="0031285E" w:rsidP="0031285E">
      <w:pPr>
        <w:jc w:val="both"/>
        <w:rPr>
          <w:rFonts w:ascii="Cambria" w:eastAsia="Cambria" w:hAnsi="Cambria" w:cs="Cambria"/>
          <w:sz w:val="20"/>
          <w:szCs w:val="20"/>
        </w:rPr>
      </w:pPr>
      <w:r w:rsidRPr="0078630F">
        <w:rPr>
          <w:rFonts w:ascii="Cambria" w:eastAsia="Cambria" w:hAnsi="Cambria" w:cs="Cambria"/>
          <w:sz w:val="20"/>
          <w:szCs w:val="20"/>
        </w:rPr>
        <w:t>Las operaciones notificadas antes de su cierre deben concretarse dentro del año de recibida la autorización, o ésta expirará.</w:t>
      </w:r>
      <w:r w:rsidRPr="0078630F">
        <w:rPr>
          <w:rFonts w:ascii="Cambria" w:eastAsia="Cambria" w:hAnsi="Cambria" w:cs="Cambria"/>
          <w:sz w:val="20"/>
          <w:szCs w:val="20"/>
        </w:rPr>
        <w:cr/>
      </w:r>
      <w:r w:rsidRPr="0078630F">
        <w:rPr>
          <w:rFonts w:ascii="Cambria" w:eastAsia="Cambria" w:hAnsi="Cambria" w:cs="Cambria"/>
          <w:sz w:val="20"/>
          <w:szCs w:val="20"/>
        </w:rPr>
        <w:cr/>
        <w:t>Por su parte, el DNU de Lealtad Comercial prohíbe los actos de competencia desleal (realizado antes, durante o después de una operación comercial o contrato, independientemente de que éste llegue a celebrarse)</w:t>
      </w:r>
      <w:r>
        <w:rPr>
          <w:rFonts w:ascii="Cambria" w:eastAsia="Cambria" w:hAnsi="Cambria" w:cs="Cambria"/>
          <w:sz w:val="20"/>
          <w:szCs w:val="20"/>
        </w:rPr>
        <w:t xml:space="preserve"> </w:t>
      </w:r>
      <w:r w:rsidRPr="0078630F">
        <w:rPr>
          <w:rFonts w:ascii="Cambria" w:eastAsia="Cambria" w:hAnsi="Cambria" w:cs="Cambria"/>
          <w:sz w:val="20"/>
          <w:szCs w:val="20"/>
        </w:rPr>
        <w:t>siempre que se realicen en el mercado y con fines competitivos; como, por ejemplo, las ventas por debajo del costo.</w:t>
      </w:r>
    </w:p>
    <w:p w14:paraId="119C5433" w14:textId="77777777" w:rsidR="0031285E" w:rsidRPr="0078630F" w:rsidRDefault="0031285E" w:rsidP="0031285E">
      <w:pPr>
        <w:jc w:val="both"/>
        <w:rPr>
          <w:rFonts w:ascii="Cambria" w:eastAsia="Cambria" w:hAnsi="Cambria" w:cs="Cambria"/>
          <w:sz w:val="20"/>
          <w:szCs w:val="20"/>
        </w:rPr>
      </w:pPr>
      <w:bookmarkStart w:id="13" w:name="_gjdgxs" w:colFirst="0" w:colLast="0"/>
      <w:bookmarkEnd w:id="13"/>
      <w:r w:rsidRPr="0078630F">
        <w:rPr>
          <w:rFonts w:ascii="Cambria" w:eastAsia="Cambria" w:hAnsi="Cambria" w:cs="Cambria"/>
          <w:sz w:val="20"/>
          <w:szCs w:val="20"/>
        </w:rPr>
        <w:t>La Sociedad se encuentra en pleno cumplimiento del citado cuerpo normativo, habiendo notificado en tiempo y forma a la autoridad pertinente cada una de las operaciones que correspondía. En la actualidad no existen en curso tramitaciones ante la Comisión Nacional de Defensa de la Competencia tendientes a obtener su aprobación respecto de operaciones de compra o transferencia de activos, encontrándose debidamente autorizadas todas las operaciones oportunamente notificadas.</w:t>
      </w:r>
      <w:r w:rsidRPr="0078630F">
        <w:rPr>
          <w:rFonts w:ascii="Cambria" w:eastAsia="Cambria" w:hAnsi="Cambria" w:cs="Cambria"/>
          <w:sz w:val="20"/>
          <w:szCs w:val="20"/>
        </w:rPr>
        <w:tab/>
      </w:r>
    </w:p>
    <w:p w14:paraId="3556F4BB" w14:textId="77777777" w:rsidR="0031285E" w:rsidRPr="0078630F" w:rsidRDefault="0031285E" w:rsidP="0031285E">
      <w:pPr>
        <w:jc w:val="both"/>
        <w:rPr>
          <w:rFonts w:ascii="Cambria" w:eastAsia="Cambria" w:hAnsi="Cambria" w:cs="Cambria"/>
          <w:b/>
          <w:sz w:val="20"/>
          <w:szCs w:val="20"/>
        </w:rPr>
      </w:pPr>
      <w:r w:rsidRPr="0078630F">
        <w:rPr>
          <w:rFonts w:ascii="Cambria" w:eastAsia="Cambria" w:hAnsi="Cambria" w:cs="Cambria"/>
          <w:b/>
          <w:sz w:val="20"/>
          <w:szCs w:val="20"/>
        </w:rPr>
        <w:t>Seguros</w:t>
      </w:r>
    </w:p>
    <w:p w14:paraId="63F7795B" w14:textId="77777777" w:rsidR="0031285E" w:rsidRDefault="0031285E" w:rsidP="0031285E">
      <w:pPr>
        <w:widowControl w:val="0"/>
        <w:spacing w:after="0"/>
        <w:jc w:val="both"/>
        <w:rPr>
          <w:rFonts w:ascii="Cambria" w:eastAsia="Cambria" w:hAnsi="Cambria" w:cs="Cambria"/>
          <w:sz w:val="20"/>
          <w:szCs w:val="20"/>
        </w:rPr>
      </w:pPr>
      <w:r w:rsidRPr="0078630F">
        <w:rPr>
          <w:rFonts w:ascii="Cambria" w:eastAsia="Cambria" w:hAnsi="Cambria" w:cs="Cambria"/>
          <w:sz w:val="20"/>
          <w:szCs w:val="20"/>
        </w:rPr>
        <w:t>La Emisora contrata las pólizas de seguros que son necesarias y por las sumas que son habituales en la industria en la que opera, incluyendo en otros, seguro por accidentes laborales, incendios, robo, daños patrimoniales, todo riesgo operativo, etc. La Sociedad considera que su cobertura de seguros es adecuada, tanto en términos de montos como de riesgos para las actividades que lleva a cabo.</w:t>
      </w:r>
    </w:p>
    <w:p w14:paraId="27F78694" w14:textId="77777777" w:rsidR="007D583B" w:rsidRDefault="007D583B">
      <w:pPr>
        <w:spacing w:after="160" w:line="259" w:lineRule="auto"/>
      </w:pPr>
      <w:r>
        <w:br w:type="page"/>
      </w:r>
    </w:p>
    <w:p w14:paraId="5DF2B288" w14:textId="77777777" w:rsidR="007D583B" w:rsidRPr="001B356B" w:rsidRDefault="007D583B" w:rsidP="000C02A3">
      <w:pPr>
        <w:pStyle w:val="Prrafodelista"/>
        <w:numPr>
          <w:ilvl w:val="0"/>
          <w:numId w:val="5"/>
        </w:numPr>
        <w:rPr>
          <w:rFonts w:ascii="Cambria" w:eastAsia="Times New Roman" w:hAnsi="Cambria"/>
          <w:b/>
          <w:bCs/>
          <w:kern w:val="32"/>
          <w:sz w:val="20"/>
          <w:szCs w:val="20"/>
        </w:rPr>
      </w:pPr>
      <w:r w:rsidRPr="001B356B">
        <w:rPr>
          <w:rFonts w:ascii="Cambria" w:eastAsia="Times New Roman" w:hAnsi="Cambria"/>
          <w:b/>
          <w:bCs/>
          <w:kern w:val="32"/>
          <w:sz w:val="20"/>
          <w:szCs w:val="20"/>
        </w:rPr>
        <w:lastRenderedPageBreak/>
        <w:t>FACTORES DE RIESGO</w:t>
      </w:r>
    </w:p>
    <w:p w14:paraId="42B7F248" w14:textId="77777777" w:rsidR="007D583B" w:rsidRPr="007D583B" w:rsidRDefault="007D583B" w:rsidP="007D583B">
      <w:pPr>
        <w:jc w:val="both"/>
        <w:rPr>
          <w:rFonts w:ascii="Cambria" w:eastAsia="Cambria" w:hAnsi="Cambria" w:cs="Cambria"/>
          <w:sz w:val="20"/>
          <w:szCs w:val="20"/>
        </w:rPr>
      </w:pPr>
      <w:r w:rsidRPr="007D583B">
        <w:rPr>
          <w:rFonts w:ascii="Cambria" w:eastAsia="Cambria" w:hAnsi="Cambria" w:cs="Cambria"/>
          <w:sz w:val="20"/>
          <w:szCs w:val="20"/>
        </w:rPr>
        <w:t>Sírvase remitirse a la sección “</w:t>
      </w:r>
      <w:r w:rsidRPr="007D583B">
        <w:rPr>
          <w:rFonts w:ascii="Cambria" w:eastAsia="Cambria" w:hAnsi="Cambria" w:cs="Cambria"/>
          <w:i/>
          <w:sz w:val="20"/>
          <w:szCs w:val="20"/>
        </w:rPr>
        <w:t>Factores de Riesgo</w:t>
      </w:r>
      <w:r w:rsidRPr="007D583B">
        <w:rPr>
          <w:rFonts w:ascii="Cambria" w:eastAsia="Cambria" w:hAnsi="Cambria" w:cs="Cambria"/>
          <w:sz w:val="20"/>
          <w:szCs w:val="20"/>
        </w:rPr>
        <w:t>” del Prospecto.</w:t>
      </w:r>
    </w:p>
    <w:p w14:paraId="25D69D0F" w14:textId="77777777" w:rsidR="007D583B" w:rsidRPr="001B356B" w:rsidRDefault="007D583B" w:rsidP="000C02A3">
      <w:pPr>
        <w:pStyle w:val="Prrafodelista"/>
        <w:numPr>
          <w:ilvl w:val="0"/>
          <w:numId w:val="5"/>
        </w:numPr>
        <w:rPr>
          <w:rFonts w:ascii="Cambria" w:eastAsia="Times New Roman" w:hAnsi="Cambria"/>
          <w:b/>
          <w:bCs/>
          <w:kern w:val="32"/>
          <w:sz w:val="20"/>
          <w:szCs w:val="20"/>
        </w:rPr>
      </w:pPr>
      <w:r w:rsidRPr="001B356B">
        <w:rPr>
          <w:rFonts w:ascii="Cambria" w:eastAsia="Times New Roman" w:hAnsi="Cambria"/>
          <w:b/>
          <w:bCs/>
          <w:kern w:val="32"/>
          <w:sz w:val="20"/>
          <w:szCs w:val="20"/>
        </w:rPr>
        <w:t>POLÍTICAS DE LA EMISORA</w:t>
      </w:r>
    </w:p>
    <w:p w14:paraId="35540751" w14:textId="77777777" w:rsidR="007D583B" w:rsidRPr="007D583B" w:rsidRDefault="007D583B" w:rsidP="007D583B">
      <w:pPr>
        <w:jc w:val="both"/>
        <w:rPr>
          <w:rFonts w:ascii="Cambria" w:eastAsia="Cambria" w:hAnsi="Cambria" w:cs="Cambria"/>
          <w:sz w:val="20"/>
          <w:szCs w:val="20"/>
        </w:rPr>
      </w:pPr>
      <w:bookmarkStart w:id="14" w:name="_DV_M178"/>
      <w:bookmarkStart w:id="15" w:name="_DV_M468"/>
      <w:bookmarkStart w:id="16" w:name="_DV_M484"/>
      <w:bookmarkStart w:id="17" w:name="_DV_M485"/>
      <w:bookmarkStart w:id="18" w:name="_DV_M486"/>
      <w:bookmarkEnd w:id="14"/>
      <w:bookmarkEnd w:id="15"/>
      <w:bookmarkEnd w:id="16"/>
      <w:bookmarkEnd w:id="17"/>
      <w:bookmarkEnd w:id="18"/>
      <w:r w:rsidRPr="007D583B">
        <w:rPr>
          <w:rFonts w:ascii="Cambria" w:eastAsia="Cambria" w:hAnsi="Cambria" w:cs="Cambria"/>
          <w:sz w:val="20"/>
          <w:szCs w:val="20"/>
        </w:rPr>
        <w:t>Sírvase remitirse a la sección “</w:t>
      </w:r>
      <w:r w:rsidRPr="007D583B">
        <w:rPr>
          <w:rFonts w:ascii="Cambria" w:eastAsia="Cambria" w:hAnsi="Cambria" w:cs="Cambria"/>
          <w:i/>
          <w:sz w:val="20"/>
          <w:szCs w:val="20"/>
        </w:rPr>
        <w:t>Políticas la Emisora</w:t>
      </w:r>
      <w:r w:rsidRPr="007D583B">
        <w:rPr>
          <w:rFonts w:ascii="Cambria" w:eastAsia="Cambria" w:hAnsi="Cambria" w:cs="Cambria"/>
          <w:sz w:val="20"/>
          <w:szCs w:val="20"/>
        </w:rPr>
        <w:t>” del Prospecto.</w:t>
      </w:r>
    </w:p>
    <w:p w14:paraId="73A9711C" w14:textId="77777777" w:rsidR="007D583B" w:rsidRPr="001B356B" w:rsidRDefault="007D583B" w:rsidP="000C02A3">
      <w:pPr>
        <w:pStyle w:val="Prrafodelista"/>
        <w:numPr>
          <w:ilvl w:val="0"/>
          <w:numId w:val="5"/>
        </w:numPr>
        <w:jc w:val="both"/>
        <w:rPr>
          <w:rFonts w:ascii="Cambria" w:eastAsia="Times New Roman" w:hAnsi="Cambria"/>
          <w:b/>
          <w:bCs/>
          <w:kern w:val="32"/>
          <w:sz w:val="20"/>
          <w:szCs w:val="20"/>
        </w:rPr>
      </w:pPr>
      <w:r w:rsidRPr="001B356B">
        <w:rPr>
          <w:rFonts w:ascii="Cambria" w:eastAsia="Times New Roman" w:hAnsi="Cambria"/>
          <w:b/>
          <w:bCs/>
          <w:kern w:val="32"/>
          <w:sz w:val="20"/>
          <w:szCs w:val="20"/>
        </w:rPr>
        <w:t>INFORMACIÓN SOBRE LOS DIRECTORES O ADMINISTRADORES, GERENTES, PROMOTORES, MIEMBROS DEL ÓRGANO DE FISCALIZACIÓN, DEL CONSEJO DE VIGILANCIA Y COMITÉ DE AUDITORÍA (TITULARES Y SUPLENTES)</w:t>
      </w:r>
    </w:p>
    <w:p w14:paraId="46653256" w14:textId="77777777" w:rsidR="007D583B" w:rsidRPr="007D583B" w:rsidRDefault="007D583B" w:rsidP="007D583B">
      <w:pPr>
        <w:jc w:val="both"/>
        <w:rPr>
          <w:rFonts w:ascii="Cambria" w:eastAsia="Cambria" w:hAnsi="Cambria" w:cs="Cambria"/>
          <w:sz w:val="20"/>
          <w:szCs w:val="20"/>
        </w:rPr>
      </w:pPr>
      <w:r w:rsidRPr="007D583B">
        <w:rPr>
          <w:rFonts w:ascii="Cambria" w:eastAsia="Cambria" w:hAnsi="Cambria" w:cs="Cambria"/>
          <w:sz w:val="20"/>
          <w:szCs w:val="20"/>
        </w:rPr>
        <w:t>Sírvase remitirse a la sección “</w:t>
      </w:r>
      <w:r w:rsidRPr="007D583B">
        <w:rPr>
          <w:rFonts w:ascii="Cambria" w:eastAsia="Cambria" w:hAnsi="Cambria" w:cs="Cambria"/>
          <w:i/>
          <w:sz w:val="20"/>
          <w:szCs w:val="20"/>
        </w:rPr>
        <w:t xml:space="preserve">Información sobre los </w:t>
      </w:r>
      <w:proofErr w:type="gramStart"/>
      <w:r w:rsidRPr="007D583B">
        <w:rPr>
          <w:rFonts w:ascii="Cambria" w:eastAsia="Cambria" w:hAnsi="Cambria" w:cs="Cambria"/>
          <w:i/>
          <w:sz w:val="20"/>
          <w:szCs w:val="20"/>
        </w:rPr>
        <w:t>Directores</w:t>
      </w:r>
      <w:proofErr w:type="gramEnd"/>
      <w:r w:rsidRPr="007D583B">
        <w:rPr>
          <w:rFonts w:ascii="Cambria" w:eastAsia="Cambria" w:hAnsi="Cambria" w:cs="Cambria"/>
          <w:i/>
          <w:sz w:val="20"/>
          <w:szCs w:val="20"/>
        </w:rPr>
        <w:t xml:space="preserve"> o Administradores, Ger</w:t>
      </w:r>
      <w:r>
        <w:rPr>
          <w:rFonts w:ascii="Cambria" w:eastAsia="Cambria" w:hAnsi="Cambria" w:cs="Cambria"/>
          <w:i/>
          <w:sz w:val="20"/>
          <w:szCs w:val="20"/>
        </w:rPr>
        <w:t>entes, Promotores, Miembros del</w:t>
      </w:r>
      <w:r w:rsidRPr="007D583B">
        <w:rPr>
          <w:rFonts w:ascii="Cambria" w:eastAsia="Cambria" w:hAnsi="Cambria" w:cs="Cambria"/>
          <w:i/>
          <w:sz w:val="20"/>
          <w:szCs w:val="20"/>
        </w:rPr>
        <w:t xml:space="preserve"> Órgano de Fiscalización, del Consejo de Vigilancia y Comité de Auditoría (Titulares y Suplentes)</w:t>
      </w:r>
      <w:r w:rsidRPr="007D583B">
        <w:rPr>
          <w:rFonts w:ascii="Cambria" w:eastAsia="Cambria" w:hAnsi="Cambria" w:cs="Cambria"/>
          <w:sz w:val="20"/>
          <w:szCs w:val="20"/>
        </w:rPr>
        <w:t>” del Prospecto.</w:t>
      </w:r>
    </w:p>
    <w:p w14:paraId="3348EE20" w14:textId="77777777" w:rsidR="007D583B" w:rsidRPr="001B356B" w:rsidRDefault="007D583B" w:rsidP="000C02A3">
      <w:pPr>
        <w:pStyle w:val="Prrafodelista"/>
        <w:numPr>
          <w:ilvl w:val="0"/>
          <w:numId w:val="5"/>
        </w:numPr>
        <w:rPr>
          <w:rFonts w:ascii="Cambria" w:eastAsia="Times New Roman" w:hAnsi="Cambria"/>
          <w:b/>
          <w:bCs/>
          <w:kern w:val="32"/>
          <w:sz w:val="20"/>
          <w:szCs w:val="20"/>
        </w:rPr>
      </w:pPr>
      <w:r w:rsidRPr="001B356B">
        <w:rPr>
          <w:rFonts w:ascii="Cambria" w:eastAsia="Times New Roman" w:hAnsi="Cambria"/>
          <w:b/>
          <w:bCs/>
          <w:kern w:val="32"/>
          <w:sz w:val="20"/>
          <w:szCs w:val="20"/>
        </w:rPr>
        <w:t xml:space="preserve">ESTRUCTURA DEL EMISOR, ACCIONISTAS O SOCIOS Y PARTES RELACIONADAS </w:t>
      </w:r>
    </w:p>
    <w:p w14:paraId="0FE41626" w14:textId="77777777" w:rsidR="007D583B" w:rsidRPr="007D583B" w:rsidRDefault="007D583B" w:rsidP="007D583B">
      <w:pPr>
        <w:jc w:val="both"/>
        <w:rPr>
          <w:rFonts w:ascii="Cambria" w:eastAsia="Cambria" w:hAnsi="Cambria" w:cs="Cambria"/>
          <w:sz w:val="20"/>
          <w:szCs w:val="20"/>
        </w:rPr>
      </w:pPr>
      <w:r w:rsidRPr="007D583B">
        <w:rPr>
          <w:rFonts w:ascii="Cambria" w:eastAsia="Cambria" w:hAnsi="Cambria" w:cs="Cambria"/>
          <w:sz w:val="20"/>
          <w:szCs w:val="20"/>
        </w:rPr>
        <w:t>Sírvase remitirse a la sección</w:t>
      </w:r>
      <w:r w:rsidRPr="007D583B">
        <w:rPr>
          <w:rFonts w:ascii="Cambria" w:eastAsia="Cambria" w:hAnsi="Cambria" w:cs="Cambria"/>
          <w:i/>
          <w:sz w:val="20"/>
          <w:szCs w:val="20"/>
        </w:rPr>
        <w:t xml:space="preserve"> “Estructura del Emisor, Accionistas o Socios y Partes Relacionadas” </w:t>
      </w:r>
      <w:r w:rsidRPr="007D583B">
        <w:rPr>
          <w:rFonts w:ascii="Cambria" w:eastAsia="Cambria" w:hAnsi="Cambria" w:cs="Cambria"/>
          <w:sz w:val="20"/>
          <w:szCs w:val="20"/>
        </w:rPr>
        <w:t>del Prospecto.</w:t>
      </w:r>
    </w:p>
    <w:p w14:paraId="3C325F16" w14:textId="77777777" w:rsidR="007D583B" w:rsidRPr="001B356B" w:rsidRDefault="007D583B" w:rsidP="000C02A3">
      <w:pPr>
        <w:pStyle w:val="Prrafodelista"/>
        <w:numPr>
          <w:ilvl w:val="0"/>
          <w:numId w:val="5"/>
        </w:numPr>
        <w:rPr>
          <w:rFonts w:ascii="Cambria" w:eastAsia="Times New Roman" w:hAnsi="Cambria"/>
          <w:b/>
          <w:bCs/>
          <w:kern w:val="32"/>
          <w:sz w:val="20"/>
          <w:szCs w:val="20"/>
        </w:rPr>
      </w:pPr>
      <w:r w:rsidRPr="001B356B">
        <w:rPr>
          <w:rFonts w:ascii="Cambria" w:eastAsia="Times New Roman" w:hAnsi="Cambria"/>
          <w:b/>
          <w:bCs/>
          <w:kern w:val="32"/>
          <w:sz w:val="20"/>
          <w:szCs w:val="20"/>
        </w:rPr>
        <w:t>ACTIVOS FIJOS Y SUCURSALES DE LA EMISORA</w:t>
      </w:r>
    </w:p>
    <w:p w14:paraId="73769A11" w14:textId="77777777" w:rsidR="007D583B" w:rsidRPr="007D583B" w:rsidRDefault="007D583B" w:rsidP="007D583B">
      <w:pPr>
        <w:tabs>
          <w:tab w:val="left" w:pos="4020"/>
        </w:tabs>
        <w:rPr>
          <w:rFonts w:ascii="Cambria" w:eastAsia="Cambria" w:hAnsi="Cambria" w:cs="Cambria"/>
          <w:sz w:val="20"/>
          <w:szCs w:val="20"/>
        </w:rPr>
      </w:pPr>
      <w:r w:rsidRPr="007D583B">
        <w:rPr>
          <w:rFonts w:ascii="Cambria" w:eastAsia="Cambria" w:hAnsi="Cambria" w:cs="Cambria"/>
          <w:sz w:val="20"/>
          <w:szCs w:val="20"/>
        </w:rPr>
        <w:t>Sírvase remitirse a la sección “</w:t>
      </w:r>
      <w:r w:rsidRPr="007D583B">
        <w:rPr>
          <w:rFonts w:ascii="Cambria" w:eastAsia="Cambria" w:hAnsi="Cambria" w:cs="Cambria"/>
          <w:i/>
          <w:sz w:val="20"/>
          <w:szCs w:val="20"/>
        </w:rPr>
        <w:t>Activos Fijos y Sucursales de la Emisora</w:t>
      </w:r>
      <w:r w:rsidRPr="007D583B">
        <w:rPr>
          <w:rFonts w:ascii="Cambria" w:eastAsia="Cambria" w:hAnsi="Cambria" w:cs="Cambria"/>
          <w:sz w:val="20"/>
          <w:szCs w:val="20"/>
        </w:rPr>
        <w:t>” del Prospecto.</w:t>
      </w:r>
    </w:p>
    <w:p w14:paraId="28017E88" w14:textId="77777777" w:rsidR="00ED480D" w:rsidRDefault="007D583B">
      <w:pPr>
        <w:spacing w:after="160" w:line="259" w:lineRule="auto"/>
        <w:rPr>
          <w:bCs/>
          <w:szCs w:val="24"/>
        </w:rPr>
      </w:pPr>
      <w:r>
        <w:rPr>
          <w:bCs/>
          <w:szCs w:val="24"/>
        </w:rPr>
        <w:br w:type="page"/>
      </w:r>
    </w:p>
    <w:p w14:paraId="5C5FE0BA" w14:textId="77777777" w:rsidR="00ED480D" w:rsidRPr="006F5C22" w:rsidRDefault="00ED480D" w:rsidP="000C02A3">
      <w:pPr>
        <w:pStyle w:val="Ttulo1"/>
        <w:widowControl w:val="0"/>
        <w:numPr>
          <w:ilvl w:val="0"/>
          <w:numId w:val="52"/>
        </w:numPr>
        <w:spacing w:after="0"/>
        <w:jc w:val="both"/>
        <w:rPr>
          <w:sz w:val="20"/>
          <w:szCs w:val="20"/>
        </w:rPr>
      </w:pPr>
      <w:bookmarkStart w:id="19" w:name="_Toc25596183"/>
      <w:bookmarkStart w:id="20" w:name="_Toc48825216"/>
      <w:r w:rsidRPr="006F5C22">
        <w:rPr>
          <w:sz w:val="20"/>
          <w:szCs w:val="20"/>
        </w:rPr>
        <w:lastRenderedPageBreak/>
        <w:t>ANTECEDENTES FINANCIEROS</w:t>
      </w:r>
      <w:bookmarkEnd w:id="19"/>
      <w:bookmarkEnd w:id="20"/>
    </w:p>
    <w:p w14:paraId="653D17AF" w14:textId="77777777" w:rsidR="00ED480D" w:rsidRDefault="00ED480D" w:rsidP="00ED480D">
      <w:pPr>
        <w:rPr>
          <w:rFonts w:ascii="Cambria" w:hAnsi="Cambria"/>
          <w:b/>
          <w:caps/>
          <w:kern w:val="32"/>
          <w:sz w:val="20"/>
        </w:rPr>
      </w:pPr>
      <w:bookmarkStart w:id="21" w:name="_Toc25595850"/>
      <w:bookmarkStart w:id="22" w:name="_Toc25596184"/>
    </w:p>
    <w:p w14:paraId="73C285CA" w14:textId="77777777" w:rsidR="00ED480D" w:rsidRPr="006E4259" w:rsidRDefault="00ED480D" w:rsidP="00ED480D">
      <w:pPr>
        <w:rPr>
          <w:rFonts w:ascii="Cambria" w:hAnsi="Cambria"/>
          <w:b/>
          <w:caps/>
          <w:kern w:val="32"/>
          <w:sz w:val="20"/>
        </w:rPr>
      </w:pPr>
      <w:r w:rsidRPr="006E4259">
        <w:rPr>
          <w:rFonts w:ascii="Cambria" w:hAnsi="Cambria"/>
          <w:b/>
          <w:caps/>
          <w:kern w:val="32"/>
          <w:sz w:val="20"/>
        </w:rPr>
        <w:t>Información Clave sobre la Emisora</w:t>
      </w:r>
    </w:p>
    <w:p w14:paraId="089381D5" w14:textId="77777777" w:rsidR="00ED480D" w:rsidRPr="00123D23" w:rsidRDefault="00ED480D" w:rsidP="00ED480D">
      <w:pPr>
        <w:spacing w:after="240"/>
        <w:jc w:val="both"/>
        <w:rPr>
          <w:rFonts w:ascii="Cambria" w:hAnsi="Cambria"/>
          <w:sz w:val="20"/>
          <w:szCs w:val="20"/>
          <w:lang w:eastAsia="en-US"/>
        </w:rPr>
      </w:pPr>
      <w:r w:rsidRPr="00123D23">
        <w:rPr>
          <w:rFonts w:ascii="Cambria" w:hAnsi="Cambria"/>
          <w:sz w:val="20"/>
          <w:szCs w:val="20"/>
          <w:lang w:eastAsia="en-US"/>
        </w:rPr>
        <w:t>El siguiente resumen de la información financiera consolidada ha sido obtenido de nuestros estados financieros consolidados a las fechas y para cada uno de los ejercicios anuales finalizados al 31 de marzo de 2020, 2019 y 2018 y ha sido actualizada con los estados financieros no auditados por el periodo de tres meses finalizados el 30 de junio de 2020, comparativa con el mismo periodo del ejercicio anterior, el cual se expone comparativo con el mismo periodo del ejercicio anterior, los cuales han sido oportunamente presentados ante la CNV considerando los efectos de la reexpresión (Ver la sección “</w:t>
      </w:r>
      <w:r w:rsidRPr="006E4259">
        <w:rPr>
          <w:rFonts w:ascii="Cambria" w:hAnsi="Cambria"/>
          <w:i/>
          <w:sz w:val="20"/>
        </w:rPr>
        <w:t xml:space="preserve">Bases de preparación, conversión y presentación de los estados financieros consolidados </w:t>
      </w:r>
      <w:r w:rsidRPr="00123D23">
        <w:rPr>
          <w:rFonts w:ascii="Cambria" w:hAnsi="Cambria"/>
          <w:sz w:val="20"/>
          <w:szCs w:val="20"/>
          <w:lang w:eastAsia="en-US"/>
        </w:rPr>
        <w:t>”) del presente Prospecto</w:t>
      </w:r>
      <w:r w:rsidR="009961CD">
        <w:rPr>
          <w:rFonts w:ascii="Cambria" w:hAnsi="Cambria"/>
          <w:sz w:val="20"/>
          <w:szCs w:val="20"/>
          <w:lang w:eastAsia="en-US"/>
        </w:rPr>
        <w:t xml:space="preserve"> Resumido</w:t>
      </w:r>
      <w:r w:rsidRPr="00123D23">
        <w:rPr>
          <w:rFonts w:ascii="Cambria" w:hAnsi="Cambria"/>
          <w:sz w:val="20"/>
          <w:szCs w:val="20"/>
          <w:lang w:eastAsia="en-US"/>
        </w:rPr>
        <w:t>.</w:t>
      </w:r>
    </w:p>
    <w:p w14:paraId="1DE88E24" w14:textId="77777777" w:rsidR="00ED480D" w:rsidRPr="00123D23" w:rsidRDefault="00ED480D" w:rsidP="00ED480D">
      <w:pPr>
        <w:spacing w:after="240"/>
        <w:jc w:val="both"/>
        <w:rPr>
          <w:rFonts w:ascii="Cambria" w:hAnsi="Cambria"/>
          <w:noProof/>
          <w:sz w:val="20"/>
          <w:szCs w:val="20"/>
        </w:rPr>
      </w:pPr>
      <w:r w:rsidRPr="00123D23">
        <w:rPr>
          <w:rFonts w:ascii="Cambria" w:hAnsi="Cambria"/>
          <w:b/>
          <w:bCs/>
          <w:sz w:val="20"/>
          <w:szCs w:val="20"/>
          <w:lang w:eastAsia="en-US"/>
        </w:rPr>
        <w:t>Resumen de Información Contable y Financiera consolidada por los ejercicios finalizados al 31 de marzo de 2020, 2019 y 2018.</w:t>
      </w:r>
    </w:p>
    <w:p w14:paraId="7DA1B2AC" w14:textId="77777777" w:rsidR="00ED480D" w:rsidRPr="006E4259" w:rsidRDefault="00ED480D" w:rsidP="00ED480D">
      <w:pPr>
        <w:spacing w:after="240"/>
        <w:jc w:val="both"/>
        <w:rPr>
          <w:rFonts w:ascii="Times New Roman" w:hAnsi="Times New Roman"/>
        </w:rPr>
      </w:pPr>
      <w:r w:rsidRPr="006E4259">
        <w:rPr>
          <w:noProof/>
          <w:lang w:val="es-AR"/>
        </w:rPr>
        <w:drawing>
          <wp:inline distT="0" distB="0" distL="0" distR="0" wp14:anchorId="5C8CF762" wp14:editId="26FB5095">
            <wp:extent cx="5265454" cy="43510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1845" cy="4356301"/>
                    </a:xfrm>
                    <a:prstGeom prst="rect">
                      <a:avLst/>
                    </a:prstGeom>
                    <a:noFill/>
                    <a:ln>
                      <a:noFill/>
                    </a:ln>
                  </pic:spPr>
                </pic:pic>
              </a:graphicData>
            </a:graphic>
          </wp:inline>
        </w:drawing>
      </w:r>
    </w:p>
    <w:p w14:paraId="3F506825" w14:textId="77777777" w:rsidR="00ED480D" w:rsidRPr="005B081E" w:rsidRDefault="00ED480D" w:rsidP="000C02A3">
      <w:pPr>
        <w:numPr>
          <w:ilvl w:val="0"/>
          <w:numId w:val="11"/>
        </w:numPr>
        <w:spacing w:after="0"/>
        <w:ind w:left="714" w:hanging="357"/>
        <w:jc w:val="both"/>
        <w:rPr>
          <w:rFonts w:ascii="Cambria" w:hAnsi="Cambria"/>
          <w:sz w:val="20"/>
          <w:szCs w:val="20"/>
          <w:lang w:eastAsia="en-US"/>
        </w:rPr>
      </w:pPr>
      <w:bookmarkStart w:id="23" w:name="_Hlk25075212"/>
      <w:r w:rsidRPr="005B081E">
        <w:rPr>
          <w:rFonts w:ascii="Cambria" w:hAnsi="Cambria"/>
          <w:sz w:val="20"/>
          <w:szCs w:val="20"/>
          <w:lang w:eastAsia="en-US"/>
        </w:rPr>
        <w:t>Los saldos surgen de los estados financieros consolidados al 31 de marzo de 2020 y se encuentra</w:t>
      </w:r>
      <w:r>
        <w:rPr>
          <w:rFonts w:ascii="Cambria" w:hAnsi="Cambria"/>
          <w:sz w:val="20"/>
          <w:szCs w:val="20"/>
          <w:lang w:eastAsia="en-US"/>
        </w:rPr>
        <w:t>n</w:t>
      </w:r>
      <w:r w:rsidRPr="005B081E">
        <w:rPr>
          <w:rFonts w:ascii="Cambria" w:hAnsi="Cambria"/>
          <w:sz w:val="20"/>
          <w:szCs w:val="20"/>
          <w:lang w:eastAsia="en-US"/>
        </w:rPr>
        <w:t xml:space="preserve"> reexpresados a moneda de dicha</w:t>
      </w:r>
      <w:r>
        <w:rPr>
          <w:rFonts w:ascii="Cambria" w:hAnsi="Cambria"/>
          <w:sz w:val="20"/>
          <w:szCs w:val="20"/>
          <w:lang w:eastAsia="en-US"/>
        </w:rPr>
        <w:t xml:space="preserve"> fecha</w:t>
      </w:r>
      <w:r w:rsidRPr="005B081E">
        <w:rPr>
          <w:rFonts w:ascii="Cambria" w:hAnsi="Cambria"/>
          <w:sz w:val="20"/>
          <w:szCs w:val="20"/>
          <w:lang w:eastAsia="en-US"/>
        </w:rPr>
        <w:t>.</w:t>
      </w:r>
      <w:bookmarkEnd w:id="23"/>
    </w:p>
    <w:p w14:paraId="0AB8306E" w14:textId="77777777" w:rsidR="00ED480D" w:rsidRPr="005B081E" w:rsidRDefault="00ED480D" w:rsidP="000C02A3">
      <w:pPr>
        <w:numPr>
          <w:ilvl w:val="0"/>
          <w:numId w:val="11"/>
        </w:numPr>
        <w:spacing w:after="0"/>
        <w:ind w:left="714" w:hanging="357"/>
        <w:jc w:val="both"/>
        <w:rPr>
          <w:rFonts w:ascii="Cambria" w:hAnsi="Cambria"/>
          <w:sz w:val="20"/>
          <w:szCs w:val="20"/>
          <w:lang w:eastAsia="en-US"/>
        </w:rPr>
      </w:pPr>
      <w:r w:rsidRPr="005B081E">
        <w:rPr>
          <w:rFonts w:ascii="Cambria" w:hAnsi="Cambria"/>
          <w:sz w:val="20"/>
          <w:szCs w:val="20"/>
          <w:lang w:eastAsia="en-US"/>
        </w:rPr>
        <w:t>Los saldos surgen de los estados financieros consolidados al 31 de marzo de 2018 y se encuentra</w:t>
      </w:r>
      <w:r>
        <w:rPr>
          <w:rFonts w:ascii="Cambria" w:hAnsi="Cambria"/>
          <w:sz w:val="20"/>
          <w:szCs w:val="20"/>
          <w:lang w:eastAsia="en-US"/>
        </w:rPr>
        <w:t>n</w:t>
      </w:r>
      <w:r w:rsidRPr="005B081E">
        <w:rPr>
          <w:rFonts w:ascii="Cambria" w:hAnsi="Cambria"/>
          <w:sz w:val="20"/>
          <w:szCs w:val="20"/>
          <w:lang w:eastAsia="en-US"/>
        </w:rPr>
        <w:t xml:space="preserve"> reexpresados a moneda del 31 de marzo de 2020.</w:t>
      </w:r>
    </w:p>
    <w:p w14:paraId="5726AF65" w14:textId="77777777" w:rsidR="00ED480D" w:rsidRPr="005B081E" w:rsidRDefault="00ED480D" w:rsidP="00ED480D">
      <w:pPr>
        <w:spacing w:after="240"/>
        <w:jc w:val="both"/>
        <w:rPr>
          <w:rFonts w:ascii="Times New Roman" w:hAnsi="Times New Roman"/>
          <w:lang w:eastAsia="en-US"/>
        </w:rPr>
      </w:pPr>
    </w:p>
    <w:p w14:paraId="0223A1D1" w14:textId="77777777" w:rsidR="00ED480D" w:rsidRPr="005B081E" w:rsidRDefault="00ED480D" w:rsidP="00ED480D">
      <w:pPr>
        <w:spacing w:after="240"/>
        <w:jc w:val="both"/>
        <w:rPr>
          <w:rFonts w:ascii="Times New Roman" w:hAnsi="Times New Roman"/>
          <w:lang w:eastAsia="en-US"/>
        </w:rPr>
      </w:pPr>
      <w:r w:rsidRPr="00537C9D">
        <w:rPr>
          <w:noProof/>
          <w:lang w:val="es-AR"/>
        </w:rPr>
        <w:lastRenderedPageBreak/>
        <w:drawing>
          <wp:inline distT="0" distB="0" distL="0" distR="0" wp14:anchorId="124F1FC6" wp14:editId="0082B8E3">
            <wp:extent cx="4843320" cy="650557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45933" cy="6509085"/>
                    </a:xfrm>
                    <a:prstGeom prst="rect">
                      <a:avLst/>
                    </a:prstGeom>
                    <a:noFill/>
                    <a:ln>
                      <a:noFill/>
                    </a:ln>
                  </pic:spPr>
                </pic:pic>
              </a:graphicData>
            </a:graphic>
          </wp:inline>
        </w:drawing>
      </w:r>
    </w:p>
    <w:p w14:paraId="2C038686" w14:textId="77777777" w:rsidR="00ED480D" w:rsidRPr="006F5C22" w:rsidRDefault="00ED480D" w:rsidP="000C02A3">
      <w:pPr>
        <w:numPr>
          <w:ilvl w:val="0"/>
          <w:numId w:val="23"/>
        </w:numPr>
        <w:spacing w:after="0"/>
        <w:jc w:val="both"/>
        <w:rPr>
          <w:rFonts w:ascii="Cambria" w:hAnsi="Cambria"/>
          <w:sz w:val="20"/>
          <w:szCs w:val="20"/>
          <w:lang w:eastAsia="en-US"/>
        </w:rPr>
      </w:pPr>
      <w:r w:rsidRPr="006F5C22">
        <w:rPr>
          <w:rFonts w:ascii="Cambria" w:hAnsi="Cambria"/>
          <w:sz w:val="20"/>
          <w:szCs w:val="20"/>
          <w:lang w:eastAsia="en-US"/>
        </w:rPr>
        <w:t>Los saldos surgen de los estados financieros consolidados al 31 de marzo de 2020 y se encuentra</w:t>
      </w:r>
      <w:r>
        <w:rPr>
          <w:rFonts w:ascii="Cambria" w:hAnsi="Cambria"/>
          <w:sz w:val="20"/>
          <w:szCs w:val="20"/>
          <w:lang w:eastAsia="en-US"/>
        </w:rPr>
        <w:t>n</w:t>
      </w:r>
      <w:r w:rsidRPr="006F5C22">
        <w:rPr>
          <w:rFonts w:ascii="Cambria" w:hAnsi="Cambria"/>
          <w:sz w:val="20"/>
          <w:szCs w:val="20"/>
          <w:lang w:eastAsia="en-US"/>
        </w:rPr>
        <w:t xml:space="preserve"> reexpresados a moneda de dicha fecha.</w:t>
      </w:r>
    </w:p>
    <w:p w14:paraId="1E4C93FB" w14:textId="77777777" w:rsidR="00ED480D" w:rsidRPr="006F5C22" w:rsidRDefault="00ED480D" w:rsidP="000C02A3">
      <w:pPr>
        <w:numPr>
          <w:ilvl w:val="0"/>
          <w:numId w:val="23"/>
        </w:numPr>
        <w:spacing w:after="0"/>
        <w:ind w:left="714" w:hanging="357"/>
        <w:jc w:val="both"/>
        <w:rPr>
          <w:rFonts w:ascii="Cambria" w:hAnsi="Cambria"/>
          <w:sz w:val="20"/>
          <w:szCs w:val="20"/>
          <w:lang w:eastAsia="en-US"/>
        </w:rPr>
      </w:pPr>
      <w:r w:rsidRPr="006F5C22">
        <w:rPr>
          <w:rFonts w:ascii="Cambria" w:hAnsi="Cambria"/>
          <w:sz w:val="20"/>
          <w:szCs w:val="20"/>
          <w:lang w:eastAsia="en-US"/>
        </w:rPr>
        <w:t>Los saldos surgen de los estados financieros consolidados al 31 de marzo de 2018 y se encuentra</w:t>
      </w:r>
      <w:r>
        <w:rPr>
          <w:rFonts w:ascii="Cambria" w:hAnsi="Cambria"/>
          <w:sz w:val="20"/>
          <w:szCs w:val="20"/>
          <w:lang w:eastAsia="en-US"/>
        </w:rPr>
        <w:t>n</w:t>
      </w:r>
      <w:r w:rsidRPr="006F5C22">
        <w:rPr>
          <w:rFonts w:ascii="Cambria" w:hAnsi="Cambria"/>
          <w:sz w:val="20"/>
          <w:szCs w:val="20"/>
          <w:lang w:eastAsia="en-US"/>
        </w:rPr>
        <w:t xml:space="preserve"> reexpresados a moneda del 31 de marzo de 2020.</w:t>
      </w:r>
    </w:p>
    <w:p w14:paraId="7AD5D1BB" w14:textId="77777777" w:rsidR="00ED480D" w:rsidRPr="006E4259" w:rsidRDefault="00ED480D" w:rsidP="00ED480D">
      <w:pPr>
        <w:spacing w:after="240"/>
        <w:jc w:val="both"/>
        <w:rPr>
          <w:rFonts w:ascii="Cambria" w:hAnsi="Cambria"/>
          <w:sz w:val="20"/>
        </w:rPr>
      </w:pPr>
    </w:p>
    <w:p w14:paraId="77DBF30F" w14:textId="77777777" w:rsidR="00ED480D" w:rsidRPr="005B081E" w:rsidRDefault="00ED480D" w:rsidP="00ED480D">
      <w:pPr>
        <w:spacing w:after="240"/>
        <w:jc w:val="both"/>
        <w:rPr>
          <w:rFonts w:ascii="Times New Roman" w:hAnsi="Times New Roman"/>
          <w:lang w:eastAsia="en-US"/>
        </w:rPr>
      </w:pPr>
    </w:p>
    <w:p w14:paraId="4C0877AA" w14:textId="77777777" w:rsidR="00ED480D" w:rsidRPr="005B081E" w:rsidRDefault="00ED480D" w:rsidP="00ED480D">
      <w:pPr>
        <w:spacing w:after="240"/>
        <w:jc w:val="both"/>
        <w:rPr>
          <w:rFonts w:ascii="Times New Roman" w:hAnsi="Times New Roman"/>
          <w:lang w:eastAsia="en-US"/>
        </w:rPr>
      </w:pPr>
    </w:p>
    <w:p w14:paraId="7BE3A047" w14:textId="77777777" w:rsidR="00ED480D" w:rsidRPr="005B081E" w:rsidRDefault="00ED480D" w:rsidP="00ED480D">
      <w:pPr>
        <w:spacing w:after="240"/>
        <w:jc w:val="both"/>
        <w:rPr>
          <w:rFonts w:ascii="Times New Roman" w:hAnsi="Times New Roman"/>
          <w:lang w:eastAsia="en-US"/>
        </w:rPr>
      </w:pPr>
    </w:p>
    <w:p w14:paraId="6688B6BB" w14:textId="77777777" w:rsidR="00ED480D" w:rsidRPr="006F5C22" w:rsidRDefault="00ED480D" w:rsidP="00ED480D">
      <w:pPr>
        <w:rPr>
          <w:rFonts w:ascii="Times New Roman" w:hAnsi="Times New Roman"/>
          <w:highlight w:val="yellow"/>
          <w:lang w:eastAsia="en-US"/>
        </w:rPr>
      </w:pPr>
      <w:r w:rsidRPr="00537C9D">
        <w:rPr>
          <w:noProof/>
          <w:lang w:val="es-AR"/>
        </w:rPr>
        <w:lastRenderedPageBreak/>
        <w:drawing>
          <wp:inline distT="0" distB="0" distL="0" distR="0" wp14:anchorId="31FB9AA8" wp14:editId="1C68EFBC">
            <wp:extent cx="5086350" cy="2217649"/>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1294" cy="2224165"/>
                    </a:xfrm>
                    <a:prstGeom prst="rect">
                      <a:avLst/>
                    </a:prstGeom>
                    <a:noFill/>
                    <a:ln>
                      <a:noFill/>
                    </a:ln>
                  </pic:spPr>
                </pic:pic>
              </a:graphicData>
            </a:graphic>
          </wp:inline>
        </w:drawing>
      </w:r>
    </w:p>
    <w:p w14:paraId="25D7165A" w14:textId="77777777" w:rsidR="00ED480D" w:rsidRPr="006F5C22" w:rsidRDefault="00ED480D" w:rsidP="000C02A3">
      <w:pPr>
        <w:numPr>
          <w:ilvl w:val="0"/>
          <w:numId w:val="31"/>
        </w:numPr>
        <w:spacing w:after="0"/>
        <w:jc w:val="both"/>
        <w:rPr>
          <w:rFonts w:ascii="Cambria" w:hAnsi="Cambria"/>
          <w:sz w:val="20"/>
          <w:szCs w:val="20"/>
          <w:lang w:eastAsia="en-US"/>
        </w:rPr>
      </w:pPr>
      <w:r w:rsidRPr="006F5C22">
        <w:rPr>
          <w:rFonts w:ascii="Cambria" w:hAnsi="Cambria"/>
          <w:sz w:val="20"/>
          <w:szCs w:val="20"/>
          <w:lang w:eastAsia="en-US"/>
        </w:rPr>
        <w:t>Los saldos surgen de los estados financieros consolidados al 31 de marzo de 2020 y se encuentra</w:t>
      </w:r>
      <w:r>
        <w:rPr>
          <w:rFonts w:ascii="Cambria" w:hAnsi="Cambria"/>
          <w:sz w:val="20"/>
          <w:szCs w:val="20"/>
          <w:lang w:eastAsia="en-US"/>
        </w:rPr>
        <w:t>n</w:t>
      </w:r>
      <w:r w:rsidRPr="006F5C22">
        <w:rPr>
          <w:rFonts w:ascii="Cambria" w:hAnsi="Cambria"/>
          <w:sz w:val="20"/>
          <w:szCs w:val="20"/>
          <w:lang w:eastAsia="en-US"/>
        </w:rPr>
        <w:t xml:space="preserve"> reexpresados a moneda de dicha fecha.</w:t>
      </w:r>
    </w:p>
    <w:p w14:paraId="47813C2F" w14:textId="77777777" w:rsidR="00ED480D" w:rsidRPr="006F5C22" w:rsidRDefault="00ED480D" w:rsidP="000C02A3">
      <w:pPr>
        <w:numPr>
          <w:ilvl w:val="0"/>
          <w:numId w:val="31"/>
        </w:numPr>
        <w:spacing w:after="0"/>
        <w:ind w:left="714" w:hanging="357"/>
        <w:jc w:val="both"/>
        <w:rPr>
          <w:rFonts w:ascii="Cambria" w:hAnsi="Cambria"/>
          <w:sz w:val="20"/>
          <w:szCs w:val="20"/>
          <w:lang w:eastAsia="en-US"/>
        </w:rPr>
      </w:pPr>
      <w:r w:rsidRPr="006F5C22">
        <w:rPr>
          <w:rFonts w:ascii="Cambria" w:hAnsi="Cambria"/>
          <w:sz w:val="20"/>
          <w:szCs w:val="20"/>
          <w:lang w:eastAsia="en-US"/>
        </w:rPr>
        <w:t>Los saldos surgen de los estados financieros consolidados al 31 de marzo de 2018 y se encuentra</w:t>
      </w:r>
      <w:r>
        <w:rPr>
          <w:rFonts w:ascii="Cambria" w:hAnsi="Cambria"/>
          <w:sz w:val="20"/>
          <w:szCs w:val="20"/>
          <w:lang w:eastAsia="en-US"/>
        </w:rPr>
        <w:t>n</w:t>
      </w:r>
      <w:r w:rsidRPr="006F5C22">
        <w:rPr>
          <w:rFonts w:ascii="Cambria" w:hAnsi="Cambria"/>
          <w:sz w:val="20"/>
          <w:szCs w:val="20"/>
          <w:lang w:eastAsia="en-US"/>
        </w:rPr>
        <w:t xml:space="preserve"> reexpresados a moneda del 31 de marzo de 2020.</w:t>
      </w:r>
    </w:p>
    <w:p w14:paraId="43EEA779" w14:textId="77777777" w:rsidR="00ED480D" w:rsidRPr="006E4259" w:rsidRDefault="00ED480D" w:rsidP="00ED480D">
      <w:pPr>
        <w:rPr>
          <w:rFonts w:ascii="Cambria" w:hAnsi="Cambria"/>
          <w:sz w:val="20"/>
          <w:highlight w:val="yellow"/>
        </w:rPr>
      </w:pPr>
    </w:p>
    <w:p w14:paraId="359BA2FA" w14:textId="77777777" w:rsidR="00ED480D" w:rsidRPr="006F5C22" w:rsidRDefault="00ED480D" w:rsidP="00ED480D">
      <w:pPr>
        <w:rPr>
          <w:rFonts w:ascii="Times New Roman" w:hAnsi="Times New Roman"/>
          <w:highlight w:val="yellow"/>
          <w:lang w:eastAsia="en-US"/>
        </w:rPr>
      </w:pPr>
      <w:r w:rsidRPr="00537C9D">
        <w:rPr>
          <w:noProof/>
          <w:lang w:val="es-AR"/>
        </w:rPr>
        <w:drawing>
          <wp:inline distT="0" distB="0" distL="0" distR="0" wp14:anchorId="00C1AFF8" wp14:editId="21885C74">
            <wp:extent cx="5715000" cy="3116580"/>
            <wp:effectExtent l="0" t="0" r="0"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0" cy="3116580"/>
                    </a:xfrm>
                    <a:prstGeom prst="rect">
                      <a:avLst/>
                    </a:prstGeom>
                    <a:noFill/>
                    <a:ln>
                      <a:noFill/>
                    </a:ln>
                  </pic:spPr>
                </pic:pic>
              </a:graphicData>
            </a:graphic>
          </wp:inline>
        </w:drawing>
      </w:r>
    </w:p>
    <w:p w14:paraId="2EC81861" w14:textId="77777777" w:rsidR="00ED480D" w:rsidRPr="005B081E" w:rsidRDefault="00ED480D" w:rsidP="000C02A3">
      <w:pPr>
        <w:numPr>
          <w:ilvl w:val="0"/>
          <w:numId w:val="32"/>
        </w:numPr>
        <w:spacing w:after="0"/>
        <w:jc w:val="both"/>
        <w:rPr>
          <w:rFonts w:ascii="Cambria" w:hAnsi="Cambria"/>
          <w:sz w:val="20"/>
          <w:szCs w:val="20"/>
          <w:lang w:eastAsia="en-US"/>
        </w:rPr>
      </w:pPr>
      <w:r w:rsidRPr="005B081E">
        <w:rPr>
          <w:rFonts w:ascii="Cambria" w:hAnsi="Cambria"/>
          <w:sz w:val="20"/>
          <w:szCs w:val="20"/>
          <w:lang w:eastAsia="en-US"/>
        </w:rPr>
        <w:t>Los saldos surgen de los estados financieros consolidados al 31 de marzo de 2020 y se encuentra</w:t>
      </w:r>
      <w:r>
        <w:rPr>
          <w:rFonts w:ascii="Cambria" w:hAnsi="Cambria"/>
          <w:sz w:val="20"/>
          <w:szCs w:val="20"/>
          <w:lang w:eastAsia="en-US"/>
        </w:rPr>
        <w:t>n</w:t>
      </w:r>
      <w:r w:rsidRPr="005B081E">
        <w:rPr>
          <w:rFonts w:ascii="Cambria" w:hAnsi="Cambria"/>
          <w:sz w:val="20"/>
          <w:szCs w:val="20"/>
          <w:lang w:eastAsia="en-US"/>
        </w:rPr>
        <w:t xml:space="preserve"> reexpresados a moneda de dicha fecha.</w:t>
      </w:r>
    </w:p>
    <w:p w14:paraId="4D5C069F" w14:textId="77777777" w:rsidR="00ED480D" w:rsidRPr="005B081E" w:rsidRDefault="00ED480D" w:rsidP="000C02A3">
      <w:pPr>
        <w:numPr>
          <w:ilvl w:val="0"/>
          <w:numId w:val="32"/>
        </w:numPr>
        <w:spacing w:after="0"/>
        <w:ind w:left="714" w:hanging="357"/>
        <w:jc w:val="both"/>
        <w:rPr>
          <w:rFonts w:ascii="Cambria" w:hAnsi="Cambria"/>
          <w:sz w:val="20"/>
          <w:szCs w:val="20"/>
          <w:lang w:eastAsia="en-US"/>
        </w:rPr>
      </w:pPr>
      <w:r w:rsidRPr="005B081E">
        <w:rPr>
          <w:rFonts w:ascii="Cambria" w:hAnsi="Cambria"/>
          <w:sz w:val="20"/>
          <w:szCs w:val="20"/>
          <w:lang w:eastAsia="en-US"/>
        </w:rPr>
        <w:t>Los saldos surgen de los estados financieros consolidados al 31 de marzo de 2018 y se encuentra</w:t>
      </w:r>
      <w:r>
        <w:rPr>
          <w:rFonts w:ascii="Cambria" w:hAnsi="Cambria"/>
          <w:sz w:val="20"/>
          <w:szCs w:val="20"/>
          <w:lang w:eastAsia="en-US"/>
        </w:rPr>
        <w:t>n</w:t>
      </w:r>
      <w:r w:rsidRPr="005B081E">
        <w:rPr>
          <w:rFonts w:ascii="Cambria" w:hAnsi="Cambria"/>
          <w:sz w:val="20"/>
          <w:szCs w:val="20"/>
          <w:lang w:eastAsia="en-US"/>
        </w:rPr>
        <w:t xml:space="preserve"> reexpresados a moneda del 31 de marzo de 2020.</w:t>
      </w:r>
    </w:p>
    <w:p w14:paraId="5E76E33E" w14:textId="77777777" w:rsidR="00ED480D" w:rsidRPr="005B081E" w:rsidRDefault="00ED480D" w:rsidP="00ED480D">
      <w:pPr>
        <w:spacing w:after="240"/>
        <w:jc w:val="both"/>
        <w:rPr>
          <w:rFonts w:ascii="Cambria" w:hAnsi="Cambria"/>
          <w:sz w:val="20"/>
          <w:szCs w:val="20"/>
          <w:lang w:eastAsia="en-US"/>
        </w:rPr>
      </w:pPr>
    </w:p>
    <w:p w14:paraId="11F8A76E" w14:textId="77777777" w:rsidR="00ED480D" w:rsidRPr="006F5C22" w:rsidRDefault="00ED480D" w:rsidP="00ED480D">
      <w:pPr>
        <w:rPr>
          <w:rFonts w:ascii="Times New Roman" w:hAnsi="Times New Roman"/>
          <w:highlight w:val="yellow"/>
          <w:lang w:eastAsia="en-US"/>
        </w:rPr>
      </w:pPr>
    </w:p>
    <w:p w14:paraId="0B3BDBA4" w14:textId="77777777" w:rsidR="00ED480D" w:rsidRPr="006F5C22" w:rsidRDefault="00ED480D" w:rsidP="00ED480D">
      <w:pPr>
        <w:spacing w:after="240"/>
        <w:jc w:val="center"/>
        <w:rPr>
          <w:rFonts w:ascii="Times New Roman" w:eastAsia="Times New Roman" w:hAnsi="Times New Roman"/>
          <w:highlight w:val="yellow"/>
          <w:lang w:val="es-MX" w:eastAsia="en-US"/>
        </w:rPr>
      </w:pPr>
      <w:r w:rsidRPr="006A2EDE">
        <w:rPr>
          <w:noProof/>
          <w:lang w:val="es-AR"/>
        </w:rPr>
        <w:lastRenderedPageBreak/>
        <w:drawing>
          <wp:inline distT="0" distB="0" distL="0" distR="0" wp14:anchorId="074F9571" wp14:editId="1324B55E">
            <wp:extent cx="5400040" cy="2342515"/>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040" cy="2342515"/>
                    </a:xfrm>
                    <a:prstGeom prst="rect">
                      <a:avLst/>
                    </a:prstGeom>
                    <a:noFill/>
                    <a:ln>
                      <a:noFill/>
                    </a:ln>
                  </pic:spPr>
                </pic:pic>
              </a:graphicData>
            </a:graphic>
          </wp:inline>
        </w:drawing>
      </w:r>
    </w:p>
    <w:p w14:paraId="1265CA4B" w14:textId="77777777" w:rsidR="00ED480D" w:rsidRPr="005B081E" w:rsidRDefault="00ED480D" w:rsidP="000C02A3">
      <w:pPr>
        <w:numPr>
          <w:ilvl w:val="0"/>
          <w:numId w:val="10"/>
        </w:numPr>
        <w:tabs>
          <w:tab w:val="num" w:pos="630"/>
        </w:tabs>
        <w:spacing w:after="0"/>
        <w:ind w:left="630"/>
        <w:jc w:val="both"/>
        <w:rPr>
          <w:rFonts w:ascii="Cambria" w:hAnsi="Cambria"/>
          <w:sz w:val="20"/>
          <w:szCs w:val="20"/>
          <w:lang w:eastAsia="en-US"/>
        </w:rPr>
      </w:pPr>
      <w:r w:rsidRPr="005B081E">
        <w:rPr>
          <w:rFonts w:ascii="Cambria" w:hAnsi="Cambria"/>
          <w:sz w:val="20"/>
          <w:szCs w:val="20"/>
          <w:lang w:eastAsia="en-US"/>
        </w:rPr>
        <w:t>Se calculó dividiendo a la ganancia neta del ejercicio por el promedio ponderado de acciones ordinarias en circulación durante el ejercicio.</w:t>
      </w:r>
    </w:p>
    <w:p w14:paraId="660E5D0F" w14:textId="77777777" w:rsidR="00ED480D" w:rsidRPr="005B081E" w:rsidRDefault="00ED480D" w:rsidP="000C02A3">
      <w:pPr>
        <w:numPr>
          <w:ilvl w:val="0"/>
          <w:numId w:val="10"/>
        </w:numPr>
        <w:tabs>
          <w:tab w:val="num" w:pos="630"/>
        </w:tabs>
        <w:spacing w:after="0"/>
        <w:ind w:left="630"/>
        <w:jc w:val="both"/>
        <w:rPr>
          <w:rFonts w:ascii="Cambria" w:hAnsi="Cambria"/>
          <w:sz w:val="20"/>
          <w:szCs w:val="20"/>
          <w:lang w:eastAsia="en-US"/>
        </w:rPr>
      </w:pPr>
      <w:r w:rsidRPr="005B081E">
        <w:rPr>
          <w:rFonts w:ascii="Cambria" w:hAnsi="Cambria"/>
          <w:sz w:val="20"/>
          <w:szCs w:val="20"/>
          <w:lang w:eastAsia="en-US"/>
        </w:rPr>
        <w:t xml:space="preserve">Conforme lo establecido por las </w:t>
      </w:r>
      <w:r>
        <w:rPr>
          <w:rFonts w:ascii="Cambria" w:hAnsi="Cambria"/>
          <w:sz w:val="20"/>
          <w:szCs w:val="20"/>
          <w:lang w:eastAsia="en-US"/>
        </w:rPr>
        <w:t>a</w:t>
      </w:r>
      <w:r w:rsidRPr="005B081E">
        <w:rPr>
          <w:rFonts w:ascii="Cambria" w:hAnsi="Cambria"/>
          <w:sz w:val="20"/>
          <w:szCs w:val="20"/>
          <w:lang w:eastAsia="en-US"/>
        </w:rPr>
        <w:t xml:space="preserve">sambleas </w:t>
      </w:r>
      <w:r>
        <w:rPr>
          <w:rFonts w:ascii="Cambria" w:hAnsi="Cambria"/>
          <w:sz w:val="20"/>
          <w:szCs w:val="20"/>
          <w:lang w:eastAsia="en-US"/>
        </w:rPr>
        <w:t>o</w:t>
      </w:r>
      <w:r w:rsidRPr="005B081E">
        <w:rPr>
          <w:rFonts w:ascii="Cambria" w:hAnsi="Cambria"/>
          <w:sz w:val="20"/>
          <w:szCs w:val="20"/>
          <w:lang w:eastAsia="en-US"/>
        </w:rPr>
        <w:t>rdinarias que aprobaron los estados contables correspondientes a cada ejercicio.</w:t>
      </w:r>
    </w:p>
    <w:p w14:paraId="50150308" w14:textId="77777777" w:rsidR="00ED480D" w:rsidRPr="005B081E" w:rsidRDefault="00ED480D" w:rsidP="000C02A3">
      <w:pPr>
        <w:numPr>
          <w:ilvl w:val="0"/>
          <w:numId w:val="10"/>
        </w:numPr>
        <w:tabs>
          <w:tab w:val="num" w:pos="630"/>
        </w:tabs>
        <w:spacing w:after="0"/>
        <w:ind w:left="630"/>
        <w:jc w:val="both"/>
        <w:rPr>
          <w:rFonts w:ascii="Cambria" w:hAnsi="Cambria"/>
          <w:sz w:val="20"/>
          <w:szCs w:val="20"/>
          <w:lang w:eastAsia="en-US"/>
        </w:rPr>
      </w:pPr>
      <w:r w:rsidRPr="005B081E">
        <w:rPr>
          <w:rFonts w:ascii="Cambria" w:hAnsi="Cambria"/>
          <w:sz w:val="20"/>
          <w:szCs w:val="20"/>
          <w:lang w:eastAsia="en-US"/>
        </w:rPr>
        <w:t xml:space="preserve">Corresponde a la depreciación de bienes de uso y la amortización de </w:t>
      </w:r>
      <w:r>
        <w:rPr>
          <w:rFonts w:ascii="Cambria" w:hAnsi="Cambria"/>
          <w:sz w:val="20"/>
          <w:szCs w:val="20"/>
          <w:lang w:eastAsia="en-US"/>
        </w:rPr>
        <w:t>activos</w:t>
      </w:r>
      <w:r w:rsidRPr="005B081E">
        <w:rPr>
          <w:rFonts w:ascii="Cambria" w:hAnsi="Cambria"/>
          <w:sz w:val="20"/>
          <w:szCs w:val="20"/>
          <w:lang w:eastAsia="en-US"/>
        </w:rPr>
        <w:t xml:space="preserve"> intangibles al cierre de cada ejercicio, según corresponda.</w:t>
      </w:r>
    </w:p>
    <w:p w14:paraId="51222A0A" w14:textId="77777777" w:rsidR="00ED480D" w:rsidRPr="005B081E" w:rsidRDefault="00ED480D" w:rsidP="000C02A3">
      <w:pPr>
        <w:numPr>
          <w:ilvl w:val="0"/>
          <w:numId w:val="10"/>
        </w:numPr>
        <w:tabs>
          <w:tab w:val="num" w:pos="630"/>
        </w:tabs>
        <w:spacing w:after="0"/>
        <w:ind w:left="630"/>
        <w:jc w:val="both"/>
        <w:rPr>
          <w:rFonts w:ascii="Cambria" w:hAnsi="Cambria"/>
          <w:sz w:val="20"/>
          <w:szCs w:val="20"/>
          <w:lang w:eastAsia="en-US"/>
        </w:rPr>
      </w:pPr>
      <w:r w:rsidRPr="005B081E">
        <w:rPr>
          <w:rFonts w:ascii="Cambria" w:hAnsi="Cambria"/>
          <w:sz w:val="20"/>
          <w:szCs w:val="20"/>
          <w:lang w:eastAsia="en-US"/>
        </w:rPr>
        <w:t xml:space="preserve">Se calculó como la ganancia neta de cada ejercicio más el impuesto a las ganancias, </w:t>
      </w:r>
      <w:r>
        <w:rPr>
          <w:rFonts w:ascii="Cambria" w:hAnsi="Cambria"/>
          <w:sz w:val="20"/>
          <w:szCs w:val="20"/>
          <w:lang w:eastAsia="en-US"/>
        </w:rPr>
        <w:t>y</w:t>
      </w:r>
      <w:r w:rsidRPr="005B081E">
        <w:rPr>
          <w:rFonts w:ascii="Cambria" w:hAnsi="Cambria"/>
          <w:sz w:val="20"/>
          <w:szCs w:val="20"/>
          <w:lang w:eastAsia="en-US"/>
        </w:rPr>
        <w:t xml:space="preserve"> las depreciaciones y las amortizaciones.</w:t>
      </w:r>
    </w:p>
    <w:p w14:paraId="26B39D32" w14:textId="77777777" w:rsidR="00ED480D" w:rsidRPr="005B081E" w:rsidRDefault="00ED480D" w:rsidP="000C02A3">
      <w:pPr>
        <w:numPr>
          <w:ilvl w:val="0"/>
          <w:numId w:val="10"/>
        </w:numPr>
        <w:tabs>
          <w:tab w:val="num" w:pos="630"/>
        </w:tabs>
        <w:spacing w:after="0"/>
        <w:ind w:left="630"/>
        <w:jc w:val="both"/>
        <w:rPr>
          <w:rFonts w:ascii="Cambria" w:hAnsi="Cambria"/>
          <w:sz w:val="20"/>
          <w:szCs w:val="20"/>
          <w:lang w:eastAsia="en-US"/>
        </w:rPr>
      </w:pPr>
      <w:r w:rsidRPr="005B081E">
        <w:rPr>
          <w:rFonts w:ascii="Cambria" w:hAnsi="Cambria"/>
          <w:sz w:val="20"/>
          <w:szCs w:val="20"/>
          <w:lang w:eastAsia="en-US"/>
        </w:rPr>
        <w:t xml:space="preserve">Corresponde a las altas de bienes de uso y </w:t>
      </w:r>
      <w:r>
        <w:rPr>
          <w:rFonts w:ascii="Cambria" w:hAnsi="Cambria"/>
          <w:sz w:val="20"/>
          <w:szCs w:val="20"/>
          <w:lang w:eastAsia="en-US"/>
        </w:rPr>
        <w:t>activos</w:t>
      </w:r>
      <w:r w:rsidRPr="005B081E">
        <w:rPr>
          <w:rFonts w:ascii="Cambria" w:hAnsi="Cambria"/>
          <w:sz w:val="20"/>
          <w:szCs w:val="20"/>
          <w:lang w:eastAsia="en-US"/>
        </w:rPr>
        <w:t xml:space="preserve"> intangibles al cierre de cada ejercicio, según corresponda.</w:t>
      </w:r>
    </w:p>
    <w:p w14:paraId="53A25FA7" w14:textId="77777777" w:rsidR="00ED480D" w:rsidRPr="005B081E" w:rsidRDefault="00ED480D" w:rsidP="000C02A3">
      <w:pPr>
        <w:numPr>
          <w:ilvl w:val="0"/>
          <w:numId w:val="10"/>
        </w:numPr>
        <w:tabs>
          <w:tab w:val="num" w:pos="630"/>
        </w:tabs>
        <w:spacing w:after="0"/>
        <w:ind w:left="630"/>
        <w:jc w:val="both"/>
        <w:rPr>
          <w:rFonts w:ascii="Cambria" w:hAnsi="Cambria"/>
          <w:sz w:val="20"/>
          <w:szCs w:val="20"/>
          <w:lang w:eastAsia="en-US"/>
        </w:rPr>
      </w:pPr>
      <w:r w:rsidRPr="005B081E">
        <w:rPr>
          <w:rFonts w:ascii="Cambria" w:hAnsi="Cambria"/>
          <w:sz w:val="20"/>
          <w:szCs w:val="20"/>
          <w:lang w:eastAsia="en-US"/>
        </w:rPr>
        <w:t>Se calculó como la relación activo corriente / pasivo corriente al cierre de cada ejercicio, según corresponda.</w:t>
      </w:r>
    </w:p>
    <w:p w14:paraId="173C775E" w14:textId="77777777" w:rsidR="00ED480D" w:rsidRPr="005B081E" w:rsidRDefault="00ED480D" w:rsidP="000C02A3">
      <w:pPr>
        <w:numPr>
          <w:ilvl w:val="0"/>
          <w:numId w:val="10"/>
        </w:numPr>
        <w:tabs>
          <w:tab w:val="num" w:pos="630"/>
        </w:tabs>
        <w:spacing w:after="0"/>
        <w:ind w:left="630"/>
        <w:jc w:val="both"/>
        <w:rPr>
          <w:rFonts w:ascii="Cambria" w:hAnsi="Cambria"/>
          <w:sz w:val="20"/>
          <w:szCs w:val="20"/>
          <w:lang w:eastAsia="en-US"/>
        </w:rPr>
      </w:pPr>
      <w:r w:rsidRPr="005B081E">
        <w:rPr>
          <w:rFonts w:ascii="Cambria" w:hAnsi="Cambria"/>
          <w:sz w:val="20"/>
          <w:szCs w:val="20"/>
          <w:lang w:eastAsia="en-US"/>
        </w:rPr>
        <w:t>Se calculó como la relación patrimonio neto / total del pasivo al cierre de cada ejercicio, según corresponda.</w:t>
      </w:r>
    </w:p>
    <w:p w14:paraId="05BC01A2" w14:textId="77777777" w:rsidR="00ED480D" w:rsidRPr="005B081E" w:rsidRDefault="00ED480D" w:rsidP="000C02A3">
      <w:pPr>
        <w:numPr>
          <w:ilvl w:val="0"/>
          <w:numId w:val="10"/>
        </w:numPr>
        <w:tabs>
          <w:tab w:val="num" w:pos="630"/>
        </w:tabs>
        <w:spacing w:after="0"/>
        <w:ind w:left="630"/>
        <w:jc w:val="both"/>
        <w:rPr>
          <w:rFonts w:ascii="Cambria" w:hAnsi="Cambria"/>
          <w:sz w:val="20"/>
          <w:szCs w:val="20"/>
          <w:lang w:eastAsia="en-US"/>
        </w:rPr>
      </w:pPr>
      <w:r w:rsidRPr="005B081E">
        <w:rPr>
          <w:rFonts w:ascii="Cambria" w:hAnsi="Cambria"/>
          <w:sz w:val="20"/>
          <w:szCs w:val="20"/>
          <w:lang w:eastAsia="en-US"/>
        </w:rPr>
        <w:t>Se calculó como la relación activo no corriente / total del activo al cierre de cada ejercicio, según corresponda.</w:t>
      </w:r>
    </w:p>
    <w:p w14:paraId="189744F9" w14:textId="77777777" w:rsidR="00ED480D" w:rsidRPr="005B081E" w:rsidRDefault="00ED480D" w:rsidP="000C02A3">
      <w:pPr>
        <w:numPr>
          <w:ilvl w:val="0"/>
          <w:numId w:val="10"/>
        </w:numPr>
        <w:tabs>
          <w:tab w:val="num" w:pos="630"/>
        </w:tabs>
        <w:spacing w:after="0"/>
        <w:ind w:left="630"/>
        <w:jc w:val="both"/>
        <w:rPr>
          <w:rFonts w:ascii="Cambria" w:hAnsi="Cambria"/>
          <w:sz w:val="20"/>
          <w:szCs w:val="20"/>
          <w:lang w:eastAsia="en-US"/>
        </w:rPr>
      </w:pPr>
      <w:r w:rsidRPr="005B081E">
        <w:rPr>
          <w:rFonts w:ascii="Cambria" w:hAnsi="Cambria"/>
          <w:sz w:val="20"/>
          <w:szCs w:val="20"/>
          <w:lang w:eastAsia="en-US"/>
        </w:rPr>
        <w:t>Se calculó como la relación ganancia neta / patrimonio promedio al cierre de cada ejercicio, según corresponda.</w:t>
      </w:r>
    </w:p>
    <w:p w14:paraId="7E3DC2DE" w14:textId="77777777" w:rsidR="00ED480D" w:rsidRPr="005B081E" w:rsidRDefault="00ED480D" w:rsidP="000C02A3">
      <w:pPr>
        <w:numPr>
          <w:ilvl w:val="0"/>
          <w:numId w:val="10"/>
        </w:numPr>
        <w:tabs>
          <w:tab w:val="num" w:pos="630"/>
        </w:tabs>
        <w:spacing w:after="0"/>
        <w:ind w:left="630"/>
        <w:jc w:val="both"/>
        <w:rPr>
          <w:rFonts w:ascii="Cambria" w:hAnsi="Cambria"/>
          <w:sz w:val="20"/>
          <w:szCs w:val="20"/>
          <w:lang w:eastAsia="en-US"/>
        </w:rPr>
      </w:pPr>
      <w:r w:rsidRPr="005B081E">
        <w:rPr>
          <w:rFonts w:ascii="Cambria" w:hAnsi="Cambria"/>
          <w:sz w:val="20"/>
          <w:szCs w:val="20"/>
          <w:lang w:eastAsia="en-US"/>
        </w:rPr>
        <w:t>Los saldos surgen de los estados financieros consolidados al 31 de marzo de 2020 y se encuentran reexpresados a moneda de dicha fecha.</w:t>
      </w:r>
    </w:p>
    <w:p w14:paraId="2269CA9E" w14:textId="77777777" w:rsidR="00ED480D" w:rsidRDefault="00ED480D" w:rsidP="000C02A3">
      <w:pPr>
        <w:numPr>
          <w:ilvl w:val="0"/>
          <w:numId w:val="10"/>
        </w:numPr>
        <w:tabs>
          <w:tab w:val="num" w:pos="630"/>
        </w:tabs>
        <w:spacing w:after="0"/>
        <w:ind w:left="630"/>
        <w:jc w:val="both"/>
        <w:rPr>
          <w:rFonts w:ascii="Cambria" w:hAnsi="Cambria"/>
          <w:sz w:val="20"/>
          <w:szCs w:val="20"/>
          <w:lang w:eastAsia="en-US"/>
        </w:rPr>
      </w:pPr>
      <w:r w:rsidRPr="005B081E">
        <w:rPr>
          <w:rFonts w:ascii="Cambria" w:hAnsi="Cambria"/>
          <w:sz w:val="20"/>
          <w:szCs w:val="20"/>
          <w:lang w:eastAsia="en-US"/>
        </w:rPr>
        <w:t>Los saldos surgen de los estados financieros consolidados al 31 de marzo de 2018 y se encuentran reexpresados a moneda del 31 de marzo de 2020.</w:t>
      </w:r>
    </w:p>
    <w:p w14:paraId="4F8ECE90" w14:textId="77777777" w:rsidR="00ED480D" w:rsidRPr="00AA6CF0" w:rsidRDefault="00ED480D" w:rsidP="00ED480D">
      <w:pPr>
        <w:spacing w:after="0"/>
        <w:jc w:val="both"/>
        <w:rPr>
          <w:rFonts w:ascii="Cambria" w:hAnsi="Cambria"/>
          <w:sz w:val="20"/>
        </w:rPr>
      </w:pPr>
    </w:p>
    <w:p w14:paraId="349748DF" w14:textId="77777777" w:rsidR="00ED480D" w:rsidRPr="00426358" w:rsidRDefault="00ED480D" w:rsidP="00ED480D">
      <w:pPr>
        <w:jc w:val="both"/>
        <w:rPr>
          <w:rFonts w:ascii="Cambria" w:hAnsi="Cambria" w:cs="Arial"/>
          <w:sz w:val="20"/>
          <w:szCs w:val="20"/>
          <w:lang w:eastAsia="en-US"/>
        </w:rPr>
      </w:pPr>
      <w:r w:rsidRPr="00426358">
        <w:rPr>
          <w:rFonts w:ascii="Cambria" w:hAnsi="Cambria" w:cs="Arial"/>
          <w:sz w:val="20"/>
          <w:szCs w:val="20"/>
          <w:lang w:eastAsia="en-US"/>
        </w:rPr>
        <w:t>1) Resultado por acción ordinaria: el ejercicio finalizado en marzo de 2020 expone un aumento del 28% del indicador, con respecto al ejercicio del año anterior finalizado en marzo de 2019, esto se debe al incremento de los resultados netos de la Emisora, en un año con mayores volúmenes comercializados, que permiti</w:t>
      </w:r>
      <w:r>
        <w:rPr>
          <w:rFonts w:ascii="Cambria" w:hAnsi="Cambria" w:cs="Arial"/>
          <w:sz w:val="20"/>
          <w:szCs w:val="20"/>
          <w:lang w:eastAsia="en-US"/>
        </w:rPr>
        <w:t>ó</w:t>
      </w:r>
      <w:r w:rsidRPr="00426358">
        <w:rPr>
          <w:rFonts w:ascii="Cambria" w:hAnsi="Cambria" w:cs="Arial"/>
          <w:sz w:val="20"/>
          <w:szCs w:val="20"/>
          <w:lang w:eastAsia="en-US"/>
        </w:rPr>
        <w:t xml:space="preserve"> mayores ingresos y a su vez, fue un ejercicio económico con una excelente performance de resultados financieros.</w:t>
      </w:r>
    </w:p>
    <w:p w14:paraId="2AD375B2" w14:textId="77777777" w:rsidR="00ED480D" w:rsidRPr="00426358" w:rsidRDefault="00ED480D" w:rsidP="00ED480D">
      <w:pPr>
        <w:jc w:val="both"/>
        <w:rPr>
          <w:rFonts w:ascii="Cambria" w:hAnsi="Cambria"/>
          <w:i/>
          <w:sz w:val="20"/>
          <w:szCs w:val="20"/>
          <w:highlight w:val="yellow"/>
        </w:rPr>
      </w:pPr>
      <w:r w:rsidRPr="00426358">
        <w:rPr>
          <w:rFonts w:ascii="Cambria" w:hAnsi="Cambria" w:cs="Arial"/>
          <w:sz w:val="20"/>
          <w:szCs w:val="20"/>
          <w:lang w:eastAsia="en-US"/>
        </w:rPr>
        <w:t xml:space="preserve">El resultado por acción del ejercicio finalizado en marzo de 2019 arrojó una ganancia neta de Ps. 2.310,7 millones, lo que representa un incremento de un 103%, respecto del año anterior, producto principalmente de una mayor ganancia bruta por efectos de la conversión, un menor computo de gastos operativos con relación a los ingresos por ventas del ejercicio y un menor cargo en el impuesto a las ganancias. </w:t>
      </w:r>
    </w:p>
    <w:p w14:paraId="0D56E99C" w14:textId="77777777" w:rsidR="00ED480D" w:rsidRPr="00426358" w:rsidRDefault="00ED480D" w:rsidP="00ED480D">
      <w:pPr>
        <w:spacing w:after="240"/>
        <w:jc w:val="both"/>
        <w:rPr>
          <w:rFonts w:ascii="Cambria" w:hAnsi="Cambria"/>
          <w:sz w:val="20"/>
          <w:szCs w:val="20"/>
          <w:lang w:eastAsia="en-US"/>
        </w:rPr>
      </w:pPr>
      <w:r w:rsidRPr="00426358">
        <w:rPr>
          <w:rFonts w:ascii="Cambria" w:hAnsi="Cambria"/>
          <w:sz w:val="20"/>
          <w:szCs w:val="20"/>
          <w:lang w:eastAsia="en-US"/>
        </w:rPr>
        <w:t>Asimismo, la cantidad de acciones no ha variado en los 3 ejercicios.</w:t>
      </w:r>
    </w:p>
    <w:p w14:paraId="5A4CC523" w14:textId="77777777" w:rsidR="00ED480D" w:rsidRPr="00426358" w:rsidRDefault="00ED480D" w:rsidP="00ED480D">
      <w:pPr>
        <w:spacing w:after="240"/>
        <w:jc w:val="both"/>
        <w:rPr>
          <w:rFonts w:ascii="Cambria" w:hAnsi="Cambria"/>
          <w:sz w:val="20"/>
          <w:szCs w:val="20"/>
          <w:lang w:eastAsia="en-US"/>
        </w:rPr>
      </w:pPr>
      <w:r w:rsidRPr="00426358">
        <w:rPr>
          <w:rFonts w:ascii="Cambria" w:hAnsi="Cambria"/>
          <w:sz w:val="20"/>
          <w:szCs w:val="20"/>
          <w:lang w:eastAsia="en-US"/>
        </w:rPr>
        <w:lastRenderedPageBreak/>
        <w:t>2) Dividendos pagados: corresponden a los dividendos pagados por los resultados obtenidos en los ejercicios finalizados en marzo de 2019, 2018 y 2017.</w:t>
      </w:r>
    </w:p>
    <w:p w14:paraId="4E33A3C9" w14:textId="77777777" w:rsidR="00ED480D" w:rsidRPr="00426358" w:rsidRDefault="00ED480D" w:rsidP="00ED480D">
      <w:pPr>
        <w:spacing w:after="240"/>
        <w:jc w:val="both"/>
        <w:rPr>
          <w:rFonts w:ascii="Cambria" w:hAnsi="Cambria"/>
          <w:sz w:val="20"/>
          <w:szCs w:val="20"/>
          <w:lang w:eastAsia="en-US"/>
        </w:rPr>
      </w:pPr>
      <w:r w:rsidRPr="00426358">
        <w:rPr>
          <w:rFonts w:ascii="Cambria" w:hAnsi="Cambria"/>
          <w:sz w:val="20"/>
          <w:szCs w:val="20"/>
          <w:lang w:eastAsia="en-US"/>
        </w:rPr>
        <w:t xml:space="preserve">3) Depreciaciones y amortizaciones: el incremento año a año se debe principalmente a las inversiones realizadas con el objeto de aumentar la capacidad de almacenamiento de granos y oleaginosas y en menor medida a los efectos de conversión. </w:t>
      </w:r>
    </w:p>
    <w:p w14:paraId="2E1F2838" w14:textId="77777777" w:rsidR="00ED480D" w:rsidRPr="00426358" w:rsidRDefault="00ED480D" w:rsidP="00ED480D">
      <w:pPr>
        <w:spacing w:after="240"/>
        <w:jc w:val="both"/>
        <w:rPr>
          <w:rFonts w:ascii="Cambria" w:hAnsi="Cambria"/>
          <w:sz w:val="20"/>
          <w:szCs w:val="20"/>
          <w:lang w:eastAsia="en-US"/>
        </w:rPr>
      </w:pPr>
      <w:r w:rsidRPr="00426358">
        <w:rPr>
          <w:rFonts w:ascii="Cambria" w:hAnsi="Cambria"/>
          <w:sz w:val="20"/>
          <w:szCs w:val="20"/>
          <w:lang w:eastAsia="en-US"/>
        </w:rPr>
        <w:t>4) EBTDA: el ejercicio finalizado en marzo de 2020 tuvo un incremento del 83% con respecto al ejercicio anterior finalizado en marzo de 2019, esto se debe principalmente a</w:t>
      </w:r>
      <w:r>
        <w:rPr>
          <w:rFonts w:ascii="Cambria" w:hAnsi="Cambria"/>
          <w:sz w:val="20"/>
          <w:szCs w:val="20"/>
          <w:lang w:eastAsia="en-US"/>
        </w:rPr>
        <w:t>l</w:t>
      </w:r>
      <w:r w:rsidRPr="00426358">
        <w:rPr>
          <w:rFonts w:ascii="Cambria" w:hAnsi="Cambria"/>
          <w:sz w:val="20"/>
          <w:szCs w:val="20"/>
          <w:lang w:eastAsia="en-US"/>
        </w:rPr>
        <w:t xml:space="preserve"> incremento en los volúmenes comercializados, los cuales en el ejercicio anterior habían sido afectados por una de las sequias más grandes de los últimos 5 años y a una excelente performance en la gestión de los resultados financieros, a pesar haber sido un año con múltiples desafíos. </w:t>
      </w:r>
    </w:p>
    <w:p w14:paraId="7C56A9C8" w14:textId="77777777" w:rsidR="00ED480D" w:rsidRPr="00426358" w:rsidRDefault="00ED480D" w:rsidP="00ED480D">
      <w:pPr>
        <w:spacing w:after="240"/>
        <w:jc w:val="both"/>
        <w:rPr>
          <w:rFonts w:ascii="Cambria" w:hAnsi="Cambria"/>
          <w:sz w:val="20"/>
          <w:szCs w:val="20"/>
          <w:lang w:eastAsia="en-US"/>
        </w:rPr>
      </w:pPr>
      <w:r w:rsidRPr="00426358">
        <w:rPr>
          <w:rFonts w:ascii="Cambria" w:hAnsi="Cambria"/>
          <w:sz w:val="20"/>
          <w:szCs w:val="20"/>
          <w:lang w:eastAsia="en-US"/>
        </w:rPr>
        <w:t xml:space="preserve">El EBTDA por el ejercicio finalizado en marzo de 2019, tuvo un incremento del 16%, con respecto al año anterior finalizado en marzo de 2018, siendo el principal motivo los efectos de la conversión de los resultados y en menor medida al aporte que tuvo de los cereales, que aumentaron su volumen comercializado en un 21% con respecto al ejercicio anterior, a pesar de los efectos de la sequía. Esto fue posible porque la Emisora comenzó a utilizar a sus activos para incrementar su capacidad de almacenamiento, facilitando así, la </w:t>
      </w:r>
      <w:r>
        <w:rPr>
          <w:rFonts w:ascii="Cambria" w:hAnsi="Cambria"/>
          <w:sz w:val="20"/>
          <w:szCs w:val="20"/>
          <w:lang w:eastAsia="en-US"/>
        </w:rPr>
        <w:t>originación</w:t>
      </w:r>
      <w:r w:rsidRPr="00426358">
        <w:rPr>
          <w:rFonts w:ascii="Cambria" w:hAnsi="Cambria"/>
          <w:sz w:val="20"/>
          <w:szCs w:val="20"/>
          <w:lang w:eastAsia="en-US"/>
        </w:rPr>
        <w:t xml:space="preserve"> de los mismos.</w:t>
      </w:r>
    </w:p>
    <w:p w14:paraId="23BC5BC3" w14:textId="77777777" w:rsidR="00ED480D" w:rsidRPr="00426358" w:rsidRDefault="00ED480D" w:rsidP="00ED480D">
      <w:pPr>
        <w:spacing w:after="240"/>
        <w:jc w:val="both"/>
        <w:rPr>
          <w:rFonts w:ascii="Cambria" w:hAnsi="Cambria"/>
          <w:sz w:val="20"/>
          <w:szCs w:val="20"/>
          <w:lang w:eastAsia="en-US"/>
        </w:rPr>
      </w:pPr>
      <w:r w:rsidRPr="00426358">
        <w:rPr>
          <w:rFonts w:ascii="Cambria" w:hAnsi="Cambria"/>
          <w:sz w:val="20"/>
          <w:szCs w:val="20"/>
          <w:lang w:eastAsia="en-US"/>
        </w:rPr>
        <w:t xml:space="preserve">5) Inversiones en propiedades, planta y equipo, y </w:t>
      </w:r>
      <w:r>
        <w:rPr>
          <w:rFonts w:ascii="Cambria" w:hAnsi="Cambria"/>
          <w:sz w:val="20"/>
          <w:szCs w:val="20"/>
          <w:lang w:eastAsia="en-US"/>
        </w:rPr>
        <w:t>activos</w:t>
      </w:r>
      <w:r w:rsidRPr="00426358">
        <w:rPr>
          <w:rFonts w:ascii="Cambria" w:hAnsi="Cambria"/>
          <w:sz w:val="20"/>
          <w:szCs w:val="20"/>
          <w:lang w:eastAsia="en-US"/>
        </w:rPr>
        <w:t xml:space="preserve"> intangibles: las inversiones por el ejercicio finalizado al 31 de marzo de 2020 fueron de Ps. 600,9 millones, es decir tuvieron una disminución del 52%, con respecto anterior finalizado en marzo de 2019, eso se debe </w:t>
      </w:r>
      <w:r>
        <w:rPr>
          <w:rFonts w:ascii="Cambria" w:hAnsi="Cambria"/>
          <w:sz w:val="20"/>
          <w:szCs w:val="20"/>
          <w:lang w:eastAsia="en-US"/>
        </w:rPr>
        <w:t>a</w:t>
      </w:r>
      <w:r w:rsidRPr="00426358">
        <w:rPr>
          <w:rFonts w:ascii="Cambria" w:hAnsi="Cambria"/>
          <w:sz w:val="20"/>
          <w:szCs w:val="20"/>
          <w:lang w:eastAsia="en-US"/>
        </w:rPr>
        <w:t xml:space="preserve"> que en el ejercicio anterior, la Emisora tuvo fuertes inversiones en su planta industrial con el objetivo de aumentar su capacidad de almacenamiento de oleaginosas y cereales, para ello construy</w:t>
      </w:r>
      <w:r>
        <w:rPr>
          <w:rFonts w:ascii="Cambria" w:hAnsi="Cambria"/>
          <w:sz w:val="20"/>
          <w:szCs w:val="20"/>
          <w:lang w:eastAsia="en-US"/>
        </w:rPr>
        <w:t>ó</w:t>
      </w:r>
      <w:r w:rsidRPr="00426358">
        <w:rPr>
          <w:rFonts w:ascii="Cambria" w:hAnsi="Cambria"/>
          <w:sz w:val="20"/>
          <w:szCs w:val="20"/>
          <w:lang w:eastAsia="en-US"/>
        </w:rPr>
        <w:t xml:space="preserve"> una celda para almacenamiento de granos y oleaginosas, con capacidad para 180.000 toneladas, una celda de harina de soja, con capacidad para 74 mil toneladas y dos silos verticales de 10 mil toneladas cada uno, para el almacenamiento de cereales. Las inversiones durante ejercicio finalizado en marzo de 2019 tuvieron una disminución del 30% con respecto al ejercicio anterior, esto </w:t>
      </w:r>
      <w:r>
        <w:rPr>
          <w:rFonts w:ascii="Cambria" w:hAnsi="Cambria"/>
          <w:sz w:val="20"/>
          <w:szCs w:val="20"/>
          <w:lang w:eastAsia="en-US"/>
        </w:rPr>
        <w:t>se</w:t>
      </w:r>
      <w:r w:rsidRPr="00426358">
        <w:rPr>
          <w:rFonts w:ascii="Cambria" w:hAnsi="Cambria"/>
          <w:sz w:val="20"/>
          <w:szCs w:val="20"/>
          <w:lang w:eastAsia="en-US"/>
        </w:rPr>
        <w:t xml:space="preserve"> debe a que la mayor parte de la erogación para las obras para el aumento en capacidad de almacenamiento fueron realizadas durante el ejercicio finalizado en marzo de 2018.</w:t>
      </w:r>
    </w:p>
    <w:p w14:paraId="0C19164B" w14:textId="77777777" w:rsidR="00ED480D" w:rsidRPr="00426358" w:rsidRDefault="00ED480D" w:rsidP="00ED480D">
      <w:pPr>
        <w:spacing w:after="240"/>
        <w:jc w:val="both"/>
        <w:rPr>
          <w:rFonts w:ascii="Cambria" w:hAnsi="Cambria"/>
          <w:sz w:val="20"/>
          <w:szCs w:val="20"/>
          <w:lang w:eastAsia="en-US"/>
        </w:rPr>
      </w:pPr>
      <w:r w:rsidRPr="00426358">
        <w:rPr>
          <w:rFonts w:ascii="Cambria" w:hAnsi="Cambria"/>
          <w:sz w:val="20"/>
          <w:szCs w:val="20"/>
          <w:lang w:eastAsia="en-US"/>
        </w:rPr>
        <w:t>6) Liquidez: La Emisora mantuvo este indicador de manera eficiente y estable durante los ejercicios finalizados en marzo de 2018, 2019 y 2020. Esto se debe a las excelentes performances alcanzadas en el desarrollo de sus negocios, con los cuales logro financiar sus propias inversiones en bienes de capital y distribuir dividendos durante los 3 ejercicios mencionados.</w:t>
      </w:r>
    </w:p>
    <w:p w14:paraId="3978F58B" w14:textId="77777777" w:rsidR="00ED480D" w:rsidRPr="00426358" w:rsidRDefault="00ED480D" w:rsidP="00ED480D">
      <w:pPr>
        <w:spacing w:after="240"/>
        <w:jc w:val="both"/>
        <w:rPr>
          <w:rFonts w:ascii="Cambria" w:hAnsi="Cambria"/>
          <w:sz w:val="20"/>
          <w:szCs w:val="20"/>
          <w:lang w:eastAsia="en-US"/>
        </w:rPr>
      </w:pPr>
      <w:r w:rsidRPr="00426358">
        <w:rPr>
          <w:rFonts w:ascii="Cambria" w:hAnsi="Cambria"/>
          <w:sz w:val="20"/>
          <w:szCs w:val="20"/>
          <w:lang w:eastAsia="en-US"/>
        </w:rPr>
        <w:t>7) Solvencia: la disminución de este índice por el ejercicio finalizado el 31 de marzo de 2020, con respecto al ejercicio anterior, se debe principalmente al aumento de los pasivos corrientes en Ps. 10.216 millones (o un 63%), que fueron destinados a financiar capital del trabajo de rápida realización.</w:t>
      </w:r>
    </w:p>
    <w:p w14:paraId="7070951C" w14:textId="77777777" w:rsidR="00ED480D" w:rsidRPr="00426358" w:rsidRDefault="00ED480D" w:rsidP="00ED480D">
      <w:pPr>
        <w:spacing w:after="240"/>
        <w:jc w:val="both"/>
        <w:rPr>
          <w:rFonts w:ascii="Cambria" w:hAnsi="Cambria"/>
          <w:sz w:val="20"/>
          <w:szCs w:val="20"/>
          <w:lang w:eastAsia="en-US"/>
        </w:rPr>
      </w:pPr>
      <w:r w:rsidRPr="00426358">
        <w:rPr>
          <w:rFonts w:ascii="Cambria" w:hAnsi="Cambria"/>
          <w:sz w:val="20"/>
          <w:szCs w:val="20"/>
          <w:lang w:eastAsia="en-US"/>
        </w:rPr>
        <w:t>Por el ejercicio finalizado al 31 de marzo de 2019, la Emisora tuvo un aumento en este indicador, con respecto al ejercicio anterior, esto se debe, al incremento de su de patrimonio en Ps. 2.695 millones (o un 80%) más, respecto del ejercicio anterior, producto de la excelente performance en los resultados de sus actividades, neto de los dividendos pagados.</w:t>
      </w:r>
    </w:p>
    <w:p w14:paraId="2A15352E" w14:textId="77777777" w:rsidR="00ED480D" w:rsidRPr="00426358" w:rsidRDefault="00ED480D" w:rsidP="00ED480D">
      <w:pPr>
        <w:spacing w:after="240"/>
        <w:jc w:val="both"/>
        <w:rPr>
          <w:rFonts w:ascii="Cambria" w:hAnsi="Cambria"/>
          <w:sz w:val="20"/>
          <w:szCs w:val="20"/>
          <w:lang w:eastAsia="en-US"/>
        </w:rPr>
      </w:pPr>
      <w:r w:rsidRPr="00426358">
        <w:rPr>
          <w:rFonts w:ascii="Cambria" w:hAnsi="Cambria"/>
          <w:sz w:val="20"/>
          <w:szCs w:val="20"/>
          <w:lang w:eastAsia="en-US"/>
        </w:rPr>
        <w:t>8) Inmovilización del capital: La inmovilización del capital ha disminuido en el ejercicio finalizado en marzo de 2020, con respecto al ejercicio anterior finalizado en marzo de 2019, producto del aumento del activo corriente, principalmente por el incremento en los inventarios y créditos fiscales.</w:t>
      </w:r>
    </w:p>
    <w:p w14:paraId="0AA5EFAB" w14:textId="77777777" w:rsidR="00ED480D" w:rsidRPr="00426358" w:rsidRDefault="00ED480D" w:rsidP="00ED480D">
      <w:pPr>
        <w:spacing w:after="240"/>
        <w:jc w:val="both"/>
        <w:rPr>
          <w:rFonts w:ascii="Cambria" w:hAnsi="Cambria"/>
          <w:sz w:val="20"/>
          <w:szCs w:val="20"/>
          <w:lang w:eastAsia="en-US"/>
        </w:rPr>
      </w:pPr>
      <w:r w:rsidRPr="00426358">
        <w:rPr>
          <w:rFonts w:ascii="Cambria" w:hAnsi="Cambria"/>
          <w:sz w:val="20"/>
          <w:szCs w:val="20"/>
          <w:lang w:eastAsia="en-US"/>
        </w:rPr>
        <w:lastRenderedPageBreak/>
        <w:t>El aumento de este indicador, por el ejercicio finalizado en marzo de 2019, con respecto al ejercicio anterior</w:t>
      </w:r>
      <w:r>
        <w:rPr>
          <w:rFonts w:ascii="Cambria" w:hAnsi="Cambria"/>
          <w:sz w:val="20"/>
          <w:szCs w:val="20"/>
          <w:lang w:eastAsia="en-US"/>
        </w:rPr>
        <w:t xml:space="preserve"> </w:t>
      </w:r>
      <w:r w:rsidRPr="00426358">
        <w:rPr>
          <w:rFonts w:ascii="Cambria" w:hAnsi="Cambria"/>
          <w:sz w:val="20"/>
          <w:szCs w:val="20"/>
          <w:lang w:eastAsia="en-US"/>
        </w:rPr>
        <w:t>está dado por el aumento del rubro propiedad planta y equipo, producto de las inversiones que realiz</w:t>
      </w:r>
      <w:r>
        <w:rPr>
          <w:rFonts w:ascii="Cambria" w:hAnsi="Cambria"/>
          <w:sz w:val="20"/>
          <w:szCs w:val="20"/>
          <w:lang w:eastAsia="en-US"/>
        </w:rPr>
        <w:t>ó</w:t>
      </w:r>
      <w:r w:rsidRPr="00426358">
        <w:rPr>
          <w:rFonts w:ascii="Cambria" w:hAnsi="Cambria"/>
          <w:sz w:val="20"/>
          <w:szCs w:val="20"/>
          <w:lang w:eastAsia="en-US"/>
        </w:rPr>
        <w:t xml:space="preserve"> la emisora para aumentar su capacidad de almacenamiento de oleaginosas y cereales. </w:t>
      </w:r>
    </w:p>
    <w:p w14:paraId="1AE83150" w14:textId="77777777" w:rsidR="00ED480D" w:rsidRPr="00426358" w:rsidRDefault="00ED480D" w:rsidP="00ED480D">
      <w:pPr>
        <w:spacing w:after="240"/>
        <w:jc w:val="both"/>
        <w:rPr>
          <w:rFonts w:ascii="Cambria" w:hAnsi="Cambria"/>
          <w:sz w:val="20"/>
          <w:szCs w:val="20"/>
          <w:lang w:eastAsia="en-US"/>
        </w:rPr>
      </w:pPr>
      <w:r w:rsidRPr="00426358">
        <w:rPr>
          <w:rFonts w:ascii="Cambria" w:hAnsi="Cambria"/>
          <w:sz w:val="20"/>
          <w:szCs w:val="20"/>
          <w:lang w:eastAsia="en-US"/>
        </w:rPr>
        <w:t>9) Rentabilidad: Las variaciones del índice de rentabilidad corresponden principalmente a las ganancias sostenidas que obtuvo la emisora y a los dividendos pagados en los distintos ejercicios.</w:t>
      </w:r>
    </w:p>
    <w:p w14:paraId="58B89AC2" w14:textId="77777777" w:rsidR="00ED480D" w:rsidRPr="005B081E" w:rsidRDefault="00ED480D" w:rsidP="00ED480D">
      <w:pPr>
        <w:spacing w:after="0"/>
        <w:jc w:val="both"/>
        <w:rPr>
          <w:rFonts w:ascii="Cambria" w:hAnsi="Cambria"/>
          <w:sz w:val="20"/>
          <w:szCs w:val="20"/>
          <w:lang w:eastAsia="en-US"/>
        </w:rPr>
      </w:pPr>
    </w:p>
    <w:p w14:paraId="3D15F65E" w14:textId="77777777" w:rsidR="00ED480D" w:rsidRPr="006F5C22" w:rsidRDefault="00ED480D" w:rsidP="00ED480D">
      <w:pPr>
        <w:spacing w:after="240"/>
        <w:jc w:val="both"/>
        <w:rPr>
          <w:rFonts w:ascii="Times New Roman" w:hAnsi="Times New Roman"/>
          <w:lang w:eastAsia="en-US"/>
        </w:rPr>
      </w:pPr>
    </w:p>
    <w:p w14:paraId="0E995196" w14:textId="77777777" w:rsidR="00ED480D" w:rsidRDefault="00ED480D" w:rsidP="00ED480D">
      <w:pPr>
        <w:rPr>
          <w:rFonts w:ascii="Times New Roman" w:hAnsi="Times New Roman"/>
          <w:highlight w:val="yellow"/>
          <w:lang w:eastAsia="en-US"/>
        </w:rPr>
      </w:pPr>
      <w:r>
        <w:rPr>
          <w:rFonts w:ascii="Times New Roman" w:hAnsi="Times New Roman"/>
          <w:highlight w:val="yellow"/>
          <w:lang w:eastAsia="en-US"/>
        </w:rPr>
        <w:br w:type="page"/>
      </w:r>
    </w:p>
    <w:p w14:paraId="2ADBAE60" w14:textId="77777777" w:rsidR="00ED480D" w:rsidRPr="005B081E" w:rsidRDefault="00ED480D" w:rsidP="00ED480D">
      <w:pPr>
        <w:spacing w:after="240"/>
        <w:jc w:val="both"/>
        <w:rPr>
          <w:rFonts w:ascii="Cambria" w:hAnsi="Cambria"/>
          <w:noProof/>
          <w:sz w:val="20"/>
          <w:szCs w:val="20"/>
        </w:rPr>
      </w:pPr>
      <w:r w:rsidRPr="005B081E">
        <w:rPr>
          <w:rFonts w:ascii="Cambria" w:hAnsi="Cambria"/>
          <w:b/>
          <w:bCs/>
          <w:sz w:val="20"/>
          <w:szCs w:val="20"/>
          <w:lang w:eastAsia="en-US"/>
        </w:rPr>
        <w:lastRenderedPageBreak/>
        <w:t>Resumen de Información Contable y Financiera consolidada por los periodos de tres meses finalizados el 30 de junio de 2020 y 2019.</w:t>
      </w:r>
    </w:p>
    <w:p w14:paraId="48BD6C45" w14:textId="77777777" w:rsidR="00ED480D" w:rsidRPr="006F5C22" w:rsidRDefault="00ED480D" w:rsidP="00ED480D">
      <w:pPr>
        <w:spacing w:after="240"/>
        <w:jc w:val="both"/>
        <w:rPr>
          <w:rFonts w:ascii="Times New Roman" w:hAnsi="Times New Roman"/>
          <w:b/>
          <w:lang w:eastAsia="en-US"/>
        </w:rPr>
      </w:pPr>
      <w:r w:rsidRPr="00537C9D">
        <w:rPr>
          <w:noProof/>
          <w:lang w:val="es-AR"/>
        </w:rPr>
        <w:drawing>
          <wp:inline distT="0" distB="0" distL="0" distR="0" wp14:anchorId="024E9C29" wp14:editId="1CC98F89">
            <wp:extent cx="5354955" cy="4539412"/>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57509" cy="4541577"/>
                    </a:xfrm>
                    <a:prstGeom prst="rect">
                      <a:avLst/>
                    </a:prstGeom>
                    <a:noFill/>
                    <a:ln>
                      <a:noFill/>
                    </a:ln>
                  </pic:spPr>
                </pic:pic>
              </a:graphicData>
            </a:graphic>
          </wp:inline>
        </w:drawing>
      </w:r>
    </w:p>
    <w:p w14:paraId="25EF7347" w14:textId="77777777" w:rsidR="00ED480D" w:rsidRPr="005B081E" w:rsidRDefault="00ED480D" w:rsidP="000C02A3">
      <w:pPr>
        <w:numPr>
          <w:ilvl w:val="0"/>
          <w:numId w:val="35"/>
        </w:numPr>
        <w:spacing w:after="0"/>
        <w:jc w:val="both"/>
        <w:rPr>
          <w:rFonts w:ascii="Cambria" w:hAnsi="Cambria"/>
          <w:sz w:val="20"/>
          <w:szCs w:val="20"/>
          <w:lang w:eastAsia="en-US"/>
        </w:rPr>
      </w:pPr>
      <w:r w:rsidRPr="005B081E">
        <w:rPr>
          <w:rFonts w:ascii="Cambria" w:hAnsi="Cambria"/>
          <w:sz w:val="20"/>
          <w:szCs w:val="20"/>
          <w:lang w:eastAsia="en-US"/>
        </w:rPr>
        <w:t>Los saldos surgen de los estados financieros consolidados al 30 de junio de 2020 y se encuentran reexpresados en moneda de dicha fecha.</w:t>
      </w:r>
    </w:p>
    <w:p w14:paraId="6E2626F5" w14:textId="77777777" w:rsidR="00ED480D" w:rsidRPr="005B081E" w:rsidRDefault="00ED480D" w:rsidP="00ED480D">
      <w:pPr>
        <w:spacing w:after="240"/>
        <w:jc w:val="both"/>
        <w:rPr>
          <w:rFonts w:ascii="Cambria" w:hAnsi="Cambria"/>
          <w:b/>
          <w:sz w:val="20"/>
          <w:szCs w:val="20"/>
          <w:lang w:eastAsia="en-US"/>
        </w:rPr>
      </w:pPr>
    </w:p>
    <w:p w14:paraId="48B17FBC" w14:textId="77777777" w:rsidR="00ED480D" w:rsidRPr="006F5C22" w:rsidRDefault="00ED480D" w:rsidP="00ED480D">
      <w:pPr>
        <w:spacing w:after="240"/>
        <w:jc w:val="both"/>
        <w:rPr>
          <w:rFonts w:ascii="Times New Roman" w:hAnsi="Times New Roman"/>
          <w:b/>
          <w:lang w:eastAsia="en-US"/>
        </w:rPr>
      </w:pPr>
      <w:r w:rsidRPr="00537C9D">
        <w:rPr>
          <w:noProof/>
          <w:lang w:val="es-AR"/>
        </w:rPr>
        <w:lastRenderedPageBreak/>
        <w:drawing>
          <wp:inline distT="0" distB="0" distL="0" distR="0" wp14:anchorId="7B944EEA" wp14:editId="03A4572E">
            <wp:extent cx="4620801" cy="6115050"/>
            <wp:effectExtent l="0" t="0" r="889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23781" cy="6118994"/>
                    </a:xfrm>
                    <a:prstGeom prst="rect">
                      <a:avLst/>
                    </a:prstGeom>
                    <a:noFill/>
                    <a:ln>
                      <a:noFill/>
                    </a:ln>
                  </pic:spPr>
                </pic:pic>
              </a:graphicData>
            </a:graphic>
          </wp:inline>
        </w:drawing>
      </w:r>
    </w:p>
    <w:p w14:paraId="5C7E3D84" w14:textId="77777777" w:rsidR="00ED480D" w:rsidRPr="005B081E" w:rsidRDefault="00ED480D" w:rsidP="000C02A3">
      <w:pPr>
        <w:numPr>
          <w:ilvl w:val="0"/>
          <w:numId w:val="36"/>
        </w:numPr>
        <w:spacing w:after="0"/>
        <w:jc w:val="both"/>
        <w:rPr>
          <w:rFonts w:ascii="Cambria" w:hAnsi="Cambria"/>
          <w:sz w:val="20"/>
          <w:szCs w:val="20"/>
          <w:lang w:eastAsia="en-US"/>
        </w:rPr>
      </w:pPr>
      <w:r w:rsidRPr="005B081E">
        <w:rPr>
          <w:rFonts w:ascii="Cambria" w:hAnsi="Cambria"/>
          <w:sz w:val="20"/>
          <w:szCs w:val="20"/>
          <w:lang w:eastAsia="en-US"/>
        </w:rPr>
        <w:t>Los saldos surgen de los estados financieros consolidados al 30 de junio de 2020 y se encuentran reexpresados en moneda de dicha fecha.</w:t>
      </w:r>
    </w:p>
    <w:p w14:paraId="720AD235" w14:textId="77777777" w:rsidR="00ED480D" w:rsidRPr="005B081E" w:rsidRDefault="00ED480D" w:rsidP="000C02A3">
      <w:pPr>
        <w:numPr>
          <w:ilvl w:val="0"/>
          <w:numId w:val="36"/>
        </w:numPr>
        <w:spacing w:after="0"/>
        <w:jc w:val="both"/>
        <w:rPr>
          <w:rFonts w:ascii="Cambria" w:hAnsi="Cambria"/>
          <w:sz w:val="20"/>
          <w:szCs w:val="20"/>
          <w:lang w:eastAsia="en-US"/>
        </w:rPr>
      </w:pPr>
      <w:r w:rsidRPr="005B081E">
        <w:rPr>
          <w:rFonts w:ascii="Cambria" w:hAnsi="Cambria"/>
          <w:sz w:val="20"/>
          <w:szCs w:val="20"/>
          <w:lang w:eastAsia="en-US"/>
        </w:rPr>
        <w:t>Los saldos surgen de los estados financieros consolidados al 30 de junio de 2019 y se encuentran reexpresados en moneda del 30 de junio de 2020.</w:t>
      </w:r>
    </w:p>
    <w:p w14:paraId="242F329E" w14:textId="77777777" w:rsidR="00ED480D" w:rsidRPr="00EF0FE1" w:rsidRDefault="00ED480D" w:rsidP="000C02A3">
      <w:pPr>
        <w:pStyle w:val="Prrafodelista"/>
        <w:numPr>
          <w:ilvl w:val="0"/>
          <w:numId w:val="36"/>
        </w:numPr>
        <w:spacing w:after="0"/>
        <w:jc w:val="both"/>
        <w:rPr>
          <w:rFonts w:ascii="Times New Roman" w:hAnsi="Times New Roman"/>
          <w:lang w:eastAsia="en-US"/>
        </w:rPr>
      </w:pPr>
      <w:r w:rsidRPr="00EF0FE1">
        <w:rPr>
          <w:noProof/>
          <w:lang w:val="es-AR"/>
        </w:rPr>
        <w:lastRenderedPageBreak/>
        <w:drawing>
          <wp:inline distT="0" distB="0" distL="0" distR="0" wp14:anchorId="52B1300A" wp14:editId="728CCF8A">
            <wp:extent cx="5400040" cy="2150110"/>
            <wp:effectExtent l="0" t="0" r="0" b="25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0040" cy="2150110"/>
                    </a:xfrm>
                    <a:prstGeom prst="rect">
                      <a:avLst/>
                    </a:prstGeom>
                    <a:noFill/>
                    <a:ln>
                      <a:noFill/>
                    </a:ln>
                  </pic:spPr>
                </pic:pic>
              </a:graphicData>
            </a:graphic>
          </wp:inline>
        </w:drawing>
      </w:r>
    </w:p>
    <w:p w14:paraId="41B59883" w14:textId="77777777" w:rsidR="00ED480D" w:rsidRPr="006F5C22" w:rsidRDefault="00ED480D" w:rsidP="00ED480D">
      <w:pPr>
        <w:spacing w:after="240"/>
        <w:jc w:val="both"/>
        <w:rPr>
          <w:rFonts w:ascii="Times New Roman" w:hAnsi="Times New Roman"/>
          <w:b/>
          <w:lang w:eastAsia="en-US"/>
        </w:rPr>
      </w:pPr>
    </w:p>
    <w:p w14:paraId="6EA8AD82" w14:textId="77777777" w:rsidR="00ED480D" w:rsidRPr="005B081E" w:rsidRDefault="00ED480D" w:rsidP="000C02A3">
      <w:pPr>
        <w:numPr>
          <w:ilvl w:val="0"/>
          <w:numId w:val="37"/>
        </w:numPr>
        <w:spacing w:after="0"/>
        <w:jc w:val="both"/>
        <w:rPr>
          <w:rFonts w:ascii="Cambria" w:hAnsi="Cambria"/>
          <w:sz w:val="20"/>
          <w:szCs w:val="20"/>
          <w:lang w:eastAsia="en-US"/>
        </w:rPr>
      </w:pPr>
      <w:r w:rsidRPr="005B081E">
        <w:rPr>
          <w:rFonts w:ascii="Cambria" w:hAnsi="Cambria"/>
          <w:sz w:val="20"/>
          <w:szCs w:val="20"/>
          <w:lang w:eastAsia="en-US"/>
        </w:rPr>
        <w:t>Los saldos surgen de los estados financieros consolidados al 30 de junio de 2020 y se encuentran reexpresados en moneda de dicha fecha.</w:t>
      </w:r>
    </w:p>
    <w:p w14:paraId="58153ED9" w14:textId="77777777" w:rsidR="00ED480D" w:rsidRPr="005B081E" w:rsidRDefault="00ED480D" w:rsidP="00ED480D">
      <w:pPr>
        <w:spacing w:after="0"/>
        <w:ind w:left="720"/>
        <w:jc w:val="both"/>
        <w:rPr>
          <w:rFonts w:ascii="Times New Roman" w:hAnsi="Times New Roman"/>
          <w:lang w:eastAsia="en-US"/>
        </w:rPr>
      </w:pPr>
    </w:p>
    <w:p w14:paraId="4218F6F4" w14:textId="77777777" w:rsidR="00ED480D" w:rsidRPr="006F5C22" w:rsidRDefault="00ED480D" w:rsidP="00ED480D">
      <w:pPr>
        <w:spacing w:after="240"/>
        <w:jc w:val="both"/>
        <w:rPr>
          <w:rFonts w:ascii="Times New Roman" w:hAnsi="Times New Roman"/>
          <w:b/>
          <w:lang w:eastAsia="en-US"/>
        </w:rPr>
      </w:pPr>
      <w:r w:rsidRPr="00537C9D">
        <w:rPr>
          <w:noProof/>
          <w:lang w:val="es-AR"/>
        </w:rPr>
        <w:drawing>
          <wp:inline distT="0" distB="0" distL="0" distR="0" wp14:anchorId="1F02CE28" wp14:editId="49AB9319">
            <wp:extent cx="5612130" cy="2613025"/>
            <wp:effectExtent l="0" t="0" r="762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2130" cy="2613025"/>
                    </a:xfrm>
                    <a:prstGeom prst="rect">
                      <a:avLst/>
                    </a:prstGeom>
                    <a:noFill/>
                    <a:ln>
                      <a:noFill/>
                    </a:ln>
                  </pic:spPr>
                </pic:pic>
              </a:graphicData>
            </a:graphic>
          </wp:inline>
        </w:drawing>
      </w:r>
    </w:p>
    <w:p w14:paraId="52C6CC9A" w14:textId="77777777" w:rsidR="00ED480D" w:rsidRPr="005B081E" w:rsidRDefault="00ED480D" w:rsidP="000C02A3">
      <w:pPr>
        <w:numPr>
          <w:ilvl w:val="0"/>
          <w:numId w:val="38"/>
        </w:numPr>
        <w:spacing w:after="0"/>
        <w:jc w:val="both"/>
        <w:rPr>
          <w:rFonts w:ascii="Cambria" w:hAnsi="Cambria"/>
          <w:sz w:val="20"/>
          <w:szCs w:val="20"/>
          <w:lang w:eastAsia="en-US"/>
        </w:rPr>
      </w:pPr>
      <w:r w:rsidRPr="005B081E">
        <w:rPr>
          <w:rFonts w:ascii="Cambria" w:hAnsi="Cambria"/>
          <w:sz w:val="20"/>
          <w:szCs w:val="20"/>
          <w:lang w:eastAsia="en-US"/>
        </w:rPr>
        <w:t>Los saldos surgen de los estados financieros consolidados al 30 de junio de 2020 y se encuentran reexpresados en moneda de dicha fecha.</w:t>
      </w:r>
    </w:p>
    <w:p w14:paraId="2FA4013E" w14:textId="77777777" w:rsidR="00ED480D" w:rsidRPr="006F5C22" w:rsidRDefault="00ED480D" w:rsidP="00ED480D">
      <w:pPr>
        <w:spacing w:after="240"/>
        <w:jc w:val="both"/>
        <w:rPr>
          <w:rFonts w:ascii="Times New Roman" w:hAnsi="Times New Roman"/>
          <w:b/>
          <w:lang w:eastAsia="en-US"/>
        </w:rPr>
      </w:pPr>
    </w:p>
    <w:p w14:paraId="41D0846F" w14:textId="77777777" w:rsidR="00ED480D" w:rsidRPr="006F5C22" w:rsidRDefault="00ED480D" w:rsidP="00ED480D">
      <w:pPr>
        <w:spacing w:after="240"/>
        <w:jc w:val="both"/>
        <w:rPr>
          <w:rFonts w:ascii="Times New Roman" w:hAnsi="Times New Roman"/>
          <w:b/>
          <w:lang w:eastAsia="en-US"/>
        </w:rPr>
      </w:pPr>
      <w:r w:rsidRPr="008B72E8">
        <w:rPr>
          <w:noProof/>
          <w:lang w:val="es-AR"/>
        </w:rPr>
        <w:drawing>
          <wp:inline distT="0" distB="0" distL="0" distR="0" wp14:anchorId="5636F342" wp14:editId="151F0844">
            <wp:extent cx="5400040" cy="1884680"/>
            <wp:effectExtent l="0" t="0" r="0" b="127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0040" cy="1884680"/>
                    </a:xfrm>
                    <a:prstGeom prst="rect">
                      <a:avLst/>
                    </a:prstGeom>
                    <a:noFill/>
                    <a:ln>
                      <a:noFill/>
                    </a:ln>
                  </pic:spPr>
                </pic:pic>
              </a:graphicData>
            </a:graphic>
          </wp:inline>
        </w:drawing>
      </w:r>
    </w:p>
    <w:p w14:paraId="77757927" w14:textId="77777777" w:rsidR="00ED480D" w:rsidRPr="005B081E" w:rsidRDefault="00ED480D" w:rsidP="000C02A3">
      <w:pPr>
        <w:numPr>
          <w:ilvl w:val="0"/>
          <w:numId w:val="39"/>
        </w:numPr>
        <w:spacing w:after="0"/>
        <w:jc w:val="both"/>
        <w:rPr>
          <w:rFonts w:ascii="Cambria" w:hAnsi="Cambria"/>
          <w:sz w:val="20"/>
          <w:szCs w:val="20"/>
          <w:lang w:eastAsia="en-US"/>
        </w:rPr>
      </w:pPr>
      <w:r w:rsidRPr="005B081E">
        <w:rPr>
          <w:rFonts w:ascii="Cambria" w:hAnsi="Cambria"/>
          <w:sz w:val="20"/>
          <w:szCs w:val="20"/>
          <w:lang w:eastAsia="en-US"/>
        </w:rPr>
        <w:lastRenderedPageBreak/>
        <w:t>Se calculó dividiendo a la ganancia neta del periodo por el promedio ponderado de acciones ordinarias en circulación durante el ejercicio.</w:t>
      </w:r>
    </w:p>
    <w:p w14:paraId="70B5BD68" w14:textId="77777777" w:rsidR="00ED480D" w:rsidRPr="005B081E" w:rsidRDefault="00ED480D" w:rsidP="000C02A3">
      <w:pPr>
        <w:numPr>
          <w:ilvl w:val="0"/>
          <w:numId w:val="39"/>
        </w:numPr>
        <w:spacing w:after="0"/>
        <w:ind w:left="630"/>
        <w:jc w:val="both"/>
        <w:rPr>
          <w:rFonts w:ascii="Cambria" w:hAnsi="Cambria"/>
          <w:sz w:val="20"/>
          <w:szCs w:val="20"/>
          <w:lang w:eastAsia="en-US"/>
        </w:rPr>
      </w:pPr>
      <w:r w:rsidRPr="005B081E">
        <w:rPr>
          <w:rFonts w:ascii="Cambria" w:hAnsi="Cambria"/>
          <w:sz w:val="20"/>
          <w:szCs w:val="20"/>
          <w:lang w:eastAsia="en-US"/>
        </w:rPr>
        <w:t xml:space="preserve">Corresponde a la depreciación de bienes de uso y la amortización de </w:t>
      </w:r>
      <w:r>
        <w:rPr>
          <w:rFonts w:ascii="Cambria" w:hAnsi="Cambria"/>
          <w:sz w:val="20"/>
          <w:szCs w:val="20"/>
          <w:lang w:eastAsia="en-US"/>
        </w:rPr>
        <w:t>activos</w:t>
      </w:r>
      <w:r w:rsidRPr="005B081E">
        <w:rPr>
          <w:rFonts w:ascii="Cambria" w:hAnsi="Cambria"/>
          <w:sz w:val="20"/>
          <w:szCs w:val="20"/>
          <w:lang w:eastAsia="en-US"/>
        </w:rPr>
        <w:t xml:space="preserve"> intangibles al cierre de cada periodo, según corresponda.</w:t>
      </w:r>
    </w:p>
    <w:p w14:paraId="073042E2" w14:textId="77777777" w:rsidR="00ED480D" w:rsidRPr="005B081E" w:rsidRDefault="00ED480D" w:rsidP="000C02A3">
      <w:pPr>
        <w:numPr>
          <w:ilvl w:val="0"/>
          <w:numId w:val="39"/>
        </w:numPr>
        <w:spacing w:after="0"/>
        <w:ind w:left="630"/>
        <w:jc w:val="both"/>
        <w:rPr>
          <w:rFonts w:ascii="Cambria" w:hAnsi="Cambria"/>
          <w:sz w:val="20"/>
          <w:szCs w:val="20"/>
          <w:lang w:eastAsia="en-US"/>
        </w:rPr>
      </w:pPr>
      <w:r w:rsidRPr="005B081E">
        <w:rPr>
          <w:rFonts w:ascii="Cambria" w:hAnsi="Cambria"/>
          <w:sz w:val="20"/>
          <w:szCs w:val="20"/>
          <w:lang w:eastAsia="en-US"/>
        </w:rPr>
        <w:t>Se calculó como la ganancia neta de cada periodo más el impuesto a las ganancias,</w:t>
      </w:r>
      <w:r>
        <w:rPr>
          <w:rFonts w:ascii="Cambria" w:hAnsi="Cambria"/>
          <w:sz w:val="20"/>
          <w:szCs w:val="20"/>
          <w:lang w:eastAsia="en-US"/>
        </w:rPr>
        <w:t xml:space="preserve"> y</w:t>
      </w:r>
      <w:r w:rsidRPr="005B081E">
        <w:rPr>
          <w:rFonts w:ascii="Cambria" w:hAnsi="Cambria"/>
          <w:sz w:val="20"/>
          <w:szCs w:val="20"/>
          <w:lang w:eastAsia="en-US"/>
        </w:rPr>
        <w:t xml:space="preserve"> las depreciaciones y las amortizaciones.</w:t>
      </w:r>
    </w:p>
    <w:p w14:paraId="61829491" w14:textId="77777777" w:rsidR="00ED480D" w:rsidRPr="005B081E" w:rsidRDefault="00ED480D" w:rsidP="000C02A3">
      <w:pPr>
        <w:numPr>
          <w:ilvl w:val="0"/>
          <w:numId w:val="39"/>
        </w:numPr>
        <w:spacing w:after="0"/>
        <w:ind w:left="630"/>
        <w:jc w:val="both"/>
        <w:rPr>
          <w:rFonts w:ascii="Cambria" w:hAnsi="Cambria"/>
          <w:sz w:val="20"/>
          <w:szCs w:val="20"/>
          <w:lang w:eastAsia="en-US"/>
        </w:rPr>
      </w:pPr>
      <w:r w:rsidRPr="005B081E">
        <w:rPr>
          <w:rFonts w:ascii="Cambria" w:hAnsi="Cambria"/>
          <w:sz w:val="20"/>
          <w:szCs w:val="20"/>
          <w:lang w:eastAsia="en-US"/>
        </w:rPr>
        <w:t xml:space="preserve">Corresponde a las altas de bienes de uso y </w:t>
      </w:r>
      <w:r>
        <w:rPr>
          <w:rFonts w:ascii="Cambria" w:hAnsi="Cambria"/>
          <w:sz w:val="20"/>
          <w:szCs w:val="20"/>
          <w:lang w:eastAsia="en-US"/>
        </w:rPr>
        <w:t>activos</w:t>
      </w:r>
      <w:r w:rsidRPr="005B081E">
        <w:rPr>
          <w:rFonts w:ascii="Cambria" w:hAnsi="Cambria"/>
          <w:sz w:val="20"/>
          <w:szCs w:val="20"/>
          <w:lang w:eastAsia="en-US"/>
        </w:rPr>
        <w:t xml:space="preserve"> intangibles al cierre de cada periodo, según corresponda.</w:t>
      </w:r>
    </w:p>
    <w:p w14:paraId="698A6EEB" w14:textId="77777777" w:rsidR="00ED480D" w:rsidRPr="005B081E" w:rsidRDefault="00ED480D" w:rsidP="000C02A3">
      <w:pPr>
        <w:numPr>
          <w:ilvl w:val="0"/>
          <w:numId w:val="39"/>
        </w:numPr>
        <w:spacing w:after="0"/>
        <w:ind w:left="630"/>
        <w:jc w:val="both"/>
        <w:rPr>
          <w:rFonts w:ascii="Cambria" w:hAnsi="Cambria"/>
          <w:sz w:val="20"/>
          <w:szCs w:val="20"/>
          <w:lang w:eastAsia="en-US"/>
        </w:rPr>
      </w:pPr>
      <w:r w:rsidRPr="005B081E">
        <w:rPr>
          <w:rFonts w:ascii="Cambria" w:hAnsi="Cambria"/>
          <w:sz w:val="20"/>
          <w:szCs w:val="20"/>
          <w:lang w:eastAsia="en-US"/>
        </w:rPr>
        <w:t>Se calculó como la relación activo corriente / pasivo corriente al cierre de cada periodo, según corresponda.</w:t>
      </w:r>
    </w:p>
    <w:p w14:paraId="7ECE0AF4" w14:textId="77777777" w:rsidR="00ED480D" w:rsidRPr="005B081E" w:rsidRDefault="00ED480D" w:rsidP="000C02A3">
      <w:pPr>
        <w:numPr>
          <w:ilvl w:val="0"/>
          <w:numId w:val="39"/>
        </w:numPr>
        <w:spacing w:after="0"/>
        <w:ind w:left="630"/>
        <w:jc w:val="both"/>
        <w:rPr>
          <w:rFonts w:ascii="Cambria" w:hAnsi="Cambria"/>
          <w:sz w:val="20"/>
          <w:szCs w:val="20"/>
          <w:lang w:eastAsia="en-US"/>
        </w:rPr>
      </w:pPr>
      <w:r w:rsidRPr="005B081E">
        <w:rPr>
          <w:rFonts w:ascii="Cambria" w:hAnsi="Cambria"/>
          <w:sz w:val="20"/>
          <w:szCs w:val="20"/>
          <w:lang w:eastAsia="en-US"/>
        </w:rPr>
        <w:t>Se calculó como la relación patrimonio neto / total del pasivo al cierre de cada periodo, según corresponda.</w:t>
      </w:r>
    </w:p>
    <w:p w14:paraId="41872DD3" w14:textId="77777777" w:rsidR="00ED480D" w:rsidRPr="005B081E" w:rsidRDefault="00ED480D" w:rsidP="000C02A3">
      <w:pPr>
        <w:numPr>
          <w:ilvl w:val="0"/>
          <w:numId w:val="39"/>
        </w:numPr>
        <w:spacing w:after="0"/>
        <w:ind w:left="630"/>
        <w:jc w:val="both"/>
        <w:rPr>
          <w:rFonts w:ascii="Cambria" w:hAnsi="Cambria"/>
          <w:sz w:val="20"/>
          <w:szCs w:val="20"/>
          <w:lang w:eastAsia="en-US"/>
        </w:rPr>
      </w:pPr>
      <w:r w:rsidRPr="005B081E">
        <w:rPr>
          <w:rFonts w:ascii="Cambria" w:hAnsi="Cambria"/>
          <w:sz w:val="20"/>
          <w:szCs w:val="20"/>
          <w:lang w:eastAsia="en-US"/>
        </w:rPr>
        <w:t>Se calculó como la relación activo no corriente / total del activo al cierre de cada periodo, según corresponda.</w:t>
      </w:r>
    </w:p>
    <w:p w14:paraId="79F5C2CD" w14:textId="77777777" w:rsidR="00ED480D" w:rsidRPr="005B081E" w:rsidRDefault="00ED480D" w:rsidP="000C02A3">
      <w:pPr>
        <w:numPr>
          <w:ilvl w:val="0"/>
          <w:numId w:val="39"/>
        </w:numPr>
        <w:spacing w:after="0"/>
        <w:ind w:left="630"/>
        <w:jc w:val="both"/>
        <w:rPr>
          <w:rFonts w:ascii="Cambria" w:hAnsi="Cambria"/>
          <w:sz w:val="20"/>
          <w:szCs w:val="20"/>
          <w:lang w:eastAsia="en-US"/>
        </w:rPr>
      </w:pPr>
      <w:r w:rsidRPr="005B081E">
        <w:rPr>
          <w:rFonts w:ascii="Cambria" w:hAnsi="Cambria"/>
          <w:sz w:val="20"/>
          <w:szCs w:val="20"/>
          <w:lang w:eastAsia="en-US"/>
        </w:rPr>
        <w:t>Se calculó como la relación ganancia neta / patrimonio promedio al cierre de cada periodo, según corresponda.</w:t>
      </w:r>
    </w:p>
    <w:p w14:paraId="643F39CB" w14:textId="77777777" w:rsidR="00ED480D" w:rsidRPr="005B081E" w:rsidRDefault="00ED480D" w:rsidP="000C02A3">
      <w:pPr>
        <w:numPr>
          <w:ilvl w:val="0"/>
          <w:numId w:val="39"/>
        </w:numPr>
        <w:spacing w:after="0"/>
        <w:ind w:left="630"/>
        <w:jc w:val="both"/>
        <w:rPr>
          <w:rFonts w:ascii="Cambria" w:hAnsi="Cambria"/>
          <w:sz w:val="20"/>
          <w:szCs w:val="20"/>
          <w:lang w:eastAsia="en-US"/>
        </w:rPr>
      </w:pPr>
      <w:r w:rsidRPr="005B081E">
        <w:rPr>
          <w:rFonts w:ascii="Cambria" w:hAnsi="Cambria"/>
          <w:sz w:val="20"/>
          <w:szCs w:val="20"/>
          <w:lang w:eastAsia="en-US"/>
        </w:rPr>
        <w:t>Los saldos surgen de los estados financieros consolidados al 30 de junio de 2020 y se encuentran reexpresados a moneda de dicha fecha.</w:t>
      </w:r>
    </w:p>
    <w:p w14:paraId="6898FC62" w14:textId="77777777" w:rsidR="00ED480D" w:rsidRDefault="00ED480D" w:rsidP="000C02A3">
      <w:pPr>
        <w:numPr>
          <w:ilvl w:val="0"/>
          <w:numId w:val="39"/>
        </w:numPr>
        <w:spacing w:after="0"/>
        <w:ind w:left="630"/>
        <w:jc w:val="both"/>
        <w:rPr>
          <w:rFonts w:ascii="Cambria" w:hAnsi="Cambria"/>
          <w:sz w:val="20"/>
          <w:szCs w:val="20"/>
          <w:lang w:eastAsia="en-US"/>
        </w:rPr>
      </w:pPr>
      <w:r w:rsidRPr="005B081E">
        <w:rPr>
          <w:rFonts w:ascii="Cambria" w:hAnsi="Cambria"/>
          <w:sz w:val="20"/>
          <w:szCs w:val="20"/>
          <w:lang w:eastAsia="en-US"/>
        </w:rPr>
        <w:t>Los saldos surgen de los estados financieros consolidados al 30 de junio de 2019 y se encuentran reexpresados a moneda del 30 de junio de 2020.</w:t>
      </w:r>
    </w:p>
    <w:p w14:paraId="50171B0F" w14:textId="77777777" w:rsidR="00ED480D" w:rsidRPr="00AA6CF0" w:rsidRDefault="00ED480D" w:rsidP="00ED480D">
      <w:pPr>
        <w:spacing w:after="0"/>
        <w:jc w:val="both"/>
        <w:rPr>
          <w:rFonts w:ascii="Cambria" w:hAnsi="Cambria"/>
          <w:sz w:val="20"/>
        </w:rPr>
      </w:pPr>
    </w:p>
    <w:p w14:paraId="2175F806" w14:textId="77777777" w:rsidR="00ED480D" w:rsidRPr="003D31E5" w:rsidRDefault="00ED480D" w:rsidP="00ED480D">
      <w:pPr>
        <w:jc w:val="both"/>
        <w:rPr>
          <w:rFonts w:ascii="Cambria" w:hAnsi="Cambria"/>
          <w:sz w:val="20"/>
          <w:szCs w:val="20"/>
          <w:lang w:eastAsia="en-US"/>
        </w:rPr>
      </w:pPr>
      <w:r w:rsidRPr="003D31E5">
        <w:rPr>
          <w:rFonts w:ascii="Cambria" w:hAnsi="Cambria"/>
          <w:sz w:val="20"/>
          <w:szCs w:val="20"/>
          <w:lang w:eastAsia="en-US"/>
        </w:rPr>
        <w:t xml:space="preserve">1) Resultado por acción ordinaria: El aumento de este indicador por el periodo finalizado a junio de 2020, se debe al incremento del 72% del resultado neto de la emisora, respecto del mismo periodo del año anterior, producto principalmente de una mayor ganancia bruta, por el aumento en los volúmenes comercializados de un 26% e incrementos en los rendimientos financieros. Todo esto, compensado en parte, por un mayor cargo en impuesto a las ganancias. </w:t>
      </w:r>
    </w:p>
    <w:p w14:paraId="45B8D565" w14:textId="77777777" w:rsidR="00ED480D" w:rsidRPr="003D31E5" w:rsidRDefault="00ED480D" w:rsidP="00ED480D">
      <w:pPr>
        <w:spacing w:after="240"/>
        <w:jc w:val="both"/>
        <w:rPr>
          <w:rFonts w:ascii="Cambria" w:hAnsi="Cambria"/>
          <w:sz w:val="20"/>
          <w:szCs w:val="20"/>
          <w:lang w:eastAsia="en-US"/>
        </w:rPr>
      </w:pPr>
      <w:r w:rsidRPr="003D31E5">
        <w:rPr>
          <w:rFonts w:ascii="Cambria" w:hAnsi="Cambria"/>
          <w:sz w:val="20"/>
          <w:szCs w:val="20"/>
          <w:lang w:eastAsia="en-US"/>
        </w:rPr>
        <w:t>Asimismo, la cantidad de acciones no ha variado en con respecto al periodo del año anterior.</w:t>
      </w:r>
    </w:p>
    <w:p w14:paraId="5EDF6E03" w14:textId="77777777" w:rsidR="00ED480D" w:rsidRPr="003D31E5" w:rsidRDefault="00ED480D" w:rsidP="00ED480D">
      <w:pPr>
        <w:spacing w:after="240"/>
        <w:jc w:val="both"/>
        <w:rPr>
          <w:rFonts w:ascii="Cambria" w:hAnsi="Cambria"/>
          <w:sz w:val="20"/>
          <w:szCs w:val="20"/>
          <w:lang w:eastAsia="en-US"/>
        </w:rPr>
      </w:pPr>
      <w:r w:rsidRPr="003D31E5">
        <w:rPr>
          <w:rFonts w:ascii="Cambria" w:hAnsi="Cambria"/>
          <w:sz w:val="20"/>
          <w:szCs w:val="20"/>
          <w:lang w:eastAsia="en-US"/>
        </w:rPr>
        <w:t xml:space="preserve">2) Depreciaciones y amortizaciones: el mayor valor a junio de 2020, con respecto al mismo periodo del año anterior, se debe principalmente a los efectos de conversión. </w:t>
      </w:r>
    </w:p>
    <w:p w14:paraId="3C8C5FA0" w14:textId="77777777" w:rsidR="00ED480D" w:rsidRPr="003D31E5" w:rsidRDefault="00ED480D" w:rsidP="00ED480D">
      <w:pPr>
        <w:jc w:val="both"/>
        <w:rPr>
          <w:rFonts w:ascii="Cambria" w:hAnsi="Cambria"/>
          <w:sz w:val="20"/>
          <w:szCs w:val="20"/>
          <w:lang w:eastAsia="en-US"/>
        </w:rPr>
      </w:pPr>
      <w:r w:rsidRPr="003D31E5">
        <w:rPr>
          <w:rFonts w:ascii="Cambria" w:hAnsi="Cambria"/>
          <w:sz w:val="20"/>
          <w:szCs w:val="20"/>
          <w:lang w:eastAsia="en-US"/>
        </w:rPr>
        <w:t xml:space="preserve">3) EBTDA: al 30 de junio de 2020 alcanzó una ganancia neta de Ps. 2.543,6 millones, es decir, un incremento de Ps. 1.282,5 millones, esto fue un 102% más, respecto al mismo periodo del ejercicio anterior, esto se debió principalmente a la mejora en el margen bruto por mayor volumen comercializado y a una excelente performance financiera, compensado en parte por un aumento en los gastos operativos.  </w:t>
      </w:r>
    </w:p>
    <w:p w14:paraId="703D6499" w14:textId="77777777" w:rsidR="00ED480D" w:rsidRPr="003D31E5" w:rsidRDefault="00ED480D" w:rsidP="00ED480D">
      <w:pPr>
        <w:spacing w:after="240"/>
        <w:jc w:val="both"/>
        <w:rPr>
          <w:rFonts w:ascii="Cambria" w:hAnsi="Cambria"/>
          <w:sz w:val="20"/>
          <w:szCs w:val="20"/>
          <w:lang w:eastAsia="en-US"/>
        </w:rPr>
      </w:pPr>
      <w:r w:rsidRPr="003D31E5">
        <w:rPr>
          <w:rFonts w:ascii="Cambria" w:hAnsi="Cambria"/>
          <w:sz w:val="20"/>
          <w:szCs w:val="20"/>
          <w:lang w:eastAsia="en-US"/>
        </w:rPr>
        <w:t xml:space="preserve">4) Inversiones en propiedades, planta y equipo, y </w:t>
      </w:r>
      <w:r>
        <w:rPr>
          <w:rFonts w:ascii="Cambria" w:hAnsi="Cambria"/>
          <w:sz w:val="20"/>
          <w:szCs w:val="20"/>
          <w:lang w:eastAsia="en-US"/>
        </w:rPr>
        <w:t>activos</w:t>
      </w:r>
      <w:r w:rsidRPr="003D31E5">
        <w:rPr>
          <w:rFonts w:ascii="Cambria" w:hAnsi="Cambria"/>
          <w:sz w:val="20"/>
          <w:szCs w:val="20"/>
          <w:lang w:eastAsia="en-US"/>
        </w:rPr>
        <w:t xml:space="preserve"> intangibles:  la disminución en las inversiones a junio de 2020, con respecto al mismo periodo del año anterior, se debe principalmente al reconocimiento de los derechos de uso que ocurrió en por primera vez a junio de 2019.</w:t>
      </w:r>
    </w:p>
    <w:p w14:paraId="7E493BDD" w14:textId="77777777" w:rsidR="00ED480D" w:rsidRPr="003D31E5" w:rsidRDefault="00ED480D" w:rsidP="00ED480D">
      <w:pPr>
        <w:spacing w:after="240"/>
        <w:jc w:val="both"/>
        <w:rPr>
          <w:rFonts w:ascii="Cambria" w:hAnsi="Cambria"/>
          <w:sz w:val="20"/>
          <w:szCs w:val="20"/>
          <w:lang w:eastAsia="en-US"/>
        </w:rPr>
      </w:pPr>
      <w:r w:rsidRPr="003D31E5">
        <w:rPr>
          <w:rFonts w:ascii="Cambria" w:hAnsi="Cambria"/>
          <w:sz w:val="20"/>
          <w:szCs w:val="20"/>
          <w:lang w:eastAsia="en-US"/>
        </w:rPr>
        <w:t>5) Liquidez: La Emisora mantuvo este indicador de manera eficiente y estable durante en ambos periodos, en donde se puede ver que la deuda financiera de la emisora es utilizada para financiar íntegramente el capital de trabajo.</w:t>
      </w:r>
    </w:p>
    <w:p w14:paraId="5A8A77E8" w14:textId="77777777" w:rsidR="00ED480D" w:rsidRPr="003D31E5" w:rsidRDefault="00ED480D" w:rsidP="00ED480D">
      <w:pPr>
        <w:spacing w:after="240"/>
        <w:jc w:val="both"/>
        <w:rPr>
          <w:rFonts w:ascii="Cambria" w:hAnsi="Cambria"/>
          <w:sz w:val="20"/>
          <w:szCs w:val="20"/>
          <w:lang w:eastAsia="en-US"/>
        </w:rPr>
      </w:pPr>
      <w:r w:rsidRPr="003D31E5">
        <w:rPr>
          <w:rFonts w:ascii="Cambria" w:hAnsi="Cambria"/>
          <w:sz w:val="20"/>
          <w:szCs w:val="20"/>
          <w:lang w:eastAsia="en-US"/>
        </w:rPr>
        <w:t xml:space="preserve">6) Solvencia: se mantuvo en ambos periodos muy estable, </w:t>
      </w:r>
      <w:r>
        <w:rPr>
          <w:rFonts w:ascii="Cambria" w:hAnsi="Cambria"/>
          <w:sz w:val="20"/>
          <w:szCs w:val="20"/>
          <w:lang w:eastAsia="en-US"/>
        </w:rPr>
        <w:t xml:space="preserve">la baja del indicador a junio de </w:t>
      </w:r>
      <w:proofErr w:type="gramStart"/>
      <w:r>
        <w:rPr>
          <w:rFonts w:ascii="Cambria" w:hAnsi="Cambria"/>
          <w:sz w:val="20"/>
          <w:szCs w:val="20"/>
          <w:lang w:eastAsia="en-US"/>
        </w:rPr>
        <w:t>2020,</w:t>
      </w:r>
      <w:proofErr w:type="gramEnd"/>
      <w:r>
        <w:rPr>
          <w:rFonts w:ascii="Cambria" w:hAnsi="Cambria"/>
          <w:sz w:val="20"/>
          <w:szCs w:val="20"/>
          <w:lang w:eastAsia="en-US"/>
        </w:rPr>
        <w:t xml:space="preserve"> se debe al incremento en las</w:t>
      </w:r>
      <w:r w:rsidRPr="003D31E5">
        <w:rPr>
          <w:rFonts w:ascii="Cambria" w:hAnsi="Cambria"/>
          <w:sz w:val="20"/>
          <w:szCs w:val="20"/>
          <w:lang w:eastAsia="en-US"/>
        </w:rPr>
        <w:t xml:space="preserve"> deudas</w:t>
      </w:r>
      <w:r>
        <w:rPr>
          <w:rFonts w:ascii="Cambria" w:hAnsi="Cambria"/>
          <w:sz w:val="20"/>
          <w:szCs w:val="20"/>
          <w:lang w:eastAsia="en-US"/>
        </w:rPr>
        <w:t xml:space="preserve">, </w:t>
      </w:r>
      <w:r w:rsidRPr="003D31E5">
        <w:rPr>
          <w:rFonts w:ascii="Cambria" w:hAnsi="Cambria"/>
          <w:sz w:val="20"/>
          <w:szCs w:val="20"/>
          <w:lang w:eastAsia="en-US"/>
        </w:rPr>
        <w:t xml:space="preserve">producto </w:t>
      </w:r>
      <w:r>
        <w:rPr>
          <w:rFonts w:ascii="Cambria" w:hAnsi="Cambria"/>
          <w:sz w:val="20"/>
          <w:szCs w:val="20"/>
          <w:lang w:eastAsia="en-US"/>
        </w:rPr>
        <w:t xml:space="preserve">de las necesidades </w:t>
      </w:r>
      <w:r w:rsidRPr="003D31E5">
        <w:rPr>
          <w:rFonts w:ascii="Cambria" w:hAnsi="Cambria"/>
          <w:sz w:val="20"/>
          <w:szCs w:val="20"/>
          <w:lang w:eastAsia="en-US"/>
        </w:rPr>
        <w:t>para financiar</w:t>
      </w:r>
      <w:r>
        <w:rPr>
          <w:rFonts w:ascii="Cambria" w:hAnsi="Cambria"/>
          <w:sz w:val="20"/>
          <w:szCs w:val="20"/>
          <w:lang w:eastAsia="en-US"/>
        </w:rPr>
        <w:t xml:space="preserve"> el aumento en el</w:t>
      </w:r>
      <w:r w:rsidRPr="003D31E5">
        <w:rPr>
          <w:rFonts w:ascii="Cambria" w:hAnsi="Cambria"/>
          <w:sz w:val="20"/>
          <w:szCs w:val="20"/>
          <w:lang w:eastAsia="en-US"/>
        </w:rPr>
        <w:t xml:space="preserve"> capital de trabajo.</w:t>
      </w:r>
    </w:p>
    <w:p w14:paraId="0D26EB68" w14:textId="77777777" w:rsidR="00ED480D" w:rsidRPr="003D31E5" w:rsidRDefault="00ED480D" w:rsidP="00ED480D">
      <w:pPr>
        <w:spacing w:after="240"/>
        <w:jc w:val="both"/>
        <w:rPr>
          <w:rFonts w:ascii="Cambria" w:hAnsi="Cambria"/>
          <w:sz w:val="20"/>
          <w:szCs w:val="20"/>
          <w:lang w:eastAsia="en-US"/>
        </w:rPr>
      </w:pPr>
      <w:r w:rsidRPr="003D31E5">
        <w:rPr>
          <w:rFonts w:ascii="Cambria" w:hAnsi="Cambria"/>
          <w:sz w:val="20"/>
          <w:szCs w:val="20"/>
          <w:lang w:eastAsia="en-US"/>
        </w:rPr>
        <w:t xml:space="preserve">7) Inmovilización del capital: </w:t>
      </w:r>
      <w:r>
        <w:rPr>
          <w:rFonts w:ascii="Cambria" w:hAnsi="Cambria"/>
          <w:sz w:val="20"/>
          <w:szCs w:val="20"/>
          <w:lang w:eastAsia="en-US"/>
        </w:rPr>
        <w:t>la</w:t>
      </w:r>
      <w:r w:rsidRPr="003D31E5">
        <w:rPr>
          <w:rFonts w:ascii="Cambria" w:hAnsi="Cambria"/>
          <w:sz w:val="20"/>
          <w:szCs w:val="20"/>
          <w:lang w:eastAsia="en-US"/>
        </w:rPr>
        <w:t xml:space="preserve"> disminución a </w:t>
      </w:r>
      <w:r>
        <w:rPr>
          <w:rFonts w:ascii="Cambria" w:hAnsi="Cambria"/>
          <w:sz w:val="20"/>
          <w:szCs w:val="20"/>
          <w:lang w:eastAsia="en-US"/>
        </w:rPr>
        <w:t>junio</w:t>
      </w:r>
      <w:r w:rsidRPr="003D31E5">
        <w:rPr>
          <w:rFonts w:ascii="Cambria" w:hAnsi="Cambria"/>
          <w:sz w:val="20"/>
          <w:szCs w:val="20"/>
          <w:lang w:eastAsia="en-US"/>
        </w:rPr>
        <w:t xml:space="preserve"> de 2020, con respecto al mismo periodo del ejercicio anterior finalizado en junio de 2019, </w:t>
      </w:r>
      <w:r>
        <w:rPr>
          <w:rFonts w:ascii="Cambria" w:hAnsi="Cambria"/>
          <w:sz w:val="20"/>
          <w:szCs w:val="20"/>
          <w:lang w:eastAsia="en-US"/>
        </w:rPr>
        <w:t>fue producto</w:t>
      </w:r>
      <w:r w:rsidRPr="003D31E5">
        <w:rPr>
          <w:rFonts w:ascii="Cambria" w:hAnsi="Cambria"/>
          <w:sz w:val="20"/>
          <w:szCs w:val="20"/>
          <w:lang w:eastAsia="en-US"/>
        </w:rPr>
        <w:t xml:space="preserve"> </w:t>
      </w:r>
      <w:r>
        <w:rPr>
          <w:rFonts w:ascii="Cambria" w:hAnsi="Cambria"/>
          <w:sz w:val="20"/>
          <w:szCs w:val="20"/>
          <w:lang w:eastAsia="en-US"/>
        </w:rPr>
        <w:t xml:space="preserve">del incremento de los activos corrientes, </w:t>
      </w:r>
      <w:r>
        <w:rPr>
          <w:rFonts w:ascii="Cambria" w:hAnsi="Cambria"/>
          <w:sz w:val="20"/>
          <w:szCs w:val="20"/>
          <w:lang w:eastAsia="en-US"/>
        </w:rPr>
        <w:lastRenderedPageBreak/>
        <w:t>dado que los activos no</w:t>
      </w:r>
      <w:r w:rsidRPr="003D31E5">
        <w:rPr>
          <w:rFonts w:ascii="Cambria" w:hAnsi="Cambria"/>
          <w:sz w:val="20"/>
          <w:szCs w:val="20"/>
          <w:lang w:eastAsia="en-US"/>
        </w:rPr>
        <w:t xml:space="preserve"> corriente</w:t>
      </w:r>
      <w:r>
        <w:rPr>
          <w:rFonts w:ascii="Cambria" w:hAnsi="Cambria"/>
          <w:sz w:val="20"/>
          <w:szCs w:val="20"/>
          <w:lang w:eastAsia="en-US"/>
        </w:rPr>
        <w:t>s también se incrementaron, pero en menor proporción, todo en el marco de una mayor necesidad de capital de trabajo, respecto al año anterior</w:t>
      </w:r>
      <w:r w:rsidRPr="003D31E5">
        <w:rPr>
          <w:rFonts w:ascii="Cambria" w:hAnsi="Cambria"/>
          <w:sz w:val="20"/>
          <w:szCs w:val="20"/>
          <w:lang w:eastAsia="en-US"/>
        </w:rPr>
        <w:t>.</w:t>
      </w:r>
    </w:p>
    <w:p w14:paraId="2921AC61" w14:textId="77777777" w:rsidR="00ED480D" w:rsidRPr="006E4259" w:rsidRDefault="00ED480D" w:rsidP="00ED480D">
      <w:pPr>
        <w:spacing w:after="240"/>
        <w:jc w:val="both"/>
        <w:rPr>
          <w:rFonts w:ascii="Times New Roman" w:hAnsi="Times New Roman"/>
        </w:rPr>
      </w:pPr>
      <w:r w:rsidRPr="003D31E5">
        <w:rPr>
          <w:rFonts w:ascii="Cambria" w:hAnsi="Cambria"/>
          <w:sz w:val="20"/>
          <w:szCs w:val="20"/>
          <w:lang w:eastAsia="en-US"/>
        </w:rPr>
        <w:t>8) Rentabilidad: la mejoría de este índice se debe básicamente a los mejores resultados de la emisora a junio de 2020, con respecto al mismo periodo del año anterior.</w:t>
      </w:r>
    </w:p>
    <w:p w14:paraId="0BDED68A" w14:textId="77777777" w:rsidR="00ED480D" w:rsidRPr="005B081E" w:rsidRDefault="00ED480D" w:rsidP="00ED480D">
      <w:pPr>
        <w:spacing w:after="240"/>
        <w:jc w:val="both"/>
        <w:rPr>
          <w:rFonts w:ascii="Cambria" w:hAnsi="Cambria"/>
          <w:i/>
          <w:sz w:val="20"/>
          <w:szCs w:val="20"/>
          <w:lang w:eastAsia="en-US"/>
        </w:rPr>
      </w:pPr>
      <w:r w:rsidRPr="005B081E">
        <w:rPr>
          <w:rFonts w:ascii="Cambria" w:hAnsi="Cambria"/>
          <w:i/>
          <w:sz w:val="20"/>
          <w:szCs w:val="20"/>
          <w:lang w:eastAsia="en-US"/>
        </w:rPr>
        <w:t>Impacto de la pandemia del COVID-19 en los Indicadores Financieros</w:t>
      </w:r>
    </w:p>
    <w:p w14:paraId="7ED922AD" w14:textId="77777777" w:rsidR="00ED480D" w:rsidRPr="005B081E" w:rsidRDefault="00ED480D" w:rsidP="00ED480D">
      <w:pPr>
        <w:spacing w:after="240"/>
        <w:jc w:val="both"/>
        <w:rPr>
          <w:rFonts w:ascii="Cambria" w:hAnsi="Cambria"/>
          <w:b/>
          <w:sz w:val="20"/>
          <w:szCs w:val="20"/>
          <w:lang w:eastAsia="en-US"/>
        </w:rPr>
      </w:pPr>
      <w:r w:rsidRPr="005B081E">
        <w:rPr>
          <w:rFonts w:ascii="Cambria" w:hAnsi="Cambria"/>
          <w:sz w:val="20"/>
          <w:szCs w:val="20"/>
          <w:lang w:eastAsia="en-US"/>
        </w:rPr>
        <w:t>Hasta el momento, la situación de la Compañía no ha sufrido modificaciones sustanciales, pero ha tenido que sortear obstáculos propios de las restricciones impuestas como consecuencia de la pandemia del COVID-19. Resulta difícil estimar los impactos económicos y financieros que podría tener que enfrentar la Compañía en el futuro como consecuencia de la propagación del COVID 19, para más información ver la sección XI “</w:t>
      </w:r>
      <w:r w:rsidRPr="005B081E">
        <w:rPr>
          <w:rFonts w:ascii="Cambria" w:hAnsi="Cambria"/>
          <w:i/>
          <w:sz w:val="20"/>
          <w:szCs w:val="20"/>
          <w:lang w:eastAsia="en-US"/>
        </w:rPr>
        <w:t>Información adicional - Hechos posteriores al cierre de los Estados Financieros - Cambios Significativos</w:t>
      </w:r>
      <w:r w:rsidR="009961CD">
        <w:rPr>
          <w:rFonts w:ascii="Cambria" w:hAnsi="Cambria"/>
          <w:sz w:val="20"/>
          <w:szCs w:val="20"/>
          <w:lang w:eastAsia="en-US"/>
        </w:rPr>
        <w:t>” del</w:t>
      </w:r>
      <w:r w:rsidRPr="005B081E">
        <w:rPr>
          <w:rFonts w:ascii="Cambria" w:hAnsi="Cambria"/>
          <w:sz w:val="20"/>
          <w:szCs w:val="20"/>
          <w:lang w:eastAsia="en-US"/>
        </w:rPr>
        <w:t xml:space="preserve"> Prospecto.</w:t>
      </w:r>
    </w:p>
    <w:p w14:paraId="6B14500A" w14:textId="77777777" w:rsidR="00ED480D" w:rsidRPr="00FA26D4" w:rsidRDefault="00ED480D" w:rsidP="00ED480D">
      <w:pPr>
        <w:spacing w:after="240"/>
        <w:jc w:val="both"/>
        <w:rPr>
          <w:rFonts w:ascii="Cambria" w:hAnsi="Cambria"/>
          <w:b/>
          <w:sz w:val="20"/>
          <w:szCs w:val="20"/>
          <w:lang w:eastAsia="en-US"/>
        </w:rPr>
      </w:pPr>
      <w:r w:rsidRPr="00FA26D4">
        <w:rPr>
          <w:rFonts w:ascii="Cambria" w:hAnsi="Cambria"/>
          <w:b/>
          <w:sz w:val="20"/>
          <w:szCs w:val="20"/>
          <w:lang w:eastAsia="en-US"/>
        </w:rPr>
        <w:t xml:space="preserve">Capitalización y endeudamiento </w:t>
      </w:r>
    </w:p>
    <w:p w14:paraId="054F7FF4" w14:textId="77777777" w:rsidR="00ED480D" w:rsidRDefault="00ED480D" w:rsidP="00ED480D">
      <w:pPr>
        <w:spacing w:before="240" w:after="240"/>
        <w:jc w:val="both"/>
        <w:rPr>
          <w:rFonts w:ascii="Cambria" w:hAnsi="Cambria"/>
          <w:sz w:val="20"/>
        </w:rPr>
      </w:pPr>
      <w:r>
        <w:rPr>
          <w:rFonts w:ascii="Cambria" w:hAnsi="Cambria"/>
          <w:sz w:val="20"/>
        </w:rPr>
        <w:t>A continuación, s</w:t>
      </w:r>
      <w:r w:rsidRPr="00FA26D4">
        <w:rPr>
          <w:rFonts w:ascii="Cambria" w:hAnsi="Cambria"/>
          <w:sz w:val="20"/>
        </w:rPr>
        <w:t>e detalla la composición de la deuda financiera de la Emisora, clasificándola en corriente y no corriente, conforme su vencimiento y la composición del capital social al 30 de junio de 2020, de acuerdo con las disposiciones de la CNV. Esta información debe leerse en conjunto con los Estados Financieros Consolidados de la Emisora y con la sección “</w:t>
      </w:r>
      <w:r w:rsidRPr="00FA26D4">
        <w:rPr>
          <w:rFonts w:ascii="Cambria" w:hAnsi="Cambria"/>
          <w:i/>
          <w:sz w:val="20"/>
        </w:rPr>
        <w:t>Antecedentes Financieros -</w:t>
      </w:r>
      <w:r>
        <w:rPr>
          <w:rFonts w:ascii="Cambria" w:hAnsi="Cambria"/>
          <w:sz w:val="20"/>
        </w:rPr>
        <w:t xml:space="preserve"> </w:t>
      </w:r>
      <w:r w:rsidRPr="00FA26D4">
        <w:rPr>
          <w:rFonts w:ascii="Cambria" w:hAnsi="Cambria"/>
          <w:i/>
          <w:sz w:val="20"/>
        </w:rPr>
        <w:t>Reseña y perspectiva operativa y financiera</w:t>
      </w:r>
      <w:r w:rsidRPr="00FA26D4">
        <w:rPr>
          <w:rFonts w:ascii="Cambria" w:hAnsi="Cambria"/>
          <w:sz w:val="20"/>
        </w:rPr>
        <w:t>” del presente Prospecto</w:t>
      </w:r>
      <w:r w:rsidR="009961CD">
        <w:rPr>
          <w:rFonts w:ascii="Cambria" w:hAnsi="Cambria"/>
          <w:sz w:val="20"/>
        </w:rPr>
        <w:t xml:space="preserve"> Resumido</w:t>
      </w:r>
      <w:r w:rsidRPr="00FA26D4">
        <w:rPr>
          <w:rFonts w:ascii="Cambria" w:hAnsi="Cambria"/>
          <w:sz w:val="20"/>
        </w:rPr>
        <w:t>.</w:t>
      </w:r>
    </w:p>
    <w:p w14:paraId="55EC71E8" w14:textId="77777777" w:rsidR="00ED480D" w:rsidRPr="006E4259" w:rsidRDefault="00ED480D" w:rsidP="00ED480D">
      <w:pPr>
        <w:spacing w:before="240" w:after="240"/>
        <w:jc w:val="both"/>
        <w:rPr>
          <w:rFonts w:ascii="Cambria" w:hAnsi="Cambria"/>
          <w:sz w:val="20"/>
          <w:lang w:val="es-MX"/>
        </w:rPr>
      </w:pPr>
      <w:r>
        <w:rPr>
          <w:noProof/>
          <w:lang w:val="es-AR"/>
        </w:rPr>
        <w:drawing>
          <wp:inline distT="0" distB="0" distL="0" distR="0" wp14:anchorId="628CD1A6" wp14:editId="4F53A8F1">
            <wp:extent cx="4895850" cy="10572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3192" t="39062" r="36405" b="46563"/>
                    <a:stretch/>
                  </pic:blipFill>
                  <pic:spPr bwMode="auto">
                    <a:xfrm>
                      <a:off x="0" y="0"/>
                      <a:ext cx="4912401" cy="1060849"/>
                    </a:xfrm>
                    <a:prstGeom prst="rect">
                      <a:avLst/>
                    </a:prstGeom>
                    <a:ln>
                      <a:noFill/>
                    </a:ln>
                    <a:extLst>
                      <a:ext uri="{53640926-AAD7-44D8-BBD7-CCE9431645EC}">
                        <a14:shadowObscured xmlns:a14="http://schemas.microsoft.com/office/drawing/2010/main"/>
                      </a:ext>
                    </a:extLst>
                  </pic:spPr>
                </pic:pic>
              </a:graphicData>
            </a:graphic>
          </wp:inline>
        </w:drawing>
      </w:r>
    </w:p>
    <w:p w14:paraId="6ADAA8F2" w14:textId="77777777" w:rsidR="00ED480D" w:rsidRPr="00417738" w:rsidRDefault="00ED480D" w:rsidP="000C02A3">
      <w:pPr>
        <w:pStyle w:val="Prrafodelista"/>
        <w:numPr>
          <w:ilvl w:val="0"/>
          <w:numId w:val="50"/>
        </w:numPr>
        <w:spacing w:before="240" w:after="240"/>
        <w:jc w:val="both"/>
        <w:rPr>
          <w:rFonts w:ascii="Cambria" w:hAnsi="Cambria"/>
          <w:sz w:val="20"/>
          <w:szCs w:val="20"/>
          <w:lang w:val="es-ES_tradnl" w:eastAsia="en-US"/>
        </w:rPr>
      </w:pPr>
      <w:r w:rsidRPr="00417738">
        <w:rPr>
          <w:rFonts w:ascii="Cambria" w:hAnsi="Cambria"/>
          <w:sz w:val="20"/>
          <w:szCs w:val="20"/>
          <w:lang w:val="es-ES_tradnl" w:eastAsia="en-US"/>
        </w:rPr>
        <w:t xml:space="preserve"> Los saldos surgen de los estados financieros consolidados al 30 de junio de 2020 y se encuentra reexpresados a moneda de dicha fecha. </w:t>
      </w:r>
    </w:p>
    <w:p w14:paraId="619039AF" w14:textId="77777777" w:rsidR="00ED480D" w:rsidRDefault="00ED480D" w:rsidP="00ED480D">
      <w:pPr>
        <w:spacing w:before="240" w:after="240"/>
        <w:jc w:val="both"/>
        <w:rPr>
          <w:rFonts w:ascii="Cambria" w:hAnsi="Cambria"/>
          <w:sz w:val="20"/>
          <w:szCs w:val="20"/>
          <w:lang w:val="es-ES_tradnl" w:eastAsia="en-US"/>
        </w:rPr>
      </w:pPr>
      <w:r w:rsidRPr="00B82324">
        <w:rPr>
          <w:rFonts w:ascii="Cambria" w:hAnsi="Cambria"/>
          <w:sz w:val="20"/>
          <w:szCs w:val="20"/>
          <w:lang w:val="es-ES_tradnl" w:eastAsia="en-US"/>
        </w:rPr>
        <w:t>La deuda financiera no se encuentra garantizada y es utilizada principalmente para financi</w:t>
      </w:r>
      <w:r>
        <w:rPr>
          <w:rFonts w:ascii="Cambria" w:hAnsi="Cambria"/>
          <w:sz w:val="20"/>
          <w:szCs w:val="20"/>
          <w:lang w:val="es-ES_tradnl" w:eastAsia="en-US"/>
        </w:rPr>
        <w:t>ar el capital de trabajo de la E</w:t>
      </w:r>
      <w:r w:rsidRPr="00B82324">
        <w:rPr>
          <w:rFonts w:ascii="Cambria" w:hAnsi="Cambria"/>
          <w:sz w:val="20"/>
          <w:szCs w:val="20"/>
          <w:lang w:val="es-ES_tradnl" w:eastAsia="en-US"/>
        </w:rPr>
        <w:t xml:space="preserve">misora. A su vez, la misma fue </w:t>
      </w:r>
      <w:r>
        <w:rPr>
          <w:rFonts w:ascii="Cambria" w:hAnsi="Cambria"/>
          <w:sz w:val="20"/>
          <w:szCs w:val="20"/>
          <w:lang w:val="es-ES_tradnl" w:eastAsia="en-US"/>
        </w:rPr>
        <w:t>obtenida</w:t>
      </w:r>
      <w:r w:rsidRPr="00B82324">
        <w:rPr>
          <w:rFonts w:ascii="Cambria" w:hAnsi="Cambria"/>
          <w:sz w:val="20"/>
          <w:szCs w:val="20"/>
          <w:lang w:val="es-ES_tradnl" w:eastAsia="en-US"/>
        </w:rPr>
        <w:t xml:space="preserve"> </w:t>
      </w:r>
      <w:r>
        <w:rPr>
          <w:rFonts w:ascii="Cambria" w:hAnsi="Cambria"/>
          <w:sz w:val="20"/>
          <w:szCs w:val="20"/>
          <w:lang w:val="es-ES_tradnl" w:eastAsia="en-US"/>
        </w:rPr>
        <w:t>a través</w:t>
      </w:r>
      <w:r w:rsidRPr="00B82324">
        <w:rPr>
          <w:rFonts w:ascii="Cambria" w:hAnsi="Cambria"/>
          <w:sz w:val="20"/>
          <w:szCs w:val="20"/>
          <w:lang w:val="es-ES_tradnl" w:eastAsia="en-US"/>
        </w:rPr>
        <w:t xml:space="preserve"> de entidades financieras de primer nivel</w:t>
      </w:r>
      <w:r>
        <w:rPr>
          <w:rFonts w:ascii="Cambria" w:hAnsi="Cambria"/>
          <w:sz w:val="20"/>
          <w:szCs w:val="20"/>
          <w:lang w:val="es-ES_tradnl" w:eastAsia="en-US"/>
        </w:rPr>
        <w:t>.</w:t>
      </w:r>
    </w:p>
    <w:p w14:paraId="7501CC75" w14:textId="77777777" w:rsidR="00ED480D" w:rsidRPr="006E4259" w:rsidRDefault="00ED480D" w:rsidP="00ED480D">
      <w:pPr>
        <w:spacing w:before="240" w:after="240"/>
        <w:jc w:val="both"/>
        <w:rPr>
          <w:rFonts w:ascii="Times New Roman" w:hAnsi="Times New Roman"/>
          <w:lang w:val="es-MX"/>
        </w:rPr>
      </w:pPr>
      <w:r w:rsidRPr="007D4444">
        <w:rPr>
          <w:rFonts w:ascii="Cambria" w:hAnsi="Cambria"/>
          <w:sz w:val="20"/>
          <w:szCs w:val="20"/>
          <w:lang w:val="es-ES_tradnl" w:eastAsia="en-US"/>
        </w:rPr>
        <w:t>Capital social al 30 de junio de 2020</w:t>
      </w:r>
      <w:r>
        <w:rPr>
          <w:rFonts w:ascii="Cambria" w:hAnsi="Cambria"/>
          <w:sz w:val="20"/>
          <w:szCs w:val="20"/>
          <w:lang w:val="es-ES_tradnl" w:eastAsia="en-US"/>
        </w:rPr>
        <w:t>.</w:t>
      </w:r>
      <w:r>
        <w:rPr>
          <w:noProof/>
          <w:lang w:val="es-AR"/>
        </w:rPr>
        <w:drawing>
          <wp:anchor distT="0" distB="0" distL="114300" distR="114300" simplePos="0" relativeHeight="251659264" behindDoc="0" locked="0" layoutInCell="1" allowOverlap="1" wp14:anchorId="57850502" wp14:editId="251E074D">
            <wp:simplePos x="0" y="0"/>
            <wp:positionH relativeFrom="margin">
              <wp:align>left</wp:align>
            </wp:positionH>
            <wp:positionV relativeFrom="paragraph">
              <wp:posOffset>313055</wp:posOffset>
            </wp:positionV>
            <wp:extent cx="4772025" cy="1047750"/>
            <wp:effectExtent l="0" t="0" r="9525"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23459" t="58670" r="37207" b="26897"/>
                    <a:stretch/>
                  </pic:blipFill>
                  <pic:spPr bwMode="auto">
                    <a:xfrm>
                      <a:off x="0" y="0"/>
                      <a:ext cx="4772025" cy="1047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0D9532" w14:textId="77777777" w:rsidR="00ED480D" w:rsidRDefault="00ED480D" w:rsidP="00ED480D">
      <w:pPr>
        <w:pStyle w:val="Ttulo1"/>
        <w:jc w:val="center"/>
        <w:rPr>
          <w:sz w:val="20"/>
          <w:szCs w:val="20"/>
          <w:lang w:eastAsia="en-US"/>
        </w:rPr>
      </w:pPr>
    </w:p>
    <w:p w14:paraId="61218032" w14:textId="77777777" w:rsidR="00ED480D" w:rsidRDefault="00ED480D" w:rsidP="00ED480D">
      <w:pPr>
        <w:pStyle w:val="Ttulo1"/>
        <w:jc w:val="center"/>
        <w:rPr>
          <w:sz w:val="20"/>
          <w:szCs w:val="20"/>
          <w:lang w:eastAsia="en-US"/>
        </w:rPr>
      </w:pPr>
    </w:p>
    <w:p w14:paraId="5D3FE09E" w14:textId="77777777" w:rsidR="00ED480D" w:rsidRDefault="00ED480D" w:rsidP="00ED480D">
      <w:pPr>
        <w:pStyle w:val="Ttulo1"/>
        <w:jc w:val="center"/>
        <w:rPr>
          <w:sz w:val="20"/>
          <w:szCs w:val="20"/>
          <w:lang w:eastAsia="en-US"/>
        </w:rPr>
      </w:pPr>
    </w:p>
    <w:p w14:paraId="76990129" w14:textId="77777777" w:rsidR="00ED480D" w:rsidRDefault="00ED480D" w:rsidP="00ED480D">
      <w:pPr>
        <w:pStyle w:val="Ttulo1"/>
        <w:jc w:val="center"/>
        <w:rPr>
          <w:sz w:val="20"/>
          <w:szCs w:val="20"/>
          <w:lang w:eastAsia="en-US"/>
        </w:rPr>
      </w:pPr>
    </w:p>
    <w:p w14:paraId="66CE7415" w14:textId="77777777" w:rsidR="00ED480D" w:rsidRPr="00E8195C" w:rsidRDefault="00ED480D" w:rsidP="00ED480D">
      <w:pPr>
        <w:jc w:val="both"/>
        <w:rPr>
          <w:rFonts w:ascii="Cambria" w:hAnsi="Cambria"/>
          <w:sz w:val="20"/>
          <w:szCs w:val="20"/>
          <w:lang w:val="es-ES_tradnl" w:eastAsia="en-US"/>
        </w:rPr>
      </w:pPr>
      <w:r w:rsidRPr="00E8195C">
        <w:rPr>
          <w:rFonts w:ascii="Cambria" w:hAnsi="Cambria"/>
          <w:sz w:val="20"/>
          <w:szCs w:val="20"/>
          <w:lang w:val="es-ES_tradnl" w:eastAsia="en-US"/>
        </w:rPr>
        <w:t>1. Los saldos surgen de los estados financieros consolidados al 30 de junio de 2020 y se encuentra reexpresados a moneda de dicha fecha.</w:t>
      </w:r>
    </w:p>
    <w:p w14:paraId="194842F1" w14:textId="77777777" w:rsidR="00ED480D" w:rsidRDefault="00ED480D" w:rsidP="00ED480D">
      <w:pPr>
        <w:jc w:val="center"/>
        <w:rPr>
          <w:rFonts w:ascii="Cambria" w:hAnsi="Cambria"/>
          <w:b/>
          <w:caps/>
          <w:sz w:val="20"/>
          <w:szCs w:val="20"/>
        </w:rPr>
      </w:pPr>
      <w:bookmarkStart w:id="24" w:name="_DV_M457"/>
      <w:bookmarkStart w:id="25" w:name="_DV_M669"/>
      <w:bookmarkStart w:id="26" w:name="_DV_M670"/>
      <w:bookmarkStart w:id="27" w:name="_DV_M672"/>
      <w:bookmarkStart w:id="28" w:name="_Toc25595851"/>
      <w:bookmarkStart w:id="29" w:name="_Toc25596185"/>
      <w:bookmarkEnd w:id="21"/>
      <w:bookmarkEnd w:id="22"/>
      <w:bookmarkEnd w:id="24"/>
      <w:bookmarkEnd w:id="25"/>
      <w:bookmarkEnd w:id="26"/>
      <w:bookmarkEnd w:id="27"/>
    </w:p>
    <w:p w14:paraId="043CCDF4" w14:textId="77777777" w:rsidR="00ED480D" w:rsidRDefault="00ED480D" w:rsidP="00ED480D">
      <w:pPr>
        <w:jc w:val="center"/>
        <w:rPr>
          <w:rFonts w:ascii="Cambria" w:hAnsi="Cambria"/>
          <w:b/>
          <w:caps/>
          <w:sz w:val="20"/>
          <w:szCs w:val="20"/>
        </w:rPr>
      </w:pPr>
    </w:p>
    <w:p w14:paraId="2BB5B82C" w14:textId="77777777" w:rsidR="00ED480D" w:rsidRPr="00E8195C" w:rsidRDefault="00ED480D" w:rsidP="00ED480D">
      <w:pPr>
        <w:jc w:val="center"/>
        <w:rPr>
          <w:rFonts w:ascii="Cambria" w:hAnsi="Cambria"/>
          <w:b/>
          <w:caps/>
          <w:sz w:val="20"/>
          <w:szCs w:val="20"/>
        </w:rPr>
      </w:pPr>
      <w:r w:rsidRPr="00E8195C">
        <w:rPr>
          <w:rFonts w:ascii="Cambria" w:hAnsi="Cambria"/>
          <w:b/>
          <w:caps/>
          <w:sz w:val="20"/>
          <w:szCs w:val="20"/>
        </w:rPr>
        <w:lastRenderedPageBreak/>
        <w:t>RESEÑA Y PERSPECTIVA OPERATIVA Y FINANCIERA</w:t>
      </w:r>
      <w:bookmarkEnd w:id="28"/>
      <w:bookmarkEnd w:id="29"/>
    </w:p>
    <w:p w14:paraId="7567421A" w14:textId="77777777" w:rsidR="00ED480D" w:rsidRPr="005B081E" w:rsidRDefault="00ED480D" w:rsidP="00ED480D">
      <w:pPr>
        <w:jc w:val="both"/>
        <w:rPr>
          <w:rFonts w:ascii="Cambria" w:hAnsi="Cambria"/>
          <w:sz w:val="20"/>
          <w:szCs w:val="20"/>
          <w:lang w:val="es-ES_tradnl" w:eastAsia="en-US"/>
        </w:rPr>
      </w:pPr>
      <w:r w:rsidRPr="005B081E">
        <w:rPr>
          <w:rFonts w:ascii="Cambria" w:hAnsi="Cambria"/>
          <w:sz w:val="20"/>
          <w:szCs w:val="20"/>
          <w:lang w:val="es-ES_tradnl" w:eastAsia="en-US"/>
        </w:rPr>
        <w:t>El siguiente resumen de la información financiera consolidada ha sido obtenido de los Estados Financieros de la Emisora a las fechas y para cada uno de los ejercicios, los cuales han sido oportunamente presentados ante la CNV y, por lo tanto, esta información debe leerse juntamente con los Estados Financieros Consolidados y con la sección “Presentación de la información financiera” de este Prospecto</w:t>
      </w:r>
      <w:r w:rsidR="009961CD">
        <w:rPr>
          <w:rFonts w:ascii="Cambria" w:hAnsi="Cambria"/>
          <w:sz w:val="20"/>
          <w:szCs w:val="20"/>
          <w:lang w:val="es-ES_tradnl" w:eastAsia="en-US"/>
        </w:rPr>
        <w:t xml:space="preserve"> Resumido</w:t>
      </w:r>
      <w:r w:rsidRPr="005B081E">
        <w:rPr>
          <w:rFonts w:ascii="Cambria" w:hAnsi="Cambria"/>
          <w:sz w:val="20"/>
          <w:szCs w:val="20"/>
          <w:lang w:val="es-ES_tradnl" w:eastAsia="en-US"/>
        </w:rPr>
        <w:t>.</w:t>
      </w:r>
    </w:p>
    <w:p w14:paraId="155FE2A6" w14:textId="77777777" w:rsidR="00ED480D" w:rsidRPr="005B081E" w:rsidRDefault="00ED480D" w:rsidP="00ED480D">
      <w:pPr>
        <w:jc w:val="both"/>
        <w:rPr>
          <w:rFonts w:ascii="Cambria" w:hAnsi="Cambria"/>
          <w:sz w:val="20"/>
          <w:szCs w:val="20"/>
          <w:lang w:val="es-ES_tradnl" w:eastAsia="en-US"/>
        </w:rPr>
      </w:pPr>
      <w:r w:rsidRPr="005B081E">
        <w:rPr>
          <w:rFonts w:ascii="Cambria" w:hAnsi="Cambria"/>
          <w:sz w:val="20"/>
          <w:szCs w:val="20"/>
          <w:lang w:val="es-ES_tradnl" w:eastAsia="en-US"/>
        </w:rPr>
        <w:t>Ciertas sumas expuestas en las siguientes consideraciones están sujetas a redondeo. En consecuencia, los montos reflejados como totales en ciertos cuadros pueden no representar la suma aritmética exacta de los otros montos contenidos en dicho cuadro.</w:t>
      </w:r>
    </w:p>
    <w:p w14:paraId="1A86AFE2" w14:textId="77777777" w:rsidR="00ED480D" w:rsidRPr="005B081E" w:rsidRDefault="00ED480D" w:rsidP="00ED480D">
      <w:pPr>
        <w:jc w:val="both"/>
        <w:rPr>
          <w:rFonts w:ascii="Cambria" w:hAnsi="Cambria"/>
          <w:sz w:val="20"/>
          <w:szCs w:val="20"/>
          <w:lang w:val="es-ES_tradnl" w:eastAsia="en-US"/>
        </w:rPr>
      </w:pPr>
      <w:r w:rsidRPr="005B081E">
        <w:rPr>
          <w:rFonts w:ascii="Cambria" w:hAnsi="Cambria"/>
          <w:sz w:val="20"/>
          <w:szCs w:val="20"/>
          <w:lang w:val="es-ES_tradnl" w:eastAsia="en-US"/>
        </w:rPr>
        <w:t>El resumen de la información patrimonial y de resultados correspondiente a los ejercicios económicos finalizados el 31 de marzo de 2020, 2019 y 2018 han sido obtenidos de los Estados Financieros de la Emisora a dichas fechas. A su vez, hemos actualizado la información patrimonial y de resultados con los últimos estados financieros disponibles por el periodo de tres meses finalizado el 30 de junio de 2020, el cual se presenta comparativo con el mismo periodo del ejercicio anterior.</w:t>
      </w:r>
    </w:p>
    <w:p w14:paraId="3C161FB5" w14:textId="77777777" w:rsidR="00ED480D" w:rsidRPr="005B081E" w:rsidRDefault="00ED480D" w:rsidP="00ED480D">
      <w:pPr>
        <w:jc w:val="both"/>
        <w:rPr>
          <w:rFonts w:ascii="Cambria" w:hAnsi="Cambria"/>
          <w:sz w:val="20"/>
          <w:szCs w:val="20"/>
          <w:lang w:val="es-ES_tradnl" w:eastAsia="en-US"/>
        </w:rPr>
      </w:pPr>
      <w:r w:rsidRPr="005B081E">
        <w:rPr>
          <w:rFonts w:ascii="Cambria" w:hAnsi="Cambria"/>
          <w:sz w:val="20"/>
          <w:szCs w:val="20"/>
          <w:lang w:val="es-ES_tradnl" w:eastAsia="en-US"/>
        </w:rPr>
        <w:t>La información sobre los estados financieros anuales finalizados al 31 de marzo de 2020, 2019 y 2018 se encuentra reexpresada a moneda del 31 de marzo de 2020, y la información financiera sobre los estados contables no auditados por el periodo de tres meses finalizados al 30 de junio de 2020, comparativo con el mismo periodo del ejercicio anterior, se encuentra re</w:t>
      </w:r>
      <w:r>
        <w:rPr>
          <w:rFonts w:ascii="Cambria" w:hAnsi="Cambria"/>
          <w:sz w:val="20"/>
          <w:szCs w:val="20"/>
          <w:lang w:val="es-ES_tradnl" w:eastAsia="en-US"/>
        </w:rPr>
        <w:t>ex</w:t>
      </w:r>
      <w:r w:rsidRPr="005B081E">
        <w:rPr>
          <w:rFonts w:ascii="Cambria" w:hAnsi="Cambria"/>
          <w:sz w:val="20"/>
          <w:szCs w:val="20"/>
          <w:lang w:val="es-ES_tradnl" w:eastAsia="en-US"/>
        </w:rPr>
        <w:t>presada a moneda del 30 de junio de 2020.</w:t>
      </w:r>
    </w:p>
    <w:p w14:paraId="37CB3BD8" w14:textId="77777777" w:rsidR="00ED480D" w:rsidRDefault="00ED480D" w:rsidP="00ED480D">
      <w:pPr>
        <w:jc w:val="both"/>
        <w:rPr>
          <w:rFonts w:ascii="Cambria" w:eastAsia="Times New Roman" w:hAnsi="Cambria"/>
          <w:b/>
          <w:sz w:val="20"/>
          <w:szCs w:val="20"/>
          <w:lang w:val="es-AR" w:eastAsia="es-ES"/>
        </w:rPr>
      </w:pPr>
    </w:p>
    <w:p w14:paraId="0AC3A630" w14:textId="77777777" w:rsidR="00ED480D" w:rsidRDefault="00ED480D" w:rsidP="00ED480D">
      <w:pPr>
        <w:jc w:val="both"/>
        <w:rPr>
          <w:rFonts w:ascii="Cambria" w:eastAsia="Times New Roman" w:hAnsi="Cambria"/>
          <w:b/>
          <w:sz w:val="20"/>
          <w:szCs w:val="20"/>
          <w:lang w:val="es-AR" w:eastAsia="es-ES"/>
        </w:rPr>
      </w:pPr>
    </w:p>
    <w:p w14:paraId="0ECB3550" w14:textId="77777777" w:rsidR="00ED480D" w:rsidRDefault="00ED480D" w:rsidP="00ED480D">
      <w:pPr>
        <w:jc w:val="both"/>
        <w:rPr>
          <w:rFonts w:ascii="Cambria" w:eastAsia="Times New Roman" w:hAnsi="Cambria"/>
          <w:b/>
          <w:sz w:val="20"/>
          <w:szCs w:val="20"/>
          <w:lang w:val="es-AR" w:eastAsia="es-ES"/>
        </w:rPr>
      </w:pPr>
    </w:p>
    <w:p w14:paraId="24C9088B" w14:textId="77777777" w:rsidR="00ED480D" w:rsidRDefault="00ED480D" w:rsidP="00ED480D">
      <w:pPr>
        <w:jc w:val="both"/>
        <w:rPr>
          <w:rFonts w:ascii="Cambria" w:eastAsia="Times New Roman" w:hAnsi="Cambria"/>
          <w:b/>
          <w:sz w:val="20"/>
          <w:szCs w:val="20"/>
          <w:lang w:val="es-AR" w:eastAsia="es-ES"/>
        </w:rPr>
      </w:pPr>
    </w:p>
    <w:p w14:paraId="4F59851A" w14:textId="77777777" w:rsidR="00ED480D" w:rsidRDefault="00ED480D" w:rsidP="00ED480D">
      <w:pPr>
        <w:jc w:val="both"/>
        <w:rPr>
          <w:rFonts w:ascii="Cambria" w:eastAsia="Times New Roman" w:hAnsi="Cambria"/>
          <w:b/>
          <w:sz w:val="20"/>
          <w:szCs w:val="20"/>
          <w:lang w:val="es-AR" w:eastAsia="es-ES"/>
        </w:rPr>
      </w:pPr>
    </w:p>
    <w:p w14:paraId="385410A9" w14:textId="77777777" w:rsidR="00ED480D" w:rsidRDefault="00ED480D" w:rsidP="00ED480D">
      <w:pPr>
        <w:jc w:val="both"/>
        <w:rPr>
          <w:rFonts w:ascii="Cambria" w:eastAsia="Times New Roman" w:hAnsi="Cambria"/>
          <w:b/>
          <w:sz w:val="20"/>
          <w:szCs w:val="20"/>
          <w:lang w:val="es-AR" w:eastAsia="es-ES"/>
        </w:rPr>
      </w:pPr>
    </w:p>
    <w:p w14:paraId="0C0FF18C" w14:textId="77777777" w:rsidR="00ED480D" w:rsidRDefault="00ED480D" w:rsidP="00ED480D">
      <w:pPr>
        <w:jc w:val="both"/>
        <w:rPr>
          <w:rFonts w:ascii="Cambria" w:eastAsia="Times New Roman" w:hAnsi="Cambria"/>
          <w:b/>
          <w:sz w:val="20"/>
          <w:szCs w:val="20"/>
          <w:lang w:val="es-AR" w:eastAsia="es-ES"/>
        </w:rPr>
      </w:pPr>
    </w:p>
    <w:p w14:paraId="5AB24CA4" w14:textId="77777777" w:rsidR="00ED480D" w:rsidRDefault="00ED480D" w:rsidP="00ED480D">
      <w:pPr>
        <w:jc w:val="both"/>
        <w:rPr>
          <w:rFonts w:ascii="Cambria" w:eastAsia="Times New Roman" w:hAnsi="Cambria"/>
          <w:b/>
          <w:sz w:val="20"/>
          <w:szCs w:val="20"/>
          <w:lang w:val="es-AR" w:eastAsia="es-ES"/>
        </w:rPr>
      </w:pPr>
    </w:p>
    <w:p w14:paraId="0533260B" w14:textId="77777777" w:rsidR="00ED480D" w:rsidRDefault="00ED480D" w:rsidP="00ED480D">
      <w:pPr>
        <w:jc w:val="both"/>
        <w:rPr>
          <w:rFonts w:ascii="Cambria" w:eastAsia="Times New Roman" w:hAnsi="Cambria"/>
          <w:b/>
          <w:sz w:val="20"/>
          <w:szCs w:val="20"/>
          <w:lang w:val="es-AR" w:eastAsia="es-ES"/>
        </w:rPr>
      </w:pPr>
    </w:p>
    <w:p w14:paraId="16472E25" w14:textId="77777777" w:rsidR="00ED480D" w:rsidRPr="005B081E" w:rsidRDefault="00ED480D" w:rsidP="00ED480D">
      <w:pPr>
        <w:jc w:val="both"/>
        <w:rPr>
          <w:rFonts w:ascii="Cambria" w:eastAsia="Times New Roman" w:hAnsi="Cambria"/>
          <w:b/>
          <w:sz w:val="20"/>
          <w:szCs w:val="20"/>
          <w:lang w:val="es-AR" w:eastAsia="es-ES"/>
        </w:rPr>
      </w:pPr>
      <w:r w:rsidRPr="005B081E">
        <w:rPr>
          <w:rFonts w:ascii="Cambria" w:eastAsia="Times New Roman" w:hAnsi="Cambria"/>
          <w:b/>
          <w:sz w:val="20"/>
          <w:szCs w:val="20"/>
          <w:lang w:val="es-AR" w:eastAsia="es-ES"/>
        </w:rPr>
        <w:t xml:space="preserve">Resumen de información financiera consolidada </w:t>
      </w:r>
    </w:p>
    <w:p w14:paraId="43C1F31E" w14:textId="77777777" w:rsidR="00ED480D" w:rsidRPr="005B081E" w:rsidRDefault="00ED480D" w:rsidP="00ED480D">
      <w:pPr>
        <w:rPr>
          <w:rFonts w:ascii="Times New Roman" w:hAnsi="Times New Roman"/>
          <w:lang w:eastAsia="en-US"/>
        </w:rPr>
      </w:pPr>
      <w:r w:rsidRPr="00927819" w:rsidDel="00927819">
        <w:lastRenderedPageBreak/>
        <w:t xml:space="preserve"> </w:t>
      </w:r>
      <w:r w:rsidRPr="00360E56">
        <w:rPr>
          <w:noProof/>
          <w:lang w:val="es-AR"/>
        </w:rPr>
        <w:drawing>
          <wp:inline distT="0" distB="0" distL="0" distR="0" wp14:anchorId="0C0AEC31" wp14:editId="1A13D7C3">
            <wp:extent cx="5400040" cy="4055745"/>
            <wp:effectExtent l="0" t="0" r="0" b="190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0040" cy="4055745"/>
                    </a:xfrm>
                    <a:prstGeom prst="rect">
                      <a:avLst/>
                    </a:prstGeom>
                    <a:noFill/>
                    <a:ln>
                      <a:noFill/>
                    </a:ln>
                  </pic:spPr>
                </pic:pic>
              </a:graphicData>
            </a:graphic>
          </wp:inline>
        </w:drawing>
      </w:r>
      <w:r w:rsidRPr="00360E56" w:rsidDel="00927819">
        <w:t xml:space="preserve"> </w:t>
      </w:r>
    </w:p>
    <w:p w14:paraId="0298B027" w14:textId="77777777" w:rsidR="00ED480D" w:rsidRPr="006E4259" w:rsidRDefault="00ED480D" w:rsidP="00ED480D">
      <w:pPr>
        <w:spacing w:after="240"/>
        <w:jc w:val="both"/>
        <w:rPr>
          <w:rFonts w:ascii="Times New Roman" w:hAnsi="Times New Roman"/>
        </w:rPr>
      </w:pPr>
    </w:p>
    <w:p w14:paraId="36AA6B03" w14:textId="77777777" w:rsidR="00ED480D" w:rsidRPr="005B081E" w:rsidRDefault="00ED480D" w:rsidP="000C02A3">
      <w:pPr>
        <w:numPr>
          <w:ilvl w:val="0"/>
          <w:numId w:val="24"/>
        </w:numPr>
        <w:spacing w:after="0"/>
        <w:jc w:val="both"/>
        <w:rPr>
          <w:rFonts w:ascii="Cambria" w:hAnsi="Cambria"/>
          <w:sz w:val="20"/>
          <w:szCs w:val="20"/>
          <w:lang w:eastAsia="en-US"/>
        </w:rPr>
      </w:pPr>
      <w:r w:rsidRPr="005B081E">
        <w:rPr>
          <w:rFonts w:ascii="Cambria" w:hAnsi="Cambria"/>
          <w:sz w:val="20"/>
          <w:szCs w:val="20"/>
          <w:lang w:eastAsia="en-US"/>
        </w:rPr>
        <w:t>Los saldos surgen de los estados financieros consolidados al 31 de marzo de 2020 y se encuentra</w:t>
      </w:r>
      <w:r>
        <w:rPr>
          <w:rFonts w:ascii="Cambria" w:hAnsi="Cambria"/>
          <w:sz w:val="20"/>
          <w:szCs w:val="20"/>
          <w:lang w:eastAsia="en-US"/>
        </w:rPr>
        <w:t>n</w:t>
      </w:r>
      <w:r w:rsidRPr="005B081E">
        <w:rPr>
          <w:rFonts w:ascii="Cambria" w:hAnsi="Cambria"/>
          <w:sz w:val="20"/>
          <w:szCs w:val="20"/>
          <w:lang w:eastAsia="en-US"/>
        </w:rPr>
        <w:t xml:space="preserve"> reexpresados a moneda de dicha fecha.</w:t>
      </w:r>
    </w:p>
    <w:p w14:paraId="42D81753" w14:textId="77777777" w:rsidR="00ED480D" w:rsidRPr="005B081E" w:rsidRDefault="00ED480D" w:rsidP="000C02A3">
      <w:pPr>
        <w:numPr>
          <w:ilvl w:val="0"/>
          <w:numId w:val="24"/>
        </w:numPr>
        <w:spacing w:after="0"/>
        <w:ind w:left="714" w:hanging="357"/>
        <w:jc w:val="both"/>
        <w:rPr>
          <w:rFonts w:ascii="Cambria" w:hAnsi="Cambria"/>
          <w:sz w:val="20"/>
          <w:szCs w:val="20"/>
          <w:lang w:eastAsia="en-US"/>
        </w:rPr>
      </w:pPr>
      <w:r w:rsidRPr="005B081E">
        <w:rPr>
          <w:rFonts w:ascii="Cambria" w:hAnsi="Cambria"/>
          <w:sz w:val="20"/>
          <w:szCs w:val="20"/>
          <w:lang w:eastAsia="en-US"/>
        </w:rPr>
        <w:t>Los saldos surgen de los estados financieros consolidados al 31 de marzo de 2018 y se encuentra</w:t>
      </w:r>
      <w:r>
        <w:rPr>
          <w:rFonts w:ascii="Cambria" w:hAnsi="Cambria"/>
          <w:sz w:val="20"/>
          <w:szCs w:val="20"/>
          <w:lang w:eastAsia="en-US"/>
        </w:rPr>
        <w:t>n</w:t>
      </w:r>
      <w:r w:rsidRPr="005B081E">
        <w:rPr>
          <w:rFonts w:ascii="Cambria" w:hAnsi="Cambria"/>
          <w:sz w:val="20"/>
          <w:szCs w:val="20"/>
          <w:lang w:eastAsia="en-US"/>
        </w:rPr>
        <w:t xml:space="preserve"> reexpresados a moneda del 31 de marzo de 2020.</w:t>
      </w:r>
    </w:p>
    <w:p w14:paraId="7703B5B3" w14:textId="77777777" w:rsidR="00ED480D" w:rsidRPr="005B081E" w:rsidRDefault="00ED480D" w:rsidP="00ED480D">
      <w:pPr>
        <w:spacing w:after="240"/>
        <w:jc w:val="both"/>
        <w:rPr>
          <w:rFonts w:ascii="Times New Roman" w:hAnsi="Times New Roman"/>
          <w:lang w:eastAsia="en-US"/>
        </w:rPr>
      </w:pPr>
    </w:p>
    <w:p w14:paraId="645E791B" w14:textId="77777777" w:rsidR="00ED480D" w:rsidRPr="005B081E" w:rsidRDefault="00ED480D" w:rsidP="00ED480D">
      <w:pPr>
        <w:spacing w:after="240"/>
        <w:jc w:val="both"/>
        <w:rPr>
          <w:rFonts w:ascii="Times New Roman" w:hAnsi="Times New Roman"/>
          <w:lang w:eastAsia="en-US"/>
        </w:rPr>
      </w:pPr>
      <w:r w:rsidRPr="00537C9D">
        <w:rPr>
          <w:noProof/>
          <w:lang w:val="es-AR"/>
        </w:rPr>
        <w:lastRenderedPageBreak/>
        <w:drawing>
          <wp:inline distT="0" distB="0" distL="0" distR="0" wp14:anchorId="06492404" wp14:editId="3EF76E91">
            <wp:extent cx="4623106" cy="6209783"/>
            <wp:effectExtent l="0" t="0" r="6350" b="63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32539" cy="6222453"/>
                    </a:xfrm>
                    <a:prstGeom prst="rect">
                      <a:avLst/>
                    </a:prstGeom>
                    <a:noFill/>
                    <a:ln>
                      <a:noFill/>
                    </a:ln>
                  </pic:spPr>
                </pic:pic>
              </a:graphicData>
            </a:graphic>
          </wp:inline>
        </w:drawing>
      </w:r>
    </w:p>
    <w:p w14:paraId="1758DC00" w14:textId="77777777" w:rsidR="00ED480D" w:rsidRPr="006E4259" w:rsidRDefault="00ED480D" w:rsidP="00ED480D">
      <w:pPr>
        <w:spacing w:after="240"/>
        <w:jc w:val="both"/>
        <w:rPr>
          <w:rFonts w:ascii="Times New Roman" w:hAnsi="Times New Roman"/>
        </w:rPr>
      </w:pPr>
    </w:p>
    <w:p w14:paraId="46FCA1A6" w14:textId="77777777" w:rsidR="00ED480D" w:rsidRPr="005B081E" w:rsidRDefault="00ED480D" w:rsidP="000C02A3">
      <w:pPr>
        <w:numPr>
          <w:ilvl w:val="0"/>
          <w:numId w:val="25"/>
        </w:numPr>
        <w:spacing w:after="0"/>
        <w:jc w:val="both"/>
        <w:rPr>
          <w:rFonts w:ascii="Cambria" w:hAnsi="Cambria"/>
          <w:sz w:val="20"/>
          <w:szCs w:val="20"/>
          <w:lang w:eastAsia="en-US"/>
        </w:rPr>
      </w:pPr>
      <w:r w:rsidRPr="005B081E">
        <w:rPr>
          <w:rFonts w:ascii="Cambria" w:hAnsi="Cambria"/>
          <w:sz w:val="20"/>
          <w:szCs w:val="20"/>
          <w:lang w:eastAsia="en-US"/>
        </w:rPr>
        <w:t>Los saldos surgen de los estados financieros consolidados al 31 de marzo de 2020 y se encuentra</w:t>
      </w:r>
      <w:r>
        <w:rPr>
          <w:rFonts w:ascii="Cambria" w:hAnsi="Cambria"/>
          <w:sz w:val="20"/>
          <w:szCs w:val="20"/>
          <w:lang w:eastAsia="en-US"/>
        </w:rPr>
        <w:t>n</w:t>
      </w:r>
      <w:r w:rsidRPr="005B081E">
        <w:rPr>
          <w:rFonts w:ascii="Cambria" w:hAnsi="Cambria"/>
          <w:sz w:val="20"/>
          <w:szCs w:val="20"/>
          <w:lang w:eastAsia="en-US"/>
        </w:rPr>
        <w:t xml:space="preserve"> reexpresados a moneda de dicha fecha.</w:t>
      </w:r>
    </w:p>
    <w:p w14:paraId="64D2393D" w14:textId="77777777" w:rsidR="00ED480D" w:rsidRPr="005B081E" w:rsidRDefault="00ED480D" w:rsidP="000C02A3">
      <w:pPr>
        <w:numPr>
          <w:ilvl w:val="0"/>
          <w:numId w:val="25"/>
        </w:numPr>
        <w:spacing w:after="0"/>
        <w:ind w:left="714" w:hanging="357"/>
        <w:jc w:val="both"/>
        <w:rPr>
          <w:rFonts w:ascii="Cambria" w:hAnsi="Cambria"/>
          <w:sz w:val="20"/>
          <w:szCs w:val="20"/>
          <w:lang w:eastAsia="en-US"/>
        </w:rPr>
      </w:pPr>
      <w:r w:rsidRPr="005B081E">
        <w:rPr>
          <w:rFonts w:ascii="Cambria" w:hAnsi="Cambria"/>
          <w:sz w:val="20"/>
          <w:szCs w:val="20"/>
          <w:lang w:eastAsia="en-US"/>
        </w:rPr>
        <w:t>Los saldos surgen de los estados financieros consolidados al 31 de marzo de 2018 y se encuentra</w:t>
      </w:r>
      <w:r>
        <w:rPr>
          <w:rFonts w:ascii="Cambria" w:hAnsi="Cambria"/>
          <w:sz w:val="20"/>
          <w:szCs w:val="20"/>
          <w:lang w:eastAsia="en-US"/>
        </w:rPr>
        <w:t>n</w:t>
      </w:r>
      <w:r w:rsidRPr="005B081E">
        <w:rPr>
          <w:rFonts w:ascii="Cambria" w:hAnsi="Cambria"/>
          <w:sz w:val="20"/>
          <w:szCs w:val="20"/>
          <w:lang w:eastAsia="en-US"/>
        </w:rPr>
        <w:t xml:space="preserve"> reexpresados a moneda del 31 de marzo de 2020.</w:t>
      </w:r>
    </w:p>
    <w:p w14:paraId="6FEAD47D" w14:textId="77777777" w:rsidR="00ED480D" w:rsidRPr="006E4259" w:rsidRDefault="00ED480D" w:rsidP="00ED480D">
      <w:pPr>
        <w:spacing w:after="0"/>
        <w:jc w:val="both"/>
        <w:rPr>
          <w:rFonts w:ascii="Times New Roman" w:hAnsi="Times New Roman"/>
        </w:rPr>
      </w:pPr>
    </w:p>
    <w:p w14:paraId="1EE6BEDE" w14:textId="77777777" w:rsidR="00ED480D" w:rsidRDefault="00ED480D" w:rsidP="00ED480D">
      <w:pPr>
        <w:spacing w:after="0"/>
        <w:jc w:val="both"/>
        <w:rPr>
          <w:rFonts w:ascii="Cambria" w:eastAsia="Times New Roman" w:hAnsi="Cambria"/>
          <w:b/>
          <w:sz w:val="20"/>
          <w:szCs w:val="20"/>
          <w:lang w:val="es-AR" w:eastAsia="es-ES"/>
        </w:rPr>
      </w:pPr>
    </w:p>
    <w:p w14:paraId="1534FD14" w14:textId="77777777" w:rsidR="00ED480D" w:rsidRDefault="00ED480D" w:rsidP="00ED480D">
      <w:pPr>
        <w:spacing w:after="0"/>
        <w:jc w:val="both"/>
        <w:rPr>
          <w:rFonts w:ascii="Cambria" w:eastAsia="Times New Roman" w:hAnsi="Cambria"/>
          <w:b/>
          <w:sz w:val="20"/>
          <w:szCs w:val="20"/>
          <w:lang w:val="es-AR" w:eastAsia="es-ES"/>
        </w:rPr>
      </w:pPr>
    </w:p>
    <w:p w14:paraId="2CDDA51C" w14:textId="77777777" w:rsidR="00ED480D" w:rsidRDefault="00ED480D" w:rsidP="00ED480D">
      <w:pPr>
        <w:spacing w:after="0"/>
        <w:jc w:val="both"/>
        <w:rPr>
          <w:rFonts w:ascii="Cambria" w:eastAsia="Times New Roman" w:hAnsi="Cambria"/>
          <w:b/>
          <w:sz w:val="20"/>
          <w:szCs w:val="20"/>
          <w:lang w:val="es-AR" w:eastAsia="es-ES"/>
        </w:rPr>
      </w:pPr>
    </w:p>
    <w:p w14:paraId="4E13E987" w14:textId="77777777" w:rsidR="00ED480D" w:rsidRDefault="00ED480D" w:rsidP="00ED480D">
      <w:pPr>
        <w:spacing w:after="0"/>
        <w:jc w:val="both"/>
        <w:rPr>
          <w:rFonts w:ascii="Cambria" w:eastAsia="Times New Roman" w:hAnsi="Cambria"/>
          <w:b/>
          <w:sz w:val="20"/>
          <w:szCs w:val="20"/>
          <w:lang w:val="es-AR" w:eastAsia="es-ES"/>
        </w:rPr>
      </w:pPr>
    </w:p>
    <w:p w14:paraId="6CF2CF62" w14:textId="77777777" w:rsidR="00ED480D" w:rsidRDefault="00ED480D" w:rsidP="00ED480D">
      <w:pPr>
        <w:spacing w:after="0"/>
        <w:jc w:val="both"/>
        <w:rPr>
          <w:rFonts w:ascii="Cambria" w:eastAsia="Times New Roman" w:hAnsi="Cambria"/>
          <w:b/>
          <w:sz w:val="20"/>
          <w:szCs w:val="20"/>
          <w:lang w:val="es-AR" w:eastAsia="es-ES"/>
        </w:rPr>
      </w:pPr>
    </w:p>
    <w:p w14:paraId="3A0ADFA8" w14:textId="77777777" w:rsidR="00ED480D" w:rsidRPr="005B081E" w:rsidRDefault="00ED480D" w:rsidP="00ED480D">
      <w:pPr>
        <w:spacing w:after="0"/>
        <w:jc w:val="both"/>
        <w:rPr>
          <w:rFonts w:ascii="Cambria" w:eastAsia="Times New Roman" w:hAnsi="Cambria"/>
          <w:b/>
          <w:sz w:val="20"/>
          <w:szCs w:val="20"/>
          <w:lang w:val="es-AR" w:eastAsia="es-ES"/>
        </w:rPr>
      </w:pPr>
      <w:r w:rsidRPr="005B081E">
        <w:rPr>
          <w:rFonts w:ascii="Cambria" w:eastAsia="Times New Roman" w:hAnsi="Cambria"/>
          <w:b/>
          <w:sz w:val="20"/>
          <w:szCs w:val="20"/>
          <w:lang w:val="es-AR" w:eastAsia="es-ES"/>
        </w:rPr>
        <w:t>Consideraciones generales</w:t>
      </w:r>
    </w:p>
    <w:p w14:paraId="4E331004" w14:textId="77777777" w:rsidR="00ED480D" w:rsidRPr="005B081E" w:rsidRDefault="00ED480D" w:rsidP="00ED480D">
      <w:pPr>
        <w:spacing w:after="0"/>
        <w:jc w:val="both"/>
        <w:rPr>
          <w:rFonts w:ascii="Cambria" w:eastAsia="Times New Roman" w:hAnsi="Cambria"/>
          <w:b/>
          <w:sz w:val="20"/>
          <w:szCs w:val="20"/>
          <w:lang w:val="es-AR" w:eastAsia="es-ES"/>
        </w:rPr>
      </w:pPr>
    </w:p>
    <w:p w14:paraId="17FA3715" w14:textId="77777777" w:rsidR="00ED480D" w:rsidRPr="005B081E" w:rsidRDefault="00ED480D" w:rsidP="00ED480D">
      <w:pPr>
        <w:spacing w:after="0"/>
        <w:jc w:val="both"/>
        <w:rPr>
          <w:rFonts w:ascii="Cambria" w:eastAsia="Times New Roman" w:hAnsi="Cambria"/>
          <w:b/>
          <w:sz w:val="20"/>
          <w:szCs w:val="20"/>
          <w:lang w:val="es-AR" w:eastAsia="es-ES"/>
        </w:rPr>
      </w:pPr>
      <w:r w:rsidRPr="005B081E">
        <w:rPr>
          <w:rFonts w:ascii="Cambria" w:eastAsia="Times New Roman" w:hAnsi="Cambria"/>
          <w:b/>
          <w:sz w:val="20"/>
          <w:szCs w:val="20"/>
          <w:lang w:val="es-AR" w:eastAsia="es-ES"/>
        </w:rPr>
        <w:lastRenderedPageBreak/>
        <w:t>Resultados operativos consolidados</w:t>
      </w:r>
    </w:p>
    <w:p w14:paraId="751FDAFF" w14:textId="77777777" w:rsidR="00ED480D" w:rsidRPr="005B081E" w:rsidRDefault="00ED480D" w:rsidP="00ED480D">
      <w:pPr>
        <w:jc w:val="both"/>
        <w:rPr>
          <w:rFonts w:ascii="Cambria" w:hAnsi="Cambria"/>
          <w:sz w:val="20"/>
          <w:szCs w:val="20"/>
          <w:lang w:eastAsia="en-US"/>
        </w:rPr>
      </w:pPr>
    </w:p>
    <w:p w14:paraId="62215595"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t xml:space="preserve">Los siguientes comentarios y el análisis del Directorio sobre la situación financiera consolidada de la Emisora y el resultado de las operaciones se deben leer junto con la sección </w:t>
      </w:r>
      <w:r w:rsidRPr="005B081E">
        <w:rPr>
          <w:rFonts w:ascii="Cambria" w:hAnsi="Cambria"/>
          <w:i/>
          <w:sz w:val="20"/>
          <w:szCs w:val="20"/>
          <w:lang w:eastAsia="en-US"/>
        </w:rPr>
        <w:t xml:space="preserve">“Información clave de la Emisora” </w:t>
      </w:r>
      <w:r w:rsidRPr="005B081E">
        <w:rPr>
          <w:rFonts w:ascii="Cambria" w:hAnsi="Cambria"/>
          <w:sz w:val="20"/>
          <w:szCs w:val="20"/>
          <w:lang w:eastAsia="en-US"/>
        </w:rPr>
        <w:t>y con los Estados financieros auditados y no auditados de la Emisora y sus notas relacionadas que fueron oportunamente presentados ante la CNV. Los siguientes comentarios y el análisis del Directorio sobre la situación financiera de la Emisora y el resultado de las operaciones incluyen manifestaciones referentes a hechos futuros que implican riesgos, incertidumbres y suposiciones. Los resultados reales podrían diferir significativamente de los previstos en estas manifestaciones referentes a hechos futuros como resultado de muchos factores, incluyendo, sin carácter taxativo los consignados en otras secciones del presente Prospecto.</w:t>
      </w:r>
    </w:p>
    <w:p w14:paraId="33DD132A"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t>A los fines de los siguientes comentarios y análisis, en tanto no se especifique algo diferente, las referencias a los ejercicios 2020, 2019 y 2018 deben entenderse como referencias a los ejercicios finalizados el 31 de marzo de 2020, 2019 y 2018, respectivamente.</w:t>
      </w:r>
    </w:p>
    <w:p w14:paraId="43350A86" w14:textId="77777777" w:rsidR="00ED480D" w:rsidRPr="0053456A" w:rsidRDefault="00ED480D" w:rsidP="00ED480D">
      <w:pPr>
        <w:spacing w:after="120"/>
        <w:jc w:val="both"/>
        <w:rPr>
          <w:rFonts w:ascii="Cambria" w:hAnsi="Cambria"/>
          <w:b/>
          <w:bCs/>
          <w:sz w:val="20"/>
          <w:szCs w:val="20"/>
          <w:lang w:eastAsia="en-US"/>
        </w:rPr>
      </w:pPr>
      <w:r>
        <w:rPr>
          <w:rFonts w:ascii="Cambria" w:hAnsi="Cambria"/>
          <w:b/>
          <w:bCs/>
          <w:sz w:val="20"/>
          <w:szCs w:val="20"/>
          <w:lang w:eastAsia="en-US"/>
        </w:rPr>
        <w:t xml:space="preserve">Políticas contables críticas </w:t>
      </w:r>
    </w:p>
    <w:p w14:paraId="64E18F78" w14:textId="77777777" w:rsidR="00ED480D" w:rsidRPr="005B081E" w:rsidRDefault="00ED480D" w:rsidP="00ED480D">
      <w:pPr>
        <w:spacing w:after="120"/>
        <w:jc w:val="both"/>
        <w:rPr>
          <w:rFonts w:ascii="Cambria" w:hAnsi="Cambria"/>
          <w:sz w:val="20"/>
          <w:szCs w:val="20"/>
          <w:lang w:eastAsia="en-US"/>
        </w:rPr>
      </w:pPr>
      <w:r w:rsidRPr="005B081E">
        <w:rPr>
          <w:rFonts w:ascii="Cambria" w:hAnsi="Cambria"/>
          <w:sz w:val="20"/>
          <w:szCs w:val="20"/>
          <w:lang w:eastAsia="en-US"/>
        </w:rPr>
        <w:t>En relación con la confección de los Estados Financieros de la Emisora oportunamente presentados ante la CNV, la Emisora se ha basado en variables y suposiciones derivadas de su experiencia histórica y de algunos otros factores que ha considerado razonables y apropiados. Si bien la Emisora ha revisado estas estimaciones y suposiciones en el giro habitual de los negocios, la representación de su situación financiera y los resultados de las operaciones a menudo exige que su Directorio formule juicios respecto de los efectos de cuestiones que están en sí mismas sujetas a incertidumbres en lo que concierne al valor de libros de nuestros activos y pasivos. Los resultados reales pueden diferir considerablemente de los estimados de acuerdo con diferentes variables, suposiciones o condiciones. La Emisora ha descripto cada una de las siguientes políticas contables más significativas a fin de que sea posible comprender el modo en que nuestro Directorio formula los juicios y las opiniones con respecto a dichas políticas y estimaciones y el grado de sensibilidad de estas:</w:t>
      </w:r>
    </w:p>
    <w:p w14:paraId="3C49D1CD" w14:textId="77777777" w:rsidR="00ED480D" w:rsidRPr="005B081E" w:rsidRDefault="00ED480D" w:rsidP="000C02A3">
      <w:pPr>
        <w:numPr>
          <w:ilvl w:val="0"/>
          <w:numId w:val="12"/>
        </w:numPr>
        <w:spacing w:after="0"/>
        <w:jc w:val="both"/>
        <w:rPr>
          <w:rFonts w:ascii="Cambria" w:hAnsi="Cambria"/>
          <w:sz w:val="20"/>
          <w:szCs w:val="20"/>
          <w:lang w:eastAsia="en-US"/>
        </w:rPr>
      </w:pPr>
      <w:r w:rsidRPr="005B081E">
        <w:rPr>
          <w:rFonts w:ascii="Cambria" w:hAnsi="Cambria"/>
          <w:sz w:val="20"/>
          <w:szCs w:val="20"/>
          <w:lang w:eastAsia="en-US"/>
        </w:rPr>
        <w:t>Reconocimiento de ingresos;</w:t>
      </w:r>
    </w:p>
    <w:p w14:paraId="77026BD4" w14:textId="77777777" w:rsidR="00ED480D" w:rsidRPr="005B081E" w:rsidRDefault="00ED480D" w:rsidP="000C02A3">
      <w:pPr>
        <w:numPr>
          <w:ilvl w:val="0"/>
          <w:numId w:val="12"/>
        </w:numPr>
        <w:spacing w:after="0"/>
        <w:jc w:val="both"/>
        <w:rPr>
          <w:rFonts w:ascii="Cambria" w:hAnsi="Cambria"/>
          <w:sz w:val="20"/>
          <w:szCs w:val="20"/>
          <w:lang w:eastAsia="en-US"/>
        </w:rPr>
      </w:pPr>
      <w:r w:rsidRPr="005B081E">
        <w:rPr>
          <w:rFonts w:ascii="Cambria" w:hAnsi="Cambria"/>
          <w:sz w:val="20"/>
          <w:szCs w:val="20"/>
          <w:lang w:eastAsia="en-US"/>
        </w:rPr>
        <w:t>Instrumentos financieros derivados y políticas de cobertura;</w:t>
      </w:r>
    </w:p>
    <w:p w14:paraId="32EF935C" w14:textId="77777777" w:rsidR="00ED480D" w:rsidRPr="005B081E" w:rsidRDefault="00ED480D" w:rsidP="000C02A3">
      <w:pPr>
        <w:numPr>
          <w:ilvl w:val="0"/>
          <w:numId w:val="12"/>
        </w:numPr>
        <w:spacing w:after="0"/>
        <w:jc w:val="both"/>
        <w:rPr>
          <w:rFonts w:ascii="Cambria" w:hAnsi="Cambria"/>
          <w:sz w:val="20"/>
          <w:szCs w:val="20"/>
          <w:lang w:eastAsia="en-US"/>
        </w:rPr>
      </w:pPr>
      <w:r w:rsidRPr="005B081E">
        <w:rPr>
          <w:rFonts w:ascii="Cambria" w:hAnsi="Cambria"/>
          <w:sz w:val="20"/>
          <w:szCs w:val="20"/>
          <w:lang w:eastAsia="en-US"/>
        </w:rPr>
        <w:t>Valuación de inventarios;</w:t>
      </w:r>
    </w:p>
    <w:p w14:paraId="2BF50744" w14:textId="77777777" w:rsidR="00ED480D" w:rsidRPr="005B081E" w:rsidRDefault="00ED480D" w:rsidP="000C02A3">
      <w:pPr>
        <w:numPr>
          <w:ilvl w:val="0"/>
          <w:numId w:val="12"/>
        </w:numPr>
        <w:spacing w:after="0"/>
        <w:jc w:val="both"/>
        <w:rPr>
          <w:rFonts w:ascii="Cambria" w:hAnsi="Cambria"/>
          <w:sz w:val="20"/>
          <w:szCs w:val="20"/>
          <w:lang w:eastAsia="en-US"/>
        </w:rPr>
      </w:pPr>
      <w:r w:rsidRPr="005B081E">
        <w:rPr>
          <w:rFonts w:ascii="Cambria" w:hAnsi="Cambria"/>
          <w:sz w:val="20"/>
          <w:szCs w:val="20"/>
          <w:lang w:eastAsia="en-US"/>
        </w:rPr>
        <w:t xml:space="preserve">Inversión en sociedades controladas y con influencia significativa; </w:t>
      </w:r>
    </w:p>
    <w:p w14:paraId="7224832F" w14:textId="77777777" w:rsidR="00ED480D" w:rsidRPr="005B081E" w:rsidRDefault="00ED480D" w:rsidP="000C02A3">
      <w:pPr>
        <w:numPr>
          <w:ilvl w:val="0"/>
          <w:numId w:val="12"/>
        </w:numPr>
        <w:spacing w:after="0"/>
        <w:jc w:val="both"/>
        <w:rPr>
          <w:rFonts w:ascii="Cambria" w:hAnsi="Cambria"/>
          <w:sz w:val="20"/>
          <w:szCs w:val="20"/>
          <w:lang w:eastAsia="en-US"/>
        </w:rPr>
      </w:pPr>
      <w:r w:rsidRPr="005B081E">
        <w:rPr>
          <w:rFonts w:ascii="Cambria" w:hAnsi="Cambria"/>
          <w:sz w:val="20"/>
          <w:szCs w:val="20"/>
          <w:lang w:eastAsia="en-US"/>
        </w:rPr>
        <w:t xml:space="preserve">Juicios, estimaciones contables y supuestos significativos utilizados por la Dirección de la Sociedad; </w:t>
      </w:r>
    </w:p>
    <w:p w14:paraId="7DC986D9" w14:textId="77777777" w:rsidR="00ED480D" w:rsidRPr="005B081E" w:rsidRDefault="00ED480D" w:rsidP="000C02A3">
      <w:pPr>
        <w:numPr>
          <w:ilvl w:val="0"/>
          <w:numId w:val="12"/>
        </w:numPr>
        <w:spacing w:after="0"/>
        <w:jc w:val="both"/>
        <w:rPr>
          <w:rFonts w:ascii="Cambria" w:hAnsi="Cambria"/>
          <w:sz w:val="20"/>
          <w:szCs w:val="20"/>
          <w:lang w:eastAsia="en-US"/>
        </w:rPr>
      </w:pPr>
      <w:r w:rsidRPr="005B081E">
        <w:rPr>
          <w:rFonts w:ascii="Cambria" w:hAnsi="Cambria"/>
          <w:sz w:val="20"/>
          <w:szCs w:val="20"/>
          <w:lang w:eastAsia="en-US"/>
        </w:rPr>
        <w:t>Impuesto a las ganancias;</w:t>
      </w:r>
    </w:p>
    <w:p w14:paraId="37473EE0" w14:textId="77777777" w:rsidR="00ED480D" w:rsidRPr="005B081E" w:rsidRDefault="00ED480D" w:rsidP="000C02A3">
      <w:pPr>
        <w:numPr>
          <w:ilvl w:val="0"/>
          <w:numId w:val="12"/>
        </w:numPr>
        <w:spacing w:after="0"/>
        <w:jc w:val="both"/>
        <w:rPr>
          <w:rFonts w:ascii="Cambria" w:hAnsi="Cambria"/>
          <w:sz w:val="20"/>
          <w:szCs w:val="20"/>
          <w:lang w:eastAsia="en-US"/>
        </w:rPr>
      </w:pPr>
      <w:r w:rsidRPr="005B081E">
        <w:rPr>
          <w:rFonts w:ascii="Cambria" w:hAnsi="Cambria"/>
          <w:sz w:val="20"/>
          <w:szCs w:val="20"/>
          <w:lang w:eastAsia="en-US"/>
        </w:rPr>
        <w:t>Impuesto a las ganancias diferido;</w:t>
      </w:r>
    </w:p>
    <w:p w14:paraId="4343DD95" w14:textId="77777777" w:rsidR="00ED480D" w:rsidRPr="005B081E" w:rsidRDefault="00ED480D" w:rsidP="000C02A3">
      <w:pPr>
        <w:numPr>
          <w:ilvl w:val="0"/>
          <w:numId w:val="12"/>
        </w:numPr>
        <w:spacing w:after="0"/>
        <w:jc w:val="both"/>
        <w:rPr>
          <w:rFonts w:ascii="Cambria" w:hAnsi="Cambria"/>
          <w:sz w:val="20"/>
          <w:szCs w:val="20"/>
          <w:lang w:eastAsia="en-US"/>
        </w:rPr>
      </w:pPr>
      <w:r w:rsidRPr="005B081E">
        <w:rPr>
          <w:rFonts w:ascii="Cambria" w:hAnsi="Cambria"/>
          <w:sz w:val="20"/>
          <w:szCs w:val="20"/>
          <w:lang w:eastAsia="en-US"/>
        </w:rPr>
        <w:t>Información por segmentos.</w:t>
      </w:r>
    </w:p>
    <w:p w14:paraId="1D987E8A" w14:textId="77777777" w:rsidR="00ED480D" w:rsidRPr="006E4259" w:rsidRDefault="00ED480D" w:rsidP="00ED480D">
      <w:pPr>
        <w:jc w:val="both"/>
        <w:rPr>
          <w:rFonts w:ascii="Times New Roman" w:hAnsi="Times New Roman"/>
          <w:highlight w:val="yellow"/>
        </w:rPr>
      </w:pPr>
    </w:p>
    <w:p w14:paraId="7E3B2CB3" w14:textId="77777777" w:rsidR="00ED480D" w:rsidRPr="005B081E" w:rsidRDefault="00ED480D" w:rsidP="00ED480D">
      <w:pPr>
        <w:jc w:val="both"/>
        <w:rPr>
          <w:rFonts w:ascii="Cambria" w:hAnsi="Cambria"/>
          <w:b/>
          <w:bCs/>
          <w:sz w:val="20"/>
          <w:szCs w:val="20"/>
          <w:lang w:eastAsia="en-US"/>
        </w:rPr>
      </w:pPr>
      <w:r w:rsidRPr="005B081E">
        <w:rPr>
          <w:rFonts w:ascii="Cambria" w:hAnsi="Cambria"/>
          <w:b/>
          <w:bCs/>
          <w:sz w:val="20"/>
          <w:szCs w:val="20"/>
          <w:lang w:eastAsia="en-US"/>
        </w:rPr>
        <w:t>Reconocimiento de ingresos</w:t>
      </w:r>
    </w:p>
    <w:p w14:paraId="3F2ED48D"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t>La Emisora obtiene sus ingresos principalmente de: (i) la originación de materias primas oleaginosas, molienda y venta de subproductos, y (ii) de la comercialización de cereales.</w:t>
      </w:r>
    </w:p>
    <w:p w14:paraId="029CF314"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t>Esta sección refleja las políticas de la Emisora en materia de reconocimiento de ingresos, así como las de su Sociedad Controlada y con influencia significativa.</w:t>
      </w:r>
    </w:p>
    <w:p w14:paraId="5A25EF2D" w14:textId="77777777" w:rsidR="00ED480D" w:rsidRPr="005B081E" w:rsidRDefault="00ED480D" w:rsidP="00ED480D">
      <w:pPr>
        <w:tabs>
          <w:tab w:val="left" w:pos="2448"/>
          <w:tab w:val="left" w:pos="3312"/>
          <w:tab w:val="left" w:pos="4176"/>
          <w:tab w:val="left" w:pos="5040"/>
          <w:tab w:val="left" w:pos="5904"/>
          <w:tab w:val="left" w:pos="6768"/>
          <w:tab w:val="left" w:pos="6912"/>
          <w:tab w:val="left" w:pos="7632"/>
          <w:tab w:val="left" w:pos="8352"/>
          <w:tab w:val="left" w:pos="9072"/>
          <w:tab w:val="left" w:pos="9792"/>
          <w:tab w:val="left" w:pos="10512"/>
        </w:tabs>
        <w:spacing w:after="240"/>
        <w:ind w:right="-63"/>
        <w:jc w:val="both"/>
        <w:rPr>
          <w:rFonts w:ascii="Cambria" w:hAnsi="Cambria"/>
          <w:sz w:val="20"/>
          <w:szCs w:val="20"/>
          <w:lang w:eastAsia="en-US"/>
        </w:rPr>
      </w:pPr>
      <w:r w:rsidRPr="005B081E">
        <w:rPr>
          <w:rFonts w:ascii="Cambria" w:hAnsi="Cambria"/>
          <w:sz w:val="20"/>
          <w:szCs w:val="20"/>
          <w:lang w:eastAsia="en-US"/>
        </w:rPr>
        <w:t>Los ingresos se reconocen siguiendo los lineamientos establecidos por la NIIF 15, “Ingresos de actividades ordinarias procedentes de contratos con clientes”.</w:t>
      </w:r>
    </w:p>
    <w:p w14:paraId="7C5571EE" w14:textId="77777777" w:rsidR="00ED480D" w:rsidRPr="005B081E" w:rsidRDefault="00ED480D" w:rsidP="00ED480D">
      <w:pPr>
        <w:tabs>
          <w:tab w:val="left" w:pos="2448"/>
          <w:tab w:val="left" w:pos="3312"/>
          <w:tab w:val="left" w:pos="4176"/>
          <w:tab w:val="left" w:pos="5040"/>
          <w:tab w:val="left" w:pos="5904"/>
          <w:tab w:val="left" w:pos="6768"/>
          <w:tab w:val="left" w:pos="6912"/>
          <w:tab w:val="left" w:pos="7632"/>
          <w:tab w:val="left" w:pos="8352"/>
          <w:tab w:val="left" w:pos="9072"/>
          <w:tab w:val="left" w:pos="9792"/>
          <w:tab w:val="left" w:pos="10512"/>
        </w:tabs>
        <w:spacing w:after="240"/>
        <w:ind w:right="-63"/>
        <w:jc w:val="both"/>
        <w:rPr>
          <w:rFonts w:ascii="Cambria" w:hAnsi="Cambria"/>
          <w:sz w:val="20"/>
          <w:szCs w:val="20"/>
          <w:lang w:eastAsia="en-US"/>
        </w:rPr>
      </w:pPr>
      <w:r w:rsidRPr="005B081E">
        <w:rPr>
          <w:rFonts w:ascii="Cambria" w:hAnsi="Cambria"/>
          <w:sz w:val="20"/>
          <w:szCs w:val="20"/>
          <w:lang w:eastAsia="en-US"/>
        </w:rPr>
        <w:lastRenderedPageBreak/>
        <w:t xml:space="preserve">El principio básico es que los ingresos de los contratos de venta se reconocen cuando se transfiere el control de los bienes o servicios al cliente por un monto que refleje la contraprestación a la que la Emisora espera tener derecho a cambio de esos bienes o servicios. </w:t>
      </w:r>
    </w:p>
    <w:p w14:paraId="7500AD78" w14:textId="77777777" w:rsidR="00ED480D" w:rsidRPr="005B081E" w:rsidRDefault="00ED480D" w:rsidP="00ED480D">
      <w:pPr>
        <w:tabs>
          <w:tab w:val="left" w:pos="2448"/>
          <w:tab w:val="left" w:pos="3312"/>
          <w:tab w:val="left" w:pos="4176"/>
          <w:tab w:val="left" w:pos="5040"/>
          <w:tab w:val="left" w:pos="5904"/>
          <w:tab w:val="left" w:pos="6768"/>
          <w:tab w:val="left" w:pos="6912"/>
          <w:tab w:val="left" w:pos="7632"/>
          <w:tab w:val="left" w:pos="8352"/>
          <w:tab w:val="left" w:pos="9072"/>
          <w:tab w:val="left" w:pos="9792"/>
          <w:tab w:val="left" w:pos="10512"/>
        </w:tabs>
        <w:spacing w:after="240"/>
        <w:ind w:right="-63"/>
        <w:jc w:val="both"/>
        <w:rPr>
          <w:rFonts w:ascii="Cambria" w:hAnsi="Cambria"/>
          <w:sz w:val="20"/>
          <w:szCs w:val="20"/>
          <w:lang w:eastAsia="en-US"/>
        </w:rPr>
      </w:pPr>
      <w:r w:rsidRPr="005B081E">
        <w:rPr>
          <w:rFonts w:ascii="Cambria" w:hAnsi="Cambria"/>
          <w:sz w:val="20"/>
          <w:szCs w:val="20"/>
          <w:lang w:eastAsia="en-US"/>
        </w:rPr>
        <w:t xml:space="preserve">Los ingresos por la venta de semillas oleaginosas, sus subproductos y los cereales se reconocen cuando existe evidencia concluyente de un acuerdo, se ha producido una entrega, la cual ocurre, en el momento en que el control del activo se transfiere al cliente, generalmente con la carga en el puerto de embarque o en otro transporte contratado por el cliente, o en su caso, con la entrega en el domicilio del cliente, según se haya pactado, el precio se ha fijado o bien es susceptible de determinación y la cobranza está razonablemente asegurada </w:t>
      </w:r>
    </w:p>
    <w:p w14:paraId="360BD818" w14:textId="77777777" w:rsidR="00ED480D" w:rsidRPr="005B081E" w:rsidRDefault="00ED480D" w:rsidP="00ED480D">
      <w:pPr>
        <w:tabs>
          <w:tab w:val="left" w:pos="2448"/>
          <w:tab w:val="left" w:pos="3312"/>
          <w:tab w:val="left" w:pos="4176"/>
          <w:tab w:val="left" w:pos="5040"/>
          <w:tab w:val="left" w:pos="5904"/>
          <w:tab w:val="left" w:pos="6768"/>
          <w:tab w:val="left" w:pos="6912"/>
          <w:tab w:val="left" w:pos="7632"/>
          <w:tab w:val="left" w:pos="8352"/>
          <w:tab w:val="left" w:pos="9072"/>
          <w:tab w:val="left" w:pos="9792"/>
          <w:tab w:val="left" w:pos="10512"/>
        </w:tabs>
        <w:spacing w:after="240"/>
        <w:ind w:right="-63"/>
        <w:jc w:val="both"/>
        <w:rPr>
          <w:rFonts w:ascii="Cambria" w:hAnsi="Cambria"/>
          <w:sz w:val="20"/>
          <w:szCs w:val="20"/>
          <w:lang w:eastAsia="en-US"/>
        </w:rPr>
      </w:pPr>
      <w:r w:rsidRPr="005B081E">
        <w:rPr>
          <w:rFonts w:ascii="Cambria" w:hAnsi="Cambria"/>
          <w:sz w:val="20"/>
          <w:szCs w:val="20"/>
          <w:lang w:eastAsia="en-US"/>
        </w:rPr>
        <w:t xml:space="preserve">Al determinar el precio de transacción de una venta, la Emisora considera los efectos de los ingresos variables, que en general se relacionan con las calidades efectivamente entregadas respecto de las convenidas contractualmente. Si la contraprestación de un contrato incluye un monto variable, la Emisora estima y registra como ingreso al monto de la contraprestación que considera que es altamente probable que tendrá derecho a cambio de transferir los bienes al cliente.  </w:t>
      </w:r>
    </w:p>
    <w:p w14:paraId="7F6DE22A" w14:textId="77777777" w:rsidR="00ED480D" w:rsidRPr="005B081E" w:rsidRDefault="00ED480D" w:rsidP="00ED480D">
      <w:pPr>
        <w:jc w:val="both"/>
        <w:rPr>
          <w:rFonts w:ascii="Cambria" w:hAnsi="Cambria"/>
          <w:b/>
          <w:bCs/>
          <w:sz w:val="20"/>
          <w:szCs w:val="20"/>
          <w:lang w:eastAsia="en-US"/>
        </w:rPr>
      </w:pPr>
      <w:r w:rsidRPr="005B081E">
        <w:rPr>
          <w:rFonts w:ascii="Cambria" w:hAnsi="Cambria"/>
          <w:b/>
          <w:bCs/>
          <w:sz w:val="20"/>
          <w:szCs w:val="20"/>
          <w:lang w:eastAsia="en-US"/>
        </w:rPr>
        <w:t>Instrumentos financieros derivados y políticas de cobertura</w:t>
      </w:r>
    </w:p>
    <w:p w14:paraId="358A501B"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t>Como consecuencia de la significativa participación dentro de las actividades de la Emisora de los negocios de exportación y de negocios locales, se administran saldos en dólares y en pesos, esto hace que la Emisora est</w:t>
      </w:r>
      <w:r>
        <w:rPr>
          <w:rFonts w:ascii="Cambria" w:hAnsi="Cambria"/>
          <w:sz w:val="20"/>
          <w:szCs w:val="20"/>
          <w:lang w:eastAsia="en-US"/>
        </w:rPr>
        <w:t>é</w:t>
      </w:r>
      <w:r w:rsidRPr="005B081E">
        <w:rPr>
          <w:rFonts w:ascii="Cambria" w:hAnsi="Cambria"/>
          <w:sz w:val="20"/>
          <w:szCs w:val="20"/>
          <w:lang w:eastAsia="en-US"/>
        </w:rPr>
        <w:t xml:space="preserve"> expuesta a las variaciones, que le generan tanto un riesgo comercial como financiero, ya sea por variación de las tasas de interés, del tipo de cambio o de los precios de determinados </w:t>
      </w:r>
      <w:r w:rsidRPr="00834EDD">
        <w:rPr>
          <w:rFonts w:ascii="Cambria" w:hAnsi="Cambria"/>
          <w:i/>
          <w:sz w:val="20"/>
          <w:szCs w:val="20"/>
          <w:lang w:eastAsia="en-US"/>
        </w:rPr>
        <w:t>commodities</w:t>
      </w:r>
      <w:r w:rsidRPr="005B081E">
        <w:rPr>
          <w:rFonts w:ascii="Cambria" w:hAnsi="Cambria"/>
          <w:sz w:val="20"/>
          <w:szCs w:val="20"/>
          <w:lang w:eastAsia="en-US"/>
        </w:rPr>
        <w:t xml:space="preserve">, en este último caso dentro de los límites establecidos por el Directorio de la Sociedad para cada tipo de producto o subproducto (trigo, maíz, aceite y harina de soja). Por tal motivo, la Emisora contrata instrumentos financieros derivados para cubrirse de estos riesgos </w:t>
      </w:r>
    </w:p>
    <w:p w14:paraId="162FF68D" w14:textId="77777777" w:rsidR="00ED480D" w:rsidRPr="006E4259" w:rsidRDefault="00ED480D" w:rsidP="00ED480D">
      <w:pPr>
        <w:jc w:val="both"/>
        <w:rPr>
          <w:rFonts w:ascii="Cambria" w:hAnsi="Cambria"/>
          <w:sz w:val="20"/>
        </w:rPr>
      </w:pPr>
      <w:r w:rsidRPr="006E4259">
        <w:rPr>
          <w:rFonts w:ascii="Cambria" w:hAnsi="Cambria"/>
          <w:sz w:val="20"/>
        </w:rPr>
        <w:t xml:space="preserve">Todos los instrumentos financieros derivados son inicialmente reconocidos a su valor razonable a la fecha de inicio del contrato y se mantienen - en cualquier medición subsecuente - también a su valor razonable. Los derivados se registran como activo cuando su valor razonable es positivo y como pasivo cuando es negativo. </w:t>
      </w:r>
    </w:p>
    <w:p w14:paraId="4912316D" w14:textId="77777777" w:rsidR="00ED480D" w:rsidRPr="006E4259" w:rsidRDefault="00ED480D" w:rsidP="00ED480D">
      <w:pPr>
        <w:jc w:val="both"/>
        <w:rPr>
          <w:rFonts w:ascii="Cambria" w:hAnsi="Cambria"/>
          <w:sz w:val="20"/>
        </w:rPr>
      </w:pPr>
      <w:r w:rsidRPr="006E4259">
        <w:rPr>
          <w:rFonts w:ascii="Cambria" w:hAnsi="Cambria"/>
          <w:sz w:val="20"/>
        </w:rPr>
        <w:t xml:space="preserve">Los compromisos en firme por compra o venta de </w:t>
      </w:r>
      <w:r w:rsidRPr="00834EDD">
        <w:rPr>
          <w:rFonts w:ascii="Cambria" w:hAnsi="Cambria"/>
          <w:i/>
          <w:sz w:val="20"/>
        </w:rPr>
        <w:t>commodities</w:t>
      </w:r>
      <w:r w:rsidRPr="006E4259">
        <w:rPr>
          <w:rFonts w:ascii="Cambria" w:hAnsi="Cambria"/>
          <w:sz w:val="20"/>
        </w:rPr>
        <w:t xml:space="preserve"> a precio fijo se los considera instrumentos financieros y, por lo tanto, son valorizados conforme a los criterios establecidos por la NIIF9. La razón para ello radica en que los </w:t>
      </w:r>
      <w:r w:rsidRPr="00834EDD">
        <w:rPr>
          <w:rFonts w:ascii="Cambria" w:hAnsi="Cambria"/>
          <w:i/>
          <w:sz w:val="20"/>
        </w:rPr>
        <w:t>commodities</w:t>
      </w:r>
      <w:r w:rsidRPr="006E4259">
        <w:rPr>
          <w:rFonts w:ascii="Cambria" w:hAnsi="Cambria"/>
          <w:sz w:val="20"/>
        </w:rPr>
        <w:t xml:space="preserve"> comprendidos en dichos contratos son rápidamente convertibles en efectivo, básicamente (i) por tratarse de unidades fungibles, (ii) por disponer de precios o cotizaciones de mercado accesibles al cierre de cada ejercicio, y (iii) por no existir un límite para la venta de dichos </w:t>
      </w:r>
      <w:r w:rsidRPr="00834EDD">
        <w:rPr>
          <w:rFonts w:ascii="Cambria" w:hAnsi="Cambria"/>
          <w:i/>
          <w:sz w:val="20"/>
        </w:rPr>
        <w:t>commodities</w:t>
      </w:r>
      <w:r w:rsidRPr="006E4259">
        <w:rPr>
          <w:rFonts w:ascii="Cambria" w:hAnsi="Cambria"/>
          <w:sz w:val="20"/>
        </w:rPr>
        <w:t xml:space="preserve"> en el mercado, es decir las cantidades comprendidas en dichos contratos pueden ser colocadas en el mercado sin un esfuerzo significativo de venta y sin variaciones relevantes respecto de los precios o cotizaciones de mercado mencionados anteriormente. </w:t>
      </w:r>
    </w:p>
    <w:p w14:paraId="59FEF0E5" w14:textId="77777777" w:rsidR="00ED480D" w:rsidRPr="006E4259" w:rsidRDefault="00ED480D" w:rsidP="00ED480D">
      <w:pPr>
        <w:jc w:val="both"/>
        <w:rPr>
          <w:rFonts w:ascii="Cambria" w:hAnsi="Cambria"/>
          <w:sz w:val="20"/>
        </w:rPr>
      </w:pPr>
      <w:r w:rsidRPr="006E4259">
        <w:rPr>
          <w:rFonts w:ascii="Cambria" w:hAnsi="Cambria"/>
          <w:sz w:val="20"/>
        </w:rPr>
        <w:t xml:space="preserve">En consecuencia, al cierre de cada ejercicio, los mencionados compromisos en firme por compra y venta de </w:t>
      </w:r>
      <w:r w:rsidRPr="00834EDD">
        <w:rPr>
          <w:rFonts w:ascii="Cambria" w:hAnsi="Cambria"/>
          <w:i/>
          <w:sz w:val="20"/>
        </w:rPr>
        <w:t>commodities</w:t>
      </w:r>
      <w:r w:rsidRPr="006E4259">
        <w:rPr>
          <w:rFonts w:ascii="Cambria" w:hAnsi="Cambria"/>
          <w:sz w:val="20"/>
        </w:rPr>
        <w:t xml:space="preserve"> a precio fijo se valúan a su valor razonable conforme a las pautas establecidas por la NIIF9, e independientemente si los mismos son cubiertos con instrumentos financieros derivados, los cuales, tal como se mencionó anteriormente, buscan mitigar el riesgo de las fluctuaciones en el precio internacional asociados al poroto de soja y cereales, y al trigo, maíz, aceite y harina de soja que el Grupo Molinos Agro exporta a terceros.</w:t>
      </w:r>
    </w:p>
    <w:p w14:paraId="246C7A47"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t xml:space="preserve">En el caso de contratos de </w:t>
      </w:r>
      <w:r w:rsidRPr="00834EDD">
        <w:rPr>
          <w:rFonts w:ascii="Cambria" w:hAnsi="Cambria"/>
          <w:i/>
          <w:sz w:val="20"/>
          <w:szCs w:val="20"/>
          <w:lang w:eastAsia="en-US"/>
        </w:rPr>
        <w:t>commodities</w:t>
      </w:r>
      <w:r w:rsidRPr="005B081E">
        <w:rPr>
          <w:rFonts w:ascii="Cambria" w:hAnsi="Cambria"/>
          <w:sz w:val="20"/>
          <w:szCs w:val="20"/>
          <w:lang w:eastAsia="en-US"/>
        </w:rPr>
        <w:t xml:space="preserve"> que cumplen con la definición de un derivado, según la definición de la NIIF9, los cambios en el valor razonable de los mismos se reconocen en el estado del resultado integral como costos de venta de bienes y servicios prestados.</w:t>
      </w:r>
    </w:p>
    <w:p w14:paraId="709BBDA6" w14:textId="77777777" w:rsidR="00ED480D" w:rsidRPr="005B081E" w:rsidRDefault="00ED480D" w:rsidP="00ED480D">
      <w:pPr>
        <w:jc w:val="both"/>
        <w:rPr>
          <w:rFonts w:ascii="Cambria" w:hAnsi="Cambria"/>
          <w:b/>
          <w:bCs/>
          <w:sz w:val="20"/>
          <w:szCs w:val="20"/>
          <w:lang w:eastAsia="en-US"/>
        </w:rPr>
      </w:pPr>
      <w:r w:rsidRPr="005B081E">
        <w:rPr>
          <w:rFonts w:ascii="Cambria" w:hAnsi="Cambria"/>
          <w:b/>
          <w:bCs/>
          <w:sz w:val="20"/>
          <w:szCs w:val="20"/>
          <w:lang w:eastAsia="en-US"/>
        </w:rPr>
        <w:lastRenderedPageBreak/>
        <w:t>Instrumentos financieros derivados como instrumento de cobertura</w:t>
      </w:r>
    </w:p>
    <w:p w14:paraId="21C76A90" w14:textId="77777777" w:rsidR="00ED480D" w:rsidRPr="006E4259" w:rsidRDefault="00ED480D" w:rsidP="000C02A3">
      <w:pPr>
        <w:numPr>
          <w:ilvl w:val="1"/>
          <w:numId w:val="26"/>
        </w:numPr>
        <w:ind w:left="1134"/>
        <w:jc w:val="both"/>
        <w:rPr>
          <w:rFonts w:ascii="Cambria" w:hAnsi="Cambria"/>
          <w:sz w:val="20"/>
        </w:rPr>
      </w:pPr>
      <w:r w:rsidRPr="006E4259">
        <w:rPr>
          <w:rFonts w:ascii="Cambria" w:hAnsi="Cambria"/>
          <w:sz w:val="20"/>
        </w:rPr>
        <w:t>Cobertura de valor razonable</w:t>
      </w:r>
    </w:p>
    <w:p w14:paraId="7A4FE775" w14:textId="77777777" w:rsidR="00ED480D" w:rsidRPr="006E4259" w:rsidRDefault="00ED480D" w:rsidP="00ED480D">
      <w:pPr>
        <w:jc w:val="both"/>
        <w:rPr>
          <w:rFonts w:ascii="Cambria" w:hAnsi="Cambria"/>
          <w:sz w:val="20"/>
        </w:rPr>
      </w:pPr>
      <w:r w:rsidRPr="006E4259">
        <w:rPr>
          <w:rFonts w:ascii="Cambria" w:hAnsi="Cambria"/>
          <w:sz w:val="20"/>
        </w:rPr>
        <w:t>Son coberturas para mitigar la exposición ante cambios en el valor razonable de un activo o pasivo reconocido contablemente, de un compromiso en firme no reconocido (salvo el riesgo de variación de tipo de cambio), o bien de una porción identificada de dicho activo, pasivo o compromiso en firme, que pueda atribuirse a un riesgo en particular y afectar al resultado integral del ejercicio.</w:t>
      </w:r>
    </w:p>
    <w:p w14:paraId="666F68D7" w14:textId="77777777" w:rsidR="00ED480D" w:rsidRPr="006E4259" w:rsidRDefault="00ED480D" w:rsidP="00ED480D">
      <w:pPr>
        <w:jc w:val="both"/>
        <w:rPr>
          <w:rFonts w:ascii="Cambria" w:hAnsi="Cambria"/>
          <w:sz w:val="20"/>
        </w:rPr>
      </w:pPr>
      <w:r w:rsidRPr="006E4259">
        <w:rPr>
          <w:rFonts w:ascii="Cambria" w:hAnsi="Cambria"/>
          <w:sz w:val="20"/>
        </w:rPr>
        <w:t>Los cambios en el valor razonable del instrumento de cobertura se registran en resultados, junto con cualquier cambio en el valor razonable de las partidas cubiertas. En este sentido, cuando un compromiso en firme no reconocido es designado como ítem cubierto, los cambios subsecuentes en el valor razonable del compromiso en firme atribuible al riesgo cubierto se reconocen como un activo o pasivo y la consecuente ganancia o pérdida se reconoce inmediatamente en resultados.</w:t>
      </w:r>
    </w:p>
    <w:p w14:paraId="5B15EB54" w14:textId="77777777" w:rsidR="00ED480D" w:rsidRPr="006E4259" w:rsidRDefault="00ED480D" w:rsidP="000C02A3">
      <w:pPr>
        <w:numPr>
          <w:ilvl w:val="1"/>
          <w:numId w:val="26"/>
        </w:numPr>
        <w:ind w:left="1134"/>
        <w:jc w:val="both"/>
        <w:rPr>
          <w:rFonts w:ascii="Cambria" w:hAnsi="Cambria"/>
          <w:sz w:val="20"/>
        </w:rPr>
      </w:pPr>
      <w:r w:rsidRPr="006E4259">
        <w:rPr>
          <w:rFonts w:ascii="Cambria" w:hAnsi="Cambria"/>
          <w:sz w:val="20"/>
        </w:rPr>
        <w:t>Cobertura de flujos de efectivo</w:t>
      </w:r>
    </w:p>
    <w:p w14:paraId="72F1CC94" w14:textId="77777777" w:rsidR="00ED480D" w:rsidRPr="006E4259" w:rsidRDefault="00ED480D" w:rsidP="00ED480D">
      <w:pPr>
        <w:jc w:val="both"/>
        <w:rPr>
          <w:rFonts w:ascii="Cambria" w:hAnsi="Cambria"/>
          <w:sz w:val="20"/>
        </w:rPr>
      </w:pPr>
      <w:r w:rsidRPr="006E4259">
        <w:rPr>
          <w:rFonts w:ascii="Cambria" w:hAnsi="Cambria"/>
          <w:sz w:val="20"/>
        </w:rPr>
        <w:t>Son coberturas para mitigar la exposición ante la variación de los flujos de fondos que: (i) se atribuye a un riesgo particular asociado con un activo o pasivo reconocido, o a una transacción prevista altamente probable o el riesgo de variación de tipo de cambio en un compromiso firme no reconocido, y que (ii) pueda afectar al resultado del ejercicio.</w:t>
      </w:r>
    </w:p>
    <w:p w14:paraId="41424C84" w14:textId="77777777" w:rsidR="00ED480D" w:rsidRPr="006E4259" w:rsidRDefault="00ED480D" w:rsidP="00ED480D">
      <w:pPr>
        <w:jc w:val="both"/>
        <w:rPr>
          <w:rFonts w:ascii="Cambria" w:hAnsi="Cambria"/>
          <w:sz w:val="20"/>
        </w:rPr>
      </w:pPr>
      <w:r w:rsidRPr="006E4259">
        <w:rPr>
          <w:rFonts w:ascii="Cambria" w:hAnsi="Cambria"/>
          <w:sz w:val="20"/>
        </w:rPr>
        <w:t xml:space="preserve">La parte efectiva de los cambios en el valor razonable del instrumento de cobertura se registran como otro resultado integral en el estado del resultado integral, mientras que la ganancia o pérdida relativa a </w:t>
      </w:r>
    </w:p>
    <w:p w14:paraId="277E3C72" w14:textId="77777777" w:rsidR="00ED480D" w:rsidRPr="006E4259" w:rsidRDefault="00ED480D" w:rsidP="00ED480D">
      <w:pPr>
        <w:spacing w:after="0"/>
        <w:jc w:val="both"/>
        <w:rPr>
          <w:rFonts w:ascii="Cambria" w:hAnsi="Cambria"/>
          <w:sz w:val="20"/>
        </w:rPr>
      </w:pPr>
    </w:p>
    <w:p w14:paraId="30E1A8BF" w14:textId="77777777" w:rsidR="00ED480D" w:rsidRPr="006E4259" w:rsidRDefault="00ED480D" w:rsidP="00ED480D">
      <w:pPr>
        <w:spacing w:after="120"/>
        <w:jc w:val="both"/>
        <w:rPr>
          <w:rFonts w:ascii="Cambria" w:hAnsi="Cambria"/>
          <w:sz w:val="20"/>
        </w:rPr>
      </w:pPr>
      <w:r w:rsidRPr="006E4259">
        <w:rPr>
          <w:rFonts w:ascii="Cambria" w:hAnsi="Cambria"/>
          <w:sz w:val="20"/>
        </w:rPr>
        <w:t>la parte inefectiva es reconocida en el resultado del ejercicio. Los importes acumulados en el otro resultado integral son reclasificados al estado del resultado integral en los ejercicios en los que las partidas cubiertas afectan a la cuenta de resultados o cuando tiene lugar la venta prevista, excepto para los casos en los cuales el ítem cubierto se refiere al costo de un activo o pasivo no financiero, donde los montos registrados en el estado del resultado integral son transferidos al valor residual de los mismos.</w:t>
      </w:r>
    </w:p>
    <w:p w14:paraId="5C137E3A" w14:textId="77777777" w:rsidR="00ED480D" w:rsidRPr="005B081E" w:rsidRDefault="00ED480D" w:rsidP="00ED480D">
      <w:pPr>
        <w:jc w:val="both"/>
        <w:rPr>
          <w:rFonts w:ascii="Cambria" w:hAnsi="Cambria"/>
          <w:b/>
          <w:i/>
          <w:sz w:val="20"/>
          <w:szCs w:val="20"/>
          <w:lang w:eastAsia="en-US"/>
        </w:rPr>
      </w:pPr>
      <w:r w:rsidRPr="005B081E">
        <w:rPr>
          <w:rFonts w:ascii="Cambria" w:hAnsi="Cambria"/>
          <w:b/>
          <w:i/>
          <w:sz w:val="20"/>
          <w:szCs w:val="20"/>
          <w:lang w:eastAsia="en-US"/>
        </w:rPr>
        <w:t>Valuación de inventarios</w:t>
      </w:r>
    </w:p>
    <w:p w14:paraId="72DE64EA"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t>Dependiendo de su condición actual (materias primas recibidas con precio fijo, materias primas con precio fijo a recibir y productos semielaborados), la consideración de operaciones pendientes de ejecución y de los instrumentos de cobertura, la valuación al cierre de cada ejercicio o periodo es la siguiente:</w:t>
      </w:r>
    </w:p>
    <w:p w14:paraId="58D249C9" w14:textId="77777777" w:rsidR="00ED480D" w:rsidRPr="005B081E" w:rsidRDefault="00ED480D" w:rsidP="000C02A3">
      <w:pPr>
        <w:numPr>
          <w:ilvl w:val="0"/>
          <w:numId w:val="15"/>
        </w:numPr>
        <w:spacing w:after="0"/>
        <w:jc w:val="both"/>
        <w:rPr>
          <w:rFonts w:ascii="Cambria" w:hAnsi="Cambria"/>
          <w:sz w:val="20"/>
          <w:szCs w:val="20"/>
          <w:lang w:eastAsia="en-US"/>
        </w:rPr>
      </w:pPr>
      <w:r w:rsidRPr="005B081E">
        <w:rPr>
          <w:rFonts w:ascii="Cambria" w:hAnsi="Cambria"/>
          <w:sz w:val="20"/>
          <w:szCs w:val="20"/>
          <w:lang w:eastAsia="en-US"/>
        </w:rPr>
        <w:t>Materias primas: han sido valuados al costo o al valor neto de realización, el que sea menor.</w:t>
      </w:r>
    </w:p>
    <w:p w14:paraId="166589B3" w14:textId="77777777" w:rsidR="00ED480D" w:rsidRPr="005B081E" w:rsidRDefault="00ED480D" w:rsidP="000C02A3">
      <w:pPr>
        <w:numPr>
          <w:ilvl w:val="0"/>
          <w:numId w:val="15"/>
        </w:numPr>
        <w:spacing w:after="0"/>
        <w:jc w:val="both"/>
        <w:rPr>
          <w:rFonts w:ascii="Cambria" w:hAnsi="Cambria"/>
          <w:sz w:val="20"/>
          <w:szCs w:val="20"/>
          <w:lang w:eastAsia="en-US"/>
        </w:rPr>
      </w:pPr>
      <w:r w:rsidRPr="00834EDD">
        <w:rPr>
          <w:rFonts w:ascii="Cambria" w:hAnsi="Cambria"/>
          <w:i/>
          <w:sz w:val="20"/>
          <w:szCs w:val="20"/>
          <w:lang w:eastAsia="en-US"/>
        </w:rPr>
        <w:t>Commodities</w:t>
      </w:r>
      <w:r w:rsidRPr="005B081E">
        <w:rPr>
          <w:rFonts w:ascii="Cambria" w:hAnsi="Cambria"/>
          <w:sz w:val="20"/>
          <w:szCs w:val="20"/>
          <w:lang w:eastAsia="en-US"/>
        </w:rPr>
        <w:t>, cereales y productos semielaborados valuados a valor neto de realización menos costos estimados de venta: se valúan a su valor neto de realización en la condición actual en la que se encuentran, cuando su venta esté asegurada por un contrato a plazo o que exista un mercado activo, y el riesgo de no poder efectuar la venta sea mínimo.</w:t>
      </w:r>
    </w:p>
    <w:p w14:paraId="50605E29" w14:textId="77777777" w:rsidR="00ED480D" w:rsidRPr="005B081E" w:rsidRDefault="00ED480D" w:rsidP="00ED480D">
      <w:pPr>
        <w:jc w:val="both"/>
        <w:rPr>
          <w:rFonts w:ascii="Cambria" w:hAnsi="Cambria"/>
          <w:sz w:val="20"/>
          <w:szCs w:val="20"/>
          <w:lang w:eastAsia="en-US"/>
        </w:rPr>
      </w:pPr>
    </w:p>
    <w:p w14:paraId="1C092556" w14:textId="77777777" w:rsidR="00ED480D" w:rsidRPr="005B081E" w:rsidRDefault="00ED480D" w:rsidP="00ED480D">
      <w:pPr>
        <w:spacing w:after="120"/>
        <w:jc w:val="both"/>
        <w:rPr>
          <w:rFonts w:ascii="Cambria" w:hAnsi="Cambria"/>
          <w:sz w:val="20"/>
          <w:szCs w:val="20"/>
          <w:lang w:eastAsia="en-US"/>
        </w:rPr>
      </w:pPr>
      <w:r w:rsidRPr="005B081E">
        <w:rPr>
          <w:rFonts w:ascii="Cambria" w:hAnsi="Cambria"/>
          <w:sz w:val="20"/>
          <w:szCs w:val="20"/>
          <w:lang w:eastAsia="en-US"/>
        </w:rPr>
        <w:t xml:space="preserve">El valor neto de realización es el precio de venta estimado en base a las cotizaciones vigentes en los mercados a los que accede la Sociedad al cierre de cada ejercicio, menos los costos estimados necesarios para efectuar la venta. </w:t>
      </w:r>
    </w:p>
    <w:p w14:paraId="25EA10F0" w14:textId="77777777" w:rsidR="00ED480D" w:rsidRPr="005B081E" w:rsidRDefault="00ED480D" w:rsidP="00ED480D">
      <w:pPr>
        <w:spacing w:after="120"/>
        <w:jc w:val="both"/>
        <w:rPr>
          <w:rFonts w:ascii="Cambria" w:hAnsi="Cambria"/>
          <w:sz w:val="20"/>
          <w:szCs w:val="20"/>
          <w:lang w:eastAsia="en-US"/>
        </w:rPr>
      </w:pPr>
    </w:p>
    <w:p w14:paraId="1F987F9C" w14:textId="77777777" w:rsidR="00ED480D" w:rsidRPr="005B081E" w:rsidRDefault="00ED480D" w:rsidP="00ED480D">
      <w:pPr>
        <w:jc w:val="both"/>
        <w:rPr>
          <w:rFonts w:ascii="Cambria" w:hAnsi="Cambria"/>
          <w:sz w:val="20"/>
          <w:szCs w:val="20"/>
          <w:lang w:eastAsia="en-US"/>
        </w:rPr>
      </w:pPr>
      <w:r w:rsidRPr="005B081E">
        <w:rPr>
          <w:rFonts w:ascii="Cambria" w:hAnsi="Cambria"/>
          <w:b/>
          <w:bCs/>
          <w:sz w:val="20"/>
          <w:szCs w:val="20"/>
          <w:lang w:eastAsia="en-US"/>
        </w:rPr>
        <w:t>Inversiones en compañías vinculadas y combinaciones de negocios</w:t>
      </w:r>
      <w:r w:rsidRPr="005B081E">
        <w:rPr>
          <w:rFonts w:ascii="Cambria" w:hAnsi="Cambria"/>
          <w:sz w:val="20"/>
          <w:szCs w:val="20"/>
          <w:lang w:eastAsia="en-US"/>
        </w:rPr>
        <w:t>.</w:t>
      </w:r>
    </w:p>
    <w:p w14:paraId="386454E5" w14:textId="77777777" w:rsidR="00ED480D" w:rsidRPr="005B081E" w:rsidRDefault="00ED480D" w:rsidP="00ED480D">
      <w:pPr>
        <w:spacing w:after="120"/>
        <w:contextualSpacing/>
        <w:jc w:val="both"/>
        <w:rPr>
          <w:rFonts w:ascii="Cambria" w:hAnsi="Cambria"/>
          <w:sz w:val="20"/>
          <w:szCs w:val="20"/>
          <w:lang w:eastAsia="en-US"/>
        </w:rPr>
      </w:pPr>
      <w:r w:rsidRPr="005B081E">
        <w:rPr>
          <w:rFonts w:ascii="Cambria" w:hAnsi="Cambria"/>
          <w:sz w:val="20"/>
          <w:szCs w:val="20"/>
          <w:lang w:eastAsia="en-US"/>
        </w:rPr>
        <w:lastRenderedPageBreak/>
        <w:t xml:space="preserve">La </w:t>
      </w:r>
      <w:r>
        <w:rPr>
          <w:rFonts w:ascii="Cambria" w:hAnsi="Cambria"/>
          <w:sz w:val="20"/>
          <w:szCs w:val="20"/>
          <w:lang w:eastAsia="en-US"/>
        </w:rPr>
        <w:t>E</w:t>
      </w:r>
      <w:r w:rsidRPr="005B081E">
        <w:rPr>
          <w:rFonts w:ascii="Cambria" w:hAnsi="Cambria"/>
          <w:sz w:val="20"/>
          <w:szCs w:val="20"/>
          <w:lang w:eastAsia="en-US"/>
        </w:rPr>
        <w:t xml:space="preserve">misora posee una participación del 100% sobre la sociedad Molinos Overseas Commodities S.A., dicha subsidiaria se consolida totalmente a partir de la fecha de adquisición, que es la fecha en la que la </w:t>
      </w:r>
      <w:r>
        <w:rPr>
          <w:rFonts w:ascii="Cambria" w:hAnsi="Cambria"/>
          <w:sz w:val="20"/>
          <w:szCs w:val="20"/>
          <w:lang w:eastAsia="en-US"/>
        </w:rPr>
        <w:t>E</w:t>
      </w:r>
      <w:r w:rsidRPr="005B081E">
        <w:rPr>
          <w:rFonts w:ascii="Cambria" w:hAnsi="Cambria"/>
          <w:sz w:val="20"/>
          <w:szCs w:val="20"/>
          <w:lang w:eastAsia="en-US"/>
        </w:rPr>
        <w:t>misora obtuvo el control. En el proceso de la consolidación, los importes de la inversión en las subsidiarias y la participación en sus resultados y flujos de efectivo se reemplazan por la totalidad de los activos, pasivos, resultados y flujos de efectivo de estas.</w:t>
      </w:r>
    </w:p>
    <w:p w14:paraId="7C19AB21" w14:textId="77777777" w:rsidR="00ED480D" w:rsidRPr="005B081E" w:rsidRDefault="00ED480D" w:rsidP="00ED480D">
      <w:pPr>
        <w:spacing w:after="120"/>
        <w:jc w:val="both"/>
        <w:rPr>
          <w:rFonts w:ascii="Cambria" w:hAnsi="Cambria"/>
          <w:sz w:val="20"/>
          <w:szCs w:val="20"/>
          <w:highlight w:val="yellow"/>
          <w:lang w:eastAsia="en-US"/>
        </w:rPr>
      </w:pPr>
    </w:p>
    <w:p w14:paraId="7FC71E4D" w14:textId="77777777" w:rsidR="00ED480D" w:rsidRPr="005B081E" w:rsidRDefault="00ED480D" w:rsidP="00ED480D">
      <w:pPr>
        <w:spacing w:after="240"/>
        <w:jc w:val="both"/>
        <w:rPr>
          <w:rFonts w:ascii="Cambria" w:hAnsi="Cambria"/>
          <w:sz w:val="20"/>
          <w:szCs w:val="20"/>
          <w:lang w:eastAsia="en-US"/>
        </w:rPr>
      </w:pPr>
      <w:r>
        <w:rPr>
          <w:rFonts w:ascii="Cambria" w:hAnsi="Cambria"/>
          <w:sz w:val="20"/>
          <w:szCs w:val="20"/>
          <w:lang w:eastAsia="en-US"/>
        </w:rPr>
        <w:t>En los estados financieros separados l</w:t>
      </w:r>
      <w:r w:rsidRPr="005B081E">
        <w:rPr>
          <w:rFonts w:ascii="Cambria" w:hAnsi="Cambria"/>
          <w:sz w:val="20"/>
          <w:szCs w:val="20"/>
          <w:lang w:eastAsia="en-US"/>
        </w:rPr>
        <w:t xml:space="preserve">a </w:t>
      </w:r>
      <w:r>
        <w:rPr>
          <w:rFonts w:ascii="Cambria" w:hAnsi="Cambria"/>
          <w:sz w:val="20"/>
          <w:szCs w:val="20"/>
          <w:lang w:eastAsia="en-US"/>
        </w:rPr>
        <w:t>E</w:t>
      </w:r>
      <w:r w:rsidRPr="005B081E">
        <w:rPr>
          <w:rFonts w:ascii="Cambria" w:hAnsi="Cambria"/>
          <w:sz w:val="20"/>
          <w:szCs w:val="20"/>
          <w:lang w:eastAsia="en-US"/>
        </w:rPr>
        <w:t>misora contabiliza su participación en la subsidiaria y las asociadas a través del método de la participación. En virtud de este método, la inversión efectuada en la subsidiaria y en las asociadas se registra inicialmente en el estado de situación financiera al costo, más (menos) los cambios en la participación de la Sociedad sobre los activos netos de la subsidiaria y las asociadas después de la fecha de adquisición. La plusvalía relacionada con la subsidiaria se incluye en el importe en libros de la inversión y este valor llave de negocio no se amortiza ni se somete individualmente a pruebas del deterioro de su valor.</w:t>
      </w:r>
    </w:p>
    <w:p w14:paraId="14E25FFE" w14:textId="77777777" w:rsidR="00ED480D" w:rsidRPr="0053456A" w:rsidRDefault="00ED480D" w:rsidP="00ED480D">
      <w:pPr>
        <w:spacing w:after="240"/>
        <w:jc w:val="both"/>
        <w:rPr>
          <w:rFonts w:ascii="Cambria" w:hAnsi="Cambria"/>
          <w:sz w:val="20"/>
          <w:szCs w:val="20"/>
          <w:lang w:eastAsia="en-US"/>
        </w:rPr>
      </w:pPr>
      <w:r w:rsidRPr="005B081E">
        <w:rPr>
          <w:rFonts w:ascii="Cambria" w:hAnsi="Cambria"/>
          <w:sz w:val="20"/>
          <w:szCs w:val="20"/>
          <w:lang w:eastAsia="en-US"/>
        </w:rPr>
        <w:t>Una vez aplicado el método de la participación, la Emisora determina si es necesario reconocer pérdidas por deterioro adicionales respecto de la inversión que tenga en su subsidiaria o asociada. A cada fecha de información, la Emisora determina si existe evidencia objetiva alguna de que la inversión en la subsidiaria o en las asociadas se hubiera deteriorado. Si este fuera el caso, la Sociedad calcula el monto del deterioro como la diferencia entre el monto recuperable de la subsidiaria o la asociada y su importe en libros y reconoce dicho importe en el rubro “Resultado participación en subsidiaria y en sociedades con influencia significativa” en el</w:t>
      </w:r>
      <w:r>
        <w:rPr>
          <w:rFonts w:ascii="Cambria" w:hAnsi="Cambria"/>
          <w:sz w:val="20"/>
          <w:szCs w:val="20"/>
          <w:lang w:eastAsia="en-US"/>
        </w:rPr>
        <w:t xml:space="preserve"> estado del resultado integral.</w:t>
      </w:r>
    </w:p>
    <w:p w14:paraId="4B895C07" w14:textId="77777777" w:rsidR="00ED480D" w:rsidRPr="005B081E" w:rsidRDefault="00ED480D" w:rsidP="00ED480D">
      <w:pPr>
        <w:jc w:val="both"/>
        <w:rPr>
          <w:rFonts w:ascii="Cambria" w:hAnsi="Cambria"/>
          <w:b/>
          <w:bCs/>
          <w:sz w:val="20"/>
          <w:szCs w:val="20"/>
          <w:lang w:eastAsia="en-US"/>
        </w:rPr>
      </w:pPr>
      <w:r w:rsidRPr="005B081E">
        <w:rPr>
          <w:rFonts w:ascii="Cambria" w:hAnsi="Cambria"/>
          <w:b/>
          <w:bCs/>
          <w:sz w:val="20"/>
          <w:szCs w:val="20"/>
          <w:lang w:eastAsia="en-US"/>
        </w:rPr>
        <w:t xml:space="preserve">Juicios, estimaciones contables y supuestos significativos utilizados por la Dirección de la Sociedad </w:t>
      </w:r>
    </w:p>
    <w:p w14:paraId="6F9C60B1" w14:textId="77777777" w:rsidR="00ED480D" w:rsidRPr="005B081E" w:rsidRDefault="00ED480D" w:rsidP="00ED480D">
      <w:pPr>
        <w:spacing w:after="240"/>
        <w:jc w:val="both"/>
        <w:rPr>
          <w:rFonts w:ascii="Cambria" w:hAnsi="Cambria"/>
          <w:sz w:val="20"/>
          <w:szCs w:val="20"/>
          <w:lang w:eastAsia="en-US"/>
        </w:rPr>
      </w:pPr>
      <w:r w:rsidRPr="005B081E">
        <w:rPr>
          <w:rFonts w:ascii="Cambria" w:hAnsi="Cambria"/>
          <w:sz w:val="20"/>
          <w:szCs w:val="20"/>
          <w:lang w:eastAsia="en-US"/>
        </w:rPr>
        <w:t>La preparación de los estados financieros consolidados de la Emisora requiere que la Dirección deba realizar suposiciones y estimaciones contables que afectan los montos de ingresos, gastos, activos y pasivos informados y la revelación de pasivos contingentes, al cierre de cada ejercicio sobre el que se informa. Sin embargo, la incertidumbre sobre tales supuestos y estimaciones puede dar lugar a resultados que requieran un ajuste significativo al importe en libros del activo o del pasivo afectado en periodos futuros.</w:t>
      </w:r>
    </w:p>
    <w:p w14:paraId="5D365292"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t>A continuación, se analizan los supuestos clave sobre el futuro y otras fuentes clave de estimaciones de incertidumbre a la fecha sobre la que se informa, que tienen un riesgo significativo de ocasionar ajustes de importancia relativa sobre el importe en libros del activo y pasivo en los próximos periodos o ejercicios de presentación</w:t>
      </w:r>
    </w:p>
    <w:p w14:paraId="080A9704" w14:textId="77777777" w:rsidR="00ED480D" w:rsidRPr="005B081E" w:rsidRDefault="00ED480D" w:rsidP="000C02A3">
      <w:pPr>
        <w:numPr>
          <w:ilvl w:val="0"/>
          <w:numId w:val="27"/>
        </w:numPr>
        <w:tabs>
          <w:tab w:val="left" w:pos="240"/>
        </w:tabs>
        <w:spacing w:before="240" w:after="240"/>
        <w:ind w:left="714" w:hanging="357"/>
        <w:contextualSpacing/>
        <w:jc w:val="both"/>
        <w:rPr>
          <w:rFonts w:ascii="Cambria" w:hAnsi="Cambria"/>
          <w:sz w:val="20"/>
          <w:szCs w:val="20"/>
          <w:lang w:eastAsia="en-US"/>
        </w:rPr>
      </w:pPr>
      <w:r w:rsidRPr="005B081E">
        <w:rPr>
          <w:rFonts w:ascii="Cambria" w:hAnsi="Cambria"/>
          <w:sz w:val="20"/>
          <w:szCs w:val="20"/>
          <w:lang w:eastAsia="en-US"/>
        </w:rPr>
        <w:t xml:space="preserve">Para deudores incobrables: se determina sobre la base de un análisis individual de la recuperabilidad de </w:t>
      </w:r>
      <w:proofErr w:type="gramStart"/>
      <w:r w:rsidRPr="005B081E">
        <w:rPr>
          <w:rFonts w:ascii="Cambria" w:hAnsi="Cambria"/>
          <w:sz w:val="20"/>
          <w:szCs w:val="20"/>
          <w:lang w:eastAsia="en-US"/>
        </w:rPr>
        <w:t>los mismos</w:t>
      </w:r>
      <w:proofErr w:type="gramEnd"/>
      <w:r w:rsidRPr="005B081E">
        <w:rPr>
          <w:rFonts w:ascii="Cambria" w:hAnsi="Cambria"/>
          <w:sz w:val="20"/>
          <w:szCs w:val="20"/>
          <w:lang w:eastAsia="en-US"/>
        </w:rPr>
        <w:t xml:space="preserve"> al cierre de cada ejercicio;</w:t>
      </w:r>
    </w:p>
    <w:p w14:paraId="19501E1E" w14:textId="77777777" w:rsidR="00ED480D" w:rsidRPr="005B081E" w:rsidRDefault="00ED480D" w:rsidP="000C02A3">
      <w:pPr>
        <w:numPr>
          <w:ilvl w:val="0"/>
          <w:numId w:val="27"/>
        </w:numPr>
        <w:spacing w:before="240" w:after="240"/>
        <w:ind w:left="714" w:hanging="357"/>
        <w:contextualSpacing/>
        <w:jc w:val="both"/>
        <w:rPr>
          <w:rFonts w:ascii="Cambria" w:hAnsi="Cambria"/>
          <w:sz w:val="20"/>
          <w:szCs w:val="20"/>
          <w:lang w:eastAsia="en-US"/>
        </w:rPr>
      </w:pPr>
      <w:r w:rsidRPr="005B081E">
        <w:rPr>
          <w:rFonts w:ascii="Cambria" w:hAnsi="Cambria"/>
          <w:sz w:val="20"/>
          <w:szCs w:val="20"/>
          <w:lang w:eastAsia="en-US"/>
        </w:rPr>
        <w:t xml:space="preserve">Para desvalorización de bienes de uso y bienes intangibles: cubre una porción de ciertos activos, para reducir los mismos a la estimación realizada de su valor recuperable al cierre de cada ejercicio; </w:t>
      </w:r>
    </w:p>
    <w:p w14:paraId="31A01813" w14:textId="77777777" w:rsidR="00ED480D" w:rsidRPr="005B081E" w:rsidRDefault="00ED480D" w:rsidP="000C02A3">
      <w:pPr>
        <w:numPr>
          <w:ilvl w:val="0"/>
          <w:numId w:val="27"/>
        </w:numPr>
        <w:spacing w:before="240" w:after="240"/>
        <w:ind w:left="714" w:hanging="357"/>
        <w:contextualSpacing/>
        <w:jc w:val="both"/>
        <w:rPr>
          <w:rFonts w:ascii="Cambria" w:hAnsi="Cambria"/>
          <w:sz w:val="20"/>
          <w:szCs w:val="20"/>
          <w:lang w:eastAsia="en-US"/>
        </w:rPr>
      </w:pPr>
      <w:r w:rsidRPr="005B081E">
        <w:rPr>
          <w:rFonts w:ascii="Cambria" w:hAnsi="Cambria"/>
          <w:sz w:val="20"/>
          <w:szCs w:val="20"/>
          <w:lang w:eastAsia="en-US"/>
        </w:rPr>
        <w:t xml:space="preserve">Para juicios y otras contingencias: cubre situaciones existentes al cierre de cada ejercicio que pueden resultar en una pérdida, cuya materialización depende de que uno o más eventos futuros ocurran o dejen de ocurrir. La evaluación de los pasivos contingentes es realizada por el Directorio de la Emisora en base a la opinión de los asesores legales, tanto internos como externos, y de los restantes elementos de juicio disponibles. Las contingencias incluyen procesos judiciales pendientes o reclamos por eventuales perjuicios a terceros por daños originados en el desarrollo de las actividades, así como también reclamos de terceros originados en cuestiones de interpretación legislativa. La naturaleza de las contingencias comprende, entre otras, cuestiones laborales, comerciales, impositivas y aduaneras. Si en la evaluación de la contingencia existe la probabilidad de que se materialice una pérdida y el </w:t>
      </w:r>
      <w:r w:rsidRPr="005B081E">
        <w:rPr>
          <w:rFonts w:ascii="Cambria" w:hAnsi="Cambria"/>
          <w:sz w:val="20"/>
          <w:szCs w:val="20"/>
          <w:lang w:eastAsia="en-US"/>
        </w:rPr>
        <w:lastRenderedPageBreak/>
        <w:t>monto puede ser estimado, un pasivo es contabilizado en el rubro previsiones. Si la potencial pérdida no es probable, pero sí razonablemente posible, o es probable pero su monto no puede ser estimado, la naturaleza del pasivo contingente y una estimación de la posibilidad de ocurrencia es expuesta en nota a los estados contables. Las contingencias consideradas remotas no son contabilizadas ni expuestas;</w:t>
      </w:r>
    </w:p>
    <w:p w14:paraId="65C86D10" w14:textId="77777777" w:rsidR="00ED480D" w:rsidRPr="005B081E" w:rsidRDefault="00ED480D" w:rsidP="000C02A3">
      <w:pPr>
        <w:numPr>
          <w:ilvl w:val="0"/>
          <w:numId w:val="27"/>
        </w:numPr>
        <w:spacing w:before="240" w:after="240"/>
        <w:ind w:left="714" w:hanging="357"/>
        <w:contextualSpacing/>
        <w:jc w:val="both"/>
        <w:rPr>
          <w:rFonts w:ascii="Cambria" w:hAnsi="Cambria"/>
          <w:sz w:val="20"/>
          <w:szCs w:val="20"/>
          <w:lang w:eastAsia="en-US"/>
        </w:rPr>
      </w:pPr>
      <w:r w:rsidRPr="005B081E">
        <w:rPr>
          <w:rFonts w:ascii="Cambria" w:hAnsi="Cambria"/>
          <w:sz w:val="20"/>
          <w:szCs w:val="20"/>
          <w:lang w:eastAsia="en-US"/>
        </w:rPr>
        <w:t>Planes de beneficio definido: Las provisiones por planes de beneficios al personal, implican varios supuestos que pueden diferir de los acontecimientos que efectivamente tengan lugar. Estos supuestos incluyen el cumplimiento de los objetivos del participante, el cumplimiento de los objetivos de performance financiera de la Emisora, los futuros aumentos salariales y la permanencia en la Sociedad de los participantes del plan. Debido a la complejidad de la valuación, la obligación del beneficio definido es sensible a los cambios de estos supuestos, razón por la cual la Dirección de la Sociedad somete los mismos a revisión a la fecha de cierre de cada ejercicio</w:t>
      </w:r>
    </w:p>
    <w:p w14:paraId="550CE8AF" w14:textId="77777777" w:rsidR="00ED480D" w:rsidRPr="005B081E" w:rsidRDefault="00ED480D" w:rsidP="000C02A3">
      <w:pPr>
        <w:numPr>
          <w:ilvl w:val="0"/>
          <w:numId w:val="27"/>
        </w:numPr>
        <w:spacing w:before="240" w:after="240"/>
        <w:ind w:left="714" w:hanging="357"/>
        <w:contextualSpacing/>
        <w:jc w:val="both"/>
        <w:rPr>
          <w:rFonts w:ascii="Cambria" w:hAnsi="Cambria"/>
          <w:sz w:val="20"/>
          <w:szCs w:val="20"/>
          <w:lang w:eastAsia="en-US"/>
        </w:rPr>
      </w:pPr>
      <w:r w:rsidRPr="005B081E">
        <w:rPr>
          <w:rFonts w:ascii="Cambria" w:hAnsi="Cambria"/>
          <w:sz w:val="20"/>
          <w:szCs w:val="20"/>
          <w:lang w:eastAsia="en-US"/>
        </w:rPr>
        <w:t>Deterioro de activos no financieros: Se determina cuando existe deterioro cuando el importe en libros de un activo o de una unidad generadora de efectivo excede su importe recuperable, que es el valor razonable menos los costos de venta o su valor de uso, el que sea mayor.</w:t>
      </w:r>
    </w:p>
    <w:p w14:paraId="6B4774A9" w14:textId="77777777" w:rsidR="00ED480D" w:rsidRPr="006E4259" w:rsidRDefault="00ED480D" w:rsidP="00ED480D">
      <w:pPr>
        <w:ind w:left="720"/>
        <w:contextualSpacing/>
        <w:jc w:val="both"/>
        <w:rPr>
          <w:rFonts w:ascii="Times New Roman" w:hAnsi="Times New Roman"/>
        </w:rPr>
      </w:pPr>
    </w:p>
    <w:p w14:paraId="2F537799" w14:textId="77777777" w:rsidR="00ED480D" w:rsidRPr="005B081E" w:rsidRDefault="00ED480D" w:rsidP="00ED480D">
      <w:pPr>
        <w:spacing w:after="240"/>
        <w:rPr>
          <w:rFonts w:ascii="Cambria" w:hAnsi="Cambria" w:cs="Arial"/>
          <w:b/>
          <w:sz w:val="20"/>
          <w:szCs w:val="20"/>
          <w:lang w:eastAsia="en-US"/>
        </w:rPr>
      </w:pPr>
      <w:r w:rsidRPr="005B081E">
        <w:rPr>
          <w:rFonts w:ascii="Cambria" w:hAnsi="Cambria" w:cs="Arial"/>
          <w:b/>
          <w:sz w:val="20"/>
          <w:szCs w:val="20"/>
          <w:lang w:eastAsia="en-US"/>
        </w:rPr>
        <w:t>Impuesto a las ganancias</w:t>
      </w:r>
    </w:p>
    <w:p w14:paraId="301FFA55" w14:textId="77777777" w:rsidR="00ED480D" w:rsidRPr="006E4259" w:rsidRDefault="00ED480D" w:rsidP="00ED480D">
      <w:pPr>
        <w:spacing w:after="240"/>
        <w:jc w:val="both"/>
        <w:rPr>
          <w:rFonts w:ascii="Cambria" w:hAnsi="Cambria"/>
          <w:spacing w:val="-3"/>
          <w:sz w:val="20"/>
          <w:lang w:val="es-ES_tradnl"/>
        </w:rPr>
      </w:pPr>
      <w:r w:rsidRPr="006E4259">
        <w:rPr>
          <w:rFonts w:ascii="Cambria" w:hAnsi="Cambria"/>
          <w:spacing w:val="-3"/>
          <w:sz w:val="20"/>
          <w:lang w:val="es-ES_tradnl"/>
        </w:rPr>
        <w:t xml:space="preserve">El 29 de diciembre de 2017 el </w:t>
      </w:r>
      <w:r>
        <w:rPr>
          <w:rFonts w:ascii="Cambria" w:hAnsi="Cambria"/>
          <w:spacing w:val="-3"/>
          <w:sz w:val="20"/>
          <w:lang w:val="es-ES_tradnl"/>
        </w:rPr>
        <w:t>P</w:t>
      </w:r>
      <w:r w:rsidRPr="006E4259">
        <w:rPr>
          <w:rFonts w:ascii="Cambria" w:hAnsi="Cambria"/>
          <w:spacing w:val="-3"/>
          <w:sz w:val="20"/>
          <w:lang w:val="es-ES_tradnl"/>
        </w:rPr>
        <w:t xml:space="preserve">oder </w:t>
      </w:r>
      <w:r>
        <w:rPr>
          <w:rFonts w:ascii="Cambria" w:hAnsi="Cambria"/>
          <w:spacing w:val="-3"/>
          <w:sz w:val="20"/>
          <w:lang w:val="es-ES_tradnl"/>
        </w:rPr>
        <w:t>E</w:t>
      </w:r>
      <w:r w:rsidRPr="006E4259">
        <w:rPr>
          <w:rFonts w:ascii="Cambria" w:hAnsi="Cambria"/>
          <w:spacing w:val="-3"/>
          <w:sz w:val="20"/>
          <w:lang w:val="es-ES_tradnl"/>
        </w:rPr>
        <w:t xml:space="preserve">jecutivo </w:t>
      </w:r>
      <w:r>
        <w:rPr>
          <w:rFonts w:ascii="Cambria" w:hAnsi="Cambria"/>
          <w:spacing w:val="-3"/>
          <w:sz w:val="20"/>
          <w:lang w:val="es-ES_tradnl"/>
        </w:rPr>
        <w:t>N</w:t>
      </w:r>
      <w:r w:rsidRPr="006E4259">
        <w:rPr>
          <w:rFonts w:ascii="Cambria" w:hAnsi="Cambria"/>
          <w:spacing w:val="-3"/>
          <w:sz w:val="20"/>
          <w:lang w:val="es-ES_tradnl"/>
        </w:rPr>
        <w:t>acional firmó el decreto 1112/</w:t>
      </w:r>
      <w:r w:rsidRPr="00FB373D">
        <w:rPr>
          <w:rFonts w:ascii="Cambria" w:eastAsia="Times New Roman" w:hAnsi="Cambria" w:cs="Arial"/>
          <w:bCs/>
          <w:spacing w:val="-3"/>
          <w:sz w:val="20"/>
          <w:szCs w:val="20"/>
          <w:lang w:val="es-ES_tradnl" w:eastAsia="en-US"/>
        </w:rPr>
        <w:t>2017</w:t>
      </w:r>
      <w:r w:rsidRPr="006E4259">
        <w:rPr>
          <w:rFonts w:ascii="Cambria" w:hAnsi="Cambria"/>
          <w:spacing w:val="-3"/>
          <w:sz w:val="20"/>
          <w:lang w:val="es-ES_tradnl"/>
        </w:rPr>
        <w:t xml:space="preserve">, por el cual promulgó la Ley de reforma tributaria N° 27.430 sancionada por el Congreso de la Nación el 27 de diciembre de 2017. Los aspectos más relevantes de la reforma que impactan en la Sociedad son los siguientes:  </w:t>
      </w:r>
    </w:p>
    <w:p w14:paraId="55D348DF" w14:textId="77777777" w:rsidR="00ED480D" w:rsidRPr="006E4259" w:rsidRDefault="00ED480D" w:rsidP="000C02A3">
      <w:pPr>
        <w:numPr>
          <w:ilvl w:val="0"/>
          <w:numId w:val="29"/>
        </w:numPr>
        <w:spacing w:after="240"/>
        <w:jc w:val="both"/>
        <w:rPr>
          <w:rFonts w:ascii="Cambria" w:hAnsi="Cambria"/>
          <w:spacing w:val="-3"/>
          <w:sz w:val="20"/>
          <w:lang w:val="es-ES_tradnl"/>
        </w:rPr>
      </w:pPr>
      <w:r w:rsidRPr="006E4259">
        <w:rPr>
          <w:rFonts w:ascii="Cambria" w:hAnsi="Cambria"/>
          <w:spacing w:val="-3"/>
          <w:sz w:val="20"/>
          <w:lang w:val="es-ES_tradnl"/>
        </w:rPr>
        <w:t>Reducción de la tasa corporativa del impuesto a las ganancias que se reducirá al 30% durante los dos ejercicios fiscales contados a partir del que se inicia el 1° de enero de 2018, y al 25% para los ejercicios fiscales que se inicien a partir del 1° de enero de 2020. El efecto de esta reducción afectó la medición de los activos y pasivos por impuesto diferido al 31 de marzo de 2020, 201</w:t>
      </w:r>
      <w:r>
        <w:rPr>
          <w:rFonts w:ascii="Cambria" w:hAnsi="Cambria"/>
          <w:spacing w:val="-3"/>
          <w:sz w:val="20"/>
          <w:lang w:val="es-ES_tradnl"/>
        </w:rPr>
        <w:t>9</w:t>
      </w:r>
      <w:r w:rsidRPr="006E4259">
        <w:rPr>
          <w:rFonts w:ascii="Cambria" w:hAnsi="Cambria"/>
          <w:spacing w:val="-3"/>
          <w:sz w:val="20"/>
          <w:lang w:val="es-ES_tradnl"/>
        </w:rPr>
        <w:t xml:space="preserve"> y 2018 y al 30 de junio de 2020.</w:t>
      </w:r>
    </w:p>
    <w:p w14:paraId="259F837B" w14:textId="77777777" w:rsidR="00ED480D" w:rsidRPr="006E4259" w:rsidRDefault="00ED480D" w:rsidP="000C02A3">
      <w:pPr>
        <w:numPr>
          <w:ilvl w:val="0"/>
          <w:numId w:val="29"/>
        </w:numPr>
        <w:spacing w:after="240"/>
        <w:jc w:val="both"/>
        <w:rPr>
          <w:rFonts w:ascii="Cambria" w:hAnsi="Cambria"/>
          <w:spacing w:val="-3"/>
          <w:sz w:val="20"/>
          <w:lang w:val="es-ES_tradnl"/>
        </w:rPr>
      </w:pPr>
      <w:r w:rsidRPr="006E4259">
        <w:rPr>
          <w:rFonts w:ascii="Cambria" w:hAnsi="Cambria"/>
          <w:spacing w:val="-3"/>
          <w:sz w:val="20"/>
          <w:lang w:val="es-ES_tradnl"/>
        </w:rPr>
        <w:t>Complementario a la reducción de tasa se aplicará un impuesto a la distribución de dividendos efectuada a personas humanas locales y a beneficiarios del exterior del 7% o el 13% según sea que los dividendos que se distribuyan correspondan a ganancias de un período fiscal en el que la Sociedad resultó alcanzada a la tasa del 30% o del 25%, respectivamente.</w:t>
      </w:r>
    </w:p>
    <w:p w14:paraId="7383D1CF" w14:textId="77777777" w:rsidR="00ED480D" w:rsidRPr="006E4259" w:rsidRDefault="00ED480D" w:rsidP="000C02A3">
      <w:pPr>
        <w:numPr>
          <w:ilvl w:val="0"/>
          <w:numId w:val="29"/>
        </w:numPr>
        <w:spacing w:after="240"/>
        <w:jc w:val="both"/>
        <w:rPr>
          <w:rFonts w:ascii="Cambria" w:hAnsi="Cambria"/>
          <w:spacing w:val="-3"/>
          <w:sz w:val="20"/>
          <w:lang w:val="es-ES_tradnl"/>
        </w:rPr>
      </w:pPr>
      <w:r w:rsidRPr="006E4259">
        <w:rPr>
          <w:rFonts w:ascii="Cambria" w:hAnsi="Cambria"/>
          <w:spacing w:val="-3"/>
          <w:sz w:val="20"/>
          <w:lang w:val="es-ES_tradnl"/>
        </w:rPr>
        <w:t>Se actualizarán las adquisiciones e inversiones efectuadas en los ejercicios fiscales que se inicien a partir del 1° de enero de 2018, según corresponda con el índice de precios internos al por mayor que suministre el Instituto Nacional de Estadística y Censos. El efecto de dicha actualización afectó la medición de los activos y pasivos por impuesto diferido al 31 de marzo de 2019 y 2020 y al 30 de junio de 2020.</w:t>
      </w:r>
    </w:p>
    <w:p w14:paraId="2314E105" w14:textId="77777777" w:rsidR="00ED480D" w:rsidRDefault="00ED480D" w:rsidP="00ED480D">
      <w:pPr>
        <w:spacing w:after="240"/>
        <w:jc w:val="both"/>
        <w:rPr>
          <w:rFonts w:ascii="Cambria" w:hAnsi="Cambria"/>
          <w:sz w:val="20"/>
          <w:szCs w:val="20"/>
          <w:lang w:eastAsia="en-US"/>
        </w:rPr>
      </w:pPr>
      <w:r w:rsidRPr="005B081E">
        <w:rPr>
          <w:rFonts w:ascii="Cambria" w:hAnsi="Cambria"/>
          <w:sz w:val="20"/>
          <w:szCs w:val="20"/>
          <w:lang w:eastAsia="en-US"/>
        </w:rPr>
        <w:t xml:space="preserve">Los activos y pasivos por el impuesto a las ganancias del ejercicio se miden a los importes que se espera recuperar o pagar a la autoridad fiscal. Las tasas y la normativa fiscales utilizadas para computar dichos montos son aquellas que estén aprobadas o cuyo procedimiento de aprobación se encuentre próximo a completarse a la fecha de cierre de cada ejercicio. La tasa vigente para el periodo fiscal finalizado al 31 de marzo de 2018 fue del 35% mientras que para los ejercicios fiscales finalizado el 31 de marzo de 2019 y 2020 fue del 30%. Para los ejercicios que se inicien a partir del 1 de enero de 2021 la tasa será del 25%. </w:t>
      </w:r>
    </w:p>
    <w:p w14:paraId="7309492A" w14:textId="77777777" w:rsidR="00ED480D" w:rsidRDefault="00ED480D" w:rsidP="00ED480D">
      <w:pPr>
        <w:pStyle w:val="Texto"/>
        <w:spacing w:line="276" w:lineRule="auto"/>
        <w:rPr>
          <w:rFonts w:ascii="Cambria" w:eastAsia="Calibri" w:hAnsi="Cambria"/>
          <w:lang w:val="es-ES" w:eastAsia="en-US"/>
        </w:rPr>
      </w:pPr>
      <w:r w:rsidRPr="00417738">
        <w:rPr>
          <w:rFonts w:ascii="Cambria" w:eastAsia="Calibri" w:hAnsi="Cambria"/>
          <w:lang w:val="es-ES" w:eastAsia="en-US"/>
        </w:rPr>
        <w:t>Durante el ejercicio finalizado el 31 de marzo de 2019, la Emisora ejerció la opción de realizar un reval</w:t>
      </w:r>
      <w:r>
        <w:rPr>
          <w:rFonts w:ascii="Cambria" w:eastAsia="Calibri" w:hAnsi="Cambria"/>
          <w:lang w:val="es-ES" w:eastAsia="en-US"/>
        </w:rPr>
        <w:t>úo</w:t>
      </w:r>
      <w:r w:rsidRPr="00417738">
        <w:rPr>
          <w:rFonts w:ascii="Cambria" w:eastAsia="Calibri" w:hAnsi="Cambria"/>
          <w:lang w:val="es-ES" w:eastAsia="en-US"/>
        </w:rPr>
        <w:t xml:space="preserve"> impositivo sobre los bienes muebles e inmuebles, conforme el régimen dispuesto en el título X de la L</w:t>
      </w:r>
      <w:r>
        <w:rPr>
          <w:rFonts w:ascii="Cambria" w:eastAsia="Calibri" w:hAnsi="Cambria"/>
          <w:lang w:val="es-ES" w:eastAsia="en-US"/>
        </w:rPr>
        <w:t xml:space="preserve">ey de </w:t>
      </w:r>
      <w:r w:rsidRPr="00417738">
        <w:rPr>
          <w:rFonts w:ascii="Cambria" w:eastAsia="Calibri" w:hAnsi="Cambria"/>
          <w:lang w:val="es-ES" w:eastAsia="en-US"/>
        </w:rPr>
        <w:t>I</w:t>
      </w:r>
      <w:r>
        <w:rPr>
          <w:rFonts w:ascii="Cambria" w:eastAsia="Calibri" w:hAnsi="Cambria"/>
          <w:lang w:val="es-ES" w:eastAsia="en-US"/>
        </w:rPr>
        <w:t xml:space="preserve">mpuesto a las </w:t>
      </w:r>
      <w:r w:rsidRPr="00417738">
        <w:rPr>
          <w:rFonts w:ascii="Cambria" w:eastAsia="Calibri" w:hAnsi="Cambria"/>
          <w:lang w:val="es-ES" w:eastAsia="en-US"/>
        </w:rPr>
        <w:t>G</w:t>
      </w:r>
      <w:r>
        <w:rPr>
          <w:rFonts w:ascii="Cambria" w:eastAsia="Calibri" w:hAnsi="Cambria"/>
          <w:lang w:val="es-ES" w:eastAsia="en-US"/>
        </w:rPr>
        <w:t>anancias Texto Ordenado 2019</w:t>
      </w:r>
      <w:r w:rsidRPr="00417738">
        <w:rPr>
          <w:rFonts w:ascii="Cambria" w:eastAsia="Calibri" w:hAnsi="Cambria"/>
          <w:lang w:val="es-ES" w:eastAsia="en-US"/>
        </w:rPr>
        <w:t xml:space="preserve"> (</w:t>
      </w:r>
      <w:r>
        <w:rPr>
          <w:rFonts w:ascii="Cambria" w:eastAsia="Calibri" w:hAnsi="Cambria"/>
          <w:lang w:val="es-ES" w:eastAsia="en-US"/>
        </w:rPr>
        <w:t xml:space="preserve">en adelante </w:t>
      </w:r>
      <w:proofErr w:type="gramStart"/>
      <w:r>
        <w:rPr>
          <w:rFonts w:ascii="Cambria" w:eastAsia="Calibri" w:hAnsi="Cambria"/>
          <w:lang w:val="es-ES" w:eastAsia="en-US"/>
        </w:rPr>
        <w:t>la ”LIG</w:t>
      </w:r>
      <w:proofErr w:type="gramEnd"/>
      <w:r>
        <w:rPr>
          <w:rFonts w:ascii="Cambria" w:eastAsia="Calibri" w:hAnsi="Cambria"/>
          <w:lang w:val="es-ES" w:eastAsia="en-US"/>
        </w:rPr>
        <w:t>”</w:t>
      </w:r>
      <w:r w:rsidRPr="00417738">
        <w:rPr>
          <w:rFonts w:ascii="Cambria" w:eastAsia="Calibri" w:hAnsi="Cambria"/>
          <w:lang w:val="es-ES" w:eastAsia="en-US"/>
        </w:rPr>
        <w:t xml:space="preserve">) </w:t>
      </w:r>
      <w:r>
        <w:rPr>
          <w:rFonts w:ascii="Cambria" w:eastAsia="Calibri" w:hAnsi="Cambria"/>
          <w:lang w:val="es-ES" w:eastAsia="en-US"/>
        </w:rPr>
        <w:t>N° 27.</w:t>
      </w:r>
      <w:r w:rsidRPr="00417738">
        <w:rPr>
          <w:rFonts w:ascii="Cambria" w:eastAsia="Calibri" w:hAnsi="Cambria"/>
          <w:lang w:val="es-ES" w:eastAsia="en-US"/>
        </w:rPr>
        <w:t xml:space="preserve">430 y el </w:t>
      </w:r>
      <w:r w:rsidRPr="00417738">
        <w:rPr>
          <w:rFonts w:ascii="Cambria" w:eastAsia="Calibri" w:hAnsi="Cambria"/>
          <w:lang w:val="es-ES" w:eastAsia="en-US"/>
        </w:rPr>
        <w:lastRenderedPageBreak/>
        <w:t>decreto 353/2018 el cual, además de generar una diferencia temporaria activa por Ps. 702,5 millones expresados en moneda a marzo de 2019, genero la obligación de ingresar al fisco un impuesto especial por aproximadamente Ps. 125 millones, expres</w:t>
      </w:r>
      <w:r>
        <w:rPr>
          <w:rFonts w:ascii="Cambria" w:eastAsia="Calibri" w:hAnsi="Cambria"/>
          <w:lang w:val="es-ES" w:eastAsia="en-US"/>
        </w:rPr>
        <w:t>ados en moneda a marzo de 2019.</w:t>
      </w:r>
    </w:p>
    <w:p w14:paraId="4648D3FB" w14:textId="77777777" w:rsidR="00ED480D" w:rsidRPr="00A15465" w:rsidRDefault="00ED480D" w:rsidP="00ED480D">
      <w:pPr>
        <w:pStyle w:val="Texto"/>
        <w:spacing w:line="276" w:lineRule="auto"/>
        <w:rPr>
          <w:rFonts w:ascii="Cambria" w:eastAsia="Calibri" w:hAnsi="Cambria"/>
          <w:lang w:val="es-ES"/>
        </w:rPr>
      </w:pPr>
    </w:p>
    <w:p w14:paraId="72F92A9C" w14:textId="77777777" w:rsidR="00ED480D" w:rsidRPr="005B081E" w:rsidRDefault="00ED480D" w:rsidP="00ED480D">
      <w:pPr>
        <w:spacing w:after="240"/>
        <w:jc w:val="both"/>
        <w:rPr>
          <w:rFonts w:ascii="Cambria" w:hAnsi="Cambria"/>
          <w:sz w:val="20"/>
          <w:szCs w:val="20"/>
          <w:lang w:eastAsia="en-US"/>
        </w:rPr>
      </w:pPr>
      <w:r w:rsidRPr="005B081E">
        <w:rPr>
          <w:rFonts w:ascii="Cambria" w:hAnsi="Cambria"/>
          <w:sz w:val="20"/>
          <w:szCs w:val="20"/>
          <w:lang w:eastAsia="en-US"/>
        </w:rPr>
        <w:t xml:space="preserve">El impuesto a las ganancias que se relacione con partidas que se reconocen directamente en el patrimonio se reconoce en el patrimonio y no en el estado del resultado integral. </w:t>
      </w:r>
    </w:p>
    <w:p w14:paraId="5BE48820" w14:textId="77777777" w:rsidR="00ED480D" w:rsidRPr="006E4259" w:rsidRDefault="00ED480D" w:rsidP="00ED480D">
      <w:pPr>
        <w:spacing w:after="240"/>
        <w:jc w:val="both"/>
        <w:rPr>
          <w:rFonts w:ascii="Times New Roman" w:hAnsi="Times New Roman"/>
        </w:rPr>
      </w:pPr>
      <w:r w:rsidRPr="005B081E">
        <w:rPr>
          <w:rFonts w:ascii="Cambria" w:hAnsi="Cambria"/>
          <w:sz w:val="20"/>
          <w:szCs w:val="20"/>
          <w:lang w:eastAsia="en-US"/>
        </w:rPr>
        <w:t>La Emisora evalúa en forma periódica las posiciones tomadas en las declaraciones de impuestos con respecto a las situaciones en las que las normas impositivas aplicables se encuentran sujetas a la interpretación, y constituye provisiones cuando fuera apropiado.</w:t>
      </w:r>
    </w:p>
    <w:p w14:paraId="69470B5D" w14:textId="77777777" w:rsidR="00ED480D" w:rsidRPr="005B081E" w:rsidRDefault="00ED480D" w:rsidP="00ED480D">
      <w:pPr>
        <w:jc w:val="both"/>
        <w:rPr>
          <w:rFonts w:ascii="Cambria" w:hAnsi="Cambria"/>
          <w:b/>
          <w:bCs/>
          <w:sz w:val="20"/>
          <w:szCs w:val="20"/>
          <w:lang w:eastAsia="en-US"/>
        </w:rPr>
      </w:pPr>
      <w:r w:rsidRPr="005B081E">
        <w:rPr>
          <w:rFonts w:ascii="Cambria" w:hAnsi="Cambria"/>
          <w:b/>
          <w:bCs/>
          <w:sz w:val="20"/>
          <w:szCs w:val="20"/>
          <w:lang w:eastAsia="en-US"/>
        </w:rPr>
        <w:t>Impuesto a las ganancias diferido</w:t>
      </w:r>
    </w:p>
    <w:p w14:paraId="658BE385"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t>La Emisora determina el cargo contable por impuesto a las ganancias aplicando el método del impuesto a las ganancias diferido, el cual consiste en el reconocimiento (como crédito o deuda) del efecto impositivo de las diferencias temporarias entre la valuación contable y la impositiva de los activos y pasivos, y su posterior imputación a los resultados de los ejercicios, en los cuales se produce la reversión de las mismas, considerando asimismo la posibilidad de aprovechamiento de los quebrantos impositivos en el futuro. Las diferencias temporarias determinan saldos activos o pasivos de impuesto a las ganancias diferido cuando su reversión futura disminuya o aumente los impuestos determinados. Cuando existen quebrantos impositivos susceptibles de deducción de ganancias impositivas futuras o el impuesto a las ganancias diferido resultante de las diferencias temporarias sea un activo, se reconocen dichos créditos, en la medida en que se estime que su aprovechamiento sea probable.</w:t>
      </w:r>
    </w:p>
    <w:p w14:paraId="42A4655E" w14:textId="77777777" w:rsidR="00ED480D" w:rsidRPr="005B081E" w:rsidRDefault="00ED480D" w:rsidP="00ED480D">
      <w:pPr>
        <w:spacing w:after="240"/>
        <w:jc w:val="both"/>
        <w:rPr>
          <w:rFonts w:ascii="Cambria" w:hAnsi="Cambria"/>
          <w:sz w:val="20"/>
          <w:szCs w:val="20"/>
          <w:lang w:eastAsia="en-US"/>
        </w:rPr>
      </w:pPr>
      <w:r w:rsidRPr="005B081E">
        <w:rPr>
          <w:rFonts w:ascii="Cambria" w:hAnsi="Cambria"/>
          <w:sz w:val="20"/>
          <w:szCs w:val="20"/>
          <w:lang w:eastAsia="en-US"/>
        </w:rPr>
        <w:t>Los activos y pasivos por impuesto a las ganancias diferido se miden a las tasas fiscales que se espera se apliquen en el ejercicio en el que el activo se realice o el pasivo se cancele, en base a las tasas y normas fiscales que fueron aprobadas a la fecha de cierre de ejercicio o que cuyo procedimiento de aprobación se encuentre próximo a completarse para tal fecha.</w:t>
      </w:r>
    </w:p>
    <w:p w14:paraId="37D1B13F"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t xml:space="preserve">El impuesto a las ganancias diferido se reconoce por todas las diferencias temporarias entre la valuación contable y la impositiva de los activos y pasivos, con las siguientes excepciones, establecidas por las normas contables profesionales: </w:t>
      </w:r>
    </w:p>
    <w:p w14:paraId="02899F86" w14:textId="77777777" w:rsidR="00ED480D" w:rsidRPr="005B081E" w:rsidRDefault="00ED480D" w:rsidP="00ED480D">
      <w:pPr>
        <w:ind w:left="360"/>
        <w:jc w:val="both"/>
        <w:rPr>
          <w:rFonts w:ascii="Cambria" w:hAnsi="Cambria"/>
          <w:sz w:val="20"/>
          <w:szCs w:val="20"/>
          <w:lang w:eastAsia="en-US"/>
        </w:rPr>
      </w:pPr>
      <w:r w:rsidRPr="005B081E">
        <w:rPr>
          <w:rFonts w:ascii="Cambria" w:hAnsi="Cambria"/>
          <w:sz w:val="20"/>
          <w:szCs w:val="20"/>
          <w:lang w:eastAsia="en-US"/>
        </w:rPr>
        <w:t>Las principales diferencias permanentes entre los criterios contables e impositivos son los siguientes:</w:t>
      </w:r>
    </w:p>
    <w:p w14:paraId="74B97ECA" w14:textId="77777777" w:rsidR="00ED480D" w:rsidRPr="005B081E" w:rsidRDefault="00ED480D" w:rsidP="000C02A3">
      <w:pPr>
        <w:numPr>
          <w:ilvl w:val="0"/>
          <w:numId w:val="28"/>
        </w:numPr>
        <w:contextualSpacing/>
        <w:jc w:val="both"/>
        <w:rPr>
          <w:rFonts w:ascii="Cambria" w:hAnsi="Cambria"/>
          <w:sz w:val="20"/>
          <w:szCs w:val="20"/>
          <w:lang w:eastAsia="en-US"/>
        </w:rPr>
      </w:pPr>
      <w:r w:rsidRPr="005B081E">
        <w:rPr>
          <w:rFonts w:ascii="Cambria" w:hAnsi="Cambria"/>
          <w:sz w:val="20"/>
          <w:szCs w:val="20"/>
          <w:lang w:eastAsia="en-US"/>
        </w:rPr>
        <w:t xml:space="preserve">Diferencias de cambio, neta: corresponde a la diferencia generada por la valuación de créditos y deudas en una moneda distinta a la moneda funcional, (pesos argentinos) y esto no es deducible impositivamente, </w:t>
      </w:r>
    </w:p>
    <w:p w14:paraId="0B42048C" w14:textId="77777777" w:rsidR="00ED480D" w:rsidRPr="005B081E" w:rsidRDefault="00ED480D" w:rsidP="000C02A3">
      <w:pPr>
        <w:numPr>
          <w:ilvl w:val="0"/>
          <w:numId w:val="28"/>
        </w:numPr>
        <w:contextualSpacing/>
        <w:jc w:val="both"/>
        <w:rPr>
          <w:rFonts w:ascii="Cambria" w:hAnsi="Cambria"/>
          <w:sz w:val="20"/>
          <w:szCs w:val="20"/>
          <w:lang w:eastAsia="en-US"/>
        </w:rPr>
      </w:pPr>
      <w:r w:rsidRPr="005B081E">
        <w:rPr>
          <w:rFonts w:ascii="Cambria" w:hAnsi="Cambria"/>
          <w:sz w:val="20"/>
          <w:szCs w:val="20"/>
          <w:lang w:eastAsia="en-US"/>
        </w:rPr>
        <w:t xml:space="preserve">Resultados por participación en sociedades </w:t>
      </w:r>
      <w:r>
        <w:rPr>
          <w:rFonts w:ascii="Cambria" w:hAnsi="Cambria"/>
          <w:sz w:val="20"/>
          <w:szCs w:val="20"/>
          <w:lang w:eastAsia="en-US"/>
        </w:rPr>
        <w:t>c</w:t>
      </w:r>
      <w:r w:rsidRPr="005B081E">
        <w:rPr>
          <w:rFonts w:ascii="Cambria" w:hAnsi="Cambria"/>
          <w:sz w:val="20"/>
          <w:szCs w:val="20"/>
          <w:lang w:eastAsia="en-US"/>
        </w:rPr>
        <w:t xml:space="preserve">ontroladas y con influencia significativas, no son deducible cuando la Emisora puede controlar la reversión de la diferencia temporaria, y sea improbable que la misma sea desafectada en el futuro previsible </w:t>
      </w:r>
    </w:p>
    <w:p w14:paraId="7EB52E52" w14:textId="77777777" w:rsidR="00ED480D" w:rsidRPr="005B081E" w:rsidRDefault="00ED480D" w:rsidP="000C02A3">
      <w:pPr>
        <w:numPr>
          <w:ilvl w:val="0"/>
          <w:numId w:val="28"/>
        </w:numPr>
        <w:contextualSpacing/>
        <w:jc w:val="both"/>
        <w:rPr>
          <w:rFonts w:ascii="Cambria" w:hAnsi="Cambria"/>
          <w:sz w:val="20"/>
          <w:szCs w:val="20"/>
          <w:lang w:eastAsia="en-US"/>
        </w:rPr>
      </w:pPr>
      <w:r w:rsidRPr="005B081E">
        <w:rPr>
          <w:rFonts w:ascii="Cambria" w:hAnsi="Cambria"/>
          <w:sz w:val="20"/>
          <w:szCs w:val="20"/>
          <w:lang w:eastAsia="en-US"/>
        </w:rPr>
        <w:t>Ajuste integral por inflación impositivo, si bien, generara para la sociedad obligaciones impositivas, pero no surgen de mediciones o valuaciones contables,</w:t>
      </w:r>
    </w:p>
    <w:p w14:paraId="07BEFA3A" w14:textId="77777777" w:rsidR="00ED480D" w:rsidRPr="005B081E" w:rsidRDefault="00ED480D" w:rsidP="000C02A3">
      <w:pPr>
        <w:numPr>
          <w:ilvl w:val="0"/>
          <w:numId w:val="28"/>
        </w:numPr>
        <w:contextualSpacing/>
        <w:jc w:val="both"/>
        <w:rPr>
          <w:rFonts w:ascii="Cambria" w:hAnsi="Cambria"/>
          <w:sz w:val="20"/>
          <w:szCs w:val="20"/>
          <w:lang w:eastAsia="en-US"/>
        </w:rPr>
      </w:pPr>
      <w:r w:rsidRPr="005B081E">
        <w:rPr>
          <w:rFonts w:ascii="Cambria" w:hAnsi="Cambria"/>
          <w:sz w:val="20"/>
          <w:szCs w:val="20"/>
          <w:lang w:eastAsia="en-US"/>
        </w:rPr>
        <w:t xml:space="preserve">Efecto en resultados por uso de diferente moneda funcional, esto es la diferencia de cambio originadas por monedas diferentes al peso argentino, la cuales, son deducibles impositivamente, pero contablemente se exponen dentro del Rubro Otros resultados integrales, </w:t>
      </w:r>
    </w:p>
    <w:p w14:paraId="44922F0E" w14:textId="77777777" w:rsidR="00ED480D" w:rsidRPr="005B081E" w:rsidRDefault="00ED480D" w:rsidP="000C02A3">
      <w:pPr>
        <w:numPr>
          <w:ilvl w:val="0"/>
          <w:numId w:val="28"/>
        </w:numPr>
        <w:contextualSpacing/>
        <w:jc w:val="both"/>
        <w:rPr>
          <w:rFonts w:ascii="Cambria" w:hAnsi="Cambria"/>
          <w:sz w:val="20"/>
          <w:szCs w:val="20"/>
          <w:lang w:eastAsia="en-US"/>
        </w:rPr>
      </w:pPr>
      <w:r w:rsidRPr="005B081E">
        <w:rPr>
          <w:rFonts w:ascii="Cambria" w:hAnsi="Cambria"/>
          <w:sz w:val="20"/>
          <w:szCs w:val="20"/>
          <w:lang w:eastAsia="en-US"/>
        </w:rPr>
        <w:t>Efectos por conversión de bienes de uso y activos intangibles impositivos en su moneda funcional, esto es para reflejar las desvalorizaciones del valor de los activos fijos impositivos, medidos en la moneda funcional de la sociedad, el cual, est</w:t>
      </w:r>
      <w:r>
        <w:rPr>
          <w:rFonts w:ascii="Cambria" w:hAnsi="Cambria"/>
          <w:sz w:val="20"/>
          <w:szCs w:val="20"/>
          <w:lang w:eastAsia="en-US"/>
        </w:rPr>
        <w:t>á</w:t>
      </w:r>
      <w:r w:rsidRPr="005B081E">
        <w:rPr>
          <w:rFonts w:ascii="Cambria" w:hAnsi="Cambria"/>
          <w:sz w:val="20"/>
          <w:szCs w:val="20"/>
          <w:lang w:eastAsia="en-US"/>
        </w:rPr>
        <w:t xml:space="preserve"> neto de la actualización del valor fiscal de las adquisiciones de propiedad planta y equipo con el </w:t>
      </w:r>
      <w:r w:rsidRPr="005B081E">
        <w:rPr>
          <w:rFonts w:ascii="Cambria" w:hAnsi="Cambria"/>
          <w:sz w:val="20"/>
          <w:szCs w:val="20"/>
          <w:lang w:eastAsia="en-US"/>
        </w:rPr>
        <w:lastRenderedPageBreak/>
        <w:t>índice de precios internos al por mayor que suministre el Instituto Nacional de Estadística y Censos</w:t>
      </w:r>
    </w:p>
    <w:p w14:paraId="3723F777" w14:textId="77777777" w:rsidR="00ED480D" w:rsidRPr="005B081E" w:rsidRDefault="00ED480D" w:rsidP="00ED480D">
      <w:pPr>
        <w:ind w:left="1080"/>
        <w:contextualSpacing/>
        <w:jc w:val="both"/>
        <w:rPr>
          <w:rFonts w:ascii="Cambria" w:hAnsi="Cambria"/>
          <w:sz w:val="20"/>
          <w:szCs w:val="20"/>
          <w:lang w:eastAsia="en-US"/>
        </w:rPr>
      </w:pPr>
    </w:p>
    <w:p w14:paraId="79D95FBA" w14:textId="77777777" w:rsidR="00ED480D" w:rsidRPr="005B081E" w:rsidRDefault="00ED480D" w:rsidP="00ED480D">
      <w:pPr>
        <w:jc w:val="both"/>
        <w:rPr>
          <w:rFonts w:ascii="Cambria" w:hAnsi="Cambria"/>
          <w:b/>
          <w:bCs/>
          <w:sz w:val="20"/>
          <w:szCs w:val="20"/>
          <w:lang w:eastAsia="en-US"/>
        </w:rPr>
      </w:pPr>
      <w:r w:rsidRPr="005B081E">
        <w:rPr>
          <w:rFonts w:ascii="Cambria" w:hAnsi="Cambria"/>
          <w:b/>
          <w:bCs/>
          <w:sz w:val="20"/>
          <w:szCs w:val="20"/>
          <w:lang w:eastAsia="en-US"/>
        </w:rPr>
        <w:t>Información por segmento</w:t>
      </w:r>
    </w:p>
    <w:p w14:paraId="233A580F"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t xml:space="preserve">Los segmentos operativos son los componentes de una empresa respecto de los cuales se cuenta con información contable separada que es regularmente evaluada por el Directorio a cargo de la adopción de decisiones operativas en el momento de decidir de qué manera asignar el desempeño de los recursos y activos. </w:t>
      </w:r>
    </w:p>
    <w:p w14:paraId="10510A19"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t>La Emisora, su Sociedad Controlada y sus sociedades con influencia significativa operan en conjunto fundamentalmente en los segmentos de negocio de soja (y los productos industriales originados en su molienda) y cereales, teniendo como segmentos geográficos principales el mercado local y el mercado externo.</w:t>
      </w:r>
    </w:p>
    <w:p w14:paraId="0FFD21F9" w14:textId="77777777" w:rsidR="00ED480D" w:rsidRPr="006E4259" w:rsidRDefault="00ED480D" w:rsidP="00ED480D">
      <w:pPr>
        <w:spacing w:after="240"/>
        <w:jc w:val="both"/>
        <w:rPr>
          <w:rFonts w:ascii="Times New Roman" w:hAnsi="Times New Roman"/>
          <w:b/>
        </w:rPr>
      </w:pPr>
      <w:r w:rsidRPr="005B081E">
        <w:rPr>
          <w:rFonts w:ascii="Cambria" w:hAnsi="Cambria"/>
          <w:sz w:val="20"/>
          <w:szCs w:val="20"/>
          <w:lang w:eastAsia="en-US"/>
        </w:rPr>
        <w:t>A tales efectos, y para más información, nos remitimos a la Nota N° 5 a los Estados Contables Auditados al cierre de cada ejercicio o periodo</w:t>
      </w:r>
      <w:r w:rsidRPr="006E4259">
        <w:rPr>
          <w:rFonts w:ascii="Cambria" w:hAnsi="Cambria"/>
          <w:sz w:val="20"/>
        </w:rPr>
        <w:t>.</w:t>
      </w:r>
    </w:p>
    <w:p w14:paraId="7D0D0C78" w14:textId="77777777" w:rsidR="00ED480D" w:rsidRPr="005B081E" w:rsidRDefault="00ED480D" w:rsidP="00ED480D">
      <w:pPr>
        <w:jc w:val="both"/>
        <w:rPr>
          <w:rFonts w:ascii="Cambria" w:hAnsi="Cambria"/>
          <w:b/>
          <w:bCs/>
          <w:sz w:val="20"/>
          <w:szCs w:val="20"/>
          <w:lang w:eastAsia="en-US"/>
        </w:rPr>
      </w:pPr>
      <w:r w:rsidRPr="005B081E">
        <w:rPr>
          <w:rFonts w:ascii="Cambria" w:hAnsi="Cambria"/>
          <w:b/>
          <w:bCs/>
          <w:sz w:val="20"/>
          <w:szCs w:val="20"/>
          <w:lang w:eastAsia="en-US"/>
        </w:rPr>
        <w:t xml:space="preserve">Análisis sobre la situación financiera y los resultados de las operaciones </w:t>
      </w:r>
    </w:p>
    <w:p w14:paraId="78A44E94" w14:textId="77777777" w:rsidR="00ED480D" w:rsidRPr="005B081E" w:rsidRDefault="00ED480D" w:rsidP="00ED480D">
      <w:pPr>
        <w:jc w:val="both"/>
        <w:rPr>
          <w:rFonts w:ascii="Cambria" w:hAnsi="Cambria"/>
          <w:b/>
          <w:bCs/>
          <w:sz w:val="20"/>
          <w:szCs w:val="20"/>
          <w:lang w:eastAsia="en-US"/>
        </w:rPr>
      </w:pPr>
      <w:r w:rsidRPr="005B081E">
        <w:rPr>
          <w:rFonts w:ascii="Cambria" w:hAnsi="Cambria"/>
          <w:b/>
          <w:bCs/>
          <w:sz w:val="20"/>
          <w:szCs w:val="20"/>
          <w:lang w:eastAsia="en-US"/>
        </w:rPr>
        <w:t>Resultados consolidados de las operaciones correspondientes a los ejercicios finalizados el 31 de marzo de 2020 y 2019</w:t>
      </w:r>
    </w:p>
    <w:p w14:paraId="52676EB0" w14:textId="77777777" w:rsidR="00ED480D" w:rsidRPr="005B081E" w:rsidRDefault="00ED480D" w:rsidP="00ED480D">
      <w:pPr>
        <w:jc w:val="both"/>
        <w:rPr>
          <w:rFonts w:ascii="Cambria" w:hAnsi="Cambria"/>
          <w:i/>
          <w:iCs/>
          <w:sz w:val="20"/>
          <w:szCs w:val="20"/>
          <w:lang w:eastAsia="en-US"/>
        </w:rPr>
      </w:pPr>
      <w:r w:rsidRPr="005B081E">
        <w:rPr>
          <w:rFonts w:ascii="Cambria" w:hAnsi="Cambria"/>
          <w:i/>
          <w:iCs/>
          <w:sz w:val="20"/>
          <w:szCs w:val="20"/>
          <w:lang w:eastAsia="en-US"/>
        </w:rPr>
        <w:t>Contexto económico del ejercicio finalizado al 31 de marzo de 2020</w:t>
      </w:r>
    </w:p>
    <w:p w14:paraId="650E3791" w14:textId="77777777" w:rsidR="00ED480D" w:rsidRPr="005B081E" w:rsidRDefault="00ED480D" w:rsidP="00ED480D">
      <w:pPr>
        <w:jc w:val="both"/>
        <w:rPr>
          <w:rFonts w:ascii="Cambria" w:hAnsi="Cambria"/>
          <w:b/>
          <w:bCs/>
          <w:sz w:val="20"/>
          <w:szCs w:val="20"/>
          <w:u w:val="single"/>
          <w:lang w:eastAsia="en-US"/>
        </w:rPr>
      </w:pPr>
      <w:r w:rsidRPr="005B081E">
        <w:rPr>
          <w:rFonts w:ascii="Cambria" w:hAnsi="Cambria"/>
          <w:b/>
          <w:bCs/>
          <w:sz w:val="20"/>
          <w:szCs w:val="20"/>
          <w:u w:val="single"/>
          <w:lang w:eastAsia="en-US"/>
        </w:rPr>
        <w:t>Economía mundial</w:t>
      </w:r>
    </w:p>
    <w:p w14:paraId="6D76A983" w14:textId="77777777" w:rsidR="00ED480D" w:rsidRPr="00E0157C" w:rsidRDefault="00ED480D" w:rsidP="00ED480D">
      <w:pPr>
        <w:autoSpaceDE w:val="0"/>
        <w:autoSpaceDN w:val="0"/>
        <w:adjustRightInd w:val="0"/>
        <w:spacing w:after="0"/>
        <w:jc w:val="both"/>
        <w:rPr>
          <w:rFonts w:ascii="Cambria" w:hAnsi="Cambria"/>
          <w:sz w:val="20"/>
          <w:lang w:val="es-AR"/>
        </w:rPr>
      </w:pPr>
      <w:r w:rsidRPr="00E0157C">
        <w:rPr>
          <w:rFonts w:ascii="Cambria" w:hAnsi="Cambria"/>
          <w:sz w:val="20"/>
          <w:lang w:val="es-AR"/>
        </w:rPr>
        <w:t>Durante el ejercicio finalizado el 31 de marzo de 2020, la economía mundial registró un crecimiento del 2,9%, el cual, compara contra un 3,7%, respecto del ejercicio anterior. Dicho crecimiento, fue el más bajo de la década, el cual, desde el año anterior, ya venía mostrando signos de desaceleración. Este retroceso, se dio como resultado de prolongadas disputas comerciales y resultados inesperados negativos de la actividad económica en algunas economías de mercados emergentes, en particular de India, pero también de México y Sudáfrica.</w:t>
      </w:r>
    </w:p>
    <w:p w14:paraId="7C51FFBF" w14:textId="77777777" w:rsidR="00ED480D" w:rsidRPr="00E0157C" w:rsidRDefault="00ED480D" w:rsidP="00ED480D">
      <w:pPr>
        <w:autoSpaceDE w:val="0"/>
        <w:autoSpaceDN w:val="0"/>
        <w:adjustRightInd w:val="0"/>
        <w:spacing w:after="0"/>
        <w:jc w:val="both"/>
        <w:rPr>
          <w:rFonts w:ascii="Cambria" w:hAnsi="Cambria"/>
          <w:sz w:val="20"/>
          <w:lang w:val="es-AR"/>
        </w:rPr>
      </w:pPr>
    </w:p>
    <w:p w14:paraId="70CD37A6" w14:textId="77777777" w:rsidR="00ED480D" w:rsidRPr="00E0157C" w:rsidRDefault="00ED480D" w:rsidP="00ED480D">
      <w:pPr>
        <w:autoSpaceDE w:val="0"/>
        <w:autoSpaceDN w:val="0"/>
        <w:adjustRightInd w:val="0"/>
        <w:spacing w:after="0"/>
        <w:jc w:val="both"/>
        <w:rPr>
          <w:rFonts w:ascii="Cambria" w:hAnsi="Cambria"/>
          <w:sz w:val="20"/>
          <w:lang w:val="es-AR"/>
        </w:rPr>
      </w:pPr>
      <w:r w:rsidRPr="00E0157C">
        <w:rPr>
          <w:rFonts w:ascii="Cambria" w:hAnsi="Cambria"/>
          <w:sz w:val="20"/>
          <w:lang w:val="es-AR"/>
        </w:rPr>
        <w:t xml:space="preserve">Por su parte, las noticias intermitentemente favorables, acerca de las negociaciones comerciales entre Estados Unidos y China, y el menor temor de que se produzca la salida del Reino Unido de la Unión Europea sin acuerdo, generaron un efecto positivo sobre el crecimiento.  </w:t>
      </w:r>
    </w:p>
    <w:p w14:paraId="0BDCBF7D" w14:textId="77777777" w:rsidR="00ED480D" w:rsidRPr="00E0157C" w:rsidRDefault="00ED480D" w:rsidP="00ED480D">
      <w:pPr>
        <w:autoSpaceDE w:val="0"/>
        <w:autoSpaceDN w:val="0"/>
        <w:adjustRightInd w:val="0"/>
        <w:spacing w:after="0"/>
        <w:jc w:val="both"/>
        <w:rPr>
          <w:rFonts w:ascii="Cambria" w:hAnsi="Cambria"/>
          <w:sz w:val="20"/>
          <w:lang w:val="es-AR"/>
        </w:rPr>
      </w:pPr>
      <w:r w:rsidRPr="00E0157C">
        <w:rPr>
          <w:rFonts w:ascii="Cambria" w:hAnsi="Cambria"/>
          <w:sz w:val="20"/>
          <w:lang w:val="es-AR"/>
        </w:rPr>
        <w:t xml:space="preserve">En el ámbito agroeconómico, la campaña comercial 2019/20 (correspondiente a la cosecha 2018/19) se presentó con excelentes perspectivas sobre la producción de granos y oleaginosas, al igual que en el ejercicio anterior (por la cosecha 2017/2018), alcanzando la segunda de las cosechas conjuntas más grandes a nivel mundial. Esta gran oferta de granos global en términos de volumen tuvo frecuentes oscilaciones de precios debido a los vaivenes en las negociaciones comerciales entre Estados Unidos y China, mencionados anteriormente. </w:t>
      </w:r>
    </w:p>
    <w:p w14:paraId="2EAACC58" w14:textId="77777777" w:rsidR="00ED480D" w:rsidRPr="00E0157C" w:rsidRDefault="00ED480D" w:rsidP="00ED480D">
      <w:pPr>
        <w:autoSpaceDE w:val="0"/>
        <w:autoSpaceDN w:val="0"/>
        <w:adjustRightInd w:val="0"/>
        <w:spacing w:after="0"/>
        <w:jc w:val="both"/>
        <w:rPr>
          <w:rFonts w:ascii="Cambria" w:hAnsi="Cambria"/>
          <w:sz w:val="20"/>
          <w:lang w:val="es-AR"/>
        </w:rPr>
      </w:pPr>
    </w:p>
    <w:p w14:paraId="696E0CB4" w14:textId="77777777" w:rsidR="00ED480D" w:rsidRPr="00E0157C" w:rsidRDefault="00ED480D" w:rsidP="00ED480D">
      <w:pPr>
        <w:autoSpaceDE w:val="0"/>
        <w:autoSpaceDN w:val="0"/>
        <w:adjustRightInd w:val="0"/>
        <w:spacing w:after="0"/>
        <w:jc w:val="both"/>
        <w:rPr>
          <w:rFonts w:ascii="Cambria" w:hAnsi="Cambria"/>
          <w:sz w:val="20"/>
          <w:lang w:val="es-AR"/>
        </w:rPr>
      </w:pPr>
      <w:r w:rsidRPr="00E0157C">
        <w:rPr>
          <w:rFonts w:ascii="Cambria" w:hAnsi="Cambria"/>
          <w:sz w:val="20"/>
          <w:lang w:val="es-AR"/>
        </w:rPr>
        <w:t>Por su parte, el mercado de harina de soja y proteínas vegetales se vio severamente afectado por el brote de Fiebre Porcina Africana, con epicentro en China y en varios países del Sudeste Asiático. Como consecuencia de este, la producción cárnica mermó en las regiones afectadas y se incrementó en países productores y exportadores de distintos tipos de carnes.</w:t>
      </w:r>
    </w:p>
    <w:p w14:paraId="3DEA5332" w14:textId="77777777" w:rsidR="00ED480D" w:rsidRPr="00E0157C" w:rsidRDefault="00ED480D" w:rsidP="00ED480D">
      <w:pPr>
        <w:autoSpaceDE w:val="0"/>
        <w:autoSpaceDN w:val="0"/>
        <w:adjustRightInd w:val="0"/>
        <w:spacing w:after="0"/>
        <w:jc w:val="both"/>
        <w:rPr>
          <w:rFonts w:ascii="Cambria" w:hAnsi="Cambria"/>
          <w:sz w:val="20"/>
          <w:lang w:val="es-AR"/>
        </w:rPr>
      </w:pPr>
    </w:p>
    <w:p w14:paraId="61867E07" w14:textId="77777777" w:rsidR="00ED480D" w:rsidRPr="00E0157C" w:rsidRDefault="00ED480D" w:rsidP="00ED480D">
      <w:pPr>
        <w:autoSpaceDE w:val="0"/>
        <w:autoSpaceDN w:val="0"/>
        <w:adjustRightInd w:val="0"/>
        <w:spacing w:after="0"/>
        <w:jc w:val="both"/>
        <w:rPr>
          <w:rFonts w:ascii="Cambria" w:hAnsi="Cambria"/>
          <w:sz w:val="20"/>
          <w:lang w:val="es-AR"/>
        </w:rPr>
      </w:pPr>
      <w:r w:rsidRPr="00E0157C">
        <w:rPr>
          <w:rFonts w:ascii="Cambria" w:hAnsi="Cambria"/>
          <w:sz w:val="20"/>
          <w:lang w:val="es-AR"/>
        </w:rPr>
        <w:t xml:space="preserve">En octubre de 2019 finalmente se alcanzó la firma de la Fase 1 del Acuerdo Comercial entre Estados Unidos y China, que permitió una recuperación parcial de precios de </w:t>
      </w:r>
      <w:r w:rsidRPr="00834EDD">
        <w:rPr>
          <w:rFonts w:ascii="Cambria" w:hAnsi="Cambria"/>
          <w:i/>
          <w:sz w:val="20"/>
          <w:lang w:val="es-AR"/>
        </w:rPr>
        <w:t>commodities</w:t>
      </w:r>
      <w:r w:rsidRPr="00E0157C">
        <w:rPr>
          <w:rFonts w:ascii="Cambria" w:hAnsi="Cambria"/>
          <w:sz w:val="20"/>
          <w:lang w:val="es-AR"/>
        </w:rPr>
        <w:t xml:space="preserve"> agrícolas, aunque siempre dentro de un canal de precios bajos. El acuerdo incluía la preferencia de compra de China para productos agropecuarios estadounidenses por sobre otros orígenes; sin embargo, las </w:t>
      </w:r>
      <w:r w:rsidRPr="00E0157C">
        <w:rPr>
          <w:rFonts w:ascii="Cambria" w:hAnsi="Cambria"/>
          <w:sz w:val="20"/>
          <w:lang w:val="es-AR"/>
        </w:rPr>
        <w:lastRenderedPageBreak/>
        <w:t xml:space="preserve">negociaciones del Gigante Asiático durante el resto de la campaña se desplegaron en buena parte, fuera del territorio norteamericano.   </w:t>
      </w:r>
    </w:p>
    <w:p w14:paraId="7F9DBCB6" w14:textId="77777777" w:rsidR="00ED480D" w:rsidRDefault="00ED480D" w:rsidP="00ED480D">
      <w:pPr>
        <w:autoSpaceDE w:val="0"/>
        <w:autoSpaceDN w:val="0"/>
        <w:adjustRightInd w:val="0"/>
        <w:spacing w:after="0"/>
        <w:jc w:val="both"/>
        <w:rPr>
          <w:rFonts w:ascii="Cambria" w:hAnsi="Cambria"/>
          <w:sz w:val="20"/>
          <w:lang w:val="es-AR"/>
        </w:rPr>
      </w:pPr>
      <w:r w:rsidRPr="00E0157C">
        <w:rPr>
          <w:rFonts w:ascii="Cambria" w:hAnsi="Cambria"/>
          <w:sz w:val="20"/>
          <w:lang w:val="es-AR"/>
        </w:rPr>
        <w:t xml:space="preserve">Por el lado de Brasil, la siembra fue bajo condiciones climáticas poco propicias, que mejoraron durante buena parte del ciclo productivo, permitió que se produjera la segunda cosecha de soja consecutiva más grande de su historia, recolectando algo menos de 120 millones de toneladas. En maíz la excelente condición de los lotes de segunda ocupación, más beneficiados por las lluvias tardías, registró un aumento de casi 20 millones de toneladas con respecto al ciclo precedente, llevando la producción al récord de 101 millones de toneladas. </w:t>
      </w:r>
    </w:p>
    <w:p w14:paraId="615DA114" w14:textId="77777777" w:rsidR="00ED480D" w:rsidRPr="00E0157C" w:rsidRDefault="00ED480D" w:rsidP="00ED480D">
      <w:pPr>
        <w:autoSpaceDE w:val="0"/>
        <w:autoSpaceDN w:val="0"/>
        <w:adjustRightInd w:val="0"/>
        <w:spacing w:after="0"/>
        <w:jc w:val="both"/>
        <w:rPr>
          <w:rFonts w:ascii="Cambria" w:hAnsi="Cambria"/>
          <w:sz w:val="20"/>
          <w:lang w:val="es-AR"/>
        </w:rPr>
      </w:pPr>
    </w:p>
    <w:p w14:paraId="5FF96BFB" w14:textId="77777777" w:rsidR="00ED480D" w:rsidRDefault="00ED480D" w:rsidP="00ED480D">
      <w:pPr>
        <w:autoSpaceDE w:val="0"/>
        <w:autoSpaceDN w:val="0"/>
        <w:adjustRightInd w:val="0"/>
        <w:spacing w:after="0"/>
        <w:jc w:val="both"/>
        <w:rPr>
          <w:rFonts w:ascii="Cambria" w:hAnsi="Cambria"/>
          <w:b/>
          <w:bCs/>
          <w:i/>
          <w:sz w:val="20"/>
          <w:u w:val="single"/>
        </w:rPr>
      </w:pPr>
      <w:r w:rsidRPr="00E0157C">
        <w:rPr>
          <w:rFonts w:ascii="Cambria" w:hAnsi="Cambria"/>
          <w:b/>
          <w:bCs/>
          <w:i/>
          <w:sz w:val="20"/>
          <w:u w:val="single"/>
        </w:rPr>
        <w:t>Desempeño económico de Argentina</w:t>
      </w:r>
    </w:p>
    <w:p w14:paraId="7EB075B7" w14:textId="77777777" w:rsidR="00ED480D" w:rsidRPr="00E0157C" w:rsidRDefault="00ED480D" w:rsidP="00ED480D">
      <w:pPr>
        <w:autoSpaceDE w:val="0"/>
        <w:autoSpaceDN w:val="0"/>
        <w:adjustRightInd w:val="0"/>
        <w:spacing w:after="0"/>
        <w:jc w:val="both"/>
        <w:rPr>
          <w:rFonts w:ascii="Cambria" w:hAnsi="Cambria"/>
          <w:b/>
          <w:bCs/>
          <w:i/>
          <w:sz w:val="20"/>
          <w:u w:val="single"/>
        </w:rPr>
      </w:pPr>
    </w:p>
    <w:p w14:paraId="52A0DF25" w14:textId="77777777" w:rsidR="00ED480D" w:rsidRPr="00E0157C" w:rsidRDefault="00ED480D" w:rsidP="00ED480D">
      <w:pPr>
        <w:autoSpaceDE w:val="0"/>
        <w:autoSpaceDN w:val="0"/>
        <w:adjustRightInd w:val="0"/>
        <w:spacing w:after="0"/>
        <w:jc w:val="both"/>
        <w:rPr>
          <w:rFonts w:ascii="Cambria" w:hAnsi="Cambria"/>
          <w:sz w:val="20"/>
          <w:lang w:val="es-AR"/>
        </w:rPr>
      </w:pPr>
      <w:r w:rsidRPr="00E0157C">
        <w:rPr>
          <w:rFonts w:ascii="Cambria" w:hAnsi="Cambria"/>
          <w:sz w:val="20"/>
          <w:lang w:val="es-AR"/>
        </w:rPr>
        <w:t>Durante el ejercicio económico finalizado en marzo de 2020, la macroeconomía argentina estuvo muy influenciada por las distintas instancias electorales entre agosto y octubre del 2019. Luego de las elecciones primarias en agosto de 2019, la victoria del candidato opositor generó mayor incertidumbre y presiones sobre el tipo de cambio. Desde dichas elecciones hasta la llegada al poder del nuevo gobierno, hubo una continua oscilación ascendente del tipo de cambio. El peso argentino sufrió una depreciación del 48,7% y la inflación fue del 48,3%, durante el ejercicio finalizado en marzo de 2020, esto compara, contra una devaluación del 115,1% y una inflación del 54,7% durante el ejercicio anterior finalizado en marzo de 2019. El PBI tuvo un retroceso del 2,2% respecto del año anterior, liderado por una caída en la actividad de la industria manufacturera, comercio e intermediación financiera, pero compensado parcialmente por una importante mejora en las actividades agrícola-ganaderas.</w:t>
      </w:r>
    </w:p>
    <w:p w14:paraId="009D7D6A" w14:textId="77777777" w:rsidR="00ED480D" w:rsidRPr="00E0157C" w:rsidRDefault="00ED480D" w:rsidP="00ED480D">
      <w:pPr>
        <w:autoSpaceDE w:val="0"/>
        <w:autoSpaceDN w:val="0"/>
        <w:adjustRightInd w:val="0"/>
        <w:spacing w:after="0"/>
        <w:jc w:val="both"/>
        <w:rPr>
          <w:rFonts w:ascii="Cambria" w:hAnsi="Cambria"/>
          <w:sz w:val="20"/>
          <w:lang w:val="es-AR"/>
        </w:rPr>
      </w:pPr>
    </w:p>
    <w:p w14:paraId="34E0FF5C" w14:textId="77777777" w:rsidR="00ED480D" w:rsidRDefault="00ED480D" w:rsidP="00ED480D">
      <w:pPr>
        <w:autoSpaceDE w:val="0"/>
        <w:autoSpaceDN w:val="0"/>
        <w:adjustRightInd w:val="0"/>
        <w:spacing w:after="0"/>
        <w:jc w:val="both"/>
        <w:rPr>
          <w:rFonts w:ascii="Cambria" w:hAnsi="Cambria"/>
          <w:sz w:val="20"/>
        </w:rPr>
      </w:pPr>
      <w:r w:rsidRPr="00E0157C">
        <w:rPr>
          <w:rFonts w:ascii="Cambria" w:hAnsi="Cambria"/>
          <w:sz w:val="20"/>
        </w:rPr>
        <w:t>En el ámbito agronómico, y por el ejercicio finalizado en ma</w:t>
      </w:r>
      <w:r>
        <w:rPr>
          <w:rFonts w:ascii="Cambria" w:hAnsi="Cambria"/>
          <w:sz w:val="20"/>
        </w:rPr>
        <w:t>r</w:t>
      </w:r>
      <w:r w:rsidRPr="00E0157C">
        <w:rPr>
          <w:rFonts w:ascii="Cambria" w:hAnsi="Cambria"/>
          <w:sz w:val="20"/>
        </w:rPr>
        <w:t xml:space="preserve">zo de 2020, la producción de soja fue de 53,3 millones de toneladas, representando un incremento del 52% o 18 millones de toneladas más, respecto de la campaña del ejercicio anterior, la cual había sido afectada por una de las peores sequías de la historia, logrando solo una producción de 35 millones de toneladas. En cambio, la cosecha por el ejercicio económico a marzo de 2020 se dio con total normalidad en gran parte del territorio, con lluvias, aunque algo erráticas en algunas regiones, que contribuyeron a una importante recuperación de la cosecha de soja. </w:t>
      </w:r>
    </w:p>
    <w:p w14:paraId="36B13A93" w14:textId="77777777" w:rsidR="00ED480D" w:rsidRPr="00E0157C" w:rsidRDefault="00ED480D" w:rsidP="00ED480D">
      <w:pPr>
        <w:autoSpaceDE w:val="0"/>
        <w:autoSpaceDN w:val="0"/>
        <w:adjustRightInd w:val="0"/>
        <w:spacing w:after="0"/>
        <w:jc w:val="both"/>
        <w:rPr>
          <w:rFonts w:ascii="Cambria" w:hAnsi="Cambria"/>
          <w:sz w:val="20"/>
        </w:rPr>
      </w:pPr>
    </w:p>
    <w:p w14:paraId="4820E9B0" w14:textId="77777777" w:rsidR="00ED480D" w:rsidRDefault="00ED480D" w:rsidP="00ED480D">
      <w:pPr>
        <w:autoSpaceDE w:val="0"/>
        <w:autoSpaceDN w:val="0"/>
        <w:adjustRightInd w:val="0"/>
        <w:spacing w:after="0"/>
        <w:jc w:val="both"/>
        <w:rPr>
          <w:rFonts w:ascii="Cambria" w:hAnsi="Cambria"/>
          <w:sz w:val="20"/>
        </w:rPr>
      </w:pPr>
      <w:r w:rsidRPr="00E0157C">
        <w:rPr>
          <w:rFonts w:ascii="Cambria" w:hAnsi="Cambria"/>
          <w:sz w:val="20"/>
        </w:rPr>
        <w:t>El maíz, con sus dos fechas de cosecha bien marcadas, capitalizó todos los beneficios climáticos en términos de lluvias y temperaturas durante su ciclo. Se alcanzó una producción cercana a los 53 millones de toneladas, 16 millones de toneladas más, en comparación con la cosecha anterior, logrando así un récord en la producción de este cereal para el país.</w:t>
      </w:r>
    </w:p>
    <w:p w14:paraId="31B1E3A6" w14:textId="77777777" w:rsidR="00ED480D" w:rsidRPr="00E0157C" w:rsidRDefault="00ED480D" w:rsidP="00ED480D">
      <w:pPr>
        <w:autoSpaceDE w:val="0"/>
        <w:autoSpaceDN w:val="0"/>
        <w:adjustRightInd w:val="0"/>
        <w:spacing w:after="0"/>
        <w:jc w:val="both"/>
        <w:rPr>
          <w:rFonts w:ascii="Cambria" w:hAnsi="Cambria"/>
          <w:sz w:val="20"/>
        </w:rPr>
      </w:pPr>
    </w:p>
    <w:p w14:paraId="10772190" w14:textId="77777777" w:rsidR="00ED480D" w:rsidRDefault="00ED480D" w:rsidP="00ED480D">
      <w:pPr>
        <w:autoSpaceDE w:val="0"/>
        <w:autoSpaceDN w:val="0"/>
        <w:adjustRightInd w:val="0"/>
        <w:spacing w:after="0"/>
        <w:jc w:val="both"/>
        <w:rPr>
          <w:rFonts w:ascii="Cambria" w:hAnsi="Cambria"/>
          <w:sz w:val="20"/>
        </w:rPr>
      </w:pPr>
      <w:r w:rsidRPr="00E0157C">
        <w:rPr>
          <w:rFonts w:ascii="Cambria" w:hAnsi="Cambria"/>
          <w:sz w:val="20"/>
        </w:rPr>
        <w:t xml:space="preserve">Tanto el ritmo de ventas por parte del productor, como los precios locales, acompañaron durante gran parte de la campaña a los vaivenes de la Guerra Comercial entre </w:t>
      </w:r>
      <w:proofErr w:type="gramStart"/>
      <w:r w:rsidRPr="00E0157C">
        <w:rPr>
          <w:rFonts w:ascii="Cambria" w:hAnsi="Cambria"/>
          <w:sz w:val="20"/>
        </w:rPr>
        <w:t>EEUU</w:t>
      </w:r>
      <w:proofErr w:type="gramEnd"/>
      <w:r w:rsidRPr="00E0157C">
        <w:rPr>
          <w:rFonts w:ascii="Cambria" w:hAnsi="Cambria"/>
          <w:sz w:val="20"/>
        </w:rPr>
        <w:t xml:space="preserve"> y China que se prolongó hasta la firma de la Fase I del acuerdo, en el mes de octubre de 2019. </w:t>
      </w:r>
    </w:p>
    <w:p w14:paraId="454F4503" w14:textId="77777777" w:rsidR="00ED480D" w:rsidRPr="00E0157C" w:rsidRDefault="00ED480D" w:rsidP="00ED480D">
      <w:pPr>
        <w:autoSpaceDE w:val="0"/>
        <w:autoSpaceDN w:val="0"/>
        <w:adjustRightInd w:val="0"/>
        <w:spacing w:after="0"/>
        <w:jc w:val="both"/>
        <w:rPr>
          <w:rFonts w:ascii="Cambria" w:hAnsi="Cambria"/>
          <w:sz w:val="20"/>
        </w:rPr>
      </w:pPr>
    </w:p>
    <w:p w14:paraId="0D176AAC" w14:textId="77777777" w:rsidR="00ED480D" w:rsidRPr="00E0157C" w:rsidRDefault="00ED480D" w:rsidP="00ED480D">
      <w:pPr>
        <w:autoSpaceDE w:val="0"/>
        <w:autoSpaceDN w:val="0"/>
        <w:adjustRightInd w:val="0"/>
        <w:spacing w:after="0"/>
        <w:jc w:val="both"/>
        <w:rPr>
          <w:rFonts w:ascii="Cambria" w:hAnsi="Cambria"/>
          <w:sz w:val="20"/>
          <w:lang w:val="es-AR"/>
        </w:rPr>
      </w:pPr>
      <w:r w:rsidRPr="00E0157C">
        <w:rPr>
          <w:rFonts w:ascii="Cambria" w:hAnsi="Cambria"/>
          <w:sz w:val="20"/>
          <w:lang w:val="es-AR"/>
        </w:rPr>
        <w:t>Con mayor certidumbre internacional y previo a la asunción del gobierno de Alberto Fernández, los productores aceleraron las ventas de granos tanto de la campaña agrícola 2018/19 como el anticipo de la 2019/20, por temor a un nuevo incremento en las alícuotas del impuesto a las exportaciones. Este aumento finalmente se confirmó el 14 de diciembre de 2019, mediante el Decreto 37/2019. Fue así como el esquema de derechos de exportación volvió al sistema previo, gravando un porcentaje fijo sobre el precio índice de cada producto, eliminando el tipo de cambio en la fórmula de la ecuación. Esta modificación con respecto al esquema anterior vigente significó una suba del 5,7% para la soja y sus derivados de molienda, el maíz y el trigo, entre otros productos.</w:t>
      </w:r>
    </w:p>
    <w:p w14:paraId="5663EF25" w14:textId="77777777" w:rsidR="00ED480D" w:rsidRPr="00E0157C" w:rsidRDefault="00ED480D" w:rsidP="00ED480D">
      <w:pPr>
        <w:autoSpaceDE w:val="0"/>
        <w:autoSpaceDN w:val="0"/>
        <w:adjustRightInd w:val="0"/>
        <w:spacing w:after="0"/>
        <w:jc w:val="both"/>
        <w:rPr>
          <w:rFonts w:ascii="Cambria" w:hAnsi="Cambria"/>
          <w:sz w:val="20"/>
          <w:lang w:val="es-AR"/>
        </w:rPr>
      </w:pPr>
    </w:p>
    <w:p w14:paraId="52DA5427" w14:textId="77777777" w:rsidR="00ED480D" w:rsidRPr="00E0157C" w:rsidRDefault="00ED480D" w:rsidP="00ED480D">
      <w:pPr>
        <w:autoSpaceDE w:val="0"/>
        <w:autoSpaceDN w:val="0"/>
        <w:adjustRightInd w:val="0"/>
        <w:spacing w:after="0"/>
        <w:jc w:val="both"/>
        <w:rPr>
          <w:rFonts w:ascii="Cambria" w:hAnsi="Cambria"/>
          <w:sz w:val="20"/>
          <w:lang w:val="es-AR"/>
        </w:rPr>
      </w:pPr>
      <w:r w:rsidRPr="00E0157C">
        <w:rPr>
          <w:rFonts w:ascii="Cambria" w:hAnsi="Cambria"/>
          <w:sz w:val="20"/>
          <w:lang w:val="es-AR"/>
        </w:rPr>
        <w:t xml:space="preserve">Por último, cabe destacar que durante todo el periodo se mantuvo la paridad de los derechos de exportación, dispuesta durante el ejercicio anterior, entre los granos sin procesar y los productos derivados de un proceso industrial, tal como los que exporta la Sociedad (aceite, harina, cáscara y </w:t>
      </w:r>
      <w:r w:rsidRPr="00E0157C">
        <w:rPr>
          <w:rFonts w:ascii="Cambria" w:hAnsi="Cambria"/>
          <w:sz w:val="20"/>
          <w:lang w:val="es-AR"/>
        </w:rPr>
        <w:lastRenderedPageBreak/>
        <w:t xml:space="preserve">biodiesel), haciendo que se tributen más derechos de exportación por la tonelada equivalente de productos que por el grano sin procesar, fomentando de esta forma la primarización de la economía y consecuentemente la exportación de productos sin valor agregado, que en soja totalizó unos 10 millones de toneladas (es decir, 6 millones de toneladas más que lo exportado durante el ejercicio anterior). </w:t>
      </w:r>
    </w:p>
    <w:p w14:paraId="1CDB43B9" w14:textId="77777777" w:rsidR="00ED480D" w:rsidRPr="006E4259" w:rsidRDefault="00ED480D" w:rsidP="00ED480D">
      <w:pPr>
        <w:shd w:val="clear" w:color="auto" w:fill="FFFFFF"/>
        <w:spacing w:after="240"/>
        <w:jc w:val="both"/>
        <w:rPr>
          <w:rFonts w:ascii="Times New Roman" w:hAnsi="Times New Roman"/>
          <w:lang w:val="es-AR"/>
        </w:rPr>
      </w:pPr>
      <w:r w:rsidRPr="005B081E">
        <w:rPr>
          <w:rFonts w:ascii="Cambria" w:eastAsia="Times New Roman" w:hAnsi="Cambria"/>
          <w:sz w:val="20"/>
          <w:szCs w:val="20"/>
          <w:lang w:val="es-AR" w:eastAsia="en-US"/>
        </w:rPr>
        <w:t xml:space="preserve"> </w:t>
      </w:r>
    </w:p>
    <w:p w14:paraId="22C1C4BC" w14:textId="77777777" w:rsidR="00ED480D" w:rsidRPr="005B081E" w:rsidRDefault="00ED480D" w:rsidP="00ED480D">
      <w:pPr>
        <w:spacing w:after="240"/>
        <w:jc w:val="both"/>
        <w:rPr>
          <w:rFonts w:ascii="Times New Roman" w:hAnsi="Times New Roman"/>
          <w:lang w:eastAsia="en-US"/>
        </w:rPr>
      </w:pPr>
      <w:r w:rsidRPr="00537C9D">
        <w:rPr>
          <w:noProof/>
          <w:lang w:val="es-AR"/>
        </w:rPr>
        <w:drawing>
          <wp:inline distT="0" distB="0" distL="0" distR="0" wp14:anchorId="35598499" wp14:editId="4640A5D7">
            <wp:extent cx="5018743" cy="3407158"/>
            <wp:effectExtent l="0" t="0" r="0" b="317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29491" cy="3414455"/>
                    </a:xfrm>
                    <a:prstGeom prst="rect">
                      <a:avLst/>
                    </a:prstGeom>
                    <a:noFill/>
                    <a:ln>
                      <a:noFill/>
                    </a:ln>
                  </pic:spPr>
                </pic:pic>
              </a:graphicData>
            </a:graphic>
          </wp:inline>
        </w:drawing>
      </w:r>
    </w:p>
    <w:p w14:paraId="7EA5206F" w14:textId="77777777" w:rsidR="00ED480D" w:rsidRPr="005B081E" w:rsidRDefault="00ED480D" w:rsidP="000C02A3">
      <w:pPr>
        <w:numPr>
          <w:ilvl w:val="0"/>
          <w:numId w:val="16"/>
        </w:numPr>
        <w:spacing w:after="0"/>
        <w:jc w:val="both"/>
        <w:rPr>
          <w:rFonts w:ascii="Cambria" w:hAnsi="Cambria"/>
          <w:sz w:val="20"/>
          <w:szCs w:val="20"/>
          <w:lang w:eastAsia="en-US"/>
        </w:rPr>
      </w:pPr>
      <w:r w:rsidRPr="005B081E">
        <w:rPr>
          <w:rFonts w:ascii="Cambria" w:hAnsi="Cambria"/>
          <w:sz w:val="20"/>
          <w:szCs w:val="20"/>
          <w:lang w:eastAsia="en-US"/>
        </w:rPr>
        <w:t>Los saldos surgen de los estados financieros consolidados al 31 de marzo de 2020 y se encuentra</w:t>
      </w:r>
      <w:r>
        <w:rPr>
          <w:rFonts w:ascii="Cambria" w:hAnsi="Cambria"/>
          <w:sz w:val="20"/>
          <w:szCs w:val="20"/>
          <w:lang w:eastAsia="en-US"/>
        </w:rPr>
        <w:t>n</w:t>
      </w:r>
      <w:r w:rsidRPr="005B081E">
        <w:rPr>
          <w:rFonts w:ascii="Cambria" w:hAnsi="Cambria"/>
          <w:sz w:val="20"/>
          <w:szCs w:val="20"/>
          <w:lang w:eastAsia="en-US"/>
        </w:rPr>
        <w:t xml:space="preserve"> reexpresados a moneda de dicha fecha.</w:t>
      </w:r>
    </w:p>
    <w:p w14:paraId="1FDA2EBF" w14:textId="77777777" w:rsidR="00ED480D" w:rsidRPr="005B081E" w:rsidRDefault="00ED480D" w:rsidP="000C02A3">
      <w:pPr>
        <w:numPr>
          <w:ilvl w:val="0"/>
          <w:numId w:val="16"/>
        </w:numPr>
        <w:spacing w:after="0"/>
        <w:jc w:val="both"/>
        <w:rPr>
          <w:rFonts w:ascii="Cambria" w:hAnsi="Cambria"/>
          <w:sz w:val="20"/>
          <w:szCs w:val="20"/>
          <w:lang w:eastAsia="en-US"/>
        </w:rPr>
      </w:pPr>
      <w:r w:rsidRPr="005B081E">
        <w:rPr>
          <w:rFonts w:ascii="Cambria" w:hAnsi="Cambria"/>
          <w:sz w:val="20"/>
          <w:szCs w:val="20"/>
          <w:lang w:eastAsia="en-US"/>
        </w:rPr>
        <w:t>Las variaciones se presentan en términos absolutos. La suma de los subtotales y totales expuestos en los cuadros respectivos, deben considerar lo mencionado anteriormente.</w:t>
      </w:r>
    </w:p>
    <w:p w14:paraId="104028EF" w14:textId="77777777" w:rsidR="00ED480D" w:rsidRPr="006E4259" w:rsidRDefault="00ED480D" w:rsidP="00ED480D">
      <w:pPr>
        <w:spacing w:after="240"/>
        <w:jc w:val="both"/>
        <w:rPr>
          <w:rFonts w:ascii="Times New Roman" w:hAnsi="Times New Roman"/>
        </w:rPr>
      </w:pPr>
    </w:p>
    <w:p w14:paraId="086F209C" w14:textId="77777777" w:rsidR="00ED480D" w:rsidRPr="005B081E" w:rsidRDefault="00ED480D" w:rsidP="00ED480D">
      <w:pPr>
        <w:jc w:val="both"/>
        <w:rPr>
          <w:rFonts w:ascii="Cambria" w:hAnsi="Cambria"/>
          <w:b/>
          <w:bCs/>
          <w:i/>
          <w:sz w:val="20"/>
          <w:szCs w:val="20"/>
          <w:lang w:eastAsia="en-US"/>
        </w:rPr>
      </w:pPr>
      <w:r w:rsidRPr="005B081E">
        <w:rPr>
          <w:rFonts w:ascii="Cambria" w:hAnsi="Cambria"/>
          <w:b/>
          <w:bCs/>
          <w:i/>
          <w:sz w:val="20"/>
          <w:szCs w:val="20"/>
          <w:lang w:eastAsia="en-US"/>
        </w:rPr>
        <w:t>Ingreso de actividades ordinarias</w:t>
      </w:r>
      <w:r w:rsidRPr="005B081E">
        <w:rPr>
          <w:rFonts w:ascii="Cambria" w:hAnsi="Cambria"/>
          <w:b/>
          <w:bCs/>
          <w:sz w:val="20"/>
          <w:szCs w:val="20"/>
          <w:lang w:eastAsia="en-US"/>
        </w:rPr>
        <w:t xml:space="preserve"> </w:t>
      </w:r>
      <w:r w:rsidRPr="005B081E">
        <w:rPr>
          <w:rFonts w:ascii="Cambria" w:hAnsi="Cambria"/>
          <w:b/>
          <w:bCs/>
          <w:i/>
          <w:sz w:val="20"/>
          <w:szCs w:val="20"/>
          <w:lang w:eastAsia="en-US"/>
        </w:rPr>
        <w:t>y molienda</w:t>
      </w:r>
    </w:p>
    <w:p w14:paraId="2A42B499" w14:textId="77777777" w:rsidR="00ED480D" w:rsidRPr="005B081E" w:rsidRDefault="00ED480D" w:rsidP="00ED480D">
      <w:pPr>
        <w:jc w:val="both"/>
        <w:rPr>
          <w:rFonts w:ascii="Cambria" w:hAnsi="Cambria"/>
          <w:i/>
          <w:iCs/>
          <w:sz w:val="20"/>
          <w:szCs w:val="20"/>
          <w:lang w:eastAsia="en-US"/>
        </w:rPr>
      </w:pPr>
      <w:r w:rsidRPr="005B081E">
        <w:rPr>
          <w:rFonts w:ascii="Cambria" w:hAnsi="Cambria"/>
          <w:i/>
          <w:iCs/>
          <w:sz w:val="20"/>
          <w:szCs w:val="20"/>
          <w:lang w:eastAsia="en-US"/>
        </w:rPr>
        <w:t>Originación y molienda</w:t>
      </w:r>
    </w:p>
    <w:p w14:paraId="5C1726B3" w14:textId="77777777" w:rsidR="00ED480D" w:rsidRPr="00E00C94" w:rsidRDefault="00ED480D" w:rsidP="00ED480D">
      <w:pPr>
        <w:jc w:val="both"/>
        <w:rPr>
          <w:rFonts w:ascii="Cambria" w:hAnsi="Cambria"/>
          <w:sz w:val="20"/>
          <w:szCs w:val="20"/>
          <w:lang w:eastAsia="en-US"/>
        </w:rPr>
      </w:pPr>
      <w:r w:rsidRPr="00E00C94">
        <w:rPr>
          <w:rFonts w:ascii="Cambria" w:hAnsi="Cambria"/>
          <w:sz w:val="20"/>
          <w:szCs w:val="20"/>
          <w:lang w:eastAsia="en-US"/>
        </w:rPr>
        <w:t>Pese al incremento en la disponibilidad de la materia prima del 52%, respecto del ejercicio anterior, el volumen industrializado se ubicó levemente por encima del promedio de las últimas 5 campañas, con algo más de 41 millones de toneladas, esto implicó un aumento del 17% respecto al ejercicio anterior. Este menor incremento en los volúmenes procesados, a pesar del incremento de la cosecha, se debe a que hubo un aumento de las exportaciones de grano sin procesar. La Emisora participó con un volumen de molienda de 4,4 millones de toneladas, es decir un 10,7% del disponible, lo cual, implic</w:t>
      </w:r>
      <w:r>
        <w:rPr>
          <w:rFonts w:ascii="Cambria" w:hAnsi="Cambria"/>
          <w:sz w:val="20"/>
          <w:szCs w:val="20"/>
          <w:lang w:eastAsia="en-US"/>
        </w:rPr>
        <w:t>ó</w:t>
      </w:r>
      <w:r w:rsidRPr="00E00C94">
        <w:rPr>
          <w:rFonts w:ascii="Cambria" w:hAnsi="Cambria"/>
          <w:sz w:val="20"/>
          <w:szCs w:val="20"/>
          <w:lang w:eastAsia="en-US"/>
        </w:rPr>
        <w:t xml:space="preserve"> un aumento del 18%, respecto de las toneladas molidas en el ejercicio anterior.</w:t>
      </w:r>
    </w:p>
    <w:p w14:paraId="7F34880D" w14:textId="77777777" w:rsidR="00ED480D" w:rsidRPr="00E00C94" w:rsidRDefault="00ED480D" w:rsidP="00ED480D">
      <w:pPr>
        <w:jc w:val="both"/>
        <w:rPr>
          <w:rFonts w:ascii="Cambria" w:hAnsi="Cambria"/>
          <w:sz w:val="20"/>
          <w:szCs w:val="20"/>
          <w:lang w:eastAsia="en-US"/>
        </w:rPr>
      </w:pPr>
      <w:r w:rsidRPr="00E00C94">
        <w:rPr>
          <w:rFonts w:ascii="Cambria" w:hAnsi="Cambria"/>
          <w:sz w:val="20"/>
          <w:szCs w:val="20"/>
          <w:lang w:eastAsia="en-US"/>
        </w:rPr>
        <w:t>Adicionalmente, durante el presente ejercicio la Emisora volvió a la molienda de girasol, adaptando una de sus líneas productivas, totalizando las 63 mil toneladas y sentando las bases para seguir creciendo en la comercialización de aceite y pellet de girasol.</w:t>
      </w:r>
    </w:p>
    <w:p w14:paraId="1D545190" w14:textId="77777777" w:rsidR="00ED480D" w:rsidRPr="00E00C94" w:rsidRDefault="00ED480D" w:rsidP="00ED480D">
      <w:pPr>
        <w:jc w:val="both"/>
        <w:rPr>
          <w:rFonts w:ascii="Cambria" w:hAnsi="Cambria"/>
          <w:i/>
          <w:iCs/>
          <w:sz w:val="20"/>
          <w:szCs w:val="20"/>
          <w:lang w:eastAsia="en-US"/>
        </w:rPr>
      </w:pPr>
      <w:r w:rsidRPr="00E00C94">
        <w:rPr>
          <w:rFonts w:ascii="Cambria" w:hAnsi="Cambria"/>
          <w:i/>
          <w:iCs/>
          <w:sz w:val="20"/>
          <w:szCs w:val="20"/>
          <w:lang w:eastAsia="en-US"/>
        </w:rPr>
        <w:t>Ingresos por ventas</w:t>
      </w:r>
    </w:p>
    <w:p w14:paraId="46C9B816" w14:textId="77777777" w:rsidR="00ED480D" w:rsidRPr="00E00C94" w:rsidRDefault="00ED480D" w:rsidP="00ED480D">
      <w:pPr>
        <w:jc w:val="both"/>
        <w:rPr>
          <w:rFonts w:ascii="Cambria" w:hAnsi="Cambria"/>
          <w:sz w:val="20"/>
          <w:szCs w:val="20"/>
          <w:lang w:eastAsia="en-US"/>
        </w:rPr>
      </w:pPr>
      <w:r w:rsidRPr="00E00C94">
        <w:rPr>
          <w:rFonts w:ascii="Cambria" w:hAnsi="Cambria"/>
          <w:sz w:val="20"/>
          <w:szCs w:val="20"/>
          <w:lang w:eastAsia="en-US"/>
        </w:rPr>
        <w:lastRenderedPageBreak/>
        <w:t>Durante el ejercicio económico finalizado a marzo de 2020, la Emisora alcanzó un récord en el volumen de procesamiento industrial y tonelaje exportado y esto se vio reflejado en los ingresos por ventas, que llegaron a los Ps. 127.227,4 millones, esto implicó un aumento del 22%, en relación con el ejercicio anterior.  Esto se da como consecuencia de la comercialización de 6,6 millones de toneladas, esto implicó un aumento de casi 1,7 millones de toneladas, con respecto al ejercicio anterior, entre las cuales se destacan los cereales, con 2,1 millones de toneladas, el cual, casi duplic</w:t>
      </w:r>
      <w:r>
        <w:rPr>
          <w:rFonts w:ascii="Cambria" w:hAnsi="Cambria"/>
          <w:sz w:val="20"/>
          <w:szCs w:val="20"/>
          <w:lang w:eastAsia="en-US"/>
        </w:rPr>
        <w:t>ó</w:t>
      </w:r>
      <w:r w:rsidRPr="00E00C94">
        <w:rPr>
          <w:rFonts w:ascii="Cambria" w:hAnsi="Cambria"/>
          <w:sz w:val="20"/>
          <w:szCs w:val="20"/>
          <w:lang w:eastAsia="en-US"/>
        </w:rPr>
        <w:t xml:space="preserve"> el volumen, con respecto al ejercicio anterior, y es el mayor volumen comercializado desde el comienzo de la operación. Por el lado del complejo sojero, hubo un incremento del volumen procesado de soja de 600 mil toneladas (18% de incremento, respecto al ejercicio anterior), compensado parcialmente con una caída de los precios internacionales de los derivados de la molienda. </w:t>
      </w:r>
    </w:p>
    <w:p w14:paraId="43A7F55D" w14:textId="77777777" w:rsidR="00ED480D" w:rsidRPr="00E00C94" w:rsidRDefault="00ED480D" w:rsidP="00ED480D">
      <w:pPr>
        <w:jc w:val="both"/>
        <w:rPr>
          <w:rFonts w:ascii="Cambria" w:hAnsi="Cambria"/>
          <w:i/>
          <w:sz w:val="20"/>
          <w:szCs w:val="20"/>
          <w:lang w:eastAsia="en-US"/>
        </w:rPr>
      </w:pPr>
      <w:r w:rsidRPr="00E00C94">
        <w:rPr>
          <w:rFonts w:ascii="Cambria" w:hAnsi="Cambria"/>
          <w:i/>
          <w:sz w:val="20"/>
          <w:szCs w:val="20"/>
          <w:lang w:eastAsia="en-US"/>
        </w:rPr>
        <w:t>Ingresos por área geográfica</w:t>
      </w:r>
    </w:p>
    <w:p w14:paraId="1D7CD4AB" w14:textId="77777777" w:rsidR="00ED480D" w:rsidRPr="00E00C94" w:rsidRDefault="00ED480D" w:rsidP="00ED480D">
      <w:pPr>
        <w:jc w:val="both"/>
        <w:rPr>
          <w:rFonts w:ascii="Cambria" w:hAnsi="Cambria"/>
          <w:sz w:val="20"/>
          <w:szCs w:val="20"/>
          <w:lang w:eastAsia="en-US"/>
        </w:rPr>
      </w:pPr>
      <w:r w:rsidRPr="00E00C94">
        <w:rPr>
          <w:rFonts w:ascii="Cambria" w:hAnsi="Cambria"/>
          <w:sz w:val="20"/>
          <w:szCs w:val="20"/>
          <w:lang w:eastAsia="en-US"/>
        </w:rPr>
        <w:t xml:space="preserve">Los ingresos de la Emisora están concentrados en el mercado externo, los cuales, representaron un 91% y un 89% de los ingresos por ventas, de los ejercicios finalizados al 31 de marzo de 2020 y 2019, respectivamente. </w:t>
      </w:r>
    </w:p>
    <w:p w14:paraId="58F75C77" w14:textId="77777777" w:rsidR="00ED480D" w:rsidRPr="00E00C94" w:rsidRDefault="00ED480D" w:rsidP="00ED480D">
      <w:pPr>
        <w:jc w:val="both"/>
        <w:rPr>
          <w:rFonts w:ascii="Cambria" w:hAnsi="Cambria"/>
          <w:sz w:val="20"/>
          <w:szCs w:val="20"/>
          <w:lang w:eastAsia="en-US"/>
        </w:rPr>
      </w:pPr>
      <w:r w:rsidRPr="00E00C94">
        <w:rPr>
          <w:rFonts w:ascii="Cambria" w:hAnsi="Cambria"/>
          <w:noProof/>
          <w:sz w:val="20"/>
          <w:szCs w:val="20"/>
          <w:lang w:val="es-AR"/>
        </w:rPr>
        <w:drawing>
          <wp:inline distT="0" distB="0" distL="0" distR="0" wp14:anchorId="39271527" wp14:editId="2B635029">
            <wp:extent cx="5612130" cy="868045"/>
            <wp:effectExtent l="0" t="0" r="762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12130" cy="868045"/>
                    </a:xfrm>
                    <a:prstGeom prst="rect">
                      <a:avLst/>
                    </a:prstGeom>
                    <a:noFill/>
                    <a:ln>
                      <a:noFill/>
                    </a:ln>
                  </pic:spPr>
                </pic:pic>
              </a:graphicData>
            </a:graphic>
          </wp:inline>
        </w:drawing>
      </w:r>
    </w:p>
    <w:p w14:paraId="24A331DA" w14:textId="77777777" w:rsidR="00ED480D" w:rsidRPr="00E00C94" w:rsidRDefault="00ED480D" w:rsidP="000C02A3">
      <w:pPr>
        <w:numPr>
          <w:ilvl w:val="0"/>
          <w:numId w:val="47"/>
        </w:numPr>
        <w:jc w:val="both"/>
        <w:rPr>
          <w:rFonts w:ascii="Cambria" w:hAnsi="Cambria"/>
          <w:sz w:val="20"/>
          <w:szCs w:val="20"/>
          <w:lang w:eastAsia="en-US"/>
        </w:rPr>
      </w:pPr>
      <w:r w:rsidRPr="00E00C94">
        <w:rPr>
          <w:rFonts w:ascii="Cambria" w:hAnsi="Cambria"/>
          <w:sz w:val="20"/>
          <w:szCs w:val="20"/>
          <w:lang w:eastAsia="en-US"/>
        </w:rPr>
        <w:t>Los saldos surgen de los estados financieros consolidados al 31 de marzo de 2020 y se encuentra reexpresados a moneda de dicha fecha.</w:t>
      </w:r>
    </w:p>
    <w:p w14:paraId="23BC2BE6" w14:textId="77777777" w:rsidR="00ED480D" w:rsidRPr="00E00C94" w:rsidRDefault="00ED480D" w:rsidP="000C02A3">
      <w:pPr>
        <w:numPr>
          <w:ilvl w:val="0"/>
          <w:numId w:val="47"/>
        </w:numPr>
        <w:jc w:val="both"/>
        <w:rPr>
          <w:rFonts w:ascii="Cambria" w:hAnsi="Cambria"/>
          <w:sz w:val="20"/>
          <w:szCs w:val="20"/>
          <w:lang w:eastAsia="en-US"/>
        </w:rPr>
      </w:pPr>
      <w:r w:rsidRPr="00E00C94">
        <w:rPr>
          <w:rFonts w:ascii="Cambria" w:hAnsi="Cambria"/>
          <w:sz w:val="20"/>
          <w:szCs w:val="20"/>
          <w:lang w:eastAsia="en-US"/>
        </w:rPr>
        <w:t>Las variaciones se presentan en términos absolutos. La suma de los subtotales y totales expuestos en los cuadros respectivos, deben considerar lo mencionado anteriormente.</w:t>
      </w:r>
    </w:p>
    <w:p w14:paraId="04ECD6C6" w14:textId="77777777" w:rsidR="00ED480D" w:rsidRPr="00E00C94" w:rsidRDefault="00ED480D" w:rsidP="00ED480D">
      <w:pPr>
        <w:jc w:val="both"/>
        <w:rPr>
          <w:rFonts w:ascii="Cambria" w:hAnsi="Cambria"/>
          <w:sz w:val="20"/>
          <w:szCs w:val="20"/>
          <w:lang w:eastAsia="en-US"/>
        </w:rPr>
      </w:pPr>
    </w:p>
    <w:p w14:paraId="0CF81099" w14:textId="77777777" w:rsidR="00ED480D" w:rsidRPr="00E00C94" w:rsidRDefault="00ED480D" w:rsidP="00ED480D">
      <w:pPr>
        <w:jc w:val="both"/>
        <w:rPr>
          <w:rFonts w:ascii="Cambria" w:hAnsi="Cambria"/>
          <w:i/>
          <w:sz w:val="20"/>
          <w:szCs w:val="20"/>
          <w:lang w:eastAsia="en-US"/>
        </w:rPr>
      </w:pPr>
      <w:r w:rsidRPr="00E00C94">
        <w:rPr>
          <w:rFonts w:ascii="Cambria" w:hAnsi="Cambria"/>
          <w:i/>
          <w:sz w:val="20"/>
          <w:szCs w:val="20"/>
          <w:lang w:eastAsia="en-US"/>
        </w:rPr>
        <w:t>Mercado externo</w:t>
      </w:r>
    </w:p>
    <w:p w14:paraId="23A16692" w14:textId="77777777" w:rsidR="00ED480D" w:rsidRPr="00E00C94" w:rsidRDefault="00ED480D" w:rsidP="00ED480D">
      <w:pPr>
        <w:jc w:val="both"/>
        <w:rPr>
          <w:rFonts w:ascii="Cambria" w:hAnsi="Cambria"/>
          <w:sz w:val="20"/>
          <w:szCs w:val="20"/>
          <w:lang w:eastAsia="en-US"/>
        </w:rPr>
      </w:pPr>
      <w:r w:rsidRPr="00E00C94">
        <w:rPr>
          <w:rFonts w:ascii="Cambria" w:hAnsi="Cambria"/>
          <w:sz w:val="20"/>
          <w:szCs w:val="20"/>
          <w:lang w:eastAsia="en-US"/>
        </w:rPr>
        <w:t xml:space="preserve">En harina de soja la Emisora se encuentra posicionada como una de las líderes mundiales, donde cada año logra </w:t>
      </w:r>
      <w:r w:rsidRPr="00E00C94">
        <w:rPr>
          <w:rFonts w:ascii="Cambria" w:hAnsi="Cambria"/>
          <w:sz w:val="20"/>
          <w:szCs w:val="20"/>
          <w:lang w:val="es-AR" w:eastAsia="en-US"/>
        </w:rPr>
        <w:t xml:space="preserve">ratificar su condición de proveedor confiable de escala relevante. </w:t>
      </w:r>
      <w:r w:rsidRPr="00E00C94">
        <w:rPr>
          <w:rFonts w:ascii="Cambria" w:hAnsi="Cambria"/>
          <w:sz w:val="20"/>
          <w:szCs w:val="20"/>
          <w:lang w:eastAsia="en-US"/>
        </w:rPr>
        <w:t>En lo que respecta al aceite crudo de soja, la Emisora colocó su producción en 15 diferentes países, además de proveer a plantas propias y de terceros para la producción de biodiesel. La República de la India, al igual que en el ejercicio anterior, volvió a ser el destino más importante, concentrando un 25% del total de la producción de aceite de la empresa.</w:t>
      </w:r>
    </w:p>
    <w:p w14:paraId="01E8B03B" w14:textId="77777777" w:rsidR="00ED480D" w:rsidRPr="00E00C94" w:rsidRDefault="00ED480D" w:rsidP="00ED480D">
      <w:pPr>
        <w:jc w:val="both"/>
        <w:rPr>
          <w:rFonts w:ascii="Cambria" w:hAnsi="Cambria"/>
          <w:i/>
          <w:sz w:val="20"/>
          <w:szCs w:val="20"/>
          <w:lang w:val="es-AR" w:eastAsia="en-US"/>
        </w:rPr>
      </w:pPr>
      <w:r w:rsidRPr="00E00C94">
        <w:rPr>
          <w:rFonts w:ascii="Cambria" w:hAnsi="Cambria"/>
          <w:i/>
          <w:sz w:val="20"/>
          <w:szCs w:val="20"/>
          <w:lang w:val="es-AR" w:eastAsia="en-US"/>
        </w:rPr>
        <w:t>Mercado Local.</w:t>
      </w:r>
    </w:p>
    <w:p w14:paraId="56BD7BF5" w14:textId="77777777" w:rsidR="00ED480D" w:rsidRPr="00E00C94" w:rsidRDefault="00ED480D" w:rsidP="00ED480D">
      <w:pPr>
        <w:jc w:val="both"/>
        <w:rPr>
          <w:rFonts w:ascii="Cambria" w:hAnsi="Cambria"/>
          <w:sz w:val="20"/>
          <w:szCs w:val="20"/>
          <w:lang w:val="es-AR" w:eastAsia="en-US"/>
        </w:rPr>
      </w:pPr>
      <w:r w:rsidRPr="00E00C94">
        <w:rPr>
          <w:rFonts w:ascii="Cambria" w:hAnsi="Cambria"/>
          <w:sz w:val="20"/>
          <w:szCs w:val="20"/>
          <w:lang w:val="es-AR" w:eastAsia="en-US"/>
        </w:rPr>
        <w:t xml:space="preserve">En un año de incertidumbre e inestabilidad y con escaso acceso al financiamiento, se continuó con el proceso de concentrar operaciones en clientes confiables, manteniendo los plazos de cobro y los márgenes. Para tal fin se concentraron los esfuerzos en el análisis crediticio, en la gestión de cobranzas y, con el afán de minimizar el impacto devaluatorio, se incrementaron fuertemente los negocios nominados en dólares estadounidenses. </w:t>
      </w:r>
    </w:p>
    <w:p w14:paraId="3E494C82" w14:textId="77777777" w:rsidR="00ED480D" w:rsidRPr="00E00C94" w:rsidRDefault="00ED480D" w:rsidP="00ED480D">
      <w:pPr>
        <w:jc w:val="both"/>
        <w:rPr>
          <w:rFonts w:ascii="Cambria" w:hAnsi="Cambria"/>
          <w:sz w:val="20"/>
          <w:szCs w:val="20"/>
          <w:lang w:val="es-AR" w:eastAsia="en-US"/>
        </w:rPr>
      </w:pPr>
      <w:r w:rsidRPr="00E00C94">
        <w:rPr>
          <w:rFonts w:ascii="Cambria" w:hAnsi="Cambria"/>
          <w:sz w:val="20"/>
          <w:szCs w:val="20"/>
          <w:lang w:val="es-AR" w:eastAsia="en-US"/>
        </w:rPr>
        <w:t>Los volúmenes de sólidos se mantuvieron similares al año anterior (incorporando el pellet de girasol, que se comercializó en un 85% en el mercado local), mientras que los líquidos (excluyendo el biodiesel) se incrementaron aproximadamente un 25% respecto del ejercicio anterior. Más allá del aceite crudo de soja se incorporaron ventas de aceite neutro de soja y aceite crudo de girasol.</w:t>
      </w:r>
    </w:p>
    <w:p w14:paraId="1D08F44A" w14:textId="77777777" w:rsidR="00ED480D" w:rsidRPr="006E4259" w:rsidRDefault="00ED480D" w:rsidP="00ED480D">
      <w:pPr>
        <w:jc w:val="both"/>
        <w:rPr>
          <w:rFonts w:asciiTheme="minorHAnsi" w:hAnsiTheme="minorHAnsi"/>
          <w:b/>
          <w:i/>
          <w:sz w:val="20"/>
        </w:rPr>
      </w:pPr>
      <w:r w:rsidRPr="006E4259">
        <w:rPr>
          <w:rFonts w:asciiTheme="minorHAnsi" w:hAnsiTheme="minorHAnsi"/>
          <w:b/>
          <w:i/>
          <w:sz w:val="20"/>
        </w:rPr>
        <w:lastRenderedPageBreak/>
        <w:t>Gastos y resultado operativo</w:t>
      </w:r>
    </w:p>
    <w:p w14:paraId="7B908549" w14:textId="77777777" w:rsidR="00ED480D" w:rsidRPr="0053456A" w:rsidRDefault="00ED480D" w:rsidP="00ED480D">
      <w:pPr>
        <w:jc w:val="both"/>
        <w:rPr>
          <w:rFonts w:ascii="Cambria" w:hAnsi="Cambria"/>
          <w:sz w:val="20"/>
          <w:szCs w:val="20"/>
          <w:lang w:eastAsia="en-US"/>
        </w:rPr>
      </w:pPr>
      <w:r w:rsidRPr="0053456A">
        <w:rPr>
          <w:rFonts w:ascii="Cambria" w:hAnsi="Cambria"/>
          <w:sz w:val="20"/>
          <w:szCs w:val="20"/>
          <w:lang w:eastAsia="en-US"/>
        </w:rPr>
        <w:t>El resultado operativo arrojo una ganancia de Ps. 3.475,1 millones durante el ejercicio finalizado el 31 de marzo de 2020, esto implicó un aumento de Ps. 1.386,2 millones (66%), respecto del ejercicio anterior, producto principalmente del incremento en la ganancia bruta, que está dado principalmente por un aumento en los volúmenes comercializados.</w:t>
      </w:r>
    </w:p>
    <w:p w14:paraId="72562984" w14:textId="77777777" w:rsidR="00ED480D" w:rsidRPr="0053456A" w:rsidRDefault="00ED480D" w:rsidP="00ED480D">
      <w:pPr>
        <w:shd w:val="clear" w:color="auto" w:fill="FFFFFF"/>
        <w:contextualSpacing/>
        <w:jc w:val="both"/>
        <w:textAlignment w:val="baseline"/>
        <w:rPr>
          <w:rFonts w:ascii="Cambria" w:hAnsi="Cambria"/>
          <w:sz w:val="20"/>
          <w:szCs w:val="20"/>
          <w:lang w:eastAsia="en-US"/>
        </w:rPr>
      </w:pPr>
      <w:r w:rsidRPr="0053456A">
        <w:rPr>
          <w:rFonts w:ascii="Cambria" w:hAnsi="Cambria"/>
          <w:sz w:val="20"/>
          <w:szCs w:val="20"/>
          <w:lang w:eastAsia="en-US"/>
        </w:rPr>
        <w:t xml:space="preserve">Los gastos administrativos y comerciales se incrementaron en Ps. 448,3 millones, es decir, pasaron de Ps. 2.144,6 millones en marzo de 2019 a Ps. 2.592,9 millones en marzo de 2020, si bien, esto representó un mayor gasto del 20,9%, los mismos, aumentaron menos proporcionalmente con relación a los ingresos por ventas, el cual fue del 21,8%, con respecto al ejercicio anterior. </w:t>
      </w:r>
    </w:p>
    <w:p w14:paraId="6E83B1A6" w14:textId="77777777" w:rsidR="00ED480D" w:rsidRPr="006E4259" w:rsidRDefault="00ED480D" w:rsidP="00ED480D">
      <w:pPr>
        <w:spacing w:after="0"/>
        <w:jc w:val="both"/>
        <w:rPr>
          <w:rFonts w:ascii="Cambria" w:hAnsi="Cambria"/>
          <w:sz w:val="20"/>
        </w:rPr>
      </w:pPr>
    </w:p>
    <w:p w14:paraId="4D432185" w14:textId="77777777" w:rsidR="00ED480D" w:rsidRPr="006E4259" w:rsidRDefault="00ED480D" w:rsidP="00ED480D">
      <w:pPr>
        <w:spacing w:after="0"/>
        <w:jc w:val="both"/>
        <w:rPr>
          <w:rFonts w:ascii="Cambria" w:hAnsi="Cambria"/>
          <w:sz w:val="20"/>
        </w:rPr>
      </w:pPr>
      <w:r w:rsidRPr="006E4259">
        <w:rPr>
          <w:rFonts w:ascii="Cambria" w:hAnsi="Cambria"/>
          <w:sz w:val="20"/>
        </w:rPr>
        <w:t xml:space="preserve">El EBTDA alcanzó los Ps. </w:t>
      </w:r>
      <w:r>
        <w:rPr>
          <w:rFonts w:ascii="Cambria" w:hAnsi="Cambria"/>
          <w:sz w:val="20"/>
        </w:rPr>
        <w:t>4</w:t>
      </w:r>
      <w:r w:rsidRPr="006E4259">
        <w:rPr>
          <w:rFonts w:ascii="Cambria" w:hAnsi="Cambria"/>
          <w:sz w:val="20"/>
        </w:rPr>
        <w:t>.</w:t>
      </w:r>
      <w:r>
        <w:rPr>
          <w:rFonts w:ascii="Cambria" w:hAnsi="Cambria"/>
          <w:sz w:val="20"/>
        </w:rPr>
        <w:t>671</w:t>
      </w:r>
      <w:r w:rsidRPr="006E4259">
        <w:rPr>
          <w:rFonts w:ascii="Cambria" w:hAnsi="Cambria"/>
          <w:sz w:val="20"/>
        </w:rPr>
        <w:t>,</w:t>
      </w:r>
      <w:r>
        <w:rPr>
          <w:rFonts w:ascii="Cambria" w:hAnsi="Cambria"/>
          <w:sz w:val="20"/>
        </w:rPr>
        <w:t>1</w:t>
      </w:r>
      <w:r w:rsidRPr="006E4259">
        <w:rPr>
          <w:rFonts w:ascii="Cambria" w:hAnsi="Cambria"/>
          <w:sz w:val="20"/>
        </w:rPr>
        <w:t xml:space="preserve"> millones y los Ps. 2.</w:t>
      </w:r>
      <w:r>
        <w:rPr>
          <w:rFonts w:ascii="Cambria" w:hAnsi="Cambria"/>
          <w:sz w:val="20"/>
        </w:rPr>
        <w:t>554</w:t>
      </w:r>
      <w:r w:rsidRPr="006E4259">
        <w:rPr>
          <w:rFonts w:ascii="Cambria" w:hAnsi="Cambria"/>
          <w:sz w:val="20"/>
        </w:rPr>
        <w:t>,</w:t>
      </w:r>
      <w:r>
        <w:rPr>
          <w:rFonts w:ascii="Cambria" w:hAnsi="Cambria"/>
          <w:sz w:val="20"/>
        </w:rPr>
        <w:t>4</w:t>
      </w:r>
      <w:r w:rsidRPr="006E4259">
        <w:rPr>
          <w:rFonts w:ascii="Cambria" w:hAnsi="Cambria"/>
          <w:sz w:val="20"/>
        </w:rPr>
        <w:t xml:space="preserve"> millones, para los ejercicios finalizados el 31 de marzo de 2020 y 2019, respectivamente. Esto significó una mejora sustancial del porcentaje de este indicador sobre los ingresos ventas, el cual implico un 3,</w:t>
      </w:r>
      <w:r>
        <w:rPr>
          <w:rFonts w:ascii="Cambria" w:hAnsi="Cambria"/>
          <w:sz w:val="20"/>
          <w:szCs w:val="20"/>
          <w:lang w:eastAsia="en-US"/>
        </w:rPr>
        <w:t>7</w:t>
      </w:r>
      <w:r w:rsidRPr="0053456A">
        <w:rPr>
          <w:rFonts w:ascii="Cambria" w:hAnsi="Cambria"/>
          <w:sz w:val="20"/>
          <w:szCs w:val="20"/>
          <w:lang w:eastAsia="en-US"/>
        </w:rPr>
        <w:t>% a marzo de 2020</w:t>
      </w:r>
      <w:r w:rsidRPr="006E4259">
        <w:rPr>
          <w:rFonts w:ascii="Cambria" w:hAnsi="Cambria"/>
          <w:sz w:val="20"/>
        </w:rPr>
        <w:t xml:space="preserve"> y un 2,</w:t>
      </w:r>
      <w:r>
        <w:rPr>
          <w:rFonts w:ascii="Cambria" w:hAnsi="Cambria"/>
          <w:sz w:val="20"/>
          <w:szCs w:val="20"/>
          <w:lang w:eastAsia="en-US"/>
        </w:rPr>
        <w:t>5</w:t>
      </w:r>
      <w:r w:rsidRPr="0053456A">
        <w:rPr>
          <w:rFonts w:ascii="Cambria" w:hAnsi="Cambria"/>
          <w:sz w:val="20"/>
          <w:szCs w:val="20"/>
          <w:lang w:eastAsia="en-US"/>
        </w:rPr>
        <w:t>% a marzo de 2019</w:t>
      </w:r>
      <w:r w:rsidRPr="006E4259">
        <w:rPr>
          <w:rFonts w:ascii="Cambria" w:hAnsi="Cambria"/>
          <w:sz w:val="20"/>
        </w:rPr>
        <w:t xml:space="preserve">. </w:t>
      </w:r>
    </w:p>
    <w:p w14:paraId="2369BAAB" w14:textId="77777777" w:rsidR="00ED480D" w:rsidRPr="006E4259" w:rsidRDefault="00ED480D" w:rsidP="00ED480D">
      <w:pPr>
        <w:spacing w:after="0"/>
        <w:jc w:val="both"/>
        <w:rPr>
          <w:rFonts w:asciiTheme="minorHAnsi" w:hAnsiTheme="minorHAnsi"/>
          <w:sz w:val="20"/>
          <w:highlight w:val="yellow"/>
          <w:lang w:val="es-AR"/>
        </w:rPr>
      </w:pPr>
    </w:p>
    <w:p w14:paraId="2A2AF34F" w14:textId="77777777" w:rsidR="00ED480D" w:rsidRPr="006E4259" w:rsidRDefault="00ED480D" w:rsidP="00ED480D">
      <w:pPr>
        <w:spacing w:after="0"/>
        <w:jc w:val="both"/>
        <w:rPr>
          <w:rFonts w:asciiTheme="minorHAnsi" w:hAnsiTheme="minorHAnsi"/>
          <w:b/>
          <w:i/>
          <w:sz w:val="20"/>
        </w:rPr>
      </w:pPr>
      <w:r w:rsidRPr="006E4259">
        <w:rPr>
          <w:rFonts w:asciiTheme="minorHAnsi" w:hAnsiTheme="minorHAnsi"/>
          <w:b/>
          <w:i/>
          <w:sz w:val="20"/>
        </w:rPr>
        <w:t>Resultados financieros netos</w:t>
      </w:r>
    </w:p>
    <w:p w14:paraId="4CC4F896" w14:textId="77777777" w:rsidR="00ED480D" w:rsidRPr="006E4259" w:rsidRDefault="00ED480D" w:rsidP="00ED480D">
      <w:pPr>
        <w:spacing w:after="0"/>
        <w:jc w:val="both"/>
        <w:rPr>
          <w:rFonts w:asciiTheme="minorHAnsi" w:hAnsiTheme="minorHAnsi"/>
          <w:sz w:val="20"/>
          <w:highlight w:val="yellow"/>
          <w:lang w:val="es-AR"/>
        </w:rPr>
      </w:pPr>
    </w:p>
    <w:p w14:paraId="3B8178FF" w14:textId="77777777" w:rsidR="00ED480D" w:rsidRPr="0053456A" w:rsidRDefault="00ED480D" w:rsidP="00ED480D">
      <w:pPr>
        <w:jc w:val="both"/>
        <w:rPr>
          <w:rFonts w:ascii="Cambria" w:hAnsi="Cambria"/>
          <w:sz w:val="20"/>
          <w:szCs w:val="20"/>
          <w:lang w:eastAsia="en-US"/>
        </w:rPr>
      </w:pPr>
      <w:r w:rsidRPr="0053456A">
        <w:rPr>
          <w:rFonts w:ascii="Cambria" w:hAnsi="Cambria"/>
          <w:sz w:val="20"/>
          <w:szCs w:val="20"/>
          <w:lang w:eastAsia="en-US"/>
        </w:rPr>
        <w:t>Los resultados financieros netos aportaron una ganancia neta de Ps. 725,7 millones, esto implicó un aumento de Ps. 621,5 millones, con respecto al ejercicio anterior, esto se debe principalmente a los rendimientos en las colocaciones a corto plazo y a los resultados obtenidos en las operaciones de cobertura, todo esto, neto de los intereses perdidos por la deuda financiera promedio del ejercicio, en mayor medida fue prefinanciaciones para exportaciones y en menor medida, por los resultados netos por la diferencia de cambio.</w:t>
      </w:r>
    </w:p>
    <w:p w14:paraId="710B94B1" w14:textId="77777777" w:rsidR="00ED480D" w:rsidRPr="006E4259" w:rsidRDefault="00ED480D" w:rsidP="00ED480D">
      <w:pPr>
        <w:spacing w:after="120"/>
        <w:jc w:val="both"/>
        <w:rPr>
          <w:rFonts w:asciiTheme="minorHAnsi" w:hAnsiTheme="minorHAnsi"/>
          <w:b/>
          <w:i/>
          <w:sz w:val="20"/>
        </w:rPr>
      </w:pPr>
      <w:r w:rsidRPr="006E4259">
        <w:rPr>
          <w:rFonts w:asciiTheme="minorHAnsi" w:hAnsiTheme="minorHAnsi"/>
          <w:b/>
          <w:i/>
          <w:sz w:val="20"/>
        </w:rPr>
        <w:t>Resultado neto del ejercicio</w:t>
      </w:r>
    </w:p>
    <w:p w14:paraId="64544422" w14:textId="77777777" w:rsidR="00ED480D" w:rsidRPr="0053456A" w:rsidRDefault="00ED480D" w:rsidP="00ED480D">
      <w:pPr>
        <w:jc w:val="both"/>
        <w:rPr>
          <w:rFonts w:ascii="Cambria" w:hAnsi="Cambria"/>
          <w:sz w:val="20"/>
          <w:szCs w:val="20"/>
          <w:lang w:eastAsia="en-US"/>
        </w:rPr>
      </w:pPr>
      <w:r w:rsidRPr="0053456A">
        <w:rPr>
          <w:rFonts w:ascii="Cambria" w:hAnsi="Cambria"/>
          <w:sz w:val="20"/>
          <w:szCs w:val="20"/>
          <w:lang w:eastAsia="en-US"/>
        </w:rPr>
        <w:t xml:space="preserve">El resultado neto del ejercicio finalizado el 31 de marzo de 2020 ascendió a una ganancia neta de Ps. 2.948,8 millones, lo que representa un aumento de un 28% respecto del año anterior, producto de mayores ingresos, por el aumento en los volúmenes comercializados, menores gastos operativos en proporción a dichos ingresos y una excelente performance de los resultados financieros netos. Todo ello, compensado parcialmente por el cargo del impuesto a las ganancias del ejercicio. </w:t>
      </w:r>
    </w:p>
    <w:p w14:paraId="0FC6B3AE" w14:textId="77777777" w:rsidR="00ED480D" w:rsidRPr="006F5C22" w:rsidRDefault="00ED480D" w:rsidP="00ED480D">
      <w:pPr>
        <w:jc w:val="both"/>
        <w:rPr>
          <w:rFonts w:ascii="Cambria" w:hAnsi="Cambria"/>
          <w:b/>
          <w:bCs/>
          <w:sz w:val="20"/>
          <w:szCs w:val="20"/>
          <w:lang w:eastAsia="en-US"/>
        </w:rPr>
      </w:pPr>
      <w:r w:rsidRPr="006F5C22">
        <w:rPr>
          <w:rFonts w:ascii="Cambria" w:hAnsi="Cambria"/>
          <w:b/>
          <w:bCs/>
          <w:sz w:val="20"/>
          <w:szCs w:val="20"/>
          <w:lang w:eastAsia="en-US"/>
        </w:rPr>
        <w:t>Variaciones patrimoniales entre el 31 de marzo de 2020 y el 31 de marzo de 2019</w:t>
      </w:r>
    </w:p>
    <w:p w14:paraId="54E7E031" w14:textId="77777777" w:rsidR="00ED480D" w:rsidRPr="006E4259" w:rsidRDefault="00ED480D" w:rsidP="00ED480D">
      <w:pPr>
        <w:jc w:val="both"/>
        <w:rPr>
          <w:rFonts w:ascii="Times New Roman" w:hAnsi="Times New Roman"/>
          <w:i/>
        </w:rPr>
      </w:pPr>
      <w:r w:rsidRPr="006E4259">
        <w:rPr>
          <w:noProof/>
          <w:lang w:val="es-AR"/>
        </w:rPr>
        <w:lastRenderedPageBreak/>
        <w:drawing>
          <wp:inline distT="0" distB="0" distL="0" distR="0" wp14:anchorId="1C070A51" wp14:editId="55237B99">
            <wp:extent cx="5612130" cy="4993005"/>
            <wp:effectExtent l="0" t="0" r="762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12130" cy="4993005"/>
                    </a:xfrm>
                    <a:prstGeom prst="rect">
                      <a:avLst/>
                    </a:prstGeom>
                    <a:noFill/>
                    <a:ln>
                      <a:noFill/>
                    </a:ln>
                  </pic:spPr>
                </pic:pic>
              </a:graphicData>
            </a:graphic>
          </wp:inline>
        </w:drawing>
      </w:r>
    </w:p>
    <w:p w14:paraId="5E90AAAA" w14:textId="77777777" w:rsidR="00ED480D" w:rsidRPr="005B081E" w:rsidRDefault="00ED480D" w:rsidP="000C02A3">
      <w:pPr>
        <w:numPr>
          <w:ilvl w:val="0"/>
          <w:numId w:val="30"/>
        </w:numPr>
        <w:spacing w:after="0"/>
        <w:jc w:val="both"/>
        <w:rPr>
          <w:rFonts w:ascii="Cambria" w:hAnsi="Cambria"/>
          <w:sz w:val="20"/>
          <w:szCs w:val="20"/>
          <w:lang w:eastAsia="en-US"/>
        </w:rPr>
      </w:pPr>
      <w:r w:rsidRPr="005B081E">
        <w:rPr>
          <w:rFonts w:ascii="Cambria" w:hAnsi="Cambria"/>
          <w:sz w:val="20"/>
          <w:szCs w:val="20"/>
          <w:lang w:eastAsia="en-US"/>
        </w:rPr>
        <w:t>Los saldos surgen de los estados financieros consolidados al 31 de marzo de 2020 y se encuentra</w:t>
      </w:r>
      <w:r>
        <w:rPr>
          <w:rFonts w:ascii="Cambria" w:hAnsi="Cambria"/>
          <w:sz w:val="20"/>
          <w:szCs w:val="20"/>
          <w:lang w:eastAsia="en-US"/>
        </w:rPr>
        <w:t>n</w:t>
      </w:r>
      <w:r w:rsidRPr="005B081E">
        <w:rPr>
          <w:rFonts w:ascii="Cambria" w:hAnsi="Cambria"/>
          <w:sz w:val="20"/>
          <w:szCs w:val="20"/>
          <w:lang w:eastAsia="en-US"/>
        </w:rPr>
        <w:t xml:space="preserve"> reexpresados a moneda de dicha fecha.</w:t>
      </w:r>
    </w:p>
    <w:p w14:paraId="6EF0270D" w14:textId="77777777" w:rsidR="00ED480D" w:rsidRPr="005B081E" w:rsidRDefault="00ED480D" w:rsidP="000C02A3">
      <w:pPr>
        <w:numPr>
          <w:ilvl w:val="0"/>
          <w:numId w:val="30"/>
        </w:numPr>
        <w:spacing w:after="0"/>
        <w:jc w:val="both"/>
        <w:rPr>
          <w:rFonts w:ascii="Cambria" w:hAnsi="Cambria"/>
          <w:sz w:val="20"/>
          <w:szCs w:val="20"/>
          <w:lang w:eastAsia="en-US"/>
        </w:rPr>
      </w:pPr>
      <w:r w:rsidRPr="005B081E">
        <w:rPr>
          <w:rFonts w:ascii="Cambria" w:hAnsi="Cambria"/>
          <w:sz w:val="20"/>
          <w:szCs w:val="20"/>
          <w:lang w:eastAsia="en-US"/>
        </w:rPr>
        <w:t>Las variaciones se presentan en términos absolutos. La suma de los subtotales y totales expuestos en los cuadros respectivos, deben considerar lo mencionado anteriormente.</w:t>
      </w:r>
    </w:p>
    <w:p w14:paraId="0E172220" w14:textId="77777777" w:rsidR="00ED480D" w:rsidRPr="006E4259" w:rsidRDefault="00ED480D" w:rsidP="00ED480D">
      <w:pPr>
        <w:jc w:val="both"/>
        <w:rPr>
          <w:rFonts w:ascii="Times New Roman" w:hAnsi="Times New Roman"/>
          <w:highlight w:val="yellow"/>
        </w:rPr>
      </w:pPr>
    </w:p>
    <w:p w14:paraId="2884D79B" w14:textId="77777777" w:rsidR="00ED480D" w:rsidRPr="005B081E" w:rsidRDefault="00ED480D" w:rsidP="00ED480D">
      <w:pPr>
        <w:jc w:val="both"/>
        <w:rPr>
          <w:rFonts w:ascii="Cambria" w:hAnsi="Cambria"/>
          <w:sz w:val="20"/>
          <w:szCs w:val="20"/>
          <w:lang w:eastAsia="en-US"/>
        </w:rPr>
      </w:pPr>
      <w:r w:rsidRPr="005B081E">
        <w:rPr>
          <w:rFonts w:ascii="Cambria" w:hAnsi="Cambria"/>
          <w:b/>
          <w:sz w:val="20"/>
          <w:szCs w:val="20"/>
          <w:lang w:eastAsia="en-US"/>
        </w:rPr>
        <w:t>-Cuentas por cobrar comerciales</w:t>
      </w:r>
      <w:r w:rsidRPr="005B081E">
        <w:rPr>
          <w:rFonts w:ascii="Cambria" w:hAnsi="Cambria"/>
          <w:sz w:val="20"/>
          <w:szCs w:val="20"/>
          <w:lang w:eastAsia="en-US"/>
        </w:rPr>
        <w:t>. Los créditos por ventas tuvieron un incremento del 17% al 31 de marzo de 2020, respecto del ejercicio anterior, alcanzando los Ps. 6.160,1 millones de pesos en 2020, mientras que en el 2019 fueron de Ps. 5.263,</w:t>
      </w:r>
      <w:r>
        <w:rPr>
          <w:rFonts w:ascii="Cambria" w:hAnsi="Cambria"/>
          <w:sz w:val="20"/>
          <w:szCs w:val="20"/>
          <w:lang w:eastAsia="en-US"/>
        </w:rPr>
        <w:t>8</w:t>
      </w:r>
      <w:r w:rsidRPr="005B081E">
        <w:rPr>
          <w:rFonts w:ascii="Cambria" w:hAnsi="Cambria"/>
          <w:sz w:val="20"/>
          <w:szCs w:val="20"/>
          <w:lang w:eastAsia="en-US"/>
        </w:rPr>
        <w:t xml:space="preserve"> millones. Esto se debe principalmente a un mayor nivel de exportaciones, sobre todo en el último trimestre del año, las cuales subieron un 22%, con respecto al mismo periodo del año anterior.</w:t>
      </w:r>
    </w:p>
    <w:p w14:paraId="0B500EB5" w14:textId="77777777" w:rsidR="00ED480D" w:rsidRPr="005B081E" w:rsidRDefault="00ED480D" w:rsidP="00ED480D">
      <w:pPr>
        <w:jc w:val="both"/>
        <w:rPr>
          <w:rFonts w:ascii="Cambria" w:hAnsi="Cambria"/>
          <w:sz w:val="20"/>
          <w:szCs w:val="20"/>
          <w:lang w:eastAsia="en-US"/>
        </w:rPr>
      </w:pPr>
      <w:r w:rsidRPr="006F5C22">
        <w:rPr>
          <w:rFonts w:ascii="Cambria" w:hAnsi="Cambria"/>
          <w:b/>
          <w:sz w:val="20"/>
          <w:szCs w:val="20"/>
          <w:lang w:eastAsia="en-US"/>
        </w:rPr>
        <w:t>-</w:t>
      </w:r>
      <w:r w:rsidRPr="005B081E">
        <w:rPr>
          <w:rFonts w:ascii="Cambria" w:hAnsi="Cambria"/>
          <w:b/>
          <w:sz w:val="20"/>
          <w:szCs w:val="20"/>
          <w:lang w:eastAsia="en-US"/>
        </w:rPr>
        <w:t>Créditos impositivos y aduaneros y otros créditos no financieros</w:t>
      </w:r>
      <w:r w:rsidRPr="005B081E">
        <w:rPr>
          <w:rFonts w:ascii="Cambria" w:hAnsi="Cambria"/>
          <w:sz w:val="20"/>
          <w:szCs w:val="20"/>
          <w:lang w:eastAsia="en-US"/>
        </w:rPr>
        <w:t xml:space="preserve">. se incrementaron en Ps. 4.487,4 millones, al cierre del ejercicio finalizado en marzo de 2020, con respecto al ejercicio anterior, esto se debe principalmente al aumento de los anticipos pagados a las retenciones a las exportaciones, el cual paso de tener un saldo de Ps. 924,2 millones en marzo de 2019 a tener Ps. 5.449,2 millones en marzo de 2020. </w:t>
      </w:r>
    </w:p>
    <w:p w14:paraId="1950EE7A" w14:textId="77777777" w:rsidR="00ED480D" w:rsidRPr="005B081E" w:rsidRDefault="00ED480D" w:rsidP="00ED480D">
      <w:pPr>
        <w:jc w:val="both"/>
        <w:rPr>
          <w:rFonts w:ascii="Cambria" w:hAnsi="Cambria"/>
          <w:sz w:val="20"/>
          <w:szCs w:val="20"/>
          <w:highlight w:val="yellow"/>
          <w:lang w:eastAsia="en-US"/>
        </w:rPr>
      </w:pPr>
      <w:r w:rsidRPr="005B081E">
        <w:rPr>
          <w:rFonts w:ascii="Cambria" w:hAnsi="Cambria"/>
          <w:b/>
          <w:sz w:val="20"/>
          <w:szCs w:val="20"/>
          <w:lang w:eastAsia="en-US"/>
        </w:rPr>
        <w:t xml:space="preserve">-Otros créditos financieros: </w:t>
      </w:r>
      <w:r w:rsidRPr="005B081E">
        <w:rPr>
          <w:rFonts w:ascii="Cambria" w:hAnsi="Cambria"/>
          <w:bCs/>
          <w:sz w:val="20"/>
          <w:szCs w:val="20"/>
          <w:lang w:eastAsia="en-US"/>
        </w:rPr>
        <w:t xml:space="preserve"> </w:t>
      </w:r>
      <w:r w:rsidRPr="005B081E">
        <w:rPr>
          <w:rFonts w:ascii="Cambria" w:hAnsi="Cambria"/>
          <w:sz w:val="20"/>
          <w:szCs w:val="20"/>
          <w:lang w:eastAsia="en-US"/>
        </w:rPr>
        <w:t>se incrementaron en Ps. 3.173,2 millones durante el ejercicio finalizado el 31 de marzo de 2020, respecto del ejercicio anterior, alcanzando los Ps. 4.177,9 millones, en marzo de 202</w:t>
      </w:r>
      <w:r>
        <w:rPr>
          <w:rFonts w:ascii="Cambria" w:hAnsi="Cambria"/>
          <w:sz w:val="20"/>
          <w:szCs w:val="20"/>
          <w:lang w:eastAsia="en-US"/>
        </w:rPr>
        <w:t>0</w:t>
      </w:r>
      <w:r w:rsidRPr="005B081E">
        <w:rPr>
          <w:rFonts w:ascii="Cambria" w:hAnsi="Cambria"/>
          <w:sz w:val="20"/>
          <w:szCs w:val="20"/>
          <w:lang w:eastAsia="en-US"/>
        </w:rPr>
        <w:t xml:space="preserve">, mientras que en marzo de 2019 fueron de Ps 1.004,7 millones, este aumento se </w:t>
      </w:r>
      <w:r w:rsidRPr="005B081E">
        <w:rPr>
          <w:rFonts w:ascii="Cambria" w:hAnsi="Cambria"/>
          <w:sz w:val="20"/>
          <w:szCs w:val="20"/>
          <w:lang w:eastAsia="en-US"/>
        </w:rPr>
        <w:lastRenderedPageBreak/>
        <w:t xml:space="preserve">debe principalmente al incremento en los saldos de los </w:t>
      </w:r>
      <w:r w:rsidRPr="005B081E">
        <w:rPr>
          <w:rFonts w:ascii="Cambria" w:hAnsi="Cambria"/>
          <w:sz w:val="20"/>
          <w:szCs w:val="20"/>
        </w:rPr>
        <w:t xml:space="preserve">contratos a término de </w:t>
      </w:r>
      <w:r w:rsidRPr="00834EDD">
        <w:rPr>
          <w:rFonts w:ascii="Cambria" w:hAnsi="Cambria"/>
          <w:i/>
          <w:sz w:val="20"/>
          <w:szCs w:val="20"/>
        </w:rPr>
        <w:t>commodities</w:t>
      </w:r>
      <w:r w:rsidRPr="005B081E">
        <w:rPr>
          <w:rFonts w:ascii="Cambria" w:hAnsi="Cambria"/>
          <w:sz w:val="20"/>
          <w:szCs w:val="20"/>
        </w:rPr>
        <w:t xml:space="preserve"> y compromisos en firme futuros.</w:t>
      </w:r>
    </w:p>
    <w:p w14:paraId="50D9850D" w14:textId="77777777" w:rsidR="00ED480D" w:rsidRPr="005B081E" w:rsidRDefault="00ED480D" w:rsidP="00ED480D">
      <w:pPr>
        <w:jc w:val="both"/>
        <w:rPr>
          <w:rFonts w:ascii="Cambria" w:hAnsi="Cambria"/>
          <w:sz w:val="20"/>
          <w:szCs w:val="20"/>
          <w:lang w:eastAsia="en-US"/>
        </w:rPr>
      </w:pPr>
      <w:r w:rsidRPr="005B081E">
        <w:rPr>
          <w:rFonts w:ascii="Cambria" w:hAnsi="Cambria"/>
          <w:bCs/>
          <w:sz w:val="20"/>
          <w:szCs w:val="20"/>
          <w:lang w:eastAsia="en-US"/>
        </w:rPr>
        <w:t>-</w:t>
      </w:r>
      <w:r w:rsidRPr="005B081E">
        <w:rPr>
          <w:rFonts w:ascii="Cambria" w:hAnsi="Cambria"/>
          <w:b/>
          <w:sz w:val="20"/>
          <w:szCs w:val="20"/>
          <w:lang w:eastAsia="en-US"/>
        </w:rPr>
        <w:t>Inventarios</w:t>
      </w:r>
      <w:r w:rsidRPr="005B081E">
        <w:rPr>
          <w:rFonts w:ascii="Cambria" w:hAnsi="Cambria"/>
          <w:sz w:val="20"/>
          <w:szCs w:val="20"/>
          <w:lang w:eastAsia="en-US"/>
        </w:rPr>
        <w:t>. Los inventarios disminuyeron un 16% durante el ejercicio finalizado el 31 de marzo de 2020, respecto del ejercicio anterior, los mismos eran Ps. 4.628,3 millones en marzo de 2019 y pasaron a ser P</w:t>
      </w:r>
      <w:r>
        <w:rPr>
          <w:rFonts w:ascii="Cambria" w:hAnsi="Cambria"/>
          <w:sz w:val="20"/>
          <w:szCs w:val="20"/>
          <w:lang w:eastAsia="en-US"/>
        </w:rPr>
        <w:t>s</w:t>
      </w:r>
      <w:r w:rsidRPr="005B081E">
        <w:rPr>
          <w:rFonts w:ascii="Cambria" w:hAnsi="Cambria"/>
          <w:sz w:val="20"/>
          <w:szCs w:val="20"/>
          <w:lang w:eastAsia="en-US"/>
        </w:rPr>
        <w:t>. 3.905,4 millones en marzo de 2020. La disminución</w:t>
      </w:r>
      <w:r>
        <w:rPr>
          <w:rFonts w:ascii="Cambria" w:hAnsi="Cambria"/>
          <w:sz w:val="20"/>
          <w:szCs w:val="20"/>
          <w:lang w:eastAsia="en-US"/>
        </w:rPr>
        <w:t xml:space="preserve"> se debe</w:t>
      </w:r>
      <w:r w:rsidRPr="005B081E">
        <w:rPr>
          <w:rFonts w:ascii="Cambria" w:hAnsi="Cambria"/>
          <w:sz w:val="20"/>
          <w:szCs w:val="20"/>
          <w:lang w:eastAsia="en-US"/>
        </w:rPr>
        <w:t xml:space="preserve"> a menores stocks a marzo 2020, en poroto de soja y harina de soja, aunque compensado en parte por un aumento en los stocks de trigo.</w:t>
      </w:r>
    </w:p>
    <w:p w14:paraId="43D22F8B"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t>-</w:t>
      </w:r>
      <w:r w:rsidRPr="005B081E">
        <w:rPr>
          <w:rFonts w:ascii="Cambria" w:hAnsi="Cambria"/>
          <w:b/>
          <w:bCs/>
          <w:sz w:val="20"/>
          <w:szCs w:val="20"/>
          <w:lang w:eastAsia="en-US"/>
        </w:rPr>
        <w:t>Inversiones en otras sociedades</w:t>
      </w:r>
      <w:r w:rsidRPr="005B081E">
        <w:rPr>
          <w:rFonts w:ascii="Cambria" w:hAnsi="Cambria"/>
          <w:sz w:val="20"/>
          <w:szCs w:val="20"/>
          <w:lang w:eastAsia="en-US"/>
        </w:rPr>
        <w:t>. Las inversiones no corrientes disminuyeron en Ps. 61,</w:t>
      </w:r>
      <w:r>
        <w:rPr>
          <w:rFonts w:ascii="Cambria" w:hAnsi="Cambria"/>
          <w:sz w:val="20"/>
          <w:szCs w:val="20"/>
          <w:lang w:eastAsia="en-US"/>
        </w:rPr>
        <w:t>9</w:t>
      </w:r>
      <w:r w:rsidRPr="005B081E">
        <w:rPr>
          <w:rFonts w:ascii="Cambria" w:hAnsi="Cambria"/>
          <w:sz w:val="20"/>
          <w:szCs w:val="20"/>
          <w:lang w:eastAsia="en-US"/>
        </w:rPr>
        <w:t xml:space="preserve"> millones con respecto del ejercicio anterior, producto principalmente por la participación en el resultado de las sociedades en las que la </w:t>
      </w:r>
      <w:r>
        <w:rPr>
          <w:rFonts w:ascii="Cambria" w:hAnsi="Cambria"/>
          <w:sz w:val="20"/>
          <w:szCs w:val="20"/>
          <w:lang w:eastAsia="en-US"/>
        </w:rPr>
        <w:t>E</w:t>
      </w:r>
      <w:r w:rsidRPr="005B081E">
        <w:rPr>
          <w:rFonts w:ascii="Cambria" w:hAnsi="Cambria"/>
          <w:sz w:val="20"/>
          <w:szCs w:val="20"/>
          <w:lang w:eastAsia="en-US"/>
        </w:rPr>
        <w:t xml:space="preserve">misora ejerce influencia significativa. </w:t>
      </w:r>
    </w:p>
    <w:p w14:paraId="7176CFF2"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t>-</w:t>
      </w:r>
      <w:r w:rsidRPr="005B081E">
        <w:rPr>
          <w:rFonts w:ascii="Cambria" w:hAnsi="Cambria"/>
          <w:b/>
          <w:bCs/>
          <w:sz w:val="20"/>
          <w:szCs w:val="20"/>
          <w:lang w:eastAsia="en-US"/>
        </w:rPr>
        <w:t>Propiedad, planta y equipo, activos intangibles y plusvalía</w:t>
      </w:r>
      <w:r w:rsidRPr="005B081E">
        <w:rPr>
          <w:rFonts w:ascii="Cambria" w:hAnsi="Cambria"/>
          <w:sz w:val="20"/>
          <w:szCs w:val="20"/>
          <w:lang w:eastAsia="en-US"/>
        </w:rPr>
        <w:t>. Los bienes de uso tuvieron un incremento neto de Ps. 140,</w:t>
      </w:r>
      <w:r>
        <w:rPr>
          <w:rFonts w:ascii="Cambria" w:hAnsi="Cambria"/>
          <w:sz w:val="20"/>
          <w:szCs w:val="20"/>
          <w:lang w:eastAsia="en-US"/>
        </w:rPr>
        <w:t>4</w:t>
      </w:r>
      <w:r w:rsidRPr="005B081E">
        <w:rPr>
          <w:rFonts w:ascii="Cambria" w:hAnsi="Cambria"/>
          <w:sz w:val="20"/>
          <w:szCs w:val="20"/>
          <w:lang w:eastAsia="en-US"/>
        </w:rPr>
        <w:t xml:space="preserve"> millones, durante el ejercicio finalizado el 31 de marzo de 2020, respecto del ejercicio anterior, producto de Ps. 600,9 millones de inversiones, principalmente dirigidas a edificios, maquinarias, instalaciones, útiles industriales y obras en curso, destacándose las inversiones que se ejecutaron sobre la línea de molienda N° 1, la más antigua del complejo, que fue acondicionada para moler girasol, molienda que se materializó de forma exitosa entre los meses de diciembre de 2019 y marzo de 2020, alcanzando los niveles de calidad y productividad esperados. Todo ello, compensado parcialmente, por la depreciación correspondiente al ejercicio que ascendieron a Ps. 468,</w:t>
      </w:r>
      <w:r>
        <w:rPr>
          <w:rFonts w:ascii="Cambria" w:hAnsi="Cambria"/>
          <w:sz w:val="20"/>
          <w:szCs w:val="20"/>
          <w:lang w:eastAsia="en-US"/>
        </w:rPr>
        <w:t>7</w:t>
      </w:r>
      <w:r w:rsidRPr="005B081E">
        <w:rPr>
          <w:rFonts w:ascii="Cambria" w:hAnsi="Cambria"/>
          <w:sz w:val="20"/>
          <w:szCs w:val="20"/>
          <w:lang w:eastAsia="en-US"/>
        </w:rPr>
        <w:t xml:space="preserve"> millones y, en menor medida, por las bajas efectuadas en el ejercicio. Los activos intangibles y la plusvalía disminuyeron en Ps. 1 millón, por el efecto de las amortizaciones correspondientes al ejercicio finalizado el 31 de marzo de 2020. </w:t>
      </w:r>
    </w:p>
    <w:p w14:paraId="761458B1" w14:textId="77777777" w:rsidR="00ED480D" w:rsidRPr="005B081E" w:rsidRDefault="00ED480D" w:rsidP="00ED480D">
      <w:pPr>
        <w:jc w:val="both"/>
        <w:rPr>
          <w:rFonts w:ascii="Cambria" w:hAnsi="Cambria"/>
          <w:sz w:val="20"/>
          <w:szCs w:val="20"/>
          <w:lang w:eastAsia="en-US"/>
        </w:rPr>
      </w:pPr>
      <w:r w:rsidRPr="005B081E">
        <w:rPr>
          <w:rFonts w:ascii="Cambria" w:hAnsi="Cambria"/>
          <w:b/>
          <w:bCs/>
          <w:sz w:val="20"/>
          <w:szCs w:val="20"/>
          <w:lang w:eastAsia="en-US"/>
        </w:rPr>
        <w:t>-Deuda financiera neta.</w:t>
      </w:r>
      <w:r w:rsidRPr="005B081E">
        <w:rPr>
          <w:rFonts w:ascii="Cambria" w:hAnsi="Cambria"/>
          <w:sz w:val="20"/>
          <w:szCs w:val="20"/>
          <w:lang w:eastAsia="en-US"/>
        </w:rPr>
        <w:t xml:space="preserve"> Respecto de la deuda financiera neta (deuda bancaria y financiera menos efectivo y colocaciones de corto plazo), la misma se incrementó en Ps. 4.784 millones durante el ejercicio finalizado el 31 de marzo de 2020, respecto del ejercicio anterior, pasando de Ps. 3.759,3 millones en marzo de 2019 a Ps. 8.543,3 millones en mazo de 2020, principalmente producto de una mayor necesidad de fondos para financiar el aumento del capital de trabajo y las inversiones </w:t>
      </w:r>
      <w:r>
        <w:rPr>
          <w:rFonts w:ascii="Cambria" w:hAnsi="Cambria"/>
          <w:sz w:val="20"/>
          <w:szCs w:val="20"/>
          <w:lang w:eastAsia="en-US"/>
        </w:rPr>
        <w:t xml:space="preserve">en </w:t>
      </w:r>
      <w:r w:rsidRPr="005B081E">
        <w:rPr>
          <w:rFonts w:ascii="Cambria" w:hAnsi="Cambria"/>
          <w:sz w:val="20"/>
          <w:szCs w:val="20"/>
          <w:lang w:eastAsia="en-US"/>
        </w:rPr>
        <w:t>propiedad planta y equipo. Todas estas necesidades de fondos se vieron compensadas en parte por los ingresos del ejercicio de la Emisora, neto del pago de dividendos. Medida en dólares estadounidenses, la deuda financiera neta se incrementó en U$S 74 millones, pasando de U$S 58,5 millones en 2019 a U$S 132,5 millones en 2020.</w:t>
      </w:r>
    </w:p>
    <w:p w14:paraId="059B8028" w14:textId="77777777" w:rsidR="00ED480D" w:rsidRPr="005B081E" w:rsidRDefault="00ED480D" w:rsidP="00ED480D">
      <w:pPr>
        <w:jc w:val="both"/>
        <w:rPr>
          <w:rFonts w:ascii="Cambria" w:hAnsi="Cambria"/>
          <w:sz w:val="20"/>
          <w:szCs w:val="20"/>
          <w:lang w:eastAsia="en-US"/>
        </w:rPr>
      </w:pPr>
      <w:r w:rsidRPr="005B081E">
        <w:rPr>
          <w:rFonts w:ascii="Cambria" w:hAnsi="Cambria"/>
          <w:b/>
          <w:sz w:val="20"/>
          <w:szCs w:val="20"/>
          <w:lang w:eastAsia="en-US"/>
        </w:rPr>
        <w:t>-Deudas comerciales, fiscales, sociales y otros pasivos</w:t>
      </w:r>
      <w:r w:rsidRPr="005B081E">
        <w:rPr>
          <w:rFonts w:ascii="Cambria" w:hAnsi="Cambria"/>
          <w:sz w:val="20"/>
          <w:szCs w:val="20"/>
          <w:lang w:eastAsia="en-US"/>
        </w:rPr>
        <w:t>. Las deudas comerciales aumentaron un 1</w:t>
      </w:r>
      <w:r>
        <w:rPr>
          <w:rFonts w:ascii="Cambria" w:hAnsi="Cambria"/>
          <w:sz w:val="20"/>
          <w:szCs w:val="20"/>
          <w:lang w:eastAsia="en-US"/>
        </w:rPr>
        <w:t>7</w:t>
      </w:r>
      <w:r w:rsidRPr="005B081E">
        <w:rPr>
          <w:rFonts w:ascii="Cambria" w:hAnsi="Cambria"/>
          <w:sz w:val="20"/>
          <w:szCs w:val="20"/>
          <w:lang w:eastAsia="en-US"/>
        </w:rPr>
        <w:t>% con respecto al ejercicio anterior, eso se debe principalmente a un incremento en los sa</w:t>
      </w:r>
      <w:r>
        <w:rPr>
          <w:rFonts w:ascii="Cambria" w:hAnsi="Cambria"/>
          <w:sz w:val="20"/>
          <w:szCs w:val="20"/>
          <w:lang w:eastAsia="en-US"/>
        </w:rPr>
        <w:t>l</w:t>
      </w:r>
      <w:r w:rsidRPr="005B081E">
        <w:rPr>
          <w:rFonts w:ascii="Cambria" w:hAnsi="Cambria"/>
          <w:sz w:val="20"/>
          <w:szCs w:val="20"/>
          <w:lang w:eastAsia="en-US"/>
        </w:rPr>
        <w:t>dos con proveedores de granos</w:t>
      </w:r>
      <w:r w:rsidRPr="005B081E">
        <w:rPr>
          <w:rFonts w:ascii="Cambria" w:hAnsi="Cambria"/>
          <w:b/>
          <w:bCs/>
          <w:sz w:val="20"/>
          <w:szCs w:val="20"/>
          <w:lang w:eastAsia="en-US"/>
        </w:rPr>
        <w:t>.</w:t>
      </w:r>
      <w:r w:rsidRPr="005B081E">
        <w:rPr>
          <w:rFonts w:ascii="Cambria" w:hAnsi="Cambria"/>
          <w:sz w:val="20"/>
          <w:szCs w:val="20"/>
          <w:lang w:eastAsia="en-US"/>
        </w:rPr>
        <w:t xml:space="preserve"> Las deudas sociales y fiscales tuvieron una disminución del 18%, al 31 de marzo de 2020, con respecto al ejercicio anterior, siendo el principal motivo, el menor cargo de los gravámenes por exportación a pagar, los cuales a marzo de 2020 se encontraban en su mayoría ya prepagados. Con respecto a las otras deudas corrientes y no corrientes, tuvieron un incremento significativo de Ps 1.895,4 millones, pasando de ser Ps. 409,</w:t>
      </w:r>
      <w:r>
        <w:rPr>
          <w:rFonts w:ascii="Cambria" w:hAnsi="Cambria"/>
          <w:sz w:val="20"/>
          <w:szCs w:val="20"/>
          <w:lang w:eastAsia="en-US"/>
        </w:rPr>
        <w:t>4</w:t>
      </w:r>
      <w:r w:rsidRPr="005B081E">
        <w:rPr>
          <w:rFonts w:ascii="Cambria" w:hAnsi="Cambria"/>
          <w:sz w:val="20"/>
          <w:szCs w:val="20"/>
          <w:lang w:eastAsia="en-US"/>
        </w:rPr>
        <w:t xml:space="preserve"> millones a marzo de 2019 a Ps. 2.304,8 millones en marzo 2020, esto se debe principalmente por el incremento en los compromisos por contratos a término de </w:t>
      </w:r>
      <w:r w:rsidRPr="00834EDD">
        <w:rPr>
          <w:rFonts w:ascii="Cambria" w:hAnsi="Cambria"/>
          <w:i/>
          <w:sz w:val="20"/>
          <w:szCs w:val="20"/>
          <w:lang w:eastAsia="en-US"/>
        </w:rPr>
        <w:t>commodities</w:t>
      </w:r>
      <w:r w:rsidRPr="005B081E">
        <w:rPr>
          <w:rFonts w:ascii="Cambria" w:hAnsi="Cambria"/>
          <w:sz w:val="20"/>
          <w:szCs w:val="20"/>
          <w:lang w:eastAsia="en-US"/>
        </w:rPr>
        <w:t xml:space="preserve"> y compromisos en firme.</w:t>
      </w:r>
    </w:p>
    <w:p w14:paraId="399029C4" w14:textId="77777777" w:rsidR="00ED480D" w:rsidRPr="005B081E" w:rsidRDefault="00ED480D" w:rsidP="00ED480D">
      <w:pPr>
        <w:jc w:val="both"/>
        <w:rPr>
          <w:rFonts w:ascii="Cambria" w:hAnsi="Cambria"/>
          <w:sz w:val="20"/>
          <w:szCs w:val="20"/>
          <w:lang w:eastAsia="en-US"/>
        </w:rPr>
      </w:pPr>
      <w:r w:rsidRPr="005B081E">
        <w:rPr>
          <w:rFonts w:ascii="Cambria" w:hAnsi="Cambria"/>
          <w:b/>
          <w:bCs/>
          <w:sz w:val="20"/>
          <w:szCs w:val="20"/>
          <w:lang w:eastAsia="en-US"/>
        </w:rPr>
        <w:t xml:space="preserve">-Impuesto a las ganancias diferido: </w:t>
      </w:r>
      <w:r w:rsidRPr="005B081E">
        <w:rPr>
          <w:rFonts w:ascii="Cambria" w:hAnsi="Cambria"/>
          <w:sz w:val="20"/>
          <w:szCs w:val="20"/>
          <w:lang w:eastAsia="en-US"/>
        </w:rPr>
        <w:t>el mismo paso de ser un crédito por PS. 242 millones en el ejercicio finalizado a marzo del 2019, a ser un pasivo de Ps. 287,</w:t>
      </w:r>
      <w:r>
        <w:rPr>
          <w:rFonts w:ascii="Cambria" w:hAnsi="Cambria"/>
          <w:sz w:val="20"/>
          <w:szCs w:val="20"/>
          <w:lang w:eastAsia="en-US"/>
        </w:rPr>
        <w:t>9</w:t>
      </w:r>
      <w:r w:rsidRPr="005B081E">
        <w:rPr>
          <w:rFonts w:ascii="Cambria" w:hAnsi="Cambria"/>
          <w:sz w:val="20"/>
          <w:szCs w:val="20"/>
          <w:lang w:eastAsia="en-US"/>
        </w:rPr>
        <w:t xml:space="preserve"> millones, en marzo del 2020, esta variación neta de casi Ps. 530 millones, se debe principalmente al reconocimiento en marzo del 2020 del ajuste integral por inflación impositivo. </w:t>
      </w:r>
      <w:r w:rsidRPr="005B081E">
        <w:rPr>
          <w:rFonts w:ascii="Cambria" w:hAnsi="Cambria"/>
          <w:iCs/>
          <w:sz w:val="20"/>
          <w:szCs w:val="20"/>
          <w:lang w:eastAsia="en-US"/>
        </w:rPr>
        <w:t>Ver nota 30 a los estados financieros consolidados finalizados al 31 de marzo de 2020.</w:t>
      </w:r>
    </w:p>
    <w:p w14:paraId="6A9F169F" w14:textId="77777777" w:rsidR="00ED480D" w:rsidRPr="006E4259" w:rsidRDefault="00ED480D" w:rsidP="00ED480D">
      <w:pPr>
        <w:jc w:val="both"/>
        <w:rPr>
          <w:rFonts w:ascii="Times New Roman" w:hAnsi="Times New Roman"/>
          <w:b/>
        </w:rPr>
      </w:pPr>
      <w:r w:rsidRPr="005B081E">
        <w:rPr>
          <w:rFonts w:ascii="Cambria" w:hAnsi="Cambria"/>
          <w:sz w:val="20"/>
          <w:szCs w:val="20"/>
          <w:lang w:eastAsia="en-US"/>
        </w:rPr>
        <w:t>-</w:t>
      </w:r>
      <w:r w:rsidRPr="005B081E">
        <w:rPr>
          <w:rFonts w:ascii="Cambria" w:hAnsi="Cambria"/>
          <w:b/>
          <w:bCs/>
          <w:sz w:val="20"/>
          <w:szCs w:val="20"/>
          <w:lang w:eastAsia="en-US"/>
        </w:rPr>
        <w:t>Patrimonio.</w:t>
      </w:r>
      <w:r w:rsidRPr="005B081E">
        <w:rPr>
          <w:rFonts w:ascii="Cambria" w:hAnsi="Cambria"/>
          <w:sz w:val="20"/>
          <w:szCs w:val="20"/>
          <w:lang w:eastAsia="en-US"/>
        </w:rPr>
        <w:t xml:space="preserve"> disminuyó en Ps. 467,</w:t>
      </w:r>
      <w:r>
        <w:rPr>
          <w:rFonts w:ascii="Cambria" w:hAnsi="Cambria"/>
          <w:sz w:val="20"/>
          <w:szCs w:val="20"/>
          <w:lang w:eastAsia="en-US"/>
        </w:rPr>
        <w:t>3</w:t>
      </w:r>
      <w:r w:rsidRPr="005B081E">
        <w:rPr>
          <w:rFonts w:ascii="Cambria" w:hAnsi="Cambria"/>
          <w:sz w:val="20"/>
          <w:szCs w:val="20"/>
          <w:lang w:eastAsia="en-US"/>
        </w:rPr>
        <w:t xml:space="preserve"> millones, durante el presente ejercicio finalizado en marzo de 2020, como consecuencia de la distribución de dividendos aprobada durante la última asamblea que </w:t>
      </w:r>
      <w:r w:rsidRPr="005B081E">
        <w:rPr>
          <w:rFonts w:ascii="Cambria" w:hAnsi="Cambria"/>
          <w:sz w:val="20"/>
          <w:szCs w:val="20"/>
          <w:lang w:eastAsia="en-US"/>
        </w:rPr>
        <w:lastRenderedPageBreak/>
        <w:t xml:space="preserve">ascendió a </w:t>
      </w:r>
      <w:r w:rsidRPr="00D776DE">
        <w:rPr>
          <w:rFonts w:ascii="Cambria" w:hAnsi="Cambria"/>
          <w:sz w:val="20"/>
          <w:szCs w:val="20"/>
          <w:lang w:eastAsia="en-US"/>
        </w:rPr>
        <w:t xml:space="preserve">Ps. </w:t>
      </w:r>
      <w:r w:rsidRPr="005B081E">
        <w:rPr>
          <w:rFonts w:ascii="Cambria" w:hAnsi="Cambria"/>
          <w:sz w:val="20"/>
          <w:szCs w:val="20"/>
          <w:lang w:eastAsia="en-US"/>
        </w:rPr>
        <w:t>3.115,9 millones, la cual, se vio compensado parcialmente con la excelente performance en resultados del presente ejercicio, que arrojo una ganancia neta de Ps. 2.948,8 millones.</w:t>
      </w:r>
    </w:p>
    <w:p w14:paraId="7433CA78" w14:textId="77777777" w:rsidR="00ED480D" w:rsidRPr="005B081E" w:rsidRDefault="00ED480D" w:rsidP="00ED480D">
      <w:pPr>
        <w:jc w:val="both"/>
        <w:rPr>
          <w:rFonts w:ascii="Cambria" w:hAnsi="Cambria"/>
          <w:b/>
          <w:bCs/>
          <w:sz w:val="20"/>
          <w:szCs w:val="20"/>
          <w:lang w:eastAsia="en-US"/>
        </w:rPr>
      </w:pPr>
      <w:r w:rsidRPr="005B081E">
        <w:rPr>
          <w:rFonts w:ascii="Cambria" w:hAnsi="Cambria"/>
          <w:b/>
          <w:bCs/>
          <w:sz w:val="20"/>
          <w:szCs w:val="20"/>
          <w:lang w:eastAsia="en-US"/>
        </w:rPr>
        <w:t>Resultados consolidados de las operaciones correspondientes a los ejercicios económicos finalizados el 31 de marzo de 2019 y 2018</w:t>
      </w:r>
    </w:p>
    <w:p w14:paraId="01EB4F57" w14:textId="77777777" w:rsidR="00ED480D" w:rsidRPr="00E00C94" w:rsidRDefault="00ED480D" w:rsidP="00ED480D">
      <w:pPr>
        <w:jc w:val="both"/>
        <w:rPr>
          <w:rFonts w:ascii="Cambria" w:hAnsi="Cambria"/>
          <w:i/>
          <w:sz w:val="20"/>
          <w:szCs w:val="20"/>
          <w:lang w:eastAsia="en-US"/>
        </w:rPr>
      </w:pPr>
      <w:r w:rsidRPr="00E00C94">
        <w:rPr>
          <w:rFonts w:ascii="Cambria" w:hAnsi="Cambria"/>
          <w:i/>
          <w:sz w:val="20"/>
          <w:szCs w:val="20"/>
          <w:lang w:eastAsia="en-US"/>
        </w:rPr>
        <w:t>Contexto económico del ejercicio finalizado al 31 de marzo de 2019</w:t>
      </w:r>
    </w:p>
    <w:p w14:paraId="3B4F65E4" w14:textId="77777777" w:rsidR="00ED480D" w:rsidRPr="005B081E" w:rsidRDefault="00ED480D" w:rsidP="00ED480D">
      <w:pPr>
        <w:jc w:val="both"/>
        <w:rPr>
          <w:rFonts w:ascii="Cambria" w:hAnsi="Cambria"/>
          <w:b/>
          <w:bCs/>
          <w:i/>
          <w:iCs/>
          <w:sz w:val="20"/>
          <w:szCs w:val="20"/>
          <w:u w:val="single"/>
          <w:lang w:eastAsia="en-US"/>
        </w:rPr>
      </w:pPr>
      <w:r w:rsidRPr="005B081E">
        <w:rPr>
          <w:rFonts w:ascii="Cambria" w:hAnsi="Cambria"/>
          <w:b/>
          <w:bCs/>
          <w:i/>
          <w:iCs/>
          <w:sz w:val="20"/>
          <w:szCs w:val="20"/>
          <w:u w:val="single"/>
          <w:lang w:eastAsia="en-US"/>
        </w:rPr>
        <w:t>Economía mundial</w:t>
      </w:r>
    </w:p>
    <w:p w14:paraId="7004B8E4" w14:textId="77777777" w:rsidR="00ED480D" w:rsidRPr="00E00C94" w:rsidRDefault="00ED480D" w:rsidP="00ED480D">
      <w:pPr>
        <w:spacing w:after="240"/>
        <w:jc w:val="both"/>
        <w:rPr>
          <w:rFonts w:ascii="Cambria" w:hAnsi="Cambria" w:cs="Arial"/>
          <w:sz w:val="20"/>
          <w:szCs w:val="20"/>
          <w:lang w:eastAsia="en-US"/>
        </w:rPr>
      </w:pPr>
      <w:r w:rsidRPr="00E00C94">
        <w:rPr>
          <w:rFonts w:ascii="Cambria" w:hAnsi="Cambria" w:cs="Arial"/>
          <w:sz w:val="20"/>
          <w:szCs w:val="20"/>
          <w:lang w:eastAsia="en-US"/>
        </w:rPr>
        <w:t>Luego de la importante recuperación que tuvo la economía mundial durante el ejercicio que finalizo en marzo de 2018, el ejercicio finalizado en marzo de 2019 evidenció un debilitamiento en su ritmo de crecimiento, tanto en los países avanzados como en los emergentes, en un contexto más restrictivo para los mercados financieros. Los efectos negativos del incremento de aranceles producto de la disputa comercial entre Estados Unidos y China, la contracción económica de Turquía, el anuncio de la salida del Reino Unido de la Unión Europea y una importante desaceleración en China se erigieron dentro de los principales factores que debilitaron el ritmo de crecimiento mundial. De esta forma, y según el Fondo Monetario Internacional, en el 201</w:t>
      </w:r>
      <w:r>
        <w:rPr>
          <w:rFonts w:ascii="Cambria" w:hAnsi="Cambria" w:cs="Arial"/>
          <w:sz w:val="20"/>
          <w:szCs w:val="20"/>
          <w:lang w:eastAsia="en-US"/>
        </w:rPr>
        <w:t>9</w:t>
      </w:r>
      <w:r w:rsidRPr="00E00C94">
        <w:rPr>
          <w:rFonts w:ascii="Cambria" w:hAnsi="Cambria" w:cs="Arial"/>
          <w:sz w:val="20"/>
          <w:szCs w:val="20"/>
          <w:lang w:eastAsia="en-US"/>
        </w:rPr>
        <w:t xml:space="preserve"> la economía global avanzó 3,7%, porcentaje inferior a la del año anterior que fue de 3,9%.</w:t>
      </w:r>
    </w:p>
    <w:p w14:paraId="0035E43D" w14:textId="77777777" w:rsidR="00ED480D" w:rsidRPr="00E00C94" w:rsidRDefault="00ED480D" w:rsidP="00ED480D">
      <w:pPr>
        <w:spacing w:after="240"/>
        <w:jc w:val="both"/>
        <w:rPr>
          <w:rFonts w:ascii="Cambria" w:hAnsi="Cambria" w:cs="Arial"/>
          <w:sz w:val="20"/>
          <w:szCs w:val="20"/>
          <w:lang w:eastAsia="en-US"/>
        </w:rPr>
      </w:pPr>
      <w:r w:rsidRPr="00E00C94">
        <w:rPr>
          <w:rFonts w:ascii="Cambria" w:hAnsi="Cambria" w:cs="Arial"/>
          <w:sz w:val="20"/>
          <w:szCs w:val="20"/>
          <w:lang w:eastAsia="en-US"/>
        </w:rPr>
        <w:t>En el ámbito agroeconómico, la campaña 2018/19 (correspondiente a la cosecha 2017/18) comenzó a nivel mundial con excelentes expectativas sobre la producción de granos y oleaginosas. La gran oferta de granos a nivel global en términos de volumen mantuvo los precios internacionales de cereales y oleaginosas en niveles similares a los del año anterior, sin registrar mejoras de los ya deprimidos precios. El único producto que mostró una tendencia alcista fue el trigo, debido a la potencial reducción en la producción del Mar Negro, que finalmente fue menor a la esperada.</w:t>
      </w:r>
    </w:p>
    <w:p w14:paraId="2E81B0BB" w14:textId="77777777" w:rsidR="00ED480D" w:rsidRPr="00E00C94" w:rsidRDefault="00ED480D" w:rsidP="00ED480D">
      <w:pPr>
        <w:spacing w:after="240"/>
        <w:jc w:val="both"/>
        <w:rPr>
          <w:rFonts w:ascii="Cambria" w:hAnsi="Cambria" w:cs="Arial"/>
          <w:sz w:val="20"/>
          <w:szCs w:val="20"/>
          <w:lang w:eastAsia="en-US"/>
        </w:rPr>
      </w:pPr>
      <w:r w:rsidRPr="00E00C94">
        <w:rPr>
          <w:rFonts w:ascii="Cambria" w:hAnsi="Cambria" w:cs="Arial"/>
          <w:sz w:val="20"/>
          <w:szCs w:val="20"/>
          <w:lang w:eastAsia="en-US"/>
        </w:rPr>
        <w:t>A mediados de junio de 2018, el comercio mundial de granos se vio afectado por la denominada “Guerra Comercial” entre Estados Unidos y China, que generó una distorsión en el flujo global de poroto de soja. Estados Unidos, en una medida orientada a reducir el déficit en su balanza comercial, incrementó los impuestos a la importación de muchos productos chinos, principalmente desarrollos tecnológicos, aludiendo a comercio desleal. Esta decisión unilateral no tardó en recibir respuesta por parte del Gobierno chino, quien aumentó fuertemente los impuestos a la importación de productos agrícolas de origen americano, provocando así una sobre abundancia de soja en Estados Unidos. Este enorme stock debió competir agresivamente por destinos alternativos a China, impactando fuertemente sobre el precio internacional de la soja. Al 31 de marzo de 2019, y luego de numerosas negociaciones, este conflicto aún no se encuentra resuelto.</w:t>
      </w:r>
    </w:p>
    <w:p w14:paraId="4065D518" w14:textId="77777777" w:rsidR="00ED480D" w:rsidRPr="00E00C94" w:rsidRDefault="00ED480D" w:rsidP="00ED480D">
      <w:pPr>
        <w:spacing w:after="240"/>
        <w:jc w:val="both"/>
        <w:rPr>
          <w:rFonts w:ascii="Cambria" w:hAnsi="Cambria" w:cs="Arial"/>
          <w:sz w:val="20"/>
          <w:szCs w:val="20"/>
          <w:lang w:eastAsia="en-US"/>
        </w:rPr>
      </w:pPr>
      <w:r w:rsidRPr="00E00C94">
        <w:rPr>
          <w:rFonts w:ascii="Cambria" w:hAnsi="Cambria" w:cs="Arial"/>
          <w:sz w:val="20"/>
          <w:szCs w:val="20"/>
          <w:lang w:eastAsia="en-US"/>
        </w:rPr>
        <w:t>En lo que respecta a Brasil, una adecuada provisión de lluvias permitió que alcanzara por primera vez en su historia una producción de soja superior a los 120 millones de toneladas, la cual comp</w:t>
      </w:r>
      <w:r>
        <w:rPr>
          <w:rFonts w:ascii="Cambria" w:hAnsi="Cambria" w:cs="Arial"/>
          <w:sz w:val="20"/>
          <w:szCs w:val="20"/>
          <w:lang w:eastAsia="en-US"/>
        </w:rPr>
        <w:t>ara</w:t>
      </w:r>
      <w:r w:rsidRPr="00E00C94">
        <w:rPr>
          <w:rFonts w:ascii="Cambria" w:hAnsi="Cambria" w:cs="Arial"/>
          <w:sz w:val="20"/>
          <w:szCs w:val="20"/>
          <w:lang w:eastAsia="en-US"/>
        </w:rPr>
        <w:t xml:space="preserve"> con la producción del año anterior que había sido récord con 110 millones de toneladas, logrando así una nueva marca, respecto de la campaña anterior. Contrariamente, en maíz no fue posible repetir la excelente situación del año anterior, ya que las siembras tardías se vieron muy afectadas por el clima, recortando casi 14 millones de toneladas y retrotrayendo la producción total del cereal a niveles de 2013/14 con tan solo 80 millones de toneladas. </w:t>
      </w:r>
    </w:p>
    <w:p w14:paraId="1DACD5CF" w14:textId="77777777" w:rsidR="00ED480D" w:rsidRPr="00E00C94" w:rsidRDefault="00ED480D" w:rsidP="00ED480D">
      <w:pPr>
        <w:spacing w:after="240"/>
        <w:jc w:val="both"/>
        <w:rPr>
          <w:rFonts w:ascii="Cambria" w:hAnsi="Cambria" w:cs="Arial"/>
          <w:b/>
          <w:bCs/>
          <w:i/>
          <w:sz w:val="20"/>
          <w:szCs w:val="20"/>
          <w:u w:val="single"/>
          <w:lang w:eastAsia="en-US"/>
        </w:rPr>
      </w:pPr>
      <w:r w:rsidRPr="00E00C94">
        <w:rPr>
          <w:rFonts w:ascii="Cambria" w:hAnsi="Cambria" w:cs="Arial"/>
          <w:b/>
          <w:bCs/>
          <w:i/>
          <w:sz w:val="20"/>
          <w:szCs w:val="20"/>
          <w:u w:val="single"/>
          <w:lang w:eastAsia="en-US"/>
        </w:rPr>
        <w:t>Desempeño económico de Argentina</w:t>
      </w:r>
    </w:p>
    <w:p w14:paraId="0A9322BF" w14:textId="77777777" w:rsidR="00ED480D" w:rsidRPr="00E00C94" w:rsidRDefault="00ED480D" w:rsidP="00ED480D">
      <w:pPr>
        <w:spacing w:after="240"/>
        <w:jc w:val="both"/>
        <w:rPr>
          <w:rFonts w:ascii="Cambria" w:hAnsi="Cambria" w:cs="Arial"/>
          <w:sz w:val="20"/>
          <w:szCs w:val="20"/>
          <w:lang w:eastAsia="en-US"/>
        </w:rPr>
      </w:pPr>
      <w:r w:rsidRPr="00E00C94">
        <w:rPr>
          <w:rFonts w:ascii="Cambria" w:hAnsi="Cambria" w:cs="Arial"/>
          <w:sz w:val="20"/>
          <w:szCs w:val="20"/>
          <w:lang w:eastAsia="en-US"/>
        </w:rPr>
        <w:t xml:space="preserve">A lo largo del ejercicio finalizado en marzo 2019 se produjeron una serie de eventos en la economía que derivaron en una devaluación de la moneda del 115,1% pasando de ser $/US$ 20,15 a fin de marzo de 2018 a 43,35 a fin de marzo de 2019, con corrida cambiaria, una fuerte alteración de las condiciones financieras y un súbito cambio en las perspectivas económicas. Todo esto a su vez </w:t>
      </w:r>
      <w:r w:rsidRPr="00E00C94">
        <w:rPr>
          <w:rFonts w:ascii="Cambria" w:hAnsi="Cambria" w:cs="Arial"/>
          <w:sz w:val="20"/>
          <w:szCs w:val="20"/>
          <w:lang w:eastAsia="en-US"/>
        </w:rPr>
        <w:lastRenderedPageBreak/>
        <w:t>acelero el proceso inflacionario, el cual fue del 54,7% en este ejercicio. Esta situación obligó a la revisión del plan económico del gobierno nacional, que concluyó en un acuerdo con el Fondo Monetario Internacional (FMI) que inclu</w:t>
      </w:r>
      <w:r>
        <w:rPr>
          <w:rFonts w:ascii="Cambria" w:hAnsi="Cambria" w:cs="Arial"/>
          <w:sz w:val="20"/>
          <w:szCs w:val="20"/>
          <w:lang w:eastAsia="en-US"/>
        </w:rPr>
        <w:t>ía</w:t>
      </w:r>
      <w:r w:rsidRPr="00E00C94">
        <w:rPr>
          <w:rFonts w:ascii="Cambria" w:hAnsi="Cambria" w:cs="Arial"/>
          <w:sz w:val="20"/>
          <w:szCs w:val="20"/>
          <w:lang w:eastAsia="en-US"/>
        </w:rPr>
        <w:t xml:space="preserve"> un préstamo por US$57.000 millones hasta 2021, acompañado de un programa de fuerte reducción del gasto con el objetivo de alcanzar el déficit cero.</w:t>
      </w:r>
    </w:p>
    <w:p w14:paraId="49A8A3DF" w14:textId="77777777" w:rsidR="00ED480D" w:rsidRPr="00E00C94" w:rsidRDefault="00ED480D" w:rsidP="00ED480D">
      <w:pPr>
        <w:spacing w:after="240"/>
        <w:jc w:val="both"/>
        <w:rPr>
          <w:rFonts w:ascii="Cambria" w:hAnsi="Cambria" w:cs="Arial"/>
          <w:sz w:val="20"/>
          <w:szCs w:val="20"/>
          <w:lang w:eastAsia="en-US"/>
        </w:rPr>
      </w:pPr>
      <w:r w:rsidRPr="00E00C94">
        <w:rPr>
          <w:rFonts w:ascii="Cambria" w:hAnsi="Cambria" w:cs="Arial"/>
          <w:sz w:val="20"/>
          <w:szCs w:val="20"/>
          <w:lang w:eastAsia="en-US"/>
        </w:rPr>
        <w:t>En el ámbito agroeconómico el desarrollo de los cultivos fue marcadamente afectada por una de las peores sequías de la historia durante los meses de enero y febrero. La producción de soja se redujo a 35 millones de toneladas, representando 17 millones de toneladas menos respecto del ejercicio anterior. Como consecuencia de esto, y por primera vez en la historia, Argentina importó más de 7 millones de toneladas de soja de Paraguay, Estados Unidos y Brasil, para industrializar y compensar parcialmente la falta de mercadería local, con el fin de cubrir los compromisos comerciales.</w:t>
      </w:r>
    </w:p>
    <w:p w14:paraId="65A37B79" w14:textId="77777777" w:rsidR="00ED480D" w:rsidRPr="00E00C94" w:rsidRDefault="00ED480D" w:rsidP="00ED480D">
      <w:pPr>
        <w:spacing w:after="240"/>
        <w:jc w:val="both"/>
        <w:rPr>
          <w:rFonts w:ascii="Cambria" w:hAnsi="Cambria" w:cs="Arial"/>
          <w:sz w:val="20"/>
          <w:szCs w:val="20"/>
          <w:lang w:eastAsia="en-US"/>
        </w:rPr>
      </w:pPr>
      <w:r w:rsidRPr="00E00C94">
        <w:rPr>
          <w:rFonts w:ascii="Cambria" w:hAnsi="Cambria" w:cs="Arial"/>
          <w:sz w:val="20"/>
          <w:szCs w:val="20"/>
          <w:lang w:eastAsia="en-US"/>
        </w:rPr>
        <w:t>El maíz tampoco fue ajeno a esta situación, resultando los lotes de siembra más tardía muy afectados por la falta de humedad. Se alcanzó una producción cercana a los 37 millones de toneladas, 6 millones de toneladas menos en comparación con la cosecha previa. Pese a los mejores precios locales, la considerable reducción del volumen de cosecha gruesa no permitió que el productor argentino equiparara su facturación respecto del año comercial 2017/18, por la venta de sus productos.</w:t>
      </w:r>
    </w:p>
    <w:p w14:paraId="4BC4CC83" w14:textId="77777777" w:rsidR="00ED480D" w:rsidRPr="00E00C94" w:rsidRDefault="00ED480D" w:rsidP="00ED480D">
      <w:pPr>
        <w:spacing w:after="240"/>
        <w:jc w:val="both"/>
        <w:rPr>
          <w:rFonts w:ascii="Cambria" w:hAnsi="Cambria" w:cs="Arial"/>
          <w:sz w:val="20"/>
          <w:szCs w:val="20"/>
          <w:lang w:eastAsia="en-US"/>
        </w:rPr>
      </w:pPr>
      <w:r w:rsidRPr="00E00C94">
        <w:rPr>
          <w:rFonts w:ascii="Cambria" w:hAnsi="Cambria" w:cs="Arial"/>
          <w:sz w:val="20"/>
          <w:szCs w:val="20"/>
          <w:lang w:eastAsia="en-US"/>
        </w:rPr>
        <w:t>Por su parte, a principios de septiembre de 2018 el Gobierno argentino modificó a través del decreto 793/18 el esquema de derechos de exportación, imponiendo un derecho adicional a la exportación de, entre otro</w:t>
      </w:r>
      <w:r>
        <w:rPr>
          <w:rFonts w:ascii="Cambria" w:hAnsi="Cambria" w:cs="Arial"/>
          <w:sz w:val="20"/>
          <w:szCs w:val="20"/>
          <w:lang w:eastAsia="en-US"/>
        </w:rPr>
        <w:t>s</w:t>
      </w:r>
      <w:r w:rsidRPr="00E00C94">
        <w:rPr>
          <w:rFonts w:ascii="Cambria" w:hAnsi="Cambria" w:cs="Arial"/>
          <w:sz w:val="20"/>
          <w:szCs w:val="20"/>
          <w:lang w:eastAsia="en-US"/>
        </w:rPr>
        <w:t xml:space="preserve"> bienes y servicios, soja y sus derivados, maíz y trigo. Adicionalmente, para el caso del complejo sojero se unificaron las alícuotas, eliminándose de esta manera el escalonamiento arancelario, gravando de esta forma el valor agregado en el país. La principal consecuencia fue que recortó parte de la demanda de la industria procesadora, favoreciendo la exportación de materia prima. Medida que agravó la situación del complejo sojero, ya de por sí adverso por las consecuencias de la tremenda sequía que restringió la oferta local de soja, y por la distorsión generada por la “Guerra Comercial” entre Estados Unidos y China.</w:t>
      </w:r>
      <w:r w:rsidRPr="00E00C94">
        <w:rPr>
          <w:rFonts w:ascii="Cambria" w:hAnsi="Cambria" w:cs="Arial"/>
          <w:b/>
          <w:sz w:val="20"/>
          <w:szCs w:val="20"/>
          <w:u w:val="single"/>
          <w:lang w:eastAsia="en-US"/>
        </w:rPr>
        <w:t xml:space="preserve"> </w:t>
      </w:r>
    </w:p>
    <w:p w14:paraId="57E6AB95" w14:textId="77777777" w:rsidR="00ED480D" w:rsidRPr="006E4259" w:rsidRDefault="00ED480D" w:rsidP="00ED480D">
      <w:pPr>
        <w:jc w:val="both"/>
        <w:rPr>
          <w:rFonts w:ascii="Times New Roman" w:hAnsi="Times New Roman"/>
          <w:highlight w:val="yellow"/>
        </w:rPr>
      </w:pPr>
    </w:p>
    <w:p w14:paraId="475165D8" w14:textId="77777777" w:rsidR="00ED480D" w:rsidRPr="006E4259" w:rsidRDefault="00ED480D" w:rsidP="00ED480D">
      <w:pPr>
        <w:jc w:val="both"/>
        <w:rPr>
          <w:rFonts w:ascii="Garamond" w:hAnsi="Garamond"/>
          <w:sz w:val="20"/>
          <w:highlight w:val="yellow"/>
        </w:rPr>
      </w:pPr>
      <w:r w:rsidRPr="006E4259">
        <w:rPr>
          <w:noProof/>
          <w:lang w:val="es-AR"/>
        </w:rPr>
        <w:drawing>
          <wp:inline distT="0" distB="0" distL="0" distR="0" wp14:anchorId="4D4982EF" wp14:editId="1830E950">
            <wp:extent cx="5612130" cy="3131185"/>
            <wp:effectExtent l="0" t="0" r="762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12130" cy="3131185"/>
                    </a:xfrm>
                    <a:prstGeom prst="rect">
                      <a:avLst/>
                    </a:prstGeom>
                    <a:noFill/>
                    <a:ln>
                      <a:noFill/>
                    </a:ln>
                  </pic:spPr>
                </pic:pic>
              </a:graphicData>
            </a:graphic>
          </wp:inline>
        </w:drawing>
      </w:r>
    </w:p>
    <w:p w14:paraId="18BCECD5" w14:textId="77777777" w:rsidR="00ED480D" w:rsidRPr="006E4259" w:rsidRDefault="00ED480D" w:rsidP="00ED480D">
      <w:pPr>
        <w:jc w:val="both"/>
        <w:rPr>
          <w:rFonts w:ascii="Garamond" w:hAnsi="Garamond"/>
          <w:sz w:val="20"/>
          <w:highlight w:val="yellow"/>
        </w:rPr>
      </w:pPr>
    </w:p>
    <w:p w14:paraId="22D6674B" w14:textId="77777777" w:rsidR="00ED480D" w:rsidRPr="005B081E" w:rsidRDefault="00ED480D" w:rsidP="000C02A3">
      <w:pPr>
        <w:numPr>
          <w:ilvl w:val="0"/>
          <w:numId w:val="17"/>
        </w:numPr>
        <w:spacing w:after="0"/>
        <w:jc w:val="both"/>
        <w:rPr>
          <w:rFonts w:ascii="Cambria" w:hAnsi="Cambria"/>
          <w:sz w:val="20"/>
          <w:szCs w:val="20"/>
          <w:lang w:eastAsia="en-US"/>
        </w:rPr>
      </w:pPr>
      <w:r w:rsidRPr="005B081E">
        <w:rPr>
          <w:rFonts w:ascii="Cambria" w:hAnsi="Cambria"/>
          <w:sz w:val="20"/>
          <w:szCs w:val="20"/>
          <w:lang w:eastAsia="en-US"/>
        </w:rPr>
        <w:lastRenderedPageBreak/>
        <w:t>Los saldos surgen de los estados financieros consolidados al 31 de marzo de 2020 y se encuentra</w:t>
      </w:r>
      <w:r>
        <w:rPr>
          <w:rFonts w:ascii="Cambria" w:hAnsi="Cambria"/>
          <w:sz w:val="20"/>
          <w:szCs w:val="20"/>
          <w:lang w:eastAsia="en-US"/>
        </w:rPr>
        <w:t>n</w:t>
      </w:r>
      <w:r w:rsidRPr="005B081E">
        <w:rPr>
          <w:rFonts w:ascii="Cambria" w:hAnsi="Cambria"/>
          <w:sz w:val="20"/>
          <w:szCs w:val="20"/>
          <w:lang w:eastAsia="en-US"/>
        </w:rPr>
        <w:t xml:space="preserve"> reexpresados a moneda de dicha fecha.</w:t>
      </w:r>
    </w:p>
    <w:p w14:paraId="16457FC4" w14:textId="77777777" w:rsidR="00ED480D" w:rsidRPr="005B081E" w:rsidRDefault="00ED480D" w:rsidP="000C02A3">
      <w:pPr>
        <w:numPr>
          <w:ilvl w:val="0"/>
          <w:numId w:val="17"/>
        </w:numPr>
        <w:spacing w:after="0"/>
        <w:ind w:left="714" w:hanging="357"/>
        <w:jc w:val="both"/>
        <w:rPr>
          <w:rFonts w:ascii="Cambria" w:hAnsi="Cambria"/>
          <w:sz w:val="20"/>
          <w:szCs w:val="20"/>
          <w:lang w:eastAsia="en-US"/>
        </w:rPr>
      </w:pPr>
      <w:r w:rsidRPr="005B081E">
        <w:rPr>
          <w:rFonts w:ascii="Cambria" w:hAnsi="Cambria"/>
          <w:sz w:val="20"/>
          <w:szCs w:val="20"/>
          <w:lang w:eastAsia="en-US"/>
        </w:rPr>
        <w:t>Los saldos surgen de los estados financieros consolidados al 31 de marzo de 2018 y se encuentra</w:t>
      </w:r>
      <w:r>
        <w:rPr>
          <w:rFonts w:ascii="Cambria" w:hAnsi="Cambria"/>
          <w:sz w:val="20"/>
          <w:szCs w:val="20"/>
          <w:lang w:eastAsia="en-US"/>
        </w:rPr>
        <w:t>n</w:t>
      </w:r>
      <w:r w:rsidRPr="005B081E">
        <w:rPr>
          <w:rFonts w:ascii="Cambria" w:hAnsi="Cambria"/>
          <w:sz w:val="20"/>
          <w:szCs w:val="20"/>
          <w:lang w:eastAsia="en-US"/>
        </w:rPr>
        <w:t xml:space="preserve"> reexpresados a moneda del 31 de marzo de 2020.</w:t>
      </w:r>
    </w:p>
    <w:p w14:paraId="03433BAD" w14:textId="77777777" w:rsidR="00ED480D" w:rsidRPr="005B081E" w:rsidRDefault="00ED480D" w:rsidP="000C02A3">
      <w:pPr>
        <w:numPr>
          <w:ilvl w:val="0"/>
          <w:numId w:val="17"/>
        </w:numPr>
        <w:spacing w:after="0"/>
        <w:jc w:val="both"/>
        <w:rPr>
          <w:rFonts w:ascii="Cambria" w:hAnsi="Cambria"/>
          <w:sz w:val="20"/>
          <w:szCs w:val="20"/>
          <w:lang w:eastAsia="en-US"/>
        </w:rPr>
      </w:pPr>
      <w:r w:rsidRPr="005B081E">
        <w:rPr>
          <w:rFonts w:ascii="Cambria" w:hAnsi="Cambria"/>
          <w:sz w:val="20"/>
          <w:szCs w:val="20"/>
          <w:lang w:eastAsia="en-US"/>
        </w:rPr>
        <w:t>Las variaciones se presentan en términos absolutos. La suma de los subtotales y totales expuestos en los cuadros respectivos, deben considerar lo mencionado anteriormente.</w:t>
      </w:r>
    </w:p>
    <w:p w14:paraId="45551B89" w14:textId="77777777" w:rsidR="00ED480D" w:rsidRPr="006E4259" w:rsidRDefault="00ED480D" w:rsidP="00ED480D">
      <w:pPr>
        <w:spacing w:after="0"/>
        <w:ind w:left="714"/>
        <w:jc w:val="both"/>
        <w:rPr>
          <w:rFonts w:ascii="Times New Roman" w:hAnsi="Times New Roman"/>
        </w:rPr>
      </w:pPr>
    </w:p>
    <w:p w14:paraId="6D0E3FBE" w14:textId="77777777" w:rsidR="00ED480D" w:rsidRPr="005B081E" w:rsidRDefault="00ED480D" w:rsidP="00ED480D">
      <w:pPr>
        <w:jc w:val="both"/>
        <w:rPr>
          <w:rFonts w:ascii="Cambria" w:hAnsi="Cambria"/>
          <w:b/>
          <w:bCs/>
          <w:i/>
          <w:sz w:val="20"/>
          <w:szCs w:val="20"/>
          <w:lang w:eastAsia="en-US"/>
        </w:rPr>
      </w:pPr>
      <w:r w:rsidRPr="005B081E">
        <w:rPr>
          <w:rFonts w:ascii="Cambria" w:hAnsi="Cambria"/>
          <w:b/>
          <w:bCs/>
          <w:i/>
          <w:sz w:val="20"/>
          <w:szCs w:val="20"/>
          <w:lang w:eastAsia="en-US"/>
        </w:rPr>
        <w:t>Ingreso de actividades ordinarias</w:t>
      </w:r>
      <w:r w:rsidRPr="005B081E">
        <w:rPr>
          <w:rFonts w:ascii="Cambria" w:hAnsi="Cambria"/>
          <w:b/>
          <w:bCs/>
          <w:sz w:val="20"/>
          <w:szCs w:val="20"/>
          <w:lang w:eastAsia="en-US"/>
        </w:rPr>
        <w:t xml:space="preserve"> </w:t>
      </w:r>
      <w:r w:rsidRPr="005B081E">
        <w:rPr>
          <w:rFonts w:ascii="Cambria" w:hAnsi="Cambria"/>
          <w:b/>
          <w:bCs/>
          <w:i/>
          <w:sz w:val="20"/>
          <w:szCs w:val="20"/>
          <w:lang w:eastAsia="en-US"/>
        </w:rPr>
        <w:t>y molienda</w:t>
      </w:r>
    </w:p>
    <w:p w14:paraId="56B05F39" w14:textId="77777777" w:rsidR="00ED480D" w:rsidRPr="005B081E" w:rsidRDefault="00ED480D" w:rsidP="00ED480D">
      <w:pPr>
        <w:shd w:val="clear" w:color="auto" w:fill="FFFFFF"/>
        <w:jc w:val="both"/>
        <w:rPr>
          <w:rFonts w:ascii="Cambria" w:hAnsi="Cambria" w:cs="Arial"/>
          <w:bCs/>
          <w:i/>
          <w:sz w:val="20"/>
          <w:szCs w:val="20"/>
          <w:lang w:eastAsia="en-US"/>
        </w:rPr>
      </w:pPr>
      <w:r w:rsidRPr="005B081E">
        <w:rPr>
          <w:rFonts w:ascii="Cambria" w:hAnsi="Cambria" w:cs="Arial"/>
          <w:bCs/>
          <w:i/>
          <w:sz w:val="20"/>
          <w:szCs w:val="20"/>
          <w:lang w:eastAsia="en-US"/>
        </w:rPr>
        <w:t>Originación y molienda</w:t>
      </w:r>
      <w:r w:rsidRPr="005B081E">
        <w:rPr>
          <w:rFonts w:ascii="Cambria" w:hAnsi="Cambria" w:cs="Arial"/>
          <w:bCs/>
          <w:sz w:val="20"/>
          <w:szCs w:val="20"/>
          <w:lang w:eastAsia="en-US"/>
        </w:rPr>
        <w:t>.</w:t>
      </w:r>
    </w:p>
    <w:p w14:paraId="4741E9A5" w14:textId="77777777" w:rsidR="00ED480D" w:rsidRPr="00E00C94" w:rsidRDefault="00ED480D" w:rsidP="00ED480D">
      <w:pPr>
        <w:shd w:val="clear" w:color="auto" w:fill="FFFFFF"/>
        <w:jc w:val="both"/>
        <w:rPr>
          <w:rFonts w:ascii="Cambria" w:hAnsi="Cambria" w:cs="Arial"/>
          <w:sz w:val="20"/>
          <w:szCs w:val="20"/>
          <w:lang w:eastAsia="en-US"/>
        </w:rPr>
      </w:pPr>
      <w:r w:rsidRPr="00E00C94">
        <w:rPr>
          <w:rFonts w:ascii="Cambria" w:hAnsi="Cambria" w:cs="Arial"/>
          <w:sz w:val="20"/>
          <w:szCs w:val="20"/>
          <w:lang w:eastAsia="en-US"/>
        </w:rPr>
        <w:t>Con una leve reducción del área sembrada, pero habiendo atravesado una de las sequías más graves de la historia, la producción de soja por el ejercicio finalizado en marzo de 2019 fue de 35 millones de toneladas, las cual, representa una reducción del 33% con respecto al ejercicio anterior. La escasez de materia prima y la tirantez generada en la oferta de productos, alentó a la importación de poroto de soja desde diversos orígenes, alcanzando un récord de algo más de 7 millones de toneladas. En este contexto altamente competitivo por la materia prima, el volumen industrializado se ubicó en el nivel más bajo de las últimas 5 campañas, con apenas algo más de 36 millones de ton</w:t>
      </w:r>
      <w:r>
        <w:rPr>
          <w:rFonts w:ascii="Cambria" w:hAnsi="Cambria" w:cs="Arial"/>
          <w:sz w:val="20"/>
          <w:szCs w:val="20"/>
          <w:lang w:eastAsia="en-US"/>
        </w:rPr>
        <w:t>eladas lo cual le implico a la E</w:t>
      </w:r>
      <w:r w:rsidRPr="00E00C94">
        <w:rPr>
          <w:rFonts w:ascii="Cambria" w:hAnsi="Cambria" w:cs="Arial"/>
          <w:sz w:val="20"/>
          <w:szCs w:val="20"/>
          <w:lang w:eastAsia="en-US"/>
        </w:rPr>
        <w:t>misora en una reducción del 14% en la molienda de soja, con respecto al ejercicio anterior.</w:t>
      </w:r>
    </w:p>
    <w:p w14:paraId="46AD33E9" w14:textId="77777777" w:rsidR="00ED480D" w:rsidRPr="00E00C94" w:rsidRDefault="00ED480D" w:rsidP="00ED480D">
      <w:pPr>
        <w:shd w:val="clear" w:color="auto" w:fill="FFFFFF"/>
        <w:jc w:val="both"/>
        <w:rPr>
          <w:rFonts w:ascii="Cambria" w:hAnsi="Cambria" w:cs="Arial"/>
          <w:sz w:val="20"/>
          <w:szCs w:val="20"/>
          <w:lang w:eastAsia="en-US"/>
        </w:rPr>
      </w:pPr>
      <w:r w:rsidRPr="00E00C94">
        <w:rPr>
          <w:rFonts w:ascii="Cambria" w:hAnsi="Cambria" w:cs="Arial"/>
          <w:sz w:val="20"/>
          <w:szCs w:val="20"/>
          <w:lang w:eastAsia="en-US"/>
        </w:rPr>
        <w:t xml:space="preserve">El maíz no fue ajeno a los efectos de la sequía, siendo la cosecha tardía la que se vio más afectada, dejando incluso lotes sin poder ser trillados. Con algo menos de 37 millones de toneladas por el ejercicio finalizado en marzo de 2019, la cual compara contra una cosecha récord del año anterior que alcanzó los 42 millones de toneladas </w:t>
      </w:r>
    </w:p>
    <w:p w14:paraId="7DAD4ABB" w14:textId="77777777" w:rsidR="00ED480D" w:rsidRPr="00E00C94" w:rsidRDefault="00ED480D" w:rsidP="00ED480D">
      <w:pPr>
        <w:shd w:val="clear" w:color="auto" w:fill="FFFFFF"/>
        <w:jc w:val="both"/>
        <w:rPr>
          <w:rFonts w:ascii="Cambria" w:hAnsi="Cambria" w:cs="Arial"/>
          <w:sz w:val="20"/>
          <w:szCs w:val="20"/>
          <w:lang w:eastAsia="en-US"/>
        </w:rPr>
      </w:pPr>
      <w:r w:rsidRPr="00E00C94">
        <w:rPr>
          <w:rFonts w:ascii="Cambria" w:hAnsi="Cambria" w:cs="Arial"/>
          <w:sz w:val="20"/>
          <w:szCs w:val="20"/>
          <w:lang w:eastAsia="en-US"/>
        </w:rPr>
        <w:t xml:space="preserve">Repitiendo una performance muy similar a la campaña anterior, el trigo produjo algo menos de 18 millones de toneladas, capitalizando todas las oportunidades comerciales a nivel internacional que se presentaron para el país.  </w:t>
      </w:r>
    </w:p>
    <w:p w14:paraId="7C18E702" w14:textId="77777777" w:rsidR="00ED480D" w:rsidRPr="00E00C94" w:rsidRDefault="00ED480D" w:rsidP="00ED480D">
      <w:pPr>
        <w:shd w:val="clear" w:color="auto" w:fill="FFFFFF"/>
        <w:jc w:val="both"/>
        <w:rPr>
          <w:rFonts w:ascii="Cambria" w:hAnsi="Cambria" w:cs="Arial"/>
          <w:i/>
          <w:iCs/>
          <w:sz w:val="20"/>
          <w:szCs w:val="20"/>
          <w:lang w:eastAsia="en-US"/>
        </w:rPr>
      </w:pPr>
      <w:r w:rsidRPr="00E00C94">
        <w:rPr>
          <w:rFonts w:ascii="Cambria" w:hAnsi="Cambria" w:cs="Arial"/>
          <w:i/>
          <w:iCs/>
          <w:sz w:val="20"/>
          <w:szCs w:val="20"/>
          <w:lang w:eastAsia="en-US"/>
        </w:rPr>
        <w:t>Ingresos por ventas</w:t>
      </w:r>
    </w:p>
    <w:p w14:paraId="62633A53" w14:textId="77777777" w:rsidR="00ED480D" w:rsidRPr="00E00C94" w:rsidRDefault="00ED480D" w:rsidP="00ED480D">
      <w:pPr>
        <w:shd w:val="clear" w:color="auto" w:fill="FFFFFF"/>
        <w:jc w:val="both"/>
        <w:rPr>
          <w:rFonts w:ascii="Cambria" w:hAnsi="Cambria" w:cs="Arial"/>
          <w:sz w:val="20"/>
          <w:szCs w:val="20"/>
          <w:lang w:eastAsia="en-US"/>
        </w:rPr>
      </w:pPr>
      <w:r w:rsidRPr="00E00C94">
        <w:rPr>
          <w:rFonts w:ascii="Cambria" w:hAnsi="Cambria" w:cs="Arial"/>
          <w:sz w:val="20"/>
          <w:szCs w:val="20"/>
          <w:lang w:eastAsia="en-US"/>
        </w:rPr>
        <w:t>Sobre la base del contexto macroeconómico descripto, sin acceso a la importación de materia prima y a pesar de las dificultades generadas por la sequía y la nueva estructura impositiva a la exportación, la Emisora logró comercializar 4,91 millones de toneladas, esto significó una reducción del 7% con respecto al ejercicio anterior. A pesar de la sequía que afectó a la producción de soja en una reducción del 33%, el volumen comercializado se vio en parte compensado por el aumento en las exportaciones de cereales que alcanzaron los 1,1 millones de toneladas, lo cual implicó un aumento del 21% con respecto al ejercicio anterior.</w:t>
      </w:r>
    </w:p>
    <w:p w14:paraId="13C17313" w14:textId="77777777" w:rsidR="00ED480D" w:rsidRPr="00E00C94" w:rsidRDefault="00ED480D" w:rsidP="00ED480D">
      <w:pPr>
        <w:shd w:val="clear" w:color="auto" w:fill="FFFFFF"/>
        <w:jc w:val="both"/>
        <w:rPr>
          <w:rFonts w:ascii="Cambria" w:hAnsi="Cambria" w:cs="Arial"/>
          <w:sz w:val="20"/>
          <w:szCs w:val="20"/>
          <w:lang w:eastAsia="en-US"/>
        </w:rPr>
      </w:pPr>
      <w:r w:rsidRPr="00E00C94">
        <w:rPr>
          <w:rFonts w:ascii="Cambria" w:hAnsi="Cambria" w:cs="Arial"/>
          <w:sz w:val="20"/>
          <w:szCs w:val="20"/>
          <w:lang w:eastAsia="en-US"/>
        </w:rPr>
        <w:t xml:space="preserve"> A pesar de la disminución en los volúmenes comercializados, los ingresos por ventas aumentaron un 20%, con respecto al ejercicio anterior, los cuales pasaron de ser Ps. 87.148,3 millones por el ejercicio finalizado en marzo de 2018 a Ps. 104.465,2 millones a marzo de 2019, este aumento, se debe básicamente al efecto de conversión de los ingresos po</w:t>
      </w:r>
      <w:r>
        <w:rPr>
          <w:rFonts w:ascii="Cambria" w:hAnsi="Cambria" w:cs="Arial"/>
          <w:sz w:val="20"/>
          <w:szCs w:val="20"/>
          <w:lang w:eastAsia="en-US"/>
        </w:rPr>
        <w:t xml:space="preserve">r ventas de dólares a pesos, ya </w:t>
      </w:r>
      <w:r w:rsidRPr="00E00C94">
        <w:rPr>
          <w:rFonts w:ascii="Cambria" w:hAnsi="Cambria" w:cs="Arial"/>
          <w:sz w:val="20"/>
          <w:szCs w:val="20"/>
          <w:lang w:eastAsia="en-US"/>
        </w:rPr>
        <w:t>que</w:t>
      </w:r>
      <w:r>
        <w:rPr>
          <w:rFonts w:ascii="Cambria" w:hAnsi="Cambria" w:cs="Arial"/>
          <w:sz w:val="20"/>
          <w:szCs w:val="20"/>
          <w:lang w:eastAsia="en-US"/>
        </w:rPr>
        <w:t>,</w:t>
      </w:r>
      <w:r w:rsidRPr="00E00C94">
        <w:rPr>
          <w:rFonts w:ascii="Cambria" w:hAnsi="Cambria" w:cs="Arial"/>
          <w:sz w:val="20"/>
          <w:szCs w:val="20"/>
          <w:lang w:eastAsia="en-US"/>
        </w:rPr>
        <w:t xml:space="preserve"> durante el ejercicio finalizado en marzo de 2019, hubo una devaluación del tipo de cambio del 115%. </w:t>
      </w:r>
    </w:p>
    <w:p w14:paraId="7F68491C" w14:textId="77777777" w:rsidR="00ED480D" w:rsidRPr="00E00C94" w:rsidRDefault="00ED480D" w:rsidP="00ED480D">
      <w:pPr>
        <w:shd w:val="clear" w:color="auto" w:fill="FFFFFF"/>
        <w:jc w:val="both"/>
        <w:rPr>
          <w:rFonts w:ascii="Cambria" w:hAnsi="Cambria" w:cs="Arial"/>
          <w:i/>
          <w:sz w:val="20"/>
          <w:szCs w:val="20"/>
          <w:lang w:eastAsia="en-US"/>
        </w:rPr>
      </w:pPr>
      <w:r w:rsidRPr="00E00C94">
        <w:rPr>
          <w:rFonts w:ascii="Cambria" w:hAnsi="Cambria" w:cs="Arial"/>
          <w:i/>
          <w:sz w:val="20"/>
          <w:szCs w:val="20"/>
          <w:lang w:eastAsia="en-US"/>
        </w:rPr>
        <w:t>Ingresos por área geográfica</w:t>
      </w:r>
    </w:p>
    <w:p w14:paraId="5EC9B3A0" w14:textId="77777777" w:rsidR="00ED480D" w:rsidRPr="00E00C94" w:rsidRDefault="00ED480D" w:rsidP="00ED480D">
      <w:pPr>
        <w:shd w:val="clear" w:color="auto" w:fill="FFFFFF"/>
        <w:jc w:val="both"/>
        <w:rPr>
          <w:rFonts w:ascii="Cambria" w:hAnsi="Cambria" w:cs="Arial"/>
          <w:sz w:val="20"/>
          <w:szCs w:val="20"/>
          <w:lang w:eastAsia="en-US"/>
        </w:rPr>
      </w:pPr>
      <w:r w:rsidRPr="00E00C94">
        <w:rPr>
          <w:rFonts w:ascii="Cambria" w:hAnsi="Cambria" w:cs="Arial"/>
          <w:sz w:val="20"/>
          <w:szCs w:val="20"/>
          <w:lang w:eastAsia="en-US"/>
        </w:rPr>
        <w:t xml:space="preserve">Los ingresos de la Emisora en el mercado externo representaron un </w:t>
      </w:r>
      <w:r>
        <w:rPr>
          <w:rFonts w:ascii="Cambria" w:hAnsi="Cambria" w:cs="Arial"/>
          <w:sz w:val="20"/>
          <w:szCs w:val="20"/>
          <w:lang w:eastAsia="en-US"/>
        </w:rPr>
        <w:t>89</w:t>
      </w:r>
      <w:r w:rsidRPr="00E00C94">
        <w:rPr>
          <w:rFonts w:ascii="Cambria" w:hAnsi="Cambria" w:cs="Arial"/>
          <w:sz w:val="20"/>
          <w:szCs w:val="20"/>
          <w:lang w:eastAsia="en-US"/>
        </w:rPr>
        <w:t xml:space="preserve">% y un </w:t>
      </w:r>
      <w:r>
        <w:rPr>
          <w:rFonts w:ascii="Cambria" w:hAnsi="Cambria" w:cs="Arial"/>
          <w:sz w:val="20"/>
          <w:szCs w:val="20"/>
          <w:lang w:eastAsia="en-US"/>
        </w:rPr>
        <w:t>92</w:t>
      </w:r>
      <w:r w:rsidRPr="00E00C94">
        <w:rPr>
          <w:rFonts w:ascii="Cambria" w:hAnsi="Cambria" w:cs="Arial"/>
          <w:sz w:val="20"/>
          <w:szCs w:val="20"/>
          <w:lang w:eastAsia="en-US"/>
        </w:rPr>
        <w:t>% de los ingresos por ventas, por los ejercicios finalizados al 31 de marzo de 2019 y 2018, respectivamente.</w:t>
      </w:r>
    </w:p>
    <w:p w14:paraId="7AFCF616" w14:textId="77777777" w:rsidR="00ED480D" w:rsidRPr="00E00C94" w:rsidRDefault="00ED480D" w:rsidP="00ED480D">
      <w:pPr>
        <w:shd w:val="clear" w:color="auto" w:fill="FFFFFF"/>
        <w:jc w:val="both"/>
        <w:rPr>
          <w:rFonts w:ascii="Cambria" w:hAnsi="Cambria" w:cs="Arial"/>
          <w:sz w:val="20"/>
          <w:szCs w:val="20"/>
          <w:lang w:eastAsia="en-US"/>
        </w:rPr>
      </w:pPr>
    </w:p>
    <w:p w14:paraId="55799896" w14:textId="77777777" w:rsidR="00ED480D" w:rsidRPr="00E00C94" w:rsidRDefault="00ED480D" w:rsidP="00ED480D">
      <w:pPr>
        <w:shd w:val="clear" w:color="auto" w:fill="FFFFFF"/>
        <w:jc w:val="both"/>
        <w:rPr>
          <w:rFonts w:ascii="Cambria" w:hAnsi="Cambria" w:cs="Arial"/>
          <w:sz w:val="20"/>
          <w:szCs w:val="20"/>
          <w:lang w:eastAsia="en-US"/>
        </w:rPr>
      </w:pPr>
      <w:r w:rsidRPr="00E00C94">
        <w:rPr>
          <w:rFonts w:ascii="Cambria" w:hAnsi="Cambria" w:cs="Arial"/>
          <w:noProof/>
          <w:sz w:val="20"/>
          <w:szCs w:val="20"/>
          <w:lang w:val="es-AR"/>
        </w:rPr>
        <w:lastRenderedPageBreak/>
        <w:drawing>
          <wp:inline distT="0" distB="0" distL="0" distR="0" wp14:anchorId="2773576A" wp14:editId="0EED3D93">
            <wp:extent cx="5612130" cy="834390"/>
            <wp:effectExtent l="0" t="0" r="7620" b="38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12130" cy="834390"/>
                    </a:xfrm>
                    <a:prstGeom prst="rect">
                      <a:avLst/>
                    </a:prstGeom>
                    <a:noFill/>
                    <a:ln>
                      <a:noFill/>
                    </a:ln>
                  </pic:spPr>
                </pic:pic>
              </a:graphicData>
            </a:graphic>
          </wp:inline>
        </w:drawing>
      </w:r>
    </w:p>
    <w:p w14:paraId="34DF903A" w14:textId="77777777" w:rsidR="00ED480D" w:rsidRPr="00E00C94" w:rsidRDefault="00ED480D" w:rsidP="000C02A3">
      <w:pPr>
        <w:numPr>
          <w:ilvl w:val="0"/>
          <w:numId w:val="48"/>
        </w:numPr>
        <w:shd w:val="clear" w:color="auto" w:fill="FFFFFF"/>
        <w:spacing w:after="0"/>
        <w:ind w:left="714" w:hanging="357"/>
        <w:jc w:val="both"/>
        <w:rPr>
          <w:rFonts w:ascii="Cambria" w:hAnsi="Cambria" w:cs="Arial"/>
          <w:sz w:val="20"/>
          <w:szCs w:val="20"/>
          <w:lang w:eastAsia="en-US"/>
        </w:rPr>
      </w:pPr>
      <w:r w:rsidRPr="00E00C94">
        <w:rPr>
          <w:rFonts w:ascii="Cambria" w:hAnsi="Cambria" w:cs="Arial"/>
          <w:sz w:val="20"/>
          <w:szCs w:val="20"/>
          <w:lang w:eastAsia="en-US"/>
        </w:rPr>
        <w:t>Los saldos surgen de los estados financieros consolidados al 31 de marzo de 2020 y se encuentra reexpresados a moneda de dicha fecha.</w:t>
      </w:r>
    </w:p>
    <w:p w14:paraId="7FACE3D2" w14:textId="77777777" w:rsidR="00ED480D" w:rsidRPr="00E00C94" w:rsidRDefault="00ED480D" w:rsidP="000C02A3">
      <w:pPr>
        <w:numPr>
          <w:ilvl w:val="0"/>
          <w:numId w:val="48"/>
        </w:numPr>
        <w:shd w:val="clear" w:color="auto" w:fill="FFFFFF"/>
        <w:spacing w:after="0"/>
        <w:ind w:left="714" w:hanging="357"/>
        <w:jc w:val="both"/>
        <w:rPr>
          <w:rFonts w:ascii="Cambria" w:hAnsi="Cambria" w:cs="Arial"/>
          <w:sz w:val="20"/>
          <w:szCs w:val="20"/>
          <w:lang w:eastAsia="en-US"/>
        </w:rPr>
      </w:pPr>
      <w:r w:rsidRPr="00E00C94">
        <w:rPr>
          <w:rFonts w:ascii="Cambria" w:hAnsi="Cambria" w:cs="Arial"/>
          <w:sz w:val="20"/>
          <w:szCs w:val="20"/>
          <w:lang w:eastAsia="en-US"/>
        </w:rPr>
        <w:t>Los saldos surgen de los estados financieros consolidados al 31 de marzo de 2018 y se encuentra reexpresados en moneda del 31 de marzo de 2020.</w:t>
      </w:r>
    </w:p>
    <w:p w14:paraId="26ACFEEE" w14:textId="77777777" w:rsidR="00ED480D" w:rsidRPr="00E00C94" w:rsidRDefault="00ED480D" w:rsidP="000C02A3">
      <w:pPr>
        <w:numPr>
          <w:ilvl w:val="0"/>
          <w:numId w:val="48"/>
        </w:numPr>
        <w:shd w:val="clear" w:color="auto" w:fill="FFFFFF"/>
        <w:spacing w:after="0"/>
        <w:ind w:left="714" w:hanging="357"/>
        <w:jc w:val="both"/>
        <w:rPr>
          <w:rFonts w:ascii="Cambria" w:hAnsi="Cambria" w:cs="Arial"/>
          <w:sz w:val="20"/>
          <w:szCs w:val="20"/>
          <w:lang w:eastAsia="en-US"/>
        </w:rPr>
      </w:pPr>
      <w:r w:rsidRPr="00E00C94">
        <w:rPr>
          <w:rFonts w:ascii="Cambria" w:hAnsi="Cambria" w:cs="Arial"/>
          <w:sz w:val="20"/>
          <w:szCs w:val="20"/>
          <w:lang w:eastAsia="en-US"/>
        </w:rPr>
        <w:t>Las variaciones se presentan en términos absolutos. La suma de los subtotales y totales expuestos en los cuadros respectivos, deben considerar lo mencionado anteriormente.</w:t>
      </w:r>
    </w:p>
    <w:p w14:paraId="55BCABE1" w14:textId="77777777" w:rsidR="00ED480D" w:rsidRPr="00E00C94" w:rsidRDefault="00ED480D" w:rsidP="00ED480D">
      <w:pPr>
        <w:shd w:val="clear" w:color="auto" w:fill="FFFFFF"/>
        <w:jc w:val="both"/>
        <w:rPr>
          <w:rFonts w:ascii="Cambria" w:hAnsi="Cambria" w:cs="Arial"/>
          <w:sz w:val="20"/>
          <w:szCs w:val="20"/>
          <w:lang w:eastAsia="en-US"/>
        </w:rPr>
      </w:pPr>
    </w:p>
    <w:p w14:paraId="421AB227" w14:textId="77777777" w:rsidR="00ED480D" w:rsidRPr="00E00C94" w:rsidRDefault="00ED480D" w:rsidP="00ED480D">
      <w:pPr>
        <w:shd w:val="clear" w:color="auto" w:fill="FFFFFF"/>
        <w:jc w:val="both"/>
        <w:rPr>
          <w:rFonts w:ascii="Cambria" w:hAnsi="Cambria" w:cs="Arial"/>
          <w:i/>
          <w:sz w:val="20"/>
          <w:szCs w:val="20"/>
          <w:lang w:eastAsia="en-US"/>
        </w:rPr>
      </w:pPr>
      <w:r w:rsidRPr="00E00C94">
        <w:rPr>
          <w:rFonts w:ascii="Cambria" w:hAnsi="Cambria" w:cs="Arial"/>
          <w:i/>
          <w:sz w:val="20"/>
          <w:szCs w:val="20"/>
          <w:lang w:eastAsia="en-US"/>
        </w:rPr>
        <w:t xml:space="preserve">Mercado externo </w:t>
      </w:r>
    </w:p>
    <w:p w14:paraId="15314CB9" w14:textId="77777777" w:rsidR="00ED480D" w:rsidRPr="00E00C94" w:rsidRDefault="00ED480D" w:rsidP="00ED480D">
      <w:pPr>
        <w:shd w:val="clear" w:color="auto" w:fill="FFFFFF"/>
        <w:jc w:val="both"/>
        <w:rPr>
          <w:rFonts w:ascii="Cambria" w:hAnsi="Cambria" w:cs="Arial"/>
          <w:sz w:val="20"/>
          <w:szCs w:val="20"/>
          <w:lang w:eastAsia="en-US"/>
        </w:rPr>
      </w:pPr>
      <w:r w:rsidRPr="00E00C94">
        <w:rPr>
          <w:rFonts w:ascii="Cambria" w:hAnsi="Cambria" w:cs="Arial"/>
          <w:sz w:val="20"/>
          <w:szCs w:val="20"/>
          <w:lang w:eastAsia="en-US"/>
        </w:rPr>
        <w:t>Desde puerto San Benito los embarques totales (subproductos y cereales) representaron un 7% menos de toneladas, respecto del ejercicio</w:t>
      </w:r>
      <w:r>
        <w:rPr>
          <w:rFonts w:ascii="Cambria" w:hAnsi="Cambria" w:cs="Arial"/>
          <w:sz w:val="20"/>
          <w:szCs w:val="20"/>
          <w:lang w:eastAsia="en-US"/>
        </w:rPr>
        <w:t xml:space="preserve"> anterior. A pesar de esto, La E</w:t>
      </w:r>
      <w:r w:rsidRPr="00E00C94">
        <w:rPr>
          <w:rFonts w:ascii="Cambria" w:hAnsi="Cambria" w:cs="Arial"/>
          <w:sz w:val="20"/>
          <w:szCs w:val="20"/>
          <w:lang w:eastAsia="en-US"/>
        </w:rPr>
        <w:t xml:space="preserve">misora mantuvo su condición de proveedor confiable de escala relevante y se sostuvo entre los líderes mundiales oferentes de harina y cáscara de soja. </w:t>
      </w:r>
    </w:p>
    <w:p w14:paraId="1F5924C8" w14:textId="77777777" w:rsidR="00ED480D" w:rsidRPr="00E00C94" w:rsidRDefault="00ED480D" w:rsidP="00ED480D">
      <w:pPr>
        <w:shd w:val="clear" w:color="auto" w:fill="FFFFFF"/>
        <w:jc w:val="both"/>
        <w:rPr>
          <w:rFonts w:ascii="Cambria" w:hAnsi="Cambria" w:cs="Arial"/>
          <w:sz w:val="20"/>
          <w:szCs w:val="20"/>
          <w:lang w:eastAsia="en-US"/>
        </w:rPr>
      </w:pPr>
      <w:r w:rsidRPr="00E00C94">
        <w:rPr>
          <w:rFonts w:ascii="Cambria" w:hAnsi="Cambria" w:cs="Arial"/>
          <w:sz w:val="20"/>
          <w:szCs w:val="20"/>
          <w:lang w:eastAsia="en-US"/>
        </w:rPr>
        <w:t>En lo que respecta al aceite crudo de soja el 60% fue colocado en el mercado externo, esto implicó una disminución del 5% respecto al ejercicio anterior, aunque contin</w:t>
      </w:r>
      <w:r>
        <w:rPr>
          <w:rFonts w:ascii="Cambria" w:hAnsi="Cambria" w:cs="Arial"/>
          <w:sz w:val="20"/>
          <w:szCs w:val="20"/>
          <w:lang w:eastAsia="en-US"/>
        </w:rPr>
        <w:t>uó</w:t>
      </w:r>
      <w:r w:rsidRPr="00E00C94">
        <w:rPr>
          <w:rFonts w:ascii="Cambria" w:hAnsi="Cambria" w:cs="Arial"/>
          <w:sz w:val="20"/>
          <w:szCs w:val="20"/>
          <w:lang w:eastAsia="en-US"/>
        </w:rPr>
        <w:t xml:space="preserve"> manteniéndose como un proveedor estratégico para clientes internacionales sin activos de producción en Argentina. La mitad del tonelaje exportado tuvo como destino a India. El restante 40% de la producción fue utilizada para abastecer el negocio de biodiesel y consolidarse como proveedor en la industria local.</w:t>
      </w:r>
    </w:p>
    <w:p w14:paraId="39E4E2C0" w14:textId="77777777" w:rsidR="00ED480D" w:rsidRPr="00E00C94" w:rsidRDefault="00ED480D" w:rsidP="00ED480D">
      <w:pPr>
        <w:shd w:val="clear" w:color="auto" w:fill="FFFFFF"/>
        <w:jc w:val="both"/>
        <w:rPr>
          <w:rFonts w:ascii="Cambria" w:hAnsi="Cambria" w:cs="Arial"/>
          <w:bCs/>
          <w:i/>
          <w:sz w:val="20"/>
          <w:szCs w:val="20"/>
          <w:lang w:eastAsia="en-US"/>
        </w:rPr>
      </w:pPr>
      <w:r w:rsidRPr="00E00C94">
        <w:rPr>
          <w:rFonts w:ascii="Cambria" w:hAnsi="Cambria" w:cs="Arial"/>
          <w:bCs/>
          <w:i/>
          <w:sz w:val="20"/>
          <w:szCs w:val="20"/>
          <w:lang w:eastAsia="en-US"/>
        </w:rPr>
        <w:t>Mercado Local.</w:t>
      </w:r>
    </w:p>
    <w:p w14:paraId="1CDBAE47" w14:textId="77777777" w:rsidR="00ED480D" w:rsidRPr="00E00C94" w:rsidRDefault="00ED480D" w:rsidP="00ED480D">
      <w:pPr>
        <w:shd w:val="clear" w:color="auto" w:fill="FFFFFF"/>
        <w:jc w:val="both"/>
        <w:rPr>
          <w:rFonts w:ascii="Cambria" w:hAnsi="Cambria" w:cs="Arial"/>
          <w:sz w:val="20"/>
          <w:szCs w:val="20"/>
          <w:lang w:eastAsia="en-US"/>
        </w:rPr>
      </w:pPr>
      <w:r w:rsidRPr="00E00C94">
        <w:rPr>
          <w:rFonts w:ascii="Cambria" w:hAnsi="Cambria" w:cs="Arial"/>
          <w:sz w:val="20"/>
          <w:szCs w:val="20"/>
          <w:lang w:eastAsia="en-US"/>
        </w:rPr>
        <w:t xml:space="preserve">En un contexto económico de alto costo financiero y sucesivas devaluaciones del peso argentino, esta plataforma comercial puso foco en la captura del agregado de valor de los productos comercializados, obteniendo buenos márgenes y aprovechando la volatilidad. En este sentido, se trabajó fuertemente en el análisis de los créditos otorgados a los clientes, priorizando una cartera con bajo riesgo, sana y rentable. </w:t>
      </w:r>
    </w:p>
    <w:p w14:paraId="32B99B0F" w14:textId="77777777" w:rsidR="00ED480D" w:rsidRPr="00E00C94" w:rsidRDefault="00ED480D" w:rsidP="00ED480D">
      <w:pPr>
        <w:shd w:val="clear" w:color="auto" w:fill="FFFFFF"/>
        <w:jc w:val="both"/>
        <w:rPr>
          <w:rFonts w:ascii="Cambria" w:hAnsi="Cambria" w:cs="Arial"/>
          <w:sz w:val="20"/>
          <w:szCs w:val="20"/>
          <w:lang w:eastAsia="en-US"/>
        </w:rPr>
      </w:pPr>
      <w:r w:rsidRPr="00E00C94">
        <w:rPr>
          <w:rFonts w:ascii="Cambria" w:hAnsi="Cambria" w:cs="Arial"/>
          <w:sz w:val="20"/>
          <w:szCs w:val="20"/>
          <w:lang w:eastAsia="en-US"/>
        </w:rPr>
        <w:t>Los volúmenes de ventas crecieron 15% respecto del año anterior, apalancados en una ejecución y logística de excelencia. Entre los productos comercializados, el rubro que más creció fue el del aceite de soja, ampliando nuestra participación del mercado interno.</w:t>
      </w:r>
    </w:p>
    <w:p w14:paraId="157E49F2" w14:textId="77777777" w:rsidR="00ED480D" w:rsidRPr="006E4259" w:rsidRDefault="00ED480D" w:rsidP="00ED480D">
      <w:pPr>
        <w:jc w:val="both"/>
        <w:rPr>
          <w:rFonts w:ascii="Arial" w:hAnsi="Arial"/>
          <w:sz w:val="20"/>
        </w:rPr>
      </w:pPr>
    </w:p>
    <w:p w14:paraId="28E784EF" w14:textId="77777777" w:rsidR="00ED480D" w:rsidRPr="005B081E" w:rsidRDefault="00ED480D" w:rsidP="00ED480D">
      <w:pPr>
        <w:jc w:val="both"/>
        <w:rPr>
          <w:rFonts w:ascii="Cambria" w:hAnsi="Cambria" w:cs="Arial"/>
          <w:b/>
          <w:bCs/>
          <w:sz w:val="20"/>
          <w:szCs w:val="20"/>
          <w:u w:val="single"/>
          <w:lang w:eastAsia="es-ES"/>
        </w:rPr>
      </w:pPr>
      <w:r w:rsidRPr="005B081E">
        <w:rPr>
          <w:rFonts w:ascii="Cambria" w:hAnsi="Cambria" w:cs="Arial"/>
          <w:b/>
          <w:bCs/>
          <w:sz w:val="20"/>
          <w:szCs w:val="20"/>
          <w:u w:val="single"/>
          <w:lang w:eastAsia="es-ES"/>
        </w:rPr>
        <w:t>Gastos y resultado operativo</w:t>
      </w:r>
    </w:p>
    <w:p w14:paraId="54E38B42" w14:textId="77777777" w:rsidR="00ED480D" w:rsidRPr="005B081E" w:rsidRDefault="00ED480D" w:rsidP="00ED480D">
      <w:pPr>
        <w:jc w:val="both"/>
        <w:rPr>
          <w:rFonts w:ascii="Cambria" w:hAnsi="Cambria" w:cs="Arial"/>
          <w:sz w:val="20"/>
          <w:szCs w:val="20"/>
          <w:lang w:eastAsia="en-US"/>
        </w:rPr>
      </w:pPr>
      <w:r w:rsidRPr="005B081E">
        <w:rPr>
          <w:rFonts w:ascii="Cambria" w:hAnsi="Cambria" w:cs="Arial"/>
          <w:sz w:val="20"/>
          <w:szCs w:val="20"/>
          <w:lang w:eastAsia="en-US"/>
        </w:rPr>
        <w:t xml:space="preserve">A pesar de los efectos de la sequía, que afecto los volúmenes exportados durante el ejercicio finalizado a marzo de 2019, el resultado operativo arrojo una ganancia neta de Ps. 2.088,8 millones, que significó un aumento de Ps. 422,4 millones (25%), con respecto al ejercicio anterior, producto principalmente del efecto por conversión y a menores gastos operativos, en proporción a los ingresos por ventas. </w:t>
      </w:r>
    </w:p>
    <w:p w14:paraId="386232ED" w14:textId="77777777" w:rsidR="00ED480D" w:rsidRPr="005B081E" w:rsidRDefault="00ED480D" w:rsidP="00ED480D">
      <w:pPr>
        <w:jc w:val="both"/>
        <w:rPr>
          <w:rFonts w:ascii="Cambria" w:hAnsi="Cambria" w:cs="Arial"/>
          <w:sz w:val="20"/>
          <w:szCs w:val="20"/>
          <w:lang w:eastAsia="en-US"/>
        </w:rPr>
      </w:pPr>
      <w:r w:rsidRPr="005B081E">
        <w:rPr>
          <w:rFonts w:ascii="Cambria" w:hAnsi="Cambria" w:cs="Arial"/>
          <w:sz w:val="20"/>
          <w:szCs w:val="20"/>
          <w:lang w:eastAsia="en-US"/>
        </w:rPr>
        <w:t>Los gastos administrativos y comerciales ascendieron a Ps. 2.144,</w:t>
      </w:r>
      <w:r>
        <w:rPr>
          <w:rFonts w:ascii="Cambria" w:hAnsi="Cambria" w:cs="Arial"/>
          <w:sz w:val="20"/>
          <w:szCs w:val="20"/>
          <w:lang w:eastAsia="en-US"/>
        </w:rPr>
        <w:t>7</w:t>
      </w:r>
      <w:r w:rsidRPr="005B081E">
        <w:rPr>
          <w:rFonts w:ascii="Cambria" w:hAnsi="Cambria" w:cs="Arial"/>
          <w:sz w:val="20"/>
          <w:szCs w:val="20"/>
          <w:lang w:eastAsia="en-US"/>
        </w:rPr>
        <w:t xml:space="preserve"> millones al 31 de marzo de 2019, los cuales, se incrementaron en Ps. 45,8 millones, es decir un 2%, con respecto al ejercicio finalizado en marzo de 2018. Estos gastos medidos en proporción de las ventas tuvieron una reducción, dado que pasaron de representar un 2,4% de los ingresos por ventas en marzo de 2018 a un 2,05% en </w:t>
      </w:r>
      <w:r w:rsidRPr="005B081E">
        <w:rPr>
          <w:rFonts w:ascii="Cambria" w:hAnsi="Cambria" w:cs="Arial"/>
          <w:sz w:val="20"/>
          <w:szCs w:val="20"/>
          <w:lang w:eastAsia="en-US"/>
        </w:rPr>
        <w:lastRenderedPageBreak/>
        <w:t>marzo de 2019, esto se debe a que parte a que estos costos disminuyeron producto de la fuer</w:t>
      </w:r>
      <w:r>
        <w:rPr>
          <w:rFonts w:ascii="Cambria" w:hAnsi="Cambria" w:cs="Arial"/>
          <w:sz w:val="20"/>
          <w:szCs w:val="20"/>
          <w:lang w:eastAsia="en-US"/>
        </w:rPr>
        <w:t>te</w:t>
      </w:r>
      <w:r w:rsidRPr="005B081E">
        <w:rPr>
          <w:rFonts w:ascii="Cambria" w:hAnsi="Cambria" w:cs="Arial"/>
          <w:sz w:val="20"/>
          <w:szCs w:val="20"/>
          <w:lang w:eastAsia="en-US"/>
        </w:rPr>
        <w:t xml:space="preserve"> devaluación que sufrió el país del 115%, la cual, fue más que proporcional a la inflación.</w:t>
      </w:r>
    </w:p>
    <w:p w14:paraId="2A4880AC" w14:textId="77777777" w:rsidR="00ED480D" w:rsidRPr="006E4259" w:rsidRDefault="00ED480D" w:rsidP="00ED480D">
      <w:pPr>
        <w:jc w:val="both"/>
        <w:rPr>
          <w:rFonts w:ascii="Cambria" w:hAnsi="Cambria"/>
          <w:b/>
          <w:sz w:val="20"/>
          <w:u w:val="single"/>
        </w:rPr>
      </w:pPr>
      <w:r w:rsidRPr="005B081E">
        <w:rPr>
          <w:rFonts w:ascii="Cambria" w:hAnsi="Cambria" w:cs="Arial"/>
          <w:sz w:val="20"/>
          <w:szCs w:val="20"/>
          <w:lang w:eastAsia="en-US"/>
        </w:rPr>
        <w:t>El EBTDA alcanzó una ganancia de Ps. 2.</w:t>
      </w:r>
      <w:r>
        <w:rPr>
          <w:rFonts w:ascii="Cambria" w:hAnsi="Cambria" w:cs="Arial"/>
          <w:sz w:val="20"/>
          <w:szCs w:val="20"/>
          <w:lang w:eastAsia="en-US"/>
        </w:rPr>
        <w:t>554</w:t>
      </w:r>
      <w:r w:rsidRPr="005B081E">
        <w:rPr>
          <w:rFonts w:ascii="Cambria" w:hAnsi="Cambria" w:cs="Arial"/>
          <w:sz w:val="20"/>
          <w:szCs w:val="20"/>
          <w:lang w:eastAsia="en-US"/>
        </w:rPr>
        <w:t>,</w:t>
      </w:r>
      <w:r>
        <w:rPr>
          <w:rFonts w:ascii="Cambria" w:hAnsi="Cambria" w:cs="Arial"/>
          <w:sz w:val="20"/>
          <w:szCs w:val="20"/>
          <w:lang w:eastAsia="en-US"/>
        </w:rPr>
        <w:t>4</w:t>
      </w:r>
      <w:r w:rsidRPr="005B081E">
        <w:rPr>
          <w:rFonts w:ascii="Cambria" w:hAnsi="Cambria" w:cs="Arial"/>
          <w:sz w:val="20"/>
          <w:szCs w:val="20"/>
          <w:lang w:eastAsia="en-US"/>
        </w:rPr>
        <w:t xml:space="preserve"> millones, es decir, un incremento de Ps. </w:t>
      </w:r>
      <w:r>
        <w:rPr>
          <w:rFonts w:ascii="Cambria" w:hAnsi="Cambria" w:cs="Arial"/>
          <w:sz w:val="20"/>
          <w:szCs w:val="20"/>
          <w:lang w:eastAsia="en-US"/>
        </w:rPr>
        <w:t>352</w:t>
      </w:r>
      <w:r w:rsidRPr="005B081E">
        <w:rPr>
          <w:rFonts w:ascii="Cambria" w:hAnsi="Cambria" w:cs="Arial"/>
          <w:sz w:val="20"/>
          <w:szCs w:val="20"/>
          <w:lang w:eastAsia="en-US"/>
        </w:rPr>
        <w:t>,</w:t>
      </w:r>
      <w:r>
        <w:rPr>
          <w:rFonts w:ascii="Cambria" w:hAnsi="Cambria" w:cs="Arial"/>
          <w:sz w:val="20"/>
          <w:szCs w:val="20"/>
          <w:lang w:eastAsia="en-US"/>
        </w:rPr>
        <w:t>3</w:t>
      </w:r>
      <w:r w:rsidRPr="005B081E">
        <w:rPr>
          <w:rFonts w:ascii="Cambria" w:hAnsi="Cambria" w:cs="Arial"/>
          <w:sz w:val="20"/>
          <w:szCs w:val="20"/>
          <w:lang w:eastAsia="en-US"/>
        </w:rPr>
        <w:t xml:space="preserve"> millones, respecto al ejercicio anterior. A su vez, este indicador pasó de representar un 2,</w:t>
      </w:r>
      <w:r>
        <w:rPr>
          <w:rFonts w:ascii="Cambria" w:hAnsi="Cambria" w:cs="Arial"/>
          <w:sz w:val="20"/>
          <w:szCs w:val="20"/>
          <w:lang w:eastAsia="en-US"/>
        </w:rPr>
        <w:t>5</w:t>
      </w:r>
      <w:r w:rsidRPr="005B081E">
        <w:rPr>
          <w:rFonts w:ascii="Cambria" w:hAnsi="Cambria" w:cs="Arial"/>
          <w:sz w:val="20"/>
          <w:szCs w:val="20"/>
          <w:lang w:eastAsia="en-US"/>
        </w:rPr>
        <w:t>% de los ingresos por ventas por el ejercicio finalizado en marzo de 2018, a ser del 2,</w:t>
      </w:r>
      <w:r>
        <w:rPr>
          <w:rFonts w:ascii="Cambria" w:hAnsi="Cambria" w:cs="Arial"/>
          <w:sz w:val="20"/>
          <w:szCs w:val="20"/>
          <w:lang w:eastAsia="en-US"/>
        </w:rPr>
        <w:t>4</w:t>
      </w:r>
      <w:r w:rsidRPr="005B081E">
        <w:rPr>
          <w:rFonts w:ascii="Cambria" w:hAnsi="Cambria" w:cs="Arial"/>
          <w:sz w:val="20"/>
          <w:szCs w:val="20"/>
          <w:lang w:eastAsia="en-US"/>
        </w:rPr>
        <w:t xml:space="preserve">% </w:t>
      </w:r>
      <w:r>
        <w:rPr>
          <w:rFonts w:ascii="Cambria" w:hAnsi="Cambria" w:cs="Arial"/>
          <w:sz w:val="20"/>
          <w:szCs w:val="20"/>
          <w:lang w:eastAsia="en-US"/>
        </w:rPr>
        <w:t xml:space="preserve">por el ejercicio finalizado </w:t>
      </w:r>
      <w:r w:rsidRPr="005B081E">
        <w:rPr>
          <w:rFonts w:ascii="Cambria" w:hAnsi="Cambria" w:cs="Arial"/>
          <w:sz w:val="20"/>
          <w:szCs w:val="20"/>
          <w:lang w:eastAsia="en-US"/>
        </w:rPr>
        <w:t xml:space="preserve">en </w:t>
      </w:r>
      <w:r>
        <w:rPr>
          <w:rFonts w:ascii="Cambria" w:hAnsi="Cambria" w:cs="Arial"/>
          <w:sz w:val="20"/>
          <w:szCs w:val="20"/>
          <w:lang w:eastAsia="en-US"/>
        </w:rPr>
        <w:t>marzo del</w:t>
      </w:r>
      <w:r w:rsidRPr="005B081E">
        <w:rPr>
          <w:rFonts w:ascii="Cambria" w:hAnsi="Cambria" w:cs="Arial"/>
          <w:sz w:val="20"/>
          <w:szCs w:val="20"/>
          <w:lang w:eastAsia="en-US"/>
        </w:rPr>
        <w:t xml:space="preserve"> 2019.</w:t>
      </w:r>
    </w:p>
    <w:p w14:paraId="3A7D0068" w14:textId="77777777" w:rsidR="00ED480D" w:rsidRPr="005B081E" w:rsidRDefault="00ED480D" w:rsidP="00ED480D">
      <w:pPr>
        <w:jc w:val="both"/>
        <w:rPr>
          <w:rFonts w:ascii="Cambria" w:hAnsi="Cambria" w:cs="Arial"/>
          <w:b/>
          <w:bCs/>
          <w:sz w:val="20"/>
          <w:szCs w:val="20"/>
          <w:u w:val="single"/>
          <w:lang w:eastAsia="es-ES"/>
        </w:rPr>
      </w:pPr>
      <w:r w:rsidRPr="005B081E">
        <w:rPr>
          <w:rFonts w:ascii="Cambria" w:hAnsi="Cambria" w:cs="Arial"/>
          <w:b/>
          <w:bCs/>
          <w:sz w:val="20"/>
          <w:szCs w:val="20"/>
          <w:u w:val="single"/>
          <w:lang w:eastAsia="es-ES"/>
        </w:rPr>
        <w:t>Resultados financieros netos</w:t>
      </w:r>
    </w:p>
    <w:p w14:paraId="688558EA" w14:textId="77777777" w:rsidR="00ED480D" w:rsidRPr="005B081E" w:rsidRDefault="00ED480D" w:rsidP="00ED480D">
      <w:pPr>
        <w:jc w:val="both"/>
        <w:rPr>
          <w:rFonts w:ascii="Cambria" w:hAnsi="Cambria" w:cs="Arial"/>
          <w:sz w:val="20"/>
          <w:szCs w:val="20"/>
          <w:lang w:eastAsia="en-US"/>
        </w:rPr>
      </w:pPr>
      <w:r w:rsidRPr="005B081E">
        <w:rPr>
          <w:rFonts w:ascii="Cambria" w:hAnsi="Cambria" w:cs="Arial"/>
          <w:sz w:val="20"/>
          <w:szCs w:val="20"/>
          <w:lang w:eastAsia="en-US"/>
        </w:rPr>
        <w:t>Los resultados financieros netos generaron en el ejercicio finalizado en marzo de 2019 un ingreso neto de Ps. 104,1 millones, los cuales, representan una disminución con respecto al ejercicio anterior de Ps. 250,</w:t>
      </w:r>
      <w:r>
        <w:rPr>
          <w:rFonts w:ascii="Cambria" w:hAnsi="Cambria" w:cs="Arial"/>
          <w:sz w:val="20"/>
          <w:szCs w:val="20"/>
          <w:lang w:eastAsia="en-US"/>
        </w:rPr>
        <w:t>6</w:t>
      </w:r>
      <w:r w:rsidRPr="005B081E">
        <w:rPr>
          <w:rFonts w:ascii="Cambria" w:hAnsi="Cambria" w:cs="Arial"/>
          <w:sz w:val="20"/>
          <w:szCs w:val="20"/>
          <w:lang w:eastAsia="en-US"/>
        </w:rPr>
        <w:t xml:space="preserve"> millones, esto se debe principalmente a un menor rendimiento en las colocaciones transitorias y operaciones de coberturas.</w:t>
      </w:r>
    </w:p>
    <w:p w14:paraId="5EB0FF9E" w14:textId="77777777" w:rsidR="00ED480D" w:rsidRPr="005B081E" w:rsidRDefault="00ED480D" w:rsidP="00ED480D">
      <w:pPr>
        <w:jc w:val="both"/>
        <w:rPr>
          <w:rFonts w:ascii="Cambria" w:hAnsi="Cambria"/>
          <w:sz w:val="20"/>
          <w:highlight w:val="yellow"/>
          <w:lang w:eastAsia="en-US"/>
        </w:rPr>
      </w:pPr>
      <w:r w:rsidRPr="005B081E">
        <w:rPr>
          <w:rFonts w:ascii="Cambria" w:hAnsi="Cambria" w:cs="Arial"/>
          <w:b/>
          <w:bCs/>
          <w:sz w:val="20"/>
          <w:szCs w:val="20"/>
          <w:u w:val="single"/>
          <w:lang w:eastAsia="es-ES"/>
        </w:rPr>
        <w:t>Impuesto a las ganancias</w:t>
      </w:r>
    </w:p>
    <w:p w14:paraId="474B3ED8" w14:textId="77777777" w:rsidR="00ED480D" w:rsidRPr="005B081E" w:rsidRDefault="00ED480D" w:rsidP="00ED480D">
      <w:pPr>
        <w:jc w:val="both"/>
        <w:rPr>
          <w:rFonts w:ascii="Cambria" w:hAnsi="Cambria"/>
          <w:sz w:val="20"/>
          <w:highlight w:val="yellow"/>
          <w:lang w:eastAsia="en-US"/>
        </w:rPr>
      </w:pPr>
      <w:r w:rsidRPr="005B081E">
        <w:rPr>
          <w:rFonts w:ascii="Cambria" w:hAnsi="Cambria" w:cs="Arial"/>
          <w:sz w:val="20"/>
          <w:szCs w:val="20"/>
          <w:lang w:eastAsia="en-US"/>
        </w:rPr>
        <w:t>El cargo por impuesto a las ganancias gener</w:t>
      </w:r>
      <w:r>
        <w:rPr>
          <w:rFonts w:ascii="Cambria" w:hAnsi="Cambria" w:cs="Arial"/>
          <w:sz w:val="20"/>
          <w:szCs w:val="20"/>
          <w:lang w:eastAsia="en-US"/>
        </w:rPr>
        <w:t>ó</w:t>
      </w:r>
      <w:r w:rsidRPr="005B081E">
        <w:rPr>
          <w:rFonts w:ascii="Cambria" w:hAnsi="Cambria" w:cs="Arial"/>
          <w:sz w:val="20"/>
          <w:szCs w:val="20"/>
          <w:lang w:eastAsia="en-US"/>
        </w:rPr>
        <w:t xml:space="preserve"> una ganancia de Ps. 1.002,4, es decir pas</w:t>
      </w:r>
      <w:r>
        <w:rPr>
          <w:rFonts w:ascii="Cambria" w:hAnsi="Cambria" w:cs="Arial"/>
          <w:sz w:val="20"/>
          <w:szCs w:val="20"/>
          <w:lang w:eastAsia="en-US"/>
        </w:rPr>
        <w:t>ó</w:t>
      </w:r>
      <w:r w:rsidRPr="005B081E">
        <w:rPr>
          <w:rFonts w:ascii="Cambria" w:hAnsi="Cambria" w:cs="Arial"/>
          <w:sz w:val="20"/>
          <w:szCs w:val="20"/>
          <w:lang w:eastAsia="en-US"/>
        </w:rPr>
        <w:t xml:space="preserve"> de una perdida de Ps. 884,6 millones a una ganancia de Ps. 117,7 millones por los ejercicios finalizados en marzo de 2018 y 2019, respectivamente, esto se debe principalmente al efecto en el impuesto a las ganancias diferido, producto de ejercer la opción de revalorizar los bienes de uso impositivos, generando una mayor base fiscal a ser deducida en próximos ejercicios. </w:t>
      </w:r>
    </w:p>
    <w:p w14:paraId="2CB6B445" w14:textId="77777777" w:rsidR="00ED480D" w:rsidRDefault="00ED480D" w:rsidP="00ED480D">
      <w:pPr>
        <w:jc w:val="both"/>
        <w:rPr>
          <w:rFonts w:ascii="Cambria" w:hAnsi="Cambria" w:cs="Arial"/>
          <w:b/>
          <w:bCs/>
          <w:sz w:val="20"/>
          <w:szCs w:val="20"/>
          <w:u w:val="single"/>
          <w:lang w:eastAsia="es-ES"/>
        </w:rPr>
      </w:pPr>
    </w:p>
    <w:p w14:paraId="782E7FB3" w14:textId="77777777" w:rsidR="00ED480D" w:rsidRDefault="00ED480D" w:rsidP="00ED480D">
      <w:pPr>
        <w:jc w:val="both"/>
        <w:rPr>
          <w:rFonts w:ascii="Cambria" w:hAnsi="Cambria" w:cs="Arial"/>
          <w:b/>
          <w:bCs/>
          <w:sz w:val="20"/>
          <w:szCs w:val="20"/>
          <w:u w:val="single"/>
          <w:lang w:eastAsia="es-ES"/>
        </w:rPr>
      </w:pPr>
    </w:p>
    <w:p w14:paraId="2AE5DE8E" w14:textId="77777777" w:rsidR="00ED480D" w:rsidRPr="005B081E" w:rsidRDefault="00ED480D" w:rsidP="00ED480D">
      <w:pPr>
        <w:jc w:val="both"/>
        <w:rPr>
          <w:rFonts w:ascii="Cambria" w:hAnsi="Cambria" w:cs="Arial"/>
          <w:b/>
          <w:bCs/>
          <w:sz w:val="20"/>
          <w:szCs w:val="20"/>
          <w:u w:val="single"/>
          <w:lang w:eastAsia="es-ES"/>
        </w:rPr>
      </w:pPr>
      <w:r w:rsidRPr="005B081E">
        <w:rPr>
          <w:rFonts w:ascii="Cambria" w:hAnsi="Cambria" w:cs="Arial"/>
          <w:b/>
          <w:bCs/>
          <w:sz w:val="20"/>
          <w:szCs w:val="20"/>
          <w:u w:val="single"/>
          <w:lang w:eastAsia="es-ES"/>
        </w:rPr>
        <w:t>Resultado neto del ejercicio</w:t>
      </w:r>
    </w:p>
    <w:p w14:paraId="4F97B00C" w14:textId="77777777" w:rsidR="00ED480D" w:rsidRPr="006E4259" w:rsidRDefault="00ED480D" w:rsidP="00ED480D">
      <w:pPr>
        <w:jc w:val="both"/>
        <w:rPr>
          <w:rFonts w:ascii="Cambria" w:hAnsi="Cambria"/>
          <w:i/>
          <w:sz w:val="20"/>
          <w:highlight w:val="yellow"/>
        </w:rPr>
      </w:pPr>
      <w:r w:rsidRPr="005B081E">
        <w:rPr>
          <w:rFonts w:ascii="Cambria" w:hAnsi="Cambria" w:cs="Arial"/>
          <w:sz w:val="20"/>
          <w:szCs w:val="20"/>
          <w:lang w:eastAsia="en-US"/>
        </w:rPr>
        <w:t xml:space="preserve">El resultado neto del ejercicio en el 2019 arrojó una ganancia neta de Ps. 2.310,7 millones, lo que representa un incremento de un 103% respecto del año anterior, producto principalmente de una mayor ganancia bruta por efectos de la conversión, un menor computo de gastos operativos con relación a los ingresos por ventas del ejercicio y un menor cargo en el impuesto a las ganancias. </w:t>
      </w:r>
    </w:p>
    <w:p w14:paraId="09499A9F" w14:textId="77777777" w:rsidR="00ED480D" w:rsidRPr="005B081E" w:rsidRDefault="00ED480D" w:rsidP="00ED480D">
      <w:pPr>
        <w:jc w:val="both"/>
        <w:rPr>
          <w:rFonts w:ascii="Cambria" w:hAnsi="Cambria" w:cs="Arial"/>
          <w:b/>
          <w:bCs/>
          <w:sz w:val="20"/>
          <w:szCs w:val="20"/>
          <w:u w:val="single"/>
          <w:lang w:eastAsia="es-ES"/>
        </w:rPr>
      </w:pPr>
      <w:r w:rsidRPr="005B081E">
        <w:rPr>
          <w:rFonts w:ascii="Cambria" w:hAnsi="Cambria" w:cs="Arial"/>
          <w:b/>
          <w:bCs/>
          <w:sz w:val="20"/>
          <w:szCs w:val="20"/>
          <w:u w:val="single"/>
          <w:lang w:eastAsia="es-ES"/>
        </w:rPr>
        <w:t>Variaciones patrimoniales entre el 31 de marzo de 2019 y el 31 de marzo de 2018</w:t>
      </w:r>
    </w:p>
    <w:p w14:paraId="67BD8C91" w14:textId="77777777" w:rsidR="00ED480D" w:rsidRPr="005B081E" w:rsidRDefault="00ED480D" w:rsidP="00ED480D">
      <w:pPr>
        <w:jc w:val="both"/>
        <w:rPr>
          <w:rFonts w:ascii="Garamond" w:hAnsi="Garamond"/>
          <w:sz w:val="20"/>
          <w:highlight w:val="yellow"/>
          <w:lang w:eastAsia="en-US"/>
        </w:rPr>
      </w:pPr>
      <w:r w:rsidRPr="00537C9D">
        <w:rPr>
          <w:noProof/>
          <w:lang w:val="es-AR"/>
        </w:rPr>
        <w:lastRenderedPageBreak/>
        <w:drawing>
          <wp:inline distT="0" distB="0" distL="0" distR="0" wp14:anchorId="3E5FEF7E" wp14:editId="01738C5E">
            <wp:extent cx="4840605" cy="5191683"/>
            <wp:effectExtent l="0" t="0" r="0" b="952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43582" cy="5194876"/>
                    </a:xfrm>
                    <a:prstGeom prst="rect">
                      <a:avLst/>
                    </a:prstGeom>
                    <a:noFill/>
                    <a:ln>
                      <a:noFill/>
                    </a:ln>
                  </pic:spPr>
                </pic:pic>
              </a:graphicData>
            </a:graphic>
          </wp:inline>
        </w:drawing>
      </w:r>
    </w:p>
    <w:p w14:paraId="6DC68977" w14:textId="77777777" w:rsidR="00ED480D" w:rsidRPr="005B081E" w:rsidRDefault="00ED480D" w:rsidP="000C02A3">
      <w:pPr>
        <w:numPr>
          <w:ilvl w:val="0"/>
          <w:numId w:val="51"/>
        </w:numPr>
        <w:spacing w:after="0"/>
        <w:jc w:val="both"/>
        <w:rPr>
          <w:rFonts w:ascii="Cambria" w:hAnsi="Cambria"/>
          <w:sz w:val="20"/>
          <w:szCs w:val="20"/>
          <w:lang w:eastAsia="en-US"/>
        </w:rPr>
      </w:pPr>
      <w:r w:rsidRPr="005B081E">
        <w:rPr>
          <w:rFonts w:ascii="Cambria" w:hAnsi="Cambria"/>
          <w:sz w:val="20"/>
          <w:szCs w:val="20"/>
          <w:lang w:eastAsia="en-US"/>
        </w:rPr>
        <w:t>Los saldos surgen de los estados financieros consolidados al 31 de marzo de 2020 y se encuentra</w:t>
      </w:r>
      <w:r>
        <w:rPr>
          <w:rFonts w:ascii="Cambria" w:hAnsi="Cambria"/>
          <w:sz w:val="20"/>
          <w:szCs w:val="20"/>
          <w:lang w:eastAsia="en-US"/>
        </w:rPr>
        <w:t>n</w:t>
      </w:r>
      <w:r w:rsidRPr="005B081E">
        <w:rPr>
          <w:rFonts w:ascii="Cambria" w:hAnsi="Cambria"/>
          <w:sz w:val="20"/>
          <w:szCs w:val="20"/>
          <w:lang w:eastAsia="en-US"/>
        </w:rPr>
        <w:t xml:space="preserve"> reexpresados a moneda de dicha fecha.</w:t>
      </w:r>
    </w:p>
    <w:p w14:paraId="74947E8E" w14:textId="77777777" w:rsidR="00ED480D" w:rsidRPr="005B081E" w:rsidRDefault="00ED480D" w:rsidP="000C02A3">
      <w:pPr>
        <w:numPr>
          <w:ilvl w:val="0"/>
          <w:numId w:val="51"/>
        </w:numPr>
        <w:spacing w:after="0"/>
        <w:jc w:val="both"/>
        <w:rPr>
          <w:rFonts w:ascii="Cambria" w:hAnsi="Cambria"/>
          <w:sz w:val="20"/>
          <w:szCs w:val="20"/>
          <w:lang w:eastAsia="en-US"/>
        </w:rPr>
      </w:pPr>
      <w:r w:rsidRPr="005B081E">
        <w:rPr>
          <w:rFonts w:ascii="Cambria" w:hAnsi="Cambria"/>
          <w:sz w:val="20"/>
          <w:szCs w:val="20"/>
          <w:lang w:eastAsia="en-US"/>
        </w:rPr>
        <w:t xml:space="preserve">Los saldos surgen de los estados financieros consolidados al 31 de marzo de </w:t>
      </w:r>
      <w:r>
        <w:rPr>
          <w:rFonts w:ascii="Cambria" w:hAnsi="Cambria"/>
          <w:sz w:val="20"/>
          <w:szCs w:val="20"/>
          <w:lang w:eastAsia="en-US"/>
        </w:rPr>
        <w:t>2018</w:t>
      </w:r>
      <w:r w:rsidRPr="005B081E">
        <w:rPr>
          <w:rFonts w:ascii="Cambria" w:hAnsi="Cambria"/>
          <w:sz w:val="20"/>
          <w:szCs w:val="20"/>
          <w:lang w:eastAsia="en-US"/>
        </w:rPr>
        <w:t xml:space="preserve"> y se encuentra</w:t>
      </w:r>
      <w:r>
        <w:rPr>
          <w:rFonts w:ascii="Cambria" w:hAnsi="Cambria"/>
          <w:sz w:val="20"/>
          <w:szCs w:val="20"/>
          <w:lang w:eastAsia="en-US"/>
        </w:rPr>
        <w:t>n</w:t>
      </w:r>
      <w:r w:rsidRPr="005B081E">
        <w:rPr>
          <w:rFonts w:ascii="Cambria" w:hAnsi="Cambria"/>
          <w:sz w:val="20"/>
          <w:szCs w:val="20"/>
          <w:lang w:eastAsia="en-US"/>
        </w:rPr>
        <w:t xml:space="preserve"> reexpresados a moneda del 31 de marzo de 2020.</w:t>
      </w:r>
    </w:p>
    <w:p w14:paraId="7FC8162D" w14:textId="77777777" w:rsidR="00ED480D" w:rsidRPr="005B081E" w:rsidRDefault="00ED480D" w:rsidP="000C02A3">
      <w:pPr>
        <w:numPr>
          <w:ilvl w:val="0"/>
          <w:numId w:val="51"/>
        </w:numPr>
        <w:spacing w:after="0"/>
        <w:jc w:val="both"/>
        <w:rPr>
          <w:rFonts w:ascii="Garamond" w:hAnsi="Garamond"/>
          <w:sz w:val="20"/>
          <w:lang w:eastAsia="en-US"/>
        </w:rPr>
      </w:pPr>
      <w:r w:rsidRPr="005B081E">
        <w:rPr>
          <w:rFonts w:ascii="Cambria" w:hAnsi="Cambria"/>
          <w:sz w:val="20"/>
          <w:szCs w:val="20"/>
          <w:lang w:eastAsia="en-US"/>
        </w:rPr>
        <w:t>Las variaciones se presentan en términos absolutos. La suma de los subtotales y totales expuestos en los cuadros respectivos, deben considerar lo mencionado anteriormente.</w:t>
      </w:r>
    </w:p>
    <w:p w14:paraId="3A07C1A5" w14:textId="77777777" w:rsidR="00ED480D" w:rsidRPr="006E4259" w:rsidRDefault="00ED480D" w:rsidP="00ED480D">
      <w:pPr>
        <w:spacing w:after="0"/>
        <w:jc w:val="both"/>
        <w:rPr>
          <w:rFonts w:ascii="Garamond" w:hAnsi="Garamond"/>
          <w:sz w:val="20"/>
        </w:rPr>
      </w:pPr>
    </w:p>
    <w:p w14:paraId="569CB62D" w14:textId="77777777" w:rsidR="00ED480D" w:rsidRPr="006E4259" w:rsidRDefault="00ED480D" w:rsidP="00ED480D">
      <w:pPr>
        <w:jc w:val="both"/>
        <w:rPr>
          <w:rFonts w:ascii="Cambria" w:hAnsi="Cambria"/>
          <w:b/>
          <w:sz w:val="20"/>
          <w:highlight w:val="yellow"/>
        </w:rPr>
      </w:pPr>
      <w:r w:rsidRPr="005B081E">
        <w:rPr>
          <w:rFonts w:ascii="Cambria" w:hAnsi="Cambria"/>
          <w:sz w:val="20"/>
          <w:szCs w:val="20"/>
          <w:lang w:eastAsia="en-US"/>
        </w:rPr>
        <w:t>Es importante mencionar que al momento de analizar variaciones patrimoniales en pesos argentinos entre los saldos por los ejercicios finalizados al 31 de marzo de 2019 y 2018, que dichos importes van a estar reflejando en sus cifras comparativas los efectos de una devaluación de 115,1% y una inflación del 54,7%.</w:t>
      </w:r>
    </w:p>
    <w:p w14:paraId="5505B104" w14:textId="77777777" w:rsidR="00ED480D" w:rsidRPr="005B081E" w:rsidRDefault="00ED480D" w:rsidP="00ED480D">
      <w:pPr>
        <w:jc w:val="both"/>
        <w:rPr>
          <w:rFonts w:ascii="Cambria" w:hAnsi="Cambria"/>
          <w:sz w:val="20"/>
          <w:szCs w:val="20"/>
          <w:lang w:eastAsia="en-US"/>
        </w:rPr>
      </w:pPr>
      <w:r w:rsidRPr="005B081E">
        <w:rPr>
          <w:rFonts w:ascii="Cambria" w:hAnsi="Cambria"/>
          <w:b/>
          <w:sz w:val="20"/>
          <w:szCs w:val="20"/>
          <w:lang w:eastAsia="en-US"/>
        </w:rPr>
        <w:t>-Cuentas por cobrar comerciales</w:t>
      </w:r>
      <w:r w:rsidRPr="005B081E">
        <w:rPr>
          <w:rFonts w:ascii="Cambria" w:hAnsi="Cambria"/>
          <w:sz w:val="20"/>
          <w:szCs w:val="20"/>
          <w:lang w:eastAsia="en-US"/>
        </w:rPr>
        <w:t>. los créditos por venta se incrementaron en un 29%, es decir Ps. 1.197,5 millones, durante el ejercicio finalizado el 31 de marzo de 2019, respecto del ejercicio anterior, pasando de Ps. 4.066,2 millones en marzo de 2018 a Ps. 5.263,</w:t>
      </w:r>
      <w:r>
        <w:rPr>
          <w:rFonts w:ascii="Cambria" w:hAnsi="Cambria"/>
          <w:sz w:val="20"/>
          <w:szCs w:val="20"/>
          <w:lang w:eastAsia="en-US"/>
        </w:rPr>
        <w:t>8</w:t>
      </w:r>
      <w:r w:rsidRPr="005B081E">
        <w:rPr>
          <w:rFonts w:ascii="Cambria" w:hAnsi="Cambria"/>
          <w:sz w:val="20"/>
          <w:szCs w:val="20"/>
          <w:lang w:eastAsia="en-US"/>
        </w:rPr>
        <w:t xml:space="preserve"> millones en marzo de 2019. El aumento se debe básicamente al efecto de conversión de los saldos en su moneda funcional a los pesos argentinos, lo cuales se vieron compensado en parte por el menor volumen de exportaciones que tuvo la Emisora, producto de la sequía, mencionada anteriormente en las explicaciones de resultados del ejercicio.</w:t>
      </w:r>
    </w:p>
    <w:p w14:paraId="5664CA08" w14:textId="77777777" w:rsidR="00ED480D" w:rsidRPr="005B081E" w:rsidRDefault="00ED480D" w:rsidP="00ED480D">
      <w:pPr>
        <w:shd w:val="clear" w:color="auto" w:fill="FFFFFF"/>
        <w:spacing w:after="0"/>
        <w:jc w:val="both"/>
        <w:textAlignment w:val="baseline"/>
        <w:rPr>
          <w:rFonts w:ascii="Cambria" w:hAnsi="Cambria" w:cs="Arial"/>
          <w:sz w:val="20"/>
          <w:szCs w:val="20"/>
          <w:lang w:eastAsia="en-US"/>
        </w:rPr>
      </w:pPr>
      <w:r w:rsidRPr="005B081E">
        <w:rPr>
          <w:rFonts w:ascii="Cambria" w:hAnsi="Cambria"/>
          <w:b/>
          <w:sz w:val="20"/>
          <w:szCs w:val="20"/>
          <w:lang w:eastAsia="en-US"/>
        </w:rPr>
        <w:lastRenderedPageBreak/>
        <w:t>-Créditos impositivos y aduaneros</w:t>
      </w:r>
      <w:r w:rsidRPr="005B081E">
        <w:rPr>
          <w:rFonts w:ascii="Cambria" w:hAnsi="Cambria"/>
          <w:sz w:val="20"/>
          <w:szCs w:val="20"/>
          <w:lang w:eastAsia="en-US"/>
        </w:rPr>
        <w:t>. estos créditos impositivos tuvieron un aumento de Ps. 893,</w:t>
      </w:r>
      <w:r>
        <w:rPr>
          <w:rFonts w:ascii="Cambria" w:hAnsi="Cambria"/>
          <w:sz w:val="20"/>
          <w:szCs w:val="20"/>
          <w:lang w:eastAsia="en-US"/>
        </w:rPr>
        <w:t>7</w:t>
      </w:r>
      <w:r w:rsidRPr="005B081E">
        <w:rPr>
          <w:rFonts w:ascii="Cambria" w:hAnsi="Cambria"/>
          <w:sz w:val="20"/>
          <w:szCs w:val="20"/>
          <w:lang w:eastAsia="en-US"/>
        </w:rPr>
        <w:t xml:space="preserve"> millones, al cierre del ejercicio finalizado en marzo 2019, con respecto al ejercicio anterior, esto se debe principalmente </w:t>
      </w:r>
      <w:r w:rsidRPr="005B081E">
        <w:rPr>
          <w:rFonts w:ascii="Cambria" w:hAnsi="Cambria" w:cs="Arial"/>
          <w:sz w:val="20"/>
          <w:szCs w:val="20"/>
          <w:lang w:eastAsia="en-US"/>
        </w:rPr>
        <w:t>al incremento en los pagos de anticipos por retenciones a las exportaciones y por a los efectos de conversión.</w:t>
      </w:r>
    </w:p>
    <w:p w14:paraId="73A77E1A" w14:textId="77777777" w:rsidR="00ED480D" w:rsidRPr="006E4259" w:rsidRDefault="00ED480D" w:rsidP="00ED480D">
      <w:pPr>
        <w:shd w:val="clear" w:color="auto" w:fill="FFFFFF"/>
        <w:spacing w:after="0"/>
        <w:jc w:val="both"/>
        <w:textAlignment w:val="baseline"/>
        <w:rPr>
          <w:rFonts w:ascii="Cambria" w:hAnsi="Cambria"/>
          <w:sz w:val="20"/>
        </w:rPr>
      </w:pPr>
    </w:p>
    <w:p w14:paraId="7B9DAC8B" w14:textId="77777777" w:rsidR="00ED480D" w:rsidRPr="005B081E" w:rsidRDefault="00ED480D" w:rsidP="00ED480D">
      <w:pPr>
        <w:jc w:val="both"/>
        <w:rPr>
          <w:rFonts w:ascii="Cambria" w:hAnsi="Cambria"/>
          <w:sz w:val="20"/>
          <w:szCs w:val="20"/>
          <w:lang w:eastAsia="en-US"/>
        </w:rPr>
      </w:pPr>
      <w:r w:rsidRPr="005B081E">
        <w:rPr>
          <w:rFonts w:ascii="Cambria" w:hAnsi="Cambria"/>
          <w:b/>
          <w:sz w:val="20"/>
          <w:szCs w:val="20"/>
          <w:lang w:eastAsia="en-US"/>
        </w:rPr>
        <w:t xml:space="preserve">-Otros créditos financieros: </w:t>
      </w:r>
      <w:r w:rsidRPr="005B081E">
        <w:rPr>
          <w:rFonts w:ascii="Cambria" w:hAnsi="Cambria"/>
          <w:bCs/>
          <w:sz w:val="20"/>
          <w:szCs w:val="20"/>
          <w:lang w:eastAsia="en-US"/>
        </w:rPr>
        <w:t xml:space="preserve"> </w:t>
      </w:r>
      <w:r w:rsidRPr="005B081E">
        <w:rPr>
          <w:rFonts w:ascii="Cambria" w:hAnsi="Cambria"/>
          <w:sz w:val="20"/>
          <w:szCs w:val="20"/>
          <w:lang w:eastAsia="en-US"/>
        </w:rPr>
        <w:t xml:space="preserve">disminuyen en Ps. 241,3 millones, durante el ejercicio finalizado el 31 de marzo de 2019, respecto del ejercicio anterior, pasando de Ps. 1.246 millones en marzo de 2018 a Ps. 1.004,7 millones en mazo de 2019, este debe principalmente por la disminución en los saldos de los contratos a término de </w:t>
      </w:r>
      <w:r w:rsidRPr="00834EDD">
        <w:rPr>
          <w:rFonts w:ascii="Cambria" w:hAnsi="Cambria"/>
          <w:i/>
          <w:sz w:val="20"/>
          <w:szCs w:val="20"/>
          <w:lang w:eastAsia="en-US"/>
        </w:rPr>
        <w:t>commodities</w:t>
      </w:r>
      <w:r w:rsidRPr="005B081E">
        <w:rPr>
          <w:rFonts w:ascii="Cambria" w:hAnsi="Cambria"/>
          <w:sz w:val="20"/>
          <w:szCs w:val="20"/>
          <w:lang w:eastAsia="en-US"/>
        </w:rPr>
        <w:t xml:space="preserve"> y compromisos en firme futuros.</w:t>
      </w:r>
    </w:p>
    <w:p w14:paraId="6AF14F7F" w14:textId="77777777" w:rsidR="00ED480D" w:rsidRPr="005B081E" w:rsidRDefault="00ED480D" w:rsidP="00ED480D">
      <w:pPr>
        <w:jc w:val="both"/>
        <w:rPr>
          <w:rFonts w:ascii="Cambria" w:hAnsi="Cambria"/>
          <w:sz w:val="20"/>
          <w:szCs w:val="20"/>
          <w:lang w:eastAsia="en-US"/>
        </w:rPr>
      </w:pPr>
      <w:r w:rsidRPr="005B081E">
        <w:rPr>
          <w:rFonts w:ascii="Cambria" w:hAnsi="Cambria"/>
          <w:bCs/>
          <w:sz w:val="20"/>
          <w:szCs w:val="20"/>
          <w:lang w:eastAsia="en-US"/>
        </w:rPr>
        <w:t>-</w:t>
      </w:r>
      <w:r w:rsidRPr="005B081E">
        <w:rPr>
          <w:rFonts w:ascii="Cambria" w:hAnsi="Cambria"/>
          <w:b/>
          <w:sz w:val="20"/>
          <w:szCs w:val="20"/>
          <w:lang w:eastAsia="en-US"/>
        </w:rPr>
        <w:t>Inventarios</w:t>
      </w:r>
      <w:r w:rsidRPr="005B081E">
        <w:rPr>
          <w:rFonts w:ascii="Cambria" w:hAnsi="Cambria"/>
          <w:sz w:val="20"/>
          <w:szCs w:val="20"/>
          <w:lang w:eastAsia="en-US"/>
        </w:rPr>
        <w:t>. Los inventarios disminuyeron un 17%, es decir Ps. 938,2 millones, con respecto al ejercicio anterior, esto es debe principalmente a menores stocks, principalmente en poroto de soja y a una baja en el precio de la harina de soja, todo esto se vio compensado en parte por los efectos de la conversión.</w:t>
      </w:r>
    </w:p>
    <w:p w14:paraId="4683B6D8"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t>-</w:t>
      </w:r>
      <w:r w:rsidRPr="005B081E">
        <w:rPr>
          <w:rFonts w:ascii="Cambria" w:hAnsi="Cambria"/>
          <w:b/>
          <w:bCs/>
          <w:sz w:val="20"/>
          <w:szCs w:val="20"/>
          <w:lang w:eastAsia="en-US"/>
        </w:rPr>
        <w:t>Inversiones en otras sociedades</w:t>
      </w:r>
      <w:r w:rsidRPr="005B081E">
        <w:rPr>
          <w:rFonts w:ascii="Cambria" w:hAnsi="Cambria"/>
          <w:sz w:val="20"/>
          <w:szCs w:val="20"/>
          <w:lang w:eastAsia="en-US"/>
        </w:rPr>
        <w:t xml:space="preserve">. Las inversiones no corrientes aumentaron Ps. 148,1 millones durante el ejercicio finalizado el 31 de marzo de 2019, respecto del ejercicio anterior, esto se debe al efecto de la conversión y en menor medida, por la participación en el resultado de dichas sociedades. </w:t>
      </w:r>
    </w:p>
    <w:p w14:paraId="460A521D"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t>-</w:t>
      </w:r>
      <w:r w:rsidRPr="005B081E">
        <w:rPr>
          <w:rFonts w:ascii="Cambria" w:hAnsi="Cambria"/>
          <w:b/>
          <w:bCs/>
          <w:sz w:val="20"/>
          <w:szCs w:val="20"/>
          <w:lang w:eastAsia="en-US"/>
        </w:rPr>
        <w:t>Propiedad, planta y equipo, activos intangibles y plusvalía</w:t>
      </w:r>
      <w:r w:rsidRPr="005B081E">
        <w:rPr>
          <w:rFonts w:ascii="Cambria" w:hAnsi="Cambria"/>
          <w:sz w:val="20"/>
          <w:szCs w:val="20"/>
          <w:lang w:eastAsia="en-US"/>
        </w:rPr>
        <w:t>. se incrementaron en Ps. 1.978,6 millones durante el ejercicio finalizado el 31 de marzo de 2019, respecto del ejercicio anterior, producto principalmente de las inversiones por Ps. 1.249,1 millones y por el efecto de conversión por Ps. 1.230,7 millones. Respecto de las inversiones, estas se realizaron principalmente en edificios, maquinarias, instalaciones, y silos, con el objeto de terminar de construir una celda para almacenamiento de granos y oleaginosas, con capacidad para 180.000 toneladas</w:t>
      </w:r>
      <w:r>
        <w:rPr>
          <w:rFonts w:ascii="Cambria" w:hAnsi="Cambria"/>
          <w:sz w:val="20"/>
          <w:szCs w:val="20"/>
          <w:lang w:eastAsia="en-US"/>
        </w:rPr>
        <w:t xml:space="preserve">, </w:t>
      </w:r>
      <w:r w:rsidRPr="007B7253">
        <w:rPr>
          <w:rFonts w:ascii="Cambria" w:hAnsi="Cambria"/>
          <w:sz w:val="20"/>
          <w:szCs w:val="20"/>
          <w:lang w:eastAsia="en-US"/>
        </w:rPr>
        <w:t>la construcción de una celda de harina de soja con capacidad para 74 mil toneladas y la construcción de dos silos verticales de 10 mil toneladas cada uno para el almacenamiento de cereales</w:t>
      </w:r>
      <w:r w:rsidRPr="005B081E">
        <w:rPr>
          <w:rFonts w:ascii="Cambria" w:hAnsi="Cambria"/>
          <w:sz w:val="20"/>
          <w:szCs w:val="20"/>
          <w:lang w:eastAsia="en-US"/>
        </w:rPr>
        <w:t xml:space="preserve">. De esta forma, el complejo industrial en San Lorenzo totaliza con 420.000 toneladas de capacidad destinadas prioritariamente a poroto de soja y 70.000 toneladas de capacidad destinadas a los cereales. Estos aumentos fueron compensados parcialmente por las depreciaciones del ejercicio que fueron de PS. 359,5 millones y en menor medida, por las bajas netas efectuadas durante el ejercicio por Ps. 141,7 millones. Los activos intangibles y la plusvalía aumentaron en Ps. 72,1 millones, principalmente por el efecto de la conversión, neto de las amortizaciones correspondientes al ejercicio finalizado el 31 de marzo de 2019. </w:t>
      </w:r>
    </w:p>
    <w:p w14:paraId="14FCED9E" w14:textId="77777777" w:rsidR="00ED480D" w:rsidRDefault="00ED480D" w:rsidP="00ED480D">
      <w:pPr>
        <w:shd w:val="clear" w:color="auto" w:fill="FFFFFF"/>
        <w:contextualSpacing/>
        <w:jc w:val="both"/>
        <w:textAlignment w:val="baseline"/>
        <w:rPr>
          <w:rFonts w:ascii="Cambria" w:hAnsi="Cambria"/>
          <w:sz w:val="20"/>
          <w:szCs w:val="20"/>
          <w:lang w:eastAsia="en-US"/>
        </w:rPr>
      </w:pPr>
      <w:r w:rsidRPr="005B081E">
        <w:rPr>
          <w:rFonts w:ascii="Cambria" w:hAnsi="Cambria"/>
          <w:b/>
          <w:bCs/>
          <w:sz w:val="20"/>
          <w:szCs w:val="20"/>
          <w:lang w:eastAsia="en-US"/>
        </w:rPr>
        <w:t>-Deuda financiera neta.</w:t>
      </w:r>
      <w:r w:rsidRPr="005B081E">
        <w:rPr>
          <w:rFonts w:ascii="Cambria" w:hAnsi="Cambria"/>
          <w:sz w:val="20"/>
          <w:szCs w:val="20"/>
          <w:lang w:eastAsia="en-US"/>
        </w:rPr>
        <w:t xml:space="preserve"> La </w:t>
      </w:r>
      <w:r>
        <w:rPr>
          <w:rFonts w:ascii="Cambria" w:hAnsi="Cambria"/>
          <w:sz w:val="20"/>
          <w:szCs w:val="20"/>
          <w:lang w:eastAsia="en-US"/>
        </w:rPr>
        <w:t>E</w:t>
      </w:r>
      <w:r w:rsidRPr="005B081E">
        <w:rPr>
          <w:rFonts w:ascii="Cambria" w:hAnsi="Cambria"/>
          <w:sz w:val="20"/>
          <w:szCs w:val="20"/>
          <w:lang w:eastAsia="en-US"/>
        </w:rPr>
        <w:t>misora comenzó su ejercicio económico con una deuda financiera neta de US$ 53,6 millones y la culmino con US$ 58,4 millones, es decir un aumento del 8,9%. Considerando las necesidades de fondos que tuvo la Emisora durante el ejercicio, provenientes del aumento del capital de trabajo, la distribución de dividendos a los accionistas y a las inversiones en propiedad, planta y equipo, la deuda financiera neta no sufrió variaciones significativas respecto del saldo al cierre del ejercicio anterior, ya que estas necesidades fueron financiadas principalmente con los flujos de fondos provenientes de las actividades operativas de la Emisora. Medida en pesos tuvo un incremento del 51%, es decir de Ps. 1.276,</w:t>
      </w:r>
      <w:r>
        <w:rPr>
          <w:rFonts w:ascii="Cambria" w:hAnsi="Cambria"/>
          <w:sz w:val="20"/>
          <w:szCs w:val="20"/>
          <w:lang w:eastAsia="en-US"/>
        </w:rPr>
        <w:t>7</w:t>
      </w:r>
      <w:r w:rsidRPr="005B081E">
        <w:rPr>
          <w:rFonts w:ascii="Cambria" w:hAnsi="Cambria"/>
          <w:sz w:val="20"/>
          <w:szCs w:val="20"/>
          <w:lang w:eastAsia="en-US"/>
        </w:rPr>
        <w:t xml:space="preserve"> millones, con respecto al ejercicio anterior, el cual se debe principalmente a los efectos de la conversión. </w:t>
      </w:r>
    </w:p>
    <w:p w14:paraId="46347A06" w14:textId="77777777" w:rsidR="00ED480D" w:rsidRPr="005B081E" w:rsidRDefault="00ED480D" w:rsidP="00ED480D">
      <w:pPr>
        <w:shd w:val="clear" w:color="auto" w:fill="FFFFFF"/>
        <w:contextualSpacing/>
        <w:jc w:val="both"/>
        <w:textAlignment w:val="baseline"/>
        <w:rPr>
          <w:rFonts w:ascii="Cambria" w:hAnsi="Cambria"/>
          <w:sz w:val="20"/>
          <w:szCs w:val="20"/>
          <w:lang w:eastAsia="en-US"/>
        </w:rPr>
      </w:pPr>
    </w:p>
    <w:p w14:paraId="663A17C9" w14:textId="77777777" w:rsidR="00ED480D" w:rsidRPr="005B081E" w:rsidRDefault="00ED480D" w:rsidP="00ED480D">
      <w:pPr>
        <w:jc w:val="both"/>
        <w:rPr>
          <w:rFonts w:ascii="Cambria" w:hAnsi="Cambria"/>
          <w:sz w:val="20"/>
          <w:szCs w:val="20"/>
          <w:lang w:eastAsia="en-US"/>
        </w:rPr>
      </w:pPr>
      <w:r w:rsidRPr="005B081E">
        <w:rPr>
          <w:rFonts w:ascii="Cambria" w:hAnsi="Cambria"/>
          <w:b/>
          <w:sz w:val="20"/>
          <w:szCs w:val="20"/>
          <w:lang w:eastAsia="en-US"/>
        </w:rPr>
        <w:t>-Deudas comerciales</w:t>
      </w:r>
      <w:r w:rsidRPr="005B081E">
        <w:rPr>
          <w:rFonts w:ascii="Cambria" w:hAnsi="Cambria"/>
          <w:sz w:val="20"/>
          <w:szCs w:val="20"/>
          <w:lang w:eastAsia="en-US"/>
        </w:rPr>
        <w:t xml:space="preserve">. Las deudas comerciales aumentaron un 4%, respecto al ejercicio anterior. Esto se debe exclusivamente al efecto de la conversión, ya que, sin dicho efecto, las deudas comerciales disminuyen, con respecto al cierre del ejercicio anterior, lo cual, se debe a la disminución en los stocks de los inventarios al cierre de marzo de 2019 y a menores compromisos de mercadería pendiente de recibir. </w:t>
      </w:r>
    </w:p>
    <w:p w14:paraId="5DAF7187"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t>-</w:t>
      </w:r>
      <w:r w:rsidRPr="005B081E">
        <w:rPr>
          <w:rFonts w:ascii="Cambria" w:hAnsi="Cambria"/>
          <w:b/>
          <w:bCs/>
          <w:sz w:val="20"/>
          <w:szCs w:val="20"/>
          <w:lang w:eastAsia="en-US"/>
        </w:rPr>
        <w:t>Deudas fiscales, sociales y otros pasivos corrientes y no corrientes.</w:t>
      </w:r>
      <w:r w:rsidRPr="005B081E">
        <w:rPr>
          <w:rFonts w:ascii="Cambria" w:hAnsi="Cambria"/>
          <w:sz w:val="20"/>
          <w:szCs w:val="20"/>
          <w:lang w:eastAsia="en-US"/>
        </w:rPr>
        <w:t xml:space="preserve"> Las deudas sociales y fiscales tuvieron una disminución del 33% al 31 de marzo de 2019, con respecto al ejercicio anterior, </w:t>
      </w:r>
      <w:r w:rsidRPr="005B081E">
        <w:rPr>
          <w:rFonts w:ascii="Cambria" w:hAnsi="Cambria"/>
          <w:sz w:val="20"/>
          <w:szCs w:val="20"/>
          <w:lang w:eastAsia="en-US"/>
        </w:rPr>
        <w:lastRenderedPageBreak/>
        <w:t xml:space="preserve">siendo el principal motivo el menor cargo de los gravámenes por exportación a pagar, los cuales se encontraban en su mayoría prepagados al 31 de marzo de 2019. Con respecto a las otras deudas corrientes vemos un incremento del 23%, el cual se debe básicamente a los efectos de conversión. </w:t>
      </w:r>
    </w:p>
    <w:p w14:paraId="2EA33D62" w14:textId="77777777" w:rsidR="00ED480D" w:rsidRPr="005B081E" w:rsidRDefault="00ED480D" w:rsidP="00ED480D">
      <w:pPr>
        <w:jc w:val="both"/>
        <w:rPr>
          <w:rFonts w:ascii="Cambria" w:hAnsi="Cambria"/>
          <w:sz w:val="20"/>
          <w:szCs w:val="20"/>
          <w:lang w:eastAsia="en-US"/>
        </w:rPr>
      </w:pPr>
      <w:r w:rsidRPr="005B081E">
        <w:rPr>
          <w:rFonts w:ascii="Cambria" w:hAnsi="Cambria"/>
          <w:b/>
          <w:bCs/>
          <w:sz w:val="20"/>
          <w:szCs w:val="20"/>
          <w:lang w:eastAsia="en-US"/>
        </w:rPr>
        <w:t xml:space="preserve">-Impuesto a las ganancias diferido: </w:t>
      </w:r>
      <w:r w:rsidRPr="005B081E">
        <w:rPr>
          <w:rFonts w:ascii="Cambria" w:hAnsi="Cambria"/>
          <w:sz w:val="20"/>
          <w:szCs w:val="20"/>
          <w:lang w:eastAsia="en-US"/>
        </w:rPr>
        <w:t>tuvo una variación significativa con respecto al el ejercicio anterior de Ps.467,9 millones, el cual pas</w:t>
      </w:r>
      <w:r>
        <w:rPr>
          <w:rFonts w:ascii="Cambria" w:hAnsi="Cambria"/>
          <w:sz w:val="20"/>
          <w:szCs w:val="20"/>
          <w:lang w:eastAsia="en-US"/>
        </w:rPr>
        <w:t>ó</w:t>
      </w:r>
      <w:r w:rsidRPr="005B081E">
        <w:rPr>
          <w:rFonts w:ascii="Cambria" w:hAnsi="Cambria"/>
          <w:sz w:val="20"/>
          <w:szCs w:val="20"/>
          <w:lang w:eastAsia="en-US"/>
        </w:rPr>
        <w:t xml:space="preserve"> de se ser un pasivo impuesto diferido de Ps.225,8 millones, en el ejercicio finalizado a marzo de 2018, a ser un activo por impuesto diferido de Ps. 242 millones, en marzo de 2019, esto debe al cómputo de los efectos de revaluación de los activos fijos impositivos que estaban en pesos históricos.</w:t>
      </w:r>
    </w:p>
    <w:p w14:paraId="47769D50" w14:textId="77777777" w:rsidR="00ED480D" w:rsidRPr="006F5C22" w:rsidRDefault="00ED480D" w:rsidP="00ED480D">
      <w:pPr>
        <w:jc w:val="both"/>
        <w:rPr>
          <w:rFonts w:ascii="Cambria" w:hAnsi="Cambria"/>
          <w:sz w:val="20"/>
          <w:szCs w:val="20"/>
          <w:highlight w:val="yellow"/>
          <w:lang w:eastAsia="en-US"/>
        </w:rPr>
      </w:pPr>
      <w:r w:rsidRPr="005B081E">
        <w:rPr>
          <w:rFonts w:ascii="Cambria" w:hAnsi="Cambria"/>
          <w:sz w:val="20"/>
          <w:szCs w:val="20"/>
          <w:lang w:eastAsia="en-US"/>
        </w:rPr>
        <w:t>-</w:t>
      </w:r>
      <w:r w:rsidRPr="005B081E">
        <w:rPr>
          <w:rFonts w:ascii="Cambria" w:hAnsi="Cambria"/>
          <w:b/>
          <w:bCs/>
          <w:sz w:val="20"/>
          <w:szCs w:val="20"/>
          <w:lang w:eastAsia="en-US"/>
        </w:rPr>
        <w:t>Patrimonio.</w:t>
      </w:r>
      <w:r w:rsidRPr="005B081E">
        <w:rPr>
          <w:rFonts w:ascii="Cambria" w:hAnsi="Cambria"/>
          <w:sz w:val="20"/>
          <w:szCs w:val="20"/>
          <w:lang w:eastAsia="en-US"/>
        </w:rPr>
        <w:t xml:space="preserve"> Tuvo un aumento de Ps. 2.695,2 millones, durante el presente ejercicio finalizado en marzo de 2019, esto responde principalmente a la ganancia obtenida en el ejercicio que ascendieron a Ps. 2.310,7 millones y por los efectos de conversión, registradas en otros resultados integrales por Ps. 1.284,9 millones, todo esto se vio en parte compensando por la distribución de dividendos que ascendió a Ps. 900,5 millones</w:t>
      </w:r>
      <w:r w:rsidRPr="006F5C22">
        <w:rPr>
          <w:rFonts w:ascii="Cambria" w:hAnsi="Cambria"/>
          <w:sz w:val="20"/>
          <w:szCs w:val="20"/>
          <w:lang w:eastAsia="en-US"/>
        </w:rPr>
        <w:t>.</w:t>
      </w:r>
    </w:p>
    <w:p w14:paraId="2C7DCF32" w14:textId="77777777" w:rsidR="00ED480D" w:rsidRPr="00123D23" w:rsidRDefault="00ED480D" w:rsidP="00ED480D">
      <w:pPr>
        <w:jc w:val="both"/>
        <w:rPr>
          <w:rFonts w:ascii="Cambria" w:hAnsi="Cambria"/>
          <w:b/>
          <w:bCs/>
          <w:sz w:val="20"/>
          <w:szCs w:val="20"/>
          <w:lang w:eastAsia="en-US"/>
        </w:rPr>
      </w:pPr>
      <w:r w:rsidRPr="00123D23">
        <w:rPr>
          <w:rFonts w:ascii="Cambria" w:hAnsi="Cambria"/>
          <w:b/>
          <w:bCs/>
          <w:sz w:val="20"/>
          <w:szCs w:val="20"/>
          <w:lang w:eastAsia="en-US"/>
        </w:rPr>
        <w:t>Resultados consolidados por las operaciones correspondientes a los periodos de tres meses finalizados el 30 de junio de 2020 y 2019</w:t>
      </w:r>
    </w:p>
    <w:p w14:paraId="71826F6D" w14:textId="77777777" w:rsidR="00ED480D" w:rsidRPr="007B7253" w:rsidRDefault="00ED480D" w:rsidP="00ED480D">
      <w:pPr>
        <w:jc w:val="both"/>
        <w:rPr>
          <w:rFonts w:ascii="Cambria" w:hAnsi="Cambria"/>
          <w:b/>
          <w:bCs/>
          <w:sz w:val="20"/>
          <w:szCs w:val="20"/>
          <w:lang w:eastAsia="en-US"/>
        </w:rPr>
      </w:pPr>
      <w:r w:rsidRPr="00123D23">
        <w:rPr>
          <w:rFonts w:ascii="Cambria" w:hAnsi="Cambria"/>
          <w:b/>
          <w:bCs/>
          <w:sz w:val="20"/>
          <w:szCs w:val="20"/>
          <w:lang w:eastAsia="en-US"/>
        </w:rPr>
        <w:t>Contexto económico</w:t>
      </w:r>
      <w:r>
        <w:rPr>
          <w:rFonts w:ascii="Cambria" w:hAnsi="Cambria"/>
          <w:b/>
          <w:bCs/>
          <w:sz w:val="20"/>
          <w:szCs w:val="20"/>
          <w:lang w:eastAsia="en-US"/>
        </w:rPr>
        <w:t xml:space="preserve"> </w:t>
      </w:r>
      <w:r w:rsidRPr="007B7253">
        <w:rPr>
          <w:rFonts w:ascii="Cambria" w:hAnsi="Cambria"/>
          <w:b/>
          <w:bCs/>
          <w:sz w:val="20"/>
          <w:szCs w:val="20"/>
          <w:lang w:eastAsia="en-US"/>
        </w:rPr>
        <w:t>por el periodo de tres meses finalizado al 30 de junio de 2020.</w:t>
      </w:r>
    </w:p>
    <w:p w14:paraId="33F9A6A1" w14:textId="77777777" w:rsidR="00ED480D" w:rsidRPr="00123D23" w:rsidRDefault="00ED480D" w:rsidP="00ED480D">
      <w:pPr>
        <w:jc w:val="both"/>
        <w:rPr>
          <w:rFonts w:ascii="Cambria" w:hAnsi="Cambria"/>
          <w:b/>
          <w:bCs/>
          <w:i/>
          <w:iCs/>
          <w:sz w:val="20"/>
          <w:szCs w:val="20"/>
          <w:u w:val="single"/>
          <w:lang w:eastAsia="en-US"/>
        </w:rPr>
      </w:pPr>
      <w:r w:rsidRPr="00123D23">
        <w:rPr>
          <w:rFonts w:ascii="Cambria" w:hAnsi="Cambria"/>
          <w:b/>
          <w:bCs/>
          <w:i/>
          <w:iCs/>
          <w:sz w:val="20"/>
          <w:szCs w:val="20"/>
          <w:u w:val="single"/>
          <w:lang w:eastAsia="en-US"/>
        </w:rPr>
        <w:t>Economía mundial</w:t>
      </w:r>
    </w:p>
    <w:p w14:paraId="0B7A360C" w14:textId="77777777" w:rsidR="00ED480D" w:rsidRPr="00123D23" w:rsidRDefault="00ED480D" w:rsidP="00ED480D">
      <w:pPr>
        <w:jc w:val="both"/>
        <w:rPr>
          <w:rFonts w:ascii="Cambria" w:hAnsi="Cambria"/>
          <w:sz w:val="20"/>
          <w:szCs w:val="20"/>
          <w:lang w:eastAsia="en-US"/>
        </w:rPr>
      </w:pPr>
      <w:r w:rsidRPr="00123D23">
        <w:rPr>
          <w:rFonts w:ascii="Cambria" w:hAnsi="Cambria"/>
          <w:sz w:val="20"/>
          <w:szCs w:val="20"/>
          <w:lang w:eastAsia="en-US"/>
        </w:rPr>
        <w:t xml:space="preserve">Durante el segundo trimestre del 2020 la economía mundial fue impactada de pleno por la pandemia COVID-19, con la consecuente caída del PBI de prácticamente todos los países del mundo. Se considera a esta recesión como la peor desde la ocurrencia de la </w:t>
      </w:r>
      <w:r>
        <w:rPr>
          <w:rFonts w:ascii="Cambria" w:hAnsi="Cambria"/>
          <w:sz w:val="20"/>
          <w:szCs w:val="20"/>
          <w:lang w:eastAsia="en-US"/>
        </w:rPr>
        <w:t>s</w:t>
      </w:r>
      <w:r w:rsidRPr="00123D23">
        <w:rPr>
          <w:rFonts w:ascii="Cambria" w:hAnsi="Cambria"/>
          <w:sz w:val="20"/>
          <w:szCs w:val="20"/>
          <w:lang w:eastAsia="en-US"/>
        </w:rPr>
        <w:t xml:space="preserve">egunda </w:t>
      </w:r>
      <w:r>
        <w:rPr>
          <w:rFonts w:ascii="Cambria" w:hAnsi="Cambria"/>
          <w:sz w:val="20"/>
          <w:szCs w:val="20"/>
          <w:lang w:eastAsia="en-US"/>
        </w:rPr>
        <w:t>g</w:t>
      </w:r>
      <w:r w:rsidRPr="00123D23">
        <w:rPr>
          <w:rFonts w:ascii="Cambria" w:hAnsi="Cambria"/>
          <w:sz w:val="20"/>
          <w:szCs w:val="20"/>
          <w:lang w:eastAsia="en-US"/>
        </w:rPr>
        <w:t xml:space="preserve">uerra </w:t>
      </w:r>
      <w:r>
        <w:rPr>
          <w:rFonts w:ascii="Cambria" w:hAnsi="Cambria"/>
          <w:sz w:val="20"/>
          <w:szCs w:val="20"/>
          <w:lang w:eastAsia="en-US"/>
        </w:rPr>
        <w:t>m</w:t>
      </w:r>
      <w:r w:rsidRPr="00123D23">
        <w:rPr>
          <w:rFonts w:ascii="Cambria" w:hAnsi="Cambria"/>
          <w:sz w:val="20"/>
          <w:szCs w:val="20"/>
          <w:lang w:eastAsia="en-US"/>
        </w:rPr>
        <w:t>undial.</w:t>
      </w:r>
    </w:p>
    <w:p w14:paraId="6A782FBE" w14:textId="77777777" w:rsidR="00ED480D" w:rsidRPr="00123D23" w:rsidRDefault="00ED480D" w:rsidP="00ED480D">
      <w:pPr>
        <w:jc w:val="both"/>
        <w:rPr>
          <w:rFonts w:ascii="Cambria" w:hAnsi="Cambria"/>
          <w:sz w:val="20"/>
          <w:szCs w:val="20"/>
          <w:lang w:eastAsia="en-US"/>
        </w:rPr>
      </w:pPr>
      <w:r w:rsidRPr="00123D23">
        <w:rPr>
          <w:rFonts w:ascii="Cambria" w:hAnsi="Cambria"/>
          <w:sz w:val="20"/>
          <w:szCs w:val="20"/>
          <w:lang w:eastAsia="en-US"/>
        </w:rPr>
        <w:t>Según el Banco Mundial, la caída prevista del PBI global para todo 2020 será de -5,2%. Particularmente fueron más afectadas las economías de Europa, Asia Central y Latinoamérica, mientras que aquellas del Sudeste de Asia fueron las que más rápidamente recuperaron su actividad económica. Por ejemplo, Indonesia está previsto que mantenga para 2020 el mismo nivel de producto bruto interno que en 2019, mientras que China podría llegar a mostrar un guarism</w:t>
      </w:r>
      <w:r>
        <w:rPr>
          <w:rFonts w:ascii="Cambria" w:hAnsi="Cambria"/>
          <w:sz w:val="20"/>
          <w:szCs w:val="20"/>
          <w:lang w:eastAsia="en-US"/>
        </w:rPr>
        <w:t>o positivo: un esperanzador 1%.</w:t>
      </w:r>
    </w:p>
    <w:p w14:paraId="1FCC6D82" w14:textId="77777777" w:rsidR="00ED480D" w:rsidRPr="00123D23" w:rsidRDefault="00ED480D" w:rsidP="00ED480D">
      <w:pPr>
        <w:rPr>
          <w:rFonts w:ascii="Cambria" w:hAnsi="Cambria"/>
          <w:b/>
          <w:bCs/>
          <w:i/>
          <w:snapToGrid w:val="0"/>
          <w:sz w:val="20"/>
          <w:szCs w:val="20"/>
          <w:u w:val="single"/>
          <w:lang w:eastAsia="en-US"/>
        </w:rPr>
      </w:pPr>
      <w:r w:rsidRPr="00123D23">
        <w:rPr>
          <w:rFonts w:ascii="Cambria" w:hAnsi="Cambria"/>
          <w:b/>
          <w:bCs/>
          <w:i/>
          <w:snapToGrid w:val="0"/>
          <w:sz w:val="20"/>
          <w:szCs w:val="20"/>
          <w:u w:val="single"/>
          <w:lang w:eastAsia="en-US"/>
        </w:rPr>
        <w:t>Desempeño económico de Argentina</w:t>
      </w:r>
    </w:p>
    <w:p w14:paraId="0091D3C5" w14:textId="77777777" w:rsidR="00ED480D" w:rsidRPr="00123D23" w:rsidRDefault="00ED480D" w:rsidP="00ED480D">
      <w:pPr>
        <w:shd w:val="clear" w:color="auto" w:fill="FFFFFF"/>
        <w:spacing w:after="0"/>
        <w:rPr>
          <w:rFonts w:ascii="Cambria" w:hAnsi="Cambria"/>
          <w:sz w:val="20"/>
          <w:szCs w:val="20"/>
          <w:lang w:eastAsia="en-US"/>
        </w:rPr>
      </w:pPr>
      <w:r w:rsidRPr="00123D23">
        <w:rPr>
          <w:rFonts w:ascii="Cambria" w:hAnsi="Cambria"/>
          <w:sz w:val="20"/>
          <w:szCs w:val="20"/>
          <w:lang w:eastAsia="en-US"/>
        </w:rPr>
        <w:t>En el caso de Argentina, la caída del PBI estimad</w:t>
      </w:r>
      <w:r>
        <w:rPr>
          <w:rFonts w:ascii="Cambria" w:hAnsi="Cambria"/>
          <w:sz w:val="20"/>
          <w:szCs w:val="20"/>
          <w:lang w:eastAsia="en-US"/>
        </w:rPr>
        <w:t>o</w:t>
      </w:r>
      <w:r w:rsidRPr="00123D23">
        <w:rPr>
          <w:rFonts w:ascii="Cambria" w:hAnsi="Cambria"/>
          <w:sz w:val="20"/>
          <w:szCs w:val="20"/>
          <w:lang w:eastAsia="en-US"/>
        </w:rPr>
        <w:t xml:space="preserve"> para 2020 por el Banco </w:t>
      </w:r>
      <w:r w:rsidRPr="003B1FCF">
        <w:rPr>
          <w:rFonts w:ascii="Cambria" w:hAnsi="Cambria"/>
          <w:sz w:val="20"/>
          <w:szCs w:val="20"/>
          <w:lang w:eastAsia="en-US"/>
        </w:rPr>
        <w:t>Mundial</w:t>
      </w:r>
      <w:r w:rsidRPr="00123D23">
        <w:rPr>
          <w:rFonts w:ascii="Cambria" w:hAnsi="Cambria"/>
          <w:sz w:val="20"/>
          <w:szCs w:val="20"/>
          <w:lang w:eastAsia="en-US"/>
        </w:rPr>
        <w:t xml:space="preserve"> es de (11%), en línea otros dos referentes de América Latina, Brasil (-8%) y México (-7,5%).</w:t>
      </w:r>
    </w:p>
    <w:p w14:paraId="7575E13D" w14:textId="77777777" w:rsidR="00ED480D" w:rsidRPr="00123D23" w:rsidRDefault="00ED480D" w:rsidP="00ED480D">
      <w:pPr>
        <w:shd w:val="clear" w:color="auto" w:fill="FFFFFF"/>
        <w:spacing w:after="0"/>
        <w:rPr>
          <w:rFonts w:ascii="Cambria" w:hAnsi="Cambria"/>
          <w:sz w:val="20"/>
          <w:szCs w:val="20"/>
          <w:lang w:eastAsia="en-US"/>
        </w:rPr>
      </w:pPr>
      <w:r w:rsidRPr="00123D23">
        <w:rPr>
          <w:rFonts w:ascii="Cambria" w:hAnsi="Cambria"/>
          <w:sz w:val="20"/>
          <w:szCs w:val="20"/>
          <w:lang w:eastAsia="en-US"/>
        </w:rPr>
        <w:t>La</w:t>
      </w:r>
      <w:r w:rsidRPr="00123D23">
        <w:rPr>
          <w:rFonts w:ascii="Cambria" w:hAnsi="Cambria"/>
          <w:sz w:val="20"/>
          <w:szCs w:val="20"/>
          <w:lang w:eastAsia="en-US"/>
        </w:rPr>
        <w:t> </w:t>
      </w:r>
      <w:r w:rsidRPr="00123D23">
        <w:rPr>
          <w:rFonts w:ascii="Cambria" w:hAnsi="Cambria"/>
          <w:sz w:val="20"/>
          <w:szCs w:val="20"/>
          <w:lang w:eastAsia="en-US"/>
        </w:rPr>
        <w:t>economía</w:t>
      </w:r>
      <w:r w:rsidRPr="00123D23">
        <w:rPr>
          <w:rFonts w:ascii="Cambria" w:hAnsi="Cambria"/>
          <w:sz w:val="20"/>
          <w:szCs w:val="20"/>
          <w:lang w:eastAsia="en-US"/>
        </w:rPr>
        <w:t> </w:t>
      </w:r>
      <w:r w:rsidRPr="00123D23">
        <w:rPr>
          <w:rFonts w:ascii="Cambria" w:hAnsi="Cambria"/>
          <w:sz w:val="20"/>
          <w:szCs w:val="20"/>
          <w:lang w:eastAsia="en-US"/>
        </w:rPr>
        <w:t>de</w:t>
      </w:r>
      <w:r w:rsidRPr="00123D23">
        <w:rPr>
          <w:rFonts w:ascii="Cambria" w:hAnsi="Cambria"/>
          <w:sz w:val="20"/>
          <w:szCs w:val="20"/>
          <w:lang w:eastAsia="en-US"/>
        </w:rPr>
        <w:t> </w:t>
      </w:r>
      <w:r w:rsidRPr="00123D23">
        <w:rPr>
          <w:rFonts w:ascii="Cambria" w:hAnsi="Cambria"/>
          <w:sz w:val="20"/>
          <w:szCs w:val="20"/>
          <w:lang w:eastAsia="en-US"/>
        </w:rPr>
        <w:t>Argentina</w:t>
      </w:r>
      <w:r w:rsidRPr="00123D23">
        <w:rPr>
          <w:rFonts w:ascii="Cambria" w:hAnsi="Cambria"/>
          <w:sz w:val="20"/>
          <w:szCs w:val="20"/>
          <w:lang w:eastAsia="en-US"/>
        </w:rPr>
        <w:t> </w:t>
      </w:r>
      <w:r w:rsidRPr="00123D23">
        <w:rPr>
          <w:rFonts w:ascii="Cambria" w:hAnsi="Cambria"/>
          <w:sz w:val="20"/>
          <w:szCs w:val="20"/>
          <w:lang w:eastAsia="en-US"/>
        </w:rPr>
        <w:t>profundizó</w:t>
      </w:r>
      <w:r w:rsidRPr="00123D23">
        <w:rPr>
          <w:rFonts w:ascii="Cambria" w:hAnsi="Cambria"/>
          <w:sz w:val="20"/>
          <w:szCs w:val="20"/>
          <w:lang w:eastAsia="en-US"/>
        </w:rPr>
        <w:t> </w:t>
      </w:r>
      <w:r w:rsidRPr="00123D23">
        <w:rPr>
          <w:rFonts w:ascii="Cambria" w:hAnsi="Cambria"/>
          <w:sz w:val="20"/>
          <w:szCs w:val="20"/>
          <w:lang w:eastAsia="en-US"/>
        </w:rPr>
        <w:t>en</w:t>
      </w:r>
      <w:r w:rsidRPr="00123D23">
        <w:rPr>
          <w:rFonts w:ascii="Cambria" w:hAnsi="Cambria"/>
          <w:sz w:val="20"/>
          <w:szCs w:val="20"/>
          <w:lang w:eastAsia="en-US"/>
        </w:rPr>
        <w:t> </w:t>
      </w:r>
      <w:r w:rsidRPr="00123D23">
        <w:rPr>
          <w:rFonts w:ascii="Cambria" w:hAnsi="Cambria"/>
          <w:sz w:val="20"/>
          <w:szCs w:val="20"/>
          <w:lang w:eastAsia="en-US"/>
        </w:rPr>
        <w:t>marzo de 2020,</w:t>
      </w:r>
      <w:r w:rsidRPr="00123D23">
        <w:rPr>
          <w:rFonts w:ascii="Cambria" w:hAnsi="Cambria"/>
          <w:sz w:val="20"/>
          <w:szCs w:val="20"/>
          <w:lang w:eastAsia="en-US"/>
        </w:rPr>
        <w:t> </w:t>
      </w:r>
      <w:r w:rsidRPr="00123D23">
        <w:rPr>
          <w:rFonts w:ascii="Cambria" w:hAnsi="Cambria"/>
          <w:sz w:val="20"/>
          <w:szCs w:val="20"/>
          <w:lang w:eastAsia="en-US"/>
        </w:rPr>
        <w:t>la</w:t>
      </w:r>
      <w:r w:rsidRPr="00123D23">
        <w:rPr>
          <w:rFonts w:ascii="Cambria" w:hAnsi="Cambria"/>
          <w:sz w:val="20"/>
          <w:szCs w:val="20"/>
          <w:lang w:eastAsia="en-US"/>
        </w:rPr>
        <w:t> </w:t>
      </w:r>
      <w:r w:rsidRPr="00123D23">
        <w:rPr>
          <w:rFonts w:ascii="Cambria" w:hAnsi="Cambria"/>
          <w:sz w:val="20"/>
          <w:szCs w:val="20"/>
          <w:lang w:eastAsia="en-US"/>
        </w:rPr>
        <w:t>recesión</w:t>
      </w:r>
      <w:r w:rsidRPr="00123D23">
        <w:rPr>
          <w:rFonts w:ascii="Cambria" w:hAnsi="Cambria"/>
          <w:sz w:val="20"/>
          <w:szCs w:val="20"/>
          <w:lang w:eastAsia="en-US"/>
        </w:rPr>
        <w:t> </w:t>
      </w:r>
      <w:r w:rsidRPr="00123D23">
        <w:rPr>
          <w:rFonts w:ascii="Cambria" w:hAnsi="Cambria"/>
          <w:sz w:val="20"/>
          <w:szCs w:val="20"/>
          <w:lang w:eastAsia="en-US"/>
        </w:rPr>
        <w:t>que</w:t>
      </w:r>
      <w:r w:rsidRPr="00123D23">
        <w:rPr>
          <w:rFonts w:ascii="Cambria" w:hAnsi="Cambria"/>
          <w:sz w:val="20"/>
          <w:szCs w:val="20"/>
          <w:lang w:eastAsia="en-US"/>
        </w:rPr>
        <w:t> </w:t>
      </w:r>
      <w:r w:rsidRPr="00123D23">
        <w:rPr>
          <w:rFonts w:ascii="Cambria" w:hAnsi="Cambria"/>
          <w:sz w:val="20"/>
          <w:szCs w:val="20"/>
          <w:lang w:eastAsia="en-US"/>
        </w:rPr>
        <w:t>la</w:t>
      </w:r>
      <w:r w:rsidRPr="00123D23">
        <w:rPr>
          <w:rFonts w:ascii="Cambria" w:hAnsi="Cambria"/>
          <w:sz w:val="20"/>
          <w:szCs w:val="20"/>
          <w:lang w:eastAsia="en-US"/>
        </w:rPr>
        <w:t> </w:t>
      </w:r>
      <w:r w:rsidRPr="00123D23">
        <w:rPr>
          <w:rFonts w:ascii="Cambria" w:hAnsi="Cambria"/>
          <w:sz w:val="20"/>
          <w:szCs w:val="20"/>
          <w:lang w:eastAsia="en-US"/>
        </w:rPr>
        <w:t>golpea</w:t>
      </w:r>
      <w:r w:rsidRPr="00123D23">
        <w:rPr>
          <w:rFonts w:ascii="Cambria" w:hAnsi="Cambria"/>
          <w:sz w:val="20"/>
          <w:szCs w:val="20"/>
          <w:lang w:eastAsia="en-US"/>
        </w:rPr>
        <w:t> </w:t>
      </w:r>
      <w:r w:rsidRPr="00123D23">
        <w:rPr>
          <w:rFonts w:ascii="Cambria" w:hAnsi="Cambria"/>
          <w:sz w:val="20"/>
          <w:szCs w:val="20"/>
          <w:lang w:eastAsia="en-US"/>
        </w:rPr>
        <w:t>desde</w:t>
      </w:r>
      <w:r w:rsidRPr="00123D23">
        <w:rPr>
          <w:rFonts w:ascii="Cambria" w:hAnsi="Cambria"/>
          <w:sz w:val="20"/>
          <w:szCs w:val="20"/>
          <w:lang w:eastAsia="en-US"/>
        </w:rPr>
        <w:t> </w:t>
      </w:r>
      <w:r w:rsidRPr="00123D23">
        <w:rPr>
          <w:rFonts w:ascii="Cambria" w:hAnsi="Cambria"/>
          <w:sz w:val="20"/>
          <w:szCs w:val="20"/>
          <w:lang w:eastAsia="en-US"/>
        </w:rPr>
        <w:t>hace</w:t>
      </w:r>
      <w:r w:rsidRPr="00123D23">
        <w:rPr>
          <w:rFonts w:ascii="Cambria" w:hAnsi="Cambria"/>
          <w:sz w:val="20"/>
          <w:szCs w:val="20"/>
          <w:lang w:eastAsia="en-US"/>
        </w:rPr>
        <w:t> </w:t>
      </w:r>
      <w:r w:rsidRPr="00123D23">
        <w:rPr>
          <w:rFonts w:ascii="Cambria" w:hAnsi="Cambria"/>
          <w:sz w:val="20"/>
          <w:szCs w:val="20"/>
          <w:lang w:eastAsia="en-US"/>
        </w:rPr>
        <w:t>dos</w:t>
      </w:r>
      <w:r w:rsidRPr="00123D23">
        <w:rPr>
          <w:rFonts w:ascii="Cambria" w:hAnsi="Cambria"/>
          <w:sz w:val="20"/>
          <w:szCs w:val="20"/>
          <w:lang w:eastAsia="en-US"/>
        </w:rPr>
        <w:t> </w:t>
      </w:r>
      <w:r w:rsidRPr="00123D23">
        <w:rPr>
          <w:rFonts w:ascii="Cambria" w:hAnsi="Cambria"/>
          <w:sz w:val="20"/>
          <w:szCs w:val="20"/>
          <w:lang w:eastAsia="en-US"/>
        </w:rPr>
        <w:t>años,</w:t>
      </w:r>
      <w:r w:rsidRPr="00123D23">
        <w:rPr>
          <w:rFonts w:ascii="Cambria" w:hAnsi="Cambria"/>
          <w:sz w:val="20"/>
          <w:szCs w:val="20"/>
          <w:lang w:eastAsia="en-US"/>
        </w:rPr>
        <w:t> </w:t>
      </w:r>
      <w:r w:rsidRPr="00123D23">
        <w:rPr>
          <w:rFonts w:ascii="Cambria" w:hAnsi="Cambria"/>
          <w:sz w:val="20"/>
          <w:szCs w:val="20"/>
          <w:lang w:eastAsia="en-US"/>
        </w:rPr>
        <w:t>por la cuarentena dispuesta por el gobierno</w:t>
      </w:r>
      <w:r w:rsidRPr="00123D23">
        <w:rPr>
          <w:rFonts w:ascii="Cambria" w:hAnsi="Cambria"/>
          <w:sz w:val="20"/>
          <w:szCs w:val="20"/>
          <w:lang w:eastAsia="en-US"/>
        </w:rPr>
        <w:t> </w:t>
      </w:r>
      <w:r w:rsidRPr="00123D23">
        <w:rPr>
          <w:rFonts w:ascii="Cambria" w:hAnsi="Cambria"/>
          <w:sz w:val="20"/>
          <w:szCs w:val="20"/>
          <w:lang w:eastAsia="en-US"/>
        </w:rPr>
        <w:t>de</w:t>
      </w:r>
      <w:r w:rsidRPr="00123D23">
        <w:rPr>
          <w:rFonts w:ascii="Cambria" w:hAnsi="Cambria"/>
          <w:sz w:val="20"/>
          <w:szCs w:val="20"/>
          <w:lang w:eastAsia="en-US"/>
        </w:rPr>
        <w:t> </w:t>
      </w:r>
      <w:r w:rsidRPr="00123D23">
        <w:rPr>
          <w:rFonts w:ascii="Cambria" w:hAnsi="Cambria"/>
          <w:sz w:val="20"/>
          <w:szCs w:val="20"/>
          <w:lang w:eastAsia="en-US"/>
        </w:rPr>
        <w:t>Alberto</w:t>
      </w:r>
      <w:r w:rsidRPr="00123D23">
        <w:rPr>
          <w:rFonts w:ascii="Cambria" w:hAnsi="Cambria"/>
          <w:sz w:val="20"/>
          <w:szCs w:val="20"/>
          <w:lang w:eastAsia="en-US"/>
        </w:rPr>
        <w:t> </w:t>
      </w:r>
      <w:r w:rsidRPr="00123D23">
        <w:rPr>
          <w:rFonts w:ascii="Cambria" w:hAnsi="Cambria"/>
          <w:sz w:val="20"/>
          <w:szCs w:val="20"/>
          <w:lang w:eastAsia="en-US"/>
        </w:rPr>
        <w:t>Fernández</w:t>
      </w:r>
      <w:r w:rsidRPr="00123D23">
        <w:rPr>
          <w:rFonts w:ascii="Cambria" w:hAnsi="Cambria"/>
          <w:sz w:val="20"/>
          <w:szCs w:val="20"/>
          <w:lang w:eastAsia="en-US"/>
        </w:rPr>
        <w:t> </w:t>
      </w:r>
      <w:r w:rsidRPr="00123D23">
        <w:rPr>
          <w:rFonts w:ascii="Cambria" w:hAnsi="Cambria"/>
          <w:sz w:val="20"/>
          <w:szCs w:val="20"/>
          <w:lang w:eastAsia="en-US"/>
        </w:rPr>
        <w:t>para</w:t>
      </w:r>
      <w:r w:rsidRPr="00123D23">
        <w:rPr>
          <w:rFonts w:ascii="Cambria" w:hAnsi="Cambria"/>
          <w:sz w:val="20"/>
          <w:szCs w:val="20"/>
          <w:lang w:eastAsia="en-US"/>
        </w:rPr>
        <w:t> </w:t>
      </w:r>
      <w:r w:rsidRPr="00123D23">
        <w:rPr>
          <w:rFonts w:ascii="Cambria" w:hAnsi="Cambria"/>
          <w:sz w:val="20"/>
          <w:szCs w:val="20"/>
          <w:lang w:eastAsia="en-US"/>
        </w:rPr>
        <w:t>hacer</w:t>
      </w:r>
      <w:r w:rsidRPr="00123D23">
        <w:rPr>
          <w:rFonts w:ascii="Cambria" w:hAnsi="Cambria"/>
          <w:sz w:val="20"/>
          <w:szCs w:val="20"/>
          <w:lang w:eastAsia="en-US"/>
        </w:rPr>
        <w:t> </w:t>
      </w:r>
      <w:r w:rsidRPr="00123D23">
        <w:rPr>
          <w:rFonts w:ascii="Cambria" w:hAnsi="Cambria"/>
          <w:sz w:val="20"/>
          <w:szCs w:val="20"/>
          <w:lang w:eastAsia="en-US"/>
        </w:rPr>
        <w:t>frente</w:t>
      </w:r>
      <w:r w:rsidRPr="00123D23">
        <w:rPr>
          <w:rFonts w:ascii="Cambria" w:hAnsi="Cambria"/>
          <w:sz w:val="20"/>
          <w:szCs w:val="20"/>
          <w:lang w:eastAsia="en-US"/>
        </w:rPr>
        <w:t> </w:t>
      </w:r>
      <w:r w:rsidRPr="00123D23">
        <w:rPr>
          <w:rFonts w:ascii="Cambria" w:hAnsi="Cambria"/>
          <w:sz w:val="20"/>
          <w:szCs w:val="20"/>
          <w:lang w:eastAsia="en-US"/>
        </w:rPr>
        <w:t>a</w:t>
      </w:r>
      <w:r w:rsidRPr="00123D23">
        <w:rPr>
          <w:rFonts w:ascii="Cambria" w:hAnsi="Cambria"/>
          <w:sz w:val="20"/>
          <w:szCs w:val="20"/>
          <w:lang w:eastAsia="en-US"/>
        </w:rPr>
        <w:t> </w:t>
      </w:r>
      <w:r w:rsidRPr="00123D23">
        <w:rPr>
          <w:rFonts w:ascii="Cambria" w:hAnsi="Cambria"/>
          <w:sz w:val="20"/>
          <w:szCs w:val="20"/>
          <w:lang w:eastAsia="en-US"/>
        </w:rPr>
        <w:t>la</w:t>
      </w:r>
      <w:r w:rsidRPr="00123D23">
        <w:rPr>
          <w:rFonts w:ascii="Cambria" w:hAnsi="Cambria"/>
          <w:sz w:val="20"/>
          <w:szCs w:val="20"/>
          <w:lang w:eastAsia="en-US"/>
        </w:rPr>
        <w:t> </w:t>
      </w:r>
      <w:r w:rsidRPr="00123D23">
        <w:rPr>
          <w:rFonts w:ascii="Cambria" w:hAnsi="Cambria"/>
          <w:sz w:val="20"/>
          <w:szCs w:val="20"/>
          <w:lang w:eastAsia="en-US"/>
        </w:rPr>
        <w:t>pandemia</w:t>
      </w:r>
      <w:r w:rsidRPr="00123D23">
        <w:rPr>
          <w:rFonts w:ascii="Cambria" w:hAnsi="Cambria"/>
          <w:sz w:val="20"/>
          <w:szCs w:val="20"/>
          <w:lang w:eastAsia="en-US"/>
        </w:rPr>
        <w:t> </w:t>
      </w:r>
      <w:r w:rsidRPr="00123D23">
        <w:rPr>
          <w:rFonts w:ascii="Cambria" w:hAnsi="Cambria"/>
          <w:sz w:val="20"/>
          <w:szCs w:val="20"/>
          <w:lang w:eastAsia="en-US"/>
        </w:rPr>
        <w:t>del</w:t>
      </w:r>
      <w:r w:rsidRPr="00123D23">
        <w:rPr>
          <w:rFonts w:ascii="Cambria" w:hAnsi="Cambria"/>
          <w:sz w:val="20"/>
          <w:szCs w:val="20"/>
          <w:lang w:eastAsia="en-US"/>
        </w:rPr>
        <w:t> </w:t>
      </w:r>
      <w:r w:rsidRPr="00123D23">
        <w:rPr>
          <w:rFonts w:ascii="Cambria" w:hAnsi="Cambria"/>
          <w:sz w:val="20"/>
          <w:szCs w:val="20"/>
          <w:lang w:eastAsia="en-US"/>
        </w:rPr>
        <w:t>COVID-19.</w:t>
      </w:r>
    </w:p>
    <w:p w14:paraId="464ED59A" w14:textId="77777777" w:rsidR="00ED480D" w:rsidRPr="00123D23" w:rsidRDefault="00ED480D" w:rsidP="00ED480D">
      <w:pPr>
        <w:shd w:val="clear" w:color="auto" w:fill="FFFFFF"/>
        <w:spacing w:after="0"/>
        <w:jc w:val="both"/>
        <w:rPr>
          <w:rFonts w:ascii="Cambria" w:hAnsi="Cambria"/>
          <w:sz w:val="20"/>
          <w:szCs w:val="20"/>
          <w:lang w:eastAsia="en-US"/>
        </w:rPr>
      </w:pPr>
      <w:r w:rsidRPr="00123D23">
        <w:rPr>
          <w:rFonts w:ascii="Cambria" w:hAnsi="Cambria"/>
          <w:sz w:val="20"/>
          <w:szCs w:val="20"/>
          <w:lang w:eastAsia="en-US"/>
        </w:rPr>
        <w:t>En el segundo trimestre del año la economía cayó a su nivel más bajo de la historia moderna, con una recesión que, según las consultoras privadas, llegó hasta el 25 por ciento. El número es peor que el registrado en el mismo período del 2002, cuando hubo una baja del 13,5% entre abril y junio, después del -16,3% del primer trimestre.</w:t>
      </w:r>
    </w:p>
    <w:p w14:paraId="59653E4D" w14:textId="77777777" w:rsidR="00ED480D" w:rsidRPr="00123D23" w:rsidRDefault="00ED480D" w:rsidP="00ED480D">
      <w:pPr>
        <w:jc w:val="both"/>
        <w:rPr>
          <w:rFonts w:ascii="Cambria" w:hAnsi="Cambria"/>
          <w:sz w:val="20"/>
          <w:szCs w:val="20"/>
          <w:lang w:eastAsia="en-US"/>
        </w:rPr>
      </w:pPr>
      <w:r w:rsidRPr="00123D23">
        <w:rPr>
          <w:rFonts w:ascii="Cambria" w:hAnsi="Cambria"/>
          <w:sz w:val="20"/>
          <w:szCs w:val="20"/>
          <w:lang w:eastAsia="en-US"/>
        </w:rPr>
        <w:t>Una de las principales herramientas en la lucha contra la pandemia, fue el cierre de fronteras, y las limitaciones al movimiento y circulación de las personas. Sin embargo, el comercio internacional prosiguió -aunque con algunas mermas- gracias a los protocolos de prevención y manejo de casos de Covid-19.</w:t>
      </w:r>
    </w:p>
    <w:p w14:paraId="1C13E325" w14:textId="77777777" w:rsidR="00ED480D" w:rsidRPr="00123D23" w:rsidRDefault="00ED480D" w:rsidP="00ED480D">
      <w:pPr>
        <w:jc w:val="both"/>
        <w:rPr>
          <w:rFonts w:ascii="Cambria" w:hAnsi="Cambria"/>
          <w:sz w:val="20"/>
          <w:szCs w:val="20"/>
          <w:lang w:eastAsia="en-US"/>
        </w:rPr>
      </w:pPr>
      <w:r w:rsidRPr="00123D23">
        <w:rPr>
          <w:rFonts w:ascii="Cambria" w:hAnsi="Cambria"/>
          <w:sz w:val="20"/>
          <w:szCs w:val="20"/>
          <w:lang w:eastAsia="en-US"/>
        </w:rPr>
        <w:t>Un factor que pondera en la recuperación económica mundial es el bajo precio de la energía, resultante de la caída de consumo por el menor movimiento de personas durante la pandemia.</w:t>
      </w:r>
    </w:p>
    <w:p w14:paraId="41FDCDBF" w14:textId="77777777" w:rsidR="00ED480D" w:rsidRPr="00123D23" w:rsidRDefault="00ED480D" w:rsidP="00ED480D">
      <w:pPr>
        <w:jc w:val="both"/>
        <w:rPr>
          <w:rFonts w:ascii="Cambria" w:hAnsi="Cambria"/>
          <w:sz w:val="20"/>
          <w:szCs w:val="20"/>
          <w:lang w:eastAsia="en-US"/>
        </w:rPr>
      </w:pPr>
      <w:r w:rsidRPr="00123D23">
        <w:rPr>
          <w:rFonts w:ascii="Cambria" w:hAnsi="Cambria"/>
          <w:sz w:val="20"/>
          <w:szCs w:val="20"/>
          <w:lang w:eastAsia="en-US"/>
        </w:rPr>
        <w:lastRenderedPageBreak/>
        <w:t xml:space="preserve">En el ámbito agroeconómico, el impacto causado por la pandemia no fue similar al de otros sectores de la economía, la producción de granos y oleaginosas no se ha visto mayormente afectada, y el efecto inicial sobre la logística local e internacional debido a ciertas restricciones de circulación por COVID, hoy se encuentran mayormente solucionadas gracias a los protocolos de seguridad implementados por la industria. </w:t>
      </w:r>
    </w:p>
    <w:p w14:paraId="40CAE0EB" w14:textId="77777777" w:rsidR="00ED480D" w:rsidRPr="00123D23" w:rsidRDefault="00ED480D" w:rsidP="00ED480D">
      <w:pPr>
        <w:jc w:val="both"/>
        <w:rPr>
          <w:rFonts w:ascii="Cambria" w:hAnsi="Cambria"/>
          <w:sz w:val="20"/>
          <w:szCs w:val="20"/>
          <w:lang w:eastAsia="en-US"/>
        </w:rPr>
      </w:pPr>
      <w:r w:rsidRPr="00123D23">
        <w:rPr>
          <w:rFonts w:ascii="Cambria" w:hAnsi="Cambria"/>
          <w:sz w:val="20"/>
          <w:szCs w:val="20"/>
          <w:lang w:eastAsia="en-US"/>
        </w:rPr>
        <w:t>Desde Estados Unidos, soja y maíz avanzan hacia producciones muy cercanas al récord histórico, debido al muy buen clima en el que se desarrollan los cultivos. En Sudamérica, la creciente falta de precipitaciones debido al fortalecimiento del fenómeno La Niña, genera una gran incertidumbre en cuanto a la producción no sólo del trigo ya implantado, sino también de las próximas siembras de cultivos de gruesa, que deberán comenzar a partir del mes de septiembre.</w:t>
      </w:r>
    </w:p>
    <w:p w14:paraId="42236A9E" w14:textId="77777777" w:rsidR="00ED480D" w:rsidRPr="00123D23" w:rsidRDefault="00ED480D" w:rsidP="00ED480D">
      <w:pPr>
        <w:jc w:val="both"/>
        <w:rPr>
          <w:rFonts w:ascii="Cambria" w:hAnsi="Cambria"/>
          <w:sz w:val="20"/>
          <w:szCs w:val="20"/>
          <w:lang w:eastAsia="en-US"/>
        </w:rPr>
      </w:pPr>
      <w:r w:rsidRPr="00123D23">
        <w:rPr>
          <w:rFonts w:ascii="Cambria" w:hAnsi="Cambria"/>
          <w:sz w:val="20"/>
          <w:szCs w:val="20"/>
          <w:lang w:eastAsia="en-US"/>
        </w:rPr>
        <w:t xml:space="preserve">Respecto de la demanda de alimentos, el aumento del consumo hogareño ha generado algunos cambios en las fuentes de proteína y energía elegidas en algunas poblaciones. Esto lleva a un mayor consumo de aceites de soja y girasol, en detrimento del aceite de palma en Asia y Sudeste Asiático, beneficiando las exportaciones desde Argentina. </w:t>
      </w:r>
    </w:p>
    <w:p w14:paraId="63BE01AB" w14:textId="77777777" w:rsidR="00ED480D" w:rsidRPr="00123D23" w:rsidRDefault="00ED480D" w:rsidP="00ED480D">
      <w:pPr>
        <w:jc w:val="both"/>
        <w:rPr>
          <w:rFonts w:ascii="Cambria" w:hAnsi="Cambria"/>
          <w:sz w:val="20"/>
          <w:szCs w:val="20"/>
          <w:lang w:eastAsia="en-US"/>
        </w:rPr>
      </w:pPr>
      <w:r w:rsidRPr="00123D23">
        <w:rPr>
          <w:rFonts w:ascii="Cambria" w:hAnsi="Cambria"/>
          <w:sz w:val="20"/>
          <w:szCs w:val="20"/>
          <w:lang w:eastAsia="en-US"/>
        </w:rPr>
        <w:t xml:space="preserve">La rápida recuperación de la economía china hizo que la demanda de productos cárnicos superara la oferta actual. La producción de carne de cerdo, muy fuertemente afectada durante 2019 por la Fiebre Porcina Africana (ASF), se encuentra en franca recuperación, pero requiere aún de importaciones complementarias desde diversos países productores (ej. Estados Unidos, Brasil y Europa), hasta volver a alcanzar los niveles previos a la ASF. Es así </w:t>
      </w:r>
      <w:proofErr w:type="gramStart"/>
      <w:r w:rsidRPr="00123D23">
        <w:rPr>
          <w:rFonts w:ascii="Cambria" w:hAnsi="Cambria"/>
          <w:sz w:val="20"/>
          <w:szCs w:val="20"/>
          <w:lang w:eastAsia="en-US"/>
        </w:rPr>
        <w:t>que</w:t>
      </w:r>
      <w:proofErr w:type="gramEnd"/>
      <w:r w:rsidRPr="00123D23">
        <w:rPr>
          <w:rFonts w:ascii="Cambria" w:hAnsi="Cambria"/>
          <w:sz w:val="20"/>
          <w:szCs w:val="20"/>
          <w:lang w:eastAsia="en-US"/>
        </w:rPr>
        <w:t xml:space="preserve">, el mayor consumo de harina de soja en origen daría una oportunidad adicional a Argentina, cubriendo la demanda de algunos importadores de harina.  </w:t>
      </w:r>
    </w:p>
    <w:p w14:paraId="0B52E7E6" w14:textId="77777777" w:rsidR="00ED480D" w:rsidRPr="00123D23" w:rsidRDefault="00ED480D" w:rsidP="00ED480D">
      <w:pPr>
        <w:jc w:val="both"/>
        <w:rPr>
          <w:rFonts w:ascii="Cambria" w:hAnsi="Cambria"/>
          <w:sz w:val="20"/>
          <w:szCs w:val="20"/>
          <w:lang w:eastAsia="en-US"/>
        </w:rPr>
      </w:pPr>
      <w:bookmarkStart w:id="30" w:name="_Hlk47097629"/>
      <w:r w:rsidRPr="00123D23">
        <w:rPr>
          <w:rFonts w:ascii="Cambria" w:hAnsi="Cambria"/>
          <w:sz w:val="20"/>
          <w:szCs w:val="20"/>
          <w:lang w:eastAsia="en-US"/>
        </w:rPr>
        <w:t xml:space="preserve">La demanda mundial de alimentos continúa muy activa, dando muy buenas oportunidades a Argentina de participar en la exportación de prácticamente todos </w:t>
      </w:r>
      <w:r w:rsidRPr="00027A1F">
        <w:rPr>
          <w:rFonts w:ascii="Cambria" w:hAnsi="Cambria"/>
          <w:i/>
          <w:sz w:val="20"/>
          <w:szCs w:val="20"/>
          <w:lang w:eastAsia="en-US"/>
        </w:rPr>
        <w:t xml:space="preserve">commodities </w:t>
      </w:r>
      <w:r w:rsidRPr="00123D23">
        <w:rPr>
          <w:rFonts w:ascii="Cambria" w:hAnsi="Cambria"/>
          <w:sz w:val="20"/>
          <w:szCs w:val="20"/>
          <w:lang w:eastAsia="en-US"/>
        </w:rPr>
        <w:t xml:space="preserve">de interés de Molinos Agro.   </w:t>
      </w:r>
    </w:p>
    <w:bookmarkEnd w:id="30"/>
    <w:p w14:paraId="06970FD1" w14:textId="77777777" w:rsidR="00ED480D" w:rsidRPr="006F5C22" w:rsidRDefault="00ED480D" w:rsidP="00ED480D">
      <w:pPr>
        <w:jc w:val="both"/>
        <w:rPr>
          <w:lang w:eastAsia="en-US"/>
        </w:rPr>
      </w:pPr>
    </w:p>
    <w:p w14:paraId="6C466D4F" w14:textId="77777777" w:rsidR="00ED480D" w:rsidRPr="006F5C22" w:rsidRDefault="00ED480D" w:rsidP="00ED480D">
      <w:pPr>
        <w:jc w:val="both"/>
        <w:rPr>
          <w:rFonts w:ascii="Times New Roman" w:hAnsi="Times New Roman"/>
          <w:highlight w:val="yellow"/>
          <w:lang w:eastAsia="en-US"/>
        </w:rPr>
      </w:pPr>
      <w:r w:rsidRPr="00537C9D">
        <w:rPr>
          <w:noProof/>
          <w:lang w:val="es-AR"/>
        </w:rPr>
        <w:drawing>
          <wp:inline distT="0" distB="0" distL="0" distR="0" wp14:anchorId="48DCB296" wp14:editId="55BC066C">
            <wp:extent cx="5612130" cy="3672205"/>
            <wp:effectExtent l="0" t="0" r="7620" b="444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12130" cy="3672205"/>
                    </a:xfrm>
                    <a:prstGeom prst="rect">
                      <a:avLst/>
                    </a:prstGeom>
                    <a:noFill/>
                    <a:ln>
                      <a:noFill/>
                    </a:ln>
                  </pic:spPr>
                </pic:pic>
              </a:graphicData>
            </a:graphic>
          </wp:inline>
        </w:drawing>
      </w:r>
    </w:p>
    <w:p w14:paraId="64DC6C3A" w14:textId="77777777" w:rsidR="00ED480D" w:rsidRPr="006F5C22" w:rsidRDefault="00ED480D" w:rsidP="00ED480D">
      <w:pPr>
        <w:jc w:val="both"/>
        <w:rPr>
          <w:rFonts w:ascii="Garamond" w:hAnsi="Garamond"/>
          <w:sz w:val="20"/>
          <w:highlight w:val="yellow"/>
          <w:lang w:eastAsia="en-US"/>
        </w:rPr>
      </w:pPr>
    </w:p>
    <w:p w14:paraId="7730E913" w14:textId="77777777" w:rsidR="00ED480D" w:rsidRPr="005B081E" w:rsidRDefault="00ED480D" w:rsidP="000C02A3">
      <w:pPr>
        <w:numPr>
          <w:ilvl w:val="0"/>
          <w:numId w:val="40"/>
        </w:numPr>
        <w:spacing w:after="0"/>
        <w:jc w:val="both"/>
        <w:rPr>
          <w:rFonts w:ascii="Cambria" w:hAnsi="Cambria"/>
          <w:sz w:val="20"/>
          <w:szCs w:val="20"/>
          <w:lang w:eastAsia="en-US"/>
        </w:rPr>
      </w:pPr>
      <w:r w:rsidRPr="005B081E">
        <w:rPr>
          <w:rFonts w:ascii="Cambria" w:hAnsi="Cambria"/>
          <w:sz w:val="20"/>
          <w:szCs w:val="20"/>
          <w:lang w:eastAsia="en-US"/>
        </w:rPr>
        <w:t>Los saldos surgen de los estados financieros consolidados al 30 de junio de 2020 y se encuentra</w:t>
      </w:r>
      <w:r>
        <w:rPr>
          <w:rFonts w:ascii="Cambria" w:hAnsi="Cambria"/>
          <w:sz w:val="20"/>
          <w:szCs w:val="20"/>
          <w:lang w:eastAsia="en-US"/>
        </w:rPr>
        <w:t>n</w:t>
      </w:r>
      <w:r w:rsidRPr="005B081E">
        <w:rPr>
          <w:rFonts w:ascii="Cambria" w:hAnsi="Cambria"/>
          <w:sz w:val="20"/>
          <w:szCs w:val="20"/>
          <w:lang w:eastAsia="en-US"/>
        </w:rPr>
        <w:t xml:space="preserve"> reexpresados a moneda de dicha fecha.</w:t>
      </w:r>
    </w:p>
    <w:p w14:paraId="2A6A6F58" w14:textId="77777777" w:rsidR="00ED480D" w:rsidRPr="005B081E" w:rsidRDefault="00ED480D" w:rsidP="000C02A3">
      <w:pPr>
        <w:numPr>
          <w:ilvl w:val="0"/>
          <w:numId w:val="40"/>
        </w:numPr>
        <w:spacing w:after="0"/>
        <w:jc w:val="both"/>
        <w:rPr>
          <w:rFonts w:ascii="Cambria" w:hAnsi="Cambria"/>
          <w:sz w:val="20"/>
          <w:szCs w:val="20"/>
          <w:lang w:eastAsia="en-US"/>
        </w:rPr>
      </w:pPr>
      <w:r w:rsidRPr="005B081E">
        <w:rPr>
          <w:rFonts w:ascii="Cambria" w:hAnsi="Cambria"/>
          <w:sz w:val="20"/>
          <w:szCs w:val="20"/>
          <w:lang w:eastAsia="en-US"/>
        </w:rPr>
        <w:t>Las variaciones se presentan en términos absolutos. La suma de los subtotales y totales expuestos en los cuadros respectivos, deben considerar lo mencionado anteriormente.</w:t>
      </w:r>
    </w:p>
    <w:p w14:paraId="503E5D1B" w14:textId="77777777" w:rsidR="00ED480D" w:rsidRPr="006E4259" w:rsidRDefault="00ED480D" w:rsidP="00ED480D">
      <w:pPr>
        <w:jc w:val="both"/>
        <w:rPr>
          <w:b/>
          <w:i/>
        </w:rPr>
      </w:pPr>
    </w:p>
    <w:p w14:paraId="0386C25C" w14:textId="77777777" w:rsidR="00ED480D" w:rsidRPr="006F5C22" w:rsidRDefault="00ED480D" w:rsidP="00ED480D">
      <w:pPr>
        <w:jc w:val="both"/>
        <w:rPr>
          <w:rFonts w:ascii="Cambria" w:hAnsi="Cambria"/>
          <w:b/>
          <w:bCs/>
          <w:i/>
          <w:sz w:val="20"/>
          <w:szCs w:val="20"/>
          <w:lang w:eastAsia="en-US"/>
        </w:rPr>
      </w:pPr>
      <w:r w:rsidRPr="006F5C22">
        <w:rPr>
          <w:rFonts w:ascii="Cambria" w:hAnsi="Cambria"/>
          <w:b/>
          <w:bCs/>
          <w:i/>
          <w:sz w:val="20"/>
          <w:szCs w:val="20"/>
          <w:lang w:eastAsia="en-US"/>
        </w:rPr>
        <w:t>Ingreso de actividades ordinarias</w:t>
      </w:r>
    </w:p>
    <w:p w14:paraId="63DAE5F6" w14:textId="77777777" w:rsidR="00ED480D" w:rsidRDefault="00ED480D" w:rsidP="00ED480D">
      <w:pPr>
        <w:shd w:val="clear" w:color="auto" w:fill="FFFFFF"/>
        <w:spacing w:before="100" w:beforeAutospacing="1" w:after="120"/>
        <w:jc w:val="both"/>
        <w:rPr>
          <w:rFonts w:ascii="Cambria" w:hAnsi="Cambria" w:cs="Arial"/>
          <w:sz w:val="20"/>
          <w:szCs w:val="20"/>
          <w:lang w:eastAsia="en-US"/>
        </w:rPr>
      </w:pPr>
      <w:r w:rsidRPr="005B081E">
        <w:rPr>
          <w:rFonts w:ascii="Cambria" w:hAnsi="Cambria" w:cs="Arial"/>
          <w:sz w:val="20"/>
          <w:szCs w:val="20"/>
          <w:lang w:eastAsia="en-US"/>
        </w:rPr>
        <w:t>La Emisora logro ingresos por ventas por el periodo de tres meses finalizado en junio de 2020 por Ps. 39.937,7 millones, esto implicó un incremento del 2</w:t>
      </w:r>
      <w:r>
        <w:rPr>
          <w:rFonts w:ascii="Cambria" w:hAnsi="Cambria" w:cs="Arial"/>
          <w:sz w:val="20"/>
          <w:szCs w:val="20"/>
          <w:lang w:eastAsia="en-US"/>
        </w:rPr>
        <w:t>8</w:t>
      </w:r>
      <w:r w:rsidRPr="005B081E">
        <w:rPr>
          <w:rFonts w:ascii="Cambria" w:hAnsi="Cambria" w:cs="Arial"/>
          <w:sz w:val="20"/>
          <w:szCs w:val="20"/>
          <w:lang w:eastAsia="en-US"/>
        </w:rPr>
        <w:t>%, es decir Ps. 8.774,6 millones, con respecto al mismo periodo del ejercicio anterior, esto se debe principalmente al incremento en los volúmenes comercializados, los cuales alcanzaron, a junio de 2020, los 2 millones de toneladas de oleaginosas, sus subproductos industriales y cereales, esto significó, un mayor volumen del 26%, con respecto al mismo periodo del ejercicio anterior. Este aumento se produjo tanto en el complejo oleaginoso, donde la molienda de soja creció un 24%, como en los cereales, que tuvo un alza del 53%.</w:t>
      </w:r>
    </w:p>
    <w:p w14:paraId="5FB50474" w14:textId="77777777" w:rsidR="00ED480D" w:rsidRPr="003B1FCF" w:rsidRDefault="00ED480D" w:rsidP="00ED480D">
      <w:pPr>
        <w:shd w:val="clear" w:color="auto" w:fill="FFFFFF"/>
        <w:spacing w:before="100" w:beforeAutospacing="1" w:after="120"/>
        <w:jc w:val="both"/>
        <w:rPr>
          <w:rFonts w:ascii="Cambria" w:hAnsi="Cambria" w:cs="Arial"/>
          <w:i/>
          <w:sz w:val="20"/>
          <w:szCs w:val="20"/>
          <w:lang w:eastAsia="en-US"/>
        </w:rPr>
      </w:pPr>
      <w:r w:rsidRPr="003B1FCF">
        <w:rPr>
          <w:rFonts w:ascii="Cambria" w:hAnsi="Cambria" w:cs="Arial"/>
          <w:i/>
          <w:sz w:val="20"/>
          <w:szCs w:val="20"/>
          <w:lang w:eastAsia="en-US"/>
        </w:rPr>
        <w:t>Ingresos por área geográfica</w:t>
      </w:r>
    </w:p>
    <w:p w14:paraId="3E78BA2C" w14:textId="77777777" w:rsidR="00ED480D" w:rsidRPr="003B1FCF" w:rsidRDefault="00ED480D" w:rsidP="00ED480D">
      <w:pPr>
        <w:shd w:val="clear" w:color="auto" w:fill="FFFFFF"/>
        <w:spacing w:before="100" w:beforeAutospacing="1" w:after="120"/>
        <w:jc w:val="both"/>
        <w:rPr>
          <w:rFonts w:ascii="Cambria" w:hAnsi="Cambria" w:cs="Arial"/>
          <w:sz w:val="20"/>
          <w:szCs w:val="20"/>
          <w:lang w:eastAsia="en-US"/>
        </w:rPr>
      </w:pPr>
      <w:r w:rsidRPr="003B1FCF">
        <w:rPr>
          <w:rFonts w:ascii="Cambria" w:hAnsi="Cambria" w:cs="Arial"/>
          <w:sz w:val="20"/>
          <w:szCs w:val="20"/>
          <w:lang w:eastAsia="en-US"/>
        </w:rPr>
        <w:t>Los ingresos de la Emisora están concentrados en el mercado externo representando un 93% y un 90% de los ingresos por ventas en los periodos de tres meses finalizados el 30 de junio de 2020 y 2019, respectivamente.</w:t>
      </w:r>
    </w:p>
    <w:p w14:paraId="388AF045" w14:textId="77777777" w:rsidR="00ED480D" w:rsidRPr="003B1FCF" w:rsidRDefault="00ED480D" w:rsidP="00ED480D">
      <w:pPr>
        <w:shd w:val="clear" w:color="auto" w:fill="FFFFFF"/>
        <w:spacing w:before="100" w:beforeAutospacing="1" w:after="120"/>
        <w:jc w:val="both"/>
        <w:rPr>
          <w:rFonts w:ascii="Cambria" w:hAnsi="Cambria" w:cs="Arial"/>
          <w:b/>
          <w:bCs/>
          <w:sz w:val="20"/>
          <w:szCs w:val="20"/>
          <w:lang w:eastAsia="en-US"/>
        </w:rPr>
      </w:pPr>
      <w:r w:rsidRPr="003B1FCF">
        <w:rPr>
          <w:rFonts w:ascii="Cambria" w:hAnsi="Cambria" w:cs="Arial"/>
          <w:noProof/>
          <w:sz w:val="20"/>
          <w:szCs w:val="20"/>
          <w:lang w:val="es-AR"/>
        </w:rPr>
        <w:drawing>
          <wp:inline distT="0" distB="0" distL="0" distR="0" wp14:anchorId="294F520D" wp14:editId="630B7704">
            <wp:extent cx="5400040" cy="809625"/>
            <wp:effectExtent l="0" t="0" r="0"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00040" cy="809625"/>
                    </a:xfrm>
                    <a:prstGeom prst="rect">
                      <a:avLst/>
                    </a:prstGeom>
                    <a:noFill/>
                    <a:ln>
                      <a:noFill/>
                    </a:ln>
                  </pic:spPr>
                </pic:pic>
              </a:graphicData>
            </a:graphic>
          </wp:inline>
        </w:drawing>
      </w:r>
    </w:p>
    <w:p w14:paraId="45304914" w14:textId="77777777" w:rsidR="00ED480D" w:rsidRPr="003B1FCF" w:rsidRDefault="00ED480D" w:rsidP="000C02A3">
      <w:pPr>
        <w:numPr>
          <w:ilvl w:val="0"/>
          <w:numId w:val="49"/>
        </w:numPr>
        <w:shd w:val="clear" w:color="auto" w:fill="FFFFFF"/>
        <w:spacing w:before="100" w:beforeAutospacing="1" w:after="120"/>
        <w:jc w:val="both"/>
        <w:rPr>
          <w:rFonts w:ascii="Cambria" w:hAnsi="Cambria" w:cs="Arial"/>
          <w:sz w:val="20"/>
          <w:szCs w:val="20"/>
          <w:lang w:eastAsia="en-US"/>
        </w:rPr>
      </w:pPr>
      <w:r w:rsidRPr="003B1FCF">
        <w:rPr>
          <w:rFonts w:ascii="Cambria" w:hAnsi="Cambria" w:cs="Arial"/>
          <w:sz w:val="20"/>
          <w:szCs w:val="20"/>
          <w:lang w:eastAsia="en-US"/>
        </w:rPr>
        <w:t>Los saldos surgen de los estados financieros consolidados al 30 de junio de 2020 y se encuentra reexpresados a moneda de dicha fecha.</w:t>
      </w:r>
    </w:p>
    <w:p w14:paraId="68705F14" w14:textId="77777777" w:rsidR="00ED480D" w:rsidRPr="003B1FCF" w:rsidRDefault="00ED480D" w:rsidP="000C02A3">
      <w:pPr>
        <w:numPr>
          <w:ilvl w:val="0"/>
          <w:numId w:val="49"/>
        </w:numPr>
        <w:shd w:val="clear" w:color="auto" w:fill="FFFFFF"/>
        <w:spacing w:before="100" w:beforeAutospacing="1" w:after="120"/>
        <w:jc w:val="both"/>
        <w:rPr>
          <w:rFonts w:ascii="Cambria" w:hAnsi="Cambria" w:cs="Arial"/>
          <w:sz w:val="20"/>
          <w:szCs w:val="20"/>
          <w:lang w:eastAsia="en-US"/>
        </w:rPr>
      </w:pPr>
      <w:r w:rsidRPr="003B1FCF">
        <w:rPr>
          <w:rFonts w:ascii="Cambria" w:hAnsi="Cambria" w:cs="Arial"/>
          <w:sz w:val="20"/>
          <w:szCs w:val="20"/>
          <w:lang w:eastAsia="en-US"/>
        </w:rPr>
        <w:t>Las variaciones se presentan en términos absolutos. La suma de los subtotales y totales expuestos en los cuadros respectivos, deben considerar lo mencionado anteriormente.</w:t>
      </w:r>
    </w:p>
    <w:p w14:paraId="39FC61CD" w14:textId="77777777" w:rsidR="00ED480D" w:rsidRPr="006F5C22" w:rsidRDefault="00ED480D" w:rsidP="00ED480D">
      <w:pPr>
        <w:shd w:val="clear" w:color="auto" w:fill="FFFFFF"/>
        <w:spacing w:before="100" w:beforeAutospacing="1" w:after="120"/>
        <w:jc w:val="both"/>
        <w:rPr>
          <w:rFonts w:ascii="Cambria" w:hAnsi="Cambria" w:cs="Arial"/>
          <w:sz w:val="20"/>
          <w:szCs w:val="20"/>
          <w:lang w:eastAsia="en-US"/>
        </w:rPr>
      </w:pPr>
    </w:p>
    <w:p w14:paraId="2240BFA7" w14:textId="77777777" w:rsidR="00ED480D" w:rsidRPr="006F5C22" w:rsidRDefault="00ED480D" w:rsidP="00ED480D">
      <w:pPr>
        <w:jc w:val="both"/>
        <w:rPr>
          <w:rFonts w:ascii="Cambria" w:hAnsi="Cambria" w:cs="Arial"/>
          <w:b/>
          <w:bCs/>
          <w:sz w:val="20"/>
          <w:szCs w:val="20"/>
          <w:u w:val="single"/>
          <w:lang w:eastAsia="es-ES"/>
        </w:rPr>
      </w:pPr>
      <w:r w:rsidRPr="006F5C22">
        <w:rPr>
          <w:rFonts w:ascii="Cambria" w:hAnsi="Cambria" w:cs="Arial"/>
          <w:b/>
          <w:bCs/>
          <w:sz w:val="20"/>
          <w:szCs w:val="20"/>
          <w:u w:val="single"/>
          <w:lang w:eastAsia="es-ES"/>
        </w:rPr>
        <w:t>Gastos y resultado operativo</w:t>
      </w:r>
    </w:p>
    <w:p w14:paraId="29053CC4" w14:textId="77777777" w:rsidR="00ED480D" w:rsidRPr="005B081E" w:rsidRDefault="00ED480D" w:rsidP="00ED480D">
      <w:pPr>
        <w:jc w:val="both"/>
        <w:rPr>
          <w:rFonts w:ascii="Cambria" w:hAnsi="Cambria" w:cs="Arial"/>
          <w:sz w:val="20"/>
          <w:szCs w:val="20"/>
          <w:lang w:eastAsia="en-US"/>
        </w:rPr>
      </w:pPr>
      <w:r w:rsidRPr="005B081E">
        <w:rPr>
          <w:rFonts w:ascii="Cambria" w:hAnsi="Cambria" w:cs="Arial"/>
          <w:sz w:val="20"/>
          <w:szCs w:val="20"/>
          <w:lang w:eastAsia="en-US"/>
        </w:rPr>
        <w:t>El resultado operativo por el periodo de tres meses finalizado el 30 de junio de 2020, arrojo una ganancia neta de Ps. 682,1 millones, el cual, significo una mejora del 17% o bien de Ps. 100,5 millones, con respecto al mismo periodo del ejercicio anterior. Este aumento es producto principalmente del aumento en la ganancia bruta de un 18%, es decir por Ps 216,6 millones, que se dio producto al mayor volumen comercializado, neto de los gastos operativos del periodo.</w:t>
      </w:r>
    </w:p>
    <w:p w14:paraId="48F8EF8A" w14:textId="77777777" w:rsidR="00ED480D" w:rsidRPr="005B081E" w:rsidRDefault="00ED480D" w:rsidP="00ED480D">
      <w:pPr>
        <w:jc w:val="both"/>
        <w:rPr>
          <w:rFonts w:ascii="Cambria" w:hAnsi="Cambria" w:cs="Arial"/>
          <w:sz w:val="20"/>
          <w:szCs w:val="20"/>
          <w:lang w:eastAsia="en-US"/>
        </w:rPr>
      </w:pPr>
      <w:r w:rsidRPr="005B081E">
        <w:rPr>
          <w:rFonts w:ascii="Cambria" w:hAnsi="Cambria" w:cs="Arial"/>
          <w:sz w:val="20"/>
          <w:szCs w:val="20"/>
          <w:lang w:eastAsia="en-US"/>
        </w:rPr>
        <w:t>Los gastos administrativos y comerciales ascendieron a Ps. 707,6 millones al 30 de junio de 2020, los cuales se incrementaron en Ps. 114,5 millones, es decir un 19%, con respecto al mismo periodo del ejercicio anterior. A pesar de dicho aumento, estos gastos tuvieron una disminución en proporción a los ingresos por las ventas, los cuales pasaron de representar 1,9% de los ingresos por ventas a junio de 2019 a representar un 1,8% a junio de 2020.</w:t>
      </w:r>
    </w:p>
    <w:p w14:paraId="110A4DCA" w14:textId="77777777" w:rsidR="00ED480D" w:rsidRPr="005B081E" w:rsidRDefault="00ED480D" w:rsidP="00ED480D">
      <w:pPr>
        <w:jc w:val="both"/>
        <w:rPr>
          <w:rFonts w:ascii="Cambria" w:hAnsi="Cambria" w:cs="Arial"/>
          <w:sz w:val="20"/>
          <w:szCs w:val="20"/>
          <w:lang w:eastAsia="en-US"/>
        </w:rPr>
      </w:pPr>
      <w:r w:rsidRPr="005B081E">
        <w:rPr>
          <w:rFonts w:ascii="Cambria" w:hAnsi="Cambria" w:cs="Arial"/>
          <w:sz w:val="20"/>
          <w:szCs w:val="20"/>
          <w:lang w:eastAsia="en-US"/>
        </w:rPr>
        <w:t xml:space="preserve">El EBTDA alcanzó una ganancia de Ps. </w:t>
      </w:r>
      <w:r>
        <w:rPr>
          <w:rFonts w:ascii="Cambria" w:hAnsi="Cambria" w:cs="Arial"/>
          <w:sz w:val="20"/>
          <w:szCs w:val="20"/>
          <w:lang w:eastAsia="en-US"/>
        </w:rPr>
        <w:t>2.543</w:t>
      </w:r>
      <w:r w:rsidRPr="005B081E">
        <w:rPr>
          <w:rFonts w:ascii="Cambria" w:hAnsi="Cambria" w:cs="Arial"/>
          <w:sz w:val="20"/>
          <w:szCs w:val="20"/>
          <w:lang w:eastAsia="en-US"/>
        </w:rPr>
        <w:t>,</w:t>
      </w:r>
      <w:r>
        <w:rPr>
          <w:rFonts w:ascii="Cambria" w:hAnsi="Cambria" w:cs="Arial"/>
          <w:sz w:val="20"/>
          <w:szCs w:val="20"/>
          <w:lang w:eastAsia="en-US"/>
        </w:rPr>
        <w:t>6</w:t>
      </w:r>
      <w:r w:rsidRPr="005B081E">
        <w:rPr>
          <w:rFonts w:ascii="Cambria" w:hAnsi="Cambria" w:cs="Arial"/>
          <w:sz w:val="20"/>
          <w:szCs w:val="20"/>
          <w:lang w:eastAsia="en-US"/>
        </w:rPr>
        <w:t xml:space="preserve"> millones, es decir, un incremento de Ps. </w:t>
      </w:r>
      <w:r>
        <w:rPr>
          <w:rFonts w:ascii="Cambria" w:hAnsi="Cambria" w:cs="Arial"/>
          <w:sz w:val="20"/>
          <w:szCs w:val="20"/>
          <w:lang w:eastAsia="en-US"/>
        </w:rPr>
        <w:t xml:space="preserve">1.282,5 </w:t>
      </w:r>
      <w:r w:rsidRPr="005B081E">
        <w:rPr>
          <w:rFonts w:ascii="Cambria" w:hAnsi="Cambria" w:cs="Arial"/>
          <w:sz w:val="20"/>
          <w:szCs w:val="20"/>
          <w:lang w:eastAsia="en-US"/>
        </w:rPr>
        <w:t xml:space="preserve">millones, </w:t>
      </w:r>
      <w:r>
        <w:rPr>
          <w:rFonts w:ascii="Cambria" w:hAnsi="Cambria" w:cs="Arial"/>
          <w:sz w:val="20"/>
          <w:szCs w:val="20"/>
          <w:lang w:eastAsia="en-US"/>
        </w:rPr>
        <w:t>esto fue</w:t>
      </w:r>
      <w:r w:rsidRPr="005B081E">
        <w:rPr>
          <w:rFonts w:ascii="Cambria" w:hAnsi="Cambria" w:cs="Arial"/>
          <w:sz w:val="20"/>
          <w:szCs w:val="20"/>
          <w:lang w:eastAsia="en-US"/>
        </w:rPr>
        <w:t xml:space="preserve"> un </w:t>
      </w:r>
      <w:r>
        <w:rPr>
          <w:rFonts w:ascii="Cambria" w:hAnsi="Cambria" w:cs="Arial"/>
          <w:sz w:val="20"/>
          <w:szCs w:val="20"/>
          <w:lang w:eastAsia="en-US"/>
        </w:rPr>
        <w:t>102</w:t>
      </w:r>
      <w:r w:rsidRPr="005B081E">
        <w:rPr>
          <w:rFonts w:ascii="Cambria" w:hAnsi="Cambria" w:cs="Arial"/>
          <w:sz w:val="20"/>
          <w:szCs w:val="20"/>
          <w:lang w:eastAsia="en-US"/>
        </w:rPr>
        <w:t>%</w:t>
      </w:r>
      <w:r>
        <w:rPr>
          <w:rFonts w:ascii="Cambria" w:hAnsi="Cambria" w:cs="Arial"/>
          <w:sz w:val="20"/>
          <w:szCs w:val="20"/>
          <w:lang w:eastAsia="en-US"/>
        </w:rPr>
        <w:t xml:space="preserve"> más</w:t>
      </w:r>
      <w:r w:rsidRPr="005B081E">
        <w:rPr>
          <w:rFonts w:ascii="Cambria" w:hAnsi="Cambria" w:cs="Arial"/>
          <w:sz w:val="20"/>
          <w:szCs w:val="20"/>
          <w:lang w:eastAsia="en-US"/>
        </w:rPr>
        <w:t xml:space="preserve">, respecto al mismo periodo del ejercicio anterior, el cual está en línea </w:t>
      </w:r>
      <w:r w:rsidRPr="005B081E">
        <w:rPr>
          <w:rFonts w:ascii="Cambria" w:hAnsi="Cambria" w:cs="Arial"/>
          <w:sz w:val="20"/>
          <w:szCs w:val="20"/>
          <w:lang w:eastAsia="en-US"/>
        </w:rPr>
        <w:lastRenderedPageBreak/>
        <w:t>con la mejora en el margen bruto, neto del aumento en los gastos operativos</w:t>
      </w:r>
      <w:r>
        <w:rPr>
          <w:rFonts w:ascii="Cambria" w:hAnsi="Cambria" w:cs="Arial"/>
          <w:sz w:val="20"/>
          <w:szCs w:val="20"/>
          <w:lang w:eastAsia="en-US"/>
        </w:rPr>
        <w:t xml:space="preserve"> y la excelente performance financiera</w:t>
      </w:r>
      <w:r w:rsidRPr="005B081E">
        <w:rPr>
          <w:rFonts w:ascii="Cambria" w:hAnsi="Cambria" w:cs="Arial"/>
          <w:sz w:val="20"/>
          <w:szCs w:val="20"/>
          <w:lang w:eastAsia="en-US"/>
        </w:rPr>
        <w:t xml:space="preserve">.  </w:t>
      </w:r>
    </w:p>
    <w:p w14:paraId="5356EAE4" w14:textId="77777777" w:rsidR="00ED480D" w:rsidRPr="006F5C22" w:rsidRDefault="00ED480D" w:rsidP="00ED480D">
      <w:pPr>
        <w:jc w:val="both"/>
        <w:rPr>
          <w:rFonts w:ascii="Cambria" w:hAnsi="Cambria" w:cs="Arial"/>
          <w:b/>
          <w:bCs/>
          <w:sz w:val="20"/>
          <w:szCs w:val="20"/>
          <w:u w:val="single"/>
          <w:lang w:eastAsia="es-ES"/>
        </w:rPr>
      </w:pPr>
      <w:r w:rsidRPr="006F5C22">
        <w:rPr>
          <w:rFonts w:ascii="Cambria" w:hAnsi="Cambria" w:cs="Arial"/>
          <w:b/>
          <w:bCs/>
          <w:sz w:val="20"/>
          <w:szCs w:val="20"/>
          <w:u w:val="single"/>
          <w:lang w:eastAsia="es-ES"/>
        </w:rPr>
        <w:t>Resultados financieros netos</w:t>
      </w:r>
    </w:p>
    <w:p w14:paraId="487E029F" w14:textId="77777777" w:rsidR="00ED480D" w:rsidRPr="005B081E" w:rsidRDefault="00ED480D" w:rsidP="00ED480D">
      <w:pPr>
        <w:jc w:val="both"/>
        <w:rPr>
          <w:rFonts w:ascii="Cambria" w:hAnsi="Cambria" w:cs="Arial"/>
          <w:sz w:val="20"/>
          <w:szCs w:val="20"/>
          <w:lang w:eastAsia="en-US"/>
        </w:rPr>
      </w:pPr>
      <w:r w:rsidRPr="005B081E">
        <w:rPr>
          <w:rFonts w:ascii="Cambria" w:hAnsi="Cambria" w:cs="Arial"/>
          <w:sz w:val="20"/>
          <w:szCs w:val="20"/>
          <w:lang w:eastAsia="en-US"/>
        </w:rPr>
        <w:t>Los resultados financieros netos generaron en el periodo finalizado el 30 de junio de 2020 una ganancia neta de Ps. 1.730,1 millones, los cuales, representan un aumento con respecto al mismo periodo del ejercicio anterior de Ps. 1.161,9 millones, esto se debe principalmente a mayores rendimientos en las colocaciones transitorias y en las operaciones de cobertura.</w:t>
      </w:r>
    </w:p>
    <w:p w14:paraId="253766C7" w14:textId="77777777" w:rsidR="00ED480D" w:rsidRPr="006F5C22" w:rsidRDefault="00ED480D" w:rsidP="00ED480D">
      <w:pPr>
        <w:jc w:val="both"/>
        <w:rPr>
          <w:rFonts w:ascii="Cambria" w:hAnsi="Cambria"/>
          <w:sz w:val="20"/>
          <w:szCs w:val="20"/>
          <w:highlight w:val="yellow"/>
          <w:lang w:eastAsia="en-US"/>
        </w:rPr>
      </w:pPr>
      <w:r w:rsidRPr="006F5C22">
        <w:rPr>
          <w:rFonts w:ascii="Cambria" w:hAnsi="Cambria" w:cs="Arial"/>
          <w:b/>
          <w:bCs/>
          <w:sz w:val="20"/>
          <w:szCs w:val="20"/>
          <w:u w:val="single"/>
          <w:lang w:eastAsia="es-ES"/>
        </w:rPr>
        <w:t>Impuesto a las ganancias</w:t>
      </w:r>
    </w:p>
    <w:p w14:paraId="596EB20A" w14:textId="77777777" w:rsidR="00ED480D" w:rsidRPr="005B081E" w:rsidRDefault="00ED480D" w:rsidP="00ED480D">
      <w:pPr>
        <w:jc w:val="both"/>
        <w:rPr>
          <w:rFonts w:ascii="Cambria" w:hAnsi="Cambria"/>
          <w:sz w:val="20"/>
          <w:szCs w:val="20"/>
          <w:highlight w:val="yellow"/>
          <w:lang w:eastAsia="en-US"/>
        </w:rPr>
      </w:pPr>
      <w:r w:rsidRPr="005B081E">
        <w:rPr>
          <w:rFonts w:ascii="Cambria" w:hAnsi="Cambria" w:cs="Arial"/>
          <w:sz w:val="20"/>
          <w:szCs w:val="20"/>
          <w:lang w:eastAsia="en-US"/>
        </w:rPr>
        <w:t xml:space="preserve">El cargo por impuesto a las ganancias por el periodo de tres meses finalizado el 30 de junio de 2020 fue de Ps. 964,9 millones, los cuales, representan un aumento con respecto al mismo periodo del ejercicio anterior de Ps. 657,6 millones, este mayor cargo se debe principalmente a que la Emisora tuvo mayores pérdidas en su subsidiaria, con respecto al mismo periodo del ejercicio anterior, las cuales no son deducibles impositivamente. </w:t>
      </w:r>
    </w:p>
    <w:p w14:paraId="06B109FF" w14:textId="77777777" w:rsidR="00ED480D" w:rsidRPr="006F5C22" w:rsidRDefault="00ED480D" w:rsidP="00ED480D">
      <w:pPr>
        <w:jc w:val="both"/>
        <w:rPr>
          <w:rFonts w:ascii="Cambria" w:hAnsi="Cambria" w:cs="Arial"/>
          <w:b/>
          <w:bCs/>
          <w:sz w:val="20"/>
          <w:szCs w:val="20"/>
          <w:u w:val="single"/>
          <w:lang w:eastAsia="es-ES"/>
        </w:rPr>
      </w:pPr>
      <w:r w:rsidRPr="006F5C22">
        <w:rPr>
          <w:rFonts w:ascii="Cambria" w:hAnsi="Cambria" w:cs="Arial"/>
          <w:b/>
          <w:bCs/>
          <w:sz w:val="20"/>
          <w:szCs w:val="20"/>
          <w:u w:val="single"/>
          <w:lang w:eastAsia="es-ES"/>
        </w:rPr>
        <w:t>Resultado neto del periodo</w:t>
      </w:r>
    </w:p>
    <w:p w14:paraId="50D91F60" w14:textId="77777777" w:rsidR="00ED480D" w:rsidRDefault="00ED480D" w:rsidP="00ED480D">
      <w:pPr>
        <w:jc w:val="both"/>
        <w:rPr>
          <w:rFonts w:ascii="Cambria" w:hAnsi="Cambria" w:cs="Arial"/>
          <w:sz w:val="20"/>
          <w:szCs w:val="20"/>
          <w:lang w:eastAsia="en-US"/>
        </w:rPr>
      </w:pPr>
      <w:r w:rsidRPr="005B081E">
        <w:rPr>
          <w:rFonts w:ascii="Cambria" w:hAnsi="Cambria" w:cs="Arial"/>
          <w:sz w:val="20"/>
          <w:szCs w:val="20"/>
          <w:lang w:eastAsia="en-US"/>
        </w:rPr>
        <w:t>El resultado neto del periodo finalizado en junio de 2020 arrojó una ganancia neta de Ps. 1.447,3 millones, lo que representa un incremento del 72%, respecto del mismo periodo del año</w:t>
      </w:r>
      <w:r>
        <w:rPr>
          <w:rFonts w:ascii="Cambria" w:hAnsi="Cambria" w:cs="Arial"/>
          <w:sz w:val="20"/>
          <w:szCs w:val="20"/>
          <w:lang w:eastAsia="en-US"/>
        </w:rPr>
        <w:t xml:space="preserve"> </w:t>
      </w:r>
      <w:r w:rsidRPr="003B1FCF">
        <w:rPr>
          <w:rFonts w:ascii="Cambria" w:hAnsi="Cambria" w:cs="Arial"/>
          <w:sz w:val="20"/>
          <w:szCs w:val="20"/>
          <w:lang w:eastAsia="en-US"/>
        </w:rPr>
        <w:t>anterior</w:t>
      </w:r>
      <w:r w:rsidRPr="005B081E">
        <w:rPr>
          <w:rFonts w:ascii="Cambria" w:hAnsi="Cambria" w:cs="Arial"/>
          <w:sz w:val="20"/>
          <w:szCs w:val="20"/>
          <w:lang w:eastAsia="en-US"/>
        </w:rPr>
        <w:t xml:space="preserve">, producto principalmente de una mayor ganancia bruta, producto del aumento en los volúmenes comercializados e incrementos en los rendimientos financieros, compensado en parte, por un mayor cargo en impuesto a las ganancias. </w:t>
      </w:r>
    </w:p>
    <w:p w14:paraId="3495985E" w14:textId="77777777" w:rsidR="00ED480D" w:rsidRPr="003B1FCF" w:rsidRDefault="00ED480D" w:rsidP="00ED480D">
      <w:pPr>
        <w:jc w:val="both"/>
        <w:rPr>
          <w:rFonts w:ascii="Cambria" w:hAnsi="Cambria"/>
          <w:sz w:val="20"/>
          <w:szCs w:val="20"/>
          <w:lang w:eastAsia="en-US"/>
        </w:rPr>
      </w:pPr>
      <w:r w:rsidRPr="003B1FCF">
        <w:rPr>
          <w:rFonts w:ascii="Cambria" w:hAnsi="Cambria"/>
          <w:sz w:val="20"/>
          <w:szCs w:val="20"/>
          <w:lang w:eastAsia="en-US"/>
        </w:rPr>
        <w:t>Cabe destacar que las operaciones del presente trimestre transcurrieron durante un período afectado enteramente por la pandemia del Covid-19, obligando a la Sociedad a implementar rápidamente los protocolos sanitarios para cuidar la salud de su personal y mantener activas las operaciones, lo que permitió mantener el ritmo de recepción, molienda y embarque, alcanzando los volúmenes de comercialización mencionados anteriormente.</w:t>
      </w:r>
    </w:p>
    <w:p w14:paraId="6A03169A" w14:textId="77777777" w:rsidR="00ED480D" w:rsidRPr="006F5C22" w:rsidRDefault="00ED480D" w:rsidP="00ED480D">
      <w:pPr>
        <w:jc w:val="both"/>
        <w:rPr>
          <w:rFonts w:ascii="Cambria" w:hAnsi="Cambria" w:cs="Arial"/>
          <w:b/>
          <w:bCs/>
          <w:sz w:val="20"/>
          <w:szCs w:val="20"/>
          <w:u w:val="single"/>
          <w:lang w:eastAsia="es-ES"/>
        </w:rPr>
      </w:pPr>
      <w:r w:rsidRPr="006F5C22">
        <w:rPr>
          <w:rFonts w:ascii="Cambria" w:hAnsi="Cambria" w:cs="Arial"/>
          <w:b/>
          <w:bCs/>
          <w:sz w:val="20"/>
          <w:szCs w:val="20"/>
          <w:u w:val="single"/>
          <w:lang w:eastAsia="es-ES"/>
        </w:rPr>
        <w:t>Variaciones patrimoniales entre el 30 de junio de 2020 y del 2019</w:t>
      </w:r>
    </w:p>
    <w:p w14:paraId="13870497" w14:textId="77777777" w:rsidR="00ED480D" w:rsidRPr="006F5C22" w:rsidRDefault="00ED480D" w:rsidP="00ED480D">
      <w:pPr>
        <w:jc w:val="both"/>
        <w:rPr>
          <w:rFonts w:ascii="Garamond" w:hAnsi="Garamond"/>
          <w:sz w:val="20"/>
          <w:highlight w:val="yellow"/>
          <w:lang w:eastAsia="en-US"/>
        </w:rPr>
      </w:pPr>
      <w:r w:rsidRPr="009109D0">
        <w:rPr>
          <w:noProof/>
          <w:lang w:val="es-AR"/>
        </w:rPr>
        <w:lastRenderedPageBreak/>
        <w:drawing>
          <wp:inline distT="0" distB="0" distL="0" distR="0" wp14:anchorId="49E1BA6E" wp14:editId="73B9EFF7">
            <wp:extent cx="5400040" cy="413893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00040" cy="4138930"/>
                    </a:xfrm>
                    <a:prstGeom prst="rect">
                      <a:avLst/>
                    </a:prstGeom>
                    <a:noFill/>
                    <a:ln>
                      <a:noFill/>
                    </a:ln>
                  </pic:spPr>
                </pic:pic>
              </a:graphicData>
            </a:graphic>
          </wp:inline>
        </w:drawing>
      </w:r>
      <w:r w:rsidRPr="00DF0034" w:rsidDel="00DF0034">
        <w:t xml:space="preserve"> </w:t>
      </w:r>
    </w:p>
    <w:p w14:paraId="3DC7C4E3" w14:textId="77777777" w:rsidR="00ED480D" w:rsidRPr="006F5C22" w:rsidRDefault="00ED480D" w:rsidP="000C02A3">
      <w:pPr>
        <w:numPr>
          <w:ilvl w:val="0"/>
          <w:numId w:val="41"/>
        </w:numPr>
        <w:spacing w:after="0"/>
        <w:jc w:val="both"/>
        <w:rPr>
          <w:rFonts w:ascii="Cambria" w:hAnsi="Cambria"/>
          <w:sz w:val="20"/>
          <w:szCs w:val="20"/>
          <w:lang w:eastAsia="en-US"/>
        </w:rPr>
      </w:pPr>
      <w:r w:rsidRPr="006F5C22">
        <w:rPr>
          <w:rFonts w:ascii="Cambria" w:hAnsi="Cambria"/>
          <w:sz w:val="20"/>
          <w:szCs w:val="20"/>
          <w:lang w:eastAsia="en-US"/>
        </w:rPr>
        <w:t>Los saldos surgen de los estados financieros consolidados al 30 de junio de 2020 y se encuentra</w:t>
      </w:r>
      <w:r>
        <w:rPr>
          <w:rFonts w:ascii="Cambria" w:hAnsi="Cambria"/>
          <w:sz w:val="20"/>
          <w:szCs w:val="20"/>
          <w:lang w:eastAsia="en-US"/>
        </w:rPr>
        <w:t>n</w:t>
      </w:r>
      <w:r w:rsidRPr="006F5C22">
        <w:rPr>
          <w:rFonts w:ascii="Cambria" w:hAnsi="Cambria"/>
          <w:sz w:val="20"/>
          <w:szCs w:val="20"/>
          <w:lang w:eastAsia="en-US"/>
        </w:rPr>
        <w:t xml:space="preserve"> reexpresados en moneda de dicha fecha.</w:t>
      </w:r>
    </w:p>
    <w:p w14:paraId="33D8FC80" w14:textId="77777777" w:rsidR="00ED480D" w:rsidRPr="006F5C22" w:rsidRDefault="00ED480D" w:rsidP="000C02A3">
      <w:pPr>
        <w:numPr>
          <w:ilvl w:val="0"/>
          <w:numId w:val="41"/>
        </w:numPr>
        <w:spacing w:after="0"/>
        <w:jc w:val="both"/>
        <w:rPr>
          <w:rFonts w:ascii="Cambria" w:hAnsi="Cambria"/>
          <w:sz w:val="20"/>
          <w:szCs w:val="20"/>
          <w:lang w:eastAsia="en-US"/>
        </w:rPr>
      </w:pPr>
      <w:r w:rsidRPr="006F5C22">
        <w:rPr>
          <w:rFonts w:ascii="Cambria" w:hAnsi="Cambria"/>
          <w:sz w:val="20"/>
          <w:szCs w:val="20"/>
          <w:lang w:eastAsia="en-US"/>
        </w:rPr>
        <w:t>Los saldos surgen de los estados financieros consolidados al 30 de junio de 2019 y se encuentra</w:t>
      </w:r>
      <w:r>
        <w:rPr>
          <w:rFonts w:ascii="Cambria" w:hAnsi="Cambria"/>
          <w:sz w:val="20"/>
          <w:szCs w:val="20"/>
          <w:lang w:eastAsia="en-US"/>
        </w:rPr>
        <w:t>n</w:t>
      </w:r>
      <w:r w:rsidRPr="006F5C22">
        <w:rPr>
          <w:rFonts w:ascii="Cambria" w:hAnsi="Cambria"/>
          <w:sz w:val="20"/>
          <w:szCs w:val="20"/>
          <w:lang w:eastAsia="en-US"/>
        </w:rPr>
        <w:t xml:space="preserve"> reexpresados en moneda del 30 de junio de 2020.</w:t>
      </w:r>
    </w:p>
    <w:p w14:paraId="265B91A5" w14:textId="77777777" w:rsidR="00ED480D" w:rsidRPr="006F5C22" w:rsidRDefault="00ED480D" w:rsidP="000C02A3">
      <w:pPr>
        <w:numPr>
          <w:ilvl w:val="0"/>
          <w:numId w:val="41"/>
        </w:numPr>
        <w:spacing w:after="0"/>
        <w:jc w:val="both"/>
        <w:rPr>
          <w:rFonts w:ascii="Cambria" w:hAnsi="Cambria"/>
          <w:sz w:val="20"/>
          <w:szCs w:val="20"/>
          <w:lang w:eastAsia="en-US"/>
        </w:rPr>
      </w:pPr>
      <w:r w:rsidRPr="006F5C22">
        <w:rPr>
          <w:rFonts w:ascii="Cambria" w:hAnsi="Cambria"/>
          <w:sz w:val="20"/>
          <w:szCs w:val="20"/>
          <w:lang w:eastAsia="en-US"/>
        </w:rPr>
        <w:t>Las variaciones se presentan en términos absolutos. La suma de los subtotales y totales expuestos en los cuadros respectivos, deben considerar lo mencionado anteriormente.</w:t>
      </w:r>
    </w:p>
    <w:p w14:paraId="21EF23EF" w14:textId="77777777" w:rsidR="00ED480D" w:rsidRPr="006F5C22" w:rsidRDefault="00ED480D" w:rsidP="00ED480D">
      <w:pPr>
        <w:jc w:val="both"/>
        <w:rPr>
          <w:rFonts w:ascii="Garamond" w:hAnsi="Garamond"/>
          <w:b/>
          <w:sz w:val="20"/>
          <w:highlight w:val="yellow"/>
          <w:lang w:eastAsia="en-US"/>
        </w:rPr>
      </w:pPr>
    </w:p>
    <w:p w14:paraId="6E425C1E" w14:textId="77777777" w:rsidR="00ED480D" w:rsidRPr="005B081E" w:rsidRDefault="00ED480D" w:rsidP="00ED480D">
      <w:pPr>
        <w:jc w:val="both"/>
        <w:rPr>
          <w:rFonts w:ascii="Cambria" w:hAnsi="Cambria"/>
          <w:sz w:val="20"/>
          <w:szCs w:val="20"/>
          <w:lang w:eastAsia="en-US"/>
        </w:rPr>
      </w:pPr>
      <w:r w:rsidRPr="006F5C22">
        <w:rPr>
          <w:rFonts w:ascii="Cambria" w:hAnsi="Cambria"/>
          <w:b/>
          <w:sz w:val="20"/>
          <w:szCs w:val="20"/>
          <w:lang w:eastAsia="en-US"/>
        </w:rPr>
        <w:t>-Cuentas por cobrar comerciales</w:t>
      </w:r>
      <w:r w:rsidRPr="006F5C22">
        <w:rPr>
          <w:rFonts w:ascii="Cambria" w:hAnsi="Cambria"/>
          <w:sz w:val="20"/>
          <w:szCs w:val="20"/>
          <w:lang w:eastAsia="en-US"/>
        </w:rPr>
        <w:t xml:space="preserve">. </w:t>
      </w:r>
      <w:r w:rsidRPr="005B081E">
        <w:rPr>
          <w:rFonts w:ascii="Cambria" w:hAnsi="Cambria"/>
          <w:sz w:val="20"/>
          <w:szCs w:val="20"/>
          <w:lang w:eastAsia="en-US"/>
        </w:rPr>
        <w:t>los créditos por venta se incrementaron en un 44%, es decir Ps. 2.189,1 millones, al 30 de junio de 2020, respecto al mismo periodo del ejercicio anterior. El aumento se debe principalmente al incremento en los volúmenes de ventas y en menor medida al efecto de conversión de los saldos de su moneda funcional a los pesos argentinos.</w:t>
      </w:r>
    </w:p>
    <w:p w14:paraId="02D4D201" w14:textId="77777777" w:rsidR="00ED480D" w:rsidRPr="005B081E" w:rsidRDefault="00ED480D" w:rsidP="00ED480D">
      <w:pPr>
        <w:shd w:val="clear" w:color="auto" w:fill="FFFFFF"/>
        <w:spacing w:after="0"/>
        <w:jc w:val="both"/>
        <w:textAlignment w:val="baseline"/>
        <w:rPr>
          <w:rFonts w:ascii="Cambria" w:hAnsi="Cambria" w:cs="Arial"/>
          <w:sz w:val="20"/>
          <w:szCs w:val="20"/>
          <w:lang w:eastAsia="en-US"/>
        </w:rPr>
      </w:pPr>
      <w:r w:rsidRPr="006F5C22">
        <w:rPr>
          <w:rFonts w:ascii="Cambria" w:hAnsi="Cambria"/>
          <w:b/>
          <w:sz w:val="20"/>
          <w:szCs w:val="20"/>
          <w:lang w:eastAsia="en-US"/>
        </w:rPr>
        <w:t>-Créditos impositivos y aduaneros</w:t>
      </w:r>
      <w:r w:rsidRPr="006F5C22">
        <w:rPr>
          <w:rFonts w:ascii="Cambria" w:hAnsi="Cambria"/>
          <w:sz w:val="20"/>
          <w:szCs w:val="20"/>
          <w:lang w:eastAsia="en-US"/>
        </w:rPr>
        <w:t xml:space="preserve">. </w:t>
      </w:r>
      <w:r w:rsidRPr="005B081E">
        <w:rPr>
          <w:rFonts w:ascii="Cambria" w:hAnsi="Cambria"/>
          <w:sz w:val="20"/>
          <w:szCs w:val="20"/>
          <w:lang w:eastAsia="en-US"/>
        </w:rPr>
        <w:t xml:space="preserve">tuvieron un aumento de Ps. 1.335,5 millones, es decir pasaron de ser Ps. 3.010,4 millones al 30 de junio de 2019 a ser Ps. 4.345,9 millones al 30 de junio de 2020, esto se debe principalmente </w:t>
      </w:r>
      <w:r w:rsidRPr="005B081E">
        <w:rPr>
          <w:rFonts w:ascii="Cambria" w:hAnsi="Cambria" w:cs="Arial"/>
          <w:sz w:val="20"/>
          <w:szCs w:val="20"/>
          <w:lang w:eastAsia="en-US"/>
        </w:rPr>
        <w:t>al incremento en el saldo de los pagos anticipados por las retenciones a las exportaciones y en menor medida a los efectos de la conversión.</w:t>
      </w:r>
    </w:p>
    <w:p w14:paraId="39892171" w14:textId="77777777" w:rsidR="00ED480D" w:rsidRPr="005B081E" w:rsidRDefault="00ED480D" w:rsidP="00ED480D">
      <w:pPr>
        <w:shd w:val="clear" w:color="auto" w:fill="FFFFFF"/>
        <w:spacing w:after="0"/>
        <w:jc w:val="both"/>
        <w:textAlignment w:val="baseline"/>
        <w:rPr>
          <w:rFonts w:ascii="Cambria" w:hAnsi="Cambria" w:cs="Arial"/>
          <w:sz w:val="20"/>
          <w:szCs w:val="20"/>
          <w:lang w:eastAsia="en-US"/>
        </w:rPr>
      </w:pPr>
    </w:p>
    <w:p w14:paraId="5CD4C4EB" w14:textId="77777777" w:rsidR="00ED480D" w:rsidRPr="005B081E" w:rsidRDefault="00ED480D" w:rsidP="00ED480D">
      <w:pPr>
        <w:jc w:val="both"/>
        <w:rPr>
          <w:rFonts w:ascii="Cambria" w:hAnsi="Cambria"/>
          <w:sz w:val="20"/>
          <w:szCs w:val="20"/>
          <w:lang w:eastAsia="en-US"/>
        </w:rPr>
      </w:pPr>
      <w:r w:rsidRPr="006F5C22">
        <w:rPr>
          <w:rFonts w:ascii="Cambria" w:hAnsi="Cambria"/>
          <w:b/>
          <w:sz w:val="20"/>
          <w:szCs w:val="20"/>
          <w:lang w:eastAsia="en-US"/>
        </w:rPr>
        <w:t xml:space="preserve">-Otros créditos financieros: </w:t>
      </w:r>
      <w:r w:rsidRPr="006F5C22">
        <w:rPr>
          <w:rFonts w:ascii="Cambria" w:hAnsi="Cambria"/>
          <w:bCs/>
          <w:sz w:val="20"/>
          <w:szCs w:val="20"/>
          <w:lang w:eastAsia="en-US"/>
        </w:rPr>
        <w:t xml:space="preserve"> </w:t>
      </w:r>
      <w:r w:rsidRPr="005B081E">
        <w:rPr>
          <w:rFonts w:ascii="Cambria" w:hAnsi="Cambria"/>
          <w:sz w:val="20"/>
          <w:szCs w:val="20"/>
          <w:lang w:eastAsia="en-US"/>
        </w:rPr>
        <w:t>disminuyen en Ps. 394 millones, al 30 de junio de 2020, con respecto al mismo periodo del ejercicio anterior, pasando de Ps. 1.760,5 millones en junio de 2019 a Ps. 1.366,5 millones en junio de 2020, este debe principalmente a la disminución en los saldos indisponibles de operaciones de futuros y un menor saldo por cobrar con sociedades relacionadas a la Emisora.</w:t>
      </w:r>
    </w:p>
    <w:p w14:paraId="6993462F" w14:textId="77777777" w:rsidR="00ED480D" w:rsidRPr="006F5C22" w:rsidRDefault="00ED480D" w:rsidP="00ED480D">
      <w:pPr>
        <w:jc w:val="both"/>
        <w:rPr>
          <w:rFonts w:ascii="Cambria" w:hAnsi="Cambria"/>
          <w:sz w:val="20"/>
          <w:szCs w:val="20"/>
          <w:lang w:eastAsia="en-US"/>
        </w:rPr>
      </w:pPr>
      <w:r w:rsidRPr="006F5C22">
        <w:rPr>
          <w:rFonts w:ascii="Cambria" w:hAnsi="Cambria"/>
          <w:bCs/>
          <w:sz w:val="20"/>
          <w:szCs w:val="20"/>
          <w:lang w:eastAsia="en-US"/>
        </w:rPr>
        <w:t>-</w:t>
      </w:r>
      <w:r w:rsidRPr="006F5C22">
        <w:rPr>
          <w:rFonts w:ascii="Cambria" w:hAnsi="Cambria"/>
          <w:b/>
          <w:sz w:val="20"/>
          <w:szCs w:val="20"/>
          <w:lang w:eastAsia="en-US"/>
        </w:rPr>
        <w:t>Inventarios</w:t>
      </w:r>
      <w:r w:rsidRPr="006F5C22">
        <w:rPr>
          <w:rFonts w:ascii="Cambria" w:hAnsi="Cambria"/>
          <w:sz w:val="20"/>
          <w:szCs w:val="20"/>
          <w:lang w:eastAsia="en-US"/>
        </w:rPr>
        <w:t xml:space="preserve">. </w:t>
      </w:r>
      <w:r w:rsidRPr="005B081E">
        <w:rPr>
          <w:rFonts w:ascii="Cambria" w:hAnsi="Cambria"/>
          <w:sz w:val="20"/>
          <w:szCs w:val="20"/>
          <w:lang w:eastAsia="en-US"/>
        </w:rPr>
        <w:t xml:space="preserve">Los inventarios aumentaron un 28%, es decir Ps. 2.551,4 millones, con respecto al mismo periodo del ejercicio anterior, esto es debe a mayores stocks en cereales lo cuales crecieron casi un 300% con respecto al año anterior. Los stocks del complejo sojero si bien nominalmente disminuyeron, esto se debe solo al stock de poroto sin industrializar, en cambio en sus subproductos </w:t>
      </w:r>
      <w:r w:rsidRPr="005B081E">
        <w:rPr>
          <w:rFonts w:ascii="Cambria" w:hAnsi="Cambria"/>
          <w:sz w:val="20"/>
          <w:szCs w:val="20"/>
          <w:lang w:eastAsia="en-US"/>
        </w:rPr>
        <w:lastRenderedPageBreak/>
        <w:t>industriales tuvo un incremento, esto se termina compensando por mayores stocks en aceite y harina de soja y en este último incluso con mayores precios</w:t>
      </w:r>
      <w:r w:rsidRPr="006F5C22">
        <w:rPr>
          <w:rFonts w:ascii="Cambria" w:hAnsi="Cambria"/>
          <w:sz w:val="20"/>
          <w:szCs w:val="20"/>
          <w:lang w:eastAsia="en-US"/>
        </w:rPr>
        <w:t xml:space="preserve">. </w:t>
      </w:r>
    </w:p>
    <w:p w14:paraId="51F8589B" w14:textId="77777777" w:rsidR="00ED480D" w:rsidRPr="005B081E" w:rsidRDefault="00ED480D" w:rsidP="00ED480D">
      <w:pPr>
        <w:jc w:val="both"/>
        <w:rPr>
          <w:rFonts w:ascii="Cambria" w:hAnsi="Cambria"/>
          <w:sz w:val="20"/>
          <w:szCs w:val="20"/>
          <w:lang w:eastAsia="en-US"/>
        </w:rPr>
      </w:pPr>
      <w:r w:rsidRPr="006F5C22">
        <w:rPr>
          <w:rFonts w:ascii="Cambria" w:hAnsi="Cambria"/>
          <w:sz w:val="20"/>
          <w:szCs w:val="20"/>
          <w:lang w:eastAsia="en-US"/>
        </w:rPr>
        <w:t>-</w:t>
      </w:r>
      <w:r w:rsidRPr="006F5C22">
        <w:rPr>
          <w:rFonts w:ascii="Cambria" w:hAnsi="Cambria"/>
          <w:b/>
          <w:bCs/>
          <w:sz w:val="20"/>
          <w:szCs w:val="20"/>
          <w:lang w:eastAsia="en-US"/>
        </w:rPr>
        <w:t>Inversiones en otras sociedades</w:t>
      </w:r>
      <w:r w:rsidRPr="006F5C22">
        <w:rPr>
          <w:rFonts w:ascii="Cambria" w:hAnsi="Cambria"/>
          <w:sz w:val="20"/>
          <w:szCs w:val="20"/>
          <w:lang w:eastAsia="en-US"/>
        </w:rPr>
        <w:t xml:space="preserve">. </w:t>
      </w:r>
      <w:r w:rsidRPr="005B081E">
        <w:rPr>
          <w:rFonts w:ascii="Cambria" w:hAnsi="Cambria"/>
          <w:sz w:val="20"/>
          <w:szCs w:val="20"/>
          <w:lang w:eastAsia="en-US"/>
        </w:rPr>
        <w:t xml:space="preserve">Estas inversiones en sociedades disminuyeron Ps. 17,6 millones, es decir un 4%, con respecto al mismo periodo del ejercicio anterior finalizado el 30 de junio de 2019, esto fue producto de los resultados por las participaciones es dichas sociedades, lo cual, en parte se vio compensado por el efecto de conversión. </w:t>
      </w:r>
    </w:p>
    <w:p w14:paraId="3F6C22DA" w14:textId="77777777" w:rsidR="00ED480D" w:rsidRPr="005B081E" w:rsidRDefault="00ED480D" w:rsidP="00ED480D">
      <w:pPr>
        <w:jc w:val="both"/>
        <w:rPr>
          <w:rFonts w:ascii="Cambria" w:hAnsi="Cambria"/>
          <w:sz w:val="20"/>
          <w:szCs w:val="20"/>
          <w:lang w:eastAsia="en-US"/>
        </w:rPr>
      </w:pPr>
      <w:r w:rsidRPr="006F5C22">
        <w:rPr>
          <w:rFonts w:ascii="Cambria" w:hAnsi="Cambria"/>
          <w:sz w:val="20"/>
          <w:szCs w:val="20"/>
          <w:lang w:eastAsia="en-US"/>
        </w:rPr>
        <w:t>-</w:t>
      </w:r>
      <w:r w:rsidRPr="006F5C22">
        <w:rPr>
          <w:rFonts w:ascii="Cambria" w:hAnsi="Cambria"/>
          <w:b/>
          <w:bCs/>
          <w:sz w:val="20"/>
          <w:szCs w:val="20"/>
          <w:lang w:eastAsia="en-US"/>
        </w:rPr>
        <w:t>Propiedad, planta y equipo, activos intangibles y plusvalía</w:t>
      </w:r>
      <w:r w:rsidRPr="006F5C22">
        <w:rPr>
          <w:rFonts w:ascii="Cambria" w:hAnsi="Cambria"/>
          <w:sz w:val="20"/>
          <w:szCs w:val="20"/>
          <w:lang w:eastAsia="en-US"/>
        </w:rPr>
        <w:t xml:space="preserve">. </w:t>
      </w:r>
      <w:r w:rsidRPr="005B081E">
        <w:rPr>
          <w:rFonts w:ascii="Cambria" w:hAnsi="Cambria"/>
          <w:sz w:val="20"/>
          <w:szCs w:val="20"/>
          <w:lang w:eastAsia="en-US"/>
        </w:rPr>
        <w:t xml:space="preserve">Los activos fijos de la </w:t>
      </w:r>
      <w:r>
        <w:rPr>
          <w:rFonts w:ascii="Cambria" w:hAnsi="Cambria"/>
          <w:sz w:val="20"/>
          <w:szCs w:val="20"/>
          <w:lang w:eastAsia="en-US"/>
        </w:rPr>
        <w:t>E</w:t>
      </w:r>
      <w:r w:rsidRPr="005B081E">
        <w:rPr>
          <w:rFonts w:ascii="Cambria" w:hAnsi="Cambria"/>
          <w:sz w:val="20"/>
          <w:szCs w:val="20"/>
          <w:lang w:eastAsia="en-US"/>
        </w:rPr>
        <w:t xml:space="preserve">misora se incrementaron un 16%, es decir unos Ps. 874,3 millones, a junio de 2020 con respecto al saldo a junio de 2019, producto principalmente de los efectos de la conversión a la moneda de presentación. Con respecto a la evolución del rubro por el periodo de tres meses finalizado en junio de 2020, este tuvo un incremento neto de Ps 162,7 millones, el cual se debe a los efectos por conversión por Ps. 219,9 millones y las altas del periodo por Ps. 73,6 millones. Todo esto fue compensado en parte por las amortizaciones del periodo que ascendieron a Ps. 130,9 millones. Los activos intangibles y la plusvalía aumentaron en Ps. 38,1 millones, al 30 de junio de 2020, con respecto al mismo periodo del ejercicio anterior, esto se debe al efecto de la conversión, neto de las amortizaciones correspondientes. </w:t>
      </w:r>
    </w:p>
    <w:p w14:paraId="3281D84B" w14:textId="77777777" w:rsidR="00ED480D" w:rsidRPr="005B081E" w:rsidRDefault="00ED480D" w:rsidP="00ED480D">
      <w:pPr>
        <w:shd w:val="clear" w:color="auto" w:fill="FFFFFF"/>
        <w:contextualSpacing/>
        <w:jc w:val="both"/>
        <w:textAlignment w:val="baseline"/>
        <w:rPr>
          <w:rFonts w:ascii="Cambria" w:hAnsi="Cambria"/>
          <w:sz w:val="20"/>
          <w:szCs w:val="20"/>
          <w:lang w:eastAsia="en-US"/>
        </w:rPr>
      </w:pPr>
      <w:r w:rsidRPr="006F5C22">
        <w:rPr>
          <w:rFonts w:ascii="Cambria" w:hAnsi="Cambria"/>
          <w:b/>
          <w:bCs/>
          <w:sz w:val="20"/>
          <w:szCs w:val="20"/>
          <w:lang w:eastAsia="en-US"/>
        </w:rPr>
        <w:t>-Deuda financiera neta.</w:t>
      </w:r>
      <w:r w:rsidRPr="006F5C22">
        <w:rPr>
          <w:rFonts w:ascii="Cambria" w:hAnsi="Cambria"/>
          <w:sz w:val="20"/>
          <w:szCs w:val="20"/>
          <w:lang w:eastAsia="en-US"/>
        </w:rPr>
        <w:t xml:space="preserve"> </w:t>
      </w:r>
      <w:r w:rsidRPr="005B081E">
        <w:rPr>
          <w:rFonts w:ascii="Cambria" w:hAnsi="Cambria"/>
          <w:sz w:val="20"/>
          <w:szCs w:val="20"/>
          <w:lang w:eastAsia="en-US"/>
        </w:rPr>
        <w:t xml:space="preserve">La </w:t>
      </w:r>
      <w:r>
        <w:rPr>
          <w:rFonts w:ascii="Cambria" w:hAnsi="Cambria"/>
          <w:sz w:val="20"/>
          <w:szCs w:val="20"/>
          <w:lang w:eastAsia="en-US"/>
        </w:rPr>
        <w:t>E</w:t>
      </w:r>
      <w:r w:rsidRPr="005B081E">
        <w:rPr>
          <w:rFonts w:ascii="Cambria" w:hAnsi="Cambria"/>
          <w:sz w:val="20"/>
          <w:szCs w:val="20"/>
          <w:lang w:eastAsia="en-US"/>
        </w:rPr>
        <w:t xml:space="preserve">misora comenzó su ejercicio económico con una deuda financiera neta de US$ 132,5 millones y durante el periodo de tres meses finalizado al 30 de junio de 2020 finalizo en US$ 102,9 millones, es decir, hubo una disminución de US$ 29,6 millones. Esta disminución se debe básicamente a la excelente performance de la </w:t>
      </w:r>
      <w:r>
        <w:rPr>
          <w:rFonts w:ascii="Cambria" w:hAnsi="Cambria"/>
          <w:sz w:val="20"/>
          <w:szCs w:val="20"/>
          <w:lang w:eastAsia="en-US"/>
        </w:rPr>
        <w:t>E</w:t>
      </w:r>
      <w:r w:rsidRPr="005B081E">
        <w:rPr>
          <w:rFonts w:ascii="Cambria" w:hAnsi="Cambria"/>
          <w:sz w:val="20"/>
          <w:szCs w:val="20"/>
          <w:lang w:eastAsia="en-US"/>
        </w:rPr>
        <w:t xml:space="preserve">misora en sus actividades, las que le permitieron tener ingresos que redujeron la deuda e incluso le permitió auto financiar sus necesidades de flujo de fondos utilizados en los pagos para el impuesto a las ganancias, las inversiones en activos fijos y los incrementos en el capital de trabajo. Medida en pesos y comparativamente contra el mismo periodo del ejercicio anterior, tuvo un incremento del 19%, es decir de Ps. 1.182,8 millones, el cual se debe principalmente a los efectos de la conversión. </w:t>
      </w:r>
    </w:p>
    <w:p w14:paraId="3A537995" w14:textId="77777777" w:rsidR="00ED480D" w:rsidRPr="006F5C22" w:rsidRDefault="00ED480D" w:rsidP="00ED480D">
      <w:pPr>
        <w:jc w:val="both"/>
        <w:rPr>
          <w:rFonts w:ascii="Cambria" w:hAnsi="Cambria"/>
          <w:sz w:val="20"/>
          <w:szCs w:val="20"/>
          <w:lang w:eastAsia="en-US"/>
        </w:rPr>
      </w:pPr>
      <w:r w:rsidRPr="006F5C22">
        <w:rPr>
          <w:rFonts w:ascii="Cambria" w:hAnsi="Cambria"/>
          <w:b/>
          <w:sz w:val="20"/>
          <w:szCs w:val="20"/>
          <w:lang w:eastAsia="en-US"/>
        </w:rPr>
        <w:t>-Deudas comerciales</w:t>
      </w:r>
      <w:r w:rsidRPr="005B081E">
        <w:rPr>
          <w:rFonts w:ascii="Cambria" w:hAnsi="Cambria"/>
          <w:sz w:val="20"/>
          <w:szCs w:val="20"/>
          <w:lang w:eastAsia="en-US"/>
        </w:rPr>
        <w:t xml:space="preserve">. Las deudas comerciales aumentaron un </w:t>
      </w:r>
      <w:r>
        <w:rPr>
          <w:rFonts w:ascii="Cambria" w:hAnsi="Cambria"/>
          <w:sz w:val="20"/>
          <w:szCs w:val="20"/>
          <w:lang w:eastAsia="en-US"/>
        </w:rPr>
        <w:t>3</w:t>
      </w:r>
      <w:r w:rsidRPr="005B081E">
        <w:rPr>
          <w:rFonts w:ascii="Cambria" w:hAnsi="Cambria"/>
          <w:sz w:val="20"/>
          <w:szCs w:val="20"/>
          <w:lang w:eastAsia="en-US"/>
        </w:rPr>
        <w:t xml:space="preserve">4%, respecto al mismo periodo del ejercicio anterior. Esto va en línea con el aumento de los stocks y de los volúmenes procesados de las oleaginosas y en menor medida al efecto de la conversión. </w:t>
      </w:r>
    </w:p>
    <w:p w14:paraId="2F6C15C8" w14:textId="77777777" w:rsidR="00ED480D" w:rsidRPr="005B081E" w:rsidRDefault="00ED480D" w:rsidP="00ED480D">
      <w:pPr>
        <w:jc w:val="both"/>
        <w:rPr>
          <w:rFonts w:ascii="Cambria" w:hAnsi="Cambria"/>
          <w:sz w:val="20"/>
          <w:szCs w:val="20"/>
          <w:lang w:eastAsia="en-US"/>
        </w:rPr>
      </w:pPr>
      <w:r w:rsidRPr="006F5C22">
        <w:rPr>
          <w:rFonts w:ascii="Cambria" w:hAnsi="Cambria"/>
          <w:sz w:val="20"/>
          <w:szCs w:val="20"/>
          <w:lang w:eastAsia="en-US"/>
        </w:rPr>
        <w:t>-</w:t>
      </w:r>
      <w:r w:rsidRPr="006F5C22">
        <w:rPr>
          <w:rFonts w:ascii="Cambria" w:hAnsi="Cambria"/>
          <w:b/>
          <w:bCs/>
          <w:sz w:val="20"/>
          <w:szCs w:val="20"/>
          <w:lang w:eastAsia="en-US"/>
        </w:rPr>
        <w:t>Deudas fiscales, sociales y otros pasivos corrientes y no corrientes.</w:t>
      </w:r>
      <w:r w:rsidRPr="006F5C22">
        <w:rPr>
          <w:rFonts w:ascii="Cambria" w:hAnsi="Cambria"/>
          <w:sz w:val="20"/>
          <w:szCs w:val="20"/>
          <w:lang w:eastAsia="en-US"/>
        </w:rPr>
        <w:t xml:space="preserve"> </w:t>
      </w:r>
      <w:r w:rsidRPr="005B081E">
        <w:rPr>
          <w:rFonts w:ascii="Cambria" w:hAnsi="Cambria"/>
          <w:sz w:val="20"/>
          <w:szCs w:val="20"/>
          <w:lang w:eastAsia="en-US"/>
        </w:rPr>
        <w:t xml:space="preserve">Las deudas sociales y fiscales tuvieron un aumento del 30%, es decir de Ps. 231,2 millones, al 30 de junio de 2020, con respecto al mismo periodo del ejercicio anterior, siendo el principal motivo el saldo en impuesto a las ganancias, ya que, a junio de 2019, era un crédito para la </w:t>
      </w:r>
      <w:r>
        <w:rPr>
          <w:rFonts w:ascii="Cambria" w:hAnsi="Cambria"/>
          <w:sz w:val="20"/>
          <w:szCs w:val="20"/>
          <w:lang w:eastAsia="en-US"/>
        </w:rPr>
        <w:t>E</w:t>
      </w:r>
      <w:r w:rsidRPr="005B081E">
        <w:rPr>
          <w:rFonts w:ascii="Cambria" w:hAnsi="Cambria"/>
          <w:sz w:val="20"/>
          <w:szCs w:val="20"/>
          <w:lang w:eastAsia="en-US"/>
        </w:rPr>
        <w:t xml:space="preserve">misora y a junio de 2020 paso a ser un a pagar. Con respecto a las otras deudas vemos una disminución del 39% en junio de 2020, con respecto al saldo a junio de 2019, se debe básicamente a la disminución en los saldos de los Contratos a término de </w:t>
      </w:r>
      <w:r w:rsidRPr="00027A1F">
        <w:rPr>
          <w:rFonts w:ascii="Cambria" w:hAnsi="Cambria"/>
          <w:i/>
          <w:sz w:val="20"/>
          <w:szCs w:val="20"/>
          <w:lang w:eastAsia="en-US"/>
        </w:rPr>
        <w:t xml:space="preserve">commodities </w:t>
      </w:r>
      <w:r w:rsidRPr="005B081E">
        <w:rPr>
          <w:rFonts w:ascii="Cambria" w:hAnsi="Cambria"/>
          <w:sz w:val="20"/>
          <w:szCs w:val="20"/>
          <w:lang w:eastAsia="en-US"/>
        </w:rPr>
        <w:t xml:space="preserve">y compromisos en firme. </w:t>
      </w:r>
    </w:p>
    <w:p w14:paraId="608C6C86" w14:textId="77777777" w:rsidR="00ED480D" w:rsidRPr="005B081E" w:rsidRDefault="00ED480D" w:rsidP="00ED480D">
      <w:pPr>
        <w:jc w:val="both"/>
        <w:rPr>
          <w:rFonts w:ascii="Cambria" w:hAnsi="Cambria"/>
          <w:sz w:val="20"/>
          <w:szCs w:val="20"/>
          <w:highlight w:val="yellow"/>
          <w:lang w:eastAsia="en-US"/>
        </w:rPr>
      </w:pPr>
      <w:r w:rsidRPr="006F5C22">
        <w:rPr>
          <w:rFonts w:ascii="Cambria" w:hAnsi="Cambria"/>
          <w:sz w:val="20"/>
          <w:szCs w:val="20"/>
          <w:lang w:eastAsia="en-US"/>
        </w:rPr>
        <w:t>-</w:t>
      </w:r>
      <w:r w:rsidRPr="006F5C22">
        <w:rPr>
          <w:rFonts w:ascii="Cambria" w:hAnsi="Cambria"/>
          <w:b/>
          <w:bCs/>
          <w:sz w:val="20"/>
          <w:szCs w:val="20"/>
          <w:lang w:eastAsia="en-US"/>
        </w:rPr>
        <w:t>Patrimonio.</w:t>
      </w:r>
      <w:r w:rsidRPr="006F5C22">
        <w:rPr>
          <w:rFonts w:ascii="Cambria" w:hAnsi="Cambria"/>
          <w:sz w:val="20"/>
          <w:szCs w:val="20"/>
          <w:lang w:eastAsia="en-US"/>
        </w:rPr>
        <w:t xml:space="preserve"> </w:t>
      </w:r>
      <w:r w:rsidRPr="005B081E">
        <w:rPr>
          <w:rFonts w:ascii="Cambria" w:hAnsi="Cambria"/>
          <w:sz w:val="20"/>
          <w:szCs w:val="20"/>
          <w:lang w:eastAsia="en-US"/>
        </w:rPr>
        <w:t xml:space="preserve">La </w:t>
      </w:r>
      <w:r>
        <w:rPr>
          <w:rFonts w:ascii="Cambria" w:hAnsi="Cambria"/>
          <w:sz w:val="20"/>
          <w:szCs w:val="20"/>
          <w:lang w:eastAsia="en-US"/>
        </w:rPr>
        <w:t>E</w:t>
      </w:r>
      <w:r w:rsidRPr="005B081E">
        <w:rPr>
          <w:rFonts w:ascii="Cambria" w:hAnsi="Cambria"/>
          <w:sz w:val="20"/>
          <w:szCs w:val="20"/>
          <w:lang w:eastAsia="en-US"/>
        </w:rPr>
        <w:t xml:space="preserve">misora comenzó ejercicio económico con un patrimonio de Ps. 5.877,6 millones y durante el periodo de tres meses finalizado el 30 de junio de 2020 lo aumento en Ps. 1.651,2 millones, es decir que el patrimonio fue de Ps. 7.528,9 millones, este aumento se debe a: i) la ganancia neta del periodo que fue de Ps. 1.447,3 y ii) al efecto de conversión por Ps. 203,8 millones. Con respecto al mismo periodo del ejercicio anterior, el patrimonio tuvo un aumento de Ps. 1.078,4 millones, es decir, un incremento del 17%, esto responde principalmente a la a los efectos de la reexpresión de los estados financieros a su moneda de presentación, ya que los patrimonios medidos en su moneda funcional no tuvieron una variación significativa, es decir, medidos en dólares a junio de 2020 y 2019 los patrimonios ascendieron a U$S 106,8 millones de dólares y U$S 106,4 millones de dólares, respectivamente. </w:t>
      </w:r>
    </w:p>
    <w:p w14:paraId="062C4CD7" w14:textId="77777777" w:rsidR="00ED480D" w:rsidRPr="005B081E" w:rsidRDefault="00ED480D" w:rsidP="00ED480D">
      <w:pPr>
        <w:jc w:val="both"/>
        <w:rPr>
          <w:rFonts w:ascii="Cambria" w:hAnsi="Cambria"/>
          <w:b/>
          <w:bCs/>
          <w:sz w:val="20"/>
          <w:szCs w:val="20"/>
          <w:lang w:eastAsia="en-US"/>
        </w:rPr>
      </w:pPr>
      <w:r w:rsidRPr="005B081E">
        <w:rPr>
          <w:rFonts w:ascii="Cambria" w:hAnsi="Cambria"/>
          <w:b/>
          <w:bCs/>
          <w:sz w:val="20"/>
          <w:szCs w:val="20"/>
          <w:lang w:eastAsia="en-US"/>
        </w:rPr>
        <w:t>Liquidez y recursos de capital</w:t>
      </w:r>
    </w:p>
    <w:p w14:paraId="6C8C86C1" w14:textId="77777777" w:rsidR="00ED480D" w:rsidRPr="005B081E" w:rsidRDefault="00ED480D" w:rsidP="00ED480D">
      <w:pPr>
        <w:jc w:val="both"/>
        <w:rPr>
          <w:rFonts w:ascii="Cambria" w:hAnsi="Cambria"/>
          <w:b/>
          <w:bCs/>
          <w:sz w:val="20"/>
          <w:szCs w:val="20"/>
          <w:lang w:eastAsia="en-US"/>
        </w:rPr>
      </w:pPr>
      <w:r w:rsidRPr="005B081E">
        <w:rPr>
          <w:rFonts w:ascii="Cambria" w:hAnsi="Cambria"/>
          <w:b/>
          <w:bCs/>
          <w:sz w:val="20"/>
          <w:szCs w:val="20"/>
          <w:lang w:eastAsia="en-US"/>
        </w:rPr>
        <w:lastRenderedPageBreak/>
        <w:t xml:space="preserve">Liquidez </w:t>
      </w:r>
    </w:p>
    <w:p w14:paraId="661A9239"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t>Las principales fuentes de liquidez históricamente han sido:</w:t>
      </w:r>
    </w:p>
    <w:p w14:paraId="24687524" w14:textId="77777777" w:rsidR="00ED480D" w:rsidRPr="005B081E" w:rsidRDefault="00ED480D" w:rsidP="000C02A3">
      <w:pPr>
        <w:numPr>
          <w:ilvl w:val="0"/>
          <w:numId w:val="13"/>
        </w:numPr>
        <w:spacing w:after="0"/>
        <w:jc w:val="both"/>
        <w:rPr>
          <w:rFonts w:ascii="Cambria" w:hAnsi="Cambria"/>
          <w:sz w:val="20"/>
          <w:szCs w:val="20"/>
          <w:lang w:eastAsia="en-US"/>
        </w:rPr>
      </w:pPr>
      <w:r w:rsidRPr="005B081E">
        <w:rPr>
          <w:rFonts w:ascii="Cambria" w:hAnsi="Cambria"/>
          <w:sz w:val="20"/>
          <w:szCs w:val="20"/>
          <w:lang w:eastAsia="en-US"/>
        </w:rPr>
        <w:t>el efectivo generado por las operaciones, y</w:t>
      </w:r>
    </w:p>
    <w:p w14:paraId="5662B726" w14:textId="77777777" w:rsidR="00ED480D" w:rsidRPr="005B081E" w:rsidRDefault="00ED480D" w:rsidP="00ED480D">
      <w:pPr>
        <w:spacing w:after="0"/>
        <w:jc w:val="both"/>
        <w:rPr>
          <w:rFonts w:ascii="Cambria" w:hAnsi="Cambria"/>
          <w:sz w:val="20"/>
          <w:szCs w:val="20"/>
          <w:lang w:eastAsia="en-US"/>
        </w:rPr>
      </w:pPr>
    </w:p>
    <w:p w14:paraId="24191B2D" w14:textId="77777777" w:rsidR="00ED480D" w:rsidRPr="005B081E" w:rsidRDefault="00ED480D" w:rsidP="000C02A3">
      <w:pPr>
        <w:numPr>
          <w:ilvl w:val="0"/>
          <w:numId w:val="13"/>
        </w:numPr>
        <w:spacing w:after="0"/>
        <w:jc w:val="both"/>
        <w:rPr>
          <w:rFonts w:ascii="Cambria" w:hAnsi="Cambria"/>
          <w:sz w:val="20"/>
          <w:szCs w:val="20"/>
          <w:lang w:eastAsia="en-US"/>
        </w:rPr>
      </w:pPr>
      <w:r w:rsidRPr="005B081E">
        <w:rPr>
          <w:rFonts w:ascii="Cambria" w:hAnsi="Cambria"/>
          <w:sz w:val="20"/>
          <w:szCs w:val="20"/>
          <w:lang w:eastAsia="en-US"/>
        </w:rPr>
        <w:t>el efectivo proveniente de acuerdos de préstamos (incluyendo el efectivo proveniente de préstamos bancarios y adelantos en cuenta corriente) y financiaciones.</w:t>
      </w:r>
    </w:p>
    <w:p w14:paraId="7234562D" w14:textId="77777777" w:rsidR="00ED480D" w:rsidRPr="005B081E" w:rsidRDefault="00ED480D" w:rsidP="00ED480D">
      <w:pPr>
        <w:jc w:val="both"/>
        <w:rPr>
          <w:rFonts w:ascii="Cambria" w:hAnsi="Cambria"/>
          <w:sz w:val="20"/>
          <w:szCs w:val="20"/>
          <w:lang w:eastAsia="en-US"/>
        </w:rPr>
      </w:pPr>
    </w:p>
    <w:p w14:paraId="5CDAEB77"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t>Las principales aplicaciones de efectivo (salvo en relación con las actividades operativas) históricamente han sido:</w:t>
      </w:r>
    </w:p>
    <w:p w14:paraId="55881C74" w14:textId="77777777" w:rsidR="00ED480D" w:rsidRPr="005B081E" w:rsidRDefault="00ED480D" w:rsidP="000C02A3">
      <w:pPr>
        <w:numPr>
          <w:ilvl w:val="0"/>
          <w:numId w:val="14"/>
        </w:numPr>
        <w:spacing w:after="0"/>
        <w:jc w:val="both"/>
        <w:rPr>
          <w:rFonts w:ascii="Cambria" w:hAnsi="Cambria"/>
          <w:sz w:val="20"/>
          <w:szCs w:val="20"/>
          <w:lang w:eastAsia="en-US"/>
        </w:rPr>
      </w:pPr>
      <w:r w:rsidRPr="005B081E">
        <w:rPr>
          <w:rFonts w:ascii="Cambria" w:hAnsi="Cambria"/>
          <w:sz w:val="20"/>
          <w:szCs w:val="20"/>
          <w:lang w:eastAsia="en-US"/>
        </w:rPr>
        <w:t>inversiones de capital en propiedades, plantas y equipos,</w:t>
      </w:r>
    </w:p>
    <w:p w14:paraId="61B88161" w14:textId="77777777" w:rsidR="00ED480D" w:rsidRPr="005B081E" w:rsidRDefault="00ED480D" w:rsidP="00ED480D">
      <w:pPr>
        <w:spacing w:after="0"/>
        <w:jc w:val="both"/>
        <w:rPr>
          <w:rFonts w:ascii="Cambria" w:hAnsi="Cambria"/>
          <w:sz w:val="20"/>
          <w:szCs w:val="20"/>
          <w:lang w:eastAsia="en-US"/>
        </w:rPr>
      </w:pPr>
    </w:p>
    <w:p w14:paraId="7E484E03" w14:textId="77777777" w:rsidR="00ED480D" w:rsidRPr="005B081E" w:rsidRDefault="00ED480D" w:rsidP="000C02A3">
      <w:pPr>
        <w:numPr>
          <w:ilvl w:val="0"/>
          <w:numId w:val="14"/>
        </w:numPr>
        <w:spacing w:after="0"/>
        <w:jc w:val="both"/>
        <w:rPr>
          <w:rFonts w:ascii="Cambria" w:hAnsi="Cambria"/>
          <w:sz w:val="20"/>
          <w:szCs w:val="20"/>
          <w:lang w:eastAsia="en-US"/>
        </w:rPr>
      </w:pPr>
      <w:r w:rsidRPr="005B081E">
        <w:rPr>
          <w:rFonts w:ascii="Cambria" w:hAnsi="Cambria"/>
          <w:sz w:val="20"/>
          <w:szCs w:val="20"/>
          <w:lang w:eastAsia="en-US"/>
        </w:rPr>
        <w:t>pago de intereses y cancelación de deudas de corto y largo plazo, y</w:t>
      </w:r>
    </w:p>
    <w:p w14:paraId="36E5B8E2" w14:textId="77777777" w:rsidR="00ED480D" w:rsidRPr="005B081E" w:rsidRDefault="00ED480D" w:rsidP="00ED480D">
      <w:pPr>
        <w:spacing w:after="0"/>
        <w:jc w:val="both"/>
        <w:rPr>
          <w:rFonts w:ascii="Cambria" w:hAnsi="Cambria"/>
          <w:sz w:val="20"/>
          <w:szCs w:val="20"/>
          <w:lang w:eastAsia="en-US"/>
        </w:rPr>
      </w:pPr>
    </w:p>
    <w:p w14:paraId="25F2903E" w14:textId="77777777" w:rsidR="00ED480D" w:rsidRPr="005B081E" w:rsidRDefault="00ED480D" w:rsidP="000C02A3">
      <w:pPr>
        <w:numPr>
          <w:ilvl w:val="0"/>
          <w:numId w:val="14"/>
        </w:numPr>
        <w:spacing w:after="0"/>
        <w:jc w:val="both"/>
        <w:rPr>
          <w:rFonts w:ascii="Cambria" w:hAnsi="Cambria"/>
          <w:sz w:val="20"/>
          <w:szCs w:val="20"/>
          <w:lang w:eastAsia="en-US"/>
        </w:rPr>
      </w:pPr>
      <w:r w:rsidRPr="005B081E">
        <w:rPr>
          <w:rFonts w:ascii="Cambria" w:hAnsi="Cambria"/>
          <w:sz w:val="20"/>
          <w:szCs w:val="20"/>
          <w:lang w:eastAsia="en-US"/>
        </w:rPr>
        <w:t>pago de dividendos.</w:t>
      </w:r>
    </w:p>
    <w:p w14:paraId="659461B4" w14:textId="77777777" w:rsidR="00ED480D" w:rsidRPr="005B081E" w:rsidRDefault="00ED480D" w:rsidP="00ED480D">
      <w:pPr>
        <w:spacing w:after="0"/>
        <w:ind w:left="720"/>
        <w:contextualSpacing/>
        <w:rPr>
          <w:rFonts w:ascii="Cambria" w:hAnsi="Cambria"/>
          <w:sz w:val="20"/>
          <w:szCs w:val="20"/>
          <w:lang w:eastAsia="en-US"/>
        </w:rPr>
      </w:pPr>
    </w:p>
    <w:p w14:paraId="087525AA" w14:textId="77777777" w:rsidR="00ED480D" w:rsidRPr="005B081E" w:rsidRDefault="00ED480D" w:rsidP="000C02A3">
      <w:pPr>
        <w:numPr>
          <w:ilvl w:val="0"/>
          <w:numId w:val="14"/>
        </w:numPr>
        <w:spacing w:after="0"/>
        <w:jc w:val="both"/>
        <w:rPr>
          <w:rFonts w:ascii="Cambria" w:hAnsi="Cambria"/>
          <w:sz w:val="20"/>
          <w:szCs w:val="20"/>
          <w:lang w:eastAsia="en-US"/>
        </w:rPr>
      </w:pPr>
      <w:r w:rsidRPr="005B081E">
        <w:rPr>
          <w:rFonts w:ascii="Cambria" w:hAnsi="Cambria"/>
          <w:sz w:val="20"/>
          <w:szCs w:val="20"/>
          <w:lang w:eastAsia="en-US"/>
        </w:rPr>
        <w:t>adquisiciones de participaciones en sociedades.</w:t>
      </w:r>
    </w:p>
    <w:p w14:paraId="1132941F" w14:textId="77777777" w:rsidR="00ED480D" w:rsidRPr="005B081E" w:rsidRDefault="00ED480D" w:rsidP="00ED480D">
      <w:pPr>
        <w:jc w:val="both"/>
        <w:rPr>
          <w:rFonts w:ascii="Cambria" w:hAnsi="Cambria"/>
          <w:sz w:val="20"/>
          <w:szCs w:val="20"/>
          <w:lang w:eastAsia="en-US"/>
        </w:rPr>
      </w:pPr>
    </w:p>
    <w:p w14:paraId="5C6926ED"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t xml:space="preserve">La liquidez y recursos de capital incluyen a nuestro efectivo y equivalentes de efectivo, el producido de las actividades operativas, los préstamos bancarios, las deudas de largo plazo y la financiación de capital. </w:t>
      </w:r>
    </w:p>
    <w:p w14:paraId="49073EBE" w14:textId="77777777" w:rsidR="00ED480D" w:rsidRPr="005B081E" w:rsidRDefault="00ED480D" w:rsidP="00ED480D">
      <w:pPr>
        <w:jc w:val="both"/>
        <w:rPr>
          <w:rFonts w:ascii="Cambria" w:hAnsi="Cambria"/>
          <w:b/>
          <w:bCs/>
          <w:sz w:val="20"/>
          <w:szCs w:val="20"/>
          <w:lang w:eastAsia="en-US"/>
        </w:rPr>
      </w:pPr>
      <w:r w:rsidRPr="005B081E">
        <w:rPr>
          <w:rFonts w:ascii="Cambria" w:hAnsi="Cambria"/>
          <w:b/>
          <w:bCs/>
          <w:sz w:val="20"/>
          <w:szCs w:val="20"/>
          <w:lang w:eastAsia="en-US"/>
        </w:rPr>
        <w:t>Información sobre el flujo de efectivo por los ejercicios finalizados al 31 de marzo de 2020, 2019 y 2018.</w:t>
      </w:r>
    </w:p>
    <w:p w14:paraId="35FEE766" w14:textId="77777777" w:rsidR="00ED480D" w:rsidRPr="006E4259" w:rsidRDefault="00ED480D" w:rsidP="00ED480D">
      <w:pPr>
        <w:jc w:val="both"/>
        <w:rPr>
          <w:rFonts w:ascii="Garamond" w:hAnsi="Garamond"/>
          <w:sz w:val="20"/>
          <w:highlight w:val="yellow"/>
        </w:rPr>
      </w:pPr>
      <w:r w:rsidRPr="006E4259">
        <w:rPr>
          <w:noProof/>
          <w:lang w:val="es-AR"/>
        </w:rPr>
        <w:drawing>
          <wp:inline distT="0" distB="0" distL="0" distR="0" wp14:anchorId="3F37C70C" wp14:editId="59DBFBFD">
            <wp:extent cx="5297758" cy="2889250"/>
            <wp:effectExtent l="0" t="0" r="0" b="635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00647" cy="2890826"/>
                    </a:xfrm>
                    <a:prstGeom prst="rect">
                      <a:avLst/>
                    </a:prstGeom>
                    <a:noFill/>
                    <a:ln>
                      <a:noFill/>
                    </a:ln>
                  </pic:spPr>
                </pic:pic>
              </a:graphicData>
            </a:graphic>
          </wp:inline>
        </w:drawing>
      </w:r>
    </w:p>
    <w:p w14:paraId="0F000EDF" w14:textId="77777777" w:rsidR="00ED480D" w:rsidRPr="005B081E" w:rsidRDefault="00ED480D" w:rsidP="000C02A3">
      <w:pPr>
        <w:numPr>
          <w:ilvl w:val="0"/>
          <w:numId w:val="18"/>
        </w:numPr>
        <w:spacing w:after="160"/>
        <w:contextualSpacing/>
        <w:jc w:val="both"/>
        <w:rPr>
          <w:rFonts w:ascii="Cambria" w:hAnsi="Cambria"/>
          <w:sz w:val="20"/>
          <w:szCs w:val="20"/>
          <w:lang w:eastAsia="en-US"/>
        </w:rPr>
      </w:pPr>
      <w:r w:rsidRPr="005B081E">
        <w:rPr>
          <w:rFonts w:ascii="Cambria" w:hAnsi="Cambria"/>
          <w:sz w:val="20"/>
          <w:szCs w:val="20"/>
          <w:lang w:eastAsia="en-US"/>
        </w:rPr>
        <w:t>Los saldos surgen de los estados financieros consolidados al 31 de marzo de 2020 y se encuentran expresados en moneda de dicha fecha.</w:t>
      </w:r>
    </w:p>
    <w:p w14:paraId="10473A2F" w14:textId="77777777" w:rsidR="00ED480D" w:rsidRPr="005B081E" w:rsidRDefault="00ED480D" w:rsidP="000C02A3">
      <w:pPr>
        <w:numPr>
          <w:ilvl w:val="0"/>
          <w:numId w:val="18"/>
        </w:numPr>
        <w:spacing w:after="160"/>
        <w:contextualSpacing/>
        <w:jc w:val="both"/>
        <w:rPr>
          <w:rFonts w:ascii="Cambria" w:hAnsi="Cambria"/>
          <w:sz w:val="20"/>
          <w:szCs w:val="20"/>
          <w:lang w:eastAsia="en-US"/>
        </w:rPr>
      </w:pPr>
      <w:r w:rsidRPr="005B081E">
        <w:rPr>
          <w:rFonts w:ascii="Cambria" w:hAnsi="Cambria"/>
          <w:sz w:val="20"/>
          <w:szCs w:val="20"/>
          <w:lang w:eastAsia="en-US"/>
        </w:rPr>
        <w:t>Los saldos surgen de los estados financieros consolidados al 31 de marzo de 2018 y se encuentran expresados en moneda del 31 de marzo de 2020.</w:t>
      </w:r>
    </w:p>
    <w:p w14:paraId="178FE742" w14:textId="77777777" w:rsidR="00ED480D" w:rsidRPr="006E4259" w:rsidRDefault="00ED480D" w:rsidP="00ED480D">
      <w:pPr>
        <w:spacing w:after="160"/>
        <w:ind w:left="502"/>
        <w:contextualSpacing/>
        <w:jc w:val="both"/>
      </w:pPr>
    </w:p>
    <w:p w14:paraId="06A77BB6" w14:textId="77777777" w:rsidR="00ED480D" w:rsidRPr="005B081E" w:rsidRDefault="00ED480D" w:rsidP="00ED480D">
      <w:pPr>
        <w:jc w:val="both"/>
        <w:rPr>
          <w:rFonts w:ascii="Cambria" w:hAnsi="Cambria"/>
          <w:b/>
          <w:i/>
          <w:sz w:val="20"/>
          <w:szCs w:val="20"/>
          <w:lang w:eastAsia="en-US"/>
        </w:rPr>
      </w:pPr>
      <w:r w:rsidRPr="005B081E">
        <w:rPr>
          <w:rFonts w:ascii="Cambria" w:hAnsi="Cambria"/>
          <w:b/>
          <w:i/>
          <w:sz w:val="20"/>
          <w:szCs w:val="20"/>
          <w:lang w:eastAsia="en-US"/>
        </w:rPr>
        <w:t xml:space="preserve">Flujo de Efectivo </w:t>
      </w:r>
    </w:p>
    <w:p w14:paraId="6241B973"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lastRenderedPageBreak/>
        <w:t>Al 31 de marzo de 2020, el aumento del efectivo fue de Ps. 1.858 millones, mientras que al 31 de marzo de 2019 hubo una disminución de Ps. 637,7 millones; lo que representa un incremento de Ps. 2.495,7 millones, respecto del saldo del ejercicio anterior. La variación se debe al aumento de los flujos de fondos generado por la actividad de financiación por Ps. 9.053,4 millones, el cual se vio compensada en parte por la utilización de efectivo en las actividades de operación por Ps. 2.963 millones y a la disminución en la generación de flujos de fondos netos en las actividades de inversión por Ps. 3.5</w:t>
      </w:r>
      <w:r>
        <w:rPr>
          <w:rFonts w:ascii="Cambria" w:hAnsi="Cambria"/>
          <w:sz w:val="20"/>
          <w:szCs w:val="20"/>
          <w:lang w:eastAsia="en-US"/>
        </w:rPr>
        <w:t>9</w:t>
      </w:r>
      <w:r w:rsidRPr="005B081E">
        <w:rPr>
          <w:rFonts w:ascii="Cambria" w:hAnsi="Cambria"/>
          <w:sz w:val="20"/>
          <w:szCs w:val="20"/>
          <w:lang w:eastAsia="en-US"/>
        </w:rPr>
        <w:t xml:space="preserve">4,6 millones. </w:t>
      </w:r>
    </w:p>
    <w:p w14:paraId="0E7463CC" w14:textId="77777777" w:rsidR="00ED480D" w:rsidRPr="00B63F4B" w:rsidRDefault="00ED480D" w:rsidP="00ED480D">
      <w:pPr>
        <w:jc w:val="both"/>
        <w:rPr>
          <w:rFonts w:ascii="Cambria" w:hAnsi="Cambria"/>
          <w:sz w:val="20"/>
          <w:szCs w:val="20"/>
          <w:lang w:eastAsia="en-US"/>
        </w:rPr>
      </w:pPr>
      <w:r w:rsidRPr="005B081E">
        <w:rPr>
          <w:rFonts w:ascii="Cambria" w:hAnsi="Cambria"/>
          <w:sz w:val="20"/>
          <w:szCs w:val="20"/>
          <w:lang w:eastAsia="en-US"/>
        </w:rPr>
        <w:t>Al 31 de marzo de 2019, la disminución de efectivo fue por Ps. 637,7 millones, mientras que al 31 de marzo de 2018 fue un aumento de efectivo de Ps. 79,2 millones. Lo que representa una disminución neta de Ps. 716,9 millones, con respecto al ejercicio anterior, la cual, se debe al egreso de fondos utilizados en las actividades de financiación por Ps. 6.188,9 millones y al menor aumentos de flujos de fondos netos en las actividades de operación por Ps. 2.637,8 millones, los cuales fueron compensados en parte por un aumento del flujo de fondos generados por las actividades de inversión por Ps. 8.109,8 millones.</w:t>
      </w:r>
    </w:p>
    <w:p w14:paraId="2225359E" w14:textId="77777777" w:rsidR="00ED480D" w:rsidRPr="00B63F4B" w:rsidRDefault="00ED480D" w:rsidP="00ED480D">
      <w:pPr>
        <w:jc w:val="both"/>
        <w:rPr>
          <w:rFonts w:ascii="Cambria" w:hAnsi="Cambria"/>
          <w:sz w:val="20"/>
          <w:szCs w:val="20"/>
          <w:lang w:eastAsia="en-US"/>
        </w:rPr>
      </w:pPr>
      <w:r w:rsidRPr="005B081E">
        <w:rPr>
          <w:rFonts w:ascii="Cambria" w:hAnsi="Cambria"/>
          <w:b/>
          <w:sz w:val="20"/>
          <w:szCs w:val="20"/>
          <w:lang w:eastAsia="en-US"/>
        </w:rPr>
        <w:t xml:space="preserve">Flujo neto de efectivo (utilizados en) generado por las actividades operativas </w:t>
      </w:r>
    </w:p>
    <w:p w14:paraId="0886C432" w14:textId="77777777" w:rsidR="00ED480D" w:rsidRPr="005B081E" w:rsidRDefault="00ED480D" w:rsidP="00ED480D">
      <w:pPr>
        <w:jc w:val="both"/>
        <w:rPr>
          <w:rFonts w:ascii="Cambria" w:hAnsi="Cambria"/>
          <w:b/>
          <w:bCs/>
          <w:sz w:val="20"/>
          <w:szCs w:val="20"/>
          <w:lang w:eastAsia="en-US"/>
        </w:rPr>
      </w:pPr>
      <w:r w:rsidRPr="005B081E">
        <w:rPr>
          <w:rFonts w:ascii="Cambria" w:hAnsi="Cambria"/>
          <w:b/>
          <w:bCs/>
          <w:sz w:val="20"/>
          <w:szCs w:val="20"/>
          <w:lang w:eastAsia="en-US"/>
        </w:rPr>
        <w:t>Ejercicio finalizado el 31 de marzo de 2020</w:t>
      </w:r>
    </w:p>
    <w:p w14:paraId="352164D1"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t xml:space="preserve">Las actividades operativas de la Emisora generaron una disminución de los flujos de fondos neto de Ps. 1.056,3 millones durante el ejercicio finalizado el 31 de marzo de 2020, principalmente debido a la utilización de efectivo con en el aumento de los créditos impositivos y aduaneros por Ps. 4.118,9 millones, el aumento en los otros créditos financieros por Ps. 2.716,2 millones y los pagos por impuesto a las ganancias por Ps. 967,9 millones. Dichos aumentos en la utilización de fondos de flujos netos fueron compensados parcialmente por la ganancia antes de impuesto a las ganancias de Ps. 4.200,7 millones, además de un aumento en las otras deudas de Ps. 1.667,2 millones, una disminución de los inventarios de Ps. 738,4 y a otras variaciones del capital de trabajo y de resultado de Ps. 140,4 millones. </w:t>
      </w:r>
    </w:p>
    <w:p w14:paraId="5D2577AC" w14:textId="77777777" w:rsidR="00ED480D" w:rsidRPr="005B081E" w:rsidRDefault="00ED480D" w:rsidP="00ED480D">
      <w:pPr>
        <w:jc w:val="both"/>
        <w:rPr>
          <w:rFonts w:ascii="Cambria" w:hAnsi="Cambria"/>
          <w:b/>
          <w:bCs/>
          <w:sz w:val="20"/>
          <w:szCs w:val="20"/>
          <w:lang w:eastAsia="en-US"/>
        </w:rPr>
      </w:pPr>
      <w:r w:rsidRPr="005B081E">
        <w:rPr>
          <w:rFonts w:ascii="Cambria" w:hAnsi="Cambria"/>
          <w:b/>
          <w:bCs/>
          <w:sz w:val="20"/>
          <w:szCs w:val="20"/>
          <w:lang w:eastAsia="en-US"/>
        </w:rPr>
        <w:t>Ejercicio finalizado el 31 de marzo de 2019</w:t>
      </w:r>
    </w:p>
    <w:p w14:paraId="016CE1D9"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t>Las actividades operativas de la Emisora generaron un aumento de los flujos de fondos neto de Ps. 1.906,7 millones, durante el ejercicio finalizado el 31 de marzo de 2019, principalmente debido a los ingresos generados por la ganancia antes de impuesto de Ps. 2.192,9 millones y por los flujos de efectivos generados por la disminución en los inventarios por Ps. 3.124,1 millones. Dichos aumentos de fondos fueron compensados parcialmente por la utilización de efectivo para disminuir el saldo de las deudas comerciales en Ps. 2.645,4 millones, para el pago del impuesto a las ganancias por Ps. 756,5 millones y por otras variaciones del capital de trabajo y de resultado por Ps. 8,3 millones.</w:t>
      </w:r>
    </w:p>
    <w:p w14:paraId="4920E593" w14:textId="77777777" w:rsidR="00ED480D" w:rsidRPr="005B081E" w:rsidRDefault="00ED480D" w:rsidP="00ED480D">
      <w:pPr>
        <w:jc w:val="both"/>
        <w:rPr>
          <w:rFonts w:ascii="Cambria" w:hAnsi="Cambria"/>
          <w:b/>
          <w:bCs/>
          <w:sz w:val="20"/>
          <w:szCs w:val="20"/>
          <w:lang w:eastAsia="en-US"/>
        </w:rPr>
      </w:pPr>
      <w:r w:rsidRPr="005B081E">
        <w:rPr>
          <w:rFonts w:ascii="Cambria" w:hAnsi="Cambria"/>
          <w:b/>
          <w:bCs/>
          <w:sz w:val="20"/>
          <w:szCs w:val="20"/>
          <w:lang w:eastAsia="en-US"/>
        </w:rPr>
        <w:t>Ejercicio finalizado el 31 de marzo de 2018</w:t>
      </w:r>
    </w:p>
    <w:p w14:paraId="0E140489"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t>Las actividades operativas de la Emisora generaron un aumento de los flujos de fondos neto de Ps. 4.544,6 millones, durante el ejercicio finalizado el 31 de marzo de 2018, principalmente debido a los ingresos generados por la ganancia antes de impuesto de Ps. 2.021,1 millones, por el aumento de las deudas comerciales en Ps. 3.669,5 millones, por la disminución de los créditos impositivos y aduaneros por Ps. 1.819 millones y por otras variaciones del capital de trabajo y de resultado que generaron un aumento de efectivo por Ps. 316,9 millones. Dichos aumentos en los flujos de fondos netos fueron compensados parcialmente por la utilización de efectivo para incrementar el saldo de los inventarios por Ps. 2.649,8 millones y para pago del impuesto a las ganancias por Ps. 632,1 millones.</w:t>
      </w:r>
    </w:p>
    <w:p w14:paraId="30FEA954" w14:textId="77777777" w:rsidR="00ED480D" w:rsidRPr="005B081E" w:rsidRDefault="00ED480D" w:rsidP="00ED480D">
      <w:pPr>
        <w:jc w:val="both"/>
        <w:rPr>
          <w:rFonts w:ascii="Cambria" w:hAnsi="Cambria"/>
          <w:b/>
          <w:sz w:val="20"/>
          <w:szCs w:val="20"/>
          <w:lang w:eastAsia="en-US"/>
        </w:rPr>
      </w:pPr>
      <w:r w:rsidRPr="005B081E">
        <w:rPr>
          <w:rFonts w:ascii="Cambria" w:hAnsi="Cambria"/>
          <w:b/>
          <w:sz w:val="20"/>
          <w:szCs w:val="20"/>
          <w:lang w:eastAsia="en-US"/>
        </w:rPr>
        <w:t xml:space="preserve">Flujo neto de efectivo generados (utilizado en) por las actividades de inversión </w:t>
      </w:r>
    </w:p>
    <w:p w14:paraId="34B2BFC7" w14:textId="77777777" w:rsidR="00ED480D" w:rsidRPr="005B081E" w:rsidRDefault="00ED480D" w:rsidP="00ED480D">
      <w:pPr>
        <w:jc w:val="both"/>
        <w:rPr>
          <w:rFonts w:ascii="Cambria" w:hAnsi="Cambria"/>
          <w:b/>
          <w:i/>
          <w:sz w:val="20"/>
          <w:szCs w:val="20"/>
          <w:lang w:eastAsia="en-US"/>
        </w:rPr>
      </w:pPr>
      <w:r w:rsidRPr="005B081E">
        <w:rPr>
          <w:rFonts w:ascii="Cambria" w:hAnsi="Cambria"/>
          <w:b/>
          <w:i/>
          <w:sz w:val="20"/>
          <w:szCs w:val="20"/>
          <w:lang w:eastAsia="en-US"/>
        </w:rPr>
        <w:lastRenderedPageBreak/>
        <w:t>Ejercicio finalizado el 31 de marzo de 2020</w:t>
      </w:r>
    </w:p>
    <w:p w14:paraId="4873FAFA"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t xml:space="preserve">Las actividades de inversión de la </w:t>
      </w:r>
      <w:r>
        <w:rPr>
          <w:rFonts w:ascii="Cambria" w:hAnsi="Cambria"/>
          <w:sz w:val="20"/>
        </w:rPr>
        <w:t>E</w:t>
      </w:r>
      <w:r w:rsidRPr="006E4259">
        <w:rPr>
          <w:rFonts w:ascii="Cambria" w:hAnsi="Cambria"/>
          <w:sz w:val="20"/>
        </w:rPr>
        <w:t>misora</w:t>
      </w:r>
      <w:r w:rsidRPr="005B081E">
        <w:rPr>
          <w:rFonts w:ascii="Cambria" w:hAnsi="Cambria"/>
          <w:sz w:val="20"/>
          <w:szCs w:val="20"/>
          <w:lang w:eastAsia="en-US"/>
        </w:rPr>
        <w:t xml:space="preserve"> generaron un aumento de los flujos de fondos netos de Ps. 545,2 millones durante el ejercicio finalizado el 31 de marzo de 2020, generado principalmente por Ps. 1.469,4 millones, correspondientes al cobro rendimientos por colocaciones a corto plazo y operaciones de cobertura de moneda. Esto fue compensado parcialmente por la utilización de fondos para las colocaciones de inversiones a corto plazo por Ps. 480,5 millones y por las adquisiciones de propiedad, planta y equipo por Ps. 443,6 millones.</w:t>
      </w:r>
    </w:p>
    <w:p w14:paraId="24701FD0" w14:textId="77777777" w:rsidR="00ED480D" w:rsidRPr="005B081E" w:rsidRDefault="00ED480D" w:rsidP="00ED480D">
      <w:pPr>
        <w:jc w:val="both"/>
        <w:rPr>
          <w:rFonts w:ascii="Cambria" w:hAnsi="Cambria"/>
          <w:b/>
          <w:i/>
          <w:sz w:val="20"/>
          <w:szCs w:val="20"/>
          <w:lang w:eastAsia="en-US"/>
        </w:rPr>
      </w:pPr>
      <w:r w:rsidRPr="005B081E">
        <w:rPr>
          <w:rFonts w:ascii="Cambria" w:hAnsi="Cambria"/>
          <w:b/>
          <w:i/>
          <w:sz w:val="20"/>
          <w:szCs w:val="20"/>
          <w:lang w:eastAsia="en-US"/>
        </w:rPr>
        <w:t>Ejercicio finalizado el 31 de marzo de 2019</w:t>
      </w:r>
    </w:p>
    <w:p w14:paraId="7C8143FA"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t xml:space="preserve">Las actividades de inversión de la </w:t>
      </w:r>
      <w:r>
        <w:rPr>
          <w:rFonts w:ascii="Cambria" w:hAnsi="Cambria"/>
          <w:sz w:val="20"/>
        </w:rPr>
        <w:t>E</w:t>
      </w:r>
      <w:r w:rsidRPr="006E4259">
        <w:rPr>
          <w:rFonts w:ascii="Cambria" w:hAnsi="Cambria"/>
          <w:sz w:val="20"/>
        </w:rPr>
        <w:t>misora</w:t>
      </w:r>
      <w:r w:rsidRPr="005B081E">
        <w:rPr>
          <w:rFonts w:ascii="Cambria" w:hAnsi="Cambria"/>
          <w:sz w:val="20"/>
          <w:szCs w:val="20"/>
          <w:lang w:eastAsia="en-US"/>
        </w:rPr>
        <w:t xml:space="preserve"> generaron un aumento de los flujos de fondos netos de Ps. 4.139,8 millones, durante el ejercicio finalizado el 31 de marzo de 2019; generado principalmente por el cobro de colocaciones de corto plazo por Ps. 4.960,8 millones y por el cobro de rendimientos de colocaciones a corto plazo y operaciones de cobertura de moneda por Ps. 428,3 millones. Esto fue compensado parcialmente por la utilización de flujos de fondos para las adquisiciones en propiedad, planta y equipo por Ps. 1.249,4 millones.</w:t>
      </w:r>
    </w:p>
    <w:p w14:paraId="0619D0B9" w14:textId="77777777" w:rsidR="00ED480D" w:rsidRPr="005B081E" w:rsidRDefault="00ED480D" w:rsidP="00ED480D">
      <w:pPr>
        <w:jc w:val="both"/>
        <w:rPr>
          <w:rFonts w:ascii="Cambria" w:hAnsi="Cambria"/>
          <w:b/>
          <w:i/>
          <w:sz w:val="20"/>
          <w:szCs w:val="20"/>
          <w:lang w:eastAsia="en-US"/>
        </w:rPr>
      </w:pPr>
      <w:r w:rsidRPr="005B081E">
        <w:rPr>
          <w:rFonts w:ascii="Cambria" w:hAnsi="Cambria"/>
          <w:b/>
          <w:i/>
          <w:sz w:val="20"/>
          <w:szCs w:val="20"/>
          <w:lang w:eastAsia="en-US"/>
        </w:rPr>
        <w:t>Ejercicio finalizado el 31 de marzo de 2018</w:t>
      </w:r>
    </w:p>
    <w:p w14:paraId="27690946"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t xml:space="preserve">Las actividades de inversión de la </w:t>
      </w:r>
      <w:r>
        <w:rPr>
          <w:rFonts w:ascii="Cambria" w:hAnsi="Cambria"/>
          <w:sz w:val="20"/>
          <w:szCs w:val="20"/>
          <w:lang w:eastAsia="en-US"/>
        </w:rPr>
        <w:t>E</w:t>
      </w:r>
      <w:r w:rsidRPr="005B081E">
        <w:rPr>
          <w:rFonts w:ascii="Cambria" w:hAnsi="Cambria"/>
          <w:sz w:val="20"/>
          <w:szCs w:val="20"/>
          <w:lang w:eastAsia="en-US"/>
        </w:rPr>
        <w:t>misora generaron una disminución de los flujos de fondos netos de Ps. 3.970 millones, durante el ejercicio finalizado el 31 de marzo de 2018; esto se debe principalmente a la utilización de flujos de fondos para realizar colocaciones de inversiones de corto plazo por Ps. 2.732,4 millones y para realizar adquisiciones en propiedad planta y equipo por Ps. 1.781,2 millones. Esto fue compensado parcialmente por el cobro rendimientos colocaciones a corto plazo y operaciones de cobertura de moneda por Ps. 543,5 millones.</w:t>
      </w:r>
    </w:p>
    <w:p w14:paraId="03958186" w14:textId="77777777" w:rsidR="00ED480D" w:rsidRPr="005B081E" w:rsidRDefault="00ED480D" w:rsidP="00ED480D">
      <w:pPr>
        <w:jc w:val="both"/>
        <w:rPr>
          <w:rFonts w:ascii="Cambria" w:hAnsi="Cambria"/>
          <w:b/>
          <w:i/>
          <w:sz w:val="20"/>
          <w:szCs w:val="20"/>
          <w:lang w:eastAsia="en-US"/>
        </w:rPr>
      </w:pPr>
      <w:r w:rsidRPr="005B081E">
        <w:rPr>
          <w:rFonts w:ascii="Cambria" w:hAnsi="Cambria"/>
          <w:b/>
          <w:i/>
          <w:sz w:val="20"/>
          <w:szCs w:val="20"/>
          <w:lang w:eastAsia="en-US"/>
        </w:rPr>
        <w:t xml:space="preserve">Flujo de efectivo neto generado por (utilizado en) las actividades de financiación </w:t>
      </w:r>
    </w:p>
    <w:p w14:paraId="1996A2E9" w14:textId="77777777" w:rsidR="00ED480D" w:rsidRPr="005B081E" w:rsidRDefault="00ED480D" w:rsidP="00ED480D">
      <w:pPr>
        <w:jc w:val="both"/>
        <w:rPr>
          <w:rFonts w:ascii="Cambria" w:hAnsi="Cambria"/>
          <w:b/>
          <w:i/>
          <w:sz w:val="20"/>
          <w:szCs w:val="20"/>
          <w:lang w:eastAsia="en-US"/>
        </w:rPr>
      </w:pPr>
      <w:r w:rsidRPr="005B081E">
        <w:rPr>
          <w:rFonts w:ascii="Cambria" w:hAnsi="Cambria"/>
          <w:b/>
          <w:i/>
          <w:sz w:val="20"/>
          <w:szCs w:val="20"/>
          <w:lang w:eastAsia="en-US"/>
        </w:rPr>
        <w:t>Ejercicio finalizado el 31 de marzo de 2020</w:t>
      </w:r>
    </w:p>
    <w:p w14:paraId="42F48515"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t xml:space="preserve">Las actividades de financiación de la </w:t>
      </w:r>
      <w:r w:rsidRPr="006E4259">
        <w:rPr>
          <w:rFonts w:ascii="Cambria" w:hAnsi="Cambria"/>
          <w:sz w:val="20"/>
        </w:rPr>
        <w:t>Emisora</w:t>
      </w:r>
      <w:r w:rsidRPr="005B081E">
        <w:rPr>
          <w:rFonts w:ascii="Cambria" w:hAnsi="Cambria"/>
          <w:sz w:val="20"/>
          <w:szCs w:val="20"/>
          <w:lang w:eastAsia="en-US"/>
        </w:rPr>
        <w:t xml:space="preserve"> generaron un incremento de los flujos de fondos netos por Ps. 2.369,1 millones durante el ejercicio finalizado el 31 de marzo de 2020. Dicho aumento se produjo como consecuencia de un aumento en la toma de deudas financieras por Ps. 6.719,8 millones, los cuales se vieron compensados parcialmente en la utilización de flujos de fondos para por el pago de dividendos en efectivo por Ps. 3.115,9 millones y para el pago de los intereses sobre deudas del ejercicio por Ps. 1.234,7 millones.</w:t>
      </w:r>
    </w:p>
    <w:p w14:paraId="39A25890" w14:textId="77777777" w:rsidR="00ED480D" w:rsidRPr="005B081E" w:rsidRDefault="00ED480D" w:rsidP="00ED480D">
      <w:pPr>
        <w:jc w:val="both"/>
        <w:rPr>
          <w:rFonts w:ascii="Cambria" w:hAnsi="Cambria"/>
          <w:b/>
          <w:i/>
          <w:sz w:val="20"/>
          <w:szCs w:val="20"/>
          <w:lang w:eastAsia="en-US"/>
        </w:rPr>
      </w:pPr>
      <w:r w:rsidRPr="005B081E">
        <w:rPr>
          <w:rFonts w:ascii="Cambria" w:hAnsi="Cambria"/>
          <w:b/>
          <w:i/>
          <w:sz w:val="20"/>
          <w:szCs w:val="20"/>
          <w:lang w:eastAsia="en-US"/>
        </w:rPr>
        <w:t>Ejercicio finalizado el 31 de marzo de 2019</w:t>
      </w:r>
    </w:p>
    <w:p w14:paraId="242C4F4D"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t xml:space="preserve">Las actividades de financiación de la </w:t>
      </w:r>
      <w:r w:rsidRPr="006E4259">
        <w:rPr>
          <w:rFonts w:ascii="Cambria" w:hAnsi="Cambria"/>
          <w:sz w:val="20"/>
        </w:rPr>
        <w:t>Emisora</w:t>
      </w:r>
      <w:r w:rsidRPr="005B081E">
        <w:rPr>
          <w:rFonts w:ascii="Cambria" w:hAnsi="Cambria"/>
          <w:sz w:val="20"/>
          <w:szCs w:val="20"/>
          <w:lang w:eastAsia="en-US"/>
        </w:rPr>
        <w:t xml:space="preserve"> generaron una disminución de los flujos de fondos netos por Ps. 6.684,3 millones durante el ejercicio finalizado el 31 de marzo de 2019. Dicha disminución se produjo como consecuencia de los pagos realizados sobre saldos de deudas financieras por Ps. 5.284,5 millones, por el pago de dividendos en efectivo por Ps. 900,5 millones y por los intereses pagados del ejercicio por Ps. 499,3 millones.</w:t>
      </w:r>
    </w:p>
    <w:p w14:paraId="52EAFF49" w14:textId="77777777" w:rsidR="00ED480D" w:rsidRPr="005B081E" w:rsidRDefault="00ED480D" w:rsidP="00ED480D">
      <w:pPr>
        <w:jc w:val="both"/>
        <w:rPr>
          <w:rFonts w:ascii="Cambria" w:hAnsi="Cambria"/>
          <w:b/>
          <w:i/>
          <w:sz w:val="20"/>
          <w:szCs w:val="20"/>
          <w:lang w:eastAsia="en-US"/>
        </w:rPr>
      </w:pPr>
      <w:r w:rsidRPr="005B081E">
        <w:rPr>
          <w:rFonts w:ascii="Cambria" w:hAnsi="Cambria"/>
          <w:b/>
          <w:i/>
          <w:sz w:val="20"/>
          <w:szCs w:val="20"/>
          <w:lang w:eastAsia="en-US"/>
        </w:rPr>
        <w:t>Ejercicio finalizado el 31 de marzo de 2018</w:t>
      </w:r>
    </w:p>
    <w:p w14:paraId="1C5063D8"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t xml:space="preserve">Las actividades de financiación de la </w:t>
      </w:r>
      <w:r>
        <w:rPr>
          <w:rFonts w:ascii="Cambria" w:hAnsi="Cambria"/>
          <w:sz w:val="20"/>
        </w:rPr>
        <w:t>E</w:t>
      </w:r>
      <w:r w:rsidRPr="006E4259">
        <w:rPr>
          <w:rFonts w:ascii="Cambria" w:hAnsi="Cambria"/>
          <w:sz w:val="20"/>
        </w:rPr>
        <w:t>misora</w:t>
      </w:r>
      <w:r w:rsidRPr="005B081E">
        <w:rPr>
          <w:rFonts w:ascii="Cambria" w:hAnsi="Cambria"/>
          <w:sz w:val="20"/>
          <w:szCs w:val="20"/>
          <w:lang w:eastAsia="en-US"/>
        </w:rPr>
        <w:t xml:space="preserve"> generaron una disminución de los flujos de fondos netos por Ps. 495,3 millones, durante el ejercicio finalizado el 31 de marzo de 2018. Dicha disminución se produjo como consecuencia de la utilización de fondos para el pago de dividendos en efectivo por Ps. 534 y por los intereses pagados del ejercicio por Ps. 207,4 millones. Esto se vio parcialmente compensado por de un aumento en la toma de deudas financieras por Ps. 246,2 millones.</w:t>
      </w:r>
    </w:p>
    <w:p w14:paraId="53132484" w14:textId="77777777" w:rsidR="00ED480D" w:rsidRPr="005B081E" w:rsidRDefault="00ED480D" w:rsidP="00ED480D">
      <w:pPr>
        <w:jc w:val="both"/>
        <w:rPr>
          <w:rFonts w:ascii="Cambria" w:hAnsi="Cambria"/>
          <w:sz w:val="20"/>
          <w:szCs w:val="20"/>
          <w:lang w:eastAsia="en-US"/>
        </w:rPr>
      </w:pPr>
      <w:r w:rsidRPr="005B081E">
        <w:rPr>
          <w:rFonts w:ascii="Cambria" w:hAnsi="Cambria"/>
          <w:b/>
          <w:bCs/>
          <w:sz w:val="20"/>
          <w:szCs w:val="20"/>
          <w:lang w:eastAsia="en-US"/>
        </w:rPr>
        <w:lastRenderedPageBreak/>
        <w:t>Información sobre el flujo de efectivo por los periodos de tres meses finalizados al 30 de junio de 2020 y 2019.</w:t>
      </w:r>
    </w:p>
    <w:p w14:paraId="206CCDFF" w14:textId="77777777" w:rsidR="00ED480D" w:rsidRPr="006F5C22" w:rsidRDefault="00ED480D" w:rsidP="00ED480D">
      <w:pPr>
        <w:jc w:val="both"/>
        <w:rPr>
          <w:rFonts w:ascii="Garamond" w:hAnsi="Garamond"/>
          <w:sz w:val="20"/>
          <w:highlight w:val="yellow"/>
          <w:lang w:eastAsia="en-US"/>
        </w:rPr>
      </w:pPr>
      <w:r w:rsidRPr="00537C9D">
        <w:rPr>
          <w:noProof/>
          <w:lang w:val="es-AR"/>
        </w:rPr>
        <w:drawing>
          <wp:inline distT="0" distB="0" distL="0" distR="0" wp14:anchorId="675EF093" wp14:editId="4040252C">
            <wp:extent cx="5612130" cy="2615565"/>
            <wp:effectExtent l="0" t="0" r="762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12130" cy="2615565"/>
                    </a:xfrm>
                    <a:prstGeom prst="rect">
                      <a:avLst/>
                    </a:prstGeom>
                    <a:noFill/>
                    <a:ln>
                      <a:noFill/>
                    </a:ln>
                  </pic:spPr>
                </pic:pic>
              </a:graphicData>
            </a:graphic>
          </wp:inline>
        </w:drawing>
      </w:r>
    </w:p>
    <w:p w14:paraId="092774A6" w14:textId="77777777" w:rsidR="00ED480D" w:rsidRPr="005B081E" w:rsidRDefault="00ED480D" w:rsidP="000C02A3">
      <w:pPr>
        <w:numPr>
          <w:ilvl w:val="0"/>
          <w:numId w:val="42"/>
        </w:numPr>
        <w:spacing w:after="160"/>
        <w:contextualSpacing/>
        <w:jc w:val="both"/>
        <w:rPr>
          <w:rFonts w:ascii="Cambria" w:hAnsi="Cambria"/>
          <w:sz w:val="20"/>
          <w:szCs w:val="20"/>
          <w:lang w:eastAsia="en-US"/>
        </w:rPr>
      </w:pPr>
      <w:r w:rsidRPr="005B081E">
        <w:rPr>
          <w:rFonts w:ascii="Cambria" w:hAnsi="Cambria"/>
          <w:sz w:val="20"/>
          <w:szCs w:val="20"/>
          <w:lang w:eastAsia="en-US"/>
        </w:rPr>
        <w:t>Los saldos surgen de los estados financieros consolidados al 30 de junio de 2020 y se encuentran expresados en moneda de dicha fecha.</w:t>
      </w:r>
    </w:p>
    <w:p w14:paraId="49B2C2F2" w14:textId="77777777" w:rsidR="00ED480D" w:rsidRPr="006F5C22" w:rsidRDefault="00ED480D" w:rsidP="00ED480D">
      <w:pPr>
        <w:spacing w:after="160"/>
        <w:ind w:left="502"/>
        <w:contextualSpacing/>
        <w:jc w:val="both"/>
        <w:rPr>
          <w:rFonts w:ascii="Cambria" w:hAnsi="Cambria"/>
          <w:sz w:val="20"/>
          <w:szCs w:val="20"/>
          <w:lang w:eastAsia="en-US"/>
        </w:rPr>
      </w:pPr>
    </w:p>
    <w:p w14:paraId="69ED920E" w14:textId="77777777" w:rsidR="00ED480D" w:rsidRPr="006F5C22" w:rsidRDefault="00ED480D" w:rsidP="00ED480D">
      <w:pPr>
        <w:jc w:val="both"/>
        <w:rPr>
          <w:b/>
          <w:i/>
          <w:szCs w:val="24"/>
          <w:lang w:eastAsia="en-US"/>
        </w:rPr>
      </w:pPr>
      <w:r w:rsidRPr="00123D23">
        <w:rPr>
          <w:rFonts w:ascii="Cambria" w:hAnsi="Cambria"/>
          <w:b/>
          <w:i/>
          <w:sz w:val="20"/>
          <w:szCs w:val="20"/>
          <w:lang w:eastAsia="en-US"/>
        </w:rPr>
        <w:t xml:space="preserve">Flujo de Efectivo por el periodo de tres meses finalizado al 30 de junio de 2020 </w:t>
      </w:r>
    </w:p>
    <w:p w14:paraId="5A09229D"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t xml:space="preserve">Al 30 de junio de 2020, el aumento del efectivo fue de Ps. 468,7 millones, mientras que al 30 de junio de 2019 fue de Ps. 517,8 millones, esto representa un menor aumento en el flujo de efectivo neto de Ps. 49 millones, respecto del mismo periodo del ejercicio anterior. La variación se debe al aumento en las necesidades de los flujos de fondos utilizados en la actividad de financiación por Ps. 7.048,7 millones, el cual, se vio compensada en parte, por los flujos de fondos generados por las actividades de operación por Ps. 3.625,2 millones y las generadas por los de flujos de fondos netos en las actividades de inversión por Ps. 3.374,4 millones. </w:t>
      </w:r>
    </w:p>
    <w:p w14:paraId="2B81C0B8" w14:textId="77777777" w:rsidR="00ED480D" w:rsidRPr="006F5C22" w:rsidRDefault="00ED480D" w:rsidP="00ED480D">
      <w:pPr>
        <w:jc w:val="both"/>
        <w:rPr>
          <w:rFonts w:ascii="Cambria" w:hAnsi="Cambria"/>
          <w:sz w:val="20"/>
          <w:szCs w:val="20"/>
          <w:lang w:eastAsia="en-US"/>
        </w:rPr>
      </w:pPr>
      <w:r w:rsidRPr="006F5C22">
        <w:rPr>
          <w:rFonts w:ascii="Cambria" w:hAnsi="Cambria"/>
          <w:b/>
          <w:sz w:val="20"/>
          <w:szCs w:val="20"/>
          <w:lang w:eastAsia="en-US"/>
        </w:rPr>
        <w:t xml:space="preserve">Flujo neto de efectivo generado por las actividades operativas </w:t>
      </w:r>
    </w:p>
    <w:p w14:paraId="2BCB2AF6" w14:textId="77777777" w:rsidR="00ED480D" w:rsidRPr="006F5C22" w:rsidRDefault="00ED480D" w:rsidP="00ED480D">
      <w:pPr>
        <w:jc w:val="both"/>
        <w:rPr>
          <w:rFonts w:ascii="Cambria" w:hAnsi="Cambria"/>
          <w:b/>
          <w:bCs/>
          <w:sz w:val="20"/>
          <w:szCs w:val="20"/>
          <w:lang w:eastAsia="en-US"/>
        </w:rPr>
      </w:pPr>
      <w:r w:rsidRPr="006F5C22">
        <w:rPr>
          <w:rFonts w:ascii="Cambria" w:hAnsi="Cambria"/>
          <w:b/>
          <w:bCs/>
          <w:sz w:val="20"/>
          <w:szCs w:val="20"/>
          <w:lang w:eastAsia="en-US"/>
        </w:rPr>
        <w:t>Periodo de tres meses finalizado el 30 de junio de 2020</w:t>
      </w:r>
    </w:p>
    <w:p w14:paraId="2C3BEA39"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t xml:space="preserve">Las actividades operativas de la Emisora generaron un aumento neto en los flujos de fondos de Ps. 488,8 millones durante el periodo de tres meses finalizado el 30 de junio de 2020, principalmente debido al flujo de fondos generados por los resultados antes de impuesto a las ganancias, neto de los ajustes para conciliar los flujos de efectivos neto por Ps. 821,9 millones, por la disminución de los créditos impositivos y aduaneros por Ps. 2.147,2, por el aumento de las deudas comerciales por Ps. 4.993 millones y por otras variaciones de capital de trabajo que generaron fondos por Ps. 175,2 millones. Esto fue compensado en parte, por utilización de flujo de fondos en el aumento de los inventaros por Ps. 7.648,6 millones </w:t>
      </w:r>
    </w:p>
    <w:p w14:paraId="119551CB" w14:textId="77777777" w:rsidR="00ED480D" w:rsidRPr="006F5C22" w:rsidRDefault="00ED480D" w:rsidP="00ED480D">
      <w:pPr>
        <w:jc w:val="both"/>
        <w:rPr>
          <w:rFonts w:ascii="Cambria" w:hAnsi="Cambria"/>
          <w:b/>
          <w:sz w:val="20"/>
          <w:szCs w:val="20"/>
          <w:lang w:eastAsia="en-US"/>
        </w:rPr>
      </w:pPr>
      <w:r w:rsidRPr="006F5C22">
        <w:rPr>
          <w:rFonts w:ascii="Cambria" w:hAnsi="Cambria"/>
          <w:b/>
          <w:sz w:val="20"/>
          <w:szCs w:val="20"/>
          <w:lang w:eastAsia="en-US"/>
        </w:rPr>
        <w:t xml:space="preserve">Flujo neto de efectivo generados (utilizado en) por las actividades de inversión </w:t>
      </w:r>
    </w:p>
    <w:p w14:paraId="286F9E5B" w14:textId="77777777" w:rsidR="00ED480D" w:rsidRPr="006F5C22" w:rsidRDefault="00ED480D" w:rsidP="00ED480D">
      <w:pPr>
        <w:jc w:val="both"/>
        <w:rPr>
          <w:rFonts w:ascii="Cambria" w:hAnsi="Cambria"/>
          <w:b/>
          <w:bCs/>
          <w:sz w:val="20"/>
          <w:szCs w:val="20"/>
          <w:lang w:eastAsia="en-US"/>
        </w:rPr>
      </w:pPr>
      <w:r w:rsidRPr="006F5C22">
        <w:rPr>
          <w:rFonts w:ascii="Cambria" w:hAnsi="Cambria"/>
          <w:b/>
          <w:bCs/>
          <w:sz w:val="20"/>
          <w:szCs w:val="20"/>
          <w:lang w:eastAsia="en-US"/>
        </w:rPr>
        <w:t>Periodo de tres meses finalizado el 30 de junio de 2020</w:t>
      </w:r>
    </w:p>
    <w:p w14:paraId="5D1AD915"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t xml:space="preserve">Las actividades de inversión de la </w:t>
      </w:r>
      <w:r w:rsidRPr="005B081E">
        <w:rPr>
          <w:rFonts w:ascii="Cambria" w:hAnsi="Cambria"/>
          <w:snapToGrid w:val="0"/>
          <w:sz w:val="20"/>
          <w:szCs w:val="20"/>
          <w:lang w:eastAsia="en-US"/>
        </w:rPr>
        <w:t>Emisora</w:t>
      </w:r>
      <w:r w:rsidRPr="005B081E">
        <w:rPr>
          <w:rFonts w:ascii="Cambria" w:hAnsi="Cambria"/>
          <w:sz w:val="20"/>
          <w:szCs w:val="20"/>
          <w:lang w:eastAsia="en-US"/>
        </w:rPr>
        <w:t xml:space="preserve"> generaron un aumento de los flujos de fondos netos de Ps. 4.106,8 millones, durante el periodo de tres meses finalizado el 30 de junio de 2020, generado principalmente por Ps. 2.851,9 millones, correspondientes al cobro de colocaciones a corto plazo y por Ps. 1.328,5 millones en el cobro de rendimientos de dichas colocaciones a corto plazo. Esto fue </w:t>
      </w:r>
      <w:r w:rsidRPr="005B081E">
        <w:rPr>
          <w:rFonts w:ascii="Cambria" w:hAnsi="Cambria"/>
          <w:sz w:val="20"/>
          <w:szCs w:val="20"/>
          <w:lang w:eastAsia="en-US"/>
        </w:rPr>
        <w:lastRenderedPageBreak/>
        <w:t>compensado en parte por la utilización de fondos por las adquisiciones de propiedad, planta y equipo por Ps. 73,6 millones.</w:t>
      </w:r>
    </w:p>
    <w:p w14:paraId="6A06D42A" w14:textId="77777777" w:rsidR="00ED480D" w:rsidRPr="006F5C22" w:rsidRDefault="00ED480D" w:rsidP="00ED480D">
      <w:pPr>
        <w:jc w:val="both"/>
        <w:rPr>
          <w:rFonts w:ascii="Cambria" w:hAnsi="Cambria"/>
          <w:b/>
          <w:i/>
          <w:sz w:val="20"/>
          <w:szCs w:val="20"/>
          <w:lang w:eastAsia="en-US"/>
        </w:rPr>
      </w:pPr>
      <w:r w:rsidRPr="006F5C22">
        <w:rPr>
          <w:rFonts w:ascii="Cambria" w:hAnsi="Cambria"/>
          <w:b/>
          <w:i/>
          <w:sz w:val="20"/>
          <w:szCs w:val="20"/>
          <w:lang w:eastAsia="en-US"/>
        </w:rPr>
        <w:t xml:space="preserve">Flujo de efectivo neto (utilizado en) las actividades de financiación </w:t>
      </w:r>
    </w:p>
    <w:p w14:paraId="230651C9" w14:textId="77777777" w:rsidR="00ED480D" w:rsidRPr="006F5C22" w:rsidRDefault="00ED480D" w:rsidP="00ED480D">
      <w:pPr>
        <w:jc w:val="both"/>
        <w:rPr>
          <w:rFonts w:ascii="Cambria" w:hAnsi="Cambria"/>
          <w:b/>
          <w:bCs/>
          <w:sz w:val="20"/>
          <w:szCs w:val="20"/>
          <w:lang w:eastAsia="en-US"/>
        </w:rPr>
      </w:pPr>
      <w:r w:rsidRPr="006F5C22">
        <w:rPr>
          <w:rFonts w:ascii="Cambria" w:hAnsi="Cambria"/>
          <w:b/>
          <w:bCs/>
          <w:sz w:val="20"/>
          <w:szCs w:val="20"/>
          <w:lang w:eastAsia="en-US"/>
        </w:rPr>
        <w:t>Periodo de tres meses finalizado el 30 de junio de 2020</w:t>
      </w:r>
    </w:p>
    <w:p w14:paraId="447C4F88"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t xml:space="preserve">Las actividades de financiación de la </w:t>
      </w:r>
      <w:r w:rsidRPr="005B081E">
        <w:rPr>
          <w:rFonts w:ascii="Cambria" w:hAnsi="Cambria"/>
          <w:snapToGrid w:val="0"/>
          <w:sz w:val="20"/>
          <w:szCs w:val="20"/>
          <w:lang w:eastAsia="en-US"/>
        </w:rPr>
        <w:t>Emisora</w:t>
      </w:r>
      <w:r w:rsidRPr="005B081E">
        <w:rPr>
          <w:rFonts w:ascii="Cambria" w:hAnsi="Cambria"/>
          <w:sz w:val="20"/>
          <w:szCs w:val="20"/>
          <w:lang w:eastAsia="en-US"/>
        </w:rPr>
        <w:t xml:space="preserve"> generaron una disminución significativa de los flujos de fondos netos, utilizando fondos por Ps. 4.126,9 millones durante el periodo de tres meses finalizado el 30 de junio de 2020. Esto</w:t>
      </w:r>
      <w:r>
        <w:rPr>
          <w:rFonts w:ascii="Cambria" w:hAnsi="Cambria"/>
          <w:sz w:val="20"/>
          <w:szCs w:val="20"/>
          <w:lang w:eastAsia="en-US"/>
        </w:rPr>
        <w:t>s</w:t>
      </w:r>
      <w:r w:rsidRPr="005B081E">
        <w:rPr>
          <w:rFonts w:ascii="Cambria" w:hAnsi="Cambria"/>
          <w:sz w:val="20"/>
          <w:szCs w:val="20"/>
          <w:lang w:eastAsia="en-US"/>
        </w:rPr>
        <w:t xml:space="preserve"> se utilizaron para pagar deudas financieras, principalmente prefinanciación por exportaciones</w:t>
      </w:r>
      <w:r>
        <w:rPr>
          <w:rFonts w:ascii="Cambria" w:hAnsi="Cambria"/>
          <w:sz w:val="20"/>
          <w:szCs w:val="20"/>
          <w:lang w:eastAsia="en-US"/>
        </w:rPr>
        <w:t xml:space="preserve"> y descubiertos bancarios</w:t>
      </w:r>
      <w:r w:rsidRPr="005B081E">
        <w:rPr>
          <w:rFonts w:ascii="Cambria" w:hAnsi="Cambria"/>
          <w:sz w:val="20"/>
          <w:szCs w:val="20"/>
          <w:lang w:eastAsia="en-US"/>
        </w:rPr>
        <w:t xml:space="preserve"> por Ps. 3.431,9 millones y para el pago de los intereses sobre deudas del periodo por Ps. 695 millones.</w:t>
      </w:r>
    </w:p>
    <w:p w14:paraId="7003E121" w14:textId="77777777" w:rsidR="00ED480D" w:rsidRPr="006F5C22" w:rsidRDefault="00ED480D" w:rsidP="00ED480D">
      <w:pPr>
        <w:keepNext/>
        <w:jc w:val="both"/>
        <w:rPr>
          <w:rFonts w:ascii="Cambria" w:hAnsi="Cambria"/>
          <w:sz w:val="20"/>
          <w:szCs w:val="20"/>
          <w:lang w:eastAsia="en-US"/>
        </w:rPr>
      </w:pPr>
      <w:r w:rsidRPr="006F5C22">
        <w:rPr>
          <w:rFonts w:ascii="Cambria" w:hAnsi="Cambria"/>
          <w:b/>
          <w:sz w:val="20"/>
          <w:szCs w:val="20"/>
          <w:lang w:eastAsia="en-US"/>
        </w:rPr>
        <w:t xml:space="preserve">Endeudamiento de la Emisora por los ejercicios finalizados al 31 de marzo de 2020, 2019 y 2018 </w:t>
      </w:r>
    </w:p>
    <w:p w14:paraId="5FE0AF30" w14:textId="77777777" w:rsidR="00ED480D" w:rsidRPr="006E4259" w:rsidRDefault="00ED480D" w:rsidP="00ED480D">
      <w:pPr>
        <w:keepNext/>
        <w:jc w:val="both"/>
        <w:rPr>
          <w:b/>
        </w:rPr>
      </w:pPr>
      <w:r w:rsidRPr="006E4259">
        <w:rPr>
          <w:noProof/>
          <w:lang w:val="es-AR"/>
        </w:rPr>
        <w:drawing>
          <wp:inline distT="0" distB="0" distL="0" distR="0" wp14:anchorId="77DEE6CB" wp14:editId="3D48E378">
            <wp:extent cx="5050554" cy="955248"/>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70279" cy="958979"/>
                    </a:xfrm>
                    <a:prstGeom prst="rect">
                      <a:avLst/>
                    </a:prstGeom>
                    <a:noFill/>
                    <a:ln>
                      <a:noFill/>
                    </a:ln>
                  </pic:spPr>
                </pic:pic>
              </a:graphicData>
            </a:graphic>
          </wp:inline>
        </w:drawing>
      </w:r>
    </w:p>
    <w:p w14:paraId="49ADBC8C" w14:textId="77777777" w:rsidR="00ED480D" w:rsidRPr="006E4259" w:rsidRDefault="00ED480D" w:rsidP="00ED480D">
      <w:pPr>
        <w:jc w:val="both"/>
        <w:rPr>
          <w:rFonts w:ascii="Garamond" w:hAnsi="Garamond"/>
          <w:sz w:val="20"/>
          <w:highlight w:val="yellow"/>
        </w:rPr>
      </w:pPr>
      <w:r w:rsidRPr="006E4259" w:rsidDel="00EF4D83">
        <w:rPr>
          <w:rFonts w:ascii="Garamond" w:hAnsi="Garamond"/>
          <w:sz w:val="20"/>
        </w:rPr>
        <w:t xml:space="preserve"> </w:t>
      </w:r>
    </w:p>
    <w:p w14:paraId="29272738" w14:textId="77777777" w:rsidR="00ED480D" w:rsidRPr="005B081E" w:rsidRDefault="00ED480D" w:rsidP="000C02A3">
      <w:pPr>
        <w:numPr>
          <w:ilvl w:val="0"/>
          <w:numId w:val="19"/>
        </w:numPr>
        <w:spacing w:after="160"/>
        <w:ind w:left="360"/>
        <w:contextualSpacing/>
        <w:jc w:val="both"/>
        <w:rPr>
          <w:rFonts w:ascii="Cambria" w:hAnsi="Cambria"/>
          <w:sz w:val="20"/>
          <w:szCs w:val="20"/>
          <w:lang w:eastAsia="en-US"/>
        </w:rPr>
      </w:pPr>
      <w:r w:rsidRPr="005B081E">
        <w:rPr>
          <w:rFonts w:ascii="Cambria" w:hAnsi="Cambria"/>
          <w:sz w:val="20"/>
          <w:szCs w:val="20"/>
          <w:lang w:eastAsia="en-US"/>
        </w:rPr>
        <w:t>La información financiera surge de los estados financieros consolidados al 31 de marzo de 2020 y se encuentran expresados en moneda de dicha fecha.</w:t>
      </w:r>
    </w:p>
    <w:p w14:paraId="5E185972" w14:textId="77777777" w:rsidR="00ED480D" w:rsidRPr="005B081E" w:rsidRDefault="00ED480D" w:rsidP="000C02A3">
      <w:pPr>
        <w:numPr>
          <w:ilvl w:val="0"/>
          <w:numId w:val="19"/>
        </w:numPr>
        <w:spacing w:after="160"/>
        <w:ind w:left="360"/>
        <w:contextualSpacing/>
        <w:jc w:val="both"/>
        <w:rPr>
          <w:rFonts w:ascii="Cambria" w:hAnsi="Cambria"/>
          <w:sz w:val="20"/>
          <w:szCs w:val="20"/>
          <w:lang w:eastAsia="en-US"/>
        </w:rPr>
      </w:pPr>
      <w:r w:rsidRPr="005B081E">
        <w:rPr>
          <w:rFonts w:ascii="Cambria" w:hAnsi="Cambria"/>
          <w:sz w:val="20"/>
          <w:szCs w:val="20"/>
          <w:lang w:eastAsia="en-US"/>
        </w:rPr>
        <w:t>La información financiera surge de los estados financieros consolidados al 31 de marzo de 2018 y se encuentran expresados en moneda del 31 de marzo de 2020.</w:t>
      </w:r>
    </w:p>
    <w:p w14:paraId="672C5CE7" w14:textId="77777777" w:rsidR="00ED480D" w:rsidRPr="006F5C22" w:rsidRDefault="00ED480D" w:rsidP="00ED480D">
      <w:pPr>
        <w:keepNext/>
        <w:jc w:val="both"/>
        <w:rPr>
          <w:rFonts w:ascii="Cambria" w:hAnsi="Cambria"/>
          <w:b/>
          <w:i/>
          <w:sz w:val="20"/>
          <w:szCs w:val="20"/>
          <w:lang w:eastAsia="en-US"/>
        </w:rPr>
      </w:pPr>
    </w:p>
    <w:p w14:paraId="2BF4F8BD" w14:textId="77777777" w:rsidR="00ED480D" w:rsidRPr="006F5C22" w:rsidRDefault="00ED480D" w:rsidP="00ED480D">
      <w:pPr>
        <w:keepNext/>
        <w:jc w:val="both"/>
        <w:rPr>
          <w:rFonts w:ascii="Cambria" w:hAnsi="Cambria"/>
          <w:b/>
          <w:i/>
          <w:sz w:val="20"/>
          <w:szCs w:val="20"/>
          <w:lang w:eastAsia="en-US"/>
        </w:rPr>
      </w:pPr>
      <w:r w:rsidRPr="006F5C22">
        <w:rPr>
          <w:rFonts w:ascii="Cambria" w:hAnsi="Cambria"/>
          <w:b/>
          <w:i/>
          <w:sz w:val="20"/>
          <w:szCs w:val="20"/>
          <w:lang w:eastAsia="en-US"/>
        </w:rPr>
        <w:t>Vencimientos de Deudas financieras al 31 de marzo de 2020</w:t>
      </w:r>
    </w:p>
    <w:p w14:paraId="6FF736EF" w14:textId="77777777" w:rsidR="00ED480D" w:rsidRPr="006E4259" w:rsidRDefault="00ED480D" w:rsidP="00ED480D">
      <w:pPr>
        <w:keepNext/>
        <w:jc w:val="both"/>
        <w:rPr>
          <w:b/>
        </w:rPr>
      </w:pPr>
      <w:r w:rsidRPr="006E4259">
        <w:rPr>
          <w:noProof/>
          <w:lang w:val="es-AR"/>
        </w:rPr>
        <w:drawing>
          <wp:inline distT="0" distB="0" distL="0" distR="0" wp14:anchorId="304B57D3" wp14:editId="5574FC56">
            <wp:extent cx="5410111" cy="1244485"/>
            <wp:effectExtent l="0" t="0" r="635"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20805" cy="1246945"/>
                    </a:xfrm>
                    <a:prstGeom prst="rect">
                      <a:avLst/>
                    </a:prstGeom>
                    <a:noFill/>
                    <a:ln>
                      <a:noFill/>
                    </a:ln>
                  </pic:spPr>
                </pic:pic>
              </a:graphicData>
            </a:graphic>
          </wp:inline>
        </w:drawing>
      </w:r>
    </w:p>
    <w:p w14:paraId="7A036B94" w14:textId="77777777" w:rsidR="00ED480D" w:rsidRPr="005B081E" w:rsidRDefault="00ED480D" w:rsidP="000C02A3">
      <w:pPr>
        <w:numPr>
          <w:ilvl w:val="0"/>
          <w:numId w:val="20"/>
        </w:numPr>
        <w:spacing w:after="160"/>
        <w:contextualSpacing/>
        <w:jc w:val="both"/>
        <w:rPr>
          <w:rFonts w:ascii="Cambria" w:hAnsi="Cambria"/>
          <w:sz w:val="20"/>
          <w:szCs w:val="20"/>
          <w:lang w:eastAsia="en-US"/>
        </w:rPr>
      </w:pPr>
      <w:r w:rsidRPr="005B081E">
        <w:rPr>
          <w:rFonts w:ascii="Cambria" w:hAnsi="Cambria"/>
          <w:sz w:val="20"/>
          <w:szCs w:val="20"/>
          <w:lang w:eastAsia="en-US"/>
        </w:rPr>
        <w:t>La información financiera surge de los estados financieros consolidados al 31 de marzo de 2020 y se encuentran expresados en moneda de dicha fecha.</w:t>
      </w:r>
    </w:p>
    <w:p w14:paraId="7042F73C" w14:textId="77777777" w:rsidR="00ED480D" w:rsidRPr="005B081E" w:rsidRDefault="00ED480D" w:rsidP="00ED480D">
      <w:pPr>
        <w:keepNext/>
        <w:jc w:val="both"/>
        <w:rPr>
          <w:rFonts w:ascii="Cambria" w:hAnsi="Cambria"/>
          <w:b/>
          <w:sz w:val="20"/>
          <w:szCs w:val="20"/>
          <w:lang w:eastAsia="en-US"/>
        </w:rPr>
      </w:pPr>
    </w:p>
    <w:p w14:paraId="5413BD58" w14:textId="77777777" w:rsidR="00ED480D" w:rsidRPr="005B081E" w:rsidRDefault="00ED480D" w:rsidP="00ED480D">
      <w:pPr>
        <w:keepNext/>
        <w:jc w:val="both"/>
        <w:rPr>
          <w:rFonts w:ascii="Cambria" w:hAnsi="Cambria"/>
          <w:b/>
          <w:sz w:val="20"/>
          <w:szCs w:val="20"/>
          <w:lang w:eastAsia="en-US"/>
        </w:rPr>
      </w:pPr>
      <w:r w:rsidRPr="005B081E">
        <w:rPr>
          <w:rFonts w:ascii="Cambria" w:hAnsi="Cambria"/>
          <w:b/>
          <w:i/>
          <w:sz w:val="20"/>
          <w:szCs w:val="20"/>
          <w:lang w:eastAsia="en-US"/>
        </w:rPr>
        <w:t>Vencimientos de Deudas financieras al 31 de marzo de 2019</w:t>
      </w:r>
    </w:p>
    <w:p w14:paraId="1453BF40" w14:textId="77777777" w:rsidR="00ED480D" w:rsidRPr="005B081E" w:rsidRDefault="00ED480D" w:rsidP="00ED480D">
      <w:pPr>
        <w:keepNext/>
        <w:jc w:val="both"/>
        <w:rPr>
          <w:b/>
          <w:i/>
          <w:szCs w:val="24"/>
          <w:lang w:eastAsia="en-US"/>
        </w:rPr>
      </w:pPr>
      <w:r w:rsidRPr="005B081E">
        <w:rPr>
          <w:b/>
          <w:i/>
          <w:noProof/>
          <w:szCs w:val="24"/>
          <w:lang w:val="es-AR"/>
        </w:rPr>
        <w:drawing>
          <wp:inline distT="0" distB="0" distL="0" distR="0" wp14:anchorId="04016269" wp14:editId="44291097">
            <wp:extent cx="4456430" cy="1261745"/>
            <wp:effectExtent l="0" t="0" r="127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456430" cy="1261745"/>
                    </a:xfrm>
                    <a:prstGeom prst="rect">
                      <a:avLst/>
                    </a:prstGeom>
                    <a:noFill/>
                  </pic:spPr>
                </pic:pic>
              </a:graphicData>
            </a:graphic>
          </wp:inline>
        </w:drawing>
      </w:r>
    </w:p>
    <w:p w14:paraId="6BDCAB67" w14:textId="77777777" w:rsidR="00ED480D" w:rsidRDefault="00ED480D" w:rsidP="000C02A3">
      <w:pPr>
        <w:numPr>
          <w:ilvl w:val="0"/>
          <w:numId w:val="21"/>
        </w:numPr>
        <w:spacing w:after="160"/>
        <w:contextualSpacing/>
        <w:jc w:val="both"/>
        <w:rPr>
          <w:rFonts w:ascii="Cambria" w:hAnsi="Cambria"/>
          <w:sz w:val="20"/>
          <w:szCs w:val="20"/>
          <w:lang w:eastAsia="en-US"/>
        </w:rPr>
      </w:pPr>
      <w:r w:rsidRPr="005B081E">
        <w:rPr>
          <w:rFonts w:ascii="Cambria" w:hAnsi="Cambria"/>
          <w:sz w:val="20"/>
          <w:szCs w:val="20"/>
          <w:lang w:eastAsia="en-US"/>
        </w:rPr>
        <w:t>La información financiera surge de los estados financieros consolidados al 31 de marzo de 2020 y se encuentran expresados en moneda del 31 de marzo de 2020.</w:t>
      </w:r>
    </w:p>
    <w:p w14:paraId="0BA86E41" w14:textId="77777777" w:rsidR="00ED480D" w:rsidRPr="006E4259" w:rsidRDefault="00ED480D" w:rsidP="00ED480D">
      <w:pPr>
        <w:spacing w:after="160"/>
        <w:ind w:left="720"/>
        <w:contextualSpacing/>
        <w:jc w:val="both"/>
        <w:rPr>
          <w:rFonts w:ascii="Cambria" w:hAnsi="Cambria"/>
          <w:sz w:val="20"/>
        </w:rPr>
      </w:pPr>
    </w:p>
    <w:p w14:paraId="579A7360" w14:textId="77777777" w:rsidR="00ED480D" w:rsidRPr="006F5C22" w:rsidRDefault="00ED480D" w:rsidP="00ED480D">
      <w:pPr>
        <w:keepNext/>
        <w:jc w:val="both"/>
        <w:rPr>
          <w:rFonts w:ascii="Cambria" w:hAnsi="Cambria"/>
          <w:b/>
          <w:sz w:val="20"/>
          <w:szCs w:val="20"/>
          <w:lang w:eastAsia="en-US"/>
        </w:rPr>
      </w:pPr>
      <w:r w:rsidRPr="006F5C22">
        <w:rPr>
          <w:rFonts w:ascii="Cambria" w:hAnsi="Cambria"/>
          <w:b/>
          <w:i/>
          <w:sz w:val="20"/>
          <w:szCs w:val="20"/>
          <w:lang w:eastAsia="en-US"/>
        </w:rPr>
        <w:t>Vencimientos de Deudas financieras al 31 de marzo de 2018</w:t>
      </w:r>
    </w:p>
    <w:p w14:paraId="5B4919D1" w14:textId="77777777" w:rsidR="00ED480D" w:rsidRPr="006E4259" w:rsidRDefault="00ED480D" w:rsidP="00ED480D">
      <w:pPr>
        <w:jc w:val="both"/>
        <w:rPr>
          <w:rFonts w:ascii="Garamond" w:hAnsi="Garamond"/>
          <w:sz w:val="20"/>
          <w:highlight w:val="yellow"/>
        </w:rPr>
      </w:pPr>
      <w:r w:rsidRPr="006E4259">
        <w:rPr>
          <w:noProof/>
          <w:lang w:val="es-AR"/>
        </w:rPr>
        <w:drawing>
          <wp:inline distT="0" distB="0" distL="0" distR="0" wp14:anchorId="766E3E67" wp14:editId="7E5CF58B">
            <wp:extent cx="5612130" cy="862965"/>
            <wp:effectExtent l="0" t="0" r="762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12130" cy="862965"/>
                    </a:xfrm>
                    <a:prstGeom prst="rect">
                      <a:avLst/>
                    </a:prstGeom>
                    <a:noFill/>
                    <a:ln>
                      <a:noFill/>
                    </a:ln>
                  </pic:spPr>
                </pic:pic>
              </a:graphicData>
            </a:graphic>
          </wp:inline>
        </w:drawing>
      </w:r>
    </w:p>
    <w:p w14:paraId="1E704F01" w14:textId="77777777" w:rsidR="00ED480D" w:rsidRPr="006E4259" w:rsidRDefault="00ED480D" w:rsidP="000C02A3">
      <w:pPr>
        <w:numPr>
          <w:ilvl w:val="0"/>
          <w:numId w:val="22"/>
        </w:numPr>
        <w:spacing w:after="160"/>
        <w:contextualSpacing/>
        <w:jc w:val="both"/>
      </w:pPr>
      <w:bookmarkStart w:id="31" w:name="_Hlk47536690"/>
      <w:r w:rsidRPr="006F5C22">
        <w:rPr>
          <w:rFonts w:ascii="Cambria" w:hAnsi="Cambria"/>
          <w:sz w:val="20"/>
          <w:szCs w:val="20"/>
          <w:lang w:eastAsia="en-US"/>
        </w:rPr>
        <w:t>La información financiera surge de los estados financieros consolidados al 31 de marzo de 2018 y se encuentran expresados en moneda del 31 de marzo de 2020.</w:t>
      </w:r>
      <w:bookmarkEnd w:id="31"/>
    </w:p>
    <w:p w14:paraId="5593984D" w14:textId="77777777" w:rsidR="00ED480D" w:rsidRPr="006F5C22" w:rsidRDefault="00ED480D" w:rsidP="00ED480D">
      <w:pPr>
        <w:spacing w:after="160"/>
        <w:ind w:left="720"/>
        <w:contextualSpacing/>
        <w:jc w:val="both"/>
        <w:rPr>
          <w:szCs w:val="24"/>
          <w:lang w:eastAsia="en-US"/>
        </w:rPr>
      </w:pPr>
    </w:p>
    <w:p w14:paraId="1A46B1FE" w14:textId="77777777" w:rsidR="00ED480D" w:rsidRPr="006F5C22" w:rsidRDefault="00ED480D" w:rsidP="00ED480D">
      <w:pPr>
        <w:keepNext/>
        <w:jc w:val="both"/>
        <w:rPr>
          <w:rFonts w:ascii="Cambria" w:hAnsi="Cambria"/>
          <w:sz w:val="20"/>
          <w:szCs w:val="20"/>
          <w:lang w:eastAsia="en-US"/>
        </w:rPr>
      </w:pPr>
      <w:r w:rsidRPr="006F5C22">
        <w:rPr>
          <w:rFonts w:ascii="Cambria" w:hAnsi="Cambria"/>
          <w:b/>
          <w:sz w:val="20"/>
          <w:szCs w:val="20"/>
          <w:lang w:eastAsia="en-US"/>
        </w:rPr>
        <w:t xml:space="preserve">Endeudamiento de la Emisora por el periodo de tres meses finalizado el 30 de junio de 2020, (importes expresados en miles de pesos) </w:t>
      </w:r>
    </w:p>
    <w:p w14:paraId="252725F5" w14:textId="77777777" w:rsidR="00ED480D" w:rsidRPr="006F5C22" w:rsidRDefault="00ED480D" w:rsidP="00ED480D">
      <w:pPr>
        <w:jc w:val="both"/>
        <w:rPr>
          <w:szCs w:val="24"/>
          <w:lang w:eastAsia="en-US"/>
        </w:rPr>
      </w:pPr>
      <w:r w:rsidRPr="008F22F9">
        <w:rPr>
          <w:noProof/>
          <w:lang w:val="es-AR"/>
        </w:rPr>
        <w:drawing>
          <wp:inline distT="0" distB="0" distL="0" distR="0" wp14:anchorId="5010EBA5" wp14:editId="342CFE78">
            <wp:extent cx="4953000" cy="154305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53000" cy="1543050"/>
                    </a:xfrm>
                    <a:prstGeom prst="rect">
                      <a:avLst/>
                    </a:prstGeom>
                    <a:noFill/>
                    <a:ln>
                      <a:noFill/>
                    </a:ln>
                  </pic:spPr>
                </pic:pic>
              </a:graphicData>
            </a:graphic>
          </wp:inline>
        </w:drawing>
      </w:r>
      <w:r w:rsidRPr="008F22F9" w:rsidDel="008F22F9">
        <w:t xml:space="preserve"> </w:t>
      </w:r>
    </w:p>
    <w:p w14:paraId="69E7E2D2" w14:textId="77777777" w:rsidR="00ED480D" w:rsidRDefault="00ED480D" w:rsidP="000C02A3">
      <w:pPr>
        <w:numPr>
          <w:ilvl w:val="0"/>
          <w:numId w:val="43"/>
        </w:numPr>
        <w:spacing w:after="160"/>
        <w:contextualSpacing/>
        <w:jc w:val="both"/>
        <w:rPr>
          <w:rFonts w:ascii="Cambria" w:hAnsi="Cambria"/>
          <w:sz w:val="20"/>
          <w:szCs w:val="20"/>
          <w:lang w:eastAsia="en-US"/>
        </w:rPr>
      </w:pPr>
      <w:r w:rsidRPr="005B081E">
        <w:rPr>
          <w:rFonts w:ascii="Cambria" w:hAnsi="Cambria"/>
          <w:sz w:val="20"/>
          <w:szCs w:val="20"/>
          <w:lang w:eastAsia="en-US"/>
        </w:rPr>
        <w:t>La información financiera surge de los estados financieros consolidados al 30 de junio de 2020 y se encuentran expresados en moneda de dicha fecha.</w:t>
      </w:r>
    </w:p>
    <w:p w14:paraId="7FF582AE" w14:textId="77777777" w:rsidR="00ED480D" w:rsidRDefault="00ED480D" w:rsidP="000C02A3">
      <w:pPr>
        <w:numPr>
          <w:ilvl w:val="0"/>
          <w:numId w:val="43"/>
        </w:numPr>
        <w:spacing w:after="160"/>
        <w:contextualSpacing/>
        <w:jc w:val="both"/>
        <w:rPr>
          <w:rFonts w:ascii="Cambria" w:hAnsi="Cambria"/>
          <w:sz w:val="20"/>
          <w:szCs w:val="20"/>
          <w:lang w:eastAsia="en-US"/>
        </w:rPr>
      </w:pPr>
      <w:r w:rsidRPr="005B081E">
        <w:rPr>
          <w:rFonts w:ascii="Cambria" w:hAnsi="Cambria"/>
          <w:sz w:val="20"/>
          <w:szCs w:val="20"/>
          <w:lang w:eastAsia="en-US"/>
        </w:rPr>
        <w:t>La información financiera surge de los estados financieros consolidados al 30 de junio de 20</w:t>
      </w:r>
      <w:r>
        <w:rPr>
          <w:rFonts w:ascii="Cambria" w:hAnsi="Cambria"/>
          <w:sz w:val="20"/>
          <w:szCs w:val="20"/>
          <w:lang w:eastAsia="en-US"/>
        </w:rPr>
        <w:t>19</w:t>
      </w:r>
      <w:r w:rsidRPr="005B081E">
        <w:rPr>
          <w:rFonts w:ascii="Cambria" w:hAnsi="Cambria"/>
          <w:sz w:val="20"/>
          <w:szCs w:val="20"/>
          <w:lang w:eastAsia="en-US"/>
        </w:rPr>
        <w:t xml:space="preserve"> y se encuentran expresados en moneda de</w:t>
      </w:r>
      <w:r>
        <w:rPr>
          <w:rFonts w:ascii="Cambria" w:hAnsi="Cambria"/>
          <w:sz w:val="20"/>
          <w:szCs w:val="20"/>
          <w:lang w:eastAsia="en-US"/>
        </w:rPr>
        <w:t>l 30 de junio de 2020</w:t>
      </w:r>
      <w:r w:rsidRPr="005B081E">
        <w:rPr>
          <w:rFonts w:ascii="Cambria" w:hAnsi="Cambria"/>
          <w:sz w:val="20"/>
          <w:szCs w:val="20"/>
          <w:lang w:eastAsia="en-US"/>
        </w:rPr>
        <w:t>.</w:t>
      </w:r>
    </w:p>
    <w:p w14:paraId="08A338BD" w14:textId="77777777" w:rsidR="00ED480D" w:rsidRPr="005B081E" w:rsidRDefault="00ED480D" w:rsidP="00ED480D">
      <w:pPr>
        <w:spacing w:after="160"/>
        <w:ind w:left="720"/>
        <w:contextualSpacing/>
        <w:jc w:val="both"/>
        <w:rPr>
          <w:rFonts w:ascii="Cambria" w:hAnsi="Cambria"/>
          <w:sz w:val="20"/>
          <w:szCs w:val="20"/>
          <w:lang w:eastAsia="en-US"/>
        </w:rPr>
      </w:pPr>
    </w:p>
    <w:p w14:paraId="78C450F2" w14:textId="77777777" w:rsidR="00ED480D" w:rsidRPr="005B081E" w:rsidRDefault="00ED480D" w:rsidP="00ED480D">
      <w:pPr>
        <w:jc w:val="both"/>
        <w:rPr>
          <w:rFonts w:ascii="Garamond" w:hAnsi="Garamond"/>
          <w:b/>
          <w:sz w:val="20"/>
          <w:highlight w:val="yellow"/>
          <w:lang w:eastAsia="en-US"/>
        </w:rPr>
      </w:pPr>
    </w:p>
    <w:p w14:paraId="1E624D27" w14:textId="77777777" w:rsidR="00ED480D" w:rsidRPr="005B081E" w:rsidRDefault="00ED480D" w:rsidP="00ED480D">
      <w:pPr>
        <w:keepNext/>
        <w:jc w:val="both"/>
        <w:rPr>
          <w:rFonts w:ascii="Cambria" w:hAnsi="Cambria"/>
          <w:b/>
          <w:sz w:val="20"/>
          <w:szCs w:val="20"/>
          <w:lang w:eastAsia="en-US"/>
        </w:rPr>
      </w:pPr>
      <w:r w:rsidRPr="005B081E">
        <w:rPr>
          <w:rFonts w:ascii="Cambria" w:hAnsi="Cambria"/>
          <w:b/>
          <w:i/>
          <w:sz w:val="20"/>
          <w:szCs w:val="20"/>
          <w:lang w:eastAsia="en-US"/>
        </w:rPr>
        <w:lastRenderedPageBreak/>
        <w:t>Vencimientos de Deudas financieras al 30 de junio de 2020</w:t>
      </w:r>
    </w:p>
    <w:p w14:paraId="3C3680BF" w14:textId="77777777" w:rsidR="00ED480D" w:rsidRPr="005B081E" w:rsidRDefault="00ED480D" w:rsidP="00ED480D">
      <w:pPr>
        <w:jc w:val="both"/>
        <w:rPr>
          <w:szCs w:val="24"/>
          <w:lang w:eastAsia="en-US"/>
        </w:rPr>
      </w:pPr>
      <w:r w:rsidRPr="005B081E">
        <w:rPr>
          <w:noProof/>
          <w:lang w:val="es-AR"/>
        </w:rPr>
        <w:drawing>
          <wp:inline distT="0" distB="0" distL="0" distR="0" wp14:anchorId="3D2B2027" wp14:editId="3A7D5AD9">
            <wp:extent cx="5307330" cy="1510890"/>
            <wp:effectExtent l="0" t="0" r="7620" b="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17975" cy="1513920"/>
                    </a:xfrm>
                    <a:prstGeom prst="rect">
                      <a:avLst/>
                    </a:prstGeom>
                    <a:noFill/>
                    <a:ln>
                      <a:noFill/>
                    </a:ln>
                  </pic:spPr>
                </pic:pic>
              </a:graphicData>
            </a:graphic>
          </wp:inline>
        </w:drawing>
      </w:r>
    </w:p>
    <w:p w14:paraId="11F60657" w14:textId="77777777" w:rsidR="00ED480D" w:rsidRPr="005B081E" w:rsidRDefault="00ED480D" w:rsidP="000C02A3">
      <w:pPr>
        <w:numPr>
          <w:ilvl w:val="0"/>
          <w:numId w:val="44"/>
        </w:numPr>
        <w:spacing w:after="160"/>
        <w:contextualSpacing/>
        <w:jc w:val="both"/>
        <w:rPr>
          <w:rFonts w:ascii="Cambria" w:hAnsi="Cambria"/>
          <w:sz w:val="20"/>
          <w:szCs w:val="20"/>
          <w:lang w:eastAsia="en-US"/>
        </w:rPr>
      </w:pPr>
      <w:r w:rsidRPr="005B081E">
        <w:rPr>
          <w:rFonts w:ascii="Cambria" w:hAnsi="Cambria"/>
          <w:sz w:val="20"/>
          <w:szCs w:val="20"/>
          <w:lang w:eastAsia="en-US"/>
        </w:rPr>
        <w:t>La información financiera surge de los estados financieros consolidados al 30 de junio de 2020 y se encuentran expresados en moneda de dicha fecha.</w:t>
      </w:r>
    </w:p>
    <w:p w14:paraId="265E011D" w14:textId="77777777" w:rsidR="00ED480D" w:rsidRPr="006E4259" w:rsidRDefault="00ED480D" w:rsidP="00ED480D">
      <w:pPr>
        <w:jc w:val="both"/>
      </w:pPr>
    </w:p>
    <w:p w14:paraId="7F5D7047"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t xml:space="preserve">En relación con la planificación financiera y de inversiones, y considerando el actual contexto de la economía argentina y mundial, la Sociedad continuará con su política orientada a proteger la integridad del capital de los accionistas. Bajo esta premisa fundamental, la Emisora continuará con su política de mantener prudentes niveles de endeudamiento y realizar inversiones en aquellos negocios donde tiene un claro </w:t>
      </w:r>
      <w:r w:rsidRPr="00027A1F">
        <w:rPr>
          <w:rFonts w:ascii="Cambria" w:hAnsi="Cambria"/>
          <w:i/>
          <w:sz w:val="20"/>
          <w:szCs w:val="20"/>
          <w:lang w:eastAsia="en-US"/>
        </w:rPr>
        <w:t>know how</w:t>
      </w:r>
      <w:r w:rsidRPr="005B081E">
        <w:rPr>
          <w:rFonts w:ascii="Cambria" w:hAnsi="Cambria"/>
          <w:sz w:val="20"/>
          <w:szCs w:val="20"/>
          <w:lang w:eastAsia="en-US"/>
        </w:rPr>
        <w:t xml:space="preserve"> y cuando la tasa de retorno esperada compense el riesgo asociado con la inversión.</w:t>
      </w:r>
    </w:p>
    <w:p w14:paraId="3EA93D38"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t>En relación con las exportaciones, se intentará capturar las oportunidades que brindan el contexto internacional y local a la exportación de cereales, oleaginosas y sus subproductos, manteniendo el uso a pleno de la capacidad industrial instalada y realizando nuevas inversiones para su ampliación.</w:t>
      </w:r>
    </w:p>
    <w:p w14:paraId="7D9E56B2" w14:textId="77777777" w:rsidR="00ED480D" w:rsidRPr="005B081E" w:rsidRDefault="00ED480D" w:rsidP="00ED480D">
      <w:pPr>
        <w:jc w:val="both"/>
        <w:rPr>
          <w:rFonts w:ascii="Cambria" w:hAnsi="Cambria"/>
          <w:sz w:val="20"/>
          <w:szCs w:val="20"/>
          <w:lang w:eastAsia="en-US"/>
        </w:rPr>
      </w:pPr>
      <w:r w:rsidRPr="005B081E">
        <w:rPr>
          <w:rFonts w:ascii="Cambria" w:hAnsi="Cambria"/>
          <w:sz w:val="20"/>
          <w:szCs w:val="20"/>
          <w:lang w:eastAsia="en-US"/>
        </w:rPr>
        <w:t>Asimismo, si bien el endeudamiento de la Emisora se encuentra concentrada en el corto plazo, el riesgo de refinanciación generado por la volatilidad de la economía argentina y su impacto en los niveles de crédito bancario se ve mitigado en gran medida toda vez que la Emisora financia con deuda de corto plazo (principalmente prefinanciaciones de exportaciones) inventarios de relativamente fácil realización.</w:t>
      </w:r>
      <w:r w:rsidRPr="005B081E" w:rsidDel="00DB427B">
        <w:rPr>
          <w:rFonts w:ascii="Cambria" w:hAnsi="Cambria"/>
          <w:sz w:val="20"/>
          <w:szCs w:val="20"/>
          <w:lang w:eastAsia="en-US"/>
        </w:rPr>
        <w:t xml:space="preserve"> </w:t>
      </w:r>
    </w:p>
    <w:p w14:paraId="3E70E433" w14:textId="77777777" w:rsidR="00ED480D" w:rsidRPr="005B081E" w:rsidRDefault="00ED480D" w:rsidP="00ED480D">
      <w:pPr>
        <w:rPr>
          <w:rFonts w:ascii="Cambria" w:hAnsi="Cambria"/>
          <w:b/>
          <w:i/>
          <w:iCs/>
          <w:sz w:val="20"/>
          <w:szCs w:val="20"/>
          <w:lang w:eastAsia="en-US"/>
        </w:rPr>
      </w:pPr>
      <w:r w:rsidRPr="005B081E">
        <w:rPr>
          <w:rFonts w:ascii="Cambria" w:hAnsi="Cambria"/>
          <w:b/>
          <w:i/>
          <w:iCs/>
          <w:sz w:val="20"/>
          <w:szCs w:val="20"/>
          <w:lang w:eastAsia="en-US"/>
        </w:rPr>
        <w:t>Información sobre los saldos y operaciones con sociedades relacionadas al 31 de marzo de 2020, 2019 y 2018 (importes expresados en miles de pesos)</w:t>
      </w:r>
    </w:p>
    <w:p w14:paraId="0BEF43FC" w14:textId="77777777" w:rsidR="00ED480D" w:rsidRPr="005B081E" w:rsidRDefault="00ED480D" w:rsidP="00ED480D">
      <w:pPr>
        <w:rPr>
          <w:rFonts w:ascii="Cambria" w:hAnsi="Cambria"/>
          <w:sz w:val="20"/>
          <w:szCs w:val="20"/>
          <w:lang w:eastAsia="en-US"/>
        </w:rPr>
      </w:pPr>
      <w:r w:rsidRPr="005B081E">
        <w:rPr>
          <w:rFonts w:ascii="Cambria" w:hAnsi="Cambria"/>
          <w:sz w:val="20"/>
          <w:szCs w:val="20"/>
          <w:lang w:eastAsia="en-US"/>
        </w:rPr>
        <w:t>Los saldos con partes relacionadas por los ejercicios finalizados el 31 de marzo de 2020, 2019 y 2018 son los siguientes:</w:t>
      </w:r>
    </w:p>
    <w:p w14:paraId="750FCAA6" w14:textId="77777777" w:rsidR="00ED480D" w:rsidRPr="006E4259" w:rsidRDefault="00ED480D" w:rsidP="00ED480D">
      <w:pPr>
        <w:jc w:val="both"/>
        <w:rPr>
          <w:rFonts w:ascii="Garamond" w:hAnsi="Garamond"/>
          <w:b/>
          <w:sz w:val="20"/>
          <w:highlight w:val="yellow"/>
        </w:rPr>
      </w:pPr>
      <w:r w:rsidRPr="008B21C7">
        <w:rPr>
          <w:noProof/>
          <w:lang w:val="es-AR"/>
        </w:rPr>
        <w:lastRenderedPageBreak/>
        <w:drawing>
          <wp:inline distT="0" distB="0" distL="0" distR="0" wp14:anchorId="76131923" wp14:editId="55B8398B">
            <wp:extent cx="4942377" cy="4375142"/>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49233" cy="4381211"/>
                    </a:xfrm>
                    <a:prstGeom prst="rect">
                      <a:avLst/>
                    </a:prstGeom>
                    <a:noFill/>
                    <a:ln>
                      <a:noFill/>
                    </a:ln>
                  </pic:spPr>
                </pic:pic>
              </a:graphicData>
            </a:graphic>
          </wp:inline>
        </w:drawing>
      </w:r>
    </w:p>
    <w:p w14:paraId="79DE33AB" w14:textId="77777777" w:rsidR="00ED480D" w:rsidRPr="005B081E" w:rsidRDefault="00ED480D" w:rsidP="000C02A3">
      <w:pPr>
        <w:numPr>
          <w:ilvl w:val="0"/>
          <w:numId w:val="33"/>
        </w:numPr>
        <w:spacing w:after="0"/>
        <w:ind w:left="714" w:hanging="357"/>
        <w:contextualSpacing/>
        <w:jc w:val="both"/>
        <w:rPr>
          <w:rFonts w:ascii="Cambria" w:hAnsi="Cambria"/>
          <w:sz w:val="20"/>
          <w:szCs w:val="20"/>
          <w:lang w:eastAsia="en-US"/>
        </w:rPr>
      </w:pPr>
      <w:r w:rsidRPr="005B081E">
        <w:rPr>
          <w:rFonts w:ascii="Cambria" w:hAnsi="Cambria"/>
          <w:sz w:val="20"/>
          <w:szCs w:val="20"/>
          <w:lang w:eastAsia="en-US"/>
        </w:rPr>
        <w:t>Sociedad con influencia significativa.</w:t>
      </w:r>
    </w:p>
    <w:p w14:paraId="5C712094" w14:textId="77777777" w:rsidR="00ED480D" w:rsidRPr="005B081E" w:rsidRDefault="00ED480D" w:rsidP="000C02A3">
      <w:pPr>
        <w:numPr>
          <w:ilvl w:val="0"/>
          <w:numId w:val="33"/>
        </w:numPr>
        <w:spacing w:after="0"/>
        <w:ind w:left="714" w:hanging="357"/>
        <w:contextualSpacing/>
        <w:jc w:val="both"/>
        <w:rPr>
          <w:rFonts w:ascii="Cambria" w:hAnsi="Cambria"/>
          <w:sz w:val="20"/>
          <w:szCs w:val="20"/>
          <w:lang w:eastAsia="en-US"/>
        </w:rPr>
      </w:pPr>
      <w:r w:rsidRPr="005B081E">
        <w:rPr>
          <w:rFonts w:ascii="Cambria" w:hAnsi="Cambria"/>
          <w:sz w:val="20"/>
          <w:szCs w:val="20"/>
          <w:lang w:eastAsia="en-US"/>
        </w:rPr>
        <w:t>Sociedad relacionada con accionistas controlantes.</w:t>
      </w:r>
    </w:p>
    <w:p w14:paraId="7AFBB889" w14:textId="77777777" w:rsidR="00ED480D" w:rsidRPr="005B081E" w:rsidRDefault="00ED480D" w:rsidP="000C02A3">
      <w:pPr>
        <w:numPr>
          <w:ilvl w:val="0"/>
          <w:numId w:val="33"/>
        </w:numPr>
        <w:spacing w:after="0"/>
        <w:ind w:left="714" w:hanging="357"/>
        <w:contextualSpacing/>
        <w:jc w:val="both"/>
        <w:rPr>
          <w:rFonts w:ascii="Cambria" w:hAnsi="Cambria"/>
          <w:sz w:val="20"/>
          <w:szCs w:val="20"/>
          <w:lang w:eastAsia="en-US"/>
        </w:rPr>
      </w:pPr>
      <w:r w:rsidRPr="005B081E">
        <w:rPr>
          <w:rFonts w:ascii="Cambria" w:hAnsi="Cambria"/>
          <w:sz w:val="20"/>
          <w:szCs w:val="20"/>
          <w:lang w:eastAsia="en-US"/>
        </w:rPr>
        <w:t>Accionistas personas físicas.</w:t>
      </w:r>
    </w:p>
    <w:p w14:paraId="25E359C1" w14:textId="77777777" w:rsidR="00ED480D" w:rsidRPr="005B081E" w:rsidRDefault="00ED480D" w:rsidP="000C02A3">
      <w:pPr>
        <w:numPr>
          <w:ilvl w:val="0"/>
          <w:numId w:val="33"/>
        </w:numPr>
        <w:spacing w:after="0"/>
        <w:ind w:left="714" w:hanging="357"/>
        <w:contextualSpacing/>
        <w:jc w:val="both"/>
        <w:rPr>
          <w:rFonts w:ascii="Cambria" w:hAnsi="Cambria"/>
          <w:sz w:val="20"/>
          <w:szCs w:val="20"/>
          <w:lang w:eastAsia="en-US"/>
        </w:rPr>
      </w:pPr>
      <w:r w:rsidRPr="005B081E">
        <w:rPr>
          <w:rFonts w:ascii="Cambria" w:hAnsi="Cambria"/>
          <w:sz w:val="20"/>
          <w:szCs w:val="20"/>
          <w:lang w:eastAsia="en-US"/>
        </w:rPr>
        <w:t>Los saldos surgen de los estados financieros consolidados al 31 de marzo de 2020 y se encuentran expresados en moneda de dicha fecha.</w:t>
      </w:r>
    </w:p>
    <w:p w14:paraId="1DF70FDE" w14:textId="77777777" w:rsidR="00ED480D" w:rsidRPr="005B081E" w:rsidRDefault="00ED480D" w:rsidP="000C02A3">
      <w:pPr>
        <w:numPr>
          <w:ilvl w:val="0"/>
          <w:numId w:val="33"/>
        </w:numPr>
        <w:spacing w:after="0"/>
        <w:ind w:left="714" w:hanging="357"/>
        <w:contextualSpacing/>
        <w:jc w:val="both"/>
        <w:rPr>
          <w:rFonts w:ascii="Cambria" w:hAnsi="Cambria"/>
          <w:sz w:val="20"/>
          <w:szCs w:val="20"/>
          <w:lang w:eastAsia="en-US"/>
        </w:rPr>
      </w:pPr>
      <w:r w:rsidRPr="005B081E">
        <w:rPr>
          <w:rFonts w:ascii="Cambria" w:hAnsi="Cambria"/>
          <w:sz w:val="20"/>
          <w:szCs w:val="20"/>
          <w:lang w:eastAsia="en-US"/>
        </w:rPr>
        <w:t>Los saldos surgen de los estados financieros consolidados al 31 de marzo de 2018 y se encuentran expresados en moneda del 31 de marzo de 2020.</w:t>
      </w:r>
    </w:p>
    <w:p w14:paraId="2A286774" w14:textId="77777777" w:rsidR="00ED480D" w:rsidRPr="005B081E" w:rsidRDefault="00ED480D" w:rsidP="00ED480D">
      <w:pPr>
        <w:jc w:val="both"/>
        <w:rPr>
          <w:szCs w:val="24"/>
          <w:lang w:eastAsia="en-US"/>
        </w:rPr>
      </w:pPr>
    </w:p>
    <w:p w14:paraId="6B15A2A2" w14:textId="77777777" w:rsidR="00ED480D" w:rsidRPr="005B081E" w:rsidRDefault="00ED480D" w:rsidP="00ED480D">
      <w:pPr>
        <w:ind w:left="720"/>
        <w:jc w:val="both"/>
        <w:rPr>
          <w:rFonts w:ascii="Cambria" w:hAnsi="Cambria"/>
          <w:b/>
          <w:bCs/>
          <w:sz w:val="20"/>
          <w:szCs w:val="20"/>
          <w:highlight w:val="yellow"/>
          <w:lang w:eastAsia="en-US"/>
        </w:rPr>
      </w:pPr>
      <w:r w:rsidRPr="006E4259">
        <w:rPr>
          <w:rFonts w:ascii="Cambria" w:hAnsi="Cambria"/>
          <w:b/>
          <w:sz w:val="20"/>
        </w:rPr>
        <w:t>Las transacciones con partes relacionadas realizadas durante los ejercicios finalizados el 31 de marzo de 2020, 2019 y 2018 son los siguientes:</w:t>
      </w:r>
    </w:p>
    <w:p w14:paraId="380D045B" w14:textId="77777777" w:rsidR="00ED480D" w:rsidRPr="006E4259" w:rsidRDefault="00ED480D" w:rsidP="00ED480D">
      <w:pPr>
        <w:spacing w:after="240"/>
        <w:ind w:left="720"/>
        <w:jc w:val="both"/>
        <w:rPr>
          <w:rFonts w:ascii="Times New Roman" w:hAnsi="Times New Roman"/>
          <w:lang w:val="es-MX"/>
        </w:rPr>
      </w:pPr>
      <w:r w:rsidRPr="006E4259">
        <w:rPr>
          <w:rFonts w:ascii="Times New Roman" w:hAnsi="Times New Roman"/>
          <w:noProof/>
          <w:lang w:val="es-AR"/>
        </w:rPr>
        <w:lastRenderedPageBreak/>
        <w:drawing>
          <wp:inline distT="0" distB="0" distL="0" distR="0" wp14:anchorId="17845DA5" wp14:editId="4C0935BE">
            <wp:extent cx="3895911" cy="5303284"/>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914710" cy="5328874"/>
                    </a:xfrm>
                    <a:prstGeom prst="rect">
                      <a:avLst/>
                    </a:prstGeom>
                    <a:noFill/>
                    <a:ln>
                      <a:noFill/>
                    </a:ln>
                  </pic:spPr>
                </pic:pic>
              </a:graphicData>
            </a:graphic>
          </wp:inline>
        </w:drawing>
      </w:r>
    </w:p>
    <w:p w14:paraId="666CF94A" w14:textId="77777777" w:rsidR="00ED480D" w:rsidRPr="005B081E" w:rsidRDefault="00ED480D" w:rsidP="000C02A3">
      <w:pPr>
        <w:numPr>
          <w:ilvl w:val="0"/>
          <w:numId w:val="34"/>
        </w:numPr>
        <w:spacing w:after="0"/>
        <w:contextualSpacing/>
        <w:jc w:val="both"/>
        <w:rPr>
          <w:rFonts w:ascii="Cambria" w:hAnsi="Cambria"/>
          <w:sz w:val="20"/>
          <w:szCs w:val="20"/>
          <w:lang w:eastAsia="en-US"/>
        </w:rPr>
      </w:pPr>
      <w:r w:rsidRPr="005B081E">
        <w:rPr>
          <w:rFonts w:ascii="Cambria" w:hAnsi="Cambria"/>
          <w:sz w:val="20"/>
          <w:szCs w:val="20"/>
          <w:lang w:eastAsia="en-US"/>
        </w:rPr>
        <w:t>Sociedad con influencia significativa.</w:t>
      </w:r>
    </w:p>
    <w:p w14:paraId="7DA46ABD" w14:textId="77777777" w:rsidR="00ED480D" w:rsidRPr="005B081E" w:rsidRDefault="00ED480D" w:rsidP="000C02A3">
      <w:pPr>
        <w:numPr>
          <w:ilvl w:val="0"/>
          <w:numId w:val="34"/>
        </w:numPr>
        <w:spacing w:after="0"/>
        <w:ind w:left="714" w:hanging="357"/>
        <w:contextualSpacing/>
        <w:jc w:val="both"/>
        <w:rPr>
          <w:rFonts w:ascii="Cambria" w:hAnsi="Cambria"/>
          <w:sz w:val="20"/>
          <w:szCs w:val="20"/>
          <w:lang w:eastAsia="en-US"/>
        </w:rPr>
      </w:pPr>
      <w:r w:rsidRPr="005B081E">
        <w:rPr>
          <w:rFonts w:ascii="Cambria" w:hAnsi="Cambria"/>
          <w:sz w:val="20"/>
          <w:szCs w:val="20"/>
          <w:lang w:eastAsia="en-US"/>
        </w:rPr>
        <w:t>Sociedad relacionada con accionistas controlantes.</w:t>
      </w:r>
    </w:p>
    <w:p w14:paraId="279FD337" w14:textId="77777777" w:rsidR="00ED480D" w:rsidRPr="005B081E" w:rsidRDefault="00ED480D" w:rsidP="000C02A3">
      <w:pPr>
        <w:numPr>
          <w:ilvl w:val="0"/>
          <w:numId w:val="34"/>
        </w:numPr>
        <w:spacing w:after="0"/>
        <w:ind w:left="714" w:hanging="357"/>
        <w:contextualSpacing/>
        <w:jc w:val="both"/>
        <w:rPr>
          <w:rFonts w:ascii="Cambria" w:hAnsi="Cambria"/>
          <w:sz w:val="20"/>
          <w:szCs w:val="20"/>
          <w:lang w:eastAsia="en-US"/>
        </w:rPr>
      </w:pPr>
      <w:r w:rsidRPr="005B081E">
        <w:rPr>
          <w:rFonts w:ascii="Cambria" w:hAnsi="Cambria"/>
          <w:sz w:val="20"/>
          <w:szCs w:val="20"/>
          <w:lang w:eastAsia="en-US"/>
        </w:rPr>
        <w:t>Accionistas personas físicas.</w:t>
      </w:r>
    </w:p>
    <w:p w14:paraId="3976B6E1" w14:textId="77777777" w:rsidR="00ED480D" w:rsidRPr="005B081E" w:rsidRDefault="00ED480D" w:rsidP="000C02A3">
      <w:pPr>
        <w:numPr>
          <w:ilvl w:val="0"/>
          <w:numId w:val="34"/>
        </w:numPr>
        <w:spacing w:after="0"/>
        <w:ind w:left="714" w:hanging="357"/>
        <w:contextualSpacing/>
        <w:jc w:val="both"/>
        <w:rPr>
          <w:rFonts w:ascii="Cambria" w:hAnsi="Cambria"/>
          <w:sz w:val="20"/>
          <w:szCs w:val="20"/>
          <w:lang w:eastAsia="en-US"/>
        </w:rPr>
      </w:pPr>
      <w:r w:rsidRPr="005B081E">
        <w:rPr>
          <w:rFonts w:ascii="Cambria" w:hAnsi="Cambria"/>
          <w:sz w:val="20"/>
          <w:szCs w:val="20"/>
          <w:lang w:eastAsia="en-US"/>
        </w:rPr>
        <w:t>Los saldos surgen de los estados financieros consolidados al 31 de marzo de 2020 y se encuentran expresados en moneda de dicha fecha.</w:t>
      </w:r>
    </w:p>
    <w:p w14:paraId="1A529DAC" w14:textId="77777777" w:rsidR="00ED480D" w:rsidRPr="005B081E" w:rsidRDefault="00ED480D" w:rsidP="000C02A3">
      <w:pPr>
        <w:numPr>
          <w:ilvl w:val="0"/>
          <w:numId w:val="34"/>
        </w:numPr>
        <w:spacing w:after="0"/>
        <w:ind w:left="714" w:hanging="357"/>
        <w:contextualSpacing/>
        <w:jc w:val="both"/>
        <w:rPr>
          <w:rFonts w:ascii="Cambria" w:hAnsi="Cambria"/>
          <w:sz w:val="20"/>
          <w:szCs w:val="20"/>
          <w:lang w:eastAsia="en-US"/>
        </w:rPr>
      </w:pPr>
      <w:r w:rsidRPr="005B081E">
        <w:rPr>
          <w:rFonts w:ascii="Cambria" w:hAnsi="Cambria"/>
          <w:sz w:val="20"/>
          <w:szCs w:val="20"/>
          <w:lang w:eastAsia="en-US"/>
        </w:rPr>
        <w:t>Los saldos surgen de los estados financieros consolidados al 31 de marzo de 2018 y se encuentran expresados en moneda del 31 de marzo de 2020.</w:t>
      </w:r>
    </w:p>
    <w:p w14:paraId="6E779158" w14:textId="77777777" w:rsidR="00ED480D" w:rsidRPr="006E4259" w:rsidRDefault="00ED480D" w:rsidP="00ED480D">
      <w:pPr>
        <w:spacing w:after="0"/>
        <w:contextualSpacing/>
        <w:jc w:val="both"/>
      </w:pPr>
    </w:p>
    <w:p w14:paraId="7C0FD035" w14:textId="77777777" w:rsidR="00ED480D" w:rsidRPr="006F5C22" w:rsidRDefault="00ED480D" w:rsidP="00ED480D">
      <w:pPr>
        <w:spacing w:after="0"/>
        <w:contextualSpacing/>
        <w:jc w:val="both"/>
        <w:rPr>
          <w:szCs w:val="24"/>
          <w:lang w:eastAsia="en-US"/>
        </w:rPr>
      </w:pPr>
    </w:p>
    <w:p w14:paraId="05B3692F" w14:textId="77777777" w:rsidR="00ED480D" w:rsidRPr="005B081E" w:rsidRDefault="00ED480D" w:rsidP="00ED480D">
      <w:pPr>
        <w:rPr>
          <w:rFonts w:ascii="Cambria" w:hAnsi="Cambria"/>
          <w:b/>
          <w:i/>
          <w:iCs/>
          <w:sz w:val="20"/>
          <w:szCs w:val="20"/>
          <w:lang w:eastAsia="en-US"/>
        </w:rPr>
      </w:pPr>
      <w:r w:rsidRPr="005B081E">
        <w:rPr>
          <w:rFonts w:ascii="Cambria" w:hAnsi="Cambria"/>
          <w:b/>
          <w:i/>
          <w:iCs/>
          <w:sz w:val="20"/>
          <w:szCs w:val="20"/>
          <w:lang w:eastAsia="en-US"/>
        </w:rPr>
        <w:t>Información sobre los saldos y operaciones con sociedades relacionadas al 30 de junio de 2020 y 2019 (importes expresados en miles de pesos)</w:t>
      </w:r>
    </w:p>
    <w:p w14:paraId="4ED6E127" w14:textId="77777777" w:rsidR="00ED480D" w:rsidRPr="006F5C22" w:rsidRDefault="00ED480D" w:rsidP="00ED480D">
      <w:pPr>
        <w:spacing w:after="0"/>
        <w:contextualSpacing/>
        <w:jc w:val="both"/>
        <w:rPr>
          <w:szCs w:val="24"/>
          <w:lang w:eastAsia="en-US"/>
        </w:rPr>
      </w:pPr>
      <w:r w:rsidRPr="00537C9D">
        <w:rPr>
          <w:noProof/>
          <w:lang w:val="es-AR"/>
        </w:rPr>
        <w:lastRenderedPageBreak/>
        <w:drawing>
          <wp:inline distT="0" distB="0" distL="0" distR="0" wp14:anchorId="185F99B6" wp14:editId="26988CDF">
            <wp:extent cx="3627931" cy="381952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635825" cy="3827836"/>
                    </a:xfrm>
                    <a:prstGeom prst="rect">
                      <a:avLst/>
                    </a:prstGeom>
                    <a:noFill/>
                    <a:ln>
                      <a:noFill/>
                    </a:ln>
                  </pic:spPr>
                </pic:pic>
              </a:graphicData>
            </a:graphic>
          </wp:inline>
        </w:drawing>
      </w:r>
    </w:p>
    <w:p w14:paraId="24886E09" w14:textId="77777777" w:rsidR="00ED480D" w:rsidRPr="00DC609A" w:rsidRDefault="00ED480D" w:rsidP="000C02A3">
      <w:pPr>
        <w:numPr>
          <w:ilvl w:val="0"/>
          <w:numId w:val="45"/>
        </w:numPr>
        <w:spacing w:after="0"/>
        <w:contextualSpacing/>
        <w:jc w:val="both"/>
        <w:rPr>
          <w:rFonts w:ascii="Cambria" w:hAnsi="Cambria"/>
          <w:sz w:val="20"/>
          <w:szCs w:val="20"/>
          <w:lang w:eastAsia="en-US"/>
        </w:rPr>
      </w:pPr>
      <w:r w:rsidRPr="00DC609A">
        <w:rPr>
          <w:rFonts w:ascii="Cambria" w:hAnsi="Cambria"/>
          <w:sz w:val="20"/>
          <w:szCs w:val="20"/>
          <w:lang w:eastAsia="en-US"/>
        </w:rPr>
        <w:t>Sociedad con influencia significativa.</w:t>
      </w:r>
    </w:p>
    <w:p w14:paraId="20F21315" w14:textId="77777777" w:rsidR="00ED480D" w:rsidRPr="00DC609A" w:rsidRDefault="00ED480D" w:rsidP="000C02A3">
      <w:pPr>
        <w:numPr>
          <w:ilvl w:val="0"/>
          <w:numId w:val="45"/>
        </w:numPr>
        <w:spacing w:after="0"/>
        <w:ind w:left="714" w:hanging="357"/>
        <w:contextualSpacing/>
        <w:jc w:val="both"/>
        <w:rPr>
          <w:rFonts w:ascii="Cambria" w:hAnsi="Cambria"/>
          <w:sz w:val="20"/>
          <w:szCs w:val="20"/>
          <w:lang w:eastAsia="en-US"/>
        </w:rPr>
      </w:pPr>
      <w:r w:rsidRPr="00DC609A">
        <w:rPr>
          <w:rFonts w:ascii="Cambria" w:hAnsi="Cambria"/>
          <w:sz w:val="20"/>
          <w:szCs w:val="20"/>
          <w:lang w:eastAsia="en-US"/>
        </w:rPr>
        <w:t>Sociedad relacionada con accionistas controlantes.</w:t>
      </w:r>
    </w:p>
    <w:p w14:paraId="01D2CEDF" w14:textId="77777777" w:rsidR="00ED480D" w:rsidRPr="00DC609A" w:rsidRDefault="00ED480D" w:rsidP="000C02A3">
      <w:pPr>
        <w:numPr>
          <w:ilvl w:val="0"/>
          <w:numId w:val="45"/>
        </w:numPr>
        <w:spacing w:after="0"/>
        <w:contextualSpacing/>
        <w:jc w:val="both"/>
        <w:rPr>
          <w:rFonts w:ascii="Cambria" w:hAnsi="Cambria"/>
          <w:sz w:val="20"/>
          <w:szCs w:val="20"/>
          <w:lang w:eastAsia="en-US"/>
        </w:rPr>
      </w:pPr>
      <w:r w:rsidRPr="00DC609A">
        <w:rPr>
          <w:rFonts w:ascii="Cambria" w:hAnsi="Cambria"/>
          <w:sz w:val="20"/>
          <w:szCs w:val="20"/>
          <w:lang w:eastAsia="en-US"/>
        </w:rPr>
        <w:t>Los saldos surgen de los estados financieros consolidados al 30 de junio de 2020 y se encuentran expresados en moneda de dicha fecha.</w:t>
      </w:r>
    </w:p>
    <w:p w14:paraId="0F56E402" w14:textId="77777777" w:rsidR="00ED480D" w:rsidRPr="00DC609A" w:rsidRDefault="00ED480D" w:rsidP="000C02A3">
      <w:pPr>
        <w:numPr>
          <w:ilvl w:val="0"/>
          <w:numId w:val="45"/>
        </w:numPr>
        <w:spacing w:after="0"/>
        <w:ind w:left="714" w:hanging="357"/>
        <w:contextualSpacing/>
        <w:jc w:val="both"/>
        <w:rPr>
          <w:rFonts w:ascii="Cambria" w:hAnsi="Cambria"/>
          <w:sz w:val="20"/>
          <w:szCs w:val="20"/>
          <w:lang w:eastAsia="en-US"/>
        </w:rPr>
      </w:pPr>
      <w:r w:rsidRPr="00DC609A">
        <w:rPr>
          <w:rFonts w:ascii="Cambria" w:hAnsi="Cambria"/>
          <w:sz w:val="20"/>
          <w:szCs w:val="20"/>
          <w:lang w:eastAsia="en-US"/>
        </w:rPr>
        <w:t>Los saldos surgen de los estados financieros consolidados al 30 de junio de 2019 y se encuentran expresados a moneda del 30 de junio de 2020.</w:t>
      </w:r>
    </w:p>
    <w:p w14:paraId="1375CD8A" w14:textId="77777777" w:rsidR="00ED480D" w:rsidRPr="006F5C22" w:rsidRDefault="00ED480D" w:rsidP="00ED480D">
      <w:pPr>
        <w:spacing w:after="0"/>
        <w:contextualSpacing/>
        <w:jc w:val="both"/>
        <w:rPr>
          <w:szCs w:val="24"/>
          <w:lang w:eastAsia="en-US"/>
        </w:rPr>
      </w:pPr>
    </w:p>
    <w:p w14:paraId="295AE314" w14:textId="77777777" w:rsidR="00ED480D" w:rsidRPr="006F5C22" w:rsidRDefault="00ED480D" w:rsidP="00ED480D">
      <w:pPr>
        <w:spacing w:after="0"/>
        <w:contextualSpacing/>
        <w:jc w:val="both"/>
        <w:rPr>
          <w:szCs w:val="24"/>
          <w:lang w:eastAsia="en-US"/>
        </w:rPr>
      </w:pPr>
    </w:p>
    <w:p w14:paraId="1EC635BB" w14:textId="77777777" w:rsidR="00ED480D" w:rsidRPr="006F5C22" w:rsidRDefault="00ED480D" w:rsidP="00ED480D">
      <w:pPr>
        <w:spacing w:after="0"/>
        <w:contextualSpacing/>
        <w:jc w:val="both"/>
        <w:rPr>
          <w:szCs w:val="24"/>
          <w:lang w:eastAsia="en-US"/>
        </w:rPr>
      </w:pPr>
      <w:r w:rsidRPr="00537C9D">
        <w:rPr>
          <w:noProof/>
          <w:lang w:val="es-AR"/>
        </w:rPr>
        <w:lastRenderedPageBreak/>
        <w:drawing>
          <wp:inline distT="0" distB="0" distL="0" distR="0" wp14:anchorId="456111DD" wp14:editId="37F736BC">
            <wp:extent cx="4712059" cy="510540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18903" cy="5112815"/>
                    </a:xfrm>
                    <a:prstGeom prst="rect">
                      <a:avLst/>
                    </a:prstGeom>
                    <a:noFill/>
                    <a:ln>
                      <a:noFill/>
                    </a:ln>
                  </pic:spPr>
                </pic:pic>
              </a:graphicData>
            </a:graphic>
          </wp:inline>
        </w:drawing>
      </w:r>
    </w:p>
    <w:p w14:paraId="35081B01" w14:textId="77777777" w:rsidR="00ED480D" w:rsidRPr="006F5C22" w:rsidRDefault="00ED480D" w:rsidP="00ED480D">
      <w:pPr>
        <w:spacing w:after="0"/>
        <w:contextualSpacing/>
        <w:jc w:val="both"/>
        <w:rPr>
          <w:szCs w:val="24"/>
          <w:lang w:eastAsia="en-US"/>
        </w:rPr>
      </w:pPr>
    </w:p>
    <w:p w14:paraId="1300C790" w14:textId="77777777" w:rsidR="00ED480D" w:rsidRPr="005B081E" w:rsidRDefault="00ED480D" w:rsidP="000C02A3">
      <w:pPr>
        <w:numPr>
          <w:ilvl w:val="0"/>
          <w:numId w:val="46"/>
        </w:numPr>
        <w:spacing w:after="0"/>
        <w:contextualSpacing/>
        <w:jc w:val="both"/>
        <w:rPr>
          <w:rFonts w:ascii="Cambria" w:hAnsi="Cambria"/>
          <w:sz w:val="20"/>
          <w:szCs w:val="20"/>
          <w:lang w:eastAsia="en-US"/>
        </w:rPr>
      </w:pPr>
      <w:r w:rsidRPr="005B081E">
        <w:rPr>
          <w:rFonts w:ascii="Cambria" w:hAnsi="Cambria"/>
          <w:sz w:val="20"/>
          <w:szCs w:val="20"/>
          <w:lang w:eastAsia="en-US"/>
        </w:rPr>
        <w:t>Sociedad con influencia significativa.</w:t>
      </w:r>
    </w:p>
    <w:p w14:paraId="1FF49CC2" w14:textId="77777777" w:rsidR="00ED480D" w:rsidRPr="005B081E" w:rsidRDefault="00ED480D" w:rsidP="000C02A3">
      <w:pPr>
        <w:numPr>
          <w:ilvl w:val="0"/>
          <w:numId w:val="46"/>
        </w:numPr>
        <w:spacing w:after="0"/>
        <w:ind w:left="714" w:hanging="357"/>
        <w:contextualSpacing/>
        <w:jc w:val="both"/>
        <w:rPr>
          <w:rFonts w:ascii="Cambria" w:hAnsi="Cambria"/>
          <w:sz w:val="20"/>
          <w:szCs w:val="20"/>
          <w:lang w:eastAsia="en-US"/>
        </w:rPr>
      </w:pPr>
      <w:r w:rsidRPr="005B081E">
        <w:rPr>
          <w:rFonts w:ascii="Cambria" w:hAnsi="Cambria"/>
          <w:sz w:val="20"/>
          <w:szCs w:val="20"/>
          <w:lang w:eastAsia="en-US"/>
        </w:rPr>
        <w:t>Sociedad relacionada con accionistas controlantes.</w:t>
      </w:r>
    </w:p>
    <w:p w14:paraId="062E6FDC" w14:textId="77777777" w:rsidR="00ED480D" w:rsidRPr="006F5C22" w:rsidRDefault="00ED480D" w:rsidP="000C02A3">
      <w:pPr>
        <w:numPr>
          <w:ilvl w:val="0"/>
          <w:numId w:val="46"/>
        </w:numPr>
        <w:spacing w:after="0"/>
        <w:ind w:left="714"/>
        <w:contextualSpacing/>
        <w:jc w:val="both"/>
        <w:rPr>
          <w:szCs w:val="24"/>
          <w:lang w:eastAsia="en-US"/>
        </w:rPr>
      </w:pPr>
      <w:r w:rsidRPr="005B081E">
        <w:rPr>
          <w:rFonts w:ascii="Cambria" w:hAnsi="Cambria"/>
          <w:sz w:val="20"/>
          <w:szCs w:val="20"/>
          <w:lang w:eastAsia="en-US"/>
        </w:rPr>
        <w:t>Los saldos surgen de los estados financieros consolidados al 30 de junio de 2020 y se encuentran expresados en moneda de dicha fecha.</w:t>
      </w:r>
    </w:p>
    <w:p w14:paraId="3E85F2EF" w14:textId="77777777" w:rsidR="00ED480D" w:rsidRDefault="00ED480D" w:rsidP="00ED480D">
      <w:pPr>
        <w:spacing w:after="0"/>
        <w:contextualSpacing/>
        <w:jc w:val="both"/>
        <w:rPr>
          <w:szCs w:val="24"/>
          <w:lang w:eastAsia="en-US"/>
        </w:rPr>
      </w:pPr>
    </w:p>
    <w:p w14:paraId="33C59484" w14:textId="77777777" w:rsidR="00ED480D" w:rsidRPr="006F5C22" w:rsidRDefault="00ED480D" w:rsidP="00ED480D">
      <w:pPr>
        <w:spacing w:after="0"/>
        <w:contextualSpacing/>
        <w:jc w:val="both"/>
        <w:rPr>
          <w:szCs w:val="24"/>
          <w:lang w:eastAsia="en-US"/>
        </w:rPr>
      </w:pPr>
    </w:p>
    <w:p w14:paraId="3DDF4FB0" w14:textId="77777777" w:rsidR="00ED480D" w:rsidRPr="005B081E" w:rsidRDefault="00ED480D" w:rsidP="00ED480D">
      <w:pPr>
        <w:jc w:val="both"/>
        <w:rPr>
          <w:rFonts w:ascii="Cambria" w:hAnsi="Cambria"/>
          <w:b/>
          <w:sz w:val="20"/>
          <w:szCs w:val="20"/>
          <w:u w:val="single"/>
          <w:lang w:eastAsia="en-US"/>
        </w:rPr>
      </w:pPr>
      <w:r w:rsidRPr="005B081E">
        <w:rPr>
          <w:rFonts w:ascii="Cambria" w:hAnsi="Cambria"/>
          <w:b/>
          <w:sz w:val="20"/>
          <w:szCs w:val="20"/>
          <w:u w:val="single"/>
          <w:lang w:eastAsia="en-US"/>
        </w:rPr>
        <w:t>Distribución de dividendos</w:t>
      </w:r>
    </w:p>
    <w:p w14:paraId="3B00F492" w14:textId="77777777" w:rsidR="00ED480D" w:rsidRDefault="00ED480D" w:rsidP="00ED480D">
      <w:pPr>
        <w:pBdr>
          <w:top w:val="nil"/>
          <w:left w:val="nil"/>
          <w:bottom w:val="nil"/>
          <w:right w:val="nil"/>
          <w:between w:val="nil"/>
        </w:pBdr>
        <w:spacing w:after="240"/>
        <w:jc w:val="both"/>
        <w:rPr>
          <w:rFonts w:ascii="Cambria" w:eastAsia="Times New Roman" w:hAnsi="Cambria" w:cs="Calibri"/>
          <w:sz w:val="20"/>
          <w:szCs w:val="20"/>
          <w:lang w:val="es-AR"/>
        </w:rPr>
      </w:pPr>
      <w:r w:rsidRPr="005B081E">
        <w:rPr>
          <w:rFonts w:ascii="Cambria" w:eastAsia="Times New Roman" w:hAnsi="Cambria" w:cs="Calibri"/>
          <w:sz w:val="20"/>
          <w:szCs w:val="20"/>
          <w:lang w:val="es-AR"/>
        </w:rPr>
        <w:t>Con fecha 6 de julio de 2020, la Asamblea Ordinaria</w:t>
      </w:r>
      <w:r>
        <w:rPr>
          <w:rFonts w:ascii="Cambria" w:eastAsia="Times New Roman" w:hAnsi="Cambria" w:cs="Calibri"/>
          <w:sz w:val="20"/>
          <w:szCs w:val="20"/>
          <w:lang w:val="es-AR"/>
        </w:rPr>
        <w:t xml:space="preserve"> y Extraordinaria</w:t>
      </w:r>
      <w:r w:rsidRPr="005B081E">
        <w:rPr>
          <w:rFonts w:ascii="Cambria" w:eastAsia="Times New Roman" w:hAnsi="Cambria" w:cs="Calibri"/>
          <w:sz w:val="20"/>
          <w:szCs w:val="20"/>
          <w:lang w:val="es-AR"/>
        </w:rPr>
        <w:t xml:space="preserve"> de Accionistas resolvió, entre otras cuestiones la aprobación de la memoria y estados financieros al 31 de marzo de 2020, junto con la propuesta de remuneración al directorio efectuada con fecha 3 de junio de 2020. A su vez, se aprobó la distribución de dividendos en efectivo por un importe Ps. 1.800 millones, suma que se encuentra </w:t>
      </w:r>
      <w:r w:rsidRPr="002A39BF">
        <w:rPr>
          <w:rFonts w:ascii="Cambria" w:eastAsia="Times New Roman" w:hAnsi="Cambria" w:cs="Calibri"/>
          <w:sz w:val="20"/>
          <w:szCs w:val="20"/>
          <w:lang w:val="es-AR"/>
        </w:rPr>
        <w:t xml:space="preserve"> expresada en moneda de la fecha de la Asamblea </w:t>
      </w:r>
      <w:r w:rsidRPr="005B081E">
        <w:rPr>
          <w:rFonts w:ascii="Cambria" w:eastAsia="Times New Roman" w:hAnsi="Cambria" w:cs="Calibri"/>
          <w:sz w:val="20"/>
          <w:szCs w:val="20"/>
          <w:lang w:val="es-AR"/>
        </w:rPr>
        <w:t>conforme la Resolución General N° 777/2018 de la CNV o el importe que resulte de la conversión de dicha suma a moneda extranjera dólares estadounidenses según el tipo de cambio vendedor para esa moneda extranjera del Banco de la Nación Argentina al cierre del día hábil bursátil inmediato anterior al de la puesta a disposición, destinando para ello la  ganancia neta del ejercicio y el excedente de los resultados a incrementar la Reserva para futura distribución de utilidades. De acuerdo con el acta de Directorio de la misma fecha, se resolvió la puesta a disposición de los dividendos a partir del 22 de julio de 2020.</w:t>
      </w:r>
    </w:p>
    <w:p w14:paraId="2EB35284" w14:textId="77777777" w:rsidR="00ED480D" w:rsidRDefault="00ED480D" w:rsidP="00ED480D">
      <w:pPr>
        <w:pBdr>
          <w:top w:val="nil"/>
          <w:left w:val="nil"/>
          <w:bottom w:val="nil"/>
          <w:right w:val="nil"/>
          <w:between w:val="nil"/>
        </w:pBdr>
        <w:spacing w:after="240"/>
        <w:jc w:val="both"/>
        <w:rPr>
          <w:rFonts w:ascii="Cambria" w:eastAsia="Times New Roman" w:hAnsi="Cambria" w:cs="Calibri"/>
          <w:sz w:val="20"/>
          <w:szCs w:val="20"/>
          <w:lang w:val="es-AR"/>
        </w:rPr>
      </w:pPr>
      <w:r>
        <w:rPr>
          <w:rFonts w:ascii="Cambria" w:eastAsia="Times New Roman" w:hAnsi="Cambria" w:cs="Calibri"/>
          <w:sz w:val="20"/>
          <w:szCs w:val="20"/>
          <w:lang w:val="es-AR"/>
        </w:rPr>
        <w:lastRenderedPageBreak/>
        <w:t>Con fecha 3 de julio de 2019</w:t>
      </w:r>
      <w:r w:rsidRPr="005B081E">
        <w:rPr>
          <w:rFonts w:ascii="Cambria" w:eastAsia="Times New Roman" w:hAnsi="Cambria" w:cs="Calibri"/>
          <w:sz w:val="20"/>
          <w:szCs w:val="20"/>
          <w:lang w:val="es-AR"/>
        </w:rPr>
        <w:t>, la Asamblea Ordinaria</w:t>
      </w:r>
      <w:r>
        <w:rPr>
          <w:rFonts w:ascii="Cambria" w:eastAsia="Times New Roman" w:hAnsi="Cambria" w:cs="Calibri"/>
          <w:sz w:val="20"/>
          <w:szCs w:val="20"/>
          <w:lang w:val="es-AR"/>
        </w:rPr>
        <w:t xml:space="preserve"> </w:t>
      </w:r>
      <w:r w:rsidRPr="005B081E">
        <w:rPr>
          <w:rFonts w:ascii="Cambria" w:eastAsia="Times New Roman" w:hAnsi="Cambria" w:cs="Calibri"/>
          <w:sz w:val="20"/>
          <w:szCs w:val="20"/>
          <w:lang w:val="es-AR"/>
        </w:rPr>
        <w:t>de Accionistas resolvió, entre otras cuestiones la aprobación de la memoria y estados fi</w:t>
      </w:r>
      <w:r>
        <w:rPr>
          <w:rFonts w:ascii="Cambria" w:eastAsia="Times New Roman" w:hAnsi="Cambria" w:cs="Calibri"/>
          <w:sz w:val="20"/>
          <w:szCs w:val="20"/>
          <w:lang w:val="es-AR"/>
        </w:rPr>
        <w:t>nancieros al 31 de marzo de 2019</w:t>
      </w:r>
      <w:r w:rsidRPr="005B081E">
        <w:rPr>
          <w:rFonts w:ascii="Cambria" w:eastAsia="Times New Roman" w:hAnsi="Cambria" w:cs="Calibri"/>
          <w:sz w:val="20"/>
          <w:szCs w:val="20"/>
          <w:lang w:val="es-AR"/>
        </w:rPr>
        <w:t xml:space="preserve">, junto con la propuesta de remuneración al directorio efectuada </w:t>
      </w:r>
      <w:r w:rsidRPr="006523DC">
        <w:rPr>
          <w:rFonts w:ascii="Cambria" w:eastAsia="Times New Roman" w:hAnsi="Cambria" w:cs="Calibri"/>
          <w:sz w:val="20"/>
          <w:szCs w:val="20"/>
          <w:lang w:val="es-AR"/>
        </w:rPr>
        <w:t>con fecha 20 de mayo</w:t>
      </w:r>
      <w:r>
        <w:rPr>
          <w:rFonts w:ascii="Cambria" w:eastAsia="Times New Roman" w:hAnsi="Cambria" w:cs="Calibri"/>
          <w:sz w:val="20"/>
          <w:szCs w:val="20"/>
          <w:lang w:val="es-AR"/>
        </w:rPr>
        <w:t xml:space="preserve"> de 2019</w:t>
      </w:r>
      <w:r w:rsidRPr="005B081E">
        <w:rPr>
          <w:rFonts w:ascii="Cambria" w:eastAsia="Times New Roman" w:hAnsi="Cambria" w:cs="Calibri"/>
          <w:sz w:val="20"/>
          <w:szCs w:val="20"/>
          <w:lang w:val="es-AR"/>
        </w:rPr>
        <w:t xml:space="preserve">. A su vez, se aprobó la distribución de dividendos </w:t>
      </w:r>
      <w:r>
        <w:rPr>
          <w:rFonts w:ascii="Cambria" w:eastAsia="Times New Roman" w:hAnsi="Cambria" w:cs="Calibri"/>
          <w:sz w:val="20"/>
          <w:szCs w:val="20"/>
          <w:lang w:val="es-AR"/>
        </w:rPr>
        <w:t>en efectivo por un importe de Ps. 2.3</w:t>
      </w:r>
      <w:r w:rsidRPr="005B081E">
        <w:rPr>
          <w:rFonts w:ascii="Cambria" w:eastAsia="Times New Roman" w:hAnsi="Cambria" w:cs="Calibri"/>
          <w:sz w:val="20"/>
          <w:szCs w:val="20"/>
          <w:lang w:val="es-AR"/>
        </w:rPr>
        <w:t xml:space="preserve">00 millones, suma que se encuentra ajustada por inflación conforme la Resolución General N° 777/2018 de la CNV o el importe que resulte de la conversión de dicha suma a moneda extranjera dólares estadounidenses según el tipo de cambio vendedor para esa moneda extranjera del Banco de la Nación Argentina al cierre del día hábil bursátil inmediato anterior al de la puesta a disposición, destinando para ello </w:t>
      </w:r>
      <w:r w:rsidRPr="00185A8C">
        <w:rPr>
          <w:rFonts w:ascii="Cambria" w:eastAsia="Times New Roman" w:hAnsi="Cambria" w:cs="Calibri"/>
          <w:sz w:val="20"/>
          <w:szCs w:val="20"/>
          <w:lang w:val="es-AR"/>
        </w:rPr>
        <w:t xml:space="preserve">el total de la ganancia neta del ejercicio que, ajustada por inflación hasta </w:t>
      </w:r>
      <w:r>
        <w:rPr>
          <w:rFonts w:ascii="Cambria" w:eastAsia="Times New Roman" w:hAnsi="Cambria" w:cs="Calibri"/>
          <w:sz w:val="20"/>
          <w:szCs w:val="20"/>
          <w:lang w:val="es-AR"/>
        </w:rPr>
        <w:t>el 31 de marzo de 2019, ascendió a la suma de Ps. 1.557 millones</w:t>
      </w:r>
      <w:r w:rsidRPr="00185A8C">
        <w:rPr>
          <w:rFonts w:ascii="Cambria" w:eastAsia="Times New Roman" w:hAnsi="Cambria" w:cs="Calibri"/>
          <w:sz w:val="20"/>
          <w:szCs w:val="20"/>
          <w:lang w:val="es-AR"/>
        </w:rPr>
        <w:t>, y desafectando en forma parcial la Reserva para futura distribución de utilidades, por el saldo remanente hasta completar el monto total de divide</w:t>
      </w:r>
      <w:r>
        <w:rPr>
          <w:rFonts w:ascii="Cambria" w:eastAsia="Times New Roman" w:hAnsi="Cambria" w:cs="Calibri"/>
          <w:sz w:val="20"/>
          <w:szCs w:val="20"/>
          <w:lang w:val="es-AR"/>
        </w:rPr>
        <w:t>ndos a distribuir de Ps. 2.300 millones</w:t>
      </w:r>
      <w:r w:rsidRPr="005B081E">
        <w:rPr>
          <w:rFonts w:ascii="Cambria" w:eastAsia="Times New Roman" w:hAnsi="Cambria" w:cs="Calibri"/>
          <w:sz w:val="20"/>
          <w:szCs w:val="20"/>
          <w:lang w:val="es-AR"/>
        </w:rPr>
        <w:t>. De acuerdo con el acta de Directorio de la misma fecha, se resolvió la puesta a disposición d</w:t>
      </w:r>
      <w:r>
        <w:rPr>
          <w:rFonts w:ascii="Cambria" w:eastAsia="Times New Roman" w:hAnsi="Cambria" w:cs="Calibri"/>
          <w:sz w:val="20"/>
          <w:szCs w:val="20"/>
          <w:lang w:val="es-AR"/>
        </w:rPr>
        <w:t>e los dividendos a partir del 19 de julio de 2019</w:t>
      </w:r>
      <w:r w:rsidRPr="005B081E">
        <w:rPr>
          <w:rFonts w:ascii="Cambria" w:eastAsia="Times New Roman" w:hAnsi="Cambria" w:cs="Calibri"/>
          <w:sz w:val="20"/>
          <w:szCs w:val="20"/>
          <w:lang w:val="es-AR"/>
        </w:rPr>
        <w:t>.</w:t>
      </w:r>
    </w:p>
    <w:p w14:paraId="307164C0" w14:textId="77777777" w:rsidR="00ED480D" w:rsidRDefault="00ED480D" w:rsidP="00ED480D">
      <w:pPr>
        <w:pBdr>
          <w:top w:val="nil"/>
          <w:left w:val="nil"/>
          <w:bottom w:val="nil"/>
          <w:right w:val="nil"/>
          <w:between w:val="nil"/>
        </w:pBdr>
        <w:spacing w:after="240"/>
        <w:jc w:val="both"/>
        <w:rPr>
          <w:rFonts w:ascii="Cambria" w:eastAsia="Times New Roman" w:hAnsi="Cambria" w:cs="Calibri"/>
          <w:sz w:val="20"/>
          <w:szCs w:val="20"/>
          <w:lang w:val="es-AR"/>
        </w:rPr>
      </w:pPr>
      <w:r>
        <w:rPr>
          <w:rFonts w:ascii="Cambria" w:eastAsia="Times New Roman" w:hAnsi="Cambria" w:cs="Calibri"/>
          <w:sz w:val="20"/>
          <w:szCs w:val="20"/>
          <w:lang w:val="es-AR"/>
        </w:rPr>
        <w:t>Con fecha 31 de julio de 2018</w:t>
      </w:r>
      <w:r w:rsidRPr="005B081E">
        <w:rPr>
          <w:rFonts w:ascii="Cambria" w:eastAsia="Times New Roman" w:hAnsi="Cambria" w:cs="Calibri"/>
          <w:sz w:val="20"/>
          <w:szCs w:val="20"/>
          <w:lang w:val="es-AR"/>
        </w:rPr>
        <w:t>, la Asamblea Ordinaria</w:t>
      </w:r>
      <w:r>
        <w:rPr>
          <w:rFonts w:ascii="Cambria" w:eastAsia="Times New Roman" w:hAnsi="Cambria" w:cs="Calibri"/>
          <w:sz w:val="20"/>
          <w:szCs w:val="20"/>
          <w:lang w:val="es-AR"/>
        </w:rPr>
        <w:t xml:space="preserve"> </w:t>
      </w:r>
      <w:r w:rsidRPr="005B081E">
        <w:rPr>
          <w:rFonts w:ascii="Cambria" w:eastAsia="Times New Roman" w:hAnsi="Cambria" w:cs="Calibri"/>
          <w:sz w:val="20"/>
          <w:szCs w:val="20"/>
          <w:lang w:val="es-AR"/>
        </w:rPr>
        <w:t>de Accionistas resolvió, entre otras cuestiones la aprobación de la memoria y estados fi</w:t>
      </w:r>
      <w:r>
        <w:rPr>
          <w:rFonts w:ascii="Cambria" w:eastAsia="Times New Roman" w:hAnsi="Cambria" w:cs="Calibri"/>
          <w:sz w:val="20"/>
          <w:szCs w:val="20"/>
          <w:lang w:val="es-AR"/>
        </w:rPr>
        <w:t>nancieros al 31 de marzo de 2018</w:t>
      </w:r>
      <w:r w:rsidRPr="005B081E">
        <w:rPr>
          <w:rFonts w:ascii="Cambria" w:eastAsia="Times New Roman" w:hAnsi="Cambria" w:cs="Calibri"/>
          <w:sz w:val="20"/>
          <w:szCs w:val="20"/>
          <w:lang w:val="es-AR"/>
        </w:rPr>
        <w:t xml:space="preserve">, junto con la propuesta de remuneración al directorio efectuada </w:t>
      </w:r>
      <w:r>
        <w:rPr>
          <w:rFonts w:ascii="Cambria" w:eastAsia="Times New Roman" w:hAnsi="Cambria" w:cs="Calibri"/>
          <w:sz w:val="20"/>
          <w:szCs w:val="20"/>
          <w:lang w:val="es-AR"/>
        </w:rPr>
        <w:t>con fecha 21 de junio de 2018</w:t>
      </w:r>
      <w:r w:rsidRPr="005B081E">
        <w:rPr>
          <w:rFonts w:ascii="Cambria" w:eastAsia="Times New Roman" w:hAnsi="Cambria" w:cs="Calibri"/>
          <w:sz w:val="20"/>
          <w:szCs w:val="20"/>
          <w:lang w:val="es-AR"/>
        </w:rPr>
        <w:t xml:space="preserve">. A su vez, se aprobó la distribución de dividendos </w:t>
      </w:r>
      <w:r>
        <w:rPr>
          <w:rFonts w:ascii="Cambria" w:eastAsia="Times New Roman" w:hAnsi="Cambria" w:cs="Calibri"/>
          <w:sz w:val="20"/>
          <w:szCs w:val="20"/>
          <w:lang w:val="es-AR"/>
        </w:rPr>
        <w:t>en efectivo por un importe de Ps</w:t>
      </w:r>
      <w:r w:rsidRPr="009079A1">
        <w:rPr>
          <w:rFonts w:ascii="Cambria" w:eastAsia="Times New Roman" w:hAnsi="Cambria" w:cs="Calibri"/>
          <w:sz w:val="20"/>
          <w:szCs w:val="20"/>
          <w:lang w:val="es-AR"/>
        </w:rPr>
        <w:t>.</w:t>
      </w:r>
      <w:r w:rsidRPr="009234B4">
        <w:rPr>
          <w:rFonts w:ascii="Times New Roman" w:eastAsia="Times New Roman" w:hAnsi="Times New Roman"/>
          <w:snapToGrid w:val="0"/>
          <w:sz w:val="24"/>
          <w:szCs w:val="20"/>
          <w:lang w:eastAsia="es-ES"/>
        </w:rPr>
        <w:t xml:space="preserve"> </w:t>
      </w:r>
      <w:r w:rsidRPr="009234B4">
        <w:rPr>
          <w:rFonts w:ascii="Cambria" w:eastAsia="Times New Roman" w:hAnsi="Cambria" w:cs="Calibri"/>
          <w:sz w:val="20"/>
          <w:szCs w:val="20"/>
        </w:rPr>
        <w:t>$ 440 millones</w:t>
      </w:r>
      <w:r>
        <w:rPr>
          <w:rFonts w:ascii="Cambria" w:eastAsia="Times New Roman" w:hAnsi="Cambria" w:cs="Calibri"/>
          <w:sz w:val="20"/>
          <w:szCs w:val="20"/>
        </w:rPr>
        <w:t xml:space="preserve"> suma que se encuentra expresada en moneda de la Asamblea</w:t>
      </w:r>
      <w:r>
        <w:rPr>
          <w:rFonts w:ascii="Cambria" w:eastAsia="Times New Roman" w:hAnsi="Cambria" w:cs="Calibri"/>
          <w:sz w:val="20"/>
          <w:szCs w:val="20"/>
          <w:lang w:val="es-AR"/>
        </w:rPr>
        <w:t xml:space="preserve"> </w:t>
      </w:r>
      <w:r w:rsidRPr="009234B4">
        <w:rPr>
          <w:rFonts w:ascii="Cambria" w:eastAsia="Times New Roman" w:hAnsi="Cambria" w:cs="Calibri"/>
          <w:sz w:val="20"/>
          <w:szCs w:val="20"/>
        </w:rPr>
        <w:t>, o el importe que resulte de la conversión de dicha suma a moneda extranjera dólar según el tipo de cambio vendedor para esa moneda extranjera del Banco de la Nación Argentina al cierre del día hábil bursátil inmediato anterior al de la puesta a disposición en el país en pesos argentinos, disponiéndose para distribuir dicho dividendo la desafectación parcial de la reserva para futura distribución de utilidades por la suma de Ps. 13 millones</w:t>
      </w:r>
      <w:r w:rsidRPr="009079A1">
        <w:rPr>
          <w:rFonts w:ascii="Cambria" w:eastAsia="Times New Roman" w:hAnsi="Cambria" w:cs="Calibri"/>
          <w:sz w:val="20"/>
          <w:szCs w:val="20"/>
          <w:lang w:val="es-AR"/>
        </w:rPr>
        <w:t>.</w:t>
      </w:r>
      <w:r w:rsidRPr="005B081E">
        <w:rPr>
          <w:rFonts w:ascii="Cambria" w:eastAsia="Times New Roman" w:hAnsi="Cambria" w:cs="Calibri"/>
          <w:sz w:val="20"/>
          <w:szCs w:val="20"/>
          <w:lang w:val="es-AR"/>
        </w:rPr>
        <w:t xml:space="preserve"> De acuerdo con el acta de Directorio de la misma fecha, se resolvió la puesta a disposición d</w:t>
      </w:r>
      <w:r>
        <w:rPr>
          <w:rFonts w:ascii="Cambria" w:eastAsia="Times New Roman" w:hAnsi="Cambria" w:cs="Calibri"/>
          <w:sz w:val="20"/>
          <w:szCs w:val="20"/>
          <w:lang w:val="es-AR"/>
        </w:rPr>
        <w:t>e los dividendos a partir del 14 de agosto de 2018</w:t>
      </w:r>
      <w:r w:rsidRPr="005B081E">
        <w:rPr>
          <w:rFonts w:ascii="Cambria" w:eastAsia="Times New Roman" w:hAnsi="Cambria" w:cs="Calibri"/>
          <w:sz w:val="20"/>
          <w:szCs w:val="20"/>
          <w:lang w:val="es-AR"/>
        </w:rPr>
        <w:t>.</w:t>
      </w:r>
    </w:p>
    <w:p w14:paraId="0932E894" w14:textId="77777777" w:rsidR="00316A41" w:rsidRDefault="00316A41">
      <w:pPr>
        <w:spacing w:after="160" w:line="259" w:lineRule="auto"/>
        <w:rPr>
          <w:rFonts w:ascii="Cambria" w:eastAsia="Times New Roman" w:hAnsi="Cambria" w:cs="Calibri"/>
          <w:sz w:val="20"/>
          <w:szCs w:val="20"/>
          <w:lang w:val="es-AR"/>
        </w:rPr>
      </w:pPr>
      <w:r>
        <w:rPr>
          <w:rFonts w:ascii="Cambria" w:eastAsia="Times New Roman" w:hAnsi="Cambria" w:cs="Calibri"/>
          <w:sz w:val="20"/>
          <w:szCs w:val="20"/>
          <w:lang w:val="es-AR"/>
        </w:rPr>
        <w:br w:type="page"/>
      </w:r>
    </w:p>
    <w:p w14:paraId="01112C8B" w14:textId="77777777" w:rsidR="00316A41" w:rsidRPr="00316A41" w:rsidRDefault="00316A41" w:rsidP="00211216">
      <w:pPr>
        <w:outlineLvl w:val="0"/>
        <w:rPr>
          <w:rFonts w:ascii="Cambria" w:eastAsia="Times New Roman" w:hAnsi="Cambria"/>
          <w:b/>
          <w:bCs/>
          <w:kern w:val="32"/>
          <w:sz w:val="20"/>
          <w:szCs w:val="20"/>
        </w:rPr>
      </w:pPr>
      <w:bookmarkStart w:id="32" w:name="_Toc385000627"/>
      <w:bookmarkStart w:id="33" w:name="_Toc522789640"/>
      <w:r w:rsidRPr="00316A41">
        <w:rPr>
          <w:rFonts w:ascii="Cambria" w:eastAsia="Times New Roman" w:hAnsi="Cambria"/>
          <w:b/>
          <w:bCs/>
          <w:kern w:val="32"/>
          <w:sz w:val="20"/>
          <w:szCs w:val="20"/>
        </w:rPr>
        <w:lastRenderedPageBreak/>
        <w:t xml:space="preserve">X.- </w:t>
      </w:r>
      <w:r w:rsidR="00211216">
        <w:rPr>
          <w:rFonts w:ascii="Cambria" w:eastAsia="Times New Roman" w:hAnsi="Cambria"/>
          <w:b/>
          <w:bCs/>
          <w:kern w:val="32"/>
          <w:sz w:val="20"/>
          <w:szCs w:val="20"/>
        </w:rPr>
        <w:t xml:space="preserve">         </w:t>
      </w:r>
      <w:r w:rsidRPr="00316A41">
        <w:rPr>
          <w:rFonts w:ascii="Cambria" w:eastAsia="Times New Roman" w:hAnsi="Cambria"/>
          <w:b/>
          <w:bCs/>
          <w:kern w:val="32"/>
          <w:sz w:val="20"/>
          <w:szCs w:val="20"/>
        </w:rPr>
        <w:t>DE LA OFERTA Y LA NEGOCIACIÓN</w:t>
      </w:r>
      <w:bookmarkEnd w:id="32"/>
      <w:bookmarkEnd w:id="33"/>
    </w:p>
    <w:p w14:paraId="0AE67B82" w14:textId="77777777" w:rsidR="00316A41" w:rsidRPr="00316A41" w:rsidRDefault="00316A41" w:rsidP="00316A41">
      <w:pPr>
        <w:tabs>
          <w:tab w:val="left" w:pos="4020"/>
        </w:tabs>
        <w:rPr>
          <w:rFonts w:ascii="Cambria" w:eastAsia="Times New Roman" w:hAnsi="Cambria" w:cs="Calibri"/>
          <w:sz w:val="20"/>
          <w:szCs w:val="20"/>
          <w:lang w:val="es-AR"/>
        </w:rPr>
      </w:pPr>
      <w:r w:rsidRPr="00316A41">
        <w:rPr>
          <w:rFonts w:ascii="Cambria" w:eastAsia="Times New Roman" w:hAnsi="Cambria" w:cs="Calibri"/>
          <w:sz w:val="20"/>
          <w:szCs w:val="20"/>
          <w:lang w:val="es-AR"/>
        </w:rPr>
        <w:t>Sírvase remitirse a la sección “</w:t>
      </w:r>
      <w:r w:rsidRPr="00316A41">
        <w:rPr>
          <w:rFonts w:ascii="Cambria" w:eastAsia="Times New Roman" w:hAnsi="Cambria" w:cs="Calibri"/>
          <w:i/>
          <w:sz w:val="20"/>
          <w:szCs w:val="20"/>
          <w:lang w:val="es-AR"/>
        </w:rPr>
        <w:t>De La Oferta Y La Negociación</w:t>
      </w:r>
      <w:r w:rsidRPr="00316A41">
        <w:rPr>
          <w:rFonts w:ascii="Cambria" w:eastAsia="Times New Roman" w:hAnsi="Cambria" w:cs="Calibri"/>
          <w:sz w:val="20"/>
          <w:szCs w:val="20"/>
          <w:lang w:val="es-AR"/>
        </w:rPr>
        <w:t>” del Prospecto.</w:t>
      </w:r>
    </w:p>
    <w:p w14:paraId="471CE7BE" w14:textId="77777777" w:rsidR="00316A41" w:rsidRDefault="00316A41" w:rsidP="00211216">
      <w:pPr>
        <w:outlineLvl w:val="0"/>
        <w:rPr>
          <w:rFonts w:ascii="Cambria" w:eastAsia="Times New Roman" w:hAnsi="Cambria" w:cs="Calibri"/>
          <w:sz w:val="20"/>
          <w:szCs w:val="20"/>
          <w:lang w:val="es-AR"/>
        </w:rPr>
      </w:pPr>
      <w:bookmarkStart w:id="34" w:name="_Toc356902864"/>
      <w:r w:rsidRPr="00316A41">
        <w:rPr>
          <w:rFonts w:ascii="Cambria" w:eastAsia="Times New Roman" w:hAnsi="Cambria"/>
          <w:b/>
          <w:bCs/>
          <w:kern w:val="32"/>
          <w:sz w:val="20"/>
          <w:szCs w:val="20"/>
        </w:rPr>
        <w:t xml:space="preserve">XI.- </w:t>
      </w:r>
      <w:r w:rsidR="00211216">
        <w:rPr>
          <w:rFonts w:ascii="Cambria" w:eastAsia="Times New Roman" w:hAnsi="Cambria"/>
          <w:b/>
          <w:bCs/>
          <w:kern w:val="32"/>
          <w:sz w:val="20"/>
          <w:szCs w:val="20"/>
        </w:rPr>
        <w:t xml:space="preserve">        </w:t>
      </w:r>
      <w:r w:rsidRPr="00316A41">
        <w:rPr>
          <w:rFonts w:ascii="Cambria" w:eastAsia="Times New Roman" w:hAnsi="Cambria"/>
          <w:b/>
          <w:bCs/>
          <w:kern w:val="32"/>
          <w:sz w:val="20"/>
          <w:szCs w:val="20"/>
        </w:rPr>
        <w:t>INFORMACIÓN ADICIONAL</w:t>
      </w:r>
      <w:bookmarkEnd w:id="34"/>
      <w:r>
        <w:rPr>
          <w:rFonts w:ascii="Cambria" w:eastAsia="Times New Roman" w:hAnsi="Cambria" w:cs="Calibri"/>
          <w:sz w:val="20"/>
          <w:szCs w:val="20"/>
          <w:lang w:val="es-AR"/>
        </w:rPr>
        <w:t xml:space="preserve"> </w:t>
      </w:r>
    </w:p>
    <w:p w14:paraId="3AF34E3C" w14:textId="77777777" w:rsidR="00143100" w:rsidRPr="0078630F" w:rsidRDefault="00143100" w:rsidP="00143100">
      <w:pPr>
        <w:spacing w:before="120" w:after="120"/>
        <w:jc w:val="both"/>
        <w:rPr>
          <w:rFonts w:ascii="Cambria" w:eastAsia="Cambria" w:hAnsi="Cambria" w:cs="Cambria"/>
          <w:b/>
          <w:sz w:val="20"/>
          <w:szCs w:val="20"/>
        </w:rPr>
      </w:pPr>
      <w:r w:rsidRPr="0078630F">
        <w:rPr>
          <w:rFonts w:ascii="Cambria" w:eastAsia="Cambria" w:hAnsi="Cambria" w:cs="Cambria"/>
          <w:b/>
          <w:sz w:val="20"/>
          <w:szCs w:val="20"/>
        </w:rPr>
        <w:t xml:space="preserve">Posible impacto del COVID-19 en las operaciones y en la situación financiera de la </w:t>
      </w:r>
      <w:r w:rsidRPr="002E5F79">
        <w:rPr>
          <w:rFonts w:ascii="Cambria" w:eastAsia="Cambria" w:hAnsi="Cambria" w:cs="Cambria"/>
          <w:b/>
          <w:sz w:val="20"/>
          <w:szCs w:val="20"/>
        </w:rPr>
        <w:t>C</w:t>
      </w:r>
      <w:r w:rsidRPr="0078630F">
        <w:rPr>
          <w:rFonts w:ascii="Cambria" w:eastAsia="Cambria" w:hAnsi="Cambria" w:cs="Cambria"/>
          <w:b/>
          <w:sz w:val="20"/>
          <w:szCs w:val="20"/>
        </w:rPr>
        <w:t>ompañía</w:t>
      </w:r>
    </w:p>
    <w:p w14:paraId="230D2CAA" w14:textId="77777777" w:rsidR="00143100" w:rsidRDefault="000B2BCA" w:rsidP="00143100">
      <w:pPr>
        <w:spacing w:before="120" w:after="120"/>
        <w:jc w:val="both"/>
        <w:rPr>
          <w:rFonts w:ascii="Cambria" w:eastAsia="Cambria" w:hAnsi="Cambria" w:cs="Cambria"/>
          <w:sz w:val="20"/>
          <w:szCs w:val="20"/>
        </w:rPr>
      </w:pPr>
      <w:r>
        <w:rPr>
          <w:rFonts w:ascii="Cambria" w:eastAsia="Cambria" w:hAnsi="Cambria" w:cs="Cambria"/>
          <w:sz w:val="20"/>
          <w:szCs w:val="20"/>
        </w:rPr>
        <w:t>A la fecha del presente P</w:t>
      </w:r>
      <w:r w:rsidR="00143100" w:rsidRPr="0078630F">
        <w:rPr>
          <w:rFonts w:ascii="Cambria" w:eastAsia="Cambria" w:hAnsi="Cambria" w:cs="Cambria"/>
          <w:sz w:val="20"/>
          <w:szCs w:val="20"/>
        </w:rPr>
        <w:t>rospecto</w:t>
      </w:r>
      <w:r>
        <w:rPr>
          <w:rFonts w:ascii="Cambria" w:eastAsia="Cambria" w:hAnsi="Cambria" w:cs="Cambria"/>
          <w:sz w:val="20"/>
          <w:szCs w:val="20"/>
        </w:rPr>
        <w:t xml:space="preserve"> Resumido</w:t>
      </w:r>
      <w:r w:rsidR="00143100" w:rsidRPr="0078630F">
        <w:rPr>
          <w:rFonts w:ascii="Cambria" w:eastAsia="Cambria" w:hAnsi="Cambria" w:cs="Cambria"/>
          <w:sz w:val="20"/>
          <w:szCs w:val="20"/>
        </w:rPr>
        <w:t xml:space="preserve">, resulta difícil estimar los impactos económicos y financieros que podría tener que enfrentar la </w:t>
      </w:r>
      <w:r w:rsidR="00143100" w:rsidRPr="002E5F79">
        <w:rPr>
          <w:rFonts w:ascii="Cambria" w:eastAsia="Cambria" w:hAnsi="Cambria" w:cs="Cambria"/>
          <w:sz w:val="20"/>
          <w:szCs w:val="20"/>
        </w:rPr>
        <w:t>C</w:t>
      </w:r>
      <w:r w:rsidR="00143100" w:rsidRPr="0078630F">
        <w:rPr>
          <w:rFonts w:ascii="Cambria" w:eastAsia="Cambria" w:hAnsi="Cambria" w:cs="Cambria"/>
          <w:sz w:val="20"/>
          <w:szCs w:val="20"/>
        </w:rPr>
        <w:t>ompañía tanto por la propagación del COVID-19 como por la extensión de las medidas de "aislamiento social, preventivo y obligatorio” decretadas por el Gobierno o las que pueda fijar en el futuro.</w:t>
      </w:r>
      <w:r w:rsidR="00143100">
        <w:rPr>
          <w:rFonts w:ascii="Cambria" w:eastAsia="Cambria" w:hAnsi="Cambria" w:cs="Cambria"/>
          <w:sz w:val="20"/>
          <w:szCs w:val="20"/>
        </w:rPr>
        <w:t xml:space="preserve"> Para </w:t>
      </w:r>
      <w:proofErr w:type="gramStart"/>
      <w:r w:rsidR="00143100">
        <w:rPr>
          <w:rFonts w:ascii="Cambria" w:eastAsia="Cambria" w:hAnsi="Cambria" w:cs="Cambria"/>
          <w:sz w:val="20"/>
          <w:szCs w:val="20"/>
        </w:rPr>
        <w:t>mayor información</w:t>
      </w:r>
      <w:proofErr w:type="gramEnd"/>
      <w:r w:rsidR="00143100">
        <w:rPr>
          <w:rFonts w:ascii="Cambria" w:eastAsia="Cambria" w:hAnsi="Cambria" w:cs="Cambria"/>
          <w:sz w:val="20"/>
          <w:szCs w:val="20"/>
        </w:rPr>
        <w:t xml:space="preserve"> véase “</w:t>
      </w:r>
      <w:r w:rsidR="00143100" w:rsidRPr="002E5F79">
        <w:rPr>
          <w:rFonts w:ascii="Cambria" w:eastAsia="Cambria" w:hAnsi="Cambria" w:cs="Cambria"/>
          <w:i/>
          <w:sz w:val="20"/>
          <w:szCs w:val="20"/>
        </w:rPr>
        <w:t>Factores de Riesgo</w:t>
      </w:r>
      <w:r w:rsidR="00143100">
        <w:rPr>
          <w:rFonts w:ascii="Cambria" w:eastAsia="Cambria" w:hAnsi="Cambria" w:cs="Cambria"/>
          <w:sz w:val="20"/>
          <w:szCs w:val="20"/>
        </w:rPr>
        <w:t xml:space="preserve"> - </w:t>
      </w:r>
      <w:r w:rsidR="00143100">
        <w:rPr>
          <w:rFonts w:ascii="Cambria" w:eastAsia="Cambria" w:hAnsi="Cambria" w:cs="Cambria"/>
          <w:i/>
          <w:sz w:val="20"/>
          <w:szCs w:val="20"/>
        </w:rPr>
        <w:t>La pandemia del C</w:t>
      </w:r>
      <w:r w:rsidR="00143100" w:rsidRPr="002E5F79">
        <w:rPr>
          <w:rFonts w:ascii="Cambria" w:eastAsia="Cambria" w:hAnsi="Cambria" w:cs="Cambria"/>
          <w:i/>
          <w:sz w:val="20"/>
          <w:szCs w:val="20"/>
        </w:rPr>
        <w:t>ovid-19 ha provocado un gran impacto a nivel global y dicho impacto podría empeorar y continuar por un período de tiempo desconocido, lo que podría afectar de manera adversa nuestro negocio y los resultados de nuestras operaciones</w:t>
      </w:r>
      <w:r w:rsidR="00143100">
        <w:rPr>
          <w:rFonts w:ascii="Cambria" w:eastAsia="Cambria" w:hAnsi="Cambria" w:cs="Cambria"/>
          <w:b/>
          <w:i/>
          <w:sz w:val="20"/>
          <w:szCs w:val="20"/>
        </w:rPr>
        <w:t xml:space="preserve">” </w:t>
      </w:r>
      <w:r w:rsidR="00143100">
        <w:rPr>
          <w:rFonts w:ascii="Cambria" w:eastAsia="Cambria" w:hAnsi="Cambria" w:cs="Cambria"/>
          <w:sz w:val="20"/>
          <w:szCs w:val="20"/>
        </w:rPr>
        <w:t>del Prospecto.</w:t>
      </w:r>
      <w:bookmarkStart w:id="35" w:name="_heading=h.49x2ik5" w:colFirst="0" w:colLast="0"/>
      <w:bookmarkEnd w:id="35"/>
    </w:p>
    <w:p w14:paraId="4B773991" w14:textId="77777777" w:rsidR="00EF15A1" w:rsidRDefault="00143100" w:rsidP="00143100">
      <w:pPr>
        <w:jc w:val="both"/>
        <w:rPr>
          <w:rFonts w:ascii="Cambria" w:eastAsia="Cambria" w:hAnsi="Cambria" w:cs="Cambria"/>
          <w:sz w:val="20"/>
          <w:szCs w:val="20"/>
        </w:rPr>
      </w:pPr>
      <w:r w:rsidRPr="00143100">
        <w:rPr>
          <w:rFonts w:ascii="Cambria" w:eastAsia="Cambria" w:hAnsi="Cambria" w:cs="Cambria"/>
          <w:sz w:val="20"/>
          <w:szCs w:val="20"/>
        </w:rPr>
        <w:t xml:space="preserve">Para </w:t>
      </w:r>
      <w:proofErr w:type="gramStart"/>
      <w:r w:rsidRPr="00143100">
        <w:rPr>
          <w:rFonts w:ascii="Cambria" w:eastAsia="Cambria" w:hAnsi="Cambria" w:cs="Cambria"/>
          <w:sz w:val="20"/>
          <w:szCs w:val="20"/>
        </w:rPr>
        <w:t>mayor información</w:t>
      </w:r>
      <w:proofErr w:type="gramEnd"/>
      <w:r w:rsidRPr="00143100">
        <w:rPr>
          <w:rFonts w:ascii="Cambria" w:eastAsia="Cambria" w:hAnsi="Cambria" w:cs="Cambria"/>
          <w:sz w:val="20"/>
          <w:szCs w:val="20"/>
        </w:rPr>
        <w:t xml:space="preserve"> sírvase remitirse a la sección “</w:t>
      </w:r>
      <w:r w:rsidRPr="00143100">
        <w:rPr>
          <w:rFonts w:ascii="Cambria" w:eastAsia="Cambria" w:hAnsi="Cambria" w:cs="Cambria"/>
          <w:i/>
          <w:sz w:val="20"/>
          <w:szCs w:val="20"/>
        </w:rPr>
        <w:t>Información Adicional</w:t>
      </w:r>
      <w:r w:rsidRPr="00143100">
        <w:rPr>
          <w:rFonts w:ascii="Cambria" w:eastAsia="Cambria" w:hAnsi="Cambria" w:cs="Cambria"/>
          <w:sz w:val="20"/>
          <w:szCs w:val="20"/>
        </w:rPr>
        <w:t>” del Prospecto.</w:t>
      </w:r>
    </w:p>
    <w:p w14:paraId="37E85847" w14:textId="77777777" w:rsidR="00EF15A1" w:rsidRDefault="00EF15A1">
      <w:pPr>
        <w:spacing w:after="160" w:line="259" w:lineRule="auto"/>
        <w:rPr>
          <w:rFonts w:ascii="Cambria" w:eastAsia="Cambria" w:hAnsi="Cambria" w:cs="Cambria"/>
          <w:sz w:val="20"/>
          <w:szCs w:val="20"/>
        </w:rPr>
      </w:pPr>
      <w:r>
        <w:rPr>
          <w:rFonts w:ascii="Cambria" w:eastAsia="Cambria" w:hAnsi="Cambria" w:cs="Cambria"/>
          <w:sz w:val="20"/>
          <w:szCs w:val="20"/>
        </w:rPr>
        <w:br w:type="page"/>
      </w:r>
    </w:p>
    <w:p w14:paraId="678F6525" w14:textId="77777777" w:rsidR="00EF15A1" w:rsidRPr="0078630F" w:rsidRDefault="00EF15A1" w:rsidP="00EF15A1">
      <w:pPr>
        <w:spacing w:after="0"/>
        <w:jc w:val="center"/>
        <w:rPr>
          <w:rFonts w:ascii="Cambria" w:eastAsia="Cambria" w:hAnsi="Cambria" w:cs="Cambria"/>
          <w:b/>
          <w:sz w:val="20"/>
          <w:szCs w:val="20"/>
        </w:rPr>
      </w:pPr>
      <w:r w:rsidRPr="0078630F">
        <w:rPr>
          <w:rFonts w:ascii="Cambria" w:eastAsia="Cambria" w:hAnsi="Cambria" w:cs="Cambria"/>
          <w:b/>
          <w:sz w:val="20"/>
          <w:szCs w:val="20"/>
        </w:rPr>
        <w:lastRenderedPageBreak/>
        <w:t>EMISORA</w:t>
      </w:r>
    </w:p>
    <w:p w14:paraId="032835FB" w14:textId="77777777" w:rsidR="00EF15A1" w:rsidRPr="0078630F" w:rsidRDefault="00EF15A1" w:rsidP="00EF15A1">
      <w:pPr>
        <w:spacing w:after="0"/>
        <w:jc w:val="center"/>
        <w:rPr>
          <w:rFonts w:ascii="Cambria" w:eastAsia="Cambria" w:hAnsi="Cambria" w:cs="Cambria"/>
          <w:sz w:val="20"/>
          <w:szCs w:val="20"/>
        </w:rPr>
      </w:pPr>
    </w:p>
    <w:p w14:paraId="38AB8320" w14:textId="77777777" w:rsidR="00EF15A1" w:rsidRPr="0078630F" w:rsidRDefault="00EF15A1" w:rsidP="00EF15A1">
      <w:pPr>
        <w:spacing w:after="0"/>
        <w:jc w:val="center"/>
        <w:rPr>
          <w:rFonts w:ascii="Cambria" w:eastAsia="Cambria" w:hAnsi="Cambria" w:cs="Cambria"/>
          <w:sz w:val="20"/>
          <w:szCs w:val="20"/>
        </w:rPr>
      </w:pPr>
    </w:p>
    <w:p w14:paraId="26D22B29" w14:textId="77777777" w:rsidR="00EF15A1" w:rsidRPr="0078630F" w:rsidRDefault="00EF15A1" w:rsidP="00EF15A1">
      <w:pPr>
        <w:spacing w:after="0"/>
        <w:jc w:val="center"/>
        <w:rPr>
          <w:rFonts w:ascii="Cambria" w:eastAsia="Cambria" w:hAnsi="Cambria" w:cs="Cambria"/>
          <w:b/>
          <w:sz w:val="20"/>
          <w:szCs w:val="20"/>
        </w:rPr>
      </w:pPr>
      <w:r w:rsidRPr="0078630F">
        <w:rPr>
          <w:rFonts w:ascii="Cambria" w:eastAsia="Cambria" w:hAnsi="Cambria" w:cs="Cambria"/>
          <w:b/>
          <w:sz w:val="20"/>
          <w:szCs w:val="20"/>
        </w:rPr>
        <w:t>MOLINOS AGRO S.A.</w:t>
      </w:r>
    </w:p>
    <w:p w14:paraId="67CE87C7" w14:textId="77777777" w:rsidR="00EF15A1" w:rsidRPr="0078630F" w:rsidRDefault="00EF15A1" w:rsidP="00EF15A1">
      <w:pPr>
        <w:spacing w:after="0"/>
        <w:jc w:val="center"/>
        <w:rPr>
          <w:rFonts w:ascii="Cambria" w:eastAsia="Cambria" w:hAnsi="Cambria" w:cs="Cambria"/>
          <w:sz w:val="20"/>
          <w:szCs w:val="20"/>
        </w:rPr>
      </w:pPr>
      <w:r w:rsidRPr="0078630F">
        <w:rPr>
          <w:rFonts w:ascii="Cambria" w:eastAsia="Cambria" w:hAnsi="Cambria" w:cs="Cambria"/>
          <w:sz w:val="20"/>
          <w:szCs w:val="20"/>
        </w:rPr>
        <w:t xml:space="preserve">Av. </w:t>
      </w:r>
      <w:proofErr w:type="gramStart"/>
      <w:r w:rsidRPr="0078630F">
        <w:rPr>
          <w:rFonts w:ascii="Cambria" w:eastAsia="Cambria" w:hAnsi="Cambria" w:cs="Cambria"/>
          <w:sz w:val="20"/>
          <w:szCs w:val="20"/>
        </w:rPr>
        <w:t>Presidente</w:t>
      </w:r>
      <w:proofErr w:type="gramEnd"/>
      <w:r w:rsidRPr="0078630F">
        <w:rPr>
          <w:rFonts w:ascii="Cambria" w:eastAsia="Cambria" w:hAnsi="Cambria" w:cs="Cambria"/>
          <w:sz w:val="20"/>
          <w:szCs w:val="20"/>
        </w:rPr>
        <w:t xml:space="preserve"> Manuel Quintana 192 piso 1º </w:t>
      </w:r>
    </w:p>
    <w:p w14:paraId="793BCCDC" w14:textId="77777777" w:rsidR="00EF15A1" w:rsidRPr="0078630F" w:rsidRDefault="00EF15A1" w:rsidP="00EF15A1">
      <w:pPr>
        <w:spacing w:after="0"/>
        <w:jc w:val="center"/>
        <w:rPr>
          <w:rFonts w:ascii="Cambria" w:eastAsia="Cambria" w:hAnsi="Cambria" w:cs="Cambria"/>
          <w:sz w:val="20"/>
          <w:szCs w:val="20"/>
        </w:rPr>
      </w:pPr>
      <w:r w:rsidRPr="0078630F">
        <w:rPr>
          <w:rFonts w:ascii="Cambria" w:eastAsia="Cambria" w:hAnsi="Cambria" w:cs="Cambria"/>
          <w:sz w:val="20"/>
          <w:szCs w:val="20"/>
        </w:rPr>
        <w:t>(C1014ACO)</w:t>
      </w:r>
    </w:p>
    <w:p w14:paraId="062EFF86" w14:textId="77777777" w:rsidR="00EF15A1" w:rsidRPr="0078630F" w:rsidRDefault="00EF15A1" w:rsidP="00EF15A1">
      <w:pPr>
        <w:spacing w:after="0"/>
        <w:jc w:val="center"/>
        <w:rPr>
          <w:rFonts w:ascii="Cambria" w:eastAsia="Cambria" w:hAnsi="Cambria" w:cs="Cambria"/>
          <w:sz w:val="20"/>
          <w:szCs w:val="20"/>
        </w:rPr>
      </w:pPr>
      <w:r w:rsidRPr="0078630F">
        <w:rPr>
          <w:rFonts w:ascii="Cambria" w:eastAsia="Cambria" w:hAnsi="Cambria" w:cs="Cambria"/>
          <w:sz w:val="20"/>
          <w:szCs w:val="20"/>
        </w:rPr>
        <w:t>Ciudad Autónoma de Buenos Aires</w:t>
      </w:r>
    </w:p>
    <w:p w14:paraId="540D64DC" w14:textId="77777777" w:rsidR="00EF15A1" w:rsidRPr="0078630F" w:rsidRDefault="00EF15A1" w:rsidP="00EF15A1">
      <w:pPr>
        <w:spacing w:after="0"/>
        <w:jc w:val="center"/>
        <w:rPr>
          <w:rFonts w:ascii="Cambria" w:eastAsia="Cambria" w:hAnsi="Cambria" w:cs="Cambria"/>
          <w:sz w:val="20"/>
          <w:szCs w:val="20"/>
        </w:rPr>
      </w:pPr>
      <w:r w:rsidRPr="0078630F">
        <w:rPr>
          <w:rFonts w:ascii="Cambria" w:eastAsia="Cambria" w:hAnsi="Cambria" w:cs="Cambria"/>
          <w:sz w:val="20"/>
          <w:szCs w:val="20"/>
        </w:rPr>
        <w:t>Argentina</w:t>
      </w:r>
    </w:p>
    <w:p w14:paraId="20E33A12" w14:textId="77777777" w:rsidR="00EF15A1" w:rsidRPr="0078630F" w:rsidRDefault="00EF15A1" w:rsidP="00EF15A1">
      <w:pPr>
        <w:spacing w:after="0"/>
        <w:jc w:val="center"/>
        <w:rPr>
          <w:rFonts w:ascii="Cambria" w:eastAsia="Cambria" w:hAnsi="Cambria" w:cs="Cambria"/>
          <w:sz w:val="20"/>
          <w:szCs w:val="20"/>
        </w:rPr>
      </w:pPr>
    </w:p>
    <w:p w14:paraId="48377877" w14:textId="77777777" w:rsidR="00EF15A1" w:rsidRPr="0078630F" w:rsidRDefault="00EF15A1" w:rsidP="00EF15A1">
      <w:pPr>
        <w:spacing w:after="0"/>
        <w:jc w:val="center"/>
        <w:rPr>
          <w:rFonts w:ascii="Cambria" w:eastAsia="Cambria" w:hAnsi="Cambria" w:cs="Cambria"/>
          <w:sz w:val="20"/>
          <w:szCs w:val="20"/>
        </w:rPr>
      </w:pPr>
    </w:p>
    <w:p w14:paraId="1315425A" w14:textId="77777777" w:rsidR="00EF15A1" w:rsidRPr="0078630F" w:rsidRDefault="00EF15A1" w:rsidP="00EF15A1">
      <w:pPr>
        <w:spacing w:after="0"/>
        <w:jc w:val="center"/>
        <w:rPr>
          <w:rFonts w:ascii="Cambria" w:eastAsia="Cambria" w:hAnsi="Cambria" w:cs="Cambria"/>
          <w:sz w:val="20"/>
          <w:szCs w:val="20"/>
        </w:rPr>
      </w:pPr>
    </w:p>
    <w:p w14:paraId="319F375C" w14:textId="77777777" w:rsidR="00EF15A1" w:rsidRPr="0078630F" w:rsidRDefault="00EF15A1" w:rsidP="00EF15A1">
      <w:pPr>
        <w:spacing w:after="0"/>
        <w:jc w:val="center"/>
        <w:rPr>
          <w:rFonts w:ascii="Cambria" w:eastAsia="Cambria" w:hAnsi="Cambria" w:cs="Cambria"/>
          <w:b/>
          <w:sz w:val="20"/>
          <w:szCs w:val="20"/>
        </w:rPr>
      </w:pPr>
      <w:r w:rsidRPr="0078630F">
        <w:rPr>
          <w:rFonts w:ascii="Cambria" w:eastAsia="Cambria" w:hAnsi="Cambria" w:cs="Cambria"/>
          <w:b/>
          <w:sz w:val="20"/>
          <w:szCs w:val="20"/>
        </w:rPr>
        <w:t>ASESORES LEGALES</w:t>
      </w:r>
    </w:p>
    <w:p w14:paraId="441B94E5" w14:textId="77777777" w:rsidR="00EF15A1" w:rsidRPr="0078630F" w:rsidRDefault="00EF15A1" w:rsidP="00EF15A1">
      <w:pPr>
        <w:spacing w:after="0"/>
        <w:jc w:val="center"/>
        <w:rPr>
          <w:rFonts w:ascii="Cambria" w:eastAsia="Cambria" w:hAnsi="Cambria" w:cs="Cambria"/>
          <w:b/>
          <w:sz w:val="20"/>
          <w:szCs w:val="20"/>
        </w:rPr>
      </w:pPr>
    </w:p>
    <w:p w14:paraId="712BF22D" w14:textId="77777777" w:rsidR="00EF15A1" w:rsidRPr="0078630F" w:rsidRDefault="00EF15A1" w:rsidP="00EF15A1">
      <w:pPr>
        <w:spacing w:after="0"/>
        <w:jc w:val="center"/>
        <w:rPr>
          <w:rFonts w:ascii="Cambria" w:eastAsia="Cambria" w:hAnsi="Cambria" w:cs="Cambria"/>
          <w:b/>
          <w:sz w:val="20"/>
          <w:szCs w:val="20"/>
        </w:rPr>
      </w:pPr>
    </w:p>
    <w:p w14:paraId="3DF69226" w14:textId="77777777" w:rsidR="00EF15A1" w:rsidRPr="0078630F" w:rsidRDefault="00EF15A1" w:rsidP="00EF15A1">
      <w:pPr>
        <w:spacing w:after="0"/>
        <w:jc w:val="center"/>
        <w:rPr>
          <w:rFonts w:ascii="Cambria" w:eastAsia="Cambria" w:hAnsi="Cambria" w:cs="Cambria"/>
          <w:b/>
          <w:sz w:val="20"/>
          <w:szCs w:val="20"/>
        </w:rPr>
      </w:pPr>
      <w:r w:rsidRPr="0078630F">
        <w:rPr>
          <w:rFonts w:ascii="Cambria" w:eastAsia="Cambria" w:hAnsi="Cambria" w:cs="Cambria"/>
          <w:b/>
          <w:sz w:val="20"/>
          <w:szCs w:val="20"/>
        </w:rPr>
        <w:t xml:space="preserve">PEREZ ALATI, GRONDONA, BENITES &amp; ARNTSEN </w:t>
      </w:r>
    </w:p>
    <w:p w14:paraId="37518190" w14:textId="77777777" w:rsidR="00EF15A1" w:rsidRPr="0078630F" w:rsidRDefault="00EF15A1" w:rsidP="00EF15A1">
      <w:pPr>
        <w:spacing w:after="0"/>
        <w:jc w:val="center"/>
        <w:rPr>
          <w:rFonts w:ascii="Cambria" w:eastAsia="Cambria" w:hAnsi="Cambria" w:cs="Cambria"/>
          <w:sz w:val="20"/>
          <w:szCs w:val="20"/>
        </w:rPr>
      </w:pPr>
      <w:r w:rsidRPr="0078630F">
        <w:rPr>
          <w:rFonts w:ascii="Cambria" w:eastAsia="Cambria" w:hAnsi="Cambria" w:cs="Cambria"/>
          <w:sz w:val="20"/>
          <w:szCs w:val="20"/>
        </w:rPr>
        <w:t>Suipacha 1111, Piso 18°</w:t>
      </w:r>
    </w:p>
    <w:p w14:paraId="4CE44F46" w14:textId="77777777" w:rsidR="00EF15A1" w:rsidRPr="0078630F" w:rsidRDefault="00EF15A1" w:rsidP="00EF15A1">
      <w:pPr>
        <w:spacing w:after="0"/>
        <w:jc w:val="center"/>
        <w:rPr>
          <w:rFonts w:ascii="Cambria" w:eastAsia="Cambria" w:hAnsi="Cambria" w:cs="Cambria"/>
          <w:sz w:val="20"/>
          <w:szCs w:val="20"/>
        </w:rPr>
      </w:pPr>
      <w:r w:rsidRPr="0078630F">
        <w:rPr>
          <w:rFonts w:ascii="Cambria" w:eastAsia="Cambria" w:hAnsi="Cambria" w:cs="Cambria"/>
          <w:sz w:val="20"/>
          <w:szCs w:val="20"/>
        </w:rPr>
        <w:t>(C1008AAW)</w:t>
      </w:r>
    </w:p>
    <w:p w14:paraId="6DC201B9" w14:textId="77777777" w:rsidR="00EF15A1" w:rsidRPr="0078630F" w:rsidRDefault="00EF15A1" w:rsidP="00EF15A1">
      <w:pPr>
        <w:spacing w:after="0"/>
        <w:jc w:val="center"/>
        <w:rPr>
          <w:rFonts w:ascii="Cambria" w:eastAsia="Cambria" w:hAnsi="Cambria" w:cs="Cambria"/>
          <w:sz w:val="20"/>
          <w:szCs w:val="20"/>
        </w:rPr>
      </w:pPr>
      <w:r w:rsidRPr="0078630F">
        <w:rPr>
          <w:rFonts w:ascii="Cambria" w:eastAsia="Cambria" w:hAnsi="Cambria" w:cs="Cambria"/>
          <w:sz w:val="20"/>
          <w:szCs w:val="20"/>
        </w:rPr>
        <w:t>Ciudad Autónoma de Buenos Aires</w:t>
      </w:r>
    </w:p>
    <w:p w14:paraId="46C9197B" w14:textId="77777777" w:rsidR="00EF15A1" w:rsidRPr="0078630F" w:rsidRDefault="00EF15A1" w:rsidP="00EF15A1">
      <w:pPr>
        <w:spacing w:after="0"/>
        <w:jc w:val="center"/>
        <w:rPr>
          <w:rFonts w:ascii="Cambria" w:eastAsia="Cambria" w:hAnsi="Cambria" w:cs="Cambria"/>
          <w:sz w:val="20"/>
          <w:szCs w:val="20"/>
        </w:rPr>
      </w:pPr>
      <w:r w:rsidRPr="0078630F">
        <w:rPr>
          <w:rFonts w:ascii="Cambria" w:eastAsia="Cambria" w:hAnsi="Cambria" w:cs="Cambria"/>
          <w:sz w:val="20"/>
          <w:szCs w:val="20"/>
        </w:rPr>
        <w:t>Argentina</w:t>
      </w:r>
    </w:p>
    <w:p w14:paraId="2BE36684" w14:textId="77777777" w:rsidR="00EF15A1" w:rsidRPr="0078630F" w:rsidRDefault="00EF15A1" w:rsidP="00EF15A1">
      <w:pPr>
        <w:spacing w:after="0"/>
        <w:jc w:val="center"/>
        <w:rPr>
          <w:rFonts w:ascii="Cambria" w:eastAsia="Cambria" w:hAnsi="Cambria" w:cs="Cambria"/>
          <w:sz w:val="20"/>
          <w:szCs w:val="20"/>
        </w:rPr>
      </w:pPr>
    </w:p>
    <w:p w14:paraId="4DE09FD5" w14:textId="77777777" w:rsidR="00EF15A1" w:rsidRPr="0078630F" w:rsidRDefault="00EF15A1" w:rsidP="00EF15A1">
      <w:pPr>
        <w:spacing w:after="0"/>
        <w:jc w:val="center"/>
        <w:rPr>
          <w:rFonts w:ascii="Cambria" w:eastAsia="Cambria" w:hAnsi="Cambria" w:cs="Cambria"/>
          <w:sz w:val="20"/>
          <w:szCs w:val="20"/>
        </w:rPr>
      </w:pPr>
    </w:p>
    <w:p w14:paraId="3D608BF7" w14:textId="77777777" w:rsidR="00EF15A1" w:rsidRPr="0078630F" w:rsidRDefault="00EF15A1" w:rsidP="00EF15A1">
      <w:pPr>
        <w:spacing w:after="0"/>
        <w:jc w:val="center"/>
        <w:rPr>
          <w:rFonts w:ascii="Cambria" w:eastAsia="Cambria" w:hAnsi="Cambria" w:cs="Cambria"/>
          <w:sz w:val="20"/>
          <w:szCs w:val="20"/>
        </w:rPr>
      </w:pPr>
    </w:p>
    <w:p w14:paraId="3BE6578D" w14:textId="77777777" w:rsidR="00EF15A1" w:rsidRPr="0078630F" w:rsidRDefault="00EF15A1" w:rsidP="00EF15A1">
      <w:pPr>
        <w:spacing w:after="0"/>
        <w:jc w:val="center"/>
        <w:rPr>
          <w:rFonts w:ascii="Cambria" w:eastAsia="Cambria" w:hAnsi="Cambria" w:cs="Cambria"/>
          <w:b/>
          <w:sz w:val="20"/>
          <w:szCs w:val="20"/>
        </w:rPr>
      </w:pPr>
      <w:r w:rsidRPr="0078630F">
        <w:rPr>
          <w:rFonts w:ascii="Cambria" w:eastAsia="Cambria" w:hAnsi="Cambria" w:cs="Cambria"/>
          <w:b/>
          <w:sz w:val="20"/>
          <w:szCs w:val="20"/>
        </w:rPr>
        <w:t>AUDITORES</w:t>
      </w:r>
    </w:p>
    <w:p w14:paraId="0EB98761" w14:textId="77777777" w:rsidR="00EF15A1" w:rsidRPr="0078630F" w:rsidRDefault="00EF15A1" w:rsidP="00EF15A1">
      <w:pPr>
        <w:spacing w:after="0"/>
        <w:jc w:val="center"/>
        <w:rPr>
          <w:rFonts w:ascii="Cambria" w:eastAsia="Cambria" w:hAnsi="Cambria" w:cs="Cambria"/>
          <w:sz w:val="20"/>
          <w:szCs w:val="20"/>
        </w:rPr>
      </w:pPr>
    </w:p>
    <w:p w14:paraId="7E8B4ED4" w14:textId="77777777" w:rsidR="00EF15A1" w:rsidRPr="0078630F" w:rsidRDefault="00EF15A1" w:rsidP="00EF15A1">
      <w:pPr>
        <w:spacing w:after="0"/>
        <w:jc w:val="center"/>
        <w:rPr>
          <w:rFonts w:ascii="Cambria" w:eastAsia="Cambria" w:hAnsi="Cambria" w:cs="Cambria"/>
          <w:sz w:val="20"/>
          <w:szCs w:val="20"/>
        </w:rPr>
      </w:pPr>
    </w:p>
    <w:p w14:paraId="415C1CDE" w14:textId="77777777" w:rsidR="00EF15A1" w:rsidRDefault="00EF15A1" w:rsidP="00EF15A1">
      <w:pPr>
        <w:spacing w:after="0"/>
        <w:jc w:val="center"/>
        <w:rPr>
          <w:rFonts w:ascii="Cambria" w:eastAsia="Cambria" w:hAnsi="Cambria" w:cs="Cambria"/>
          <w:b/>
          <w:sz w:val="20"/>
          <w:szCs w:val="20"/>
        </w:rPr>
      </w:pPr>
      <w:r w:rsidRPr="0078630F">
        <w:rPr>
          <w:rFonts w:ascii="Cambria" w:eastAsia="Cambria" w:hAnsi="Cambria" w:cs="Cambria"/>
          <w:b/>
          <w:sz w:val="20"/>
          <w:szCs w:val="20"/>
        </w:rPr>
        <w:t>PISTRELLI, HENRY MARTIN Y ASOCIADOS S.R.L.</w:t>
      </w:r>
    </w:p>
    <w:p w14:paraId="05CC4240" w14:textId="77777777" w:rsidR="00EF15A1" w:rsidRPr="0078630F" w:rsidRDefault="00EF15A1" w:rsidP="00EF15A1">
      <w:pPr>
        <w:spacing w:after="0"/>
        <w:jc w:val="center"/>
        <w:rPr>
          <w:rFonts w:ascii="Cambria" w:eastAsia="Cambria" w:hAnsi="Cambria" w:cs="Cambria"/>
          <w:b/>
          <w:sz w:val="20"/>
          <w:szCs w:val="20"/>
        </w:rPr>
      </w:pPr>
      <w:r>
        <w:rPr>
          <w:rFonts w:ascii="Cambria" w:eastAsia="Cambria" w:hAnsi="Cambria" w:cs="Cambria"/>
          <w:b/>
          <w:sz w:val="20"/>
          <w:szCs w:val="20"/>
        </w:rPr>
        <w:t>Miembro de Ernst &amp; Young Global Limited</w:t>
      </w:r>
    </w:p>
    <w:p w14:paraId="08163D50" w14:textId="77777777" w:rsidR="00EF15A1" w:rsidRPr="0078630F" w:rsidRDefault="00EF15A1" w:rsidP="00EF15A1">
      <w:pPr>
        <w:spacing w:after="0"/>
        <w:jc w:val="center"/>
        <w:rPr>
          <w:rFonts w:ascii="Cambria" w:eastAsia="Cambria" w:hAnsi="Cambria" w:cs="Cambria"/>
          <w:sz w:val="20"/>
          <w:szCs w:val="20"/>
        </w:rPr>
      </w:pPr>
      <w:r w:rsidRPr="0078630F">
        <w:rPr>
          <w:rFonts w:ascii="Cambria" w:eastAsia="Cambria" w:hAnsi="Cambria" w:cs="Cambria"/>
          <w:sz w:val="20"/>
          <w:szCs w:val="20"/>
        </w:rPr>
        <w:t xml:space="preserve">25 de </w:t>
      </w:r>
      <w:proofErr w:type="gramStart"/>
      <w:r w:rsidRPr="0078630F">
        <w:rPr>
          <w:rFonts w:ascii="Cambria" w:eastAsia="Cambria" w:hAnsi="Cambria" w:cs="Cambria"/>
          <w:sz w:val="20"/>
          <w:szCs w:val="20"/>
        </w:rPr>
        <w:t>Mayo</w:t>
      </w:r>
      <w:proofErr w:type="gramEnd"/>
      <w:r w:rsidRPr="0078630F">
        <w:rPr>
          <w:rFonts w:ascii="Cambria" w:eastAsia="Cambria" w:hAnsi="Cambria" w:cs="Cambria"/>
          <w:sz w:val="20"/>
          <w:szCs w:val="20"/>
        </w:rPr>
        <w:t xml:space="preserve"> 487 </w:t>
      </w:r>
    </w:p>
    <w:p w14:paraId="583AD20B" w14:textId="77777777" w:rsidR="00EF15A1" w:rsidRPr="0078630F" w:rsidRDefault="00EF15A1" w:rsidP="00EF15A1">
      <w:pPr>
        <w:spacing w:after="0"/>
        <w:jc w:val="center"/>
        <w:rPr>
          <w:rFonts w:ascii="Cambria" w:eastAsia="Cambria" w:hAnsi="Cambria" w:cs="Cambria"/>
          <w:sz w:val="20"/>
          <w:szCs w:val="20"/>
        </w:rPr>
      </w:pPr>
      <w:r w:rsidRPr="0078630F">
        <w:rPr>
          <w:rFonts w:ascii="Cambria" w:eastAsia="Cambria" w:hAnsi="Cambria" w:cs="Cambria"/>
          <w:sz w:val="20"/>
          <w:szCs w:val="20"/>
        </w:rPr>
        <w:t>(C1002ABJ)</w:t>
      </w:r>
    </w:p>
    <w:p w14:paraId="6398E1BC" w14:textId="77777777" w:rsidR="00EF15A1" w:rsidRPr="0078630F" w:rsidRDefault="00EF15A1" w:rsidP="00EF15A1">
      <w:pPr>
        <w:spacing w:after="0"/>
        <w:jc w:val="center"/>
        <w:rPr>
          <w:rFonts w:ascii="Cambria" w:eastAsia="Cambria" w:hAnsi="Cambria" w:cs="Cambria"/>
          <w:sz w:val="20"/>
          <w:szCs w:val="20"/>
        </w:rPr>
      </w:pPr>
      <w:r w:rsidRPr="0078630F">
        <w:rPr>
          <w:rFonts w:ascii="Cambria" w:eastAsia="Cambria" w:hAnsi="Cambria" w:cs="Cambria"/>
          <w:sz w:val="20"/>
          <w:szCs w:val="20"/>
        </w:rPr>
        <w:t>Ciudad Autónoma de Buenos Aires</w:t>
      </w:r>
    </w:p>
    <w:p w14:paraId="7B18DF28" w14:textId="77777777" w:rsidR="00EF15A1" w:rsidRPr="0078630F" w:rsidRDefault="00EF15A1" w:rsidP="00EF15A1">
      <w:pPr>
        <w:spacing w:after="0"/>
        <w:jc w:val="center"/>
        <w:rPr>
          <w:rFonts w:ascii="Cambria" w:eastAsia="Cambria" w:hAnsi="Cambria" w:cs="Cambria"/>
          <w:sz w:val="20"/>
          <w:szCs w:val="20"/>
        </w:rPr>
      </w:pPr>
      <w:r w:rsidRPr="0078630F">
        <w:rPr>
          <w:rFonts w:ascii="Cambria" w:eastAsia="Cambria" w:hAnsi="Cambria" w:cs="Cambria"/>
          <w:sz w:val="20"/>
          <w:szCs w:val="20"/>
        </w:rPr>
        <w:t>Argentina</w:t>
      </w:r>
    </w:p>
    <w:p w14:paraId="0435F706" w14:textId="77777777" w:rsidR="00143100" w:rsidRPr="00143100" w:rsidRDefault="00143100" w:rsidP="00143100">
      <w:pPr>
        <w:jc w:val="both"/>
        <w:rPr>
          <w:rFonts w:ascii="Cambria" w:eastAsia="Cambria" w:hAnsi="Cambria" w:cs="Cambria"/>
          <w:sz w:val="20"/>
          <w:szCs w:val="20"/>
        </w:rPr>
      </w:pPr>
    </w:p>
    <w:p w14:paraId="25524D77" w14:textId="77777777" w:rsidR="00143100" w:rsidRDefault="00143100" w:rsidP="00143100">
      <w:pPr>
        <w:spacing w:before="120" w:after="120"/>
        <w:jc w:val="both"/>
        <w:rPr>
          <w:rFonts w:ascii="Cambria" w:eastAsia="Cambria" w:hAnsi="Cambria" w:cs="Cambria"/>
          <w:sz w:val="20"/>
          <w:szCs w:val="20"/>
        </w:rPr>
      </w:pPr>
    </w:p>
    <w:p w14:paraId="61728F1E" w14:textId="77777777" w:rsidR="00320AA9" w:rsidRDefault="00320AA9" w:rsidP="00316A41">
      <w:pPr>
        <w:jc w:val="center"/>
        <w:outlineLvl w:val="0"/>
        <w:rPr>
          <w:rFonts w:ascii="Cambria" w:eastAsia="Times New Roman" w:hAnsi="Cambria" w:cs="Calibri"/>
          <w:sz w:val="20"/>
          <w:szCs w:val="20"/>
          <w:lang w:val="es-AR"/>
        </w:rPr>
      </w:pPr>
      <w:r>
        <w:rPr>
          <w:rFonts w:ascii="Cambria" w:eastAsia="Times New Roman" w:hAnsi="Cambria" w:cs="Calibri"/>
          <w:sz w:val="20"/>
          <w:szCs w:val="20"/>
          <w:lang w:val="es-AR"/>
        </w:rPr>
        <w:br w:type="page"/>
      </w:r>
    </w:p>
    <w:p w14:paraId="02E95748" w14:textId="77777777" w:rsidR="00320AA9" w:rsidRPr="006F5C22" w:rsidRDefault="00320AA9" w:rsidP="00316A41">
      <w:pPr>
        <w:pStyle w:val="Ttulo1"/>
        <w:widowControl w:val="0"/>
        <w:spacing w:after="0"/>
        <w:ind w:left="862"/>
        <w:jc w:val="both"/>
        <w:rPr>
          <w:sz w:val="20"/>
          <w:szCs w:val="20"/>
        </w:rPr>
      </w:pPr>
    </w:p>
    <w:p w14:paraId="4CC60F6A" w14:textId="77777777" w:rsidR="00320AA9" w:rsidRPr="006F5C22" w:rsidRDefault="00320AA9" w:rsidP="00320AA9">
      <w:pPr>
        <w:rPr>
          <w:rFonts w:ascii="Cambria" w:eastAsia="Cambria" w:hAnsi="Cambria" w:cs="Cambria"/>
          <w:sz w:val="20"/>
          <w:szCs w:val="20"/>
        </w:rPr>
      </w:pPr>
    </w:p>
    <w:p w14:paraId="654A406E" w14:textId="77777777" w:rsidR="00320AA9" w:rsidRDefault="00320AA9" w:rsidP="00ED480D">
      <w:pPr>
        <w:pBdr>
          <w:top w:val="nil"/>
          <w:left w:val="nil"/>
          <w:bottom w:val="nil"/>
          <w:right w:val="nil"/>
          <w:between w:val="nil"/>
        </w:pBdr>
        <w:spacing w:after="240"/>
        <w:jc w:val="both"/>
        <w:rPr>
          <w:rFonts w:ascii="Cambria" w:eastAsia="Times New Roman" w:hAnsi="Cambria" w:cs="Calibri"/>
          <w:sz w:val="20"/>
          <w:szCs w:val="20"/>
          <w:lang w:val="es-AR"/>
        </w:rPr>
      </w:pPr>
    </w:p>
    <w:p w14:paraId="6C96B485" w14:textId="77777777" w:rsidR="001E434B" w:rsidRPr="0031285E" w:rsidRDefault="001E434B" w:rsidP="00ED480D"/>
    <w:sectPr w:rsidR="001E434B" w:rsidRPr="0031285E">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DDA0AF" w14:textId="77777777" w:rsidR="00F752FF" w:rsidRDefault="00F752FF" w:rsidP="007D583B">
      <w:pPr>
        <w:spacing w:after="0" w:line="240" w:lineRule="auto"/>
      </w:pPr>
      <w:r>
        <w:separator/>
      </w:r>
    </w:p>
  </w:endnote>
  <w:endnote w:type="continuationSeparator" w:id="0">
    <w:p w14:paraId="6C8E4ED6" w14:textId="77777777" w:rsidR="00F752FF" w:rsidRDefault="00F752FF" w:rsidP="007D5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BE23F8" w14:textId="77777777" w:rsidR="00F752FF" w:rsidRDefault="00F752FF" w:rsidP="007D583B">
      <w:pPr>
        <w:spacing w:after="0" w:line="240" w:lineRule="auto"/>
      </w:pPr>
      <w:r>
        <w:separator/>
      </w:r>
    </w:p>
  </w:footnote>
  <w:footnote w:type="continuationSeparator" w:id="0">
    <w:p w14:paraId="26BDD93A" w14:textId="77777777" w:rsidR="00F752FF" w:rsidRDefault="00F752FF" w:rsidP="007D58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85183"/>
    <w:multiLevelType w:val="hybridMultilevel"/>
    <w:tmpl w:val="E3E69452"/>
    <w:lvl w:ilvl="0" w:tplc="9522A020">
      <w:start w:val="1"/>
      <w:numFmt w:val="decimal"/>
      <w:lvlText w:val="(%1)"/>
      <w:lvlJc w:val="left"/>
      <w:pPr>
        <w:ind w:left="720" w:hanging="360"/>
      </w:pPr>
      <w:rPr>
        <w:rFonts w:cs="Times New Roman" w:hint="default"/>
        <w:b w:val="0"/>
        <w:i w:val="0"/>
        <w:color w:val="auto"/>
        <w:sz w:val="20"/>
        <w:szCs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27F7418"/>
    <w:multiLevelType w:val="hybridMultilevel"/>
    <w:tmpl w:val="DE80888E"/>
    <w:lvl w:ilvl="0" w:tplc="4D18FAD8">
      <w:start w:val="1"/>
      <w:numFmt w:val="decimal"/>
      <w:lvlText w:val="(%1)"/>
      <w:lvlJc w:val="left"/>
      <w:pPr>
        <w:ind w:left="720" w:hanging="360"/>
      </w:pPr>
      <w:rPr>
        <w:rFonts w:hint="default"/>
        <w:color w:val="auto"/>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14A81B3C"/>
    <w:multiLevelType w:val="hybridMultilevel"/>
    <w:tmpl w:val="A8DA64F0"/>
    <w:lvl w:ilvl="0" w:tplc="3AC6436A">
      <w:start w:val="3"/>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156863CD"/>
    <w:multiLevelType w:val="hybridMultilevel"/>
    <w:tmpl w:val="4DB6C800"/>
    <w:lvl w:ilvl="0" w:tplc="15F49E34">
      <w:start w:val="1"/>
      <w:numFmt w:val="decimal"/>
      <w:lvlText w:val="(%1)"/>
      <w:lvlJc w:val="left"/>
      <w:pPr>
        <w:ind w:left="720" w:hanging="360"/>
      </w:pPr>
      <w:rPr>
        <w:rFonts w:cs="Times New Roman" w:hint="default"/>
        <w:b/>
        <w:i w:val="0"/>
        <w:color w:val="auto"/>
        <w:sz w:val="20"/>
        <w:szCs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6050315"/>
    <w:multiLevelType w:val="hybridMultilevel"/>
    <w:tmpl w:val="06764DC6"/>
    <w:lvl w:ilvl="0" w:tplc="231C5308">
      <w:start w:val="1"/>
      <w:numFmt w:val="decimal"/>
      <w:lvlText w:val="(%1)"/>
      <w:lvlJc w:val="left"/>
      <w:pPr>
        <w:ind w:left="720" w:hanging="360"/>
      </w:pPr>
      <w:rPr>
        <w:rFonts w:ascii="Times New Roman" w:hAnsi="Times New Roman" w:cs="Times New Roman" w:hint="default"/>
        <w:color w:val="auto"/>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67B210A"/>
    <w:multiLevelType w:val="hybridMultilevel"/>
    <w:tmpl w:val="4DB6C800"/>
    <w:lvl w:ilvl="0" w:tplc="15F49E34">
      <w:start w:val="1"/>
      <w:numFmt w:val="decimal"/>
      <w:lvlText w:val="(%1)"/>
      <w:lvlJc w:val="left"/>
      <w:pPr>
        <w:ind w:left="720" w:hanging="360"/>
      </w:pPr>
      <w:rPr>
        <w:rFonts w:cs="Times New Roman" w:hint="default"/>
        <w:b/>
        <w:i w:val="0"/>
        <w:color w:val="auto"/>
        <w:sz w:val="20"/>
        <w:szCs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1D0F7306"/>
    <w:multiLevelType w:val="hybridMultilevel"/>
    <w:tmpl w:val="05363E00"/>
    <w:lvl w:ilvl="0" w:tplc="55EA5F56">
      <w:start w:val="9"/>
      <w:numFmt w:val="upperRoman"/>
      <w:lvlText w:val="%1."/>
      <w:lvlJc w:val="left"/>
      <w:pPr>
        <w:ind w:left="862" w:hanging="720"/>
      </w:pPr>
      <w:rPr>
        <w:rFonts w:hint="default"/>
      </w:rPr>
    </w:lvl>
    <w:lvl w:ilvl="1" w:tplc="2C0A0019" w:tentative="1">
      <w:start w:val="1"/>
      <w:numFmt w:val="lowerLetter"/>
      <w:lvlText w:val="%2."/>
      <w:lvlJc w:val="left"/>
      <w:pPr>
        <w:ind w:left="1222" w:hanging="360"/>
      </w:pPr>
    </w:lvl>
    <w:lvl w:ilvl="2" w:tplc="2C0A001B" w:tentative="1">
      <w:start w:val="1"/>
      <w:numFmt w:val="lowerRoman"/>
      <w:lvlText w:val="%3."/>
      <w:lvlJc w:val="right"/>
      <w:pPr>
        <w:ind w:left="1942" w:hanging="180"/>
      </w:pPr>
    </w:lvl>
    <w:lvl w:ilvl="3" w:tplc="2C0A000F" w:tentative="1">
      <w:start w:val="1"/>
      <w:numFmt w:val="decimal"/>
      <w:lvlText w:val="%4."/>
      <w:lvlJc w:val="left"/>
      <w:pPr>
        <w:ind w:left="2662" w:hanging="360"/>
      </w:pPr>
    </w:lvl>
    <w:lvl w:ilvl="4" w:tplc="2C0A0019" w:tentative="1">
      <w:start w:val="1"/>
      <w:numFmt w:val="lowerLetter"/>
      <w:lvlText w:val="%5."/>
      <w:lvlJc w:val="left"/>
      <w:pPr>
        <w:ind w:left="3382" w:hanging="360"/>
      </w:pPr>
    </w:lvl>
    <w:lvl w:ilvl="5" w:tplc="2C0A001B" w:tentative="1">
      <w:start w:val="1"/>
      <w:numFmt w:val="lowerRoman"/>
      <w:lvlText w:val="%6."/>
      <w:lvlJc w:val="right"/>
      <w:pPr>
        <w:ind w:left="4102" w:hanging="180"/>
      </w:pPr>
    </w:lvl>
    <w:lvl w:ilvl="6" w:tplc="2C0A000F" w:tentative="1">
      <w:start w:val="1"/>
      <w:numFmt w:val="decimal"/>
      <w:lvlText w:val="%7."/>
      <w:lvlJc w:val="left"/>
      <w:pPr>
        <w:ind w:left="4822" w:hanging="360"/>
      </w:pPr>
    </w:lvl>
    <w:lvl w:ilvl="7" w:tplc="2C0A0019" w:tentative="1">
      <w:start w:val="1"/>
      <w:numFmt w:val="lowerLetter"/>
      <w:lvlText w:val="%8."/>
      <w:lvlJc w:val="left"/>
      <w:pPr>
        <w:ind w:left="5542" w:hanging="360"/>
      </w:pPr>
    </w:lvl>
    <w:lvl w:ilvl="8" w:tplc="2C0A001B" w:tentative="1">
      <w:start w:val="1"/>
      <w:numFmt w:val="lowerRoman"/>
      <w:lvlText w:val="%9."/>
      <w:lvlJc w:val="right"/>
      <w:pPr>
        <w:ind w:left="6262" w:hanging="180"/>
      </w:pPr>
    </w:lvl>
  </w:abstractNum>
  <w:abstractNum w:abstractNumId="7" w15:restartNumberingAfterBreak="0">
    <w:nsid w:val="1D6550A4"/>
    <w:multiLevelType w:val="hybridMultilevel"/>
    <w:tmpl w:val="03646A9C"/>
    <w:lvl w:ilvl="0" w:tplc="87A8C460">
      <w:start w:val="1"/>
      <w:numFmt w:val="bullet"/>
      <w:lvlText w:val=""/>
      <w:lvlJc w:val="left"/>
      <w:pPr>
        <w:tabs>
          <w:tab w:val="num" w:pos="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2337B9"/>
    <w:multiLevelType w:val="hybridMultilevel"/>
    <w:tmpl w:val="4DB6C800"/>
    <w:lvl w:ilvl="0" w:tplc="15F49E34">
      <w:start w:val="1"/>
      <w:numFmt w:val="decimal"/>
      <w:lvlText w:val="(%1)"/>
      <w:lvlJc w:val="left"/>
      <w:pPr>
        <w:ind w:left="720" w:hanging="360"/>
      </w:pPr>
      <w:rPr>
        <w:rFonts w:cs="Times New Roman" w:hint="default"/>
        <w:b/>
        <w:i w:val="0"/>
        <w:color w:val="auto"/>
        <w:sz w:val="20"/>
        <w:szCs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201320DA"/>
    <w:multiLevelType w:val="hybridMultilevel"/>
    <w:tmpl w:val="1B7E2FD0"/>
    <w:lvl w:ilvl="0" w:tplc="BFCA53E6">
      <w:start w:val="1"/>
      <w:numFmt w:val="decimal"/>
      <w:lvlText w:val="(%1)"/>
      <w:lvlJc w:val="left"/>
      <w:pPr>
        <w:ind w:left="720" w:hanging="360"/>
      </w:pPr>
      <w:rPr>
        <w:rFonts w:ascii="Times New Roman" w:hAnsi="Times New Roman" w:cs="Times New Roman" w:hint="default"/>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22456C75"/>
    <w:multiLevelType w:val="multilevel"/>
    <w:tmpl w:val="35BE3684"/>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4E65323"/>
    <w:multiLevelType w:val="hybridMultilevel"/>
    <w:tmpl w:val="7A50F004"/>
    <w:lvl w:ilvl="0" w:tplc="15F49E34">
      <w:start w:val="1"/>
      <w:numFmt w:val="decimal"/>
      <w:lvlText w:val="(%1)"/>
      <w:lvlJc w:val="left"/>
      <w:pPr>
        <w:tabs>
          <w:tab w:val="num" w:pos="720"/>
        </w:tabs>
        <w:ind w:left="720" w:hanging="360"/>
      </w:pPr>
      <w:rPr>
        <w:rFonts w:cs="Times New Roman" w:hint="default"/>
      </w:rPr>
    </w:lvl>
    <w:lvl w:ilvl="1" w:tplc="B3F6518C">
      <w:start w:val="1"/>
      <w:numFmt w:val="lowerLetter"/>
      <w:lvlText w:val="%2."/>
      <w:lvlJc w:val="left"/>
      <w:pPr>
        <w:tabs>
          <w:tab w:val="num" w:pos="1440"/>
        </w:tabs>
        <w:ind w:left="1440" w:hanging="360"/>
      </w:pPr>
      <w:rPr>
        <w:rFonts w:cs="Times New Roman"/>
      </w:rPr>
    </w:lvl>
    <w:lvl w:ilvl="2" w:tplc="FD4E51EE" w:tentative="1">
      <w:start w:val="1"/>
      <w:numFmt w:val="lowerRoman"/>
      <w:lvlText w:val="%3."/>
      <w:lvlJc w:val="right"/>
      <w:pPr>
        <w:tabs>
          <w:tab w:val="num" w:pos="2160"/>
        </w:tabs>
        <w:ind w:left="2160" w:hanging="180"/>
      </w:pPr>
      <w:rPr>
        <w:rFonts w:cs="Times New Roman"/>
      </w:rPr>
    </w:lvl>
    <w:lvl w:ilvl="3" w:tplc="878469B0" w:tentative="1">
      <w:start w:val="1"/>
      <w:numFmt w:val="decimal"/>
      <w:lvlText w:val="%4."/>
      <w:lvlJc w:val="left"/>
      <w:pPr>
        <w:tabs>
          <w:tab w:val="num" w:pos="2880"/>
        </w:tabs>
        <w:ind w:left="2880" w:hanging="360"/>
      </w:pPr>
      <w:rPr>
        <w:rFonts w:cs="Times New Roman"/>
      </w:rPr>
    </w:lvl>
    <w:lvl w:ilvl="4" w:tplc="F5021192" w:tentative="1">
      <w:start w:val="1"/>
      <w:numFmt w:val="lowerLetter"/>
      <w:lvlText w:val="%5."/>
      <w:lvlJc w:val="left"/>
      <w:pPr>
        <w:tabs>
          <w:tab w:val="num" w:pos="3600"/>
        </w:tabs>
        <w:ind w:left="3600" w:hanging="360"/>
      </w:pPr>
      <w:rPr>
        <w:rFonts w:cs="Times New Roman"/>
      </w:rPr>
    </w:lvl>
    <w:lvl w:ilvl="5" w:tplc="93D85894" w:tentative="1">
      <w:start w:val="1"/>
      <w:numFmt w:val="lowerRoman"/>
      <w:lvlText w:val="%6."/>
      <w:lvlJc w:val="right"/>
      <w:pPr>
        <w:tabs>
          <w:tab w:val="num" w:pos="4320"/>
        </w:tabs>
        <w:ind w:left="4320" w:hanging="180"/>
      </w:pPr>
      <w:rPr>
        <w:rFonts w:cs="Times New Roman"/>
      </w:rPr>
    </w:lvl>
    <w:lvl w:ilvl="6" w:tplc="A22A8FB2" w:tentative="1">
      <w:start w:val="1"/>
      <w:numFmt w:val="decimal"/>
      <w:lvlText w:val="%7."/>
      <w:lvlJc w:val="left"/>
      <w:pPr>
        <w:tabs>
          <w:tab w:val="num" w:pos="5040"/>
        </w:tabs>
        <w:ind w:left="5040" w:hanging="360"/>
      </w:pPr>
      <w:rPr>
        <w:rFonts w:cs="Times New Roman"/>
      </w:rPr>
    </w:lvl>
    <w:lvl w:ilvl="7" w:tplc="09E85BF0" w:tentative="1">
      <w:start w:val="1"/>
      <w:numFmt w:val="lowerLetter"/>
      <w:lvlText w:val="%8."/>
      <w:lvlJc w:val="left"/>
      <w:pPr>
        <w:tabs>
          <w:tab w:val="num" w:pos="5760"/>
        </w:tabs>
        <w:ind w:left="5760" w:hanging="360"/>
      </w:pPr>
      <w:rPr>
        <w:rFonts w:cs="Times New Roman"/>
      </w:rPr>
    </w:lvl>
    <w:lvl w:ilvl="8" w:tplc="96A25672" w:tentative="1">
      <w:start w:val="1"/>
      <w:numFmt w:val="lowerRoman"/>
      <w:lvlText w:val="%9."/>
      <w:lvlJc w:val="right"/>
      <w:pPr>
        <w:tabs>
          <w:tab w:val="num" w:pos="6480"/>
        </w:tabs>
        <w:ind w:left="6480" w:hanging="180"/>
      </w:pPr>
      <w:rPr>
        <w:rFonts w:cs="Times New Roman"/>
      </w:rPr>
    </w:lvl>
  </w:abstractNum>
  <w:abstractNum w:abstractNumId="12" w15:restartNumberingAfterBreak="0">
    <w:nsid w:val="260F57BE"/>
    <w:multiLevelType w:val="hybridMultilevel"/>
    <w:tmpl w:val="4DB6C800"/>
    <w:lvl w:ilvl="0" w:tplc="15F49E34">
      <w:start w:val="1"/>
      <w:numFmt w:val="decimal"/>
      <w:lvlText w:val="(%1)"/>
      <w:lvlJc w:val="left"/>
      <w:pPr>
        <w:ind w:left="720" w:hanging="360"/>
      </w:pPr>
      <w:rPr>
        <w:rFonts w:cs="Times New Roman" w:hint="default"/>
        <w:b/>
        <w:i w:val="0"/>
        <w:color w:val="auto"/>
        <w:sz w:val="20"/>
        <w:szCs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2CA87628"/>
    <w:multiLevelType w:val="hybridMultilevel"/>
    <w:tmpl w:val="4DB6C800"/>
    <w:lvl w:ilvl="0" w:tplc="15F49E34">
      <w:start w:val="1"/>
      <w:numFmt w:val="decimal"/>
      <w:lvlText w:val="(%1)"/>
      <w:lvlJc w:val="left"/>
      <w:pPr>
        <w:ind w:left="720" w:hanging="360"/>
      </w:pPr>
      <w:rPr>
        <w:rFonts w:cs="Times New Roman" w:hint="default"/>
        <w:b/>
        <w:i w:val="0"/>
        <w:color w:val="auto"/>
        <w:sz w:val="20"/>
        <w:szCs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31460393"/>
    <w:multiLevelType w:val="hybridMultilevel"/>
    <w:tmpl w:val="225CA4B2"/>
    <w:lvl w:ilvl="0" w:tplc="EA2AEC10">
      <w:start w:val="1"/>
      <w:numFmt w:val="lowerLetter"/>
      <w:lvlText w:val="%1)"/>
      <w:lvlJc w:val="left"/>
      <w:pPr>
        <w:ind w:left="720" w:hanging="360"/>
      </w:pPr>
      <w:rPr>
        <w:rFonts w:hint="default"/>
        <w:color w:val="auto"/>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34276CFB"/>
    <w:multiLevelType w:val="hybridMultilevel"/>
    <w:tmpl w:val="1B7E2FD0"/>
    <w:lvl w:ilvl="0" w:tplc="BFCA53E6">
      <w:start w:val="1"/>
      <w:numFmt w:val="decimal"/>
      <w:lvlText w:val="(%1)"/>
      <w:lvlJc w:val="left"/>
      <w:pPr>
        <w:ind w:left="720" w:hanging="360"/>
      </w:pPr>
      <w:rPr>
        <w:rFonts w:ascii="Times New Roman" w:hAnsi="Times New Roman" w:cs="Times New Roman" w:hint="default"/>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36150C16"/>
    <w:multiLevelType w:val="hybridMultilevel"/>
    <w:tmpl w:val="7A50F004"/>
    <w:lvl w:ilvl="0" w:tplc="15F49E34">
      <w:start w:val="1"/>
      <w:numFmt w:val="decimal"/>
      <w:lvlText w:val="(%1)"/>
      <w:lvlJc w:val="left"/>
      <w:pPr>
        <w:tabs>
          <w:tab w:val="num" w:pos="720"/>
        </w:tabs>
        <w:ind w:left="720" w:hanging="360"/>
      </w:pPr>
      <w:rPr>
        <w:rFonts w:cs="Times New Roman" w:hint="default"/>
      </w:rPr>
    </w:lvl>
    <w:lvl w:ilvl="1" w:tplc="B3F6518C">
      <w:start w:val="1"/>
      <w:numFmt w:val="lowerLetter"/>
      <w:lvlText w:val="%2."/>
      <w:lvlJc w:val="left"/>
      <w:pPr>
        <w:tabs>
          <w:tab w:val="num" w:pos="1440"/>
        </w:tabs>
        <w:ind w:left="1440" w:hanging="360"/>
      </w:pPr>
      <w:rPr>
        <w:rFonts w:cs="Times New Roman"/>
      </w:rPr>
    </w:lvl>
    <w:lvl w:ilvl="2" w:tplc="FD4E51EE" w:tentative="1">
      <w:start w:val="1"/>
      <w:numFmt w:val="lowerRoman"/>
      <w:lvlText w:val="%3."/>
      <w:lvlJc w:val="right"/>
      <w:pPr>
        <w:tabs>
          <w:tab w:val="num" w:pos="2160"/>
        </w:tabs>
        <w:ind w:left="2160" w:hanging="180"/>
      </w:pPr>
      <w:rPr>
        <w:rFonts w:cs="Times New Roman"/>
      </w:rPr>
    </w:lvl>
    <w:lvl w:ilvl="3" w:tplc="878469B0" w:tentative="1">
      <w:start w:val="1"/>
      <w:numFmt w:val="decimal"/>
      <w:lvlText w:val="%4."/>
      <w:lvlJc w:val="left"/>
      <w:pPr>
        <w:tabs>
          <w:tab w:val="num" w:pos="2880"/>
        </w:tabs>
        <w:ind w:left="2880" w:hanging="360"/>
      </w:pPr>
      <w:rPr>
        <w:rFonts w:cs="Times New Roman"/>
      </w:rPr>
    </w:lvl>
    <w:lvl w:ilvl="4" w:tplc="F5021192" w:tentative="1">
      <w:start w:val="1"/>
      <w:numFmt w:val="lowerLetter"/>
      <w:lvlText w:val="%5."/>
      <w:lvlJc w:val="left"/>
      <w:pPr>
        <w:tabs>
          <w:tab w:val="num" w:pos="3600"/>
        </w:tabs>
        <w:ind w:left="3600" w:hanging="360"/>
      </w:pPr>
      <w:rPr>
        <w:rFonts w:cs="Times New Roman"/>
      </w:rPr>
    </w:lvl>
    <w:lvl w:ilvl="5" w:tplc="93D85894" w:tentative="1">
      <w:start w:val="1"/>
      <w:numFmt w:val="lowerRoman"/>
      <w:lvlText w:val="%6."/>
      <w:lvlJc w:val="right"/>
      <w:pPr>
        <w:tabs>
          <w:tab w:val="num" w:pos="4320"/>
        </w:tabs>
        <w:ind w:left="4320" w:hanging="180"/>
      </w:pPr>
      <w:rPr>
        <w:rFonts w:cs="Times New Roman"/>
      </w:rPr>
    </w:lvl>
    <w:lvl w:ilvl="6" w:tplc="A22A8FB2" w:tentative="1">
      <w:start w:val="1"/>
      <w:numFmt w:val="decimal"/>
      <w:lvlText w:val="%7."/>
      <w:lvlJc w:val="left"/>
      <w:pPr>
        <w:tabs>
          <w:tab w:val="num" w:pos="5040"/>
        </w:tabs>
        <w:ind w:left="5040" w:hanging="360"/>
      </w:pPr>
      <w:rPr>
        <w:rFonts w:cs="Times New Roman"/>
      </w:rPr>
    </w:lvl>
    <w:lvl w:ilvl="7" w:tplc="09E85BF0" w:tentative="1">
      <w:start w:val="1"/>
      <w:numFmt w:val="lowerLetter"/>
      <w:lvlText w:val="%8."/>
      <w:lvlJc w:val="left"/>
      <w:pPr>
        <w:tabs>
          <w:tab w:val="num" w:pos="5760"/>
        </w:tabs>
        <w:ind w:left="5760" w:hanging="360"/>
      </w:pPr>
      <w:rPr>
        <w:rFonts w:cs="Times New Roman"/>
      </w:rPr>
    </w:lvl>
    <w:lvl w:ilvl="8" w:tplc="96A25672" w:tentative="1">
      <w:start w:val="1"/>
      <w:numFmt w:val="lowerRoman"/>
      <w:lvlText w:val="%9."/>
      <w:lvlJc w:val="right"/>
      <w:pPr>
        <w:tabs>
          <w:tab w:val="num" w:pos="6480"/>
        </w:tabs>
        <w:ind w:left="6480" w:hanging="180"/>
      </w:pPr>
      <w:rPr>
        <w:rFonts w:cs="Times New Roman"/>
      </w:rPr>
    </w:lvl>
  </w:abstractNum>
  <w:abstractNum w:abstractNumId="17" w15:restartNumberingAfterBreak="0">
    <w:nsid w:val="36FF15A5"/>
    <w:multiLevelType w:val="multilevel"/>
    <w:tmpl w:val="4162CB3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7310E79"/>
    <w:multiLevelType w:val="hybridMultilevel"/>
    <w:tmpl w:val="4DB6C800"/>
    <w:lvl w:ilvl="0" w:tplc="15F49E34">
      <w:start w:val="1"/>
      <w:numFmt w:val="decimal"/>
      <w:lvlText w:val="(%1)"/>
      <w:lvlJc w:val="left"/>
      <w:pPr>
        <w:ind w:left="720" w:hanging="360"/>
      </w:pPr>
      <w:rPr>
        <w:rFonts w:cs="Times New Roman" w:hint="default"/>
        <w:b/>
        <w:i w:val="0"/>
        <w:color w:val="auto"/>
        <w:sz w:val="20"/>
        <w:szCs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3835024D"/>
    <w:multiLevelType w:val="hybridMultilevel"/>
    <w:tmpl w:val="185029F2"/>
    <w:lvl w:ilvl="0" w:tplc="8E04B892">
      <w:start w:val="1"/>
      <w:numFmt w:val="decimal"/>
      <w:lvlText w:val="(%1)"/>
      <w:lvlJc w:val="left"/>
      <w:pPr>
        <w:ind w:left="720" w:hanging="360"/>
      </w:pPr>
      <w:rPr>
        <w:rFonts w:hint="default"/>
        <w:color w:val="auto"/>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3A965F43"/>
    <w:multiLevelType w:val="hybridMultilevel"/>
    <w:tmpl w:val="1708EEF8"/>
    <w:lvl w:ilvl="0" w:tplc="06AC40B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3C1C39E9"/>
    <w:multiLevelType w:val="hybridMultilevel"/>
    <w:tmpl w:val="1B7E2FD0"/>
    <w:lvl w:ilvl="0" w:tplc="BFCA53E6">
      <w:start w:val="1"/>
      <w:numFmt w:val="decimal"/>
      <w:lvlText w:val="(%1)"/>
      <w:lvlJc w:val="left"/>
      <w:pPr>
        <w:ind w:left="720" w:hanging="360"/>
      </w:pPr>
      <w:rPr>
        <w:rFonts w:ascii="Times New Roman" w:hAnsi="Times New Roman" w:cs="Times New Roman" w:hint="default"/>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3F125247"/>
    <w:multiLevelType w:val="hybridMultilevel"/>
    <w:tmpl w:val="B664C8D6"/>
    <w:lvl w:ilvl="0" w:tplc="87A8C460">
      <w:start w:val="1"/>
      <w:numFmt w:val="bullet"/>
      <w:lvlText w:val=""/>
      <w:lvlJc w:val="left"/>
      <w:pPr>
        <w:tabs>
          <w:tab w:val="num" w:pos="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47169F"/>
    <w:multiLevelType w:val="hybridMultilevel"/>
    <w:tmpl w:val="4DB6C800"/>
    <w:lvl w:ilvl="0" w:tplc="15F49E34">
      <w:start w:val="1"/>
      <w:numFmt w:val="decimal"/>
      <w:lvlText w:val="(%1)"/>
      <w:lvlJc w:val="left"/>
      <w:pPr>
        <w:ind w:left="720" w:hanging="360"/>
      </w:pPr>
      <w:rPr>
        <w:rFonts w:cs="Times New Roman" w:hint="default"/>
        <w:b/>
        <w:i w:val="0"/>
        <w:color w:val="auto"/>
        <w:sz w:val="20"/>
        <w:szCs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405B1830"/>
    <w:multiLevelType w:val="hybridMultilevel"/>
    <w:tmpl w:val="24DC5E16"/>
    <w:lvl w:ilvl="0" w:tplc="2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5" w15:restartNumberingAfterBreak="0">
    <w:nsid w:val="423B1038"/>
    <w:multiLevelType w:val="hybridMultilevel"/>
    <w:tmpl w:val="1708EEF8"/>
    <w:lvl w:ilvl="0" w:tplc="06AC40B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15:restartNumberingAfterBreak="0">
    <w:nsid w:val="440E0A46"/>
    <w:multiLevelType w:val="hybridMultilevel"/>
    <w:tmpl w:val="4DB6C800"/>
    <w:lvl w:ilvl="0" w:tplc="15F49E34">
      <w:start w:val="1"/>
      <w:numFmt w:val="decimal"/>
      <w:lvlText w:val="(%1)"/>
      <w:lvlJc w:val="left"/>
      <w:pPr>
        <w:ind w:left="720" w:hanging="360"/>
      </w:pPr>
      <w:rPr>
        <w:rFonts w:cs="Times New Roman" w:hint="default"/>
        <w:b/>
        <w:i w:val="0"/>
        <w:color w:val="auto"/>
        <w:sz w:val="20"/>
        <w:szCs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49A15D7D"/>
    <w:multiLevelType w:val="hybridMultilevel"/>
    <w:tmpl w:val="3B8CF84E"/>
    <w:lvl w:ilvl="0" w:tplc="F72AAD1A">
      <w:start w:val="1"/>
      <w:numFmt w:val="decimal"/>
      <w:lvlText w:val="(%1)"/>
      <w:lvlJc w:val="left"/>
      <w:pPr>
        <w:ind w:left="502" w:hanging="360"/>
      </w:pPr>
      <w:rPr>
        <w:rFonts w:hint="default"/>
      </w:rPr>
    </w:lvl>
    <w:lvl w:ilvl="1" w:tplc="2C0A0019" w:tentative="1">
      <w:start w:val="1"/>
      <w:numFmt w:val="lowerLetter"/>
      <w:lvlText w:val="%2."/>
      <w:lvlJc w:val="left"/>
      <w:pPr>
        <w:ind w:left="1222" w:hanging="360"/>
      </w:pPr>
    </w:lvl>
    <w:lvl w:ilvl="2" w:tplc="2C0A001B" w:tentative="1">
      <w:start w:val="1"/>
      <w:numFmt w:val="lowerRoman"/>
      <w:lvlText w:val="%3."/>
      <w:lvlJc w:val="right"/>
      <w:pPr>
        <w:ind w:left="1942" w:hanging="180"/>
      </w:pPr>
    </w:lvl>
    <w:lvl w:ilvl="3" w:tplc="2C0A000F" w:tentative="1">
      <w:start w:val="1"/>
      <w:numFmt w:val="decimal"/>
      <w:lvlText w:val="%4."/>
      <w:lvlJc w:val="left"/>
      <w:pPr>
        <w:ind w:left="2662" w:hanging="360"/>
      </w:pPr>
    </w:lvl>
    <w:lvl w:ilvl="4" w:tplc="2C0A0019" w:tentative="1">
      <w:start w:val="1"/>
      <w:numFmt w:val="lowerLetter"/>
      <w:lvlText w:val="%5."/>
      <w:lvlJc w:val="left"/>
      <w:pPr>
        <w:ind w:left="3382" w:hanging="360"/>
      </w:pPr>
    </w:lvl>
    <w:lvl w:ilvl="5" w:tplc="2C0A001B" w:tentative="1">
      <w:start w:val="1"/>
      <w:numFmt w:val="lowerRoman"/>
      <w:lvlText w:val="%6."/>
      <w:lvlJc w:val="right"/>
      <w:pPr>
        <w:ind w:left="4102" w:hanging="180"/>
      </w:pPr>
    </w:lvl>
    <w:lvl w:ilvl="6" w:tplc="2C0A000F" w:tentative="1">
      <w:start w:val="1"/>
      <w:numFmt w:val="decimal"/>
      <w:lvlText w:val="%7."/>
      <w:lvlJc w:val="left"/>
      <w:pPr>
        <w:ind w:left="4822" w:hanging="360"/>
      </w:pPr>
    </w:lvl>
    <w:lvl w:ilvl="7" w:tplc="2C0A0019" w:tentative="1">
      <w:start w:val="1"/>
      <w:numFmt w:val="lowerLetter"/>
      <w:lvlText w:val="%8."/>
      <w:lvlJc w:val="left"/>
      <w:pPr>
        <w:ind w:left="5542" w:hanging="360"/>
      </w:pPr>
    </w:lvl>
    <w:lvl w:ilvl="8" w:tplc="2C0A001B" w:tentative="1">
      <w:start w:val="1"/>
      <w:numFmt w:val="lowerRoman"/>
      <w:lvlText w:val="%9."/>
      <w:lvlJc w:val="right"/>
      <w:pPr>
        <w:ind w:left="6262" w:hanging="180"/>
      </w:pPr>
    </w:lvl>
  </w:abstractNum>
  <w:abstractNum w:abstractNumId="28" w15:restartNumberingAfterBreak="0">
    <w:nsid w:val="4AD46B5E"/>
    <w:multiLevelType w:val="hybridMultilevel"/>
    <w:tmpl w:val="19E02B04"/>
    <w:lvl w:ilvl="0" w:tplc="87A8C460">
      <w:start w:val="1"/>
      <w:numFmt w:val="bullet"/>
      <w:lvlText w:val=""/>
      <w:lvlJc w:val="left"/>
      <w:pPr>
        <w:tabs>
          <w:tab w:val="num" w:pos="0"/>
        </w:tabs>
        <w:ind w:left="360" w:hanging="360"/>
      </w:pPr>
      <w:rPr>
        <w:rFonts w:ascii="Symbol" w:hAnsi="Symbol" w:hint="default"/>
      </w:rPr>
    </w:lvl>
    <w:lvl w:ilvl="1" w:tplc="9FA60F4C">
      <w:numFmt w:val="bullet"/>
      <w:lvlText w:val="-"/>
      <w:lvlJc w:val="left"/>
      <w:pPr>
        <w:tabs>
          <w:tab w:val="num" w:pos="1440"/>
        </w:tabs>
        <w:ind w:left="1440" w:hanging="360"/>
      </w:pPr>
      <w:rPr>
        <w:rFonts w:ascii="Garamond" w:eastAsia="Times New Roman" w:hAnsi="Garamond"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BC632CB"/>
    <w:multiLevelType w:val="hybridMultilevel"/>
    <w:tmpl w:val="EDF09BF8"/>
    <w:lvl w:ilvl="0" w:tplc="E2FC8374">
      <w:start w:val="1"/>
      <w:numFmt w:val="decimal"/>
      <w:lvlText w:val="(%1)"/>
      <w:lvlJc w:val="left"/>
      <w:pPr>
        <w:ind w:left="720" w:hanging="360"/>
      </w:pPr>
      <w:rPr>
        <w:rFonts w:ascii="Times New Roman" w:hAnsi="Times New Roman" w:cs="Times New Roman" w:hint="default"/>
        <w:color w:val="auto"/>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15:restartNumberingAfterBreak="0">
    <w:nsid w:val="4C910A63"/>
    <w:multiLevelType w:val="hybridMultilevel"/>
    <w:tmpl w:val="4DB6C800"/>
    <w:lvl w:ilvl="0" w:tplc="15F49E34">
      <w:start w:val="1"/>
      <w:numFmt w:val="decimal"/>
      <w:lvlText w:val="(%1)"/>
      <w:lvlJc w:val="left"/>
      <w:pPr>
        <w:ind w:left="720" w:hanging="360"/>
      </w:pPr>
      <w:rPr>
        <w:rFonts w:cs="Times New Roman" w:hint="default"/>
        <w:b/>
        <w:i w:val="0"/>
        <w:color w:val="auto"/>
        <w:sz w:val="20"/>
        <w:szCs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53D319A4"/>
    <w:multiLevelType w:val="hybridMultilevel"/>
    <w:tmpl w:val="C2E08132"/>
    <w:lvl w:ilvl="0" w:tplc="EE526CEE">
      <w:start w:val="1"/>
      <w:numFmt w:val="decimal"/>
      <w:lvlText w:val="(%1)"/>
      <w:lvlJc w:val="left"/>
      <w:pPr>
        <w:ind w:left="720" w:hanging="360"/>
      </w:pPr>
      <w:rPr>
        <w:rFonts w:cs="Times New Roman" w:hint="default"/>
        <w:b w:val="0"/>
        <w:i w:val="0"/>
        <w:color w:val="auto"/>
        <w:sz w:val="20"/>
        <w:szCs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 w15:restartNumberingAfterBreak="0">
    <w:nsid w:val="555E4F5D"/>
    <w:multiLevelType w:val="hybridMultilevel"/>
    <w:tmpl w:val="7A50F004"/>
    <w:lvl w:ilvl="0" w:tplc="15F49E34">
      <w:start w:val="1"/>
      <w:numFmt w:val="decimal"/>
      <w:lvlText w:val="(%1)"/>
      <w:lvlJc w:val="left"/>
      <w:pPr>
        <w:tabs>
          <w:tab w:val="num" w:pos="720"/>
        </w:tabs>
        <w:ind w:left="720" w:hanging="360"/>
      </w:pPr>
      <w:rPr>
        <w:rFonts w:cs="Times New Roman" w:hint="default"/>
      </w:rPr>
    </w:lvl>
    <w:lvl w:ilvl="1" w:tplc="B3F6518C">
      <w:start w:val="1"/>
      <w:numFmt w:val="lowerLetter"/>
      <w:lvlText w:val="%2."/>
      <w:lvlJc w:val="left"/>
      <w:pPr>
        <w:tabs>
          <w:tab w:val="num" w:pos="1440"/>
        </w:tabs>
        <w:ind w:left="1440" w:hanging="360"/>
      </w:pPr>
      <w:rPr>
        <w:rFonts w:cs="Times New Roman"/>
      </w:rPr>
    </w:lvl>
    <w:lvl w:ilvl="2" w:tplc="FD4E51EE" w:tentative="1">
      <w:start w:val="1"/>
      <w:numFmt w:val="lowerRoman"/>
      <w:lvlText w:val="%3."/>
      <w:lvlJc w:val="right"/>
      <w:pPr>
        <w:tabs>
          <w:tab w:val="num" w:pos="2160"/>
        </w:tabs>
        <w:ind w:left="2160" w:hanging="180"/>
      </w:pPr>
      <w:rPr>
        <w:rFonts w:cs="Times New Roman"/>
      </w:rPr>
    </w:lvl>
    <w:lvl w:ilvl="3" w:tplc="878469B0" w:tentative="1">
      <w:start w:val="1"/>
      <w:numFmt w:val="decimal"/>
      <w:lvlText w:val="%4."/>
      <w:lvlJc w:val="left"/>
      <w:pPr>
        <w:tabs>
          <w:tab w:val="num" w:pos="2880"/>
        </w:tabs>
        <w:ind w:left="2880" w:hanging="360"/>
      </w:pPr>
      <w:rPr>
        <w:rFonts w:cs="Times New Roman"/>
      </w:rPr>
    </w:lvl>
    <w:lvl w:ilvl="4" w:tplc="F5021192" w:tentative="1">
      <w:start w:val="1"/>
      <w:numFmt w:val="lowerLetter"/>
      <w:lvlText w:val="%5."/>
      <w:lvlJc w:val="left"/>
      <w:pPr>
        <w:tabs>
          <w:tab w:val="num" w:pos="3600"/>
        </w:tabs>
        <w:ind w:left="3600" w:hanging="360"/>
      </w:pPr>
      <w:rPr>
        <w:rFonts w:cs="Times New Roman"/>
      </w:rPr>
    </w:lvl>
    <w:lvl w:ilvl="5" w:tplc="93D85894" w:tentative="1">
      <w:start w:val="1"/>
      <w:numFmt w:val="lowerRoman"/>
      <w:lvlText w:val="%6."/>
      <w:lvlJc w:val="right"/>
      <w:pPr>
        <w:tabs>
          <w:tab w:val="num" w:pos="4320"/>
        </w:tabs>
        <w:ind w:left="4320" w:hanging="180"/>
      </w:pPr>
      <w:rPr>
        <w:rFonts w:cs="Times New Roman"/>
      </w:rPr>
    </w:lvl>
    <w:lvl w:ilvl="6" w:tplc="A22A8FB2" w:tentative="1">
      <w:start w:val="1"/>
      <w:numFmt w:val="decimal"/>
      <w:lvlText w:val="%7."/>
      <w:lvlJc w:val="left"/>
      <w:pPr>
        <w:tabs>
          <w:tab w:val="num" w:pos="5040"/>
        </w:tabs>
        <w:ind w:left="5040" w:hanging="360"/>
      </w:pPr>
      <w:rPr>
        <w:rFonts w:cs="Times New Roman"/>
      </w:rPr>
    </w:lvl>
    <w:lvl w:ilvl="7" w:tplc="09E85BF0" w:tentative="1">
      <w:start w:val="1"/>
      <w:numFmt w:val="lowerLetter"/>
      <w:lvlText w:val="%8."/>
      <w:lvlJc w:val="left"/>
      <w:pPr>
        <w:tabs>
          <w:tab w:val="num" w:pos="5760"/>
        </w:tabs>
        <w:ind w:left="5760" w:hanging="360"/>
      </w:pPr>
      <w:rPr>
        <w:rFonts w:cs="Times New Roman"/>
      </w:rPr>
    </w:lvl>
    <w:lvl w:ilvl="8" w:tplc="96A25672" w:tentative="1">
      <w:start w:val="1"/>
      <w:numFmt w:val="lowerRoman"/>
      <w:lvlText w:val="%9."/>
      <w:lvlJc w:val="right"/>
      <w:pPr>
        <w:tabs>
          <w:tab w:val="num" w:pos="6480"/>
        </w:tabs>
        <w:ind w:left="6480" w:hanging="180"/>
      </w:pPr>
      <w:rPr>
        <w:rFonts w:cs="Times New Roman"/>
      </w:rPr>
    </w:lvl>
  </w:abstractNum>
  <w:abstractNum w:abstractNumId="33" w15:restartNumberingAfterBreak="0">
    <w:nsid w:val="573844D1"/>
    <w:multiLevelType w:val="hybridMultilevel"/>
    <w:tmpl w:val="4DB6C800"/>
    <w:lvl w:ilvl="0" w:tplc="15F49E34">
      <w:start w:val="1"/>
      <w:numFmt w:val="decimal"/>
      <w:lvlText w:val="(%1)"/>
      <w:lvlJc w:val="left"/>
      <w:pPr>
        <w:ind w:left="720" w:hanging="360"/>
      </w:pPr>
      <w:rPr>
        <w:rFonts w:cs="Times New Roman" w:hint="default"/>
        <w:b/>
        <w:i w:val="0"/>
        <w:color w:val="auto"/>
        <w:sz w:val="20"/>
        <w:szCs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583C43CC"/>
    <w:multiLevelType w:val="hybridMultilevel"/>
    <w:tmpl w:val="9C086FA0"/>
    <w:lvl w:ilvl="0" w:tplc="DB3E7C1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5AB80540"/>
    <w:multiLevelType w:val="hybridMultilevel"/>
    <w:tmpl w:val="ADE47036"/>
    <w:lvl w:ilvl="0" w:tplc="4328E87A">
      <w:start w:val="1"/>
      <w:numFmt w:val="decimal"/>
      <w:lvlText w:val="(%1)"/>
      <w:lvlJc w:val="left"/>
      <w:pPr>
        <w:ind w:left="720" w:hanging="360"/>
      </w:pPr>
      <w:rPr>
        <w:rFonts w:cs="Times New Roman" w:hint="default"/>
        <w:b w:val="0"/>
        <w:i w:val="0"/>
        <w:color w:val="auto"/>
        <w:sz w:val="20"/>
        <w:szCs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5D762F77"/>
    <w:multiLevelType w:val="hybridMultilevel"/>
    <w:tmpl w:val="7A50F004"/>
    <w:lvl w:ilvl="0" w:tplc="15F49E34">
      <w:start w:val="1"/>
      <w:numFmt w:val="decimal"/>
      <w:lvlText w:val="(%1)"/>
      <w:lvlJc w:val="left"/>
      <w:pPr>
        <w:tabs>
          <w:tab w:val="num" w:pos="720"/>
        </w:tabs>
        <w:ind w:left="720" w:hanging="360"/>
      </w:pPr>
      <w:rPr>
        <w:rFonts w:cs="Times New Roman" w:hint="default"/>
      </w:rPr>
    </w:lvl>
    <w:lvl w:ilvl="1" w:tplc="B3F6518C">
      <w:start w:val="1"/>
      <w:numFmt w:val="lowerLetter"/>
      <w:lvlText w:val="%2."/>
      <w:lvlJc w:val="left"/>
      <w:pPr>
        <w:tabs>
          <w:tab w:val="num" w:pos="1440"/>
        </w:tabs>
        <w:ind w:left="1440" w:hanging="360"/>
      </w:pPr>
      <w:rPr>
        <w:rFonts w:cs="Times New Roman"/>
      </w:rPr>
    </w:lvl>
    <w:lvl w:ilvl="2" w:tplc="FD4E51EE" w:tentative="1">
      <w:start w:val="1"/>
      <w:numFmt w:val="lowerRoman"/>
      <w:lvlText w:val="%3."/>
      <w:lvlJc w:val="right"/>
      <w:pPr>
        <w:tabs>
          <w:tab w:val="num" w:pos="2160"/>
        </w:tabs>
        <w:ind w:left="2160" w:hanging="180"/>
      </w:pPr>
      <w:rPr>
        <w:rFonts w:cs="Times New Roman"/>
      </w:rPr>
    </w:lvl>
    <w:lvl w:ilvl="3" w:tplc="878469B0" w:tentative="1">
      <w:start w:val="1"/>
      <w:numFmt w:val="decimal"/>
      <w:lvlText w:val="%4."/>
      <w:lvlJc w:val="left"/>
      <w:pPr>
        <w:tabs>
          <w:tab w:val="num" w:pos="2880"/>
        </w:tabs>
        <w:ind w:left="2880" w:hanging="360"/>
      </w:pPr>
      <w:rPr>
        <w:rFonts w:cs="Times New Roman"/>
      </w:rPr>
    </w:lvl>
    <w:lvl w:ilvl="4" w:tplc="F5021192" w:tentative="1">
      <w:start w:val="1"/>
      <w:numFmt w:val="lowerLetter"/>
      <w:lvlText w:val="%5."/>
      <w:lvlJc w:val="left"/>
      <w:pPr>
        <w:tabs>
          <w:tab w:val="num" w:pos="3600"/>
        </w:tabs>
        <w:ind w:left="3600" w:hanging="360"/>
      </w:pPr>
      <w:rPr>
        <w:rFonts w:cs="Times New Roman"/>
      </w:rPr>
    </w:lvl>
    <w:lvl w:ilvl="5" w:tplc="93D85894" w:tentative="1">
      <w:start w:val="1"/>
      <w:numFmt w:val="lowerRoman"/>
      <w:lvlText w:val="%6."/>
      <w:lvlJc w:val="right"/>
      <w:pPr>
        <w:tabs>
          <w:tab w:val="num" w:pos="4320"/>
        </w:tabs>
        <w:ind w:left="4320" w:hanging="180"/>
      </w:pPr>
      <w:rPr>
        <w:rFonts w:cs="Times New Roman"/>
      </w:rPr>
    </w:lvl>
    <w:lvl w:ilvl="6" w:tplc="A22A8FB2" w:tentative="1">
      <w:start w:val="1"/>
      <w:numFmt w:val="decimal"/>
      <w:lvlText w:val="%7."/>
      <w:lvlJc w:val="left"/>
      <w:pPr>
        <w:tabs>
          <w:tab w:val="num" w:pos="5040"/>
        </w:tabs>
        <w:ind w:left="5040" w:hanging="360"/>
      </w:pPr>
      <w:rPr>
        <w:rFonts w:cs="Times New Roman"/>
      </w:rPr>
    </w:lvl>
    <w:lvl w:ilvl="7" w:tplc="09E85BF0" w:tentative="1">
      <w:start w:val="1"/>
      <w:numFmt w:val="lowerLetter"/>
      <w:lvlText w:val="%8."/>
      <w:lvlJc w:val="left"/>
      <w:pPr>
        <w:tabs>
          <w:tab w:val="num" w:pos="5760"/>
        </w:tabs>
        <w:ind w:left="5760" w:hanging="360"/>
      </w:pPr>
      <w:rPr>
        <w:rFonts w:cs="Times New Roman"/>
      </w:rPr>
    </w:lvl>
    <w:lvl w:ilvl="8" w:tplc="96A25672" w:tentative="1">
      <w:start w:val="1"/>
      <w:numFmt w:val="lowerRoman"/>
      <w:lvlText w:val="%9."/>
      <w:lvlJc w:val="right"/>
      <w:pPr>
        <w:tabs>
          <w:tab w:val="num" w:pos="6480"/>
        </w:tabs>
        <w:ind w:left="6480" w:hanging="180"/>
      </w:pPr>
      <w:rPr>
        <w:rFonts w:cs="Times New Roman"/>
      </w:rPr>
    </w:lvl>
  </w:abstractNum>
  <w:abstractNum w:abstractNumId="37" w15:restartNumberingAfterBreak="0">
    <w:nsid w:val="5E5478D6"/>
    <w:multiLevelType w:val="hybridMultilevel"/>
    <w:tmpl w:val="D61EF67E"/>
    <w:lvl w:ilvl="0" w:tplc="A1BC4434">
      <w:start w:val="1"/>
      <w:numFmt w:val="decimal"/>
      <w:lvlText w:val="(%1)"/>
      <w:lvlJc w:val="left"/>
      <w:pPr>
        <w:ind w:left="1206" w:hanging="360"/>
      </w:pPr>
    </w:lvl>
    <w:lvl w:ilvl="1" w:tplc="2C0A0019">
      <w:start w:val="1"/>
      <w:numFmt w:val="lowerLetter"/>
      <w:lvlText w:val="%2."/>
      <w:lvlJc w:val="left"/>
      <w:pPr>
        <w:ind w:left="1926" w:hanging="360"/>
      </w:pPr>
    </w:lvl>
    <w:lvl w:ilvl="2" w:tplc="2C0A001B">
      <w:start w:val="1"/>
      <w:numFmt w:val="lowerRoman"/>
      <w:lvlText w:val="%3."/>
      <w:lvlJc w:val="right"/>
      <w:pPr>
        <w:ind w:left="2646" w:hanging="180"/>
      </w:pPr>
    </w:lvl>
    <w:lvl w:ilvl="3" w:tplc="2C0A000F">
      <w:start w:val="1"/>
      <w:numFmt w:val="decimal"/>
      <w:lvlText w:val="%4."/>
      <w:lvlJc w:val="left"/>
      <w:pPr>
        <w:ind w:left="3366" w:hanging="360"/>
      </w:pPr>
    </w:lvl>
    <w:lvl w:ilvl="4" w:tplc="2C0A0019">
      <w:start w:val="1"/>
      <w:numFmt w:val="lowerLetter"/>
      <w:lvlText w:val="%5."/>
      <w:lvlJc w:val="left"/>
      <w:pPr>
        <w:ind w:left="4086" w:hanging="360"/>
      </w:pPr>
    </w:lvl>
    <w:lvl w:ilvl="5" w:tplc="2C0A001B">
      <w:start w:val="1"/>
      <w:numFmt w:val="lowerRoman"/>
      <w:lvlText w:val="%6."/>
      <w:lvlJc w:val="right"/>
      <w:pPr>
        <w:ind w:left="4806" w:hanging="180"/>
      </w:pPr>
    </w:lvl>
    <w:lvl w:ilvl="6" w:tplc="2C0A000F">
      <w:start w:val="1"/>
      <w:numFmt w:val="decimal"/>
      <w:lvlText w:val="%7."/>
      <w:lvlJc w:val="left"/>
      <w:pPr>
        <w:ind w:left="5526" w:hanging="360"/>
      </w:pPr>
    </w:lvl>
    <w:lvl w:ilvl="7" w:tplc="2C0A0019">
      <w:start w:val="1"/>
      <w:numFmt w:val="lowerLetter"/>
      <w:lvlText w:val="%8."/>
      <w:lvlJc w:val="left"/>
      <w:pPr>
        <w:ind w:left="6246" w:hanging="360"/>
      </w:pPr>
    </w:lvl>
    <w:lvl w:ilvl="8" w:tplc="2C0A001B">
      <w:start w:val="1"/>
      <w:numFmt w:val="lowerRoman"/>
      <w:lvlText w:val="%9."/>
      <w:lvlJc w:val="right"/>
      <w:pPr>
        <w:ind w:left="6966" w:hanging="180"/>
      </w:pPr>
    </w:lvl>
  </w:abstractNum>
  <w:abstractNum w:abstractNumId="38" w15:restartNumberingAfterBreak="0">
    <w:nsid w:val="5ECB4E0D"/>
    <w:multiLevelType w:val="multilevel"/>
    <w:tmpl w:val="03460D5C"/>
    <w:lvl w:ilvl="0">
      <w:start w:val="1"/>
      <w:numFmt w:val="lowerRoman"/>
      <w:lvlText w:val="%1."/>
      <w:lvlJc w:val="right"/>
      <w:pPr>
        <w:ind w:left="360" w:hanging="360"/>
      </w:pPr>
      <w:rPr>
        <w:b w:val="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9" w15:restartNumberingAfterBreak="0">
    <w:nsid w:val="5F8A70C0"/>
    <w:multiLevelType w:val="hybridMultilevel"/>
    <w:tmpl w:val="213AFF60"/>
    <w:lvl w:ilvl="0" w:tplc="B7003150">
      <w:start w:val="3"/>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0" w15:restartNumberingAfterBreak="0">
    <w:nsid w:val="63272049"/>
    <w:multiLevelType w:val="hybridMultilevel"/>
    <w:tmpl w:val="C0E6E1E0"/>
    <w:lvl w:ilvl="0" w:tplc="E342D9E6">
      <w:start w:val="1"/>
      <w:numFmt w:val="decimal"/>
      <w:lvlText w:val="(%1)"/>
      <w:lvlJc w:val="left"/>
      <w:pPr>
        <w:ind w:left="720" w:hanging="360"/>
      </w:pPr>
      <w:rPr>
        <w:rFonts w:cs="Times New Roman" w:hint="default"/>
        <w:b w:val="0"/>
        <w:i w:val="0"/>
        <w:color w:val="auto"/>
        <w:sz w:val="20"/>
        <w:szCs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 w15:restartNumberingAfterBreak="0">
    <w:nsid w:val="634D4837"/>
    <w:multiLevelType w:val="multilevel"/>
    <w:tmpl w:val="96AA7E7C"/>
    <w:lvl w:ilvl="0">
      <w:start w:val="3"/>
      <w:numFmt w:val="upperRoman"/>
      <w:lvlText w:val="%1."/>
      <w:lvlJc w:val="left"/>
      <w:pPr>
        <w:ind w:left="862" w:hanging="720"/>
      </w:pPr>
      <w:rPr>
        <w:rFonts w:ascii="Cambria" w:eastAsia="Times New Roman" w:hAnsi="Cambria" w:cs="Times New Roman" w:hint="default"/>
        <w:b/>
        <w:i w:val="0"/>
        <w:color w:val="auto"/>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85D7F13"/>
    <w:multiLevelType w:val="hybridMultilevel"/>
    <w:tmpl w:val="A8C2B488"/>
    <w:lvl w:ilvl="0" w:tplc="2C0A0001">
      <w:start w:val="1"/>
      <w:numFmt w:val="bullet"/>
      <w:lvlText w:val=""/>
      <w:lvlJc w:val="left"/>
      <w:pPr>
        <w:ind w:left="1065" w:hanging="360"/>
      </w:pPr>
      <w:rPr>
        <w:rFonts w:ascii="Symbol" w:hAnsi="Symbo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43" w15:restartNumberingAfterBreak="0">
    <w:nsid w:val="6B4B6BBB"/>
    <w:multiLevelType w:val="hybridMultilevel"/>
    <w:tmpl w:val="87041D04"/>
    <w:lvl w:ilvl="0" w:tplc="95A43CE0">
      <w:start w:val="1"/>
      <w:numFmt w:val="decimal"/>
      <w:lvlText w:val="(%1)"/>
      <w:lvlJc w:val="left"/>
      <w:pPr>
        <w:ind w:left="720" w:hanging="360"/>
      </w:pPr>
      <w:rPr>
        <w:rFonts w:cs="Times New Roman" w:hint="default"/>
        <w:b w:val="0"/>
        <w:i w:val="0"/>
        <w:color w:val="auto"/>
        <w:sz w:val="20"/>
        <w:szCs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 w15:restartNumberingAfterBreak="0">
    <w:nsid w:val="6D2156B3"/>
    <w:multiLevelType w:val="hybridMultilevel"/>
    <w:tmpl w:val="7A50F004"/>
    <w:lvl w:ilvl="0" w:tplc="15F49E34">
      <w:start w:val="1"/>
      <w:numFmt w:val="decimal"/>
      <w:lvlText w:val="(%1)"/>
      <w:lvlJc w:val="left"/>
      <w:pPr>
        <w:tabs>
          <w:tab w:val="num" w:pos="720"/>
        </w:tabs>
        <w:ind w:left="720" w:hanging="360"/>
      </w:pPr>
      <w:rPr>
        <w:rFonts w:cs="Times New Roman" w:hint="default"/>
      </w:rPr>
    </w:lvl>
    <w:lvl w:ilvl="1" w:tplc="B3F6518C">
      <w:start w:val="1"/>
      <w:numFmt w:val="lowerLetter"/>
      <w:lvlText w:val="%2."/>
      <w:lvlJc w:val="left"/>
      <w:pPr>
        <w:tabs>
          <w:tab w:val="num" w:pos="1440"/>
        </w:tabs>
        <w:ind w:left="1440" w:hanging="360"/>
      </w:pPr>
      <w:rPr>
        <w:rFonts w:cs="Times New Roman"/>
      </w:rPr>
    </w:lvl>
    <w:lvl w:ilvl="2" w:tplc="FD4E51EE" w:tentative="1">
      <w:start w:val="1"/>
      <w:numFmt w:val="lowerRoman"/>
      <w:lvlText w:val="%3."/>
      <w:lvlJc w:val="right"/>
      <w:pPr>
        <w:tabs>
          <w:tab w:val="num" w:pos="2160"/>
        </w:tabs>
        <w:ind w:left="2160" w:hanging="180"/>
      </w:pPr>
      <w:rPr>
        <w:rFonts w:cs="Times New Roman"/>
      </w:rPr>
    </w:lvl>
    <w:lvl w:ilvl="3" w:tplc="878469B0" w:tentative="1">
      <w:start w:val="1"/>
      <w:numFmt w:val="decimal"/>
      <w:lvlText w:val="%4."/>
      <w:lvlJc w:val="left"/>
      <w:pPr>
        <w:tabs>
          <w:tab w:val="num" w:pos="2880"/>
        </w:tabs>
        <w:ind w:left="2880" w:hanging="360"/>
      </w:pPr>
      <w:rPr>
        <w:rFonts w:cs="Times New Roman"/>
      </w:rPr>
    </w:lvl>
    <w:lvl w:ilvl="4" w:tplc="F5021192" w:tentative="1">
      <w:start w:val="1"/>
      <w:numFmt w:val="lowerLetter"/>
      <w:lvlText w:val="%5."/>
      <w:lvlJc w:val="left"/>
      <w:pPr>
        <w:tabs>
          <w:tab w:val="num" w:pos="3600"/>
        </w:tabs>
        <w:ind w:left="3600" w:hanging="360"/>
      </w:pPr>
      <w:rPr>
        <w:rFonts w:cs="Times New Roman"/>
      </w:rPr>
    </w:lvl>
    <w:lvl w:ilvl="5" w:tplc="93D85894" w:tentative="1">
      <w:start w:val="1"/>
      <w:numFmt w:val="lowerRoman"/>
      <w:lvlText w:val="%6."/>
      <w:lvlJc w:val="right"/>
      <w:pPr>
        <w:tabs>
          <w:tab w:val="num" w:pos="4320"/>
        </w:tabs>
        <w:ind w:left="4320" w:hanging="180"/>
      </w:pPr>
      <w:rPr>
        <w:rFonts w:cs="Times New Roman"/>
      </w:rPr>
    </w:lvl>
    <w:lvl w:ilvl="6" w:tplc="A22A8FB2" w:tentative="1">
      <w:start w:val="1"/>
      <w:numFmt w:val="decimal"/>
      <w:lvlText w:val="%7."/>
      <w:lvlJc w:val="left"/>
      <w:pPr>
        <w:tabs>
          <w:tab w:val="num" w:pos="5040"/>
        </w:tabs>
        <w:ind w:left="5040" w:hanging="360"/>
      </w:pPr>
      <w:rPr>
        <w:rFonts w:cs="Times New Roman"/>
      </w:rPr>
    </w:lvl>
    <w:lvl w:ilvl="7" w:tplc="09E85BF0" w:tentative="1">
      <w:start w:val="1"/>
      <w:numFmt w:val="lowerLetter"/>
      <w:lvlText w:val="%8."/>
      <w:lvlJc w:val="left"/>
      <w:pPr>
        <w:tabs>
          <w:tab w:val="num" w:pos="5760"/>
        </w:tabs>
        <w:ind w:left="5760" w:hanging="360"/>
      </w:pPr>
      <w:rPr>
        <w:rFonts w:cs="Times New Roman"/>
      </w:rPr>
    </w:lvl>
    <w:lvl w:ilvl="8" w:tplc="96A25672" w:tentative="1">
      <w:start w:val="1"/>
      <w:numFmt w:val="lowerRoman"/>
      <w:lvlText w:val="%9."/>
      <w:lvlJc w:val="right"/>
      <w:pPr>
        <w:tabs>
          <w:tab w:val="num" w:pos="6480"/>
        </w:tabs>
        <w:ind w:left="6480" w:hanging="180"/>
      </w:pPr>
      <w:rPr>
        <w:rFonts w:cs="Times New Roman"/>
      </w:rPr>
    </w:lvl>
  </w:abstractNum>
  <w:abstractNum w:abstractNumId="45" w15:restartNumberingAfterBreak="0">
    <w:nsid w:val="6D257BCF"/>
    <w:multiLevelType w:val="hybridMultilevel"/>
    <w:tmpl w:val="1F8CB66E"/>
    <w:lvl w:ilvl="0" w:tplc="E8268C3A">
      <w:start w:val="1"/>
      <w:numFmt w:val="lowerRoman"/>
      <w:lvlText w:val="%1)"/>
      <w:lvlJc w:val="right"/>
      <w:pPr>
        <w:ind w:left="720" w:hanging="360"/>
      </w:pPr>
      <w:rPr>
        <w:rFonts w:ascii="Arial" w:eastAsia="Times New Roman" w:hAnsi="Arial" w:cs="Arial"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6" w15:restartNumberingAfterBreak="0">
    <w:nsid w:val="710818B9"/>
    <w:multiLevelType w:val="hybridMultilevel"/>
    <w:tmpl w:val="F900FA9E"/>
    <w:lvl w:ilvl="0" w:tplc="87A8C460">
      <w:start w:val="1"/>
      <w:numFmt w:val="bullet"/>
      <w:lvlText w:val=""/>
      <w:lvlJc w:val="left"/>
      <w:pPr>
        <w:tabs>
          <w:tab w:val="num" w:pos="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1116952"/>
    <w:multiLevelType w:val="hybridMultilevel"/>
    <w:tmpl w:val="5EC4E70E"/>
    <w:lvl w:ilvl="0" w:tplc="7A6E2FC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8" w15:restartNumberingAfterBreak="0">
    <w:nsid w:val="723A6436"/>
    <w:multiLevelType w:val="hybridMultilevel"/>
    <w:tmpl w:val="0A4AF896"/>
    <w:lvl w:ilvl="0" w:tplc="492C9412">
      <w:start w:val="1"/>
      <w:numFmt w:val="decimal"/>
      <w:lvlText w:val="(%1)"/>
      <w:lvlJc w:val="left"/>
      <w:pPr>
        <w:tabs>
          <w:tab w:val="num" w:pos="720"/>
        </w:tabs>
        <w:ind w:left="720" w:hanging="360"/>
      </w:pPr>
      <w:rPr>
        <w:rFonts w:cs="Times New Roman" w:hint="default"/>
        <w:color w:val="auto"/>
      </w:rPr>
    </w:lvl>
    <w:lvl w:ilvl="1" w:tplc="B3F6518C">
      <w:start w:val="1"/>
      <w:numFmt w:val="lowerLetter"/>
      <w:lvlText w:val="%2."/>
      <w:lvlJc w:val="left"/>
      <w:pPr>
        <w:tabs>
          <w:tab w:val="num" w:pos="1440"/>
        </w:tabs>
        <w:ind w:left="1440" w:hanging="360"/>
      </w:pPr>
      <w:rPr>
        <w:rFonts w:cs="Times New Roman"/>
      </w:rPr>
    </w:lvl>
    <w:lvl w:ilvl="2" w:tplc="FD4E51EE" w:tentative="1">
      <w:start w:val="1"/>
      <w:numFmt w:val="lowerRoman"/>
      <w:lvlText w:val="%3."/>
      <w:lvlJc w:val="right"/>
      <w:pPr>
        <w:tabs>
          <w:tab w:val="num" w:pos="2160"/>
        </w:tabs>
        <w:ind w:left="2160" w:hanging="180"/>
      </w:pPr>
      <w:rPr>
        <w:rFonts w:cs="Times New Roman"/>
      </w:rPr>
    </w:lvl>
    <w:lvl w:ilvl="3" w:tplc="878469B0" w:tentative="1">
      <w:start w:val="1"/>
      <w:numFmt w:val="decimal"/>
      <w:lvlText w:val="%4."/>
      <w:lvlJc w:val="left"/>
      <w:pPr>
        <w:tabs>
          <w:tab w:val="num" w:pos="2880"/>
        </w:tabs>
        <w:ind w:left="2880" w:hanging="360"/>
      </w:pPr>
      <w:rPr>
        <w:rFonts w:cs="Times New Roman"/>
      </w:rPr>
    </w:lvl>
    <w:lvl w:ilvl="4" w:tplc="F5021192" w:tentative="1">
      <w:start w:val="1"/>
      <w:numFmt w:val="lowerLetter"/>
      <w:lvlText w:val="%5."/>
      <w:lvlJc w:val="left"/>
      <w:pPr>
        <w:tabs>
          <w:tab w:val="num" w:pos="3600"/>
        </w:tabs>
        <w:ind w:left="3600" w:hanging="360"/>
      </w:pPr>
      <w:rPr>
        <w:rFonts w:cs="Times New Roman"/>
      </w:rPr>
    </w:lvl>
    <w:lvl w:ilvl="5" w:tplc="93D85894" w:tentative="1">
      <w:start w:val="1"/>
      <w:numFmt w:val="lowerRoman"/>
      <w:lvlText w:val="%6."/>
      <w:lvlJc w:val="right"/>
      <w:pPr>
        <w:tabs>
          <w:tab w:val="num" w:pos="4320"/>
        </w:tabs>
        <w:ind w:left="4320" w:hanging="180"/>
      </w:pPr>
      <w:rPr>
        <w:rFonts w:cs="Times New Roman"/>
      </w:rPr>
    </w:lvl>
    <w:lvl w:ilvl="6" w:tplc="A22A8FB2" w:tentative="1">
      <w:start w:val="1"/>
      <w:numFmt w:val="decimal"/>
      <w:lvlText w:val="%7."/>
      <w:lvlJc w:val="left"/>
      <w:pPr>
        <w:tabs>
          <w:tab w:val="num" w:pos="5040"/>
        </w:tabs>
        <w:ind w:left="5040" w:hanging="360"/>
      </w:pPr>
      <w:rPr>
        <w:rFonts w:cs="Times New Roman"/>
      </w:rPr>
    </w:lvl>
    <w:lvl w:ilvl="7" w:tplc="09E85BF0" w:tentative="1">
      <w:start w:val="1"/>
      <w:numFmt w:val="lowerLetter"/>
      <w:lvlText w:val="%8."/>
      <w:lvlJc w:val="left"/>
      <w:pPr>
        <w:tabs>
          <w:tab w:val="num" w:pos="5760"/>
        </w:tabs>
        <w:ind w:left="5760" w:hanging="360"/>
      </w:pPr>
      <w:rPr>
        <w:rFonts w:cs="Times New Roman"/>
      </w:rPr>
    </w:lvl>
    <w:lvl w:ilvl="8" w:tplc="96A25672" w:tentative="1">
      <w:start w:val="1"/>
      <w:numFmt w:val="lowerRoman"/>
      <w:lvlText w:val="%9."/>
      <w:lvlJc w:val="right"/>
      <w:pPr>
        <w:tabs>
          <w:tab w:val="num" w:pos="6480"/>
        </w:tabs>
        <w:ind w:left="6480" w:hanging="180"/>
      </w:pPr>
      <w:rPr>
        <w:rFonts w:cs="Times New Roman"/>
      </w:rPr>
    </w:lvl>
  </w:abstractNum>
  <w:abstractNum w:abstractNumId="49" w15:restartNumberingAfterBreak="0">
    <w:nsid w:val="74AB0EA4"/>
    <w:multiLevelType w:val="hybridMultilevel"/>
    <w:tmpl w:val="03064086"/>
    <w:lvl w:ilvl="0" w:tplc="C27215F4">
      <w:start w:val="1"/>
      <w:numFmt w:val="decimal"/>
      <w:lvlText w:val="(%1)"/>
      <w:lvlJc w:val="left"/>
      <w:pPr>
        <w:ind w:left="720" w:hanging="360"/>
      </w:pPr>
      <w:rPr>
        <w:rFonts w:ascii="Times New Roman" w:hAnsi="Times New Roman" w:cs="Times New Roman" w:hint="default"/>
        <w:color w:val="auto"/>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0" w15:restartNumberingAfterBreak="0">
    <w:nsid w:val="795043B3"/>
    <w:multiLevelType w:val="hybridMultilevel"/>
    <w:tmpl w:val="3B8CF84E"/>
    <w:lvl w:ilvl="0" w:tplc="F72AAD1A">
      <w:start w:val="1"/>
      <w:numFmt w:val="decimal"/>
      <w:lvlText w:val="(%1)"/>
      <w:lvlJc w:val="left"/>
      <w:pPr>
        <w:ind w:left="502" w:hanging="360"/>
      </w:pPr>
      <w:rPr>
        <w:rFonts w:hint="default"/>
      </w:rPr>
    </w:lvl>
    <w:lvl w:ilvl="1" w:tplc="2C0A0019" w:tentative="1">
      <w:start w:val="1"/>
      <w:numFmt w:val="lowerLetter"/>
      <w:lvlText w:val="%2."/>
      <w:lvlJc w:val="left"/>
      <w:pPr>
        <w:ind w:left="1222" w:hanging="360"/>
      </w:pPr>
    </w:lvl>
    <w:lvl w:ilvl="2" w:tplc="2C0A001B" w:tentative="1">
      <w:start w:val="1"/>
      <w:numFmt w:val="lowerRoman"/>
      <w:lvlText w:val="%3."/>
      <w:lvlJc w:val="right"/>
      <w:pPr>
        <w:ind w:left="1942" w:hanging="180"/>
      </w:pPr>
    </w:lvl>
    <w:lvl w:ilvl="3" w:tplc="2C0A000F" w:tentative="1">
      <w:start w:val="1"/>
      <w:numFmt w:val="decimal"/>
      <w:lvlText w:val="%4."/>
      <w:lvlJc w:val="left"/>
      <w:pPr>
        <w:ind w:left="2662" w:hanging="360"/>
      </w:pPr>
    </w:lvl>
    <w:lvl w:ilvl="4" w:tplc="2C0A0019" w:tentative="1">
      <w:start w:val="1"/>
      <w:numFmt w:val="lowerLetter"/>
      <w:lvlText w:val="%5."/>
      <w:lvlJc w:val="left"/>
      <w:pPr>
        <w:ind w:left="3382" w:hanging="360"/>
      </w:pPr>
    </w:lvl>
    <w:lvl w:ilvl="5" w:tplc="2C0A001B" w:tentative="1">
      <w:start w:val="1"/>
      <w:numFmt w:val="lowerRoman"/>
      <w:lvlText w:val="%6."/>
      <w:lvlJc w:val="right"/>
      <w:pPr>
        <w:ind w:left="4102" w:hanging="180"/>
      </w:pPr>
    </w:lvl>
    <w:lvl w:ilvl="6" w:tplc="2C0A000F" w:tentative="1">
      <w:start w:val="1"/>
      <w:numFmt w:val="decimal"/>
      <w:lvlText w:val="%7."/>
      <w:lvlJc w:val="left"/>
      <w:pPr>
        <w:ind w:left="4822" w:hanging="360"/>
      </w:pPr>
    </w:lvl>
    <w:lvl w:ilvl="7" w:tplc="2C0A0019" w:tentative="1">
      <w:start w:val="1"/>
      <w:numFmt w:val="lowerLetter"/>
      <w:lvlText w:val="%8."/>
      <w:lvlJc w:val="left"/>
      <w:pPr>
        <w:ind w:left="5542" w:hanging="360"/>
      </w:pPr>
    </w:lvl>
    <w:lvl w:ilvl="8" w:tplc="2C0A001B" w:tentative="1">
      <w:start w:val="1"/>
      <w:numFmt w:val="lowerRoman"/>
      <w:lvlText w:val="%9."/>
      <w:lvlJc w:val="right"/>
      <w:pPr>
        <w:ind w:left="6262" w:hanging="180"/>
      </w:pPr>
    </w:lvl>
  </w:abstractNum>
  <w:abstractNum w:abstractNumId="51" w15:restartNumberingAfterBreak="0">
    <w:nsid w:val="79B3091D"/>
    <w:multiLevelType w:val="hybridMultilevel"/>
    <w:tmpl w:val="6EA295F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0"/>
  </w:num>
  <w:num w:numId="2">
    <w:abstractNumId w:val="42"/>
  </w:num>
  <w:num w:numId="3">
    <w:abstractNumId w:val="38"/>
  </w:num>
  <w:num w:numId="4">
    <w:abstractNumId w:val="17"/>
  </w:num>
  <w:num w:numId="5">
    <w:abstractNumId w:val="41"/>
  </w:num>
  <w:num w:numId="6">
    <w:abstractNumId w:val="51"/>
  </w:num>
  <w:num w:numId="7">
    <w:abstractNumId w:val="2"/>
  </w:num>
  <w:num w:numId="8">
    <w:abstractNumId w:val="24"/>
  </w:num>
  <w:num w:numId="9">
    <w:abstractNumId w:val="14"/>
  </w:num>
  <w:num w:numId="10">
    <w:abstractNumId w:val="48"/>
  </w:num>
  <w:num w:numId="11">
    <w:abstractNumId w:val="43"/>
  </w:num>
  <w:num w:numId="12">
    <w:abstractNumId w:val="7"/>
  </w:num>
  <w:num w:numId="13">
    <w:abstractNumId w:val="28"/>
  </w:num>
  <w:num w:numId="14">
    <w:abstractNumId w:val="46"/>
  </w:num>
  <w:num w:numId="15">
    <w:abstractNumId w:val="22"/>
  </w:num>
  <w:num w:numId="16">
    <w:abstractNumId w:val="18"/>
  </w:num>
  <w:num w:numId="17">
    <w:abstractNumId w:val="0"/>
  </w:num>
  <w:num w:numId="18">
    <w:abstractNumId w:val="27"/>
  </w:num>
  <w:num w:numId="19">
    <w:abstractNumId w:val="49"/>
  </w:num>
  <w:num w:numId="20">
    <w:abstractNumId w:val="4"/>
  </w:num>
  <w:num w:numId="21">
    <w:abstractNumId w:val="21"/>
  </w:num>
  <w:num w:numId="22">
    <w:abstractNumId w:val="15"/>
  </w:num>
  <w:num w:numId="23">
    <w:abstractNumId w:val="31"/>
  </w:num>
  <w:num w:numId="24">
    <w:abstractNumId w:val="23"/>
  </w:num>
  <w:num w:numId="25">
    <w:abstractNumId w:val="12"/>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5"/>
  </w:num>
  <w:num w:numId="28">
    <w:abstractNumId w:val="34"/>
  </w:num>
  <w:num w:numId="29">
    <w:abstractNumId w:val="39"/>
  </w:num>
  <w:num w:numId="30">
    <w:abstractNumId w:val="13"/>
  </w:num>
  <w:num w:numId="31">
    <w:abstractNumId w:val="35"/>
  </w:num>
  <w:num w:numId="32">
    <w:abstractNumId w:val="40"/>
  </w:num>
  <w:num w:numId="33">
    <w:abstractNumId w:val="20"/>
  </w:num>
  <w:num w:numId="34">
    <w:abstractNumId w:val="25"/>
  </w:num>
  <w:num w:numId="35">
    <w:abstractNumId w:val="11"/>
  </w:num>
  <w:num w:numId="36">
    <w:abstractNumId w:val="36"/>
  </w:num>
  <w:num w:numId="37">
    <w:abstractNumId w:val="44"/>
  </w:num>
  <w:num w:numId="38">
    <w:abstractNumId w:val="32"/>
  </w:num>
  <w:num w:numId="39">
    <w:abstractNumId w:val="16"/>
  </w:num>
  <w:num w:numId="40">
    <w:abstractNumId w:val="33"/>
  </w:num>
  <w:num w:numId="41">
    <w:abstractNumId w:val="30"/>
  </w:num>
  <w:num w:numId="42">
    <w:abstractNumId w:val="50"/>
  </w:num>
  <w:num w:numId="43">
    <w:abstractNumId w:val="29"/>
  </w:num>
  <w:num w:numId="44">
    <w:abstractNumId w:val="9"/>
  </w:num>
  <w:num w:numId="45">
    <w:abstractNumId w:val="1"/>
  </w:num>
  <w:num w:numId="46">
    <w:abstractNumId w:val="19"/>
  </w:num>
  <w:num w:numId="47">
    <w:abstractNumId w:val="8"/>
  </w:num>
  <w:num w:numId="48">
    <w:abstractNumId w:val="5"/>
  </w:num>
  <w:num w:numId="49">
    <w:abstractNumId w:val="26"/>
  </w:num>
  <w:num w:numId="50">
    <w:abstractNumId w:val="47"/>
  </w:num>
  <w:num w:numId="51">
    <w:abstractNumId w:val="3"/>
  </w:num>
  <w:num w:numId="52">
    <w:abstractNumId w:val="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B87"/>
    <w:rsid w:val="000B2BCA"/>
    <w:rsid w:val="000C02A3"/>
    <w:rsid w:val="00143100"/>
    <w:rsid w:val="001949D2"/>
    <w:rsid w:val="001B356B"/>
    <w:rsid w:val="001E434B"/>
    <w:rsid w:val="00211216"/>
    <w:rsid w:val="00231E12"/>
    <w:rsid w:val="002A27E7"/>
    <w:rsid w:val="0031285E"/>
    <w:rsid w:val="00316A41"/>
    <w:rsid w:val="00320AA9"/>
    <w:rsid w:val="003F02DD"/>
    <w:rsid w:val="005118DB"/>
    <w:rsid w:val="00544A28"/>
    <w:rsid w:val="005C5B87"/>
    <w:rsid w:val="006A25D8"/>
    <w:rsid w:val="007C42DB"/>
    <w:rsid w:val="007D2D56"/>
    <w:rsid w:val="007D583B"/>
    <w:rsid w:val="007E6C08"/>
    <w:rsid w:val="008207EC"/>
    <w:rsid w:val="009717D4"/>
    <w:rsid w:val="009961CD"/>
    <w:rsid w:val="009F0116"/>
    <w:rsid w:val="00A406DC"/>
    <w:rsid w:val="00A9031B"/>
    <w:rsid w:val="00BC1F92"/>
    <w:rsid w:val="00BD52BA"/>
    <w:rsid w:val="00D504FB"/>
    <w:rsid w:val="00DA0CDA"/>
    <w:rsid w:val="00DB1466"/>
    <w:rsid w:val="00ED480D"/>
    <w:rsid w:val="00EF15A1"/>
    <w:rsid w:val="00F752F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D12DD"/>
  <w15:chartTrackingRefBased/>
  <w15:docId w15:val="{EF0F46C6-4A12-4194-8CF6-0515A664C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85E"/>
    <w:pPr>
      <w:spacing w:after="200" w:line="276" w:lineRule="auto"/>
    </w:pPr>
    <w:rPr>
      <w:rFonts w:ascii="Calibri" w:eastAsia="Calibri" w:hAnsi="Calibri" w:cs="Times New Roman"/>
      <w:lang w:val="es-ES" w:eastAsia="es-AR"/>
    </w:rPr>
  </w:style>
  <w:style w:type="paragraph" w:styleId="Ttulo1">
    <w:name w:val="heading 1"/>
    <w:basedOn w:val="Normal"/>
    <w:next w:val="Normal"/>
    <w:link w:val="Ttulo1Car"/>
    <w:qFormat/>
    <w:rsid w:val="0031285E"/>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unhideWhenUsed/>
    <w:qFormat/>
    <w:rsid w:val="003128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5">
    <w:name w:val="heading 5"/>
    <w:basedOn w:val="Normal"/>
    <w:next w:val="Normal"/>
    <w:link w:val="Ttulo5Car"/>
    <w:uiPriority w:val="9"/>
    <w:semiHidden/>
    <w:unhideWhenUsed/>
    <w:qFormat/>
    <w:rsid w:val="00320AA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31285E"/>
    <w:rPr>
      <w:color w:val="0000FF"/>
      <w:u w:val="single"/>
    </w:rPr>
  </w:style>
  <w:style w:type="character" w:customStyle="1" w:styleId="Ttulo1Car">
    <w:name w:val="Título 1 Car"/>
    <w:basedOn w:val="Fuentedeprrafopredeter"/>
    <w:link w:val="Ttulo1"/>
    <w:rsid w:val="0031285E"/>
    <w:rPr>
      <w:rFonts w:ascii="Cambria" w:eastAsia="Times New Roman" w:hAnsi="Cambria" w:cs="Times New Roman"/>
      <w:b/>
      <w:bCs/>
      <w:kern w:val="32"/>
      <w:sz w:val="32"/>
      <w:szCs w:val="32"/>
      <w:lang w:val="es-ES" w:eastAsia="es-AR"/>
    </w:rPr>
  </w:style>
  <w:style w:type="paragraph" w:customStyle="1" w:styleId="Body">
    <w:name w:val="Body"/>
    <w:aliases w:val="by"/>
    <w:rsid w:val="0031285E"/>
    <w:pPr>
      <w:spacing w:after="130" w:line="260" w:lineRule="exact"/>
      <w:jc w:val="both"/>
    </w:pPr>
    <w:rPr>
      <w:rFonts w:ascii="Times" w:eastAsia="Times New Roman" w:hAnsi="Times" w:cs="Times New Roman"/>
      <w:szCs w:val="20"/>
      <w:lang w:val="es-ES" w:eastAsia="es-ES"/>
    </w:rPr>
  </w:style>
  <w:style w:type="table" w:customStyle="1" w:styleId="10">
    <w:name w:val="10"/>
    <w:basedOn w:val="Tablanormal"/>
    <w:rsid w:val="0031285E"/>
    <w:pPr>
      <w:spacing w:after="200" w:line="276" w:lineRule="auto"/>
    </w:pPr>
    <w:rPr>
      <w:rFonts w:ascii="Calibri" w:eastAsia="Calibri" w:hAnsi="Calibri" w:cs="Calibri"/>
      <w:lang w:val="es-ES" w:eastAsia="es-AR"/>
    </w:rPr>
    <w:tblPr>
      <w:tblStyleRowBandSize w:val="1"/>
      <w:tblStyleColBandSize w:val="1"/>
      <w:tblInd w:w="0" w:type="nil"/>
      <w:tblCellMar>
        <w:left w:w="70" w:type="dxa"/>
        <w:right w:w="70" w:type="dxa"/>
      </w:tblCellMar>
    </w:tblPr>
  </w:style>
  <w:style w:type="character" w:customStyle="1" w:styleId="Ttulo2Car">
    <w:name w:val="Título 2 Car"/>
    <w:basedOn w:val="Fuentedeprrafopredeter"/>
    <w:link w:val="Ttulo2"/>
    <w:uiPriority w:val="9"/>
    <w:rsid w:val="0031285E"/>
    <w:rPr>
      <w:rFonts w:asciiTheme="majorHAnsi" w:eastAsiaTheme="majorEastAsia" w:hAnsiTheme="majorHAnsi" w:cstheme="majorBidi"/>
      <w:color w:val="2E74B5" w:themeColor="accent1" w:themeShade="BF"/>
      <w:sz w:val="26"/>
      <w:szCs w:val="26"/>
      <w:lang w:val="es-ES" w:eastAsia="es-AR"/>
    </w:rPr>
  </w:style>
  <w:style w:type="paragraph" w:styleId="Prrafodelista">
    <w:name w:val="List Paragraph"/>
    <w:basedOn w:val="Normal"/>
    <w:link w:val="PrrafodelistaCar"/>
    <w:uiPriority w:val="34"/>
    <w:qFormat/>
    <w:rsid w:val="0031285E"/>
    <w:pPr>
      <w:ind w:left="720"/>
      <w:contextualSpacing/>
    </w:pPr>
  </w:style>
  <w:style w:type="character" w:customStyle="1" w:styleId="Cuerpodeltexto2Sinnegrita8">
    <w:name w:val="Cuerpo del texto (2) + Sin negrita8"/>
    <w:rsid w:val="0031285E"/>
    <w:rPr>
      <w:rFonts w:ascii="Sylfaen" w:hAnsi="Sylfaen" w:cs="Sylfaen" w:hint="default"/>
      <w:b/>
      <w:bCs/>
      <w:spacing w:val="0"/>
      <w:sz w:val="23"/>
      <w:szCs w:val="23"/>
    </w:rPr>
  </w:style>
  <w:style w:type="character" w:customStyle="1" w:styleId="PrrafodelistaCar">
    <w:name w:val="Párrafo de lista Car"/>
    <w:link w:val="Prrafodelista"/>
    <w:uiPriority w:val="34"/>
    <w:locked/>
    <w:rsid w:val="0031285E"/>
    <w:rPr>
      <w:rFonts w:ascii="Calibri" w:eastAsia="Calibri" w:hAnsi="Calibri" w:cs="Times New Roman"/>
      <w:lang w:val="es-ES" w:eastAsia="es-AR"/>
    </w:rPr>
  </w:style>
  <w:style w:type="paragraph" w:styleId="Encabezado">
    <w:name w:val="header"/>
    <w:basedOn w:val="Normal"/>
    <w:link w:val="EncabezadoCar"/>
    <w:uiPriority w:val="99"/>
    <w:unhideWhenUsed/>
    <w:rsid w:val="007D583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83B"/>
    <w:rPr>
      <w:rFonts w:ascii="Calibri" w:eastAsia="Calibri" w:hAnsi="Calibri" w:cs="Times New Roman"/>
      <w:lang w:val="es-ES" w:eastAsia="es-AR"/>
    </w:rPr>
  </w:style>
  <w:style w:type="paragraph" w:styleId="Piedepgina">
    <w:name w:val="footer"/>
    <w:basedOn w:val="Normal"/>
    <w:link w:val="PiedepginaCar"/>
    <w:uiPriority w:val="99"/>
    <w:unhideWhenUsed/>
    <w:rsid w:val="007D583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83B"/>
    <w:rPr>
      <w:rFonts w:ascii="Calibri" w:eastAsia="Calibri" w:hAnsi="Calibri" w:cs="Times New Roman"/>
      <w:lang w:val="es-ES" w:eastAsia="es-AR"/>
    </w:rPr>
  </w:style>
  <w:style w:type="paragraph" w:customStyle="1" w:styleId="Texto">
    <w:name w:val="Texto"/>
    <w:basedOn w:val="Normal"/>
    <w:link w:val="TextoChar"/>
    <w:qFormat/>
    <w:rsid w:val="00ED480D"/>
    <w:pPr>
      <w:spacing w:after="0" w:line="240" w:lineRule="auto"/>
      <w:jc w:val="both"/>
    </w:pPr>
    <w:rPr>
      <w:rFonts w:ascii="Book Antiqua" w:eastAsia="Times New Roman" w:hAnsi="Book Antiqua"/>
      <w:sz w:val="20"/>
      <w:szCs w:val="20"/>
      <w:lang w:val="es-ES_tradnl"/>
    </w:rPr>
  </w:style>
  <w:style w:type="character" w:customStyle="1" w:styleId="TextoChar">
    <w:name w:val="Texto Char"/>
    <w:link w:val="Texto"/>
    <w:rsid w:val="00ED480D"/>
    <w:rPr>
      <w:rFonts w:ascii="Book Antiqua" w:eastAsia="Times New Roman" w:hAnsi="Book Antiqua" w:cs="Times New Roman"/>
      <w:sz w:val="20"/>
      <w:szCs w:val="20"/>
      <w:lang w:val="es-ES_tradnl" w:eastAsia="es-AR"/>
    </w:rPr>
  </w:style>
  <w:style w:type="character" w:customStyle="1" w:styleId="Ttulo5Car">
    <w:name w:val="Título 5 Car"/>
    <w:basedOn w:val="Fuentedeprrafopredeter"/>
    <w:link w:val="Ttulo5"/>
    <w:uiPriority w:val="9"/>
    <w:semiHidden/>
    <w:rsid w:val="00320AA9"/>
    <w:rPr>
      <w:rFonts w:asciiTheme="majorHAnsi" w:eastAsiaTheme="majorEastAsia" w:hAnsiTheme="majorHAnsi" w:cstheme="majorBidi"/>
      <w:color w:val="2E74B5" w:themeColor="accent1" w:themeShade="BF"/>
      <w:lang w:val="es-ES" w:eastAsia="es-AR"/>
    </w:rPr>
  </w:style>
  <w:style w:type="paragraph" w:styleId="Subttulo">
    <w:name w:val="Subtitle"/>
    <w:basedOn w:val="Normal"/>
    <w:next w:val="Normal"/>
    <w:link w:val="SubttuloCar"/>
    <w:uiPriority w:val="99"/>
    <w:qFormat/>
    <w:rsid w:val="00320AA9"/>
    <w:pPr>
      <w:spacing w:after="60"/>
      <w:jc w:val="center"/>
    </w:pPr>
    <w:rPr>
      <w:rFonts w:ascii="Cambria" w:eastAsia="Cambria" w:hAnsi="Cambria" w:cs="Cambria"/>
      <w:sz w:val="24"/>
      <w:szCs w:val="24"/>
    </w:rPr>
  </w:style>
  <w:style w:type="character" w:customStyle="1" w:styleId="SubttuloCar">
    <w:name w:val="Subtítulo Car"/>
    <w:basedOn w:val="Fuentedeprrafopredeter"/>
    <w:link w:val="Subttulo"/>
    <w:uiPriority w:val="99"/>
    <w:rsid w:val="00320AA9"/>
    <w:rPr>
      <w:rFonts w:ascii="Cambria" w:eastAsia="Cambria" w:hAnsi="Cambria" w:cs="Cambria"/>
      <w:sz w:val="24"/>
      <w:szCs w:val="24"/>
      <w:lang w:val="es-ES"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olinosagro.com.ar" TargetMode="External"/><Relationship Id="rId18" Type="http://schemas.openxmlformats.org/officeDocument/2006/relationships/image" Target="media/image7.emf"/><Relationship Id="rId26" Type="http://schemas.openxmlformats.org/officeDocument/2006/relationships/image" Target="media/image15.emf"/><Relationship Id="rId39" Type="http://schemas.openxmlformats.org/officeDocument/2006/relationships/image" Target="media/image28.emf"/><Relationship Id="rId21" Type="http://schemas.openxmlformats.org/officeDocument/2006/relationships/image" Target="media/image10.emf"/><Relationship Id="rId34" Type="http://schemas.openxmlformats.org/officeDocument/2006/relationships/image" Target="media/image23.emf"/><Relationship Id="rId42" Type="http://schemas.openxmlformats.org/officeDocument/2006/relationships/image" Target="media/image31.emf"/><Relationship Id="rId47" Type="http://schemas.openxmlformats.org/officeDocument/2006/relationships/image" Target="media/image36.emf"/><Relationship Id="rId50"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5.emf"/><Relationship Id="rId29" Type="http://schemas.openxmlformats.org/officeDocument/2006/relationships/image" Target="media/image18.emf"/><Relationship Id="rId11" Type="http://schemas.openxmlformats.org/officeDocument/2006/relationships/hyperlink" Target="http://www.cnv.gob.ar" TargetMode="External"/><Relationship Id="rId24" Type="http://schemas.openxmlformats.org/officeDocument/2006/relationships/image" Target="media/image13.png"/><Relationship Id="rId32" Type="http://schemas.openxmlformats.org/officeDocument/2006/relationships/image" Target="media/image21.emf"/><Relationship Id="rId37" Type="http://schemas.openxmlformats.org/officeDocument/2006/relationships/image" Target="media/image26.emf"/><Relationship Id="rId40" Type="http://schemas.openxmlformats.org/officeDocument/2006/relationships/image" Target="media/image29.emf"/><Relationship Id="rId45" Type="http://schemas.openxmlformats.org/officeDocument/2006/relationships/image" Target="media/image34.emf"/><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image" Target="media/image25.emf"/><Relationship Id="rId49" Type="http://schemas.openxmlformats.org/officeDocument/2006/relationships/fontTable" Target="fontTable.xml"/><Relationship Id="rId10" Type="http://schemas.openxmlformats.org/officeDocument/2006/relationships/hyperlink" Target="http://www.cnv.gob.ar/sitioweb" TargetMode="External"/><Relationship Id="rId19" Type="http://schemas.openxmlformats.org/officeDocument/2006/relationships/image" Target="media/image8.emf"/><Relationship Id="rId31" Type="http://schemas.openxmlformats.org/officeDocument/2006/relationships/image" Target="media/image20.emf"/><Relationship Id="rId44" Type="http://schemas.openxmlformats.org/officeDocument/2006/relationships/image" Target="media/image33.emf"/><Relationship Id="rId4" Type="http://schemas.openxmlformats.org/officeDocument/2006/relationships/webSettings" Target="webSettings.xml"/><Relationship Id="rId9" Type="http://schemas.openxmlformats.org/officeDocument/2006/relationships/hyperlink" Target="http://www.cnv.gob.ar/sitioweb" TargetMode="External"/><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9.emf"/><Relationship Id="rId35" Type="http://schemas.openxmlformats.org/officeDocument/2006/relationships/image" Target="media/image24.emf"/><Relationship Id="rId43" Type="http://schemas.openxmlformats.org/officeDocument/2006/relationships/image" Target="media/image32.emf"/><Relationship Id="rId48" Type="http://schemas.openxmlformats.org/officeDocument/2006/relationships/image" Target="media/image37.emf"/><Relationship Id="rId8" Type="http://schemas.openxmlformats.org/officeDocument/2006/relationships/hyperlink" Target="http://www.cnv.gob.ar" TargetMode="External"/><Relationship Id="rId3"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6.emf"/><Relationship Id="rId25" Type="http://schemas.openxmlformats.org/officeDocument/2006/relationships/image" Target="media/image14.png"/><Relationship Id="rId33" Type="http://schemas.openxmlformats.org/officeDocument/2006/relationships/image" Target="media/image22.emf"/><Relationship Id="rId38" Type="http://schemas.openxmlformats.org/officeDocument/2006/relationships/image" Target="media/image27.emf"/><Relationship Id="rId46" Type="http://schemas.openxmlformats.org/officeDocument/2006/relationships/image" Target="media/image35.emf"/><Relationship Id="rId20" Type="http://schemas.openxmlformats.org/officeDocument/2006/relationships/image" Target="media/image9.emf"/><Relationship Id="rId41" Type="http://schemas.openxmlformats.org/officeDocument/2006/relationships/image" Target="media/image30.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85</Pages>
  <Words>32698</Words>
  <Characters>179844</Characters>
  <Application>Microsoft Office Word</Application>
  <DocSecurity>0</DocSecurity>
  <Lines>1498</Lines>
  <Paragraphs>424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Jenkins, Maria</cp:lastModifiedBy>
  <cp:revision>29</cp:revision>
  <dcterms:created xsi:type="dcterms:W3CDTF">2020-10-27T18:43:00Z</dcterms:created>
  <dcterms:modified xsi:type="dcterms:W3CDTF">2020-10-30T12:38:00Z</dcterms:modified>
</cp:coreProperties>
</file>