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ECD" w:rsidRPr="00E66ECD" w:rsidRDefault="00E66ECD" w:rsidP="00E66ECD">
      <w:pPr>
        <w:spacing w:after="0" w:line="240" w:lineRule="auto"/>
        <w:ind w:left="426" w:right="-1"/>
        <w:jc w:val="center"/>
        <w:rPr>
          <w:rFonts w:ascii="Arial" w:eastAsia="Times New Roman" w:hAnsi="Arial" w:cs="Arial"/>
          <w:b/>
          <w:sz w:val="24"/>
          <w:szCs w:val="24"/>
          <w:lang w:eastAsia="es-ES"/>
        </w:rPr>
      </w:pPr>
      <w:bookmarkStart w:id="0" w:name="_GoBack"/>
      <w:bookmarkEnd w:id="0"/>
      <w:r w:rsidRPr="00E66ECD">
        <w:rPr>
          <w:rFonts w:ascii="Arial" w:eastAsia="Times New Roman" w:hAnsi="Arial" w:cs="Arial"/>
          <w:b/>
          <w:sz w:val="24"/>
          <w:szCs w:val="24"/>
          <w:lang w:eastAsia="es-ES"/>
        </w:rPr>
        <w:t>Cablevisión Holding S.A.</w:t>
      </w:r>
    </w:p>
    <w:p w:rsidR="00E66ECD" w:rsidRPr="00E66ECD" w:rsidRDefault="00E66ECD" w:rsidP="00E66ECD">
      <w:pPr>
        <w:keepNext/>
        <w:keepLines/>
        <w:spacing w:after="0" w:line="240" w:lineRule="auto"/>
        <w:ind w:left="426" w:right="-1"/>
        <w:jc w:val="center"/>
        <w:outlineLvl w:val="1"/>
        <w:rPr>
          <w:rFonts w:ascii="Arial" w:eastAsia="Times New Roman" w:hAnsi="Arial" w:cs="Arial"/>
          <w:b/>
          <w:bCs/>
          <w:sz w:val="20"/>
          <w:szCs w:val="20"/>
          <w:lang w:val="es-ES" w:eastAsia="es-ES"/>
        </w:rPr>
      </w:pPr>
      <w:r w:rsidRPr="00E66ECD">
        <w:rPr>
          <w:rFonts w:ascii="Arial" w:eastAsia="Times New Roman" w:hAnsi="Arial" w:cs="Arial"/>
          <w:b/>
          <w:bCs/>
          <w:sz w:val="20"/>
          <w:szCs w:val="20"/>
          <w:lang w:val="es-ES" w:eastAsia="es-ES"/>
        </w:rPr>
        <w:t>RESEÑA INFORMATIVA</w:t>
      </w:r>
    </w:p>
    <w:p w:rsidR="00E66ECD" w:rsidRPr="00E66ECD" w:rsidRDefault="00E66ECD" w:rsidP="00E66ECD">
      <w:pPr>
        <w:keepNext/>
        <w:keepLines/>
        <w:spacing w:after="0" w:line="240" w:lineRule="auto"/>
        <w:ind w:left="426" w:right="-1"/>
        <w:jc w:val="center"/>
        <w:outlineLvl w:val="5"/>
        <w:rPr>
          <w:rFonts w:ascii="Arial" w:eastAsia="Times New Roman" w:hAnsi="Arial" w:cs="Arial"/>
          <w:iCs/>
          <w:sz w:val="20"/>
          <w:szCs w:val="20"/>
          <w:lang w:val="es-ES" w:eastAsia="es-ES"/>
        </w:rPr>
      </w:pPr>
      <w:r w:rsidRPr="00E66ECD">
        <w:rPr>
          <w:rFonts w:ascii="Arial" w:eastAsia="Times New Roman" w:hAnsi="Arial" w:cs="Arial"/>
          <w:iCs/>
          <w:sz w:val="20"/>
          <w:szCs w:val="20"/>
          <w:lang w:val="es-ES" w:eastAsia="es-ES"/>
        </w:rPr>
        <w:t>Al 31 de diciembre de 2018</w:t>
      </w:r>
    </w:p>
    <w:p w:rsidR="00E66ECD" w:rsidRPr="00E66ECD" w:rsidRDefault="00E66ECD" w:rsidP="00E66ECD">
      <w:pPr>
        <w:spacing w:after="0" w:line="240" w:lineRule="auto"/>
        <w:ind w:left="426" w:right="-1"/>
        <w:jc w:val="center"/>
        <w:rPr>
          <w:rFonts w:ascii="Arial" w:eastAsia="Times New Roman" w:hAnsi="Arial" w:cs="Arial"/>
          <w:sz w:val="20"/>
          <w:szCs w:val="20"/>
          <w:lang w:val="es-ES" w:eastAsia="es-ES"/>
        </w:rPr>
      </w:pPr>
    </w:p>
    <w:p w:rsidR="00E66ECD" w:rsidRPr="00E66ECD" w:rsidRDefault="00E66ECD" w:rsidP="00E66ECD">
      <w:pPr>
        <w:numPr>
          <w:ilvl w:val="0"/>
          <w:numId w:val="1"/>
        </w:numPr>
        <w:spacing w:after="0" w:line="240" w:lineRule="auto"/>
        <w:ind w:left="426" w:right="-1" w:firstLine="0"/>
        <w:jc w:val="both"/>
        <w:rPr>
          <w:rFonts w:ascii="Arial" w:eastAsia="Times New Roman" w:hAnsi="Arial" w:cs="Arial"/>
          <w:b/>
          <w:sz w:val="20"/>
          <w:szCs w:val="20"/>
          <w:lang w:val="es-ES" w:eastAsia="es-ES"/>
        </w:rPr>
      </w:pPr>
      <w:r w:rsidRPr="00E66ECD">
        <w:rPr>
          <w:rFonts w:ascii="Arial" w:eastAsia="Times New Roman" w:hAnsi="Arial" w:cs="Arial"/>
          <w:b/>
          <w:sz w:val="20"/>
          <w:szCs w:val="20"/>
          <w:lang w:val="es-ES" w:eastAsia="es-ES"/>
        </w:rPr>
        <w:t>Actividad de la Sociedad</w:t>
      </w: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Con fecha 1° de enero de 2018, la Sociedad informó que su subsidiaria Cablevisión S.A. en el marco de la Fusión con Telecom Argentina S.A. (“TEO” o “Telecom Argentina”) suscribió el acta de traspaso de sus operaciones, en carácter de Sociedad Absorbida a la Sociedad Absorbente, la cual complementaba el Acuerdo Definitivo de Fusión suscripto el 31 de octubre de 2017. En consecuencia, tal como se prevé en el Compromiso Previo de Fusión y en el Acuerdo Definitivo de Fusión, a partir de las 0:00 horas del día 1ºde enero de 2018 ha tenido efecto la Fusión y, consecuentemente, Cablevisión S.A. se disolvió sin liquidación y Cablevisión Holding S.A. se transformó en el controlante de Telecom Argentina S.A.</w:t>
      </w: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Con fechas 11 de enero, 21 de febrero y 23 de marzo de 2018, la Sociedad realizó tres prepagos parciales de capital de acuerdo a los términos y condiciones del Préstamo de U$S 750.000.000 acordado con Citibank, N.A., Goldman Sachs Bank USA, Industrial and Commercial Bank of China Limited, Dubai (DIFC) Branch e Itaú Unibanco S.A. Nassau Branch, conforme a las clausulas 2.10(b)</w:t>
      </w:r>
      <w:r>
        <w:rPr>
          <w:rFonts w:ascii="Arial" w:eastAsia="Times New Roman" w:hAnsi="Arial" w:cs="Arial"/>
          <w:sz w:val="20"/>
          <w:szCs w:val="20"/>
          <w:lang w:val="es-ES" w:eastAsia="es-ES"/>
        </w:rPr>
        <w:br/>
      </w:r>
      <w:r w:rsidRPr="00E66ECD">
        <w:rPr>
          <w:rFonts w:ascii="Arial" w:eastAsia="Times New Roman" w:hAnsi="Arial" w:cs="Arial"/>
          <w:sz w:val="20"/>
          <w:szCs w:val="20"/>
          <w:lang w:val="es-ES" w:eastAsia="es-ES"/>
        </w:rPr>
        <w:t xml:space="preserve"> y 2.11(a) que establecen que los cobros de dividendos por parte de la Sociedad deben aplicarse al</w:t>
      </w:r>
      <w:r>
        <w:rPr>
          <w:rFonts w:ascii="Arial" w:eastAsia="Times New Roman" w:hAnsi="Arial" w:cs="Arial"/>
          <w:sz w:val="20"/>
          <w:szCs w:val="20"/>
          <w:lang w:val="es-ES" w:eastAsia="es-ES"/>
        </w:rPr>
        <w:t xml:space="preserve"> </w:t>
      </w:r>
      <w:r w:rsidRPr="00E66ECD">
        <w:rPr>
          <w:rFonts w:ascii="Arial" w:eastAsia="Times New Roman" w:hAnsi="Arial" w:cs="Arial"/>
          <w:sz w:val="20"/>
          <w:szCs w:val="20"/>
          <w:lang w:val="es-ES" w:eastAsia="es-ES"/>
        </w:rPr>
        <w:t>prepago del mismo. En enero la Sociedad precancel</w:t>
      </w:r>
      <w:r>
        <w:rPr>
          <w:rFonts w:ascii="Arial" w:eastAsia="Times New Roman" w:hAnsi="Arial" w:cs="Arial"/>
          <w:sz w:val="20"/>
          <w:szCs w:val="20"/>
          <w:lang w:val="es-ES" w:eastAsia="es-ES"/>
        </w:rPr>
        <w:t xml:space="preserve">ó U$S 148.304.356,83 en febrero </w:t>
      </w:r>
      <w:r>
        <w:rPr>
          <w:rFonts w:ascii="Arial" w:eastAsia="Times New Roman" w:hAnsi="Arial" w:cs="Arial"/>
          <w:sz w:val="20"/>
          <w:szCs w:val="20"/>
          <w:lang w:val="es-ES" w:eastAsia="es-ES"/>
        </w:rPr>
        <w:br/>
      </w:r>
      <w:r w:rsidRPr="00E66ECD">
        <w:rPr>
          <w:rFonts w:ascii="Arial" w:eastAsia="Times New Roman" w:hAnsi="Arial" w:cs="Arial"/>
          <w:sz w:val="20"/>
          <w:szCs w:val="20"/>
          <w:lang w:val="es-ES" w:eastAsia="es-ES"/>
        </w:rPr>
        <w:t>U$S 253.831.455,62 y en marzo U$S 132.586.260,44. Luego los prepagos, el saldo de capital del Préstamo asciende a U$S 217.304.812,89.</w:t>
      </w: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Con fecha 21 de febrero de 2018, 121.106.082 global depositary shares GDSs representados por </w:t>
      </w:r>
      <w:r>
        <w:rPr>
          <w:rFonts w:ascii="Arial" w:eastAsia="Times New Roman" w:hAnsi="Arial" w:cs="Arial"/>
          <w:sz w:val="20"/>
          <w:szCs w:val="20"/>
          <w:lang w:val="es-ES" w:eastAsia="es-ES"/>
        </w:rPr>
        <w:br/>
      </w:r>
      <w:r w:rsidRPr="00E66ECD">
        <w:rPr>
          <w:rFonts w:ascii="Arial" w:eastAsia="Times New Roman" w:hAnsi="Arial" w:cs="Arial"/>
          <w:sz w:val="20"/>
          <w:szCs w:val="20"/>
          <w:lang w:val="es-ES" w:eastAsia="es-ES"/>
        </w:rPr>
        <w:t xml:space="preserve">global depositary receipts (certificados de títulos en custodia globales) de la Sociedad, han sido admitidos a la lista oficial de la Autoridad Financiera del Reino Unido (“United Kingdom Listing </w:t>
      </w:r>
      <w:r>
        <w:rPr>
          <w:rFonts w:ascii="Arial" w:eastAsia="Times New Roman" w:hAnsi="Arial" w:cs="Arial"/>
          <w:sz w:val="20"/>
          <w:szCs w:val="20"/>
          <w:lang w:val="es-ES" w:eastAsia="es-ES"/>
        </w:rPr>
        <w:br/>
      </w:r>
      <w:r w:rsidRPr="00E66ECD">
        <w:rPr>
          <w:rFonts w:ascii="Arial" w:eastAsia="Times New Roman" w:hAnsi="Arial" w:cs="Arial"/>
          <w:sz w:val="20"/>
          <w:szCs w:val="20"/>
          <w:lang w:val="es-ES" w:eastAsia="es-ES"/>
        </w:rPr>
        <w:t>Authority” o “UKLA”) para su negociación en el mercado principal de la Bolsa de Londres bajo el “ticker” símbolo CVH.</w:t>
      </w: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Por otra parte, conforme a lo requerido por el régimen legal argentino, el 21 de junio de 2018 CVH promovió y formuló su OPA por cambio de control para la adquisición de las acciones clase B de TEO a un precio de Ps.110,85 por acción. Como parte del proceso administrativo de autorización de la OPA, la CNV confirió varias vistas a CVH en las cuales observó el precio ofrecido por CVH y sostuvo que el precio por acción clase B de TEO debía ser de US$. 4,8658 pagadero en pesos al tipo de cambio vigente al día hábil inmediatamente anterior al pago de la OPA. Toda vez que CVH considera que la posición de la CNV es infundada, CVH solicitó a la justicia el dictado de una medida cautelar para así evitar el daño irreparable que le hubiera provocado el dictado de una resolución de CNV ordenando que CVH realizase la misma al precio mencionado.</w:t>
      </w: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En el plano de la gestión del negocio, nuestra subsidiaria Telecom Argentina tuvo ventas en el 2018 que alcanzaron los $168.046 millones, los costos operativos -incluyendo depreciaciones, amortizaciones y desvalorizaciones de PP&amp;E- totalizaron $146.789 millones, la utilidad de la explotación antes de depreciaciones y amortizaciones ascendió a $56.368 millones  -equivalente al 33,5% de las ventas consolidadas-, la utilidad de la explotación alcanzó los $21.257  millones -equivalente al 12,6% de las ventas consolidadas- y la utilidad neta ascendió a $5.536 millones -equivalente al 3,3% de las ventas consolidadas.</w:t>
      </w:r>
      <w:r w:rsidRPr="00E66ECD" w:rsidDel="00842F4F">
        <w:rPr>
          <w:rFonts w:ascii="Arial" w:eastAsia="Times New Roman" w:hAnsi="Arial" w:cs="Arial"/>
          <w:sz w:val="20"/>
          <w:szCs w:val="20"/>
          <w:lang w:val="es-ES" w:eastAsia="es-ES"/>
        </w:rPr>
        <w:t xml:space="preserve"> </w:t>
      </w:r>
      <w:r w:rsidRPr="00E66ECD">
        <w:rPr>
          <w:rFonts w:ascii="Arial" w:eastAsia="Times New Roman" w:hAnsi="Arial" w:cs="Arial"/>
          <w:sz w:val="20"/>
          <w:szCs w:val="20"/>
          <w:lang w:val="es-ES" w:eastAsia="es-ES"/>
        </w:rPr>
        <w:t xml:space="preserve"> El resultado positivo se explica principalmente por la utilidad de explotación de $21.257 y una ganancia por impuesto a las ganancias de $2.838, parcialmente compensado por resultados financieros, netos por $18.795, que incluyen una ganancia de $13.403 por resultados expresados en términos de la unidad de medida al 31 de diciembre de 2018.</w:t>
      </w:r>
    </w:p>
    <w:p w:rsidR="00E66ECD" w:rsidRPr="00E66ECD" w:rsidRDefault="00E66ECD" w:rsidP="00E66ECD">
      <w:pPr>
        <w:spacing w:after="0" w:line="240" w:lineRule="auto"/>
        <w:ind w:left="397"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lastRenderedPageBreak/>
        <w:t>Las ventas consolidadas fueron impulsadas principalmente por los servicios móviles, de Internet y de televisión por cable. Las ventas de servicios en 2018 ascendieron a $155.212 -equivalente al 92,4% de las ventas - y las ventas de equipos alcanzaron $12.834 - equivalente al 7,6% de las ventas-.</w:t>
      </w:r>
    </w:p>
    <w:p w:rsidR="00E66ECD" w:rsidRPr="00E66ECD" w:rsidRDefault="00E66ECD" w:rsidP="00E66ECD">
      <w:pPr>
        <w:spacing w:after="0" w:line="240" w:lineRule="auto"/>
        <w:ind w:left="397" w:right="-1"/>
        <w:jc w:val="both"/>
        <w:rPr>
          <w:rFonts w:ascii="Arial" w:eastAsia="Times New Roman" w:hAnsi="Arial" w:cs="Arial"/>
          <w:sz w:val="20"/>
          <w:szCs w:val="20"/>
          <w:highlight w:val="yellow"/>
          <w:lang w:val="es-ES" w:eastAsia="es-ES"/>
        </w:rPr>
      </w:pPr>
    </w:p>
    <w:p w:rsidR="00E66ECD" w:rsidRPr="00E66ECD" w:rsidRDefault="00E66ECD" w:rsidP="00E66ECD">
      <w:pPr>
        <w:spacing w:after="0" w:line="240" w:lineRule="auto"/>
        <w:ind w:left="397" w:right="-1"/>
        <w:jc w:val="both"/>
        <w:rPr>
          <w:rFonts w:ascii="Arial" w:eastAsia="Times New Roman" w:hAnsi="Arial" w:cs="Arial"/>
          <w:sz w:val="20"/>
          <w:szCs w:val="20"/>
          <w:lang w:val="es-ES" w:eastAsia="es-ES"/>
        </w:rPr>
      </w:pPr>
    </w:p>
    <w:p w:rsidR="00E66ECD" w:rsidRPr="00E66ECD" w:rsidRDefault="00E66ECD" w:rsidP="00E66ECD">
      <w:pPr>
        <w:keepNext/>
        <w:numPr>
          <w:ilvl w:val="0"/>
          <w:numId w:val="2"/>
        </w:numPr>
        <w:spacing w:after="0" w:line="240" w:lineRule="auto"/>
        <w:ind w:right="-1"/>
        <w:outlineLvl w:val="1"/>
        <w:rPr>
          <w:rFonts w:ascii="Arial" w:eastAsia="Times New Roman" w:hAnsi="Arial" w:cs="Arial"/>
          <w:b/>
          <w:bCs/>
          <w:sz w:val="20"/>
          <w:szCs w:val="26"/>
          <w:lang w:val="es-ES" w:eastAsia="es-ES"/>
        </w:rPr>
      </w:pPr>
      <w:r w:rsidRPr="00E66ECD">
        <w:rPr>
          <w:rFonts w:ascii="Arial" w:eastAsia="Times New Roman" w:hAnsi="Arial" w:cs="Arial"/>
          <w:b/>
          <w:bCs/>
          <w:sz w:val="20"/>
          <w:szCs w:val="26"/>
          <w:lang w:val="es-ES" w:eastAsia="es-ES"/>
        </w:rPr>
        <w:t>ESTRUCTURA FINANCIERA CONSOLIDADA</w:t>
      </w:r>
    </w:p>
    <w:p w:rsidR="00E66ECD" w:rsidRPr="00E66ECD" w:rsidRDefault="00E66ECD" w:rsidP="00E66ECD">
      <w:pPr>
        <w:spacing w:after="0" w:line="240" w:lineRule="auto"/>
        <w:ind w:right="-1"/>
        <w:jc w:val="both"/>
        <w:rPr>
          <w:rFonts w:ascii="Arial" w:eastAsia="Times New Roman" w:hAnsi="Arial" w:cs="Arial"/>
          <w:b/>
          <w:sz w:val="20"/>
          <w:szCs w:val="20"/>
          <w:lang w:val="es-ES" w:eastAsia="es-ES"/>
        </w:rPr>
      </w:pPr>
    </w:p>
    <w:p w:rsidR="00E66ECD" w:rsidRPr="00E66ECD" w:rsidRDefault="00E66ECD" w:rsidP="00E66ECD">
      <w:pPr>
        <w:spacing w:after="0" w:line="240" w:lineRule="auto"/>
        <w:ind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Nota: los montos se expresan en millones de pesos. En cumplimiento de las disposiciones de la CNV, se presentan los saldos y resultados del </w:t>
      </w:r>
      <w:r w:rsidRPr="00E66ECD">
        <w:rPr>
          <w:rFonts w:ascii="Arial" w:eastAsia="Times New Roman" w:hAnsi="Arial" w:cs="Arial"/>
          <w:snapToGrid w:val="0"/>
          <w:sz w:val="20"/>
          <w:szCs w:val="20"/>
          <w:lang w:val="es-ES" w:eastAsia="es-ES"/>
        </w:rPr>
        <w:t>ejercicio</w:t>
      </w:r>
      <w:r w:rsidRPr="00E66ECD">
        <w:rPr>
          <w:rFonts w:ascii="Arial" w:eastAsia="Times New Roman" w:hAnsi="Arial" w:cs="Arial"/>
          <w:sz w:val="20"/>
          <w:szCs w:val="20"/>
          <w:lang w:val="es-ES" w:eastAsia="es-ES"/>
        </w:rPr>
        <w:t>, preparados bajo NIIF.</w:t>
      </w:r>
    </w:p>
    <w:p w:rsidR="00E66ECD" w:rsidRPr="00E66ECD" w:rsidRDefault="00E66ECD" w:rsidP="00E66ECD">
      <w:pPr>
        <w:spacing w:after="0" w:line="240" w:lineRule="auto"/>
        <w:ind w:left="397" w:right="-1"/>
        <w:rPr>
          <w:rFonts w:ascii="Arial" w:eastAsia="Times New Roman" w:hAnsi="Arial" w:cs="Arial"/>
          <w:sz w:val="24"/>
          <w:szCs w:val="24"/>
          <w:lang w:val="es-ES" w:eastAsia="es-ES"/>
        </w:rPr>
      </w:pPr>
    </w:p>
    <w:tbl>
      <w:tblPr>
        <w:tblW w:w="9014" w:type="dxa"/>
        <w:tblLayout w:type="fixed"/>
        <w:tblCellMar>
          <w:left w:w="30" w:type="dxa"/>
          <w:right w:w="30" w:type="dxa"/>
        </w:tblCellMar>
        <w:tblLook w:val="0000" w:firstRow="0" w:lastRow="0" w:firstColumn="0" w:lastColumn="0" w:noHBand="0" w:noVBand="0"/>
      </w:tblPr>
      <w:tblGrid>
        <w:gridCol w:w="2443"/>
        <w:gridCol w:w="227"/>
        <w:gridCol w:w="1320"/>
        <w:gridCol w:w="101"/>
        <w:gridCol w:w="1181"/>
        <w:gridCol w:w="106"/>
        <w:gridCol w:w="1183"/>
        <w:gridCol w:w="106"/>
        <w:gridCol w:w="1183"/>
        <w:gridCol w:w="87"/>
        <w:gridCol w:w="960"/>
        <w:gridCol w:w="117"/>
      </w:tblGrid>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320"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31.12.2018</w:t>
            </w:r>
          </w:p>
        </w:tc>
        <w:tc>
          <w:tcPr>
            <w:tcW w:w="101"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81"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31.12.2017</w:t>
            </w:r>
          </w:p>
        </w:tc>
        <w:tc>
          <w:tcPr>
            <w:tcW w:w="106"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183"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06"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83"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87"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960"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7"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r>
      <w:tr w:rsidR="00E66ECD" w:rsidRPr="00E66ECD" w:rsidTr="00BD6BA7">
        <w:trPr>
          <w:trHeight w:val="60"/>
        </w:trPr>
        <w:tc>
          <w:tcPr>
            <w:tcW w:w="2443" w:type="dxa"/>
            <w:vAlign w:val="bottom"/>
          </w:tcPr>
          <w:p w:rsidR="00E66ECD" w:rsidRPr="00E66ECD" w:rsidRDefault="00E66ECD" w:rsidP="00E66ECD">
            <w:pPr>
              <w:spacing w:after="0" w:line="240" w:lineRule="auto"/>
              <w:ind w:right="-1"/>
              <w:jc w:val="right"/>
              <w:rPr>
                <w:rFonts w:ascii="Arial" w:eastAsia="Times New Roman" w:hAnsi="Arial" w:cs="Arial"/>
                <w:snapToGrid w:val="0"/>
                <w:sz w:val="16"/>
                <w:szCs w:val="16"/>
                <w:lang w:val="es-ES_tradnl" w:eastAsia="es-ES"/>
              </w:rPr>
            </w:pPr>
          </w:p>
        </w:tc>
        <w:tc>
          <w:tcPr>
            <w:tcW w:w="227"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320" w:type="dxa"/>
            <w:tcBorders>
              <w:top w:val="single" w:sz="4" w:space="0" w:color="auto"/>
            </w:tcBorders>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1"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81" w:type="dxa"/>
            <w:tcBorders>
              <w:top w:val="single" w:sz="4" w:space="0" w:color="auto"/>
            </w:tcBorders>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87"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7"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r>
      <w:tr w:rsidR="00E66ECD" w:rsidRPr="00E66ECD" w:rsidTr="00BD6BA7">
        <w:trPr>
          <w:trHeight w:val="255"/>
        </w:trPr>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Activo corriente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34.408</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12.059</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Activo no corriente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331.944</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93.768</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02"/>
        </w:trPr>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Total del activo</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366.352</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105.827</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left="160" w:right="-1" w:hanging="160"/>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top w:val="double" w:sz="4" w:space="0" w:color="auto"/>
            </w:tcBorders>
            <w:vAlign w:val="bottom"/>
          </w:tcPr>
          <w:p w:rsidR="00E66ECD" w:rsidRPr="00E66ECD" w:rsidRDefault="00E66ECD" w:rsidP="00E66ECD">
            <w:pPr>
              <w:tabs>
                <w:tab w:val="decimal" w:pos="1031"/>
              </w:tabs>
              <w:spacing w:after="0" w:line="240" w:lineRule="auto"/>
              <w:ind w:right="-1"/>
              <w:jc w:val="right"/>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double" w:sz="4" w:space="0" w:color="auto"/>
            </w:tcBorders>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tabs>
                <w:tab w:val="decimal" w:pos="1031"/>
              </w:tabs>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Pasivo corriente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61.762</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19.153</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Pasivo no corriente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89.380</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36.702</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90"/>
        </w:trPr>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Total del pasivo</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151.142</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55.855</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left="160" w:right="-1" w:hanging="160"/>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left="160" w:right="-1" w:hanging="160"/>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Patrimonio controlante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83.741</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33.458</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Patrimonio no controlante</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131.469</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16.514</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57"/>
        </w:trPr>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top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Patrimonio total</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215.210</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49.972</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91"/>
        </w:trPr>
        <w:tc>
          <w:tcPr>
            <w:tcW w:w="2443"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top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top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val="57"/>
        </w:trPr>
        <w:tc>
          <w:tcPr>
            <w:tcW w:w="2443" w:type="dxa"/>
            <w:vAlign w:val="bottom"/>
          </w:tcPr>
          <w:p w:rsidR="00E66ECD" w:rsidRPr="00E66ECD" w:rsidRDefault="00E66ECD" w:rsidP="00E66ECD">
            <w:pPr>
              <w:spacing w:after="0" w:line="240" w:lineRule="auto"/>
              <w:ind w:left="160" w:right="-1" w:hanging="160"/>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Total del Pasivo más Patrimonio</w:t>
            </w:r>
          </w:p>
        </w:tc>
        <w:tc>
          <w:tcPr>
            <w:tcW w:w="22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320"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366.352</w:t>
            </w:r>
          </w:p>
        </w:tc>
        <w:tc>
          <w:tcPr>
            <w:tcW w:w="10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1"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105.827</w:t>
            </w: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83"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87" w:type="dxa"/>
            <w:vAlign w:val="bottom"/>
          </w:tcPr>
          <w:p w:rsidR="00E66ECD" w:rsidRPr="00E66ECD" w:rsidRDefault="00E66ECD" w:rsidP="00E66ECD">
            <w:pPr>
              <w:tabs>
                <w:tab w:val="decimal" w:pos="1043"/>
              </w:tabs>
              <w:spacing w:after="0" w:line="240" w:lineRule="auto"/>
              <w:ind w:right="-1"/>
              <w:rPr>
                <w:rFonts w:ascii="Arial" w:eastAsia="Times New Roman" w:hAnsi="Arial" w:cs="Arial"/>
                <w:sz w:val="16"/>
                <w:szCs w:val="16"/>
                <w:lang w:val="es-ES" w:eastAsia="es-ES"/>
              </w:rPr>
            </w:pPr>
          </w:p>
        </w:tc>
        <w:tc>
          <w:tcPr>
            <w:tcW w:w="96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7" w:type="dxa"/>
            <w:vAlign w:val="bottom"/>
          </w:tcPr>
          <w:p w:rsidR="00E66ECD" w:rsidRPr="00E66ECD" w:rsidRDefault="00E66ECD" w:rsidP="00E66ECD">
            <w:pPr>
              <w:tabs>
                <w:tab w:val="decimal" w:pos="1043"/>
              </w:tabs>
              <w:spacing w:after="0" w:line="240" w:lineRule="auto"/>
              <w:ind w:right="-1"/>
              <w:rPr>
                <w:rFonts w:ascii="Arial" w:eastAsia="Times New Roman" w:hAnsi="Arial" w:cs="Arial"/>
                <w:sz w:val="16"/>
                <w:szCs w:val="16"/>
                <w:lang w:val="es-ES" w:eastAsia="es-ES"/>
              </w:rPr>
            </w:pPr>
          </w:p>
        </w:tc>
      </w:tr>
    </w:tbl>
    <w:p w:rsidR="00E66ECD" w:rsidRPr="00E66ECD" w:rsidRDefault="00E66ECD" w:rsidP="00E66ECD">
      <w:pPr>
        <w:spacing w:after="0" w:line="240" w:lineRule="auto"/>
        <w:ind w:left="284" w:right="-1"/>
        <w:jc w:val="both"/>
        <w:rPr>
          <w:rFonts w:ascii="Arial" w:eastAsia="Times New Roman" w:hAnsi="Arial" w:cs="Arial"/>
          <w:b/>
          <w:sz w:val="20"/>
          <w:szCs w:val="20"/>
          <w:lang w:eastAsia="es-ES"/>
        </w:rPr>
      </w:pPr>
    </w:p>
    <w:p w:rsidR="00E66ECD" w:rsidRPr="00E66ECD" w:rsidRDefault="00E66ECD" w:rsidP="00E66ECD">
      <w:pPr>
        <w:keepNext/>
        <w:numPr>
          <w:ilvl w:val="0"/>
          <w:numId w:val="2"/>
        </w:numPr>
        <w:spacing w:after="0" w:line="240" w:lineRule="auto"/>
        <w:ind w:right="-1"/>
        <w:outlineLvl w:val="1"/>
        <w:rPr>
          <w:rFonts w:ascii="Arial" w:eastAsia="Times New Roman" w:hAnsi="Arial" w:cs="Arial"/>
          <w:b/>
          <w:bCs/>
          <w:sz w:val="20"/>
          <w:szCs w:val="26"/>
          <w:lang w:val="es-ES" w:eastAsia="es-ES"/>
        </w:rPr>
      </w:pPr>
      <w:r w:rsidRPr="00E66ECD">
        <w:rPr>
          <w:rFonts w:ascii="Arial" w:eastAsia="Times New Roman" w:hAnsi="Arial" w:cs="Arial"/>
          <w:b/>
          <w:bCs/>
          <w:sz w:val="20"/>
          <w:szCs w:val="26"/>
          <w:lang w:val="es-ES" w:eastAsia="es-ES"/>
        </w:rPr>
        <w:t>ESTRUCTURA DE RESULTADO INTEGRAL CONSOLIDADA</w:t>
      </w:r>
    </w:p>
    <w:p w:rsidR="00E66ECD" w:rsidRPr="00E66ECD" w:rsidRDefault="00E66ECD" w:rsidP="00E66ECD">
      <w:pPr>
        <w:spacing w:after="0" w:line="240" w:lineRule="auto"/>
        <w:ind w:right="-1"/>
        <w:jc w:val="both"/>
        <w:rPr>
          <w:rFonts w:ascii="Arial" w:eastAsia="Times New Roman" w:hAnsi="Arial" w:cs="Arial"/>
          <w:sz w:val="20"/>
          <w:szCs w:val="20"/>
          <w:lang w:eastAsia="es-ES"/>
        </w:rPr>
      </w:pPr>
    </w:p>
    <w:p w:rsidR="00E66ECD" w:rsidRPr="00E66ECD" w:rsidRDefault="00E66ECD" w:rsidP="00E66ECD">
      <w:pPr>
        <w:spacing w:after="0" w:line="240" w:lineRule="auto"/>
        <w:ind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Nota: los montos se expresan en millones de pesos. En cumplimiento de las disposiciones de la CNV, se presentan los saldos y resultados del </w:t>
      </w:r>
      <w:r w:rsidRPr="00E66ECD">
        <w:rPr>
          <w:rFonts w:ascii="Arial" w:eastAsia="Times New Roman" w:hAnsi="Arial" w:cs="Arial"/>
          <w:snapToGrid w:val="0"/>
          <w:sz w:val="20"/>
          <w:szCs w:val="20"/>
          <w:lang w:val="es-ES" w:eastAsia="es-ES"/>
        </w:rPr>
        <w:t>ejercicio</w:t>
      </w:r>
      <w:r w:rsidRPr="00E66ECD">
        <w:rPr>
          <w:rFonts w:ascii="Arial" w:eastAsia="Times New Roman" w:hAnsi="Arial" w:cs="Arial"/>
          <w:sz w:val="20"/>
          <w:szCs w:val="20"/>
          <w:lang w:val="es-ES" w:eastAsia="es-ES"/>
        </w:rPr>
        <w:t>, preparados bajo NIIF.</w:t>
      </w:r>
    </w:p>
    <w:p w:rsidR="00E66ECD" w:rsidRPr="00E66ECD" w:rsidRDefault="00E66ECD" w:rsidP="00E66ECD">
      <w:pPr>
        <w:spacing w:after="0" w:line="240" w:lineRule="auto"/>
        <w:ind w:right="-1"/>
        <w:rPr>
          <w:rFonts w:ascii="Arial" w:eastAsia="Times New Roman" w:hAnsi="Arial" w:cs="Arial"/>
          <w:sz w:val="20"/>
          <w:szCs w:val="20"/>
          <w:lang w:val="es-ES" w:eastAsia="es-ES"/>
        </w:rPr>
      </w:pPr>
    </w:p>
    <w:tbl>
      <w:tblPr>
        <w:tblW w:w="10173" w:type="dxa"/>
        <w:tblLayout w:type="fixed"/>
        <w:tblCellMar>
          <w:left w:w="30" w:type="dxa"/>
          <w:right w:w="30" w:type="dxa"/>
        </w:tblCellMar>
        <w:tblLook w:val="0000" w:firstRow="0" w:lastRow="0" w:firstColumn="0" w:lastColumn="0" w:noHBand="0" w:noVBand="0"/>
      </w:tblPr>
      <w:tblGrid>
        <w:gridCol w:w="3870"/>
        <w:gridCol w:w="146"/>
        <w:gridCol w:w="1117"/>
        <w:gridCol w:w="120"/>
        <w:gridCol w:w="1125"/>
        <w:gridCol w:w="110"/>
        <w:gridCol w:w="1125"/>
        <w:gridCol w:w="136"/>
        <w:gridCol w:w="1090"/>
        <w:gridCol w:w="135"/>
        <w:gridCol w:w="1079"/>
        <w:gridCol w:w="120"/>
      </w:tblGrid>
      <w:tr w:rsidR="00E66ECD" w:rsidRPr="00E66ECD" w:rsidTr="00BD6BA7">
        <w:tc>
          <w:tcPr>
            <w:tcW w:w="3870"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46"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17"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31.12.2018</w:t>
            </w:r>
          </w:p>
        </w:tc>
        <w:tc>
          <w:tcPr>
            <w:tcW w:w="120"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25"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Ejercicio irregular de ocho meses finalizado el 31.12.2017</w:t>
            </w:r>
          </w:p>
        </w:tc>
        <w:tc>
          <w:tcPr>
            <w:tcW w:w="110"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125"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36"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90"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35"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79"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20"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r>
      <w:tr w:rsidR="00E66ECD" w:rsidRPr="00E66ECD" w:rsidTr="00BD6BA7">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 xml:space="preserve">Resultado operativo de operaciones que continúan </w:t>
            </w:r>
            <w:r w:rsidRPr="00E66ECD">
              <w:rPr>
                <w:rFonts w:ascii="Arial" w:eastAsia="Times New Roman" w:hAnsi="Arial" w:cs="Arial"/>
                <w:sz w:val="10"/>
                <w:szCs w:val="10"/>
                <w:lang w:val="es-ES" w:eastAsia="es-ES"/>
              </w:rPr>
              <w:t>(1)</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20.963</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8.286</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jc w:val="right"/>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napToGrid w:val="0"/>
                <w:sz w:val="16"/>
                <w:szCs w:val="16"/>
                <w:lang w:val="es-ES" w:eastAsia="es-ES"/>
              </w:rPr>
              <w:t xml:space="preserve">Resultados financieros </w:t>
            </w: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(22.146)</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64</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98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98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napToGrid w:val="0"/>
                <w:sz w:val="16"/>
                <w:szCs w:val="16"/>
                <w:lang w:val="es-ES" w:eastAsia="es-ES"/>
              </w:rPr>
              <w:t>Resultados por participación en sociedades</w:t>
            </w: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236</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263</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57"/>
        </w:trPr>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spacing w:after="0" w:line="240" w:lineRule="auto"/>
              <w:ind w:left="150" w:right="-1" w:hanging="150"/>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 xml:space="preserve">Resultado de operaciones que continúan antes del impuesto a las ganancias y a la ganancia mínima presunta </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1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(947)</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8.613</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spacing w:after="0" w:line="240" w:lineRule="auto"/>
              <w:ind w:left="152" w:right="-1" w:hanging="152"/>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Impuesto a las ganancia y a la ganancia mínima presunta</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17"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2.821</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(2.344)</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57"/>
        </w:trPr>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spacing w:after="0" w:line="240" w:lineRule="auto"/>
              <w:ind w:left="150" w:right="-1" w:hanging="150"/>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Resultado del ejercicio</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1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1.874</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6.269</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57"/>
        </w:trPr>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napToGrid w:val="0"/>
                <w:sz w:val="16"/>
                <w:szCs w:val="16"/>
                <w:lang w:val="es-ES" w:eastAsia="es-ES"/>
              </w:rPr>
            </w:pP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spacing w:after="0" w:line="240" w:lineRule="auto"/>
              <w:ind w:left="150" w:right="-1" w:hanging="150"/>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Otros resultados integrales del ejercicio</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17"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1.318</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bottom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(576)</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57"/>
        </w:trPr>
        <w:tc>
          <w:tcPr>
            <w:tcW w:w="3870" w:type="dxa"/>
            <w:vAlign w:val="bottom"/>
          </w:tcPr>
          <w:p w:rsidR="00E66ECD" w:rsidRPr="00E66ECD" w:rsidRDefault="00E66ECD" w:rsidP="00E66ECD">
            <w:pPr>
              <w:tabs>
                <w:tab w:val="decimal" w:pos="1145"/>
              </w:tabs>
              <w:spacing w:after="0" w:line="240" w:lineRule="auto"/>
              <w:ind w:right="-1"/>
              <w:rPr>
                <w:rFonts w:ascii="Arial" w:eastAsia="Times New Roman" w:hAnsi="Arial" w:cs="Arial"/>
                <w:snapToGrid w:val="0"/>
                <w:sz w:val="16"/>
                <w:szCs w:val="16"/>
                <w:lang w:val="es-ES" w:eastAsia="es-ES"/>
              </w:rPr>
            </w:pPr>
          </w:p>
        </w:tc>
        <w:tc>
          <w:tcPr>
            <w:tcW w:w="14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17"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top w:val="sing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tr w:rsidR="00E66ECD" w:rsidRPr="00E66ECD" w:rsidTr="00BD6BA7">
        <w:tc>
          <w:tcPr>
            <w:tcW w:w="3870" w:type="dxa"/>
            <w:vAlign w:val="bottom"/>
          </w:tcPr>
          <w:p w:rsidR="00E66ECD" w:rsidRPr="00E66ECD" w:rsidRDefault="00E66ECD" w:rsidP="00E66ECD">
            <w:pPr>
              <w:spacing w:after="0" w:line="240" w:lineRule="auto"/>
              <w:ind w:left="150" w:right="-1" w:hanging="150"/>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Resultado integral total del ejercicio</w:t>
            </w:r>
          </w:p>
        </w:tc>
        <w:tc>
          <w:tcPr>
            <w:tcW w:w="146"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17"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3.192</w:t>
            </w:r>
          </w:p>
        </w:tc>
        <w:tc>
          <w:tcPr>
            <w:tcW w:w="12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tcBorders>
              <w:bottom w:val="double" w:sz="4" w:space="0" w:color="auto"/>
            </w:tcBorders>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5.693</w:t>
            </w:r>
          </w:p>
        </w:tc>
        <w:tc>
          <w:tcPr>
            <w:tcW w:w="110" w:type="dxa"/>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6"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35"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9"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20"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bl>
    <w:p w:rsidR="00E66ECD" w:rsidRPr="00E66ECD" w:rsidRDefault="00E66ECD" w:rsidP="00E66ECD">
      <w:pPr>
        <w:tabs>
          <w:tab w:val="left" w:pos="284"/>
        </w:tabs>
        <w:spacing w:after="0" w:line="240" w:lineRule="auto"/>
        <w:ind w:right="-1"/>
        <w:jc w:val="both"/>
        <w:rPr>
          <w:rFonts w:ascii="Arial" w:eastAsia="Times New Roman" w:hAnsi="Arial" w:cs="Arial"/>
          <w:sz w:val="16"/>
          <w:szCs w:val="16"/>
          <w:lang w:eastAsia="es-ES"/>
        </w:rPr>
      </w:pPr>
    </w:p>
    <w:p w:rsidR="00E66ECD" w:rsidRPr="00E66ECD" w:rsidRDefault="00E66ECD" w:rsidP="00E66ECD">
      <w:pPr>
        <w:spacing w:after="0" w:line="240" w:lineRule="auto"/>
        <w:ind w:right="-1"/>
        <w:rPr>
          <w:rFonts w:ascii="Arial" w:eastAsia="Times New Roman" w:hAnsi="Arial" w:cs="Arial"/>
          <w:b/>
          <w:sz w:val="20"/>
          <w:szCs w:val="20"/>
          <w:lang w:eastAsia="es-ES"/>
        </w:rPr>
      </w:pPr>
      <w:r w:rsidRPr="00E66ECD">
        <w:rPr>
          <w:rFonts w:ascii="Arial" w:eastAsia="Times New Roman" w:hAnsi="Arial" w:cs="Arial"/>
          <w:sz w:val="20"/>
          <w:szCs w:val="20"/>
          <w:vertAlign w:val="superscript"/>
        </w:rPr>
        <w:t xml:space="preserve">(1) </w:t>
      </w:r>
      <w:r w:rsidRPr="00E66ECD">
        <w:rPr>
          <w:rFonts w:ascii="Arial" w:eastAsia="Times New Roman" w:hAnsi="Arial" w:cs="Arial"/>
          <w:sz w:val="20"/>
          <w:szCs w:val="20"/>
          <w:lang w:eastAsia="es-ES"/>
        </w:rPr>
        <w:t>Definido como ventas netas menos costo de ventas y menos gastos.</w:t>
      </w:r>
    </w:p>
    <w:p w:rsidR="00E66ECD" w:rsidRPr="00E66ECD" w:rsidRDefault="00E66ECD" w:rsidP="00E66ECD">
      <w:pPr>
        <w:keepNext/>
        <w:numPr>
          <w:ilvl w:val="0"/>
          <w:numId w:val="2"/>
        </w:numPr>
        <w:spacing w:after="0" w:line="240" w:lineRule="auto"/>
        <w:ind w:right="-1"/>
        <w:outlineLvl w:val="1"/>
        <w:rPr>
          <w:rFonts w:ascii="Arial" w:eastAsia="Times New Roman" w:hAnsi="Arial" w:cs="Arial"/>
          <w:b/>
          <w:bCs/>
          <w:sz w:val="20"/>
          <w:szCs w:val="26"/>
          <w:lang w:val="es-ES" w:eastAsia="es-ES"/>
        </w:rPr>
      </w:pPr>
      <w:bookmarkStart w:id="1" w:name="OLE_LINK571"/>
      <w:r w:rsidRPr="00E66ECD">
        <w:rPr>
          <w:rFonts w:ascii="Arial" w:eastAsia="Times New Roman" w:hAnsi="Arial" w:cs="Arial"/>
          <w:b/>
          <w:bCs/>
          <w:sz w:val="20"/>
          <w:szCs w:val="26"/>
          <w:lang w:val="es-ES" w:eastAsia="es-ES"/>
        </w:rPr>
        <w:br w:type="page"/>
      </w:r>
      <w:r w:rsidRPr="00E66ECD">
        <w:rPr>
          <w:rFonts w:ascii="Arial" w:eastAsia="Times New Roman" w:hAnsi="Arial" w:cs="Arial"/>
          <w:b/>
          <w:bCs/>
          <w:sz w:val="20"/>
          <w:szCs w:val="26"/>
          <w:lang w:val="es-ES" w:eastAsia="es-ES"/>
        </w:rPr>
        <w:lastRenderedPageBreak/>
        <w:t>Estructura del flujo de efectivo</w:t>
      </w:r>
    </w:p>
    <w:p w:rsidR="00E66ECD" w:rsidRPr="00E66ECD" w:rsidRDefault="00E66ECD" w:rsidP="00E66ECD">
      <w:pPr>
        <w:spacing w:after="0" w:line="240" w:lineRule="auto"/>
        <w:ind w:right="-1"/>
        <w:jc w:val="both"/>
        <w:rPr>
          <w:rFonts w:ascii="Arial" w:eastAsia="Times New Roman" w:hAnsi="Arial" w:cs="Arial"/>
          <w:sz w:val="20"/>
          <w:szCs w:val="20"/>
          <w:lang w:val="es-ES" w:eastAsia="es-ES"/>
        </w:rPr>
      </w:pPr>
    </w:p>
    <w:p w:rsidR="00E66ECD" w:rsidRPr="00E66ECD" w:rsidRDefault="00E66ECD" w:rsidP="00E66ECD">
      <w:pPr>
        <w:spacing w:after="0" w:line="240" w:lineRule="auto"/>
        <w:ind w:right="-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Nota: los montos se expresan en millones de pesos. En cumplimiento de las disposiciones de la CNV, se presentan los saldos y resultados del </w:t>
      </w:r>
      <w:r w:rsidRPr="00E66ECD">
        <w:rPr>
          <w:rFonts w:ascii="Arial" w:eastAsia="Times New Roman" w:hAnsi="Arial" w:cs="Arial"/>
          <w:snapToGrid w:val="0"/>
          <w:sz w:val="20"/>
          <w:szCs w:val="20"/>
          <w:lang w:val="es-ES" w:eastAsia="es-ES"/>
        </w:rPr>
        <w:t>ejercicio</w:t>
      </w:r>
      <w:r w:rsidRPr="00E66ECD">
        <w:rPr>
          <w:rFonts w:ascii="Arial" w:eastAsia="Times New Roman" w:hAnsi="Arial" w:cs="Arial"/>
          <w:sz w:val="20"/>
          <w:szCs w:val="20"/>
          <w:lang w:val="es-ES" w:eastAsia="es-ES"/>
        </w:rPr>
        <w:t>, preparados bajo NIIF.</w:t>
      </w:r>
    </w:p>
    <w:p w:rsidR="00E66ECD" w:rsidRPr="00E66ECD" w:rsidRDefault="00E66ECD" w:rsidP="00E66ECD">
      <w:pPr>
        <w:spacing w:after="0" w:line="240" w:lineRule="auto"/>
        <w:ind w:left="397" w:right="-1"/>
        <w:rPr>
          <w:rFonts w:ascii="Arial" w:eastAsia="Times New Roman" w:hAnsi="Arial" w:cs="Arial"/>
          <w:sz w:val="20"/>
          <w:szCs w:val="20"/>
          <w:lang w:val="es-ES" w:eastAsia="es-ES"/>
        </w:rPr>
      </w:pPr>
    </w:p>
    <w:tbl>
      <w:tblPr>
        <w:tblW w:w="8872" w:type="dxa"/>
        <w:tblLayout w:type="fixed"/>
        <w:tblCellMar>
          <w:left w:w="30" w:type="dxa"/>
          <w:right w:w="30" w:type="dxa"/>
        </w:tblCellMar>
        <w:tblLook w:val="0000" w:firstRow="0" w:lastRow="0" w:firstColumn="0" w:lastColumn="0" w:noHBand="0" w:noVBand="0"/>
      </w:tblPr>
      <w:tblGrid>
        <w:gridCol w:w="2882"/>
        <w:gridCol w:w="94"/>
        <w:gridCol w:w="1135"/>
        <w:gridCol w:w="112"/>
        <w:gridCol w:w="1022"/>
        <w:gridCol w:w="107"/>
        <w:gridCol w:w="1098"/>
        <w:gridCol w:w="112"/>
        <w:gridCol w:w="1099"/>
        <w:gridCol w:w="104"/>
        <w:gridCol w:w="1107"/>
      </w:tblGrid>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35" w:type="dxa"/>
            <w:tcBorders>
              <w:bottom w:val="single" w:sz="4" w:space="0" w:color="auto"/>
            </w:tcBorders>
            <w:shd w:val="clear" w:color="auto" w:fill="auto"/>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31.12.2018</w:t>
            </w:r>
          </w:p>
        </w:tc>
        <w:tc>
          <w:tcPr>
            <w:tcW w:w="112"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22"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Ejercicio irregular de ocho meses finalizado el 31.12.2017</w:t>
            </w:r>
          </w:p>
        </w:tc>
        <w:tc>
          <w:tcPr>
            <w:tcW w:w="107"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098" w:type="dxa"/>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12"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99"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4"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07"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Fondos generados por (aplicados a) las actividades operativas</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42.072</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16.615</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tabs>
                <w:tab w:val="decimal" w:pos="1031"/>
              </w:tabs>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tabs>
                <w:tab w:val="decimal" w:pos="1031"/>
              </w:tabs>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 xml:space="preserve">Fondo generados por (aplicados a) las actividades de inversión </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(31.285)</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(29.488)</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Fondos generados por (aplicados a) las actividades de financiación</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bottom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(14.663)</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bottom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16.810</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Total de fondos generados o (aplicados) durante el ejercicio</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(3.876)</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3.937</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Resultados financieros generados por el efectivo y sus equivalentes</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bottom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4.128</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bottom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(242)</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top w:val="sing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r w:rsidRPr="00E66ECD">
              <w:rPr>
                <w:rFonts w:ascii="Arial" w:eastAsia="Times New Roman" w:hAnsi="Arial" w:cs="Arial"/>
                <w:snapToGrid w:val="0"/>
                <w:sz w:val="16"/>
                <w:szCs w:val="16"/>
                <w:lang w:val="es-ES" w:eastAsia="es-ES"/>
              </w:rPr>
              <w:t>Total variación del efectivo</w:t>
            </w: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bottom w:val="doub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252</w:t>
            </w:r>
          </w:p>
        </w:tc>
        <w:tc>
          <w:tcPr>
            <w:tcW w:w="112"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22" w:type="dxa"/>
            <w:tcBorders>
              <w:bottom w:val="double" w:sz="4" w:space="0" w:color="auto"/>
            </w:tcBorders>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3.695</w:t>
            </w:r>
          </w:p>
        </w:tc>
        <w:tc>
          <w:tcPr>
            <w:tcW w:w="107" w:type="dxa"/>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tabs>
                <w:tab w:val="decimal" w:pos="1031"/>
              </w:tabs>
              <w:spacing w:after="0" w:line="240" w:lineRule="auto"/>
              <w:ind w:right="-1"/>
              <w:rPr>
                <w:rFonts w:ascii="Arial" w:eastAsia="Times New Roman" w:hAnsi="Arial" w:cs="Arial"/>
                <w:sz w:val="16"/>
                <w:szCs w:val="16"/>
                <w:lang w:val="es-ES" w:eastAsia="es-ES"/>
              </w:rPr>
            </w:pPr>
          </w:p>
        </w:tc>
        <w:tc>
          <w:tcPr>
            <w:tcW w:w="104"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07" w:type="dxa"/>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r>
      <w:tr w:rsidR="00E66ECD" w:rsidRPr="00E66ECD" w:rsidTr="00BD6BA7">
        <w:trPr>
          <w:trHeight w:hRule="exact" w:val="90"/>
        </w:trPr>
        <w:tc>
          <w:tcPr>
            <w:tcW w:w="2882" w:type="dxa"/>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94"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5" w:type="dxa"/>
            <w:tcBorders>
              <w:top w:val="double" w:sz="4" w:space="0" w:color="auto"/>
            </w:tcBorders>
            <w:shd w:val="clear" w:color="auto" w:fill="auto"/>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2" w:type="dxa"/>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22" w:type="dxa"/>
            <w:tcBorders>
              <w:top w:val="double" w:sz="4" w:space="0" w:color="auto"/>
            </w:tcBorders>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7"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8"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2"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99"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211" w:type="dxa"/>
            <w:gridSpan w:val="2"/>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r>
      <w:bookmarkEnd w:id="1"/>
    </w:tbl>
    <w:p w:rsidR="00E66ECD" w:rsidRPr="00E66ECD" w:rsidRDefault="00E66ECD" w:rsidP="00E66ECD">
      <w:pPr>
        <w:spacing w:after="0" w:line="240" w:lineRule="auto"/>
        <w:ind w:right="-1"/>
        <w:rPr>
          <w:rFonts w:ascii="Arial" w:eastAsia="Times New Roman" w:hAnsi="Arial" w:cs="Arial"/>
          <w:sz w:val="24"/>
          <w:szCs w:val="24"/>
          <w:lang w:val="es-ES" w:eastAsia="es-ES"/>
        </w:rPr>
      </w:pPr>
    </w:p>
    <w:p w:rsidR="00E66ECD" w:rsidRPr="00E66ECD" w:rsidRDefault="00E66ECD" w:rsidP="00E66ECD">
      <w:pPr>
        <w:keepNext/>
        <w:numPr>
          <w:ilvl w:val="0"/>
          <w:numId w:val="2"/>
        </w:numPr>
        <w:spacing w:after="0" w:line="240" w:lineRule="auto"/>
        <w:ind w:right="-1"/>
        <w:outlineLvl w:val="1"/>
        <w:rPr>
          <w:rFonts w:ascii="Arial" w:eastAsia="Times New Roman" w:hAnsi="Arial" w:cs="Arial"/>
          <w:b/>
          <w:bCs/>
          <w:sz w:val="20"/>
          <w:szCs w:val="26"/>
          <w:lang w:val="es-ES" w:eastAsia="es-ES"/>
        </w:rPr>
      </w:pPr>
      <w:r w:rsidRPr="00E66ECD">
        <w:rPr>
          <w:rFonts w:ascii="Arial" w:eastAsia="Times New Roman" w:hAnsi="Arial" w:cs="Arial"/>
          <w:b/>
          <w:bCs/>
          <w:sz w:val="20"/>
          <w:szCs w:val="26"/>
          <w:lang w:val="es-ES" w:eastAsia="es-ES"/>
        </w:rPr>
        <w:t>DATOS ESTADISTICOS</w:t>
      </w:r>
    </w:p>
    <w:p w:rsidR="00E66ECD" w:rsidRPr="00E66ECD" w:rsidRDefault="00E66ECD" w:rsidP="00E66ECD">
      <w:pPr>
        <w:spacing w:after="0" w:line="240" w:lineRule="auto"/>
        <w:ind w:right="-1"/>
        <w:rPr>
          <w:rFonts w:ascii="Arial" w:eastAsia="Times New Roman" w:hAnsi="Arial" w:cs="Arial"/>
          <w:sz w:val="16"/>
          <w:szCs w:val="16"/>
          <w:lang w:eastAsia="es-ES"/>
        </w:rPr>
      </w:pPr>
    </w:p>
    <w:tbl>
      <w:tblPr>
        <w:tblW w:w="9519" w:type="dxa"/>
        <w:tblLayout w:type="fixed"/>
        <w:tblCellMar>
          <w:left w:w="30" w:type="dxa"/>
          <w:right w:w="30" w:type="dxa"/>
        </w:tblCellMar>
        <w:tblLook w:val="0000" w:firstRow="0" w:lastRow="0" w:firstColumn="0" w:lastColumn="0" w:noHBand="0" w:noVBand="0"/>
      </w:tblPr>
      <w:tblGrid>
        <w:gridCol w:w="3632"/>
        <w:gridCol w:w="107"/>
        <w:gridCol w:w="1066"/>
        <w:gridCol w:w="112"/>
        <w:gridCol w:w="1066"/>
        <w:gridCol w:w="112"/>
        <w:gridCol w:w="1066"/>
        <w:gridCol w:w="112"/>
        <w:gridCol w:w="1066"/>
        <w:gridCol w:w="114"/>
        <w:gridCol w:w="1066"/>
      </w:tblGrid>
      <w:tr w:rsidR="00E66ECD" w:rsidRPr="00E66ECD" w:rsidTr="00BD6BA7">
        <w:tc>
          <w:tcPr>
            <w:tcW w:w="3632"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7"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66" w:type="dxa"/>
            <w:tcBorders>
              <w:bottom w:val="single" w:sz="4" w:space="0" w:color="auto"/>
            </w:tcBorders>
            <w:shd w:val="clear" w:color="auto" w:fill="auto"/>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31.12.2018</w:t>
            </w:r>
          </w:p>
        </w:tc>
        <w:tc>
          <w:tcPr>
            <w:tcW w:w="112"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66" w:type="dxa"/>
            <w:tcBorders>
              <w:bottom w:val="single" w:sz="4" w:space="0" w:color="auto"/>
            </w:tcBorders>
            <w:shd w:val="clear" w:color="auto" w:fill="auto"/>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31.12.2017</w:t>
            </w:r>
          </w:p>
        </w:tc>
        <w:tc>
          <w:tcPr>
            <w:tcW w:w="112"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066"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p>
        </w:tc>
        <w:tc>
          <w:tcPr>
            <w:tcW w:w="112"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66"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4"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066" w:type="dxa"/>
            <w:shd w:val="clear" w:color="auto" w:fill="auto"/>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r>
      <w:tr w:rsidR="00E66ECD" w:rsidRPr="00E66ECD" w:rsidTr="00BD6BA7">
        <w:tc>
          <w:tcPr>
            <w:tcW w:w="3632"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7"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6" w:type="dxa"/>
            <w:tcBorders>
              <w:top w:val="single" w:sz="4" w:space="0" w:color="auto"/>
            </w:tcBorders>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6" w:type="dxa"/>
            <w:tcBorders>
              <w:top w:val="single" w:sz="4" w:space="0" w:color="auto"/>
            </w:tcBorders>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Abonados Servicios de televisión por cable (i)</w:t>
            </w:r>
          </w:p>
        </w:tc>
        <w:tc>
          <w:tcPr>
            <w:tcW w:w="107" w:type="dxa"/>
            <w:shd w:val="clear" w:color="auto" w:fill="auto"/>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98,9</w:t>
            </w: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100,3</w:t>
            </w: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107" w:type="dxa"/>
            <w:shd w:val="clear" w:color="auto" w:fill="auto"/>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Accesos  de Internet (i)</w:t>
            </w:r>
          </w:p>
        </w:tc>
        <w:tc>
          <w:tcPr>
            <w:tcW w:w="107" w:type="dxa"/>
            <w:shd w:val="clear" w:color="auto" w:fill="auto"/>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143,4</w:t>
            </w: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137,1</w:t>
            </w: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107" w:type="dxa"/>
            <w:shd w:val="clear" w:color="auto" w:fill="auto"/>
            <w:vAlign w:val="bottom"/>
          </w:tcPr>
          <w:p w:rsidR="00E66ECD" w:rsidRPr="00E66ECD" w:rsidRDefault="00E66ECD" w:rsidP="00E66ECD">
            <w:pPr>
              <w:spacing w:after="0" w:line="240" w:lineRule="auto"/>
              <w:ind w:right="-1"/>
              <w:rPr>
                <w:rFonts w:ascii="Arial" w:eastAsia="Times New Roman" w:hAnsi="Arial" w:cs="Arial"/>
                <w:snapToGrid w:val="0"/>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Líneas Servicios de Telefonía Iden (ii)</w:t>
            </w: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20,7</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46,6</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770"/>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Líneas Servicios de Telefonía fija (iii)</w:t>
            </w: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93,4</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770"/>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Líneas Servicios Móviles Personal (iii)</w:t>
            </w: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96,5</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770"/>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757"/>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c>
          <w:tcPr>
            <w:tcW w:w="3632" w:type="dxa"/>
            <w:shd w:val="clear" w:color="auto" w:fill="auto"/>
            <w:vAlign w:val="center"/>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Clientes Núcleo (iii)</w:t>
            </w: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spacing w:after="0" w:line="240" w:lineRule="auto"/>
              <w:ind w:right="-1"/>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97,4</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w:t>
            </w: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r w:rsidR="00E66ECD" w:rsidRPr="00E66ECD" w:rsidTr="00BD6BA7">
        <w:trPr>
          <w:trHeight w:hRule="exact" w:val="113"/>
        </w:trPr>
        <w:tc>
          <w:tcPr>
            <w:tcW w:w="363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7"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2"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14"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c>
          <w:tcPr>
            <w:tcW w:w="1066" w:type="dxa"/>
            <w:shd w:val="clear" w:color="auto" w:fill="auto"/>
            <w:vAlign w:val="bottom"/>
          </w:tcPr>
          <w:p w:rsidR="00E66ECD" w:rsidRPr="00E66ECD" w:rsidRDefault="00E66ECD" w:rsidP="00E66ECD">
            <w:pPr>
              <w:tabs>
                <w:tab w:val="decimal" w:pos="901"/>
              </w:tabs>
              <w:spacing w:after="0" w:line="240" w:lineRule="auto"/>
              <w:ind w:right="-1"/>
              <w:rPr>
                <w:rFonts w:ascii="Arial" w:eastAsia="Times New Roman" w:hAnsi="Arial" w:cs="Arial"/>
                <w:sz w:val="16"/>
                <w:szCs w:val="16"/>
                <w:lang w:val="es-ES" w:eastAsia="es-ES"/>
              </w:rPr>
            </w:pPr>
          </w:p>
        </w:tc>
      </w:tr>
    </w:tbl>
    <w:p w:rsidR="00E66ECD" w:rsidRPr="00E66ECD" w:rsidRDefault="00E66ECD" w:rsidP="00E66ECD">
      <w:pPr>
        <w:tabs>
          <w:tab w:val="decimal" w:pos="901"/>
        </w:tabs>
        <w:spacing w:after="0" w:line="240" w:lineRule="auto"/>
        <w:ind w:right="-1"/>
        <w:rPr>
          <w:rFonts w:ascii="Arial" w:eastAsia="Times New Roman" w:hAnsi="Arial" w:cs="Arial"/>
          <w:sz w:val="12"/>
          <w:szCs w:val="12"/>
          <w:lang w:val="es-ES" w:eastAsia="es-ES"/>
        </w:rPr>
      </w:pPr>
    </w:p>
    <w:p w:rsidR="00E66ECD" w:rsidRPr="00E66ECD" w:rsidRDefault="00E66ECD" w:rsidP="00E66ECD">
      <w:pPr>
        <w:numPr>
          <w:ilvl w:val="0"/>
          <w:numId w:val="3"/>
        </w:numPr>
        <w:spacing w:after="0" w:line="240" w:lineRule="auto"/>
        <w:ind w:right="-1"/>
        <w:rPr>
          <w:rFonts w:ascii="Arial" w:eastAsia="Times New Roman" w:hAnsi="Arial" w:cs="Arial"/>
          <w:sz w:val="14"/>
          <w:szCs w:val="14"/>
          <w:lang w:val="es-ES" w:eastAsia="es-ES"/>
        </w:rPr>
      </w:pPr>
      <w:r w:rsidRPr="00E66ECD">
        <w:rPr>
          <w:rFonts w:ascii="Arial" w:eastAsia="Times New Roman" w:hAnsi="Arial" w:cs="Arial"/>
          <w:sz w:val="14"/>
          <w:szCs w:val="14"/>
          <w:lang w:val="es-ES" w:eastAsia="es-ES"/>
        </w:rPr>
        <w:t>Base diciembre 2013= 100</w:t>
      </w:r>
    </w:p>
    <w:p w:rsidR="00E66ECD" w:rsidRPr="00E66ECD" w:rsidRDefault="00E66ECD" w:rsidP="00E66ECD">
      <w:pPr>
        <w:numPr>
          <w:ilvl w:val="0"/>
          <w:numId w:val="3"/>
        </w:numPr>
        <w:spacing w:after="0" w:line="240" w:lineRule="auto"/>
        <w:ind w:right="-1"/>
        <w:rPr>
          <w:rFonts w:ascii="Arial" w:eastAsia="Times New Roman" w:hAnsi="Arial" w:cs="Arial"/>
          <w:sz w:val="14"/>
          <w:szCs w:val="14"/>
          <w:lang w:val="es-ES" w:eastAsia="es-ES"/>
        </w:rPr>
      </w:pPr>
      <w:r w:rsidRPr="00E66ECD">
        <w:rPr>
          <w:rFonts w:ascii="Arial" w:eastAsia="Times New Roman" w:hAnsi="Arial" w:cs="Arial"/>
          <w:sz w:val="14"/>
          <w:szCs w:val="14"/>
          <w:lang w:val="es-ES" w:eastAsia="es-ES"/>
        </w:rPr>
        <w:t>Base diciembre 2015= 100</w:t>
      </w:r>
    </w:p>
    <w:p w:rsidR="00E66ECD" w:rsidRPr="00E66ECD" w:rsidRDefault="00E66ECD" w:rsidP="00E66ECD">
      <w:pPr>
        <w:numPr>
          <w:ilvl w:val="0"/>
          <w:numId w:val="3"/>
        </w:numPr>
        <w:spacing w:after="0" w:line="240" w:lineRule="auto"/>
        <w:ind w:right="-1"/>
        <w:rPr>
          <w:rFonts w:ascii="Arial" w:eastAsia="Times New Roman" w:hAnsi="Arial" w:cs="Arial"/>
          <w:sz w:val="14"/>
          <w:szCs w:val="14"/>
          <w:lang w:val="es-ES" w:eastAsia="es-ES"/>
        </w:rPr>
      </w:pPr>
      <w:r w:rsidRPr="00E66ECD">
        <w:rPr>
          <w:rFonts w:ascii="Arial" w:eastAsia="Times New Roman" w:hAnsi="Arial" w:cs="Arial"/>
          <w:sz w:val="14"/>
          <w:szCs w:val="14"/>
          <w:lang w:val="es-ES" w:eastAsia="es-ES"/>
        </w:rPr>
        <w:t>Base diciembre 2017= 100 (la variación corresponde a la información por efecto de la fusión con Telecom Argentina)</w:t>
      </w:r>
    </w:p>
    <w:p w:rsidR="00E66ECD" w:rsidRPr="00E66ECD" w:rsidRDefault="00E66ECD" w:rsidP="00E66ECD">
      <w:pPr>
        <w:tabs>
          <w:tab w:val="left" w:pos="284"/>
        </w:tabs>
        <w:spacing w:after="0" w:line="240" w:lineRule="auto"/>
        <w:ind w:left="426" w:right="-1" w:hanging="284"/>
        <w:jc w:val="both"/>
        <w:rPr>
          <w:rFonts w:ascii="Arial" w:eastAsia="Times New Roman" w:hAnsi="Arial" w:cs="Arial"/>
          <w:sz w:val="16"/>
          <w:szCs w:val="16"/>
          <w:lang w:eastAsia="es-ES"/>
        </w:rPr>
      </w:pPr>
    </w:p>
    <w:p w:rsidR="00E66ECD" w:rsidRPr="00E66ECD" w:rsidRDefault="00E66ECD" w:rsidP="00E66ECD">
      <w:pPr>
        <w:tabs>
          <w:tab w:val="left" w:pos="284"/>
        </w:tabs>
        <w:spacing w:after="0" w:line="240" w:lineRule="auto"/>
        <w:ind w:left="426" w:right="-1" w:hanging="284"/>
        <w:jc w:val="both"/>
        <w:rPr>
          <w:rFonts w:ascii="Arial" w:eastAsia="Times New Roman" w:hAnsi="Arial" w:cs="Arial"/>
          <w:sz w:val="16"/>
          <w:szCs w:val="16"/>
          <w:lang w:eastAsia="es-ES"/>
        </w:rPr>
      </w:pPr>
    </w:p>
    <w:p w:rsidR="00E66ECD" w:rsidRPr="00E66ECD" w:rsidRDefault="00E66ECD" w:rsidP="00E66ECD">
      <w:pPr>
        <w:keepNext/>
        <w:numPr>
          <w:ilvl w:val="0"/>
          <w:numId w:val="2"/>
        </w:numPr>
        <w:tabs>
          <w:tab w:val="num" w:pos="1980"/>
        </w:tabs>
        <w:spacing w:after="0" w:line="240" w:lineRule="auto"/>
        <w:ind w:right="-1"/>
        <w:outlineLvl w:val="1"/>
        <w:rPr>
          <w:rFonts w:ascii="Arial" w:eastAsia="Times New Roman" w:hAnsi="Arial" w:cs="Arial"/>
          <w:b/>
          <w:bCs/>
          <w:sz w:val="20"/>
          <w:szCs w:val="26"/>
          <w:lang w:val="es-ES" w:eastAsia="es-ES"/>
        </w:rPr>
      </w:pPr>
      <w:r w:rsidRPr="00E66ECD">
        <w:rPr>
          <w:rFonts w:ascii="Arial" w:eastAsia="Times New Roman" w:hAnsi="Arial" w:cs="Arial"/>
          <w:b/>
          <w:bCs/>
          <w:sz w:val="20"/>
          <w:szCs w:val="26"/>
          <w:lang w:val="es-ES" w:eastAsia="es-ES"/>
        </w:rPr>
        <w:t>INDICES</w:t>
      </w:r>
    </w:p>
    <w:p w:rsidR="00E66ECD" w:rsidRPr="00E66ECD" w:rsidRDefault="00E66ECD" w:rsidP="00E66ECD">
      <w:pPr>
        <w:spacing w:after="0" w:line="240" w:lineRule="auto"/>
        <w:ind w:right="-1"/>
        <w:rPr>
          <w:rFonts w:ascii="Arial" w:eastAsia="Times New Roman" w:hAnsi="Arial" w:cs="Arial"/>
          <w:sz w:val="16"/>
          <w:szCs w:val="16"/>
          <w:lang w:val="es-ES" w:eastAsia="es-ES"/>
        </w:rPr>
      </w:pPr>
    </w:p>
    <w:tbl>
      <w:tblPr>
        <w:tblW w:w="6774" w:type="dxa"/>
        <w:tblInd w:w="30" w:type="dxa"/>
        <w:tblLayout w:type="fixed"/>
        <w:tblCellMar>
          <w:left w:w="30" w:type="dxa"/>
          <w:right w:w="30" w:type="dxa"/>
        </w:tblCellMar>
        <w:tblLook w:val="0000" w:firstRow="0" w:lastRow="0" w:firstColumn="0" w:lastColumn="0" w:noHBand="0" w:noVBand="0"/>
      </w:tblPr>
      <w:tblGrid>
        <w:gridCol w:w="4223"/>
        <w:gridCol w:w="141"/>
        <w:gridCol w:w="1134"/>
        <w:gridCol w:w="142"/>
        <w:gridCol w:w="1134"/>
      </w:tblGrid>
      <w:tr w:rsidR="00E66ECD" w:rsidRPr="00E66ECD" w:rsidTr="00BD6BA7">
        <w:tc>
          <w:tcPr>
            <w:tcW w:w="4223"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41"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34" w:type="dxa"/>
            <w:tcBorders>
              <w:bottom w:val="single" w:sz="4" w:space="0" w:color="auto"/>
            </w:tcBorders>
            <w:vAlign w:val="bottom"/>
          </w:tcPr>
          <w:p w:rsidR="00E66ECD" w:rsidRPr="00E66ECD" w:rsidRDefault="00E66ECD" w:rsidP="00E66ECD">
            <w:pPr>
              <w:spacing w:after="0" w:line="240" w:lineRule="auto"/>
              <w:ind w:right="-1"/>
              <w:jc w:val="center"/>
              <w:rPr>
                <w:rFonts w:ascii="Arial" w:eastAsia="Times New Roman" w:hAnsi="Arial" w:cs="Arial"/>
                <w:b/>
                <w:sz w:val="16"/>
                <w:szCs w:val="16"/>
                <w:lang w:val="es-ES_tradnl" w:eastAsia="es-ES"/>
              </w:rPr>
            </w:pPr>
            <w:r w:rsidRPr="00E66ECD">
              <w:rPr>
                <w:rFonts w:ascii="Arial" w:eastAsia="Times New Roman" w:hAnsi="Arial" w:cs="Arial"/>
                <w:b/>
                <w:sz w:val="16"/>
                <w:szCs w:val="16"/>
                <w:lang w:val="es-ES_tradnl" w:eastAsia="es-ES"/>
              </w:rPr>
              <w:t>31.12.2018</w:t>
            </w:r>
          </w:p>
        </w:tc>
        <w:tc>
          <w:tcPr>
            <w:tcW w:w="142"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_tradnl" w:eastAsia="es-ES"/>
              </w:rPr>
            </w:pPr>
          </w:p>
        </w:tc>
        <w:tc>
          <w:tcPr>
            <w:tcW w:w="1134" w:type="dxa"/>
            <w:tcBorders>
              <w:bottom w:val="single" w:sz="4" w:space="0" w:color="auto"/>
            </w:tcBorders>
          </w:tcPr>
          <w:p w:rsidR="00E66ECD" w:rsidRPr="00E66ECD" w:rsidRDefault="00E66ECD" w:rsidP="00E66ECD">
            <w:pPr>
              <w:spacing w:after="0" w:line="240" w:lineRule="auto"/>
              <w:ind w:right="-1" w:firstLine="82"/>
              <w:jc w:val="center"/>
              <w:rPr>
                <w:rFonts w:ascii="Arial" w:eastAsia="Times New Roman" w:hAnsi="Arial" w:cs="Arial"/>
                <w:sz w:val="16"/>
                <w:szCs w:val="16"/>
                <w:lang w:val="es-ES_tradnl" w:eastAsia="es-ES"/>
              </w:rPr>
            </w:pPr>
            <w:r w:rsidRPr="00E66ECD">
              <w:rPr>
                <w:rFonts w:ascii="Arial" w:eastAsia="Times New Roman" w:hAnsi="Arial" w:cs="Arial"/>
                <w:b/>
                <w:sz w:val="16"/>
                <w:szCs w:val="16"/>
                <w:lang w:val="es-ES_tradnl" w:eastAsia="es-ES"/>
              </w:rPr>
              <w:t>31.12.2017</w:t>
            </w:r>
          </w:p>
        </w:tc>
      </w:tr>
      <w:tr w:rsidR="00E66ECD" w:rsidRPr="00E66ECD" w:rsidTr="00BD6BA7">
        <w:tc>
          <w:tcPr>
            <w:tcW w:w="4223"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41" w:type="dxa"/>
            <w:vAlign w:val="bottom"/>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34" w:type="dxa"/>
            <w:tcBorders>
              <w:top w:val="single" w:sz="4" w:space="0" w:color="auto"/>
            </w:tcBorders>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42" w:type="dxa"/>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c>
          <w:tcPr>
            <w:tcW w:w="1134" w:type="dxa"/>
            <w:tcBorders>
              <w:top w:val="single" w:sz="4" w:space="0" w:color="auto"/>
            </w:tcBorders>
          </w:tcPr>
          <w:p w:rsidR="00E66ECD" w:rsidRPr="00E66ECD" w:rsidRDefault="00E66ECD" w:rsidP="00E66ECD">
            <w:pPr>
              <w:spacing w:after="0" w:line="240" w:lineRule="auto"/>
              <w:ind w:right="-1"/>
              <w:jc w:val="both"/>
              <w:rPr>
                <w:rFonts w:ascii="Arial" w:eastAsia="Times New Roman" w:hAnsi="Arial" w:cs="Arial"/>
                <w:sz w:val="16"/>
                <w:szCs w:val="16"/>
                <w:lang w:val="es-ES" w:eastAsia="es-ES"/>
              </w:rPr>
            </w:pPr>
          </w:p>
        </w:tc>
      </w:tr>
      <w:tr w:rsidR="00E66ECD" w:rsidRPr="00E66ECD" w:rsidTr="00BD6BA7">
        <w:tc>
          <w:tcPr>
            <w:tcW w:w="4223"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napToGrid w:val="0"/>
                <w:sz w:val="16"/>
                <w:szCs w:val="16"/>
                <w:lang w:val="es-ES" w:eastAsia="es-ES"/>
              </w:rPr>
              <w:t>Liquidez (activo corriente / pasivo corriente)</w:t>
            </w:r>
          </w:p>
        </w:tc>
        <w:tc>
          <w:tcPr>
            <w:tcW w:w="141" w:type="dxa"/>
            <w:vAlign w:val="bottom"/>
          </w:tcPr>
          <w:p w:rsidR="00E66ECD" w:rsidRPr="00E66ECD" w:rsidRDefault="00E66ECD" w:rsidP="00E66ECD">
            <w:pPr>
              <w:tabs>
                <w:tab w:val="decimal" w:pos="1145"/>
              </w:tabs>
              <w:spacing w:after="0" w:line="240" w:lineRule="auto"/>
              <w:ind w:right="-1"/>
              <w:rPr>
                <w:rFonts w:ascii="Arial" w:eastAsia="Times New Roman" w:hAnsi="Arial" w:cs="Arial"/>
                <w:sz w:val="16"/>
                <w:szCs w:val="16"/>
                <w:lang w:val="es-ES" w:eastAsia="es-ES"/>
              </w:rPr>
            </w:pPr>
          </w:p>
        </w:tc>
        <w:tc>
          <w:tcPr>
            <w:tcW w:w="1134"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0,56</w:t>
            </w:r>
          </w:p>
        </w:tc>
        <w:tc>
          <w:tcPr>
            <w:tcW w:w="142"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134"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0,63</w:t>
            </w:r>
          </w:p>
        </w:tc>
      </w:tr>
      <w:tr w:rsidR="00E66ECD" w:rsidRPr="00E66ECD" w:rsidTr="00BD6BA7">
        <w:tc>
          <w:tcPr>
            <w:tcW w:w="4223"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Solvencia (patrimonio / pasivo total)</w:t>
            </w:r>
          </w:p>
        </w:tc>
        <w:tc>
          <w:tcPr>
            <w:tcW w:w="141"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34"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1,42</w:t>
            </w:r>
          </w:p>
        </w:tc>
        <w:tc>
          <w:tcPr>
            <w:tcW w:w="142"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134"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0,89</w:t>
            </w:r>
          </w:p>
        </w:tc>
      </w:tr>
      <w:tr w:rsidR="00E66ECD" w:rsidRPr="00E66ECD" w:rsidTr="00BD6BA7">
        <w:tc>
          <w:tcPr>
            <w:tcW w:w="4223" w:type="dxa"/>
            <w:vAlign w:val="bottom"/>
          </w:tcPr>
          <w:p w:rsidR="00E66ECD" w:rsidRPr="00E66ECD" w:rsidRDefault="00E66ECD" w:rsidP="00E66ECD">
            <w:pPr>
              <w:spacing w:after="0" w:line="240" w:lineRule="auto"/>
              <w:ind w:left="150" w:right="-1" w:hanging="150"/>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Inmovilización del capital (activo no corriente / activo total)</w:t>
            </w:r>
          </w:p>
        </w:tc>
        <w:tc>
          <w:tcPr>
            <w:tcW w:w="141"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34"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0,91</w:t>
            </w:r>
          </w:p>
        </w:tc>
        <w:tc>
          <w:tcPr>
            <w:tcW w:w="142"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134"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0,89</w:t>
            </w:r>
          </w:p>
        </w:tc>
      </w:tr>
      <w:tr w:rsidR="00E66ECD" w:rsidRPr="00E66ECD" w:rsidTr="00BD6BA7">
        <w:tc>
          <w:tcPr>
            <w:tcW w:w="4223" w:type="dxa"/>
            <w:vAlign w:val="bottom"/>
          </w:tcPr>
          <w:p w:rsidR="00E66ECD" w:rsidRPr="00E66ECD" w:rsidRDefault="00E66ECD" w:rsidP="00E66ECD">
            <w:pPr>
              <w:spacing w:after="0" w:line="240" w:lineRule="auto"/>
              <w:ind w:left="150" w:right="-1" w:hanging="150"/>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Rentabilidad (Resultado integral del ejercicio / Patrimonio neto promedio)</w:t>
            </w:r>
          </w:p>
        </w:tc>
        <w:tc>
          <w:tcPr>
            <w:tcW w:w="141" w:type="dxa"/>
            <w:vAlign w:val="bottom"/>
          </w:tcPr>
          <w:p w:rsidR="00E66ECD" w:rsidRPr="00E66ECD" w:rsidRDefault="00E66ECD" w:rsidP="00E66ECD">
            <w:pPr>
              <w:spacing w:after="0" w:line="240" w:lineRule="auto"/>
              <w:ind w:right="-1"/>
              <w:rPr>
                <w:rFonts w:ascii="Arial" w:eastAsia="Times New Roman" w:hAnsi="Arial" w:cs="Arial"/>
                <w:sz w:val="16"/>
                <w:szCs w:val="16"/>
                <w:lang w:val="es-ES" w:eastAsia="es-ES"/>
              </w:rPr>
            </w:pPr>
          </w:p>
        </w:tc>
        <w:tc>
          <w:tcPr>
            <w:tcW w:w="1134"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0,04</w:t>
            </w:r>
          </w:p>
        </w:tc>
        <w:tc>
          <w:tcPr>
            <w:tcW w:w="142" w:type="dxa"/>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p>
        </w:tc>
        <w:tc>
          <w:tcPr>
            <w:tcW w:w="1134" w:type="dxa"/>
            <w:vAlign w:val="bottom"/>
          </w:tcPr>
          <w:p w:rsidR="00E66ECD" w:rsidRPr="00E66ECD" w:rsidRDefault="00E66ECD" w:rsidP="00E66ECD">
            <w:pPr>
              <w:spacing w:after="0" w:line="240" w:lineRule="auto"/>
              <w:ind w:right="-1"/>
              <w:jc w:val="center"/>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0,05</w:t>
            </w:r>
          </w:p>
        </w:tc>
      </w:tr>
    </w:tbl>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ind w:right="-1"/>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br w:type="page"/>
      </w:r>
    </w:p>
    <w:p w:rsidR="00E66ECD" w:rsidRPr="00E66ECD" w:rsidRDefault="00E66ECD" w:rsidP="00E66ECD">
      <w:pPr>
        <w:spacing w:after="0" w:line="240" w:lineRule="auto"/>
        <w:ind w:right="-1"/>
        <w:rPr>
          <w:rFonts w:ascii="Arial" w:eastAsia="Times New Roman" w:hAnsi="Arial" w:cs="Arial"/>
          <w:sz w:val="16"/>
          <w:szCs w:val="16"/>
          <w:lang w:val="es-ES" w:eastAsia="es-ES"/>
        </w:rPr>
      </w:pPr>
    </w:p>
    <w:p w:rsidR="00E66ECD" w:rsidRPr="00E66ECD" w:rsidRDefault="00E66ECD" w:rsidP="00E66ECD">
      <w:pPr>
        <w:keepNext/>
        <w:numPr>
          <w:ilvl w:val="0"/>
          <w:numId w:val="2"/>
        </w:numPr>
        <w:tabs>
          <w:tab w:val="num" w:pos="1980"/>
        </w:tabs>
        <w:spacing w:after="0" w:line="240" w:lineRule="auto"/>
        <w:ind w:right="-1"/>
        <w:outlineLvl w:val="1"/>
        <w:rPr>
          <w:rFonts w:ascii="Arial" w:eastAsia="Times New Roman" w:hAnsi="Arial" w:cs="Arial"/>
          <w:b/>
          <w:bCs/>
          <w:sz w:val="20"/>
          <w:szCs w:val="26"/>
          <w:lang w:val="es-ES" w:eastAsia="es-ES"/>
        </w:rPr>
      </w:pPr>
      <w:r w:rsidRPr="00E66ECD">
        <w:rPr>
          <w:rFonts w:ascii="Arial" w:eastAsia="Times New Roman" w:hAnsi="Arial" w:cs="Arial"/>
          <w:b/>
          <w:bCs/>
          <w:sz w:val="20"/>
          <w:szCs w:val="26"/>
          <w:lang w:val="es-ES" w:eastAsia="es-ES"/>
        </w:rPr>
        <w:t>PERSPECTIVAS</w:t>
      </w:r>
    </w:p>
    <w:p w:rsidR="00E66ECD" w:rsidRPr="00E66ECD" w:rsidRDefault="00E66ECD" w:rsidP="00E66ECD">
      <w:pPr>
        <w:spacing w:after="0" w:line="240" w:lineRule="auto"/>
        <w:ind w:right="-1"/>
        <w:rPr>
          <w:rFonts w:ascii="Arial" w:eastAsia="Times New Roman" w:hAnsi="Arial" w:cs="Arial"/>
          <w:sz w:val="24"/>
          <w:szCs w:val="24"/>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La Compañía se propone mantener y consolidar su presencia en el mercado de las telecomunicaciones para satisfacer la creciente demanda de productos y servicios principalmente asociados a la banda ancha y a la movilidad, centralizando su estrategia de negocios a largo plazo en actualizar las redes de sus subsidiarias para mejorar la calidad del servicio prestado a sus clientes e incrementar su penetración en el negocio de banda ancha fija y móvil, donde ve el mayor potencial para el crecimiento futuro.</w:t>
      </w: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La Fusión tiene por objeto posibilitar que Telecom Argentina S.A. en su carácter de sociedad fusionada  (“Sociedad Fusionada”) pueda ofrecer en forma eficiente, en línea con la tendencia tanto en el plano nacional como en el internacional, productos de convergencia tecnológica entre medios y telecomunicaciones de las distintas modalidades separadas o independientes de prestación de servicios de transmisión de voz, datos, sonido e imagen, tanto fijos como inalámbricos, en un único producto o series de productos a proveer a los usuarios como un todo para beneficio de los usuarios y consumidores de dichos múltiples servicios individuales. Asimismo, ambas sociedades consideraron que sus respectivas estructuras operativas y técnicas eran altamente complementarias y podrían ser optimizadas mediante una consolidación estructural, logrando sinergias y eficiencias en el desarrollo de los productos de convergencia que demandará el mercado. Sin dudas, la Fusión es el hito más trascendente de este año en materia de telecomunicaciones, que marca el inicio de una etapa de expansión, innovación tecnológica y desafíos inéditos en nuestro país.</w:t>
      </w: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Cabe destacar que durante el mes de junio la Fusión recibió la aprobación de la Secretaría de Comercio habiendo sido conformada por la CNV e inscripta ante la Inspección General de Justicia en el mes de agosto.</w:t>
      </w: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En muy poco tiempo se afianzó la integración de las estructuras financieras y operativas de las empresas fusionadas que se inició en enero, logrando fortalecer la posición de la nueva compañía en un mercado competitivo, así como sostener altos niveles de inversión para reconvertir y modernizar las redes, asegurando la calidad y continuidad de los servicios, a la altura de las exigencias de conectividad de nuestros clientes. </w:t>
      </w: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 xml:space="preserve">La Sociedad Fusionada se constituye como uno de los principales actores económicos del país con más de 30 millones de accesos de telefonía fija, móvil, Internet y TV paga. </w:t>
      </w: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En términos macroeconómicos, durante el ejercicio 2018 se acentuó la desaceleración en el crecimiento, debido principalmente a la sequía que afectó la zona agrícola central durante la mayor parte del año, repercutiendo en forma negativa en la actividad económica en todo el país. Esta situación sumada a política monetaria y fiscal más contractiva, provocó una caída en el nivel de actividad general.</w:t>
      </w:r>
    </w:p>
    <w:p w:rsidR="00E66ECD" w:rsidRPr="00E66ECD" w:rsidRDefault="00E66ECD" w:rsidP="00E66ECD">
      <w:pPr>
        <w:ind w:right="141"/>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br w:type="page"/>
      </w: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Uno de los factores de mayor incidencia en las variables económicas fue el aumento en los niveles de inflación, altas tasas de interés y depreciación del peso que afectó a la economía argentina principalmente durante el segundo semestre del año. Sin embargo, hay expectativas en el mercado de que esta situación se estabilice durante el primer semestre de 2019, considerando el acuerdo alcanzado por el gobierno con el Fondo Monetario Internacional y el desarrollo de nuevas medidas económicas tendientes a procurar credibilidad en los mercados y estabilidad cambiaria.</w:t>
      </w: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A pesar de transitar un contexto económico menos favorable, durante este ejercicio Telecom Argentina continuó reflejando niveles de crecimiento gracias a su buen desempeño operativo registrado durante los últimos años.</w:t>
      </w: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Por otro lado, conforme se mencionó con anterioridad, el 1º de enero de 2018, CVH anunció que había adquirido el control de TEO. Por otra parte, conforme a lo requerido por el régimen legal argentino, el 21 de junio de 2018 CVH promovió y formuló su OPA por cambio de control para la adquisición de las acciones clase B de TEO a un precio de Ps.110,85 por acción. Como parte del proceso administrativo de autorización de la OPA, la CNV confirió varias vistas a CVH en las cuales observó el precio ofrecido por CVH y sostuvo que el precio por acción clase B de TEO debía ser de US$. 4.8658 pagadero en pesos al tipo de cambio vigente al día hábil inmediatamente anterior al pago de la OPA. Toda vez que CVH considera que la posición de la CNV es infundada, CVH solicitó a la justicia el dictado de una medida cautelar, otorgada en noviembre de 2018, para así evitar el daño irreparable que le hubiera provocado el dictado de una resolución de CNV ordenando que CVH realizase la misma al precio mencionado.</w:t>
      </w: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426"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La Ley Nº 26.831 (conforme fuera enmendada por la Ley Nº 27.440 aprobada en mayo de 2018, la “Ley de Mercado de Capitales”) define que el precio mínimo para las OPAs obligatorias por cambio de control como el “mayor de” los dos precios descriptos debajo:</w:t>
      </w:r>
    </w:p>
    <w:p w:rsidR="00E66ECD" w:rsidRPr="00E66ECD" w:rsidRDefault="00E66ECD" w:rsidP="00E66ECD">
      <w:pPr>
        <w:autoSpaceDE w:val="0"/>
        <w:autoSpaceDN w:val="0"/>
        <w:adjustRightInd w:val="0"/>
        <w:spacing w:after="0" w:line="240" w:lineRule="auto"/>
        <w:ind w:left="426" w:right="141"/>
        <w:rPr>
          <w:rFonts w:ascii="Arial" w:eastAsia="Arial" w:hAnsi="Arial" w:cs="Arial"/>
          <w:sz w:val="24"/>
          <w:szCs w:val="24"/>
        </w:rPr>
      </w:pP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r w:rsidRPr="00E66ECD">
        <w:rPr>
          <w:rFonts w:ascii="Arial" w:eastAsia="Arial" w:hAnsi="Arial" w:cs="Arial"/>
          <w:sz w:val="20"/>
          <w:szCs w:val="20"/>
        </w:rPr>
        <w:t xml:space="preserve"> “a) El </w:t>
      </w:r>
      <w:r w:rsidRPr="00E66ECD">
        <w:rPr>
          <w:rFonts w:ascii="Arial" w:eastAsia="Arial" w:hAnsi="Arial" w:cs="Arial"/>
          <w:b/>
          <w:bCs/>
          <w:sz w:val="20"/>
          <w:szCs w:val="20"/>
        </w:rPr>
        <w:t xml:space="preserve">precio más elevado </w:t>
      </w:r>
      <w:r w:rsidRPr="00E66ECD">
        <w:rPr>
          <w:rFonts w:ascii="Arial" w:eastAsia="Arial" w:hAnsi="Arial" w:cs="Arial"/>
          <w:sz w:val="20"/>
          <w:szCs w:val="20"/>
        </w:rPr>
        <w:t>que el oferente o personas que actúen concertadamente con él hubieran pagado o acordado por los valores negociables objeto de la oferta durante los doce (12) meses previos a la fecha de comienzo del período durante el cual se debe realizar la oferta pública de adquisición; y</w:t>
      </w: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r w:rsidRPr="00E66ECD">
        <w:rPr>
          <w:rFonts w:ascii="Arial" w:eastAsia="Arial" w:hAnsi="Arial" w:cs="Arial"/>
          <w:sz w:val="20"/>
          <w:szCs w:val="20"/>
        </w:rPr>
        <w:t xml:space="preserve"> “b) El </w:t>
      </w:r>
      <w:r w:rsidRPr="00E66ECD">
        <w:rPr>
          <w:rFonts w:ascii="Arial" w:eastAsia="Arial" w:hAnsi="Arial" w:cs="Arial"/>
          <w:b/>
          <w:bCs/>
          <w:sz w:val="20"/>
          <w:szCs w:val="20"/>
        </w:rPr>
        <w:t xml:space="preserve">precio promedio </w:t>
      </w:r>
      <w:r w:rsidRPr="00E66ECD">
        <w:rPr>
          <w:rFonts w:ascii="Arial" w:eastAsia="Arial" w:hAnsi="Arial" w:cs="Arial"/>
          <w:sz w:val="20"/>
          <w:szCs w:val="20"/>
        </w:rPr>
        <w:t xml:space="preserve">de los valores negociables objeto de la oferta durante el semestre inmediatamente anterior a la fecha de anuncio de la operación por la cual se acuerde el cambio en la participación de control, cualquiera que sea el número de sesiones en que se hubieran negociado.” </w:t>
      </w: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p>
    <w:p w:rsidR="00E66ECD" w:rsidRPr="00E66ECD" w:rsidRDefault="00E66ECD" w:rsidP="00E66ECD">
      <w:pPr>
        <w:spacing w:after="0" w:line="240" w:lineRule="auto"/>
        <w:ind w:left="426" w:right="141"/>
        <w:jc w:val="both"/>
        <w:rPr>
          <w:rFonts w:ascii="Arial" w:eastAsia="Arial" w:hAnsi="Arial" w:cs="Arial"/>
          <w:sz w:val="20"/>
          <w:szCs w:val="20"/>
        </w:rPr>
      </w:pPr>
      <w:r w:rsidRPr="00E66ECD">
        <w:rPr>
          <w:rFonts w:ascii="Arial" w:eastAsia="Arial" w:hAnsi="Arial" w:cs="Arial"/>
          <w:sz w:val="20"/>
          <w:szCs w:val="20"/>
        </w:rPr>
        <w:t>CVH entiende que de acuerdo a la Ley de Mercado de Capitales ambos precios (el “precio más elevado” y el “precio promedio”) deben compararse al 1º de enero de 2018, dado que esa es la fecha en la cual (i) comienza el período durante el cual CVH debía promover y formular su OPA y (ii) CVH anunció la operación por la cual operó el cambio de control respecto de TEO. Por lo tanto, al 1º de enero de 2018:</w:t>
      </w: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4"/>
          <w:szCs w:val="24"/>
        </w:rPr>
      </w:pPr>
    </w:p>
    <w:p w:rsidR="00E66ECD" w:rsidRPr="00E66ECD" w:rsidRDefault="00E66ECD" w:rsidP="00E66ECD">
      <w:pPr>
        <w:autoSpaceDE w:val="0"/>
        <w:autoSpaceDN w:val="0"/>
        <w:adjustRightInd w:val="0"/>
        <w:spacing w:after="267" w:line="240" w:lineRule="auto"/>
        <w:ind w:left="426" w:right="141"/>
        <w:jc w:val="both"/>
        <w:rPr>
          <w:rFonts w:ascii="Arial" w:eastAsia="Arial" w:hAnsi="Arial" w:cs="Arial"/>
          <w:sz w:val="20"/>
          <w:szCs w:val="20"/>
        </w:rPr>
      </w:pPr>
      <w:r w:rsidRPr="00E66ECD">
        <w:rPr>
          <w:rFonts w:ascii="Arial" w:eastAsia="Arial" w:hAnsi="Arial" w:cs="Arial"/>
          <w:sz w:val="20"/>
          <w:szCs w:val="20"/>
        </w:rPr>
        <w:t xml:space="preserve"> (a) El “precio más elevado pagado” es de Ps. 91,35, siendo este el precio de US$ 4,8658 pagado bajo el contrato de opción de compra entre CVH y Fintech celebrado el 7 de julio de 2017, convertido el mismo a pesos argentinos a un tipo de cambio de 18,7742 pesos por dólar vigente al 29 de diciembre de 2017; y </w:t>
      </w:r>
    </w:p>
    <w:p w:rsidR="00855DC2" w:rsidRDefault="00E66ECD" w:rsidP="00E66ECD">
      <w:pPr>
        <w:autoSpaceDE w:val="0"/>
        <w:autoSpaceDN w:val="0"/>
        <w:adjustRightInd w:val="0"/>
        <w:spacing w:after="0" w:line="240" w:lineRule="auto"/>
        <w:ind w:left="426" w:right="141"/>
        <w:jc w:val="both"/>
        <w:rPr>
          <w:rFonts w:ascii="Arial" w:eastAsia="Arial" w:hAnsi="Arial" w:cs="Arial"/>
          <w:sz w:val="20"/>
          <w:szCs w:val="20"/>
        </w:rPr>
      </w:pPr>
      <w:r w:rsidRPr="00E66ECD">
        <w:rPr>
          <w:rFonts w:ascii="Arial" w:eastAsia="Arial" w:hAnsi="Arial" w:cs="Arial"/>
          <w:sz w:val="20"/>
          <w:szCs w:val="20"/>
        </w:rPr>
        <w:t xml:space="preserve"> </w:t>
      </w:r>
      <w:r w:rsidR="00855DC2">
        <w:rPr>
          <w:rFonts w:ascii="Arial" w:eastAsia="Arial" w:hAnsi="Arial" w:cs="Arial"/>
          <w:sz w:val="20"/>
          <w:szCs w:val="20"/>
        </w:rPr>
        <w:br w:type="page"/>
      </w: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r w:rsidRPr="00E66ECD">
        <w:rPr>
          <w:rFonts w:ascii="Arial" w:eastAsia="Arial" w:hAnsi="Arial" w:cs="Arial"/>
          <w:sz w:val="20"/>
          <w:szCs w:val="20"/>
        </w:rPr>
        <w:t xml:space="preserve">(b) El “precio promedio” es de Ps. 110,85 siendo este el precio promedio de cotización de las acciones clase B de TEO en Bolsas y Mercados Argentinos (“BYMA”) durante el semestre inmediatamente anterior al 1º de enero de 2018. </w:t>
      </w:r>
    </w:p>
    <w:p w:rsidR="00E66ECD" w:rsidRPr="00E66ECD" w:rsidRDefault="00E66ECD" w:rsidP="00E66ECD">
      <w:pPr>
        <w:autoSpaceDE w:val="0"/>
        <w:autoSpaceDN w:val="0"/>
        <w:adjustRightInd w:val="0"/>
        <w:spacing w:after="0" w:line="240" w:lineRule="auto"/>
        <w:ind w:left="426" w:right="141"/>
        <w:jc w:val="both"/>
        <w:rPr>
          <w:rFonts w:ascii="Arial" w:eastAsia="Arial" w:hAnsi="Arial" w:cs="Arial"/>
          <w:sz w:val="20"/>
          <w:szCs w:val="20"/>
        </w:rPr>
      </w:pPr>
    </w:p>
    <w:p w:rsidR="00E66ECD" w:rsidRPr="00E66ECD" w:rsidRDefault="00E66ECD" w:rsidP="00E66ECD">
      <w:pPr>
        <w:spacing w:after="0" w:line="240" w:lineRule="auto"/>
        <w:ind w:left="426" w:right="141"/>
        <w:jc w:val="both"/>
        <w:rPr>
          <w:rFonts w:ascii="Arial" w:eastAsia="Times New Roman" w:hAnsi="Arial" w:cs="Arial"/>
          <w:sz w:val="20"/>
          <w:szCs w:val="20"/>
          <w:lang w:val="es-ES" w:eastAsia="es-ES"/>
        </w:rPr>
      </w:pPr>
      <w:r w:rsidRPr="00E66ECD">
        <w:rPr>
          <w:rFonts w:ascii="Arial" w:eastAsia="Arial" w:hAnsi="Arial" w:cs="Arial"/>
          <w:sz w:val="20"/>
          <w:szCs w:val="20"/>
        </w:rPr>
        <w:t>Toda vez que el precio bajo el apartado (b) es mayor al calculado bajo el apartado (a), el precio que CVH debe ofrecer en su OPA es de Ps.110,85 por cada acción de TEO, ajustado por el monto de cualquier dividendo pagado por TEO.</w:t>
      </w:r>
    </w:p>
    <w:p w:rsidR="00E66ECD" w:rsidRPr="00E66ECD" w:rsidRDefault="00E66ECD" w:rsidP="00E66ECD">
      <w:pPr>
        <w:spacing w:after="0" w:line="240" w:lineRule="auto"/>
        <w:ind w:left="426"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left="397"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Por otra parte, el 8 de octubre de 2018 la Sociedad interpuso, como acción de fondo de la medida cautelar, una acción declarativa de certeza con el fin que se declare que la Sociedad promovió y formuló su OPA conforme a derecho y en un todo de acuerdo a la ley vigente.</w:t>
      </w: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p>
    <w:p w:rsidR="00E66ECD" w:rsidRPr="00E66ECD" w:rsidRDefault="00E66ECD" w:rsidP="00E66ECD">
      <w:pPr>
        <w:spacing w:after="0" w:line="240" w:lineRule="auto"/>
        <w:ind w:right="141"/>
        <w:jc w:val="both"/>
        <w:rPr>
          <w:rFonts w:ascii="Arial" w:eastAsia="Times New Roman" w:hAnsi="Arial" w:cs="Arial"/>
          <w:sz w:val="20"/>
          <w:szCs w:val="20"/>
          <w:lang w:val="es-ES" w:eastAsia="es-ES"/>
        </w:rPr>
      </w:pPr>
      <w:r w:rsidRPr="00E66ECD">
        <w:rPr>
          <w:rFonts w:ascii="Arial" w:eastAsia="Times New Roman" w:hAnsi="Arial" w:cs="Arial"/>
          <w:sz w:val="20"/>
          <w:szCs w:val="20"/>
          <w:lang w:val="es-ES" w:eastAsia="es-ES"/>
        </w:rPr>
        <w:t>Ciudad Autónoma de Buenos Aires, 11 de marzo de 2019.</w:t>
      </w:r>
      <w:r w:rsidRPr="00E66ECD">
        <w:rPr>
          <w:rFonts w:ascii="Arial" w:eastAsia="Times New Roman" w:hAnsi="Arial" w:cs="Arial"/>
          <w:sz w:val="20"/>
          <w:szCs w:val="20"/>
          <w:lang w:eastAsia="es-ES"/>
        </w:rPr>
        <w:tab/>
      </w:r>
    </w:p>
    <w:p w:rsidR="00E66ECD" w:rsidRPr="00E66ECD" w:rsidRDefault="00E66ECD" w:rsidP="00E66ECD">
      <w:pPr>
        <w:spacing w:after="0" w:line="240" w:lineRule="auto"/>
        <w:jc w:val="both"/>
        <w:rPr>
          <w:rFonts w:ascii="Arial" w:eastAsia="Times New Roman" w:hAnsi="Arial" w:cs="Arial"/>
          <w:sz w:val="20"/>
          <w:szCs w:val="20"/>
          <w:lang w:eastAsia="es-ES"/>
        </w:rPr>
      </w:pPr>
    </w:p>
    <w:p w:rsidR="004F4401" w:rsidRPr="00E66ECD" w:rsidRDefault="004F4401"/>
    <w:sectPr w:rsidR="004F4401" w:rsidRPr="00E66ECD" w:rsidSect="00E66ECD">
      <w:headerReference w:type="default" r:id="rId7"/>
      <w:footerReference w:type="default" r:id="rId8"/>
      <w:pgSz w:w="12240" w:h="15840"/>
      <w:pgMar w:top="1417" w:right="1325" w:bottom="1417" w:left="1418"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ECD" w:rsidRDefault="00E66ECD" w:rsidP="00E66ECD">
      <w:pPr>
        <w:spacing w:after="0" w:line="240" w:lineRule="auto"/>
      </w:pPr>
      <w:r>
        <w:separator/>
      </w:r>
    </w:p>
  </w:endnote>
  <w:endnote w:type="continuationSeparator" w:id="0">
    <w:p w:rsidR="00E66ECD" w:rsidRDefault="00E66ECD" w:rsidP="00E6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000" w:firstRow="0" w:lastRow="0" w:firstColumn="0" w:lastColumn="0" w:noHBand="0" w:noVBand="0"/>
    </w:tblPr>
    <w:tblGrid>
      <w:gridCol w:w="3402"/>
      <w:gridCol w:w="3438"/>
      <w:gridCol w:w="2880"/>
    </w:tblGrid>
    <w:tr w:rsidR="00E66ECD" w:rsidRPr="00E66ECD" w:rsidTr="00BD6BA7">
      <w:trPr>
        <w:trHeight w:val="425"/>
      </w:trPr>
      <w:tc>
        <w:tcPr>
          <w:tcW w:w="3402" w:type="dxa"/>
          <w:vAlign w:val="bottom"/>
        </w:tcPr>
        <w:p w:rsidR="00E66ECD" w:rsidRPr="00E66ECD" w:rsidRDefault="00E66ECD" w:rsidP="00E66ECD">
          <w:pPr>
            <w:spacing w:after="0" w:line="240" w:lineRule="auto"/>
            <w:jc w:val="center"/>
            <w:rPr>
              <w:rFonts w:ascii="Arial" w:eastAsia="Times New Roman" w:hAnsi="Arial" w:cs="Arial"/>
              <w:sz w:val="16"/>
              <w:szCs w:val="16"/>
              <w:lang w:eastAsia="es-ES"/>
            </w:rPr>
          </w:pPr>
          <w:r w:rsidRPr="00E66ECD">
            <w:rPr>
              <w:rFonts w:ascii="Arial" w:eastAsia="Times New Roman" w:hAnsi="Arial" w:cs="Arial"/>
              <w:sz w:val="16"/>
              <w:szCs w:val="16"/>
              <w:lang w:eastAsia="es-ES"/>
            </w:rPr>
            <w:t>Véase nuestro informe de fecha</w:t>
          </w:r>
        </w:p>
        <w:p w:rsidR="00E66ECD" w:rsidRPr="00E66ECD" w:rsidRDefault="00E66ECD" w:rsidP="00E66ECD">
          <w:pPr>
            <w:tabs>
              <w:tab w:val="left" w:pos="840"/>
              <w:tab w:val="center" w:pos="1478"/>
            </w:tabs>
            <w:spacing w:after="0" w:line="240" w:lineRule="auto"/>
            <w:jc w:val="center"/>
            <w:rPr>
              <w:rFonts w:ascii="Arial" w:eastAsia="Times New Roman" w:hAnsi="Arial" w:cs="Arial"/>
              <w:sz w:val="24"/>
              <w:szCs w:val="24"/>
              <w:lang w:eastAsia="es-ES"/>
            </w:rPr>
          </w:pPr>
          <w:r w:rsidRPr="00E66ECD">
            <w:rPr>
              <w:rFonts w:ascii="Arial" w:eastAsia="Times New Roman" w:hAnsi="Arial" w:cs="Arial"/>
              <w:sz w:val="16"/>
              <w:szCs w:val="16"/>
              <w:shd w:val="clear" w:color="auto" w:fill="FFFFFF"/>
              <w:lang w:eastAsia="es-ES"/>
            </w:rPr>
            <w:t>11 de marzo de 2019</w:t>
          </w:r>
        </w:p>
      </w:tc>
      <w:tc>
        <w:tcPr>
          <w:tcW w:w="3438" w:type="dxa"/>
        </w:tcPr>
        <w:p w:rsidR="00E66ECD" w:rsidRPr="00E66ECD" w:rsidRDefault="00E66ECD" w:rsidP="00E66ECD">
          <w:pPr>
            <w:spacing w:after="0" w:line="240" w:lineRule="auto"/>
            <w:rPr>
              <w:rFonts w:ascii="Arial" w:eastAsia="Times New Roman" w:hAnsi="Arial" w:cs="Arial"/>
              <w:sz w:val="16"/>
              <w:szCs w:val="24"/>
              <w:lang w:eastAsia="es-ES"/>
            </w:rPr>
          </w:pPr>
        </w:p>
      </w:tc>
      <w:tc>
        <w:tcPr>
          <w:tcW w:w="2880" w:type="dxa"/>
        </w:tcPr>
        <w:p w:rsidR="00E66ECD" w:rsidRPr="00E66ECD" w:rsidRDefault="00E66ECD" w:rsidP="00E66ECD">
          <w:pPr>
            <w:spacing w:after="0" w:line="240" w:lineRule="auto"/>
            <w:jc w:val="center"/>
            <w:rPr>
              <w:rFonts w:ascii="Arial" w:eastAsia="Times New Roman" w:hAnsi="Arial" w:cs="Arial"/>
              <w:sz w:val="16"/>
              <w:szCs w:val="24"/>
              <w:lang w:eastAsia="es-ES"/>
            </w:rPr>
          </w:pPr>
        </w:p>
      </w:tc>
    </w:tr>
    <w:tr w:rsidR="00E66ECD" w:rsidRPr="00E66ECD" w:rsidTr="00BD6BA7">
      <w:trPr>
        <w:trHeight w:val="654"/>
      </w:trPr>
      <w:tc>
        <w:tcPr>
          <w:tcW w:w="3402" w:type="dxa"/>
          <w:tcBorders>
            <w:top w:val="single" w:sz="6" w:space="0" w:color="auto"/>
          </w:tcBorders>
        </w:tcPr>
        <w:p w:rsidR="00E66ECD" w:rsidRPr="00E66ECD" w:rsidRDefault="00E66ECD" w:rsidP="00E66ECD">
          <w:pPr>
            <w:keepNext/>
            <w:spacing w:after="0" w:line="240" w:lineRule="auto"/>
            <w:jc w:val="center"/>
            <w:rPr>
              <w:rFonts w:ascii="Arial" w:eastAsia="Times New Roman" w:hAnsi="Arial" w:cs="Arial"/>
              <w:sz w:val="16"/>
              <w:szCs w:val="16"/>
              <w:lang w:val="en-US" w:eastAsia="es-ES"/>
            </w:rPr>
          </w:pPr>
          <w:r w:rsidRPr="00E66ECD">
            <w:rPr>
              <w:rFonts w:ascii="Arial" w:eastAsia="Times New Roman" w:hAnsi="Arial" w:cs="Arial"/>
              <w:sz w:val="16"/>
              <w:szCs w:val="16"/>
              <w:lang w:val="en-US" w:eastAsia="es-ES"/>
            </w:rPr>
            <w:t>PRICE WATERHOUSE &amp; CO. S.R.L.</w:t>
          </w:r>
        </w:p>
        <w:p w:rsidR="00E66ECD" w:rsidRPr="00E66ECD" w:rsidRDefault="00E66ECD" w:rsidP="00E66ECD">
          <w:pPr>
            <w:keepNext/>
            <w:spacing w:after="0" w:line="240" w:lineRule="auto"/>
            <w:rPr>
              <w:rFonts w:ascii="Arial" w:eastAsia="Times New Roman" w:hAnsi="Arial" w:cs="Arial"/>
              <w:sz w:val="16"/>
              <w:szCs w:val="16"/>
              <w:lang w:val="en-US" w:eastAsia="es-ES"/>
            </w:rPr>
          </w:pPr>
        </w:p>
        <w:p w:rsidR="00E66ECD" w:rsidRPr="00E66ECD" w:rsidRDefault="00E66ECD" w:rsidP="00E66ECD">
          <w:pPr>
            <w:keepNext/>
            <w:tabs>
              <w:tab w:val="right" w:pos="2750"/>
            </w:tabs>
            <w:spacing w:after="0" w:line="240" w:lineRule="auto"/>
            <w:jc w:val="right"/>
            <w:rPr>
              <w:rFonts w:ascii="Arial" w:eastAsia="Times New Roman" w:hAnsi="Arial" w:cs="Arial"/>
              <w:sz w:val="16"/>
              <w:szCs w:val="16"/>
              <w:lang w:val="es-ES" w:eastAsia="es-ES"/>
            </w:rPr>
          </w:pPr>
          <w:r w:rsidRPr="00E66ECD">
            <w:rPr>
              <w:rFonts w:ascii="Arial" w:eastAsia="Times New Roman" w:hAnsi="Arial" w:cs="Arial"/>
              <w:sz w:val="16"/>
              <w:szCs w:val="16"/>
              <w:lang w:val="es-ES" w:eastAsia="es-ES"/>
            </w:rPr>
            <w:t>(Socio)</w:t>
          </w:r>
        </w:p>
      </w:tc>
      <w:tc>
        <w:tcPr>
          <w:tcW w:w="3438" w:type="dxa"/>
        </w:tcPr>
        <w:p w:rsidR="00E66ECD" w:rsidRPr="00E66ECD" w:rsidRDefault="00E66ECD" w:rsidP="00E66ECD">
          <w:pPr>
            <w:spacing w:after="0" w:line="240" w:lineRule="auto"/>
            <w:jc w:val="center"/>
            <w:rPr>
              <w:rFonts w:ascii="Arial" w:eastAsia="Times New Roman" w:hAnsi="Arial" w:cs="Arial"/>
              <w:sz w:val="16"/>
              <w:szCs w:val="16"/>
              <w:lang w:val="es-ES" w:eastAsia="es-ES"/>
            </w:rPr>
          </w:pPr>
        </w:p>
        <w:p w:rsidR="00E66ECD" w:rsidRPr="00E66ECD" w:rsidRDefault="00E66ECD" w:rsidP="00E66ECD">
          <w:pPr>
            <w:spacing w:after="0" w:line="240" w:lineRule="auto"/>
            <w:jc w:val="center"/>
            <w:rPr>
              <w:rFonts w:ascii="Arial" w:eastAsia="Times New Roman" w:hAnsi="Arial" w:cs="Arial"/>
              <w:sz w:val="16"/>
              <w:szCs w:val="16"/>
              <w:lang w:val="es-ES" w:eastAsia="es-ES"/>
            </w:rPr>
          </w:pPr>
        </w:p>
      </w:tc>
      <w:tc>
        <w:tcPr>
          <w:tcW w:w="2880" w:type="dxa"/>
        </w:tcPr>
        <w:p w:rsidR="00E66ECD" w:rsidRPr="00E66ECD" w:rsidRDefault="00E66ECD" w:rsidP="00E66ECD">
          <w:pPr>
            <w:spacing w:after="0" w:line="240" w:lineRule="auto"/>
            <w:jc w:val="center"/>
            <w:rPr>
              <w:rFonts w:ascii="Arial" w:eastAsia="Times New Roman" w:hAnsi="Arial" w:cs="Arial"/>
              <w:sz w:val="18"/>
              <w:szCs w:val="24"/>
              <w:u w:val="single"/>
              <w:lang w:val="es-ES" w:eastAsia="es-ES"/>
            </w:rPr>
          </w:pPr>
        </w:p>
        <w:p w:rsidR="00E66ECD" w:rsidRPr="00E66ECD" w:rsidRDefault="00E66ECD" w:rsidP="00E66ECD">
          <w:pPr>
            <w:spacing w:after="0" w:line="240" w:lineRule="auto"/>
            <w:jc w:val="center"/>
            <w:rPr>
              <w:rFonts w:ascii="Arial" w:eastAsia="Times New Roman" w:hAnsi="Arial" w:cs="Arial"/>
              <w:sz w:val="18"/>
              <w:szCs w:val="24"/>
              <w:lang w:val="es-ES" w:eastAsia="es-ES"/>
            </w:rPr>
          </w:pPr>
          <w:r w:rsidRPr="00E66ECD">
            <w:rPr>
              <w:rFonts w:ascii="Arial" w:eastAsia="Times New Roman" w:hAnsi="Arial" w:cs="Arial"/>
              <w:sz w:val="18"/>
              <w:szCs w:val="24"/>
              <w:lang w:val="es-ES" w:eastAsia="es-ES"/>
            </w:rPr>
            <w:t>Sebastián Bardengo</w:t>
          </w:r>
        </w:p>
        <w:p w:rsidR="00E66ECD" w:rsidRPr="00E66ECD" w:rsidRDefault="00E66ECD" w:rsidP="00E66ECD">
          <w:pPr>
            <w:spacing w:after="0" w:line="240" w:lineRule="auto"/>
            <w:jc w:val="center"/>
            <w:rPr>
              <w:rFonts w:ascii="Arial" w:eastAsia="Times New Roman" w:hAnsi="Arial" w:cs="Arial"/>
              <w:sz w:val="18"/>
              <w:szCs w:val="24"/>
              <w:u w:val="single"/>
              <w:lang w:val="es-ES" w:eastAsia="es-ES"/>
            </w:rPr>
          </w:pPr>
          <w:r w:rsidRPr="00E66ECD">
            <w:rPr>
              <w:rFonts w:ascii="Arial" w:eastAsia="Times New Roman" w:hAnsi="Arial" w:cs="Arial"/>
              <w:sz w:val="16"/>
              <w:szCs w:val="16"/>
              <w:u w:val="single"/>
              <w:lang w:val="es-ES" w:eastAsia="es-ES"/>
            </w:rPr>
            <w:t>Presidente</w:t>
          </w:r>
        </w:p>
      </w:tc>
    </w:tr>
    <w:tr w:rsidR="00E66ECD" w:rsidRPr="00E66ECD" w:rsidTr="00BD6BA7">
      <w:trPr>
        <w:trHeight w:hRule="exact" w:val="365"/>
      </w:trPr>
      <w:tc>
        <w:tcPr>
          <w:tcW w:w="3402" w:type="dxa"/>
          <w:tcBorders>
            <w:top w:val="single" w:sz="6" w:space="0" w:color="auto"/>
          </w:tcBorders>
          <w:vAlign w:val="center"/>
        </w:tcPr>
        <w:p w:rsidR="00E66ECD" w:rsidRPr="00E66ECD" w:rsidRDefault="00E66ECD" w:rsidP="00E66ECD">
          <w:pPr>
            <w:tabs>
              <w:tab w:val="left" w:pos="-1440"/>
              <w:tab w:val="left" w:pos="-720"/>
              <w:tab w:val="left" w:pos="0"/>
              <w:tab w:val="left" w:pos="432"/>
              <w:tab w:val="left" w:pos="720"/>
            </w:tabs>
            <w:spacing w:after="0" w:line="240" w:lineRule="auto"/>
            <w:jc w:val="center"/>
            <w:rPr>
              <w:rFonts w:ascii="Arial" w:eastAsia="Times New Roman" w:hAnsi="Arial" w:cs="Arial"/>
              <w:color w:val="0000FF"/>
              <w:sz w:val="12"/>
              <w:szCs w:val="12"/>
              <w:lang w:val="es-ES" w:eastAsia="es-ES"/>
            </w:rPr>
          </w:pPr>
          <w:r w:rsidRPr="00E66ECD">
            <w:rPr>
              <w:rFonts w:ascii="Arial" w:eastAsia="Times New Roman" w:hAnsi="Arial" w:cs="Arial"/>
              <w:sz w:val="12"/>
              <w:szCs w:val="12"/>
              <w:lang w:eastAsia="es-ES"/>
            </w:rPr>
            <w:t>C.P.C.E.C.A.B.A. T°1 F°17</w:t>
          </w:r>
          <w:r w:rsidRPr="00E66ECD">
            <w:rPr>
              <w:rFonts w:ascii="Arial" w:eastAsia="Times New Roman" w:hAnsi="Arial" w:cs="Arial"/>
              <w:color w:val="0000FF"/>
              <w:sz w:val="12"/>
              <w:szCs w:val="12"/>
              <w:lang w:val="es-ES" w:eastAsia="es-ES"/>
            </w:rPr>
            <w:t xml:space="preserve"> </w:t>
          </w:r>
        </w:p>
        <w:p w:rsidR="00E66ECD" w:rsidRPr="00E66ECD" w:rsidRDefault="00E66ECD" w:rsidP="00E66ECD">
          <w:pPr>
            <w:keepNext/>
            <w:keepLines/>
            <w:spacing w:after="0" w:line="240" w:lineRule="auto"/>
            <w:jc w:val="center"/>
            <w:rPr>
              <w:rFonts w:ascii="Arial" w:eastAsia="Times New Roman" w:hAnsi="Arial" w:cs="Arial"/>
              <w:sz w:val="24"/>
              <w:szCs w:val="24"/>
              <w:lang w:eastAsia="es-ES"/>
            </w:rPr>
          </w:pPr>
        </w:p>
      </w:tc>
      <w:tc>
        <w:tcPr>
          <w:tcW w:w="3438" w:type="dxa"/>
        </w:tcPr>
        <w:p w:rsidR="00E66ECD" w:rsidRPr="00E66ECD" w:rsidRDefault="00E66ECD" w:rsidP="00E66ECD">
          <w:pPr>
            <w:spacing w:after="0" w:line="240" w:lineRule="auto"/>
            <w:jc w:val="center"/>
            <w:rPr>
              <w:rFonts w:ascii="Arial" w:eastAsia="Times New Roman" w:hAnsi="Arial" w:cs="Arial"/>
              <w:sz w:val="14"/>
              <w:szCs w:val="24"/>
              <w:lang w:eastAsia="es-ES"/>
            </w:rPr>
          </w:pPr>
        </w:p>
      </w:tc>
      <w:tc>
        <w:tcPr>
          <w:tcW w:w="2880" w:type="dxa"/>
        </w:tcPr>
        <w:p w:rsidR="00E66ECD" w:rsidRPr="00E66ECD" w:rsidRDefault="00E66ECD" w:rsidP="00E66ECD">
          <w:pPr>
            <w:spacing w:after="0" w:line="240" w:lineRule="auto"/>
            <w:jc w:val="right"/>
            <w:rPr>
              <w:rFonts w:ascii="Arial" w:eastAsia="Times New Roman" w:hAnsi="Arial" w:cs="Arial"/>
              <w:sz w:val="18"/>
              <w:szCs w:val="18"/>
              <w:highlight w:val="yellow"/>
              <w:u w:val="single"/>
              <w:lang w:eastAsia="es-ES"/>
            </w:rPr>
          </w:pPr>
        </w:p>
      </w:tc>
    </w:tr>
    <w:tr w:rsidR="00E66ECD" w:rsidRPr="00E66ECD" w:rsidTr="00BD6BA7">
      <w:trPr>
        <w:trHeight w:val="321"/>
      </w:trPr>
      <w:tc>
        <w:tcPr>
          <w:tcW w:w="3402" w:type="dxa"/>
        </w:tcPr>
        <w:p w:rsidR="00E66ECD" w:rsidRPr="00E66ECD" w:rsidRDefault="00E66ECD" w:rsidP="00E66ECD">
          <w:pPr>
            <w:spacing w:after="0" w:line="240" w:lineRule="auto"/>
            <w:jc w:val="center"/>
            <w:rPr>
              <w:rFonts w:ascii="Arial" w:eastAsia="Times New Roman" w:hAnsi="Arial" w:cs="Arial"/>
              <w:sz w:val="14"/>
              <w:szCs w:val="24"/>
              <w:lang w:eastAsia="es-ES"/>
            </w:rPr>
          </w:pPr>
        </w:p>
      </w:tc>
      <w:tc>
        <w:tcPr>
          <w:tcW w:w="3438" w:type="dxa"/>
          <w:vAlign w:val="center"/>
        </w:tcPr>
        <w:p w:rsidR="00E66ECD" w:rsidRPr="00E66ECD" w:rsidRDefault="00E66ECD" w:rsidP="00E66ECD">
          <w:pPr>
            <w:spacing w:after="0" w:line="240" w:lineRule="auto"/>
            <w:jc w:val="center"/>
            <w:rPr>
              <w:rFonts w:ascii="Arial" w:eastAsia="Times New Roman" w:hAnsi="Arial" w:cs="Arial"/>
              <w:sz w:val="16"/>
              <w:szCs w:val="16"/>
              <w:lang w:val="es-ES" w:eastAsia="es-ES"/>
            </w:rPr>
          </w:pPr>
        </w:p>
      </w:tc>
      <w:tc>
        <w:tcPr>
          <w:tcW w:w="2880" w:type="dxa"/>
        </w:tcPr>
        <w:p w:rsidR="00E66ECD" w:rsidRPr="00E66ECD" w:rsidRDefault="00E66ECD" w:rsidP="00E66ECD">
          <w:pPr>
            <w:spacing w:after="0" w:line="240" w:lineRule="auto"/>
            <w:jc w:val="center"/>
            <w:rPr>
              <w:rFonts w:ascii="Arial" w:eastAsia="Times New Roman" w:hAnsi="Arial" w:cs="Arial"/>
              <w:sz w:val="14"/>
              <w:szCs w:val="24"/>
              <w:highlight w:val="yellow"/>
              <w:lang w:val="es-ES" w:eastAsia="es-ES"/>
            </w:rPr>
          </w:pPr>
        </w:p>
      </w:tc>
    </w:tr>
  </w:tbl>
  <w:p w:rsidR="00E66ECD" w:rsidRDefault="00E66EC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ECD" w:rsidRDefault="00E66ECD" w:rsidP="00E66ECD">
      <w:pPr>
        <w:spacing w:after="0" w:line="240" w:lineRule="auto"/>
      </w:pPr>
      <w:r>
        <w:separator/>
      </w:r>
    </w:p>
  </w:footnote>
  <w:footnote w:type="continuationSeparator" w:id="0">
    <w:p w:rsidR="00E66ECD" w:rsidRDefault="00E66ECD" w:rsidP="00E66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ECD" w:rsidRPr="005D4E29" w:rsidRDefault="00E66ECD" w:rsidP="00E66ECD">
    <w:pPr>
      <w:pStyle w:val="Encabezado"/>
      <w:rPr>
        <w:rFonts w:ascii="Arial" w:hAnsi="Arial" w:cs="Arial"/>
        <w:b/>
        <w:sz w:val="20"/>
        <w:szCs w:val="20"/>
        <w:lang w:val="es-MX"/>
      </w:rPr>
    </w:pPr>
    <w:r w:rsidRPr="005D4E29">
      <w:rPr>
        <w:rFonts w:ascii="Arial" w:hAnsi="Arial" w:cs="Arial"/>
        <w:b/>
        <w:sz w:val="20"/>
        <w:szCs w:val="20"/>
        <w:lang w:val="es-MX"/>
      </w:rPr>
      <w:t>CABLEVISIÓN HOLDING S.A.</w:t>
    </w:r>
  </w:p>
  <w:p w:rsidR="00E66ECD" w:rsidRPr="005D4E29" w:rsidRDefault="00E66ECD" w:rsidP="00E66ECD">
    <w:pPr>
      <w:pStyle w:val="Encabezado"/>
      <w:rPr>
        <w:rFonts w:ascii="Arial" w:hAnsi="Arial" w:cs="Arial"/>
        <w:sz w:val="20"/>
        <w:szCs w:val="20"/>
        <w:lang w:val="es-MX"/>
      </w:rPr>
    </w:pPr>
    <w:r w:rsidRPr="005D4E29">
      <w:rPr>
        <w:rFonts w:ascii="Arial" w:hAnsi="Arial" w:cs="Arial"/>
        <w:sz w:val="20"/>
        <w:szCs w:val="20"/>
        <w:lang w:val="es-MX"/>
      </w:rPr>
      <w:t>Número correlativo ante IGJ: 1.908.463</w:t>
    </w:r>
  </w:p>
  <w:p w:rsidR="00E66ECD" w:rsidRPr="00E66ECD" w:rsidRDefault="00E66ECD">
    <w:pPr>
      <w:pStyle w:val="Encabezado"/>
      <w:rPr>
        <w:lang w:val="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C7E5E"/>
    <w:multiLevelType w:val="hybridMultilevel"/>
    <w:tmpl w:val="35E4BDD4"/>
    <w:lvl w:ilvl="0" w:tplc="1E24A4BE">
      <w:start w:val="1"/>
      <w:numFmt w:val="decimal"/>
      <w:lvlText w:val="%1."/>
      <w:lvlJc w:val="left"/>
      <w:pPr>
        <w:ind w:left="720" w:hanging="360"/>
      </w:pPr>
      <w:rPr>
        <w:rFonts w:hint="default"/>
        <w:b/>
        <w:color w:val="auto"/>
        <w:sz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9BA4613"/>
    <w:multiLevelType w:val="hybridMultilevel"/>
    <w:tmpl w:val="17766D02"/>
    <w:lvl w:ilvl="0" w:tplc="5FA84B46">
      <w:start w:val="1"/>
      <w:numFmt w:val="lowerRoman"/>
      <w:lvlText w:val="(%1)"/>
      <w:lvlJc w:val="left"/>
      <w:pPr>
        <w:ind w:left="960" w:hanging="360"/>
      </w:pPr>
      <w:rPr>
        <w:rFonts w:hint="default"/>
      </w:rPr>
    </w:lvl>
    <w:lvl w:ilvl="1" w:tplc="2C0A0019" w:tentative="1">
      <w:start w:val="1"/>
      <w:numFmt w:val="lowerLetter"/>
      <w:lvlText w:val="%2."/>
      <w:lvlJc w:val="left"/>
      <w:pPr>
        <w:ind w:left="1680" w:hanging="360"/>
      </w:pPr>
    </w:lvl>
    <w:lvl w:ilvl="2" w:tplc="2C0A001B" w:tentative="1">
      <w:start w:val="1"/>
      <w:numFmt w:val="lowerRoman"/>
      <w:lvlText w:val="%3."/>
      <w:lvlJc w:val="right"/>
      <w:pPr>
        <w:ind w:left="2400" w:hanging="180"/>
      </w:p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abstractNum w:abstractNumId="2" w15:restartNumberingAfterBreak="0">
    <w:nsid w:val="5B365DC1"/>
    <w:multiLevelType w:val="multilevel"/>
    <w:tmpl w:val="B59E0A1C"/>
    <w:lvl w:ilvl="0">
      <w:start w:val="2"/>
      <w:numFmt w:val="decimal"/>
      <w:lvlText w:val="%1."/>
      <w:lvlJc w:val="left"/>
      <w:pPr>
        <w:tabs>
          <w:tab w:val="num" w:pos="357"/>
        </w:tabs>
        <w:ind w:left="357" w:hanging="35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Roman"/>
      <w:lvlText w:val="%3."/>
      <w:lvlJc w:val="lef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left"/>
      <w:pPr>
        <w:tabs>
          <w:tab w:val="num" w:pos="2381"/>
        </w:tabs>
        <w:ind w:left="2382" w:hanging="397"/>
      </w:pPr>
      <w:rPr>
        <w:rFonts w:cs="Times New Roman" w:hint="default"/>
      </w:rPr>
    </w:lvl>
    <w:lvl w:ilvl="6">
      <w:start w:val="1"/>
      <w:numFmt w:val="decimal"/>
      <w:lvlText w:val="%7."/>
      <w:lvlJc w:val="left"/>
      <w:pPr>
        <w:tabs>
          <w:tab w:val="num" w:pos="2778"/>
        </w:tabs>
        <w:ind w:left="2779" w:hanging="397"/>
      </w:pPr>
      <w:rPr>
        <w:rFonts w:cs="Times New Roman" w:hint="default"/>
      </w:rPr>
    </w:lvl>
    <w:lvl w:ilvl="7">
      <w:start w:val="1"/>
      <w:numFmt w:val="lowerLetter"/>
      <w:lvlText w:val="%8."/>
      <w:lvlJc w:val="left"/>
      <w:pPr>
        <w:tabs>
          <w:tab w:val="num" w:pos="3175"/>
        </w:tabs>
        <w:ind w:left="3176" w:hanging="397"/>
      </w:pPr>
      <w:rPr>
        <w:rFonts w:cs="Times New Roman" w:hint="default"/>
      </w:rPr>
    </w:lvl>
    <w:lvl w:ilvl="8">
      <w:start w:val="1"/>
      <w:numFmt w:val="lowerRoman"/>
      <w:lvlText w:val="%9."/>
      <w:lvlJc w:val="left"/>
      <w:pPr>
        <w:tabs>
          <w:tab w:val="num" w:pos="3572"/>
        </w:tabs>
        <w:ind w:left="3573" w:hanging="397"/>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readOnly" w:enforcement="1" w:cryptProviderType="rsaAES" w:cryptAlgorithmClass="hash" w:cryptAlgorithmType="typeAny" w:cryptAlgorithmSid="14" w:cryptSpinCount="100000" w:hash="16bup7dF2763snNcI4aMY17Yl58r6crg2hRlrvAhGSAzcwIVR6CssbUUVYKtMIX/pHgGKPu6nX3ITh7XpIlg+A==" w:salt="kv8nU9L51w7Vy2IKxT9QU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CD"/>
    <w:rsid w:val="0011223F"/>
    <w:rsid w:val="004F4401"/>
    <w:rsid w:val="00734E20"/>
    <w:rsid w:val="00855DC2"/>
    <w:rsid w:val="00E66E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5F05146-65F7-43D2-A3C7-44A7AAF8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66ECD"/>
    <w:pPr>
      <w:tabs>
        <w:tab w:val="center" w:pos="4419"/>
        <w:tab w:val="right" w:pos="8838"/>
      </w:tabs>
      <w:spacing w:after="0" w:line="240" w:lineRule="auto"/>
    </w:pPr>
  </w:style>
  <w:style w:type="character" w:customStyle="1" w:styleId="EncabezadoCar">
    <w:name w:val="Encabezado Car"/>
    <w:basedOn w:val="Fuentedeprrafopredeter"/>
    <w:link w:val="Encabezado"/>
    <w:rsid w:val="00E66ECD"/>
  </w:style>
  <w:style w:type="paragraph" w:styleId="Piedepgina">
    <w:name w:val="footer"/>
    <w:basedOn w:val="Normal"/>
    <w:link w:val="PiedepginaCar"/>
    <w:uiPriority w:val="99"/>
    <w:unhideWhenUsed/>
    <w:rsid w:val="00E66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2254</Words>
  <Characters>12398</Characters>
  <Application>Microsoft Office Word</Application>
  <DocSecurity>12</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Gestion Compartida S.A</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Ojeda Riveros Laura Isabel</dc:creator>
  <cp:keywords/>
  <dc:description/>
  <cp:lastModifiedBy>Martin Rios</cp:lastModifiedBy>
  <cp:revision>2</cp:revision>
  <dcterms:created xsi:type="dcterms:W3CDTF">2019-03-11T23:59:00Z</dcterms:created>
  <dcterms:modified xsi:type="dcterms:W3CDTF">2019-03-11T23:59:00Z</dcterms:modified>
</cp:coreProperties>
</file>