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E6786" w14:textId="5D6C39DE" w:rsidR="00354069" w:rsidRPr="00CA0A60" w:rsidRDefault="00354069" w:rsidP="003828A9">
      <w:pPr>
        <w:widowControl w:val="0"/>
        <w:spacing w:after="0" w:line="240" w:lineRule="auto"/>
        <w:ind w:left="1418" w:hanging="1418"/>
        <w:jc w:val="both"/>
        <w:rPr>
          <w:rFonts w:ascii="Garamond" w:eastAsia="MS Mincho" w:hAnsi="Garamond" w:cs="Times New Roman"/>
          <w:b/>
          <w:color w:val="FF0000"/>
          <w:sz w:val="20"/>
          <w:szCs w:val="20"/>
          <w:lang w:val="es-AR" w:eastAsia="es-ES"/>
        </w:rPr>
      </w:pPr>
      <w:r w:rsidRPr="00CA0A60">
        <w:rPr>
          <w:rFonts w:ascii="Garamond" w:hAnsi="Garamond" w:cs="Times New Roman"/>
          <w:noProof/>
          <w:color w:val="FF0000"/>
          <w:sz w:val="24"/>
          <w:szCs w:val="24"/>
          <w:lang w:val="es-AR" w:eastAsia="es-AR"/>
        </w:rPr>
        <mc:AlternateContent>
          <mc:Choice Requires="wps">
            <w:drawing>
              <wp:anchor distT="0" distB="0" distL="114300" distR="114300" simplePos="0" relativeHeight="251659264" behindDoc="0" locked="0" layoutInCell="1" allowOverlap="1" wp14:anchorId="00674839" wp14:editId="02EDA5DB">
                <wp:simplePos x="0" y="0"/>
                <wp:positionH relativeFrom="column">
                  <wp:posOffset>-651378</wp:posOffset>
                </wp:positionH>
                <wp:positionV relativeFrom="paragraph">
                  <wp:posOffset>25481</wp:posOffset>
                </wp:positionV>
                <wp:extent cx="610870" cy="10121826"/>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10121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A6659" w14:textId="77777777" w:rsidR="00845D78" w:rsidRDefault="00845D78" w:rsidP="00354069">
                            <w:pPr>
                              <w:jc w:val="both"/>
                              <w:rPr>
                                <w:lang w:val="es-MX"/>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674839" id="_x0000_t202" coordsize="21600,21600" o:spt="202" path="m,l,21600r21600,l21600,xe">
                <v:stroke joinstyle="miter"/>
                <v:path gradientshapeok="t" o:connecttype="rect"/>
              </v:shapetype>
              <v:shape id="Cuadro de texto 3" o:spid="_x0000_s1026" type="#_x0000_t202" style="position:absolute;left:0;text-align:left;margin-left:-51.3pt;margin-top:2pt;width:48.1pt;height:7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" filled="f" stroked="f">
                <v:textbox style="layout-flow:vertical;mso-layout-flow-alt:bottom-to-top">
                  <w:txbxContent>
                    <w:p w14:paraId="672A6659" w14:textId="77777777" w:rsidR="00845D78" w:rsidRDefault="00845D78" w:rsidP="00354069">
                      <w:pPr>
                        <w:jc w:val="both"/>
                        <w:rPr>
                          <w:lang w:val="es-MX"/>
                        </w:rPr>
                      </w:pPr>
                    </w:p>
                  </w:txbxContent>
                </v:textbox>
              </v:shape>
            </w:pict>
          </mc:Fallback>
        </mc:AlternateContent>
      </w:r>
      <w:r w:rsidRPr="00713D6E">
        <w:rPr>
          <w:rFonts w:ascii="Garamond" w:eastAsia="MS Mincho" w:hAnsi="Garamond" w:cs="Times New Roman"/>
          <w:b/>
          <w:color w:val="FF0000"/>
          <w:sz w:val="20"/>
          <w:szCs w:val="20"/>
          <w:lang w:val="es-AR" w:eastAsia="es-ES"/>
        </w:rPr>
        <w:t>SUPLEMENTO DE PROSPECTO</w:t>
      </w:r>
      <w:bookmarkStart w:id="0" w:name="_GoBack"/>
      <w:bookmarkEnd w:id="0"/>
    </w:p>
    <w:p w14:paraId="02EB378F" w14:textId="77777777" w:rsidR="00354069" w:rsidRPr="00CA3A3D" w:rsidRDefault="00354069" w:rsidP="00354069">
      <w:pPr>
        <w:widowControl w:val="0"/>
        <w:spacing w:after="0" w:line="240" w:lineRule="auto"/>
        <w:jc w:val="center"/>
        <w:rPr>
          <w:rFonts w:ascii="Garamond" w:eastAsia="MS Mincho" w:hAnsi="Garamond" w:cs="Times New Roman"/>
          <w:noProof/>
          <w:sz w:val="24"/>
          <w:szCs w:val="20"/>
          <w:lang w:val="es-AR" w:eastAsia="es-ES"/>
        </w:rPr>
      </w:pPr>
      <w:r w:rsidRPr="00713D6E">
        <w:rPr>
          <w:rFonts w:ascii="Garamond" w:eastAsia="MS Mincho" w:hAnsi="Garamond" w:cs="Times New Roman"/>
          <w:noProof/>
          <w:sz w:val="24"/>
          <w:szCs w:val="20"/>
          <w:lang w:val="es-AR" w:eastAsia="es-AR"/>
        </w:rPr>
        <w:drawing>
          <wp:inline distT="0" distB="0" distL="0" distR="0" wp14:anchorId="618CB2C4" wp14:editId="6DB2E3EC">
            <wp:extent cx="2169601" cy="489740"/>
            <wp:effectExtent l="0" t="0" r="254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l="5070" t="20356" r="4053" b="25533"/>
                    <a:stretch/>
                  </pic:blipFill>
                  <pic:spPr bwMode="auto">
                    <a:xfrm>
                      <a:off x="0" y="0"/>
                      <a:ext cx="2276799" cy="513938"/>
                    </a:xfrm>
                    <a:prstGeom prst="rect">
                      <a:avLst/>
                    </a:prstGeom>
                    <a:noFill/>
                    <a:ln>
                      <a:noFill/>
                    </a:ln>
                    <a:extLst>
                      <a:ext uri="{53640926-AAD7-44D8-BBD7-CCE9431645EC}">
                        <a14:shadowObscured xmlns:a14="http://schemas.microsoft.com/office/drawing/2010/main"/>
                      </a:ext>
                    </a:extLst>
                  </pic:spPr>
                </pic:pic>
              </a:graphicData>
            </a:graphic>
          </wp:inline>
        </w:drawing>
      </w:r>
      <w:r w:rsidRPr="00CA3A3D">
        <w:rPr>
          <w:rFonts w:ascii="Garamond" w:eastAsia="MS Mincho" w:hAnsi="Garamond" w:cs="Times New Roman"/>
          <w:noProof/>
          <w:sz w:val="24"/>
          <w:szCs w:val="20"/>
          <w:lang w:val="es-AR" w:eastAsia="es-ES"/>
        </w:rPr>
        <w:tab/>
      </w:r>
      <w:r w:rsidRPr="00CA3A3D">
        <w:rPr>
          <w:rFonts w:ascii="Garamond" w:eastAsia="MS Mincho" w:hAnsi="Garamond" w:cs="Times New Roman"/>
          <w:noProof/>
          <w:sz w:val="24"/>
          <w:szCs w:val="20"/>
          <w:lang w:val="es-AR" w:eastAsia="es-ES"/>
        </w:rPr>
        <w:tab/>
      </w:r>
      <w:r w:rsidRPr="00CA3A3D">
        <w:rPr>
          <w:rFonts w:ascii="Garamond" w:eastAsia="MS Mincho" w:hAnsi="Garamond" w:cs="Times New Roman"/>
          <w:noProof/>
          <w:sz w:val="24"/>
          <w:szCs w:val="20"/>
          <w:lang w:val="es-AR" w:eastAsia="es-ES"/>
        </w:rPr>
        <w:tab/>
      </w:r>
      <w:r w:rsidRPr="00CA0A60">
        <w:rPr>
          <w:rFonts w:ascii="Garamond" w:eastAsia="MS Mincho" w:hAnsi="Garamond" w:cs="Times New Roman"/>
          <w:noProof/>
          <w:sz w:val="24"/>
          <w:szCs w:val="20"/>
          <w:lang w:val="es-AR" w:eastAsia="es-AR"/>
        </w:rPr>
        <w:drawing>
          <wp:inline distT="0" distB="0" distL="0" distR="0" wp14:anchorId="02DEB52C" wp14:editId="34D903C5">
            <wp:extent cx="1949514" cy="5565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992" t="5229" r="7089" b="8716"/>
                    <a:stretch/>
                  </pic:blipFill>
                  <pic:spPr bwMode="auto">
                    <a:xfrm>
                      <a:off x="0" y="0"/>
                      <a:ext cx="1949514" cy="556565"/>
                    </a:xfrm>
                    <a:prstGeom prst="rect">
                      <a:avLst/>
                    </a:prstGeom>
                    <a:noFill/>
                    <a:ln>
                      <a:noFill/>
                    </a:ln>
                    <a:extLst>
                      <a:ext uri="{53640926-AAD7-44D8-BBD7-CCE9431645EC}">
                        <a14:shadowObscured xmlns:a14="http://schemas.microsoft.com/office/drawing/2010/main"/>
                      </a:ext>
                    </a:extLst>
                  </pic:spPr>
                </pic:pic>
              </a:graphicData>
            </a:graphic>
          </wp:inline>
        </w:drawing>
      </w:r>
    </w:p>
    <w:p w14:paraId="6A05A809" w14:textId="77777777" w:rsidR="00354069" w:rsidRPr="00713D6E" w:rsidRDefault="00B04236" w:rsidP="00354069">
      <w:pPr>
        <w:widowControl w:val="0"/>
        <w:spacing w:after="60" w:line="240" w:lineRule="auto"/>
        <w:jc w:val="center"/>
        <w:rPr>
          <w:rFonts w:ascii="Garamond" w:eastAsia="MS Mincho" w:hAnsi="Garamond" w:cs="Times New Roman"/>
          <w:noProof/>
          <w:lang w:val="es-AR" w:eastAsia="es-AR"/>
        </w:rPr>
      </w:pPr>
      <w:r w:rsidRPr="00CA0A60">
        <w:rPr>
          <w:rFonts w:cs="Times New Roman"/>
          <w:b/>
          <w:noProof/>
          <w:lang w:val="es-AR" w:eastAsia="es-AR"/>
        </w:rPr>
        <w:drawing>
          <wp:inline distT="0" distB="0" distL="0" distR="0" wp14:anchorId="04726B8C" wp14:editId="34948F36">
            <wp:extent cx="485775" cy="858850"/>
            <wp:effectExtent l="0" t="0" r="0" b="0"/>
            <wp:docPr id="4" name="Imagen 4" descr="Descripción: Albanesi - 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ción: Albanesi - Is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049" cy="873478"/>
                    </a:xfrm>
                    <a:prstGeom prst="rect">
                      <a:avLst/>
                    </a:prstGeom>
                    <a:noFill/>
                    <a:ln>
                      <a:noFill/>
                    </a:ln>
                  </pic:spPr>
                </pic:pic>
              </a:graphicData>
            </a:graphic>
          </wp:inline>
        </w:drawing>
      </w:r>
    </w:p>
    <w:p w14:paraId="2B3D430A" w14:textId="77777777" w:rsidR="00354069" w:rsidRPr="00CA0A60" w:rsidRDefault="00354069" w:rsidP="00354069">
      <w:pPr>
        <w:widowControl w:val="0"/>
        <w:spacing w:after="60" w:line="240" w:lineRule="auto"/>
        <w:jc w:val="center"/>
        <w:rPr>
          <w:rFonts w:ascii="Garamond" w:eastAsia="MS Mincho" w:hAnsi="Garamond" w:cs="Times New Roman"/>
          <w:b/>
          <w:sz w:val="24"/>
          <w:lang w:val="es-AR" w:eastAsia="es-ES"/>
        </w:rPr>
      </w:pPr>
      <w:r w:rsidRPr="00CA0A60">
        <w:rPr>
          <w:rFonts w:ascii="Garamond" w:eastAsia="MS Mincho" w:hAnsi="Garamond" w:cs="Times New Roman"/>
          <w:b/>
          <w:sz w:val="24"/>
          <w:lang w:val="es-AR" w:eastAsia="es-ES"/>
        </w:rPr>
        <w:t>Generación Mediterránea S.A. y Central Térmica Roca S.A.</w:t>
      </w:r>
    </w:p>
    <w:p w14:paraId="51557E25" w14:textId="77777777" w:rsidR="00354069" w:rsidRPr="00CA0A60" w:rsidRDefault="00354069" w:rsidP="00354069">
      <w:pPr>
        <w:widowControl w:val="0"/>
        <w:spacing w:after="60" w:line="240" w:lineRule="auto"/>
        <w:ind w:right="-283"/>
        <w:jc w:val="center"/>
        <w:rPr>
          <w:rFonts w:ascii="Garamond" w:eastAsia="MS Mincho" w:hAnsi="Garamond" w:cs="Times New Roman"/>
          <w:b/>
          <w:sz w:val="24"/>
          <w:lang w:val="es-AR" w:eastAsia="es-ES"/>
        </w:rPr>
      </w:pPr>
      <w:r w:rsidRPr="00CA0A60">
        <w:rPr>
          <w:rFonts w:ascii="Garamond" w:eastAsia="MS Mincho" w:hAnsi="Garamond" w:cs="Times New Roman"/>
          <w:b/>
          <w:sz w:val="24"/>
          <w:lang w:val="es-AR" w:eastAsia="es-ES"/>
        </w:rPr>
        <w:t>Co-Emisoras</w:t>
      </w:r>
    </w:p>
    <w:p w14:paraId="05F4B646" w14:textId="4D84C316" w:rsidR="00354069" w:rsidRPr="00CA0A60" w:rsidRDefault="00ED0CA7" w:rsidP="006B4BB1">
      <w:pPr>
        <w:widowControl w:val="0"/>
        <w:tabs>
          <w:tab w:val="left" w:pos="2258"/>
          <w:tab w:val="center" w:pos="5174"/>
        </w:tabs>
        <w:spacing w:after="60" w:line="240" w:lineRule="auto"/>
        <w:ind w:right="-283"/>
        <w:rPr>
          <w:rFonts w:ascii="Garamond" w:eastAsia="MS Mincho" w:hAnsi="Garamond" w:cs="Times New Roman"/>
          <w:b/>
          <w:smallCaps/>
          <w:szCs w:val="18"/>
          <w:lang w:val="es-AR" w:eastAsia="es-ES"/>
        </w:rPr>
      </w:pPr>
      <w:bookmarkStart w:id="1" w:name="_DV_M3"/>
      <w:bookmarkEnd w:id="1"/>
      <w:r w:rsidRPr="00CA0A60">
        <w:rPr>
          <w:rFonts w:ascii="Garamond" w:eastAsia="MS Mincho" w:hAnsi="Garamond" w:cs="Times New Roman"/>
          <w:b/>
          <w:smallCaps/>
          <w:sz w:val="18"/>
          <w:szCs w:val="18"/>
          <w:lang w:val="es-AR" w:eastAsia="es-ES"/>
        </w:rPr>
        <w:tab/>
      </w:r>
      <w:r w:rsidRPr="00CA0A60">
        <w:rPr>
          <w:rFonts w:ascii="Garamond" w:eastAsia="MS Mincho" w:hAnsi="Garamond" w:cs="Times New Roman"/>
          <w:b/>
          <w:smallCaps/>
          <w:sz w:val="18"/>
          <w:szCs w:val="18"/>
          <w:lang w:val="es-AR" w:eastAsia="es-ES"/>
        </w:rPr>
        <w:tab/>
      </w:r>
      <w:r w:rsidR="00AC7C31" w:rsidRPr="00CA0A60">
        <w:rPr>
          <w:rFonts w:ascii="Garamond" w:eastAsia="MS Mincho" w:hAnsi="Garamond" w:cs="Times New Roman"/>
          <w:b/>
          <w:smallCaps/>
          <w:szCs w:val="18"/>
          <w:lang w:val="es-AR" w:eastAsia="es-ES"/>
        </w:rPr>
        <w:t xml:space="preserve">Obligaciones </w:t>
      </w:r>
      <w:r w:rsidR="000568EB" w:rsidRPr="00CA0A60">
        <w:rPr>
          <w:rFonts w:ascii="Garamond" w:eastAsia="MS Mincho" w:hAnsi="Garamond" w:cs="Times New Roman"/>
          <w:b/>
          <w:smallCaps/>
          <w:szCs w:val="18"/>
          <w:lang w:val="es-AR" w:eastAsia="es-ES"/>
        </w:rPr>
        <w:t>Negociables Clase I</w:t>
      </w:r>
      <w:r w:rsidR="00CA0A60" w:rsidRPr="00CA0A60">
        <w:rPr>
          <w:rFonts w:ascii="Garamond" w:eastAsia="MS Mincho" w:hAnsi="Garamond" w:cs="Times New Roman"/>
          <w:b/>
          <w:smallCaps/>
          <w:szCs w:val="18"/>
          <w:lang w:val="es-AR" w:eastAsia="es-ES"/>
        </w:rPr>
        <w:t>I</w:t>
      </w:r>
      <w:r w:rsidR="000568EB" w:rsidRPr="00CA0A60">
        <w:rPr>
          <w:rFonts w:ascii="Garamond" w:eastAsia="MS Mincho" w:hAnsi="Garamond" w:cs="Times New Roman"/>
          <w:b/>
          <w:smallCaps/>
          <w:szCs w:val="18"/>
          <w:lang w:val="es-AR" w:eastAsia="es-ES"/>
        </w:rPr>
        <w:t xml:space="preserve"> Garantizadas</w:t>
      </w:r>
    </w:p>
    <w:p w14:paraId="0F8853FE" w14:textId="445A0D18" w:rsidR="00354069" w:rsidRPr="00CA0A60" w:rsidRDefault="00AC7C31" w:rsidP="00354069">
      <w:pPr>
        <w:widowControl w:val="0"/>
        <w:spacing w:after="60" w:line="240" w:lineRule="auto"/>
        <w:ind w:right="-283"/>
        <w:jc w:val="center"/>
        <w:rPr>
          <w:rFonts w:ascii="Garamond" w:eastAsia="MS Mincho" w:hAnsi="Garamond" w:cs="Times New Roman"/>
          <w:b/>
          <w:smallCaps/>
          <w:szCs w:val="18"/>
          <w:lang w:val="es-AR" w:eastAsia="es-ES"/>
        </w:rPr>
      </w:pPr>
      <w:r w:rsidRPr="00CA0A60">
        <w:rPr>
          <w:rFonts w:ascii="Garamond" w:eastAsia="MS Mincho" w:hAnsi="Garamond" w:cs="Times New Roman"/>
          <w:b/>
          <w:smallCaps/>
          <w:szCs w:val="18"/>
          <w:lang w:val="es-AR" w:eastAsia="es-ES"/>
        </w:rPr>
        <w:t xml:space="preserve">a ser co-emitidas </w:t>
      </w:r>
      <w:r w:rsidR="00D9349F" w:rsidRPr="00CA0A60">
        <w:rPr>
          <w:rFonts w:ascii="Garamond" w:eastAsia="MS Mincho" w:hAnsi="Garamond" w:cs="Times New Roman"/>
          <w:b/>
          <w:smallCaps/>
          <w:szCs w:val="18"/>
          <w:lang w:val="es-AR" w:eastAsia="es-ES"/>
        </w:rPr>
        <w:t xml:space="preserve">denominadas y pagaderas </w:t>
      </w:r>
      <w:r w:rsidRPr="00CA0A60">
        <w:rPr>
          <w:rFonts w:ascii="Garamond" w:eastAsia="MS Mincho" w:hAnsi="Garamond" w:cs="Times New Roman"/>
          <w:b/>
          <w:smallCaps/>
          <w:szCs w:val="18"/>
          <w:lang w:val="es-AR" w:eastAsia="es-ES"/>
        </w:rPr>
        <w:t xml:space="preserve">en dólares </w:t>
      </w:r>
      <w:r w:rsidR="00D9349F" w:rsidRPr="00CA0A60">
        <w:rPr>
          <w:rFonts w:ascii="Garamond" w:eastAsia="MS Mincho" w:hAnsi="Garamond" w:cs="Times New Roman"/>
          <w:b/>
          <w:smallCaps/>
          <w:szCs w:val="18"/>
          <w:lang w:val="es-AR" w:eastAsia="es-ES"/>
        </w:rPr>
        <w:t xml:space="preserve">estadounidenses </w:t>
      </w:r>
      <w:r w:rsidRPr="00CA0A60">
        <w:rPr>
          <w:rFonts w:ascii="Garamond" w:eastAsia="MS Mincho" w:hAnsi="Garamond" w:cs="Times New Roman"/>
          <w:b/>
          <w:smallCaps/>
          <w:szCs w:val="18"/>
          <w:lang w:val="es-AR" w:eastAsia="es-ES"/>
        </w:rPr>
        <w:t xml:space="preserve">a </w:t>
      </w:r>
      <w:r w:rsidR="00A75C69" w:rsidRPr="00A75C69">
        <w:rPr>
          <w:rFonts w:ascii="Garamond" w:eastAsia="MS Mincho" w:hAnsi="Garamond" w:cs="Times New Roman" w:hint="eastAsia"/>
          <w:b/>
          <w:smallCaps/>
          <w:szCs w:val="18"/>
          <w:lang w:val="es-AR" w:eastAsia="es-ES"/>
        </w:rPr>
        <w:t>tasa fija</w:t>
      </w:r>
      <w:r w:rsidR="0023128B">
        <w:rPr>
          <w:rFonts w:ascii="Garamond" w:eastAsia="MS Mincho" w:hAnsi="Garamond" w:cs="Times New Roman"/>
          <w:b/>
          <w:smallCaps/>
          <w:szCs w:val="18"/>
          <w:lang w:val="es-AR" w:eastAsia="es-ES"/>
        </w:rPr>
        <w:t xml:space="preserve"> </w:t>
      </w:r>
      <w:r w:rsidRPr="00CA0A60">
        <w:rPr>
          <w:rFonts w:ascii="Garamond" w:eastAsia="MS Mincho" w:hAnsi="Garamond" w:cs="Times New Roman"/>
          <w:b/>
          <w:smallCaps/>
          <w:szCs w:val="18"/>
          <w:lang w:val="es-AR" w:eastAsia="es-ES"/>
        </w:rPr>
        <w:t>con vencimiento a los 4</w:t>
      </w:r>
      <w:r w:rsidR="002C7E6A">
        <w:rPr>
          <w:rFonts w:ascii="Garamond" w:eastAsia="MS Mincho" w:hAnsi="Garamond" w:cs="Times New Roman"/>
          <w:b/>
          <w:smallCaps/>
          <w:szCs w:val="18"/>
          <w:lang w:val="es-AR" w:eastAsia="es-ES"/>
        </w:rPr>
        <w:t>5</w:t>
      </w:r>
      <w:r w:rsidRPr="00CA0A60">
        <w:rPr>
          <w:rFonts w:ascii="Garamond" w:eastAsia="MS Mincho" w:hAnsi="Garamond" w:cs="Times New Roman"/>
          <w:b/>
          <w:smallCaps/>
          <w:szCs w:val="18"/>
          <w:lang w:val="es-AR" w:eastAsia="es-ES"/>
        </w:rPr>
        <w:t xml:space="preserve"> meses contados desde la fecha de emisión por un valor nominal de hasta u$s</w:t>
      </w:r>
      <w:r w:rsidR="00914394">
        <w:rPr>
          <w:rFonts w:ascii="Garamond" w:eastAsia="MS Mincho" w:hAnsi="Garamond" w:cs="Times New Roman"/>
          <w:b/>
          <w:smallCaps/>
          <w:szCs w:val="18"/>
          <w:lang w:val="es-AR" w:eastAsia="es-ES"/>
        </w:rPr>
        <w:t>85</w:t>
      </w:r>
      <w:r w:rsidRPr="00CA0A60">
        <w:rPr>
          <w:rFonts w:ascii="Garamond" w:eastAsia="MS Mincho" w:hAnsi="Garamond" w:cs="Times New Roman"/>
          <w:b/>
          <w:smallCaps/>
          <w:szCs w:val="18"/>
          <w:lang w:val="es-AR" w:eastAsia="es-ES"/>
        </w:rPr>
        <w:t xml:space="preserve">.000.000 </w:t>
      </w:r>
    </w:p>
    <w:p w14:paraId="2DB48936" w14:textId="7CC148B0" w:rsidR="00354069" w:rsidRPr="00CA0A60" w:rsidRDefault="00AC7C31" w:rsidP="00354069">
      <w:pPr>
        <w:widowControl w:val="0"/>
        <w:spacing w:after="60" w:line="240" w:lineRule="auto"/>
        <w:ind w:right="-284"/>
        <w:jc w:val="center"/>
        <w:rPr>
          <w:rFonts w:ascii="Garamond" w:eastAsia="MS Mincho" w:hAnsi="Garamond" w:cs="Times New Roman"/>
          <w:b/>
          <w:smallCaps/>
          <w:szCs w:val="18"/>
          <w:lang w:val="es-AR" w:eastAsia="es-ES"/>
        </w:rPr>
      </w:pPr>
      <w:r w:rsidRPr="00CA0A60">
        <w:rPr>
          <w:rFonts w:ascii="Garamond" w:eastAsia="MS Mincho" w:hAnsi="Garamond" w:cs="Times New Roman"/>
          <w:b/>
          <w:smallCaps/>
          <w:szCs w:val="18"/>
          <w:lang w:val="es-AR" w:eastAsia="es-ES"/>
        </w:rPr>
        <w:t xml:space="preserve">a emitirse en el marco del programa </w:t>
      </w:r>
      <w:r w:rsidR="00D9349F" w:rsidRPr="00CA0A60">
        <w:rPr>
          <w:rFonts w:ascii="Garamond" w:eastAsia="MS Mincho" w:hAnsi="Garamond" w:cs="Times New Roman"/>
          <w:b/>
          <w:smallCaps/>
          <w:szCs w:val="18"/>
          <w:lang w:val="es-AR" w:eastAsia="es-ES"/>
        </w:rPr>
        <w:t xml:space="preserve">global </w:t>
      </w:r>
      <w:r w:rsidRPr="00CA0A60">
        <w:rPr>
          <w:rFonts w:ascii="Garamond" w:eastAsia="MS Mincho" w:hAnsi="Garamond" w:cs="Times New Roman"/>
          <w:b/>
          <w:smallCaps/>
          <w:szCs w:val="18"/>
          <w:lang w:val="es-AR" w:eastAsia="es-ES"/>
        </w:rPr>
        <w:t>de emisión de obligaciones negociables simples (no convertibles en acciones) por hasta u$s 300.000.000 (o su equivalente en otras monedas)</w:t>
      </w:r>
    </w:p>
    <w:p w14:paraId="483C6D8F" w14:textId="5D84FF8C" w:rsidR="00354069" w:rsidRPr="00CA0A60" w:rsidRDefault="00745740" w:rsidP="002C15E0">
      <w:pPr>
        <w:widowControl w:val="0"/>
        <w:tabs>
          <w:tab w:val="left" w:pos="2627"/>
          <w:tab w:val="center" w:pos="5174"/>
        </w:tabs>
        <w:spacing w:after="60" w:line="240" w:lineRule="auto"/>
        <w:ind w:right="-283"/>
        <w:jc w:val="center"/>
        <w:rPr>
          <w:rFonts w:ascii="Garamond" w:eastAsia="MS Mincho" w:hAnsi="Garamond" w:cs="Times New Roman"/>
          <w:b/>
          <w:smallCaps/>
          <w:szCs w:val="16"/>
          <w:lang w:val="es-AR" w:eastAsia="es-ES"/>
        </w:rPr>
      </w:pPr>
      <w:r w:rsidRPr="00CA0A60">
        <w:rPr>
          <w:rFonts w:ascii="Garamond" w:eastAsia="MS Mincho" w:hAnsi="Garamond" w:cs="Times New Roman"/>
          <w:b/>
          <w:smallCaps/>
          <w:szCs w:val="16"/>
          <w:lang w:val="es-AR" w:eastAsia="es-ES"/>
        </w:rPr>
        <w:t>L</w:t>
      </w:r>
      <w:r w:rsidR="00AC7C31" w:rsidRPr="00CA0A60">
        <w:rPr>
          <w:rFonts w:ascii="Garamond" w:eastAsia="MS Mincho" w:hAnsi="Garamond" w:cs="Times New Roman"/>
          <w:b/>
          <w:smallCaps/>
          <w:szCs w:val="16"/>
          <w:lang w:val="es-AR" w:eastAsia="es-ES"/>
        </w:rPr>
        <w:t xml:space="preserve">as </w:t>
      </w:r>
      <w:r w:rsidR="000568EB" w:rsidRPr="00CA0A60">
        <w:rPr>
          <w:rFonts w:ascii="Garamond" w:eastAsia="MS Mincho" w:hAnsi="Garamond" w:cs="Times New Roman"/>
          <w:b/>
          <w:smallCaps/>
          <w:szCs w:val="16"/>
          <w:lang w:val="es-AR" w:eastAsia="es-ES"/>
        </w:rPr>
        <w:t>O</w:t>
      </w:r>
      <w:r w:rsidR="00AC7C31" w:rsidRPr="00CA0A60">
        <w:rPr>
          <w:rFonts w:ascii="Garamond" w:eastAsia="MS Mincho" w:hAnsi="Garamond" w:cs="Times New Roman"/>
          <w:b/>
          <w:smallCaps/>
          <w:szCs w:val="16"/>
          <w:lang w:val="es-AR" w:eastAsia="es-ES"/>
        </w:rPr>
        <w:t xml:space="preserve">bligaciones </w:t>
      </w:r>
      <w:r w:rsidR="000568EB" w:rsidRPr="00CA0A60">
        <w:rPr>
          <w:rFonts w:ascii="Garamond" w:eastAsia="MS Mincho" w:hAnsi="Garamond" w:cs="Times New Roman"/>
          <w:b/>
          <w:smallCaps/>
          <w:szCs w:val="16"/>
          <w:lang w:val="es-AR" w:eastAsia="es-ES"/>
        </w:rPr>
        <w:t>N</w:t>
      </w:r>
      <w:r w:rsidR="00AC7C31" w:rsidRPr="00CA0A60">
        <w:rPr>
          <w:rFonts w:ascii="Garamond" w:eastAsia="MS Mincho" w:hAnsi="Garamond" w:cs="Times New Roman"/>
          <w:b/>
          <w:smallCaps/>
          <w:szCs w:val="16"/>
          <w:lang w:val="es-AR" w:eastAsia="es-ES"/>
        </w:rPr>
        <w:t xml:space="preserve">egociables </w:t>
      </w:r>
      <w:r w:rsidR="000568EB" w:rsidRPr="00CA0A60">
        <w:rPr>
          <w:rFonts w:ascii="Garamond" w:eastAsia="MS Mincho" w:hAnsi="Garamond" w:cs="Times New Roman"/>
          <w:b/>
          <w:smallCaps/>
          <w:szCs w:val="16"/>
          <w:lang w:val="es-AR" w:eastAsia="es-ES"/>
        </w:rPr>
        <w:t>C</w:t>
      </w:r>
      <w:r w:rsidR="00D9349F" w:rsidRPr="00CA0A60">
        <w:rPr>
          <w:rFonts w:ascii="Garamond" w:eastAsia="MS Mincho" w:hAnsi="Garamond" w:cs="Times New Roman"/>
          <w:b/>
          <w:smallCaps/>
          <w:szCs w:val="16"/>
          <w:lang w:val="es-AR" w:eastAsia="es-ES"/>
        </w:rPr>
        <w:t xml:space="preserve">lase </w:t>
      </w:r>
      <w:r w:rsidR="000568EB" w:rsidRPr="00CA0A60">
        <w:rPr>
          <w:rFonts w:ascii="Garamond" w:eastAsia="MS Mincho" w:hAnsi="Garamond" w:cs="Times New Roman"/>
          <w:b/>
          <w:smallCaps/>
          <w:szCs w:val="16"/>
          <w:lang w:val="es-AR" w:eastAsia="es-ES"/>
        </w:rPr>
        <w:t>II</w:t>
      </w:r>
      <w:r w:rsidR="00D9349F" w:rsidRPr="00CA0A60">
        <w:rPr>
          <w:rFonts w:ascii="Garamond" w:eastAsia="MS Mincho" w:hAnsi="Garamond" w:cs="Times New Roman"/>
          <w:b/>
          <w:smallCaps/>
          <w:szCs w:val="16"/>
          <w:lang w:val="es-AR" w:eastAsia="es-ES"/>
        </w:rPr>
        <w:t xml:space="preserve"> </w:t>
      </w:r>
      <w:r w:rsidR="00AC7C31" w:rsidRPr="00CA0A60">
        <w:rPr>
          <w:rFonts w:ascii="Garamond" w:eastAsia="MS Mincho" w:hAnsi="Garamond" w:cs="Times New Roman"/>
          <w:b/>
          <w:smallCaps/>
          <w:szCs w:val="16"/>
          <w:lang w:val="es-AR" w:eastAsia="es-ES"/>
        </w:rPr>
        <w:t xml:space="preserve">estarán (i) afianzadas por </w:t>
      </w:r>
      <w:r w:rsidR="000568EB" w:rsidRPr="00CA0A60">
        <w:rPr>
          <w:rFonts w:ascii="Garamond" w:eastAsia="MS Mincho" w:hAnsi="Garamond" w:cs="Times New Roman"/>
          <w:b/>
          <w:smallCaps/>
          <w:szCs w:val="16"/>
          <w:lang w:val="es-AR" w:eastAsia="es-ES"/>
        </w:rPr>
        <w:t>A</w:t>
      </w:r>
      <w:r w:rsidR="00AC7C31" w:rsidRPr="00CA0A60">
        <w:rPr>
          <w:rFonts w:ascii="Garamond" w:eastAsia="MS Mincho" w:hAnsi="Garamond" w:cs="Times New Roman"/>
          <w:b/>
          <w:smallCaps/>
          <w:szCs w:val="16"/>
          <w:lang w:val="es-AR" w:eastAsia="es-ES"/>
        </w:rPr>
        <w:t xml:space="preserve">lbanesi </w:t>
      </w:r>
      <w:r w:rsidR="000568EB" w:rsidRPr="00CA0A60">
        <w:rPr>
          <w:rFonts w:ascii="Garamond" w:eastAsia="MS Mincho" w:hAnsi="Garamond" w:cs="Times New Roman"/>
          <w:b/>
          <w:smallCaps/>
          <w:szCs w:val="16"/>
          <w:lang w:val="es-AR" w:eastAsia="es-ES"/>
        </w:rPr>
        <w:t>S.A</w:t>
      </w:r>
      <w:r w:rsidR="00AC7C31" w:rsidRPr="00CA0A60">
        <w:rPr>
          <w:rFonts w:ascii="Garamond" w:eastAsia="MS Mincho" w:hAnsi="Garamond" w:cs="Times New Roman"/>
          <w:b/>
          <w:smallCaps/>
          <w:szCs w:val="16"/>
          <w:lang w:val="es-AR" w:eastAsia="es-ES"/>
        </w:rPr>
        <w:t>., y (ii) garantizadas por un fideicomiso con fines de garantía, ciertos derechos reales de prenda, un</w:t>
      </w:r>
      <w:r w:rsidRPr="00CA0A60">
        <w:rPr>
          <w:rFonts w:ascii="Garamond" w:eastAsia="MS Mincho" w:hAnsi="Garamond" w:cs="Times New Roman"/>
          <w:b/>
          <w:smallCaps/>
          <w:szCs w:val="16"/>
          <w:lang w:val="es-AR" w:eastAsia="es-ES"/>
        </w:rPr>
        <w:t>a</w:t>
      </w:r>
      <w:r w:rsidR="00AC7C31" w:rsidRPr="00CA0A60">
        <w:rPr>
          <w:rFonts w:ascii="Garamond" w:eastAsia="MS Mincho" w:hAnsi="Garamond" w:cs="Times New Roman"/>
          <w:b/>
          <w:smallCaps/>
          <w:szCs w:val="16"/>
          <w:lang w:val="es-AR" w:eastAsia="es-ES"/>
        </w:rPr>
        <w:t xml:space="preserve"> hipoteca en primer grado de privilegio y una cuenta de reserva.</w:t>
      </w:r>
    </w:p>
    <w:p w14:paraId="52525C55" w14:textId="08A6667F" w:rsidR="00CC5595" w:rsidRPr="00CA0A60" w:rsidRDefault="00354069" w:rsidP="00354069">
      <w:pPr>
        <w:widowControl w:val="0"/>
        <w:spacing w:after="60" w:line="240" w:lineRule="auto"/>
        <w:ind w:left="-142" w:right="-283"/>
        <w:jc w:val="both"/>
        <w:rPr>
          <w:rFonts w:ascii="Garamond" w:eastAsia="MS Mincho" w:hAnsi="Garamond" w:cs="Times New Roman"/>
          <w:sz w:val="18"/>
          <w:szCs w:val="18"/>
          <w:lang w:val="es-AR" w:eastAsia="es-ES"/>
        </w:rPr>
      </w:pPr>
      <w:r w:rsidRPr="00CA0A60">
        <w:rPr>
          <w:rFonts w:ascii="Garamond" w:eastAsia="MS Mincho" w:hAnsi="Garamond" w:cs="Times New Roman"/>
          <w:sz w:val="18"/>
          <w:szCs w:val="18"/>
          <w:lang w:val="es-AR" w:eastAsia="es-ES"/>
        </w:rPr>
        <w:t>Este suplemento de prospecto (el “</w:t>
      </w:r>
      <w:r w:rsidRPr="00CA0A60">
        <w:rPr>
          <w:rFonts w:ascii="Garamond" w:eastAsia="MS Mincho" w:hAnsi="Garamond" w:cs="Times New Roman"/>
          <w:sz w:val="18"/>
          <w:szCs w:val="18"/>
          <w:u w:val="single"/>
          <w:lang w:val="es-AR" w:eastAsia="es-ES"/>
        </w:rPr>
        <w:t>Suplemento</w:t>
      </w:r>
      <w:r w:rsidRPr="00CA0A60">
        <w:rPr>
          <w:rFonts w:ascii="Garamond" w:eastAsia="MS Mincho" w:hAnsi="Garamond" w:cs="Times New Roman"/>
          <w:sz w:val="18"/>
          <w:szCs w:val="18"/>
          <w:lang w:val="es-AR" w:eastAsia="es-ES"/>
        </w:rPr>
        <w:t xml:space="preserve">”) corresponde a las </w:t>
      </w:r>
      <w:r w:rsidR="00E70E82" w:rsidRPr="00CA0A60">
        <w:rPr>
          <w:rFonts w:ascii="Garamond" w:eastAsia="MS Mincho" w:hAnsi="Garamond" w:cs="Times New Roman"/>
          <w:sz w:val="18"/>
          <w:szCs w:val="18"/>
          <w:lang w:val="es-AR" w:eastAsia="es-ES"/>
        </w:rPr>
        <w:t>o</w:t>
      </w:r>
      <w:r w:rsidRPr="00CA0A60">
        <w:rPr>
          <w:rFonts w:ascii="Garamond" w:eastAsia="MS Mincho" w:hAnsi="Garamond" w:cs="Times New Roman"/>
          <w:sz w:val="18"/>
          <w:szCs w:val="18"/>
          <w:lang w:val="es-AR" w:eastAsia="es-ES"/>
        </w:rPr>
        <w:t xml:space="preserve">bligaciones </w:t>
      </w:r>
      <w:r w:rsidR="00E70E82" w:rsidRPr="00CA0A60">
        <w:rPr>
          <w:rFonts w:ascii="Garamond" w:eastAsia="MS Mincho" w:hAnsi="Garamond" w:cs="Times New Roman"/>
          <w:sz w:val="18"/>
          <w:szCs w:val="18"/>
          <w:lang w:val="es-AR" w:eastAsia="es-ES"/>
        </w:rPr>
        <w:t>n</w:t>
      </w:r>
      <w:r w:rsidRPr="00CA0A60">
        <w:rPr>
          <w:rFonts w:ascii="Garamond" w:eastAsia="MS Mincho" w:hAnsi="Garamond" w:cs="Times New Roman"/>
          <w:sz w:val="18"/>
          <w:szCs w:val="18"/>
          <w:lang w:val="es-AR" w:eastAsia="es-ES"/>
        </w:rPr>
        <w:t xml:space="preserve">egociables </w:t>
      </w:r>
      <w:r w:rsidR="00E70E82" w:rsidRPr="00CA0A60">
        <w:rPr>
          <w:rFonts w:ascii="Garamond" w:eastAsia="MS Mincho" w:hAnsi="Garamond" w:cs="Times New Roman"/>
          <w:sz w:val="18"/>
          <w:szCs w:val="18"/>
          <w:lang w:val="es-AR" w:eastAsia="es-ES"/>
        </w:rPr>
        <w:t>c</w:t>
      </w:r>
      <w:r w:rsidRPr="00CA0A60">
        <w:rPr>
          <w:rFonts w:ascii="Garamond" w:eastAsia="MS Mincho" w:hAnsi="Garamond" w:cs="Times New Roman"/>
          <w:sz w:val="18"/>
          <w:szCs w:val="18"/>
          <w:lang w:val="es-AR" w:eastAsia="es-ES"/>
        </w:rPr>
        <w:t>lase II</w:t>
      </w:r>
      <w:r w:rsidR="002830AF" w:rsidRPr="00CA0A60">
        <w:rPr>
          <w:rFonts w:ascii="Garamond" w:eastAsia="MS Mincho" w:hAnsi="Garamond" w:cs="Times New Roman"/>
          <w:sz w:val="18"/>
          <w:szCs w:val="18"/>
          <w:lang w:val="es-AR" w:eastAsia="es-ES"/>
        </w:rPr>
        <w:t xml:space="preserve"> garantizadas</w:t>
      </w:r>
      <w:r w:rsidR="00706145" w:rsidRPr="00CA0A60">
        <w:rPr>
          <w:rFonts w:ascii="Garamond" w:eastAsia="MS Mincho" w:hAnsi="Garamond" w:cs="Times New Roman"/>
          <w:sz w:val="18"/>
          <w:szCs w:val="18"/>
          <w:lang w:val="es-AR" w:eastAsia="es-ES"/>
        </w:rPr>
        <w:t>,</w:t>
      </w:r>
      <w:r w:rsidRPr="00CA0A60">
        <w:rPr>
          <w:rFonts w:ascii="Garamond" w:eastAsia="MS Mincho" w:hAnsi="Garamond" w:cs="Times New Roman"/>
          <w:sz w:val="18"/>
          <w:szCs w:val="18"/>
          <w:lang w:val="es-AR" w:eastAsia="es-ES"/>
        </w:rPr>
        <w:t xml:space="preserve"> denominadas </w:t>
      </w:r>
      <w:r w:rsidR="00D9349F" w:rsidRPr="00CA0A60">
        <w:rPr>
          <w:rFonts w:ascii="Garamond" w:eastAsia="MS Mincho" w:hAnsi="Garamond" w:cs="Times New Roman"/>
          <w:sz w:val="18"/>
          <w:szCs w:val="18"/>
          <w:lang w:val="es-AR" w:eastAsia="es-ES"/>
        </w:rPr>
        <w:t xml:space="preserve">y pagaderas </w:t>
      </w:r>
      <w:r w:rsidRPr="00CA0A60">
        <w:rPr>
          <w:rFonts w:ascii="Garamond" w:eastAsia="MS Mincho" w:hAnsi="Garamond" w:cs="Times New Roman"/>
          <w:sz w:val="18"/>
          <w:szCs w:val="18"/>
          <w:lang w:val="es-AR" w:eastAsia="es-ES"/>
        </w:rPr>
        <w:t xml:space="preserve">en </w:t>
      </w:r>
      <w:r w:rsidR="00E70E82" w:rsidRPr="00CA0A60">
        <w:rPr>
          <w:rFonts w:ascii="Garamond" w:eastAsia="MS Mincho" w:hAnsi="Garamond" w:cs="Times New Roman"/>
          <w:sz w:val="18"/>
          <w:szCs w:val="18"/>
          <w:lang w:val="es-AR" w:eastAsia="es-ES"/>
        </w:rPr>
        <w:t>d</w:t>
      </w:r>
      <w:r w:rsidRPr="00CA0A60">
        <w:rPr>
          <w:rFonts w:ascii="Garamond" w:eastAsia="MS Mincho" w:hAnsi="Garamond" w:cs="Times New Roman"/>
          <w:sz w:val="18"/>
          <w:szCs w:val="18"/>
          <w:lang w:val="es-AR" w:eastAsia="es-ES"/>
        </w:rPr>
        <w:t>ólares</w:t>
      </w:r>
      <w:r w:rsidR="00E70E82" w:rsidRPr="00CA0A60">
        <w:rPr>
          <w:rFonts w:ascii="Garamond" w:eastAsia="MS Mincho" w:hAnsi="Garamond" w:cs="Times New Roman"/>
          <w:sz w:val="18"/>
          <w:szCs w:val="18"/>
          <w:lang w:val="es-AR" w:eastAsia="es-ES"/>
        </w:rPr>
        <w:t xml:space="preserve"> estadounidenses (“</w:t>
      </w:r>
      <w:r w:rsidR="00E70E82" w:rsidRPr="00CA0A60">
        <w:rPr>
          <w:rFonts w:ascii="Garamond" w:eastAsia="MS Mincho" w:hAnsi="Garamond" w:cs="Times New Roman"/>
          <w:sz w:val="18"/>
          <w:szCs w:val="18"/>
          <w:u w:val="single"/>
          <w:lang w:val="es-AR" w:eastAsia="es-ES"/>
        </w:rPr>
        <w:t>Dólares</w:t>
      </w:r>
      <w:r w:rsidR="00E70E82" w:rsidRPr="00CA0A60">
        <w:rPr>
          <w:rFonts w:ascii="Garamond" w:eastAsia="MS Mincho" w:hAnsi="Garamond" w:cs="Times New Roman"/>
          <w:sz w:val="18"/>
          <w:szCs w:val="18"/>
          <w:lang w:val="es-AR" w:eastAsia="es-ES"/>
        </w:rPr>
        <w:t xml:space="preserve">”, </w:t>
      </w:r>
      <w:r w:rsidR="0097462F" w:rsidRPr="00CA0A60">
        <w:rPr>
          <w:rFonts w:ascii="Garamond" w:eastAsia="MS Mincho" w:hAnsi="Garamond" w:cs="Times New Roman"/>
          <w:sz w:val="18"/>
          <w:szCs w:val="18"/>
          <w:lang w:val="es-AR" w:eastAsia="es-ES"/>
        </w:rPr>
        <w:t>“</w:t>
      </w:r>
      <w:r w:rsidR="0097462F" w:rsidRPr="00CA0A60">
        <w:rPr>
          <w:rFonts w:ascii="Garamond" w:eastAsia="MS Mincho" w:hAnsi="Garamond" w:cs="Times New Roman"/>
          <w:sz w:val="18"/>
          <w:szCs w:val="18"/>
          <w:u w:val="single"/>
          <w:lang w:val="es-AR" w:eastAsia="es-ES"/>
        </w:rPr>
        <w:t>Dólares Estadounidenses</w:t>
      </w:r>
      <w:r w:rsidR="0097462F" w:rsidRPr="00CA0A60">
        <w:rPr>
          <w:rFonts w:ascii="Garamond" w:eastAsia="MS Mincho" w:hAnsi="Garamond" w:cs="Times New Roman"/>
          <w:sz w:val="18"/>
          <w:szCs w:val="18"/>
          <w:lang w:val="es-AR" w:eastAsia="es-ES"/>
        </w:rPr>
        <w:t xml:space="preserve">”, </w:t>
      </w:r>
      <w:r w:rsidR="00E70E82" w:rsidRPr="00CA0A60">
        <w:rPr>
          <w:rFonts w:ascii="Garamond" w:eastAsia="MS Mincho" w:hAnsi="Garamond" w:cs="Times New Roman"/>
          <w:sz w:val="18"/>
          <w:szCs w:val="18"/>
          <w:lang w:val="es-AR" w:eastAsia="es-ES"/>
        </w:rPr>
        <w:t>“</w:t>
      </w:r>
      <w:r w:rsidR="00E70E82" w:rsidRPr="00CA0A60">
        <w:rPr>
          <w:rFonts w:ascii="Garamond" w:eastAsia="MS Mincho" w:hAnsi="Garamond" w:cs="Times New Roman"/>
          <w:sz w:val="18"/>
          <w:szCs w:val="18"/>
          <w:u w:val="single"/>
          <w:lang w:val="es-AR" w:eastAsia="es-ES"/>
        </w:rPr>
        <w:t>U$</w:t>
      </w:r>
      <w:r w:rsidR="00CC5595" w:rsidRPr="00CA0A60">
        <w:rPr>
          <w:rFonts w:ascii="Garamond" w:eastAsia="MS Mincho" w:hAnsi="Garamond" w:cs="Times New Roman"/>
          <w:sz w:val="18"/>
          <w:szCs w:val="18"/>
          <w:u w:val="single"/>
          <w:lang w:val="es-AR" w:eastAsia="es-ES"/>
        </w:rPr>
        <w:t>S</w:t>
      </w:r>
      <w:r w:rsidR="00E70E82" w:rsidRPr="00CA0A60">
        <w:rPr>
          <w:rFonts w:ascii="Garamond" w:eastAsia="MS Mincho" w:hAnsi="Garamond" w:cs="Times New Roman"/>
          <w:sz w:val="18"/>
          <w:szCs w:val="18"/>
          <w:lang w:val="es-AR" w:eastAsia="es-ES"/>
        </w:rPr>
        <w:t>” o “</w:t>
      </w:r>
      <w:r w:rsidR="00E70E82" w:rsidRPr="00CA0A60">
        <w:rPr>
          <w:rFonts w:ascii="Garamond" w:eastAsia="MS Mincho" w:hAnsi="Garamond" w:cs="Times New Roman"/>
          <w:sz w:val="18"/>
          <w:szCs w:val="18"/>
          <w:u w:val="single"/>
          <w:lang w:val="es-AR" w:eastAsia="es-ES"/>
        </w:rPr>
        <w:t>USD</w:t>
      </w:r>
      <w:r w:rsidR="00E70E82" w:rsidRPr="00CA0A60">
        <w:rPr>
          <w:rFonts w:ascii="Garamond" w:eastAsia="MS Mincho" w:hAnsi="Garamond" w:cs="Times New Roman"/>
          <w:sz w:val="18"/>
          <w:szCs w:val="18"/>
          <w:lang w:val="es-AR" w:eastAsia="es-ES"/>
        </w:rPr>
        <w:t>”)</w:t>
      </w:r>
      <w:r w:rsidRPr="00CA0A60">
        <w:rPr>
          <w:rFonts w:ascii="Garamond" w:eastAsia="MS Mincho" w:hAnsi="Garamond" w:cs="Times New Roman"/>
          <w:sz w:val="18"/>
          <w:szCs w:val="18"/>
          <w:lang w:val="es-AR" w:eastAsia="es-ES"/>
        </w:rPr>
        <w:t xml:space="preserve"> a </w:t>
      </w:r>
      <w:r w:rsidR="00E70E82" w:rsidRPr="00CA0A60">
        <w:rPr>
          <w:rFonts w:ascii="Garamond" w:eastAsia="MS Mincho" w:hAnsi="Garamond" w:cs="Times New Roman"/>
          <w:sz w:val="18"/>
          <w:szCs w:val="18"/>
          <w:lang w:val="es-AR" w:eastAsia="es-ES"/>
        </w:rPr>
        <w:t>t</w:t>
      </w:r>
      <w:r w:rsidRPr="00CA0A60">
        <w:rPr>
          <w:rFonts w:ascii="Garamond" w:eastAsia="MS Mincho" w:hAnsi="Garamond" w:cs="Times New Roman"/>
          <w:sz w:val="18"/>
          <w:szCs w:val="18"/>
          <w:lang w:val="es-AR" w:eastAsia="es-ES"/>
        </w:rPr>
        <w:t xml:space="preserve">asa </w:t>
      </w:r>
      <w:r w:rsidR="0039074A">
        <w:rPr>
          <w:rFonts w:ascii="Garamond" w:eastAsia="MS Mincho" w:hAnsi="Garamond" w:cs="Times New Roman"/>
          <w:sz w:val="18"/>
          <w:szCs w:val="18"/>
          <w:lang w:val="es-AR" w:eastAsia="es-ES"/>
        </w:rPr>
        <w:t>fija</w:t>
      </w:r>
      <w:r w:rsidR="0039074A" w:rsidRPr="00CA0A60">
        <w:rPr>
          <w:rFonts w:ascii="Garamond" w:eastAsia="MS Mincho" w:hAnsi="Garamond" w:cs="Times New Roman"/>
          <w:smallCaps/>
          <w:sz w:val="18"/>
          <w:szCs w:val="18"/>
          <w:lang w:val="es-AR" w:eastAsia="es-ES"/>
        </w:rPr>
        <w:t xml:space="preserve"> </w:t>
      </w:r>
      <w:r w:rsidRPr="00CA0A60">
        <w:rPr>
          <w:rFonts w:ascii="Garamond" w:eastAsia="MS Mincho" w:hAnsi="Garamond" w:cs="Times New Roman"/>
          <w:sz w:val="18"/>
          <w:szCs w:val="18"/>
          <w:lang w:val="es-AR" w:eastAsia="es-ES"/>
        </w:rPr>
        <w:t xml:space="preserve">con vencimiento a los </w:t>
      </w:r>
      <w:r w:rsidR="00D437A2" w:rsidRPr="00CA0A60">
        <w:rPr>
          <w:rFonts w:ascii="Garamond" w:eastAsia="MS Mincho" w:hAnsi="Garamond" w:cs="Times New Roman"/>
          <w:sz w:val="18"/>
          <w:szCs w:val="18"/>
          <w:lang w:val="es-AR" w:eastAsia="es-ES"/>
        </w:rPr>
        <w:t>4</w:t>
      </w:r>
      <w:r w:rsidR="002C7E6A">
        <w:rPr>
          <w:rFonts w:ascii="Garamond" w:eastAsia="MS Mincho" w:hAnsi="Garamond" w:cs="Times New Roman"/>
          <w:sz w:val="18"/>
          <w:szCs w:val="18"/>
          <w:lang w:val="es-AR" w:eastAsia="es-ES"/>
        </w:rPr>
        <w:t>5</w:t>
      </w:r>
      <w:r w:rsidRPr="00CA0A60">
        <w:rPr>
          <w:rFonts w:ascii="Garamond" w:eastAsia="MS Mincho" w:hAnsi="Garamond" w:cs="Times New Roman"/>
          <w:sz w:val="18"/>
          <w:szCs w:val="18"/>
          <w:lang w:val="es-AR" w:eastAsia="es-ES"/>
        </w:rPr>
        <w:t xml:space="preserve"> meses contados desde la Fecha de Emisión (tal como dicho término se define más adelante) (indistintamente, las “</w:t>
      </w:r>
      <w:r w:rsidRPr="00CA0A60">
        <w:rPr>
          <w:rFonts w:ascii="Garamond" w:eastAsia="MS Mincho" w:hAnsi="Garamond" w:cs="Times New Roman"/>
          <w:sz w:val="18"/>
          <w:szCs w:val="18"/>
          <w:u w:val="single"/>
          <w:lang w:val="es-AR" w:eastAsia="es-ES"/>
        </w:rPr>
        <w:t>Obligaciones Negociables Clase II</w:t>
      </w:r>
      <w:r w:rsidRPr="00CA0A60">
        <w:rPr>
          <w:rFonts w:ascii="Garamond" w:eastAsia="MS Mincho" w:hAnsi="Garamond" w:cs="Times New Roman"/>
          <w:sz w:val="18"/>
          <w:szCs w:val="18"/>
          <w:lang w:val="es-AR" w:eastAsia="es-ES"/>
        </w:rPr>
        <w:t>” o las “</w:t>
      </w:r>
      <w:r w:rsidRPr="00CA0A60">
        <w:rPr>
          <w:rFonts w:ascii="Garamond" w:eastAsia="MS Mincho" w:hAnsi="Garamond" w:cs="Times New Roman"/>
          <w:sz w:val="18"/>
          <w:szCs w:val="18"/>
          <w:u w:val="single"/>
          <w:lang w:val="es-AR" w:eastAsia="es-ES"/>
        </w:rPr>
        <w:t>Obligaciones Negociables</w:t>
      </w:r>
      <w:r w:rsidRPr="00CA0A60">
        <w:rPr>
          <w:rFonts w:ascii="Garamond" w:eastAsia="MS Mincho" w:hAnsi="Garamond" w:cs="Times New Roman"/>
          <w:sz w:val="18"/>
          <w:szCs w:val="18"/>
          <w:lang w:val="es-AR" w:eastAsia="es-ES"/>
        </w:rPr>
        <w:t>”), a ser co-emitidas por Generación Mediterránea S.A. (“</w:t>
      </w:r>
      <w:r w:rsidRPr="00CA0A60">
        <w:rPr>
          <w:rFonts w:ascii="Garamond" w:eastAsia="MS Mincho" w:hAnsi="Garamond" w:cs="Times New Roman"/>
          <w:sz w:val="18"/>
          <w:szCs w:val="18"/>
          <w:u w:val="single"/>
          <w:lang w:val="es-AR" w:eastAsia="es-ES"/>
        </w:rPr>
        <w:t>GEMSA</w:t>
      </w:r>
      <w:r w:rsidRPr="00CA0A60">
        <w:rPr>
          <w:rFonts w:ascii="Garamond" w:eastAsia="MS Mincho" w:hAnsi="Garamond" w:cs="Times New Roman"/>
          <w:sz w:val="18"/>
          <w:szCs w:val="18"/>
          <w:lang w:val="es-AR" w:eastAsia="es-ES"/>
        </w:rPr>
        <w:t>”) y Central Térmica Roca S.A. (“</w:t>
      </w:r>
      <w:r w:rsidRPr="00CA0A60">
        <w:rPr>
          <w:rFonts w:ascii="Garamond" w:eastAsia="MS Mincho" w:hAnsi="Garamond" w:cs="Times New Roman"/>
          <w:sz w:val="18"/>
          <w:szCs w:val="18"/>
          <w:u w:val="single"/>
          <w:lang w:val="es-AR" w:eastAsia="es-ES"/>
        </w:rPr>
        <w:t>CTR</w:t>
      </w:r>
      <w:r w:rsidRPr="00CA0A60">
        <w:rPr>
          <w:rFonts w:ascii="Garamond" w:eastAsia="MS Mincho" w:hAnsi="Garamond" w:cs="Times New Roman"/>
          <w:sz w:val="18"/>
          <w:szCs w:val="18"/>
          <w:lang w:val="es-AR" w:eastAsia="es-ES"/>
        </w:rPr>
        <w:t>”,</w:t>
      </w:r>
      <w:r w:rsidR="00103261" w:rsidRPr="00CA0A60">
        <w:rPr>
          <w:rFonts w:ascii="Garamond" w:eastAsia="MS Mincho" w:hAnsi="Garamond" w:cs="Times New Roman"/>
          <w:sz w:val="18"/>
          <w:szCs w:val="18"/>
          <w:lang w:val="es-AR" w:eastAsia="es-ES"/>
        </w:rPr>
        <w:t xml:space="preserve"> y en forma conjunta con GEMSA,</w:t>
      </w:r>
      <w:r w:rsidRPr="00CA0A60">
        <w:rPr>
          <w:rFonts w:ascii="Garamond" w:eastAsia="MS Mincho" w:hAnsi="Garamond" w:cs="Times New Roman"/>
          <w:sz w:val="18"/>
          <w:szCs w:val="18"/>
          <w:lang w:val="es-AR" w:eastAsia="es-ES"/>
        </w:rPr>
        <w:t xml:space="preserve"> indistintamente, la</w:t>
      </w:r>
      <w:r w:rsidR="00103261" w:rsidRPr="00CA0A60">
        <w:rPr>
          <w:rFonts w:ascii="Garamond" w:eastAsia="MS Mincho" w:hAnsi="Garamond" w:cs="Times New Roman"/>
          <w:sz w:val="18"/>
          <w:szCs w:val="18"/>
          <w:lang w:val="es-AR" w:eastAsia="es-ES"/>
        </w:rPr>
        <w:t>s</w:t>
      </w:r>
      <w:r w:rsidRPr="00CA0A60">
        <w:rPr>
          <w:rFonts w:ascii="Garamond" w:eastAsia="MS Mincho" w:hAnsi="Garamond" w:cs="Times New Roman"/>
          <w:sz w:val="18"/>
          <w:szCs w:val="18"/>
          <w:lang w:val="es-AR" w:eastAsia="es-ES"/>
        </w:rPr>
        <w:t xml:space="preserve"> “</w:t>
      </w:r>
      <w:r w:rsidRPr="00CA0A60">
        <w:rPr>
          <w:rFonts w:ascii="Garamond" w:eastAsia="MS Mincho" w:hAnsi="Garamond" w:cs="Times New Roman"/>
          <w:sz w:val="18"/>
          <w:szCs w:val="18"/>
          <w:u w:val="single"/>
          <w:lang w:val="es-AR" w:eastAsia="es-ES"/>
        </w:rPr>
        <w:t>Sociedades</w:t>
      </w:r>
      <w:r w:rsidRPr="00CA0A60">
        <w:rPr>
          <w:rFonts w:ascii="Garamond" w:eastAsia="MS Mincho" w:hAnsi="Garamond" w:cs="Times New Roman"/>
          <w:sz w:val="18"/>
          <w:szCs w:val="18"/>
          <w:lang w:val="es-AR" w:eastAsia="es-ES"/>
        </w:rPr>
        <w:t>”, las “</w:t>
      </w:r>
      <w:r w:rsidRPr="00CA0A60">
        <w:rPr>
          <w:rFonts w:ascii="Garamond" w:eastAsia="MS Mincho" w:hAnsi="Garamond" w:cs="Times New Roman"/>
          <w:sz w:val="18"/>
          <w:szCs w:val="18"/>
          <w:u w:val="single"/>
          <w:lang w:val="es-AR" w:eastAsia="es-ES"/>
        </w:rPr>
        <w:t>Compañías</w:t>
      </w:r>
      <w:r w:rsidRPr="00CA0A60">
        <w:rPr>
          <w:rFonts w:ascii="Garamond" w:eastAsia="MS Mincho" w:hAnsi="Garamond" w:cs="Times New Roman"/>
          <w:sz w:val="18"/>
          <w:szCs w:val="18"/>
          <w:lang w:val="es-AR" w:eastAsia="es-ES"/>
        </w:rPr>
        <w:t>” o la</w:t>
      </w:r>
      <w:r w:rsidR="00285072" w:rsidRPr="00CA0A60">
        <w:rPr>
          <w:rFonts w:ascii="Garamond" w:eastAsia="MS Mincho" w:hAnsi="Garamond" w:cs="Times New Roman"/>
          <w:sz w:val="18"/>
          <w:szCs w:val="18"/>
          <w:lang w:val="es-AR" w:eastAsia="es-ES"/>
        </w:rPr>
        <w:t>s</w:t>
      </w:r>
      <w:r w:rsidRPr="00CA0A60">
        <w:rPr>
          <w:rFonts w:ascii="Garamond" w:eastAsia="MS Mincho" w:hAnsi="Garamond" w:cs="Times New Roman"/>
          <w:sz w:val="18"/>
          <w:szCs w:val="18"/>
          <w:lang w:val="es-AR" w:eastAsia="es-ES"/>
        </w:rPr>
        <w:t xml:space="preserve"> “</w:t>
      </w:r>
      <w:r w:rsidRPr="00CA0A60">
        <w:rPr>
          <w:rFonts w:ascii="Garamond" w:eastAsia="MS Mincho" w:hAnsi="Garamond" w:cs="Times New Roman"/>
          <w:sz w:val="18"/>
          <w:szCs w:val="18"/>
          <w:u w:val="single"/>
          <w:lang w:val="es-AR" w:eastAsia="es-ES"/>
        </w:rPr>
        <w:t>Co-Emisoras</w:t>
      </w:r>
      <w:r w:rsidRPr="00CA0A60">
        <w:rPr>
          <w:rFonts w:ascii="Garamond" w:eastAsia="MS Mincho" w:hAnsi="Garamond" w:cs="Times New Roman"/>
          <w:sz w:val="18"/>
          <w:szCs w:val="18"/>
          <w:lang w:val="es-AR" w:eastAsia="es-ES"/>
        </w:rPr>
        <w:t xml:space="preserve">”), por un valor nominal de hasta </w:t>
      </w:r>
      <w:r w:rsidR="00143253" w:rsidRPr="00CA0A60">
        <w:rPr>
          <w:rFonts w:ascii="Garamond" w:eastAsia="MS Mincho" w:hAnsi="Garamond" w:cs="Times New Roman"/>
          <w:sz w:val="18"/>
          <w:szCs w:val="18"/>
          <w:lang w:val="es-AR" w:eastAsia="es-ES"/>
        </w:rPr>
        <w:t>U$S</w:t>
      </w:r>
      <w:r w:rsidRPr="00CA0A60">
        <w:rPr>
          <w:rFonts w:ascii="Garamond" w:eastAsia="MS Mincho" w:hAnsi="Garamond" w:cs="Times New Roman"/>
          <w:sz w:val="18"/>
          <w:szCs w:val="18"/>
          <w:lang w:val="es-AR" w:eastAsia="es-ES"/>
        </w:rPr>
        <w:t xml:space="preserve"> </w:t>
      </w:r>
      <w:r w:rsidR="00914394">
        <w:rPr>
          <w:rFonts w:ascii="Garamond" w:eastAsia="MS Mincho" w:hAnsi="Garamond" w:cs="Times New Roman"/>
          <w:smallCaps/>
          <w:sz w:val="18"/>
          <w:szCs w:val="18"/>
          <w:lang w:val="es-AR" w:eastAsia="es-ES"/>
        </w:rPr>
        <w:t>85</w:t>
      </w:r>
      <w:r w:rsidR="00D437A2" w:rsidRPr="00CA0A60">
        <w:rPr>
          <w:rFonts w:ascii="Garamond" w:eastAsia="MS Mincho" w:hAnsi="Garamond" w:cs="Times New Roman"/>
          <w:smallCaps/>
          <w:sz w:val="18"/>
          <w:szCs w:val="18"/>
          <w:lang w:val="es-AR" w:eastAsia="es-ES"/>
        </w:rPr>
        <w:t>.000.000</w:t>
      </w:r>
      <w:r w:rsidR="00E03A56" w:rsidRPr="00CA0A60">
        <w:rPr>
          <w:rFonts w:ascii="Garamond" w:eastAsia="MS Mincho" w:hAnsi="Garamond" w:cs="Times New Roman"/>
          <w:sz w:val="18"/>
          <w:szCs w:val="18"/>
          <w:lang w:val="es-AR" w:eastAsia="es-ES"/>
        </w:rPr>
        <w:t xml:space="preserve"> (</w:t>
      </w:r>
      <w:r w:rsidR="00D9349F" w:rsidRPr="00CA0A60">
        <w:rPr>
          <w:rFonts w:ascii="Garamond" w:eastAsia="MS Mincho" w:hAnsi="Garamond" w:cs="Times New Roman"/>
          <w:sz w:val="18"/>
          <w:szCs w:val="18"/>
          <w:lang w:val="es-AR" w:eastAsia="es-ES"/>
        </w:rPr>
        <w:t>D</w:t>
      </w:r>
      <w:r w:rsidR="00E03A56" w:rsidRPr="00CA0A60">
        <w:rPr>
          <w:rFonts w:ascii="Garamond" w:eastAsia="MS Mincho" w:hAnsi="Garamond" w:cs="Times New Roman"/>
          <w:sz w:val="18"/>
          <w:szCs w:val="18"/>
          <w:lang w:val="es-AR" w:eastAsia="es-ES"/>
        </w:rPr>
        <w:t xml:space="preserve">ólares </w:t>
      </w:r>
      <w:r w:rsidR="00D9349F" w:rsidRPr="00CA0A60">
        <w:rPr>
          <w:rFonts w:ascii="Garamond" w:eastAsia="MS Mincho" w:hAnsi="Garamond" w:cs="Times New Roman"/>
          <w:sz w:val="18"/>
          <w:szCs w:val="18"/>
          <w:lang w:val="es-AR" w:eastAsia="es-ES"/>
        </w:rPr>
        <w:t>E</w:t>
      </w:r>
      <w:r w:rsidR="00E03A56" w:rsidRPr="00CA0A60">
        <w:rPr>
          <w:rFonts w:ascii="Garamond" w:eastAsia="MS Mincho" w:hAnsi="Garamond" w:cs="Times New Roman"/>
          <w:sz w:val="18"/>
          <w:szCs w:val="18"/>
          <w:lang w:val="es-AR" w:eastAsia="es-ES"/>
        </w:rPr>
        <w:t xml:space="preserve">stadounidenses </w:t>
      </w:r>
      <w:r w:rsidR="00D437A2" w:rsidRPr="00CA0A60">
        <w:rPr>
          <w:rFonts w:ascii="Garamond" w:eastAsia="MS Mincho" w:hAnsi="Garamond" w:cs="Times New Roman"/>
          <w:sz w:val="18"/>
          <w:szCs w:val="18"/>
          <w:lang w:val="es-AR" w:eastAsia="es-ES"/>
        </w:rPr>
        <w:t>noventa</w:t>
      </w:r>
      <w:r w:rsidR="00E96C75" w:rsidRPr="00CA0A60">
        <w:rPr>
          <w:rFonts w:ascii="Garamond" w:eastAsia="MS Mincho" w:hAnsi="Garamond" w:cs="Times New Roman"/>
          <w:sz w:val="18"/>
          <w:szCs w:val="18"/>
          <w:lang w:val="es-AR" w:eastAsia="es-ES"/>
        </w:rPr>
        <w:t xml:space="preserve"> </w:t>
      </w:r>
      <w:r w:rsidR="00E03A56" w:rsidRPr="00CA0A60">
        <w:rPr>
          <w:rFonts w:ascii="Garamond" w:eastAsia="MS Mincho" w:hAnsi="Garamond" w:cs="Times New Roman"/>
          <w:sz w:val="18"/>
          <w:szCs w:val="18"/>
          <w:lang w:val="es-AR" w:eastAsia="es-ES"/>
        </w:rPr>
        <w:t>millones)</w:t>
      </w:r>
      <w:r w:rsidR="00F8263A" w:rsidRPr="00CA0A60">
        <w:rPr>
          <w:rFonts w:ascii="Garamond" w:eastAsia="MS Mincho" w:hAnsi="Garamond" w:cs="Times New Roman"/>
          <w:sz w:val="18"/>
          <w:szCs w:val="18"/>
          <w:lang w:val="es-AR" w:eastAsia="es-ES"/>
        </w:rPr>
        <w:t xml:space="preserve"> </w:t>
      </w:r>
      <w:r w:rsidRPr="00CA0A60">
        <w:rPr>
          <w:rFonts w:ascii="Garamond" w:eastAsia="MS Mincho" w:hAnsi="Garamond" w:cs="Times New Roman"/>
          <w:sz w:val="18"/>
          <w:szCs w:val="18"/>
          <w:lang w:val="es-AR" w:eastAsia="es-ES"/>
        </w:rPr>
        <w:t xml:space="preserve">en el marco del </w:t>
      </w:r>
      <w:r w:rsidR="00420D4E" w:rsidRPr="00CA0A60">
        <w:rPr>
          <w:rFonts w:ascii="Garamond" w:eastAsia="MS Mincho" w:hAnsi="Garamond" w:cs="Times New Roman"/>
          <w:sz w:val="18"/>
          <w:szCs w:val="18"/>
          <w:lang w:val="es-AR" w:eastAsia="es-ES"/>
        </w:rPr>
        <w:t>p</w:t>
      </w:r>
      <w:r w:rsidRPr="00CA0A60">
        <w:rPr>
          <w:rFonts w:ascii="Garamond" w:eastAsia="MS Mincho" w:hAnsi="Garamond" w:cs="Times New Roman"/>
          <w:sz w:val="18"/>
          <w:szCs w:val="18"/>
          <w:lang w:val="es-AR" w:eastAsia="es-ES"/>
        </w:rPr>
        <w:t xml:space="preserve">rograma de </w:t>
      </w:r>
      <w:r w:rsidR="00420D4E" w:rsidRPr="00CA0A60">
        <w:rPr>
          <w:rFonts w:ascii="Garamond" w:eastAsia="MS Mincho" w:hAnsi="Garamond" w:cs="Times New Roman"/>
          <w:sz w:val="18"/>
          <w:szCs w:val="18"/>
          <w:lang w:val="es-AR" w:eastAsia="es-ES"/>
        </w:rPr>
        <w:t>e</w:t>
      </w:r>
      <w:r w:rsidRPr="00CA0A60">
        <w:rPr>
          <w:rFonts w:ascii="Garamond" w:eastAsia="MS Mincho" w:hAnsi="Garamond" w:cs="Times New Roman"/>
          <w:sz w:val="18"/>
          <w:szCs w:val="18"/>
          <w:lang w:val="es-AR" w:eastAsia="es-ES"/>
        </w:rPr>
        <w:t xml:space="preserve">misión de </w:t>
      </w:r>
      <w:r w:rsidR="00420D4E" w:rsidRPr="00CA0A60">
        <w:rPr>
          <w:rFonts w:ascii="Garamond" w:eastAsia="MS Mincho" w:hAnsi="Garamond" w:cs="Times New Roman"/>
          <w:sz w:val="18"/>
          <w:szCs w:val="18"/>
          <w:lang w:val="es-AR" w:eastAsia="es-ES"/>
        </w:rPr>
        <w:t>o</w:t>
      </w:r>
      <w:r w:rsidRPr="00CA0A60">
        <w:rPr>
          <w:rFonts w:ascii="Garamond" w:eastAsia="MS Mincho" w:hAnsi="Garamond" w:cs="Times New Roman"/>
          <w:sz w:val="18"/>
          <w:szCs w:val="18"/>
          <w:lang w:val="es-AR" w:eastAsia="es-ES"/>
        </w:rPr>
        <w:t xml:space="preserve">bligaciones </w:t>
      </w:r>
      <w:r w:rsidR="00420D4E" w:rsidRPr="00CA0A60">
        <w:rPr>
          <w:rFonts w:ascii="Garamond" w:eastAsia="MS Mincho" w:hAnsi="Garamond" w:cs="Times New Roman"/>
          <w:sz w:val="18"/>
          <w:szCs w:val="18"/>
          <w:lang w:val="es-AR" w:eastAsia="es-ES"/>
        </w:rPr>
        <w:t>n</w:t>
      </w:r>
      <w:r w:rsidRPr="00CA0A60">
        <w:rPr>
          <w:rFonts w:ascii="Garamond" w:eastAsia="MS Mincho" w:hAnsi="Garamond" w:cs="Times New Roman"/>
          <w:sz w:val="18"/>
          <w:szCs w:val="18"/>
          <w:lang w:val="es-AR" w:eastAsia="es-ES"/>
        </w:rPr>
        <w:t xml:space="preserve">egociables </w:t>
      </w:r>
      <w:r w:rsidR="00420D4E" w:rsidRPr="00CA0A60">
        <w:rPr>
          <w:rFonts w:ascii="Garamond" w:eastAsia="MS Mincho" w:hAnsi="Garamond" w:cs="Times New Roman"/>
          <w:sz w:val="18"/>
          <w:szCs w:val="18"/>
          <w:lang w:val="es-AR" w:eastAsia="es-ES"/>
        </w:rPr>
        <w:t>s</w:t>
      </w:r>
      <w:r w:rsidRPr="00CA0A60">
        <w:rPr>
          <w:rFonts w:ascii="Garamond" w:eastAsia="MS Mincho" w:hAnsi="Garamond" w:cs="Times New Roman"/>
          <w:sz w:val="18"/>
          <w:szCs w:val="18"/>
          <w:lang w:val="es-AR" w:eastAsia="es-ES"/>
        </w:rPr>
        <w:t>imples (no convertibles en acciones) por hasta U$</w:t>
      </w:r>
      <w:r w:rsidR="00CC5595" w:rsidRPr="00CA0A60">
        <w:rPr>
          <w:rFonts w:ascii="Garamond" w:eastAsia="MS Mincho" w:hAnsi="Garamond" w:cs="Times New Roman"/>
          <w:sz w:val="18"/>
          <w:szCs w:val="18"/>
          <w:lang w:val="es-AR" w:eastAsia="es-ES"/>
        </w:rPr>
        <w:t xml:space="preserve">S </w:t>
      </w:r>
      <w:r w:rsidR="004761E7" w:rsidRPr="00CA0A60">
        <w:rPr>
          <w:rFonts w:ascii="Garamond" w:eastAsia="MS Mincho" w:hAnsi="Garamond" w:cs="Times New Roman"/>
          <w:sz w:val="18"/>
          <w:szCs w:val="18"/>
          <w:lang w:val="es-AR" w:eastAsia="es-ES"/>
        </w:rPr>
        <w:t>300.000.000</w:t>
      </w:r>
      <w:r w:rsidRPr="00CA0A60">
        <w:rPr>
          <w:rFonts w:ascii="Garamond" w:eastAsia="MS Mincho" w:hAnsi="Garamond" w:cs="Times New Roman"/>
          <w:sz w:val="18"/>
          <w:szCs w:val="18"/>
          <w:lang w:val="es-AR" w:eastAsia="es-ES"/>
        </w:rPr>
        <w:t xml:space="preserve"> </w:t>
      </w:r>
      <w:r w:rsidR="00E03A56" w:rsidRPr="00CA0A60">
        <w:rPr>
          <w:rFonts w:ascii="Garamond" w:eastAsia="MS Mincho" w:hAnsi="Garamond" w:cs="Times New Roman"/>
          <w:sz w:val="18"/>
          <w:szCs w:val="18"/>
          <w:lang w:val="es-AR" w:eastAsia="es-ES"/>
        </w:rPr>
        <w:t>(</w:t>
      </w:r>
      <w:r w:rsidR="00D9349F" w:rsidRPr="00CA0A60">
        <w:rPr>
          <w:rFonts w:ascii="Garamond" w:eastAsia="MS Mincho" w:hAnsi="Garamond" w:cs="Times New Roman"/>
          <w:sz w:val="18"/>
          <w:szCs w:val="18"/>
          <w:lang w:val="es-AR" w:eastAsia="es-ES"/>
        </w:rPr>
        <w:t>D</w:t>
      </w:r>
      <w:r w:rsidR="00E03A56" w:rsidRPr="00CA0A60">
        <w:rPr>
          <w:rFonts w:ascii="Garamond" w:eastAsia="MS Mincho" w:hAnsi="Garamond" w:cs="Times New Roman"/>
          <w:sz w:val="18"/>
          <w:szCs w:val="18"/>
          <w:lang w:val="es-AR" w:eastAsia="es-ES"/>
        </w:rPr>
        <w:t xml:space="preserve">ólares </w:t>
      </w:r>
      <w:r w:rsidR="00D9349F" w:rsidRPr="00CA0A60">
        <w:rPr>
          <w:rFonts w:ascii="Garamond" w:eastAsia="MS Mincho" w:hAnsi="Garamond" w:cs="Times New Roman"/>
          <w:sz w:val="18"/>
          <w:szCs w:val="18"/>
          <w:lang w:val="es-AR" w:eastAsia="es-ES"/>
        </w:rPr>
        <w:t>E</w:t>
      </w:r>
      <w:r w:rsidR="00E03A56" w:rsidRPr="00CA0A60">
        <w:rPr>
          <w:rFonts w:ascii="Garamond" w:eastAsia="MS Mincho" w:hAnsi="Garamond" w:cs="Times New Roman"/>
          <w:sz w:val="18"/>
          <w:szCs w:val="18"/>
          <w:lang w:val="es-AR" w:eastAsia="es-ES"/>
        </w:rPr>
        <w:t xml:space="preserve">stadounidenses trescientos millones) </w:t>
      </w:r>
      <w:r w:rsidRPr="00CA0A60">
        <w:rPr>
          <w:rFonts w:ascii="Garamond" w:eastAsia="MS Mincho" w:hAnsi="Garamond" w:cs="Times New Roman"/>
          <w:sz w:val="18"/>
          <w:szCs w:val="18"/>
          <w:lang w:val="es-AR" w:eastAsia="es-ES"/>
        </w:rPr>
        <w:t>(o su equivalente en otras monedas) (el “</w:t>
      </w:r>
      <w:r w:rsidRPr="00CA0A60">
        <w:rPr>
          <w:rFonts w:ascii="Garamond" w:eastAsia="MS Mincho" w:hAnsi="Garamond" w:cs="Times New Roman"/>
          <w:sz w:val="18"/>
          <w:szCs w:val="18"/>
          <w:u w:val="single"/>
          <w:lang w:val="es-AR" w:eastAsia="es-ES"/>
        </w:rPr>
        <w:t>Programa</w:t>
      </w:r>
      <w:r w:rsidRPr="00CA0A60">
        <w:rPr>
          <w:rFonts w:ascii="Garamond" w:eastAsia="MS Mincho" w:hAnsi="Garamond" w:cs="Times New Roman"/>
          <w:sz w:val="18"/>
          <w:szCs w:val="18"/>
          <w:lang w:val="es-AR" w:eastAsia="es-ES"/>
        </w:rPr>
        <w:t xml:space="preserve">”). </w:t>
      </w:r>
    </w:p>
    <w:p w14:paraId="49F7394C" w14:textId="77777777" w:rsidR="002E067D" w:rsidRPr="00CA0A60" w:rsidRDefault="002E067D" w:rsidP="002E067D">
      <w:pPr>
        <w:widowControl w:val="0"/>
        <w:spacing w:after="60" w:line="240" w:lineRule="auto"/>
        <w:ind w:left="-142" w:right="-283"/>
        <w:jc w:val="both"/>
        <w:rPr>
          <w:rFonts w:ascii="Garamond" w:eastAsia="MS Mincho" w:hAnsi="Garamond" w:cs="Times New Roman"/>
          <w:sz w:val="18"/>
          <w:szCs w:val="18"/>
          <w:lang w:val="es-AR" w:eastAsia="es-ES"/>
        </w:rPr>
      </w:pPr>
      <w:r w:rsidRPr="00CA0A60">
        <w:rPr>
          <w:rFonts w:ascii="Garamond" w:eastAsia="MS Mincho" w:hAnsi="Garamond" w:cs="Times New Roman"/>
          <w:sz w:val="18"/>
          <w:szCs w:val="18"/>
          <w:lang w:val="es-AR" w:eastAsia="es-ES"/>
        </w:rPr>
        <w:t>Las Obligaciones Negociables serán emitidas de conformidad con la Ley N° 23.576 de Obligaciones Negociables y sus modificatorias (la “</w:t>
      </w:r>
      <w:r w:rsidRPr="00CA0A60">
        <w:rPr>
          <w:rFonts w:ascii="Garamond" w:eastAsia="MS Mincho" w:hAnsi="Garamond" w:cs="Times New Roman"/>
          <w:sz w:val="18"/>
          <w:szCs w:val="18"/>
          <w:u w:val="single"/>
          <w:lang w:val="es-AR" w:eastAsia="es-ES"/>
        </w:rPr>
        <w:t>Ley de Obligaciones Negociables</w:t>
      </w:r>
      <w:r w:rsidRPr="00CA0A60">
        <w:rPr>
          <w:rFonts w:ascii="Garamond" w:eastAsia="MS Mincho" w:hAnsi="Garamond" w:cs="Times New Roman"/>
          <w:sz w:val="18"/>
          <w:szCs w:val="18"/>
          <w:lang w:val="es-AR" w:eastAsia="es-ES"/>
        </w:rPr>
        <w:t>” o “</w:t>
      </w:r>
      <w:r w:rsidRPr="00CA0A60">
        <w:rPr>
          <w:rFonts w:ascii="Garamond" w:eastAsia="MS Mincho" w:hAnsi="Garamond" w:cs="Times New Roman"/>
          <w:sz w:val="18"/>
          <w:szCs w:val="18"/>
          <w:u w:val="single"/>
          <w:lang w:val="es-AR" w:eastAsia="es-ES"/>
        </w:rPr>
        <w:t>Ley de Obligaciones Negociables de Argentina</w:t>
      </w:r>
      <w:r w:rsidRPr="00CA0A60">
        <w:rPr>
          <w:rFonts w:ascii="Garamond" w:eastAsia="MS Mincho" w:hAnsi="Garamond" w:cs="Times New Roman"/>
          <w:sz w:val="18"/>
          <w:szCs w:val="18"/>
          <w:lang w:val="es-AR" w:eastAsia="es-ES"/>
        </w:rPr>
        <w:t xml:space="preserve">”), la Ley N° 26.831 de Mercado de Capitales, sus modificatorias y reglamentarias, incluyendo, sin limitación, el Decreto N° 1023/13 y la Ley N° 27.440 </w:t>
      </w:r>
      <w:r w:rsidR="006D3BBA" w:rsidRPr="00CA0A60">
        <w:rPr>
          <w:rFonts w:ascii="Garamond" w:eastAsia="MS Mincho" w:hAnsi="Garamond" w:cs="Times New Roman"/>
          <w:sz w:val="18"/>
          <w:szCs w:val="18"/>
          <w:lang w:val="es-AR" w:eastAsia="es-ES"/>
        </w:rPr>
        <w:t>de Financiamiento Productivo</w:t>
      </w:r>
      <w:r w:rsidRPr="00CA0A60">
        <w:rPr>
          <w:rFonts w:ascii="Garamond" w:eastAsia="MS Mincho" w:hAnsi="Garamond" w:cs="Times New Roman"/>
          <w:sz w:val="18"/>
          <w:szCs w:val="18"/>
          <w:lang w:val="es-AR" w:eastAsia="es-ES"/>
        </w:rPr>
        <w:t xml:space="preserve"> y modificatorias (la “</w:t>
      </w:r>
      <w:r w:rsidRPr="00CA0A60">
        <w:rPr>
          <w:rFonts w:ascii="Garamond" w:eastAsia="MS Mincho" w:hAnsi="Garamond" w:cs="Times New Roman"/>
          <w:sz w:val="18"/>
          <w:szCs w:val="18"/>
          <w:u w:val="single"/>
          <w:lang w:val="es-AR" w:eastAsia="es-ES"/>
        </w:rPr>
        <w:t>Ley de Mercado de Capitales</w:t>
      </w:r>
      <w:r w:rsidRPr="00CA0A60">
        <w:rPr>
          <w:rFonts w:ascii="Garamond" w:eastAsia="MS Mincho" w:hAnsi="Garamond" w:cs="Times New Roman"/>
          <w:sz w:val="18"/>
          <w:szCs w:val="18"/>
          <w:lang w:val="es-AR" w:eastAsia="es-ES"/>
        </w:rPr>
        <w:t>”) y las normas de la Comisión Nacional de Valores (la “</w:t>
      </w:r>
      <w:r w:rsidRPr="00CA0A60">
        <w:rPr>
          <w:rFonts w:ascii="Garamond" w:eastAsia="MS Mincho" w:hAnsi="Garamond" w:cs="Times New Roman"/>
          <w:sz w:val="18"/>
          <w:szCs w:val="18"/>
          <w:u w:val="single"/>
          <w:lang w:val="es-AR" w:eastAsia="es-ES"/>
        </w:rPr>
        <w:t>CNV</w:t>
      </w:r>
      <w:r w:rsidRPr="00CA0A60">
        <w:rPr>
          <w:rFonts w:ascii="Garamond" w:eastAsia="MS Mincho" w:hAnsi="Garamond" w:cs="Times New Roman"/>
          <w:sz w:val="18"/>
          <w:szCs w:val="18"/>
          <w:lang w:val="es-AR" w:eastAsia="es-ES"/>
        </w:rPr>
        <w:t>”) según texto ordenado por la Resolución General N° 622/2013, y sus modificatorias (las “</w:t>
      </w:r>
      <w:r w:rsidRPr="00CA0A60">
        <w:rPr>
          <w:rFonts w:ascii="Garamond" w:eastAsia="MS Mincho" w:hAnsi="Garamond" w:cs="Times New Roman"/>
          <w:sz w:val="18"/>
          <w:szCs w:val="18"/>
          <w:u w:val="single"/>
          <w:lang w:val="es-AR" w:eastAsia="es-ES"/>
        </w:rPr>
        <w:t>Normas de la CNV</w:t>
      </w:r>
      <w:r w:rsidRPr="00CA0A60">
        <w:rPr>
          <w:rFonts w:ascii="Garamond" w:eastAsia="MS Mincho" w:hAnsi="Garamond" w:cs="Times New Roman"/>
          <w:sz w:val="18"/>
          <w:szCs w:val="18"/>
          <w:lang w:val="es-AR" w:eastAsia="es-ES"/>
        </w:rPr>
        <w:t>”) y cualquier otra ley y/o reglamentación aplicable. Las Obligaciones Negociables serán obligaciones negociables simples no convertibles en acciones, no subordinadas y contarán con las Garantías de las Obligaciones Negociables que se describen a continuación.</w:t>
      </w:r>
    </w:p>
    <w:p w14:paraId="38C4F51F" w14:textId="2CF60C8D" w:rsidR="00354069" w:rsidRPr="00CA0A60" w:rsidRDefault="00354069" w:rsidP="00354069">
      <w:pPr>
        <w:widowControl w:val="0"/>
        <w:spacing w:after="60" w:line="240" w:lineRule="auto"/>
        <w:ind w:left="-142" w:right="-283"/>
        <w:jc w:val="both"/>
        <w:rPr>
          <w:rFonts w:ascii="Garamond" w:eastAsia="MS Mincho" w:hAnsi="Garamond" w:cs="Times New Roman"/>
          <w:sz w:val="18"/>
          <w:szCs w:val="18"/>
          <w:lang w:val="es-AR" w:eastAsia="es-ES"/>
        </w:rPr>
      </w:pPr>
      <w:r w:rsidRPr="00CA0A60">
        <w:rPr>
          <w:rFonts w:ascii="Garamond" w:eastAsia="MS Mincho" w:hAnsi="Garamond" w:cs="Times New Roman"/>
          <w:sz w:val="18"/>
          <w:szCs w:val="18"/>
          <w:lang w:val="es-AR" w:eastAsia="es-ES"/>
        </w:rPr>
        <w:t>Las Co-Emisoras serán co-deudor</w:t>
      </w:r>
      <w:r w:rsidR="002E067D" w:rsidRPr="00CA0A60">
        <w:rPr>
          <w:rFonts w:ascii="Garamond" w:eastAsia="MS Mincho" w:hAnsi="Garamond" w:cs="Times New Roman"/>
          <w:sz w:val="18"/>
          <w:szCs w:val="18"/>
          <w:lang w:val="es-AR" w:eastAsia="es-ES"/>
        </w:rPr>
        <w:t>a</w:t>
      </w:r>
      <w:r w:rsidRPr="00CA0A60">
        <w:rPr>
          <w:rFonts w:ascii="Garamond" w:eastAsia="MS Mincho" w:hAnsi="Garamond" w:cs="Times New Roman"/>
          <w:sz w:val="18"/>
          <w:szCs w:val="18"/>
          <w:lang w:val="es-AR" w:eastAsia="es-ES"/>
        </w:rPr>
        <w:t>s en los términos del artículo 827 del Código Civil y Comercial de la Nación solidariamente responsables por todas las obligaciones que surjan de las Obligaciones Negociables.</w:t>
      </w:r>
      <w:r w:rsidR="00103261" w:rsidRPr="00CA0A60">
        <w:rPr>
          <w:rFonts w:ascii="Garamond" w:eastAsia="MS Mincho" w:hAnsi="Garamond" w:cs="Times New Roman"/>
          <w:sz w:val="18"/>
          <w:szCs w:val="18"/>
          <w:lang w:val="es-AR" w:eastAsia="es-ES"/>
        </w:rPr>
        <w:t xml:space="preserve"> Asimismo, las Obligaciones Negociables</w:t>
      </w:r>
      <w:r w:rsidRPr="00CA0A60">
        <w:rPr>
          <w:rFonts w:ascii="Garamond" w:eastAsia="MS Mincho" w:hAnsi="Garamond" w:cs="Times New Roman"/>
          <w:sz w:val="18"/>
          <w:szCs w:val="18"/>
          <w:lang w:val="es-AR" w:eastAsia="es-ES"/>
        </w:rPr>
        <w:t xml:space="preserve"> </w:t>
      </w:r>
      <w:r w:rsidR="00F96021" w:rsidRPr="00CA0A60">
        <w:rPr>
          <w:rFonts w:ascii="Garamond" w:eastAsia="MS Mincho" w:hAnsi="Garamond" w:cs="Times New Roman"/>
          <w:sz w:val="18"/>
          <w:szCs w:val="18"/>
          <w:lang w:val="es-AR" w:eastAsia="es-ES"/>
        </w:rPr>
        <w:t xml:space="preserve">estarán </w:t>
      </w:r>
      <w:r w:rsidR="00103261" w:rsidRPr="00CA0A60">
        <w:rPr>
          <w:rFonts w:ascii="Garamond" w:eastAsia="MS Mincho" w:hAnsi="Garamond" w:cs="Times New Roman"/>
          <w:sz w:val="18"/>
          <w:szCs w:val="18"/>
          <w:lang w:val="es-AR" w:eastAsia="es-ES"/>
        </w:rPr>
        <w:t xml:space="preserve">(i) </w:t>
      </w:r>
      <w:r w:rsidR="00773AAF">
        <w:rPr>
          <w:rFonts w:ascii="Garamond" w:eastAsia="MS Mincho" w:hAnsi="Garamond" w:cs="Times New Roman"/>
          <w:sz w:val="18"/>
          <w:szCs w:val="18"/>
          <w:lang w:val="es-AR" w:eastAsia="es-ES"/>
        </w:rPr>
        <w:t xml:space="preserve">inicialmente, </w:t>
      </w:r>
      <w:r w:rsidR="002830AF" w:rsidRPr="00CA0A60">
        <w:rPr>
          <w:rFonts w:ascii="Garamond" w:eastAsia="MS Mincho" w:hAnsi="Garamond" w:cs="Times New Roman"/>
          <w:sz w:val="18"/>
          <w:szCs w:val="18"/>
          <w:lang w:val="es-AR" w:eastAsia="es-ES"/>
        </w:rPr>
        <w:t xml:space="preserve">afianzadas </w:t>
      </w:r>
      <w:r w:rsidRPr="00CA0A60">
        <w:rPr>
          <w:rFonts w:ascii="Garamond" w:eastAsia="MS Mincho" w:hAnsi="Garamond" w:cs="Times New Roman"/>
          <w:sz w:val="18"/>
          <w:szCs w:val="18"/>
          <w:lang w:val="es-AR" w:eastAsia="es-ES"/>
        </w:rPr>
        <w:t>incondicional, irrevocable y solidariamente en su totalidad por Albanesi S.A. (“</w:t>
      </w:r>
      <w:r w:rsidRPr="00CA0A60">
        <w:rPr>
          <w:rFonts w:ascii="Garamond" w:eastAsia="MS Mincho" w:hAnsi="Garamond" w:cs="Times New Roman"/>
          <w:sz w:val="18"/>
          <w:szCs w:val="18"/>
          <w:u w:val="single"/>
          <w:lang w:val="es-AR" w:eastAsia="es-ES"/>
        </w:rPr>
        <w:t>Albanesi</w:t>
      </w:r>
      <w:r w:rsidRPr="00CA0A60">
        <w:rPr>
          <w:rFonts w:ascii="Garamond" w:eastAsia="MS Mincho" w:hAnsi="Garamond" w:cs="Times New Roman"/>
          <w:sz w:val="18"/>
          <w:szCs w:val="18"/>
          <w:lang w:val="es-AR" w:eastAsia="es-ES"/>
        </w:rPr>
        <w:t>”</w:t>
      </w:r>
      <w:r w:rsidR="00103261" w:rsidRPr="00CA0A60">
        <w:rPr>
          <w:rFonts w:ascii="Garamond" w:eastAsia="MS Mincho" w:hAnsi="Garamond" w:cs="Times New Roman"/>
          <w:sz w:val="18"/>
          <w:szCs w:val="18"/>
          <w:lang w:val="es-AR" w:eastAsia="es-ES"/>
        </w:rPr>
        <w:t xml:space="preserve">, </w:t>
      </w:r>
      <w:r w:rsidRPr="00CA0A60">
        <w:rPr>
          <w:rFonts w:ascii="Garamond" w:eastAsia="MS Mincho" w:hAnsi="Garamond" w:cs="Times New Roman"/>
          <w:sz w:val="18"/>
          <w:szCs w:val="18"/>
          <w:lang w:val="es-AR" w:eastAsia="es-ES"/>
        </w:rPr>
        <w:t>el “</w:t>
      </w:r>
      <w:r w:rsidRPr="00CA0A60">
        <w:rPr>
          <w:rFonts w:ascii="Garamond" w:eastAsia="MS Mincho" w:hAnsi="Garamond" w:cs="Times New Roman"/>
          <w:sz w:val="18"/>
          <w:szCs w:val="18"/>
          <w:u w:val="single"/>
          <w:lang w:val="es-AR" w:eastAsia="es-ES"/>
        </w:rPr>
        <w:t>Garante</w:t>
      </w:r>
      <w:r w:rsidRPr="00CA0A60">
        <w:rPr>
          <w:rFonts w:ascii="Garamond" w:eastAsia="MS Mincho" w:hAnsi="Garamond" w:cs="Times New Roman"/>
          <w:sz w:val="18"/>
          <w:szCs w:val="18"/>
          <w:lang w:val="es-AR" w:eastAsia="es-ES"/>
        </w:rPr>
        <w:t>” o “</w:t>
      </w:r>
      <w:r w:rsidRPr="00CA0A60">
        <w:rPr>
          <w:rFonts w:ascii="Garamond" w:eastAsia="MS Mincho" w:hAnsi="Garamond" w:cs="Times New Roman"/>
          <w:sz w:val="18"/>
          <w:szCs w:val="18"/>
          <w:u w:val="single"/>
          <w:lang w:val="es-AR" w:eastAsia="es-ES"/>
        </w:rPr>
        <w:t>ASA</w:t>
      </w:r>
      <w:r w:rsidRPr="00CA0A60">
        <w:rPr>
          <w:rFonts w:ascii="Garamond" w:eastAsia="MS Mincho" w:hAnsi="Garamond" w:cs="Times New Roman"/>
          <w:sz w:val="18"/>
          <w:szCs w:val="18"/>
          <w:lang w:val="es-AR" w:eastAsia="es-ES"/>
        </w:rPr>
        <w:t>”), una sociedad anónima constituida de conformidad con las leyes de Argentina y sociedad controlante de las Compañías (la “</w:t>
      </w:r>
      <w:r w:rsidRPr="00CA0A60">
        <w:rPr>
          <w:rFonts w:ascii="Garamond" w:eastAsia="MS Mincho" w:hAnsi="Garamond" w:cs="Times New Roman"/>
          <w:sz w:val="18"/>
          <w:szCs w:val="18"/>
          <w:u w:val="single"/>
          <w:lang w:val="es-AR" w:eastAsia="es-ES"/>
        </w:rPr>
        <w:t>Garantía de ASA</w:t>
      </w:r>
      <w:r w:rsidRPr="00CA0A60">
        <w:rPr>
          <w:rFonts w:ascii="Garamond" w:eastAsia="MS Mincho" w:hAnsi="Garamond" w:cs="Times New Roman"/>
          <w:sz w:val="18"/>
          <w:szCs w:val="18"/>
          <w:lang w:val="es-AR" w:eastAsia="es-ES"/>
        </w:rPr>
        <w:t>”)</w:t>
      </w:r>
      <w:r w:rsidR="00773AAF">
        <w:rPr>
          <w:rFonts w:ascii="Garamond" w:eastAsia="MS Mincho" w:hAnsi="Garamond" w:cs="Times New Roman"/>
          <w:sz w:val="18"/>
          <w:szCs w:val="18"/>
          <w:lang w:val="es-AR" w:eastAsia="es-ES"/>
        </w:rPr>
        <w:t>,</w:t>
      </w:r>
      <w:r w:rsidR="00395373" w:rsidRPr="00395373">
        <w:rPr>
          <w:rFonts w:ascii="Garamond" w:eastAsia="MS Mincho" w:hAnsi="Garamond" w:cs="Times New Roman"/>
          <w:sz w:val="18"/>
          <w:szCs w:val="18"/>
          <w:lang w:val="es-AR" w:eastAsia="es-ES"/>
        </w:rPr>
        <w:t xml:space="preserve"> y posteriormente, por cualquier Subsidiaria Restringida (conforme se define más adelante) de Albanesi que deba brindar una Garantía (conforme se define más adelante) con respecto a las Obligaciones Negociables tal como se describen más adelante en la sección “</w:t>
      </w:r>
      <w:r w:rsidR="00395373" w:rsidRPr="00395373">
        <w:rPr>
          <w:rFonts w:ascii="Garamond" w:eastAsia="MS Mincho" w:hAnsi="Garamond" w:cs="Times New Roman"/>
          <w:i/>
          <w:sz w:val="18"/>
          <w:szCs w:val="18"/>
          <w:lang w:val="es-AR" w:eastAsia="es-ES"/>
        </w:rPr>
        <w:t>Descripción de las Obligaciones Negociables—Garantías de ASA—Garantías de Obligaciones Negociables Futuras</w:t>
      </w:r>
      <w:r w:rsidR="00395373" w:rsidRPr="00395373">
        <w:rPr>
          <w:rFonts w:ascii="Garamond" w:eastAsia="MS Mincho" w:hAnsi="Garamond" w:cs="Times New Roman"/>
          <w:sz w:val="18"/>
          <w:szCs w:val="18"/>
          <w:lang w:val="es-AR" w:eastAsia="es-ES"/>
        </w:rPr>
        <w:t>” del presente Suplemento</w:t>
      </w:r>
      <w:r w:rsidR="00337725" w:rsidRPr="00CA0A60">
        <w:rPr>
          <w:rFonts w:ascii="Garamond" w:eastAsia="MS Mincho" w:hAnsi="Garamond" w:cs="Times New Roman"/>
          <w:sz w:val="18"/>
          <w:szCs w:val="18"/>
          <w:lang w:val="es-AR" w:eastAsia="es-ES"/>
        </w:rPr>
        <w:t>;</w:t>
      </w:r>
      <w:r w:rsidR="00BA1135" w:rsidRPr="00CA0A60">
        <w:rPr>
          <w:rFonts w:ascii="Garamond" w:eastAsia="MS Mincho" w:hAnsi="Garamond" w:cs="Times New Roman"/>
          <w:sz w:val="18"/>
          <w:szCs w:val="18"/>
          <w:lang w:val="es-AR" w:eastAsia="es-ES"/>
        </w:rPr>
        <w:t xml:space="preserve"> y</w:t>
      </w:r>
      <w:r w:rsidR="00103261" w:rsidRPr="00CA0A60">
        <w:rPr>
          <w:rFonts w:ascii="Garamond" w:eastAsia="MS Mincho" w:hAnsi="Garamond" w:cs="Times New Roman"/>
          <w:sz w:val="18"/>
          <w:szCs w:val="18"/>
          <w:lang w:val="es-AR" w:eastAsia="es-ES"/>
        </w:rPr>
        <w:t xml:space="preserve"> (ii) </w:t>
      </w:r>
      <w:r w:rsidR="002830AF" w:rsidRPr="00CA0A60">
        <w:rPr>
          <w:rFonts w:ascii="Garamond" w:eastAsia="MS Mincho" w:hAnsi="Garamond" w:cs="Times New Roman"/>
          <w:sz w:val="18"/>
          <w:szCs w:val="18"/>
          <w:lang w:val="es-AR" w:eastAsia="es-ES"/>
        </w:rPr>
        <w:t xml:space="preserve">garantizadas </w:t>
      </w:r>
      <w:r w:rsidR="00103261" w:rsidRPr="00CA0A60">
        <w:rPr>
          <w:rFonts w:ascii="Garamond" w:eastAsia="MS Mincho" w:hAnsi="Garamond" w:cs="Times New Roman"/>
          <w:sz w:val="18"/>
          <w:szCs w:val="18"/>
          <w:lang w:val="es-AR" w:eastAsia="es-ES"/>
        </w:rPr>
        <w:t>por</w:t>
      </w:r>
      <w:r w:rsidR="00B3500E" w:rsidRPr="00CA0A60">
        <w:rPr>
          <w:rFonts w:ascii="Garamond" w:eastAsia="MS Mincho" w:hAnsi="Garamond" w:cs="Times New Roman"/>
          <w:sz w:val="18"/>
          <w:szCs w:val="18"/>
          <w:lang w:val="es-AR" w:eastAsia="es-ES"/>
        </w:rPr>
        <w:t xml:space="preserve"> l</w:t>
      </w:r>
      <w:r w:rsidR="00457B0F" w:rsidRPr="00CA0A60">
        <w:rPr>
          <w:rFonts w:ascii="Garamond" w:eastAsia="MS Mincho" w:hAnsi="Garamond" w:cs="Times New Roman"/>
          <w:sz w:val="18"/>
          <w:szCs w:val="18"/>
          <w:lang w:val="es-AR" w:eastAsia="es-ES"/>
        </w:rPr>
        <w:t>o</w:t>
      </w:r>
      <w:r w:rsidR="00B3500E" w:rsidRPr="00CA0A60">
        <w:rPr>
          <w:rFonts w:ascii="Garamond" w:eastAsia="MS Mincho" w:hAnsi="Garamond" w:cs="Times New Roman"/>
          <w:sz w:val="18"/>
          <w:szCs w:val="18"/>
          <w:lang w:val="es-AR" w:eastAsia="es-ES"/>
        </w:rPr>
        <w:t xml:space="preserve">s </w:t>
      </w:r>
      <w:r w:rsidR="00457B0F" w:rsidRPr="00CA0A60">
        <w:rPr>
          <w:rFonts w:ascii="Garamond" w:eastAsia="MS Mincho" w:hAnsi="Garamond" w:cs="Times New Roman"/>
          <w:sz w:val="18"/>
          <w:szCs w:val="18"/>
          <w:lang w:val="es-AR" w:eastAsia="es-ES"/>
        </w:rPr>
        <w:t xml:space="preserve">Derechos de Garantía </w:t>
      </w:r>
      <w:r w:rsidR="008C25EF" w:rsidRPr="00CA0A60">
        <w:rPr>
          <w:rFonts w:ascii="Garamond" w:eastAsia="MS Mincho" w:hAnsi="Garamond" w:cs="Times New Roman"/>
          <w:sz w:val="18"/>
          <w:szCs w:val="18"/>
          <w:lang w:val="es-AR" w:eastAsia="es-ES"/>
        </w:rPr>
        <w:t>(según este término se define más adelante en el presente Suplemento)</w:t>
      </w:r>
      <w:r w:rsidR="00B3500E" w:rsidRPr="00CA0A60">
        <w:rPr>
          <w:rFonts w:ascii="Garamond" w:eastAsia="MS Mincho" w:hAnsi="Garamond" w:cs="Times New Roman"/>
          <w:sz w:val="18"/>
          <w:szCs w:val="18"/>
          <w:lang w:val="es-AR" w:eastAsia="es-ES"/>
        </w:rPr>
        <w:t>, incluyendo</w:t>
      </w:r>
      <w:r w:rsidR="00103261" w:rsidRPr="00CA0A60">
        <w:rPr>
          <w:rFonts w:ascii="Garamond" w:eastAsia="MS Mincho" w:hAnsi="Garamond" w:cs="Times New Roman"/>
          <w:sz w:val="18"/>
          <w:szCs w:val="18"/>
          <w:lang w:val="es-AR" w:eastAsia="es-ES"/>
        </w:rPr>
        <w:t xml:space="preserve"> un </w:t>
      </w:r>
      <w:r w:rsidR="00F42EA2" w:rsidRPr="00CA0A60">
        <w:rPr>
          <w:rFonts w:ascii="Garamond" w:eastAsia="MS Mincho" w:hAnsi="Garamond" w:cs="Times New Roman"/>
          <w:sz w:val="18"/>
          <w:szCs w:val="18"/>
          <w:lang w:val="es-AR" w:eastAsia="es-ES"/>
        </w:rPr>
        <w:t>f</w:t>
      </w:r>
      <w:r w:rsidR="00103261" w:rsidRPr="00CA0A60">
        <w:rPr>
          <w:rFonts w:ascii="Garamond" w:eastAsia="MS Mincho" w:hAnsi="Garamond" w:cs="Times New Roman"/>
          <w:sz w:val="18"/>
          <w:szCs w:val="18"/>
          <w:lang w:val="es-AR" w:eastAsia="es-ES"/>
        </w:rPr>
        <w:t xml:space="preserve">ideicomiso con </w:t>
      </w:r>
      <w:r w:rsidR="00F42EA2" w:rsidRPr="00CA0A60">
        <w:rPr>
          <w:rFonts w:ascii="Garamond" w:eastAsia="MS Mincho" w:hAnsi="Garamond" w:cs="Times New Roman"/>
          <w:sz w:val="18"/>
          <w:szCs w:val="18"/>
          <w:lang w:val="es-AR" w:eastAsia="es-ES"/>
        </w:rPr>
        <w:t>f</w:t>
      </w:r>
      <w:r w:rsidR="00103261" w:rsidRPr="00CA0A60">
        <w:rPr>
          <w:rFonts w:ascii="Garamond" w:eastAsia="MS Mincho" w:hAnsi="Garamond" w:cs="Times New Roman"/>
          <w:sz w:val="18"/>
          <w:szCs w:val="18"/>
          <w:lang w:val="es-AR" w:eastAsia="es-ES"/>
        </w:rPr>
        <w:t xml:space="preserve">ines de </w:t>
      </w:r>
      <w:r w:rsidR="00F42EA2" w:rsidRPr="00CA0A60">
        <w:rPr>
          <w:rFonts w:ascii="Garamond" w:eastAsia="MS Mincho" w:hAnsi="Garamond" w:cs="Times New Roman"/>
          <w:sz w:val="18"/>
          <w:szCs w:val="18"/>
          <w:lang w:val="es-AR" w:eastAsia="es-ES"/>
        </w:rPr>
        <w:t>g</w:t>
      </w:r>
      <w:r w:rsidR="00103261" w:rsidRPr="00CA0A60">
        <w:rPr>
          <w:rFonts w:ascii="Garamond" w:eastAsia="MS Mincho" w:hAnsi="Garamond" w:cs="Times New Roman"/>
          <w:sz w:val="18"/>
          <w:szCs w:val="18"/>
          <w:lang w:val="es-AR" w:eastAsia="es-ES"/>
        </w:rPr>
        <w:t>arantía,</w:t>
      </w:r>
      <w:r w:rsidR="000D4B32" w:rsidRPr="00CA0A60">
        <w:rPr>
          <w:rFonts w:ascii="Garamond" w:eastAsia="MS Mincho" w:hAnsi="Garamond" w:cs="Times New Roman"/>
          <w:sz w:val="18"/>
          <w:szCs w:val="18"/>
          <w:lang w:val="es-AR" w:eastAsia="es-ES"/>
        </w:rPr>
        <w:t xml:space="preserve"> </w:t>
      </w:r>
      <w:r w:rsidR="00103261" w:rsidRPr="00CA0A60">
        <w:rPr>
          <w:rFonts w:ascii="Garamond" w:eastAsia="MS Mincho" w:hAnsi="Garamond" w:cs="Times New Roman"/>
          <w:sz w:val="18"/>
          <w:szCs w:val="18"/>
          <w:lang w:val="es-AR" w:eastAsia="es-ES"/>
        </w:rPr>
        <w:t xml:space="preserve">ciertos </w:t>
      </w:r>
      <w:r w:rsidR="00F42EA2" w:rsidRPr="00CA0A60">
        <w:rPr>
          <w:rFonts w:ascii="Garamond" w:eastAsia="MS Mincho" w:hAnsi="Garamond" w:cs="Times New Roman"/>
          <w:sz w:val="18"/>
          <w:szCs w:val="18"/>
          <w:lang w:val="es-AR" w:eastAsia="es-ES"/>
        </w:rPr>
        <w:t>d</w:t>
      </w:r>
      <w:r w:rsidR="00103261" w:rsidRPr="00CA0A60">
        <w:rPr>
          <w:rFonts w:ascii="Garamond" w:eastAsia="MS Mincho" w:hAnsi="Garamond" w:cs="Times New Roman"/>
          <w:sz w:val="18"/>
          <w:szCs w:val="18"/>
          <w:lang w:val="es-AR" w:eastAsia="es-ES"/>
        </w:rPr>
        <w:t xml:space="preserve">erechos </w:t>
      </w:r>
      <w:r w:rsidR="00F42EA2" w:rsidRPr="00CA0A60">
        <w:rPr>
          <w:rFonts w:ascii="Garamond" w:eastAsia="MS Mincho" w:hAnsi="Garamond" w:cs="Times New Roman"/>
          <w:sz w:val="18"/>
          <w:szCs w:val="18"/>
          <w:lang w:val="es-AR" w:eastAsia="es-ES"/>
        </w:rPr>
        <w:t>r</w:t>
      </w:r>
      <w:r w:rsidR="00103261" w:rsidRPr="00CA0A60">
        <w:rPr>
          <w:rFonts w:ascii="Garamond" w:eastAsia="MS Mincho" w:hAnsi="Garamond" w:cs="Times New Roman"/>
          <w:sz w:val="18"/>
          <w:szCs w:val="18"/>
          <w:lang w:val="es-AR" w:eastAsia="es-ES"/>
        </w:rPr>
        <w:t xml:space="preserve">eales de </w:t>
      </w:r>
      <w:r w:rsidR="000568EB" w:rsidRPr="00CA0A60">
        <w:rPr>
          <w:rFonts w:ascii="Garamond" w:eastAsia="MS Mincho" w:hAnsi="Garamond" w:cs="Times New Roman"/>
          <w:sz w:val="18"/>
          <w:szCs w:val="18"/>
          <w:lang w:val="es-AR" w:eastAsia="es-ES"/>
        </w:rPr>
        <w:t>p</w:t>
      </w:r>
      <w:r w:rsidR="00103261" w:rsidRPr="00CA0A60">
        <w:rPr>
          <w:rFonts w:ascii="Garamond" w:eastAsia="MS Mincho" w:hAnsi="Garamond" w:cs="Times New Roman"/>
          <w:sz w:val="18"/>
          <w:szCs w:val="18"/>
          <w:lang w:val="es-AR" w:eastAsia="es-ES"/>
        </w:rPr>
        <w:t xml:space="preserve">renda, </w:t>
      </w:r>
      <w:r w:rsidR="00D437A2" w:rsidRPr="00CA0A60">
        <w:rPr>
          <w:rFonts w:ascii="Garamond" w:eastAsia="MS Mincho" w:hAnsi="Garamond" w:cs="Times New Roman"/>
          <w:sz w:val="18"/>
          <w:szCs w:val="18"/>
          <w:lang w:val="es-AR" w:eastAsia="es-ES"/>
        </w:rPr>
        <w:t>una</w:t>
      </w:r>
      <w:r w:rsidR="00103261" w:rsidRPr="00CA0A60">
        <w:rPr>
          <w:rFonts w:ascii="Garamond" w:eastAsia="MS Mincho" w:hAnsi="Garamond" w:cs="Times New Roman"/>
          <w:sz w:val="18"/>
          <w:szCs w:val="18"/>
          <w:lang w:val="es-AR" w:eastAsia="es-ES"/>
        </w:rPr>
        <w:t xml:space="preserve"> </w:t>
      </w:r>
      <w:r w:rsidR="00F42EA2" w:rsidRPr="00CA0A60">
        <w:rPr>
          <w:rFonts w:ascii="Garamond" w:eastAsia="MS Mincho" w:hAnsi="Garamond" w:cs="Times New Roman"/>
          <w:sz w:val="18"/>
          <w:szCs w:val="18"/>
          <w:lang w:val="es-AR" w:eastAsia="es-ES"/>
        </w:rPr>
        <w:t>h</w:t>
      </w:r>
      <w:r w:rsidR="00103261" w:rsidRPr="00CA0A60">
        <w:rPr>
          <w:rFonts w:ascii="Garamond" w:eastAsia="MS Mincho" w:hAnsi="Garamond" w:cs="Times New Roman"/>
          <w:sz w:val="18"/>
          <w:szCs w:val="18"/>
          <w:lang w:val="es-AR" w:eastAsia="es-ES"/>
        </w:rPr>
        <w:t>ipoteca</w:t>
      </w:r>
      <w:r w:rsidR="00D437A2" w:rsidRPr="00CA0A60">
        <w:rPr>
          <w:rFonts w:ascii="Garamond" w:eastAsia="MS Mincho" w:hAnsi="Garamond" w:cs="Times New Roman"/>
          <w:sz w:val="18"/>
          <w:szCs w:val="18"/>
          <w:lang w:val="es-AR" w:eastAsia="es-ES"/>
        </w:rPr>
        <w:t xml:space="preserve"> en primer grado de privilegio</w:t>
      </w:r>
      <w:r w:rsidR="004D05EA" w:rsidRPr="00CA0A60">
        <w:rPr>
          <w:rFonts w:ascii="Garamond" w:eastAsia="MS Mincho" w:hAnsi="Garamond" w:cs="Times New Roman"/>
          <w:sz w:val="18"/>
          <w:szCs w:val="18"/>
          <w:lang w:val="es-AR" w:eastAsia="es-ES"/>
        </w:rPr>
        <w:t xml:space="preserve"> y</w:t>
      </w:r>
      <w:r w:rsidR="00103261" w:rsidRPr="00CA0A60">
        <w:rPr>
          <w:rFonts w:ascii="Garamond" w:eastAsia="MS Mincho" w:hAnsi="Garamond" w:cs="Times New Roman"/>
          <w:sz w:val="18"/>
          <w:szCs w:val="18"/>
          <w:lang w:val="es-AR" w:eastAsia="es-ES"/>
        </w:rPr>
        <w:t xml:space="preserve"> una prenda en primer grado de privilegio</w:t>
      </w:r>
      <w:r w:rsidR="007D1401" w:rsidRPr="00CA0A60">
        <w:rPr>
          <w:rFonts w:ascii="Garamond" w:eastAsia="MS Mincho" w:hAnsi="Garamond" w:cs="Times New Roman"/>
          <w:sz w:val="18"/>
          <w:szCs w:val="18"/>
          <w:lang w:val="es-AR" w:eastAsia="es-ES"/>
        </w:rPr>
        <w:t xml:space="preserve"> sobre </w:t>
      </w:r>
      <w:r w:rsidR="002503D9" w:rsidRPr="00CA0A60">
        <w:rPr>
          <w:rFonts w:ascii="Garamond" w:eastAsia="MS Mincho" w:hAnsi="Garamond" w:cs="Times New Roman"/>
          <w:sz w:val="18"/>
          <w:szCs w:val="18"/>
          <w:lang w:val="es-AR" w:eastAsia="es-ES"/>
        </w:rPr>
        <w:t xml:space="preserve">todos los fondos depositados en </w:t>
      </w:r>
      <w:r w:rsidR="007D1401" w:rsidRPr="00CA0A60">
        <w:rPr>
          <w:rFonts w:ascii="Garamond" w:eastAsia="MS Mincho" w:hAnsi="Garamond" w:cs="Times New Roman"/>
          <w:sz w:val="18"/>
          <w:szCs w:val="18"/>
          <w:lang w:val="es-AR" w:eastAsia="es-ES"/>
        </w:rPr>
        <w:t>una Cuenta de Reserva</w:t>
      </w:r>
      <w:r w:rsidR="002503D9" w:rsidRPr="00CA0A60">
        <w:rPr>
          <w:rFonts w:ascii="Garamond" w:eastAsia="MS Mincho" w:hAnsi="Garamond" w:cs="Times New Roman"/>
          <w:sz w:val="18"/>
          <w:szCs w:val="18"/>
          <w:lang w:val="es-AR" w:eastAsia="es-ES"/>
        </w:rPr>
        <w:t xml:space="preserve"> regida por las leyes del Estado de Nueva York,</w:t>
      </w:r>
      <w:r w:rsidR="007D1401" w:rsidRPr="00CA0A60">
        <w:rPr>
          <w:rFonts w:ascii="Garamond" w:eastAsia="MS Mincho" w:hAnsi="Garamond" w:cs="Times New Roman"/>
          <w:sz w:val="18"/>
          <w:szCs w:val="18"/>
          <w:lang w:val="es-AR" w:eastAsia="es-ES"/>
        </w:rPr>
        <w:t xml:space="preserve"> (tal como dichos términos se definen más adelante</w:t>
      </w:r>
      <w:r w:rsidR="004E3079" w:rsidRPr="00CA0A60">
        <w:rPr>
          <w:rFonts w:ascii="Garamond" w:eastAsia="MS Mincho" w:hAnsi="Garamond" w:cs="Times New Roman"/>
          <w:sz w:val="18"/>
          <w:szCs w:val="18"/>
          <w:lang w:val="es-AR" w:eastAsia="es-ES"/>
        </w:rPr>
        <w:t xml:space="preserve"> en el presente Suplemento</w:t>
      </w:r>
      <w:r w:rsidR="007D1401" w:rsidRPr="00CA0A60">
        <w:rPr>
          <w:rFonts w:ascii="Garamond" w:eastAsia="MS Mincho" w:hAnsi="Garamond" w:cs="Times New Roman"/>
          <w:sz w:val="18"/>
          <w:szCs w:val="18"/>
          <w:lang w:val="es-AR" w:eastAsia="es-ES"/>
        </w:rPr>
        <w:t>)</w:t>
      </w:r>
      <w:r w:rsidR="00905EB1" w:rsidRPr="00CA0A60">
        <w:rPr>
          <w:rFonts w:ascii="Garamond" w:eastAsia="MS Mincho" w:hAnsi="Garamond" w:cs="Times New Roman"/>
          <w:sz w:val="18"/>
          <w:szCs w:val="18"/>
          <w:lang w:val="es-AR" w:eastAsia="es-ES"/>
        </w:rPr>
        <w:t xml:space="preserve"> </w:t>
      </w:r>
      <w:r w:rsidR="00BA1135" w:rsidRPr="00CA0A60">
        <w:rPr>
          <w:rFonts w:ascii="Garamond" w:eastAsia="MS Mincho" w:hAnsi="Garamond" w:cs="Times New Roman"/>
          <w:sz w:val="18"/>
          <w:szCs w:val="18"/>
          <w:lang w:val="es-AR" w:eastAsia="es-ES"/>
        </w:rPr>
        <w:t>(l</w:t>
      </w:r>
      <w:r w:rsidR="00457B0F" w:rsidRPr="00CA0A60">
        <w:rPr>
          <w:rFonts w:ascii="Garamond" w:eastAsia="MS Mincho" w:hAnsi="Garamond" w:cs="Times New Roman"/>
          <w:sz w:val="18"/>
          <w:szCs w:val="18"/>
          <w:lang w:val="es-AR" w:eastAsia="es-ES"/>
        </w:rPr>
        <w:t>o</w:t>
      </w:r>
      <w:r w:rsidR="00BA1135" w:rsidRPr="00CA0A60">
        <w:rPr>
          <w:rFonts w:ascii="Garamond" w:eastAsia="MS Mincho" w:hAnsi="Garamond" w:cs="Times New Roman"/>
          <w:sz w:val="18"/>
          <w:szCs w:val="18"/>
          <w:lang w:val="es-AR" w:eastAsia="es-ES"/>
        </w:rPr>
        <w:t xml:space="preserve">s </w:t>
      </w:r>
      <w:r w:rsidR="00457B0F" w:rsidRPr="00CA0A60">
        <w:rPr>
          <w:rFonts w:ascii="Garamond" w:eastAsia="MS Mincho" w:hAnsi="Garamond" w:cs="Times New Roman"/>
          <w:sz w:val="18"/>
          <w:szCs w:val="18"/>
          <w:lang w:val="es-AR" w:eastAsia="es-ES"/>
        </w:rPr>
        <w:t xml:space="preserve">Derechos de Garantía </w:t>
      </w:r>
      <w:r w:rsidR="00706145" w:rsidRPr="00CA0A60">
        <w:rPr>
          <w:rFonts w:ascii="Garamond" w:eastAsia="MS Mincho" w:hAnsi="Garamond" w:cs="Times New Roman"/>
          <w:sz w:val="18"/>
          <w:szCs w:val="18"/>
          <w:lang w:val="es-AR" w:eastAsia="es-ES"/>
        </w:rPr>
        <w:t>junto con la Garantía de A</w:t>
      </w:r>
      <w:r w:rsidR="00493B1A" w:rsidRPr="00CA0A60">
        <w:rPr>
          <w:rFonts w:ascii="Garamond" w:eastAsia="MS Mincho" w:hAnsi="Garamond" w:cs="Times New Roman"/>
          <w:sz w:val="18"/>
          <w:szCs w:val="18"/>
          <w:lang w:val="es-AR" w:eastAsia="es-ES"/>
        </w:rPr>
        <w:t>SA</w:t>
      </w:r>
      <w:r w:rsidR="00706145" w:rsidRPr="00CA0A60">
        <w:rPr>
          <w:rFonts w:ascii="Garamond" w:eastAsia="MS Mincho" w:hAnsi="Garamond" w:cs="Times New Roman"/>
          <w:sz w:val="18"/>
          <w:szCs w:val="18"/>
          <w:lang w:val="es-AR" w:eastAsia="es-ES"/>
        </w:rPr>
        <w:t>, la</w:t>
      </w:r>
      <w:r w:rsidR="007D1401" w:rsidRPr="00CA0A60">
        <w:rPr>
          <w:rFonts w:ascii="Garamond" w:eastAsia="MS Mincho" w:hAnsi="Garamond" w:cs="Times New Roman"/>
          <w:sz w:val="18"/>
          <w:szCs w:val="18"/>
          <w:lang w:val="es-AR" w:eastAsia="es-ES"/>
        </w:rPr>
        <w:t>s</w:t>
      </w:r>
      <w:r w:rsidR="00706145" w:rsidRPr="00CA0A60">
        <w:rPr>
          <w:rFonts w:ascii="Garamond" w:eastAsia="MS Mincho" w:hAnsi="Garamond" w:cs="Times New Roman"/>
          <w:sz w:val="18"/>
          <w:szCs w:val="18"/>
          <w:lang w:val="es-AR" w:eastAsia="es-ES"/>
        </w:rPr>
        <w:t xml:space="preserve"> “</w:t>
      </w:r>
      <w:r w:rsidR="00706145" w:rsidRPr="00CA0A60">
        <w:rPr>
          <w:rFonts w:ascii="Garamond" w:eastAsia="MS Mincho" w:hAnsi="Garamond" w:cs="Times New Roman"/>
          <w:sz w:val="18"/>
          <w:szCs w:val="18"/>
          <w:u w:val="single"/>
          <w:lang w:val="es-AR" w:eastAsia="es-ES"/>
        </w:rPr>
        <w:t>Garantía</w:t>
      </w:r>
      <w:r w:rsidR="007D1401" w:rsidRPr="00CA0A60">
        <w:rPr>
          <w:rFonts w:ascii="Garamond" w:eastAsia="MS Mincho" w:hAnsi="Garamond" w:cs="Times New Roman"/>
          <w:sz w:val="18"/>
          <w:szCs w:val="18"/>
          <w:u w:val="single"/>
          <w:lang w:val="es-AR" w:eastAsia="es-ES"/>
        </w:rPr>
        <w:t>s</w:t>
      </w:r>
      <w:r w:rsidR="00706145" w:rsidRPr="00CA0A60">
        <w:rPr>
          <w:rFonts w:ascii="Garamond" w:eastAsia="MS Mincho" w:hAnsi="Garamond" w:cs="Times New Roman"/>
          <w:sz w:val="18"/>
          <w:szCs w:val="18"/>
          <w:u w:val="single"/>
          <w:lang w:val="es-AR" w:eastAsia="es-ES"/>
        </w:rPr>
        <w:t xml:space="preserve"> de las Obligaciones Negociables</w:t>
      </w:r>
      <w:r w:rsidR="00706145" w:rsidRPr="00CA0A60">
        <w:rPr>
          <w:rFonts w:ascii="Garamond" w:eastAsia="MS Mincho" w:hAnsi="Garamond" w:cs="Times New Roman"/>
          <w:sz w:val="18"/>
          <w:szCs w:val="18"/>
          <w:lang w:val="es-AR" w:eastAsia="es-ES"/>
        </w:rPr>
        <w:t>”</w:t>
      </w:r>
      <w:r w:rsidR="00BA1135" w:rsidRPr="00CA0A60">
        <w:rPr>
          <w:rFonts w:ascii="Garamond" w:eastAsia="MS Mincho" w:hAnsi="Garamond" w:cs="Times New Roman"/>
          <w:sz w:val="18"/>
          <w:szCs w:val="18"/>
          <w:lang w:val="es-AR" w:eastAsia="es-ES"/>
        </w:rPr>
        <w:t>), tal como se describe</w:t>
      </w:r>
      <w:r w:rsidR="00C93285" w:rsidRPr="00CA0A60">
        <w:rPr>
          <w:rFonts w:ascii="Garamond" w:eastAsia="MS Mincho" w:hAnsi="Garamond" w:cs="Times New Roman"/>
          <w:sz w:val="18"/>
          <w:szCs w:val="18"/>
          <w:lang w:val="es-AR" w:eastAsia="es-ES"/>
        </w:rPr>
        <w:t>n</w:t>
      </w:r>
      <w:r w:rsidR="00BA1135" w:rsidRPr="00CA0A60">
        <w:rPr>
          <w:rFonts w:ascii="Garamond" w:eastAsia="MS Mincho" w:hAnsi="Garamond" w:cs="Times New Roman"/>
          <w:sz w:val="18"/>
          <w:szCs w:val="18"/>
          <w:lang w:val="es-AR" w:eastAsia="es-ES"/>
        </w:rPr>
        <w:t xml:space="preserve"> más adelante en la sección “</w:t>
      </w:r>
      <w:r w:rsidR="00BA1135" w:rsidRPr="00CA0A60">
        <w:rPr>
          <w:rFonts w:ascii="Garamond" w:eastAsia="MS Mincho" w:hAnsi="Garamond" w:cs="Times New Roman"/>
          <w:i/>
          <w:sz w:val="18"/>
          <w:szCs w:val="18"/>
          <w:lang w:val="es-AR" w:eastAsia="es-ES"/>
        </w:rPr>
        <w:t>Descripción de la Oferta y la Negociación – Descripción de las Obligaciones Negociables</w:t>
      </w:r>
      <w:r w:rsidR="00BA1135" w:rsidRPr="00CA0A60">
        <w:rPr>
          <w:rFonts w:ascii="Garamond" w:eastAsia="MS Mincho" w:hAnsi="Garamond" w:cs="Times New Roman"/>
          <w:sz w:val="18"/>
          <w:szCs w:val="18"/>
          <w:lang w:val="es-AR" w:eastAsia="es-ES"/>
        </w:rPr>
        <w:t xml:space="preserve">” en el presente Suplemento. </w:t>
      </w:r>
      <w:r w:rsidR="00D97CA0" w:rsidRPr="00CA0A60">
        <w:rPr>
          <w:rFonts w:ascii="Garamond" w:eastAsia="MS Mincho" w:hAnsi="Garamond" w:cs="Times New Roman"/>
          <w:sz w:val="18"/>
          <w:szCs w:val="18"/>
          <w:lang w:val="es-AR" w:eastAsia="es-ES"/>
        </w:rPr>
        <w:t xml:space="preserve">Las Obligaciones Negociables (i) serán obligaciones solidarias de las </w:t>
      </w:r>
      <w:r w:rsidR="00B42973" w:rsidRPr="00CA0A60">
        <w:rPr>
          <w:rFonts w:ascii="Garamond" w:eastAsia="MS Mincho" w:hAnsi="Garamond" w:cs="Times New Roman"/>
          <w:sz w:val="18"/>
          <w:szCs w:val="18"/>
          <w:lang w:val="es-AR" w:eastAsia="es-ES"/>
        </w:rPr>
        <w:t>Co-</w:t>
      </w:r>
      <w:r w:rsidR="00D97CA0" w:rsidRPr="00CA0A60">
        <w:rPr>
          <w:rFonts w:ascii="Garamond" w:eastAsia="MS Mincho" w:hAnsi="Garamond" w:cs="Times New Roman"/>
          <w:sz w:val="18"/>
          <w:szCs w:val="18"/>
          <w:lang w:val="es-AR" w:eastAsia="es-ES"/>
        </w:rPr>
        <w:t xml:space="preserve">Emisoras; (ii) constituirán obligaciones directas, incondicionales y no subordinadas de las Co-Emisoras, (iii) estarán </w:t>
      </w:r>
      <w:r w:rsidR="00126C00" w:rsidRPr="00CA0A60">
        <w:rPr>
          <w:rFonts w:ascii="Garamond" w:eastAsia="MS Mincho" w:hAnsi="Garamond" w:cs="Times New Roman"/>
          <w:sz w:val="18"/>
          <w:szCs w:val="18"/>
          <w:lang w:val="es-AR" w:eastAsia="es-ES"/>
        </w:rPr>
        <w:t xml:space="preserve">incondicional, irrevocable y </w:t>
      </w:r>
      <w:r w:rsidR="00D97CA0" w:rsidRPr="00CA0A60">
        <w:rPr>
          <w:rFonts w:ascii="Garamond" w:eastAsia="MS Mincho" w:hAnsi="Garamond" w:cs="Times New Roman"/>
          <w:sz w:val="18"/>
          <w:szCs w:val="18"/>
          <w:lang w:val="es-AR" w:eastAsia="es-ES"/>
        </w:rPr>
        <w:t xml:space="preserve">solidariamente </w:t>
      </w:r>
      <w:r w:rsidR="00126C00" w:rsidRPr="00CA0A60">
        <w:rPr>
          <w:rFonts w:ascii="Garamond" w:eastAsia="MS Mincho" w:hAnsi="Garamond" w:cs="Times New Roman"/>
          <w:sz w:val="18"/>
          <w:szCs w:val="18"/>
          <w:lang w:val="es-AR" w:eastAsia="es-ES"/>
        </w:rPr>
        <w:t>afianzadas</w:t>
      </w:r>
      <w:r w:rsidR="00D97CA0" w:rsidRPr="00CA0A60">
        <w:rPr>
          <w:rFonts w:ascii="Garamond" w:eastAsia="MS Mincho" w:hAnsi="Garamond" w:cs="Times New Roman"/>
          <w:sz w:val="18"/>
          <w:szCs w:val="18"/>
          <w:lang w:val="es-AR" w:eastAsia="es-ES"/>
        </w:rPr>
        <w:t xml:space="preserve"> por el Garante en forma no subordinada; (iv) </w:t>
      </w:r>
      <w:r w:rsidR="004F17D9" w:rsidRPr="00CA0A60">
        <w:rPr>
          <w:rFonts w:ascii="Garamond" w:eastAsia="MS Mincho" w:hAnsi="Garamond" w:cs="Times New Roman"/>
          <w:sz w:val="18"/>
          <w:szCs w:val="18"/>
          <w:lang w:val="es-AR" w:eastAsia="es-ES"/>
        </w:rPr>
        <w:t xml:space="preserve">en relación a </w:t>
      </w:r>
      <w:r w:rsidR="00D91F0A" w:rsidRPr="00CA0A60">
        <w:rPr>
          <w:rFonts w:ascii="Garamond" w:eastAsia="MS Mincho" w:hAnsi="Garamond" w:cs="Times New Roman"/>
          <w:sz w:val="18"/>
          <w:szCs w:val="18"/>
          <w:lang w:val="es-AR" w:eastAsia="es-ES"/>
        </w:rPr>
        <w:t>l</w:t>
      </w:r>
      <w:r w:rsidR="00457B0F" w:rsidRPr="00CA0A60">
        <w:rPr>
          <w:rFonts w:ascii="Garamond" w:eastAsia="MS Mincho" w:hAnsi="Garamond" w:cs="Times New Roman"/>
          <w:sz w:val="18"/>
          <w:szCs w:val="18"/>
          <w:lang w:val="es-AR" w:eastAsia="es-ES"/>
        </w:rPr>
        <w:t>o</w:t>
      </w:r>
      <w:r w:rsidR="00D91F0A" w:rsidRPr="00CA0A60">
        <w:rPr>
          <w:rFonts w:ascii="Garamond" w:eastAsia="MS Mincho" w:hAnsi="Garamond" w:cs="Times New Roman"/>
          <w:sz w:val="18"/>
          <w:szCs w:val="18"/>
          <w:lang w:val="es-AR" w:eastAsia="es-ES"/>
        </w:rPr>
        <w:t xml:space="preserve">s </w:t>
      </w:r>
      <w:r w:rsidR="00457B0F" w:rsidRPr="00CA0A60">
        <w:rPr>
          <w:rFonts w:ascii="Garamond" w:eastAsia="MS Mincho" w:hAnsi="Garamond" w:cs="Times New Roman"/>
          <w:sz w:val="18"/>
          <w:szCs w:val="18"/>
          <w:lang w:val="es-AR" w:eastAsia="es-ES"/>
        </w:rPr>
        <w:t xml:space="preserve">Derechos de Garantía </w:t>
      </w:r>
      <w:r w:rsidR="004F17D9" w:rsidRPr="00CA0A60">
        <w:rPr>
          <w:rFonts w:ascii="Garamond" w:eastAsia="MS Mincho" w:hAnsi="Garamond" w:cs="Times New Roman"/>
          <w:sz w:val="18"/>
          <w:szCs w:val="18"/>
          <w:lang w:val="es-AR" w:eastAsia="es-ES"/>
        </w:rPr>
        <w:t xml:space="preserve">estarán garantizadas </w:t>
      </w:r>
      <w:r w:rsidR="0075714E" w:rsidRPr="00CA0A60">
        <w:rPr>
          <w:rFonts w:ascii="Garamond" w:eastAsia="MS Mincho" w:hAnsi="Garamond" w:cs="Times New Roman"/>
          <w:sz w:val="18"/>
          <w:szCs w:val="18"/>
          <w:lang w:val="es-AR" w:eastAsia="es-ES"/>
        </w:rPr>
        <w:t xml:space="preserve">por un </w:t>
      </w:r>
      <w:r w:rsidR="00E01024" w:rsidRPr="00CA0A60">
        <w:rPr>
          <w:rFonts w:ascii="Garamond" w:eastAsia="MS Mincho" w:hAnsi="Garamond" w:cs="Times New Roman"/>
          <w:sz w:val="18"/>
          <w:szCs w:val="18"/>
          <w:lang w:val="es-AR" w:eastAsia="es-ES"/>
        </w:rPr>
        <w:t>G</w:t>
      </w:r>
      <w:r w:rsidR="0075714E" w:rsidRPr="00CA0A60">
        <w:rPr>
          <w:rFonts w:ascii="Garamond" w:eastAsia="MS Mincho" w:hAnsi="Garamond" w:cs="Times New Roman"/>
          <w:sz w:val="18"/>
          <w:szCs w:val="18"/>
          <w:lang w:val="es-AR" w:eastAsia="es-ES"/>
        </w:rPr>
        <w:t>ravamen en primer grado de privilegio sobre los</w:t>
      </w:r>
      <w:r w:rsidR="00D91F0A" w:rsidRPr="00CA0A60">
        <w:rPr>
          <w:rFonts w:ascii="Garamond" w:eastAsia="MS Mincho" w:hAnsi="Garamond" w:cs="Times New Roman"/>
          <w:sz w:val="18"/>
          <w:szCs w:val="18"/>
          <w:lang w:val="es-AR" w:eastAsia="es-ES"/>
        </w:rPr>
        <w:t xml:space="preserve"> </w:t>
      </w:r>
      <w:r w:rsidR="002503D9" w:rsidRPr="00CA0A60">
        <w:rPr>
          <w:rFonts w:ascii="Garamond" w:eastAsia="MS Mincho" w:hAnsi="Garamond" w:cs="Times New Roman"/>
          <w:sz w:val="18"/>
          <w:szCs w:val="18"/>
          <w:lang w:val="es-AR" w:eastAsia="es-ES"/>
        </w:rPr>
        <w:t>Derecho</w:t>
      </w:r>
      <w:r w:rsidR="004436A1" w:rsidRPr="00CA0A60">
        <w:rPr>
          <w:rFonts w:ascii="Garamond" w:eastAsia="MS Mincho" w:hAnsi="Garamond" w:cs="Times New Roman"/>
          <w:sz w:val="18"/>
          <w:szCs w:val="18"/>
          <w:lang w:val="es-AR" w:eastAsia="es-ES"/>
        </w:rPr>
        <w:t>s de</w:t>
      </w:r>
      <w:r w:rsidR="00E04E26" w:rsidRPr="00CA0A60">
        <w:rPr>
          <w:rFonts w:ascii="Garamond" w:eastAsia="MS Mincho" w:hAnsi="Garamond" w:cs="Times New Roman"/>
          <w:sz w:val="18"/>
          <w:szCs w:val="18"/>
          <w:lang w:val="es-AR" w:eastAsia="es-ES"/>
        </w:rPr>
        <w:t xml:space="preserve"> Garantía, </w:t>
      </w:r>
      <w:r w:rsidR="002503D9" w:rsidRPr="00CA0A60">
        <w:rPr>
          <w:rFonts w:ascii="Garamond" w:eastAsia="MS Mincho" w:hAnsi="Garamond" w:cs="Times New Roman"/>
          <w:sz w:val="18"/>
          <w:szCs w:val="18"/>
          <w:lang w:val="es-AR" w:eastAsia="es-ES"/>
        </w:rPr>
        <w:t xml:space="preserve">hasta el monto del valor de dichos Derechos </w:t>
      </w:r>
      <w:r w:rsidR="004436A1" w:rsidRPr="00CA0A60">
        <w:rPr>
          <w:rFonts w:ascii="Garamond" w:eastAsia="MS Mincho" w:hAnsi="Garamond" w:cs="Times New Roman"/>
          <w:sz w:val="18"/>
          <w:szCs w:val="18"/>
          <w:lang w:val="es-AR" w:eastAsia="es-ES"/>
        </w:rPr>
        <w:t>de</w:t>
      </w:r>
      <w:r w:rsidR="002503D9" w:rsidRPr="00CA0A60">
        <w:rPr>
          <w:rFonts w:ascii="Garamond" w:eastAsia="MS Mincho" w:hAnsi="Garamond" w:cs="Times New Roman"/>
          <w:sz w:val="18"/>
          <w:szCs w:val="18"/>
          <w:lang w:val="es-AR" w:eastAsia="es-ES"/>
        </w:rPr>
        <w:t xml:space="preserve"> Garantía,</w:t>
      </w:r>
      <w:r w:rsidR="000568EB" w:rsidRPr="00CA0A60">
        <w:rPr>
          <w:rFonts w:ascii="Garamond" w:eastAsia="MS Mincho" w:hAnsi="Garamond" w:cs="Times New Roman"/>
          <w:sz w:val="18"/>
          <w:szCs w:val="18"/>
          <w:lang w:val="es-AR" w:eastAsia="es-ES"/>
        </w:rPr>
        <w:t xml:space="preserve"> </w:t>
      </w:r>
      <w:r w:rsidR="00E04E26" w:rsidRPr="00CA0A60">
        <w:rPr>
          <w:rFonts w:ascii="Garamond" w:eastAsia="MS Mincho" w:hAnsi="Garamond" w:cs="Times New Roman"/>
          <w:sz w:val="18"/>
          <w:szCs w:val="18"/>
          <w:lang w:val="es-AR" w:eastAsia="es-ES"/>
        </w:rPr>
        <w:t xml:space="preserve">con la excepción de que, sobre los </w:t>
      </w:r>
      <w:r w:rsidR="009109A7" w:rsidRPr="00CA0A60">
        <w:rPr>
          <w:rFonts w:ascii="Garamond" w:eastAsia="MS Mincho" w:hAnsi="Garamond" w:cs="Times New Roman"/>
          <w:sz w:val="18"/>
          <w:szCs w:val="18"/>
          <w:lang w:val="es-AR" w:eastAsia="es-ES"/>
        </w:rPr>
        <w:t>Equipos de Siemens</w:t>
      </w:r>
      <w:r w:rsidR="00E04E26" w:rsidRPr="00CA0A60">
        <w:rPr>
          <w:rFonts w:ascii="Garamond" w:eastAsia="MS Mincho" w:hAnsi="Garamond" w:cs="Times New Roman"/>
          <w:sz w:val="18"/>
          <w:szCs w:val="18"/>
          <w:lang w:val="es-AR" w:eastAsia="es-ES"/>
        </w:rPr>
        <w:t xml:space="preserve">, inicialmente el </w:t>
      </w:r>
      <w:r w:rsidR="00E01024" w:rsidRPr="00CA0A60">
        <w:rPr>
          <w:rFonts w:ascii="Garamond" w:eastAsia="MS Mincho" w:hAnsi="Garamond" w:cs="Times New Roman"/>
          <w:sz w:val="18"/>
          <w:szCs w:val="18"/>
          <w:lang w:val="es-AR" w:eastAsia="es-ES"/>
        </w:rPr>
        <w:t>G</w:t>
      </w:r>
      <w:r w:rsidR="00E04E26" w:rsidRPr="00CA0A60">
        <w:rPr>
          <w:rFonts w:ascii="Garamond" w:eastAsia="MS Mincho" w:hAnsi="Garamond" w:cs="Times New Roman"/>
          <w:sz w:val="18"/>
          <w:szCs w:val="18"/>
          <w:lang w:val="es-AR" w:eastAsia="es-ES"/>
        </w:rPr>
        <w:t xml:space="preserve">ravamen será en segundo grado de privilegio hasta la cancelación de la </w:t>
      </w:r>
      <w:r w:rsidR="00B816E3" w:rsidRPr="00CA0A60">
        <w:rPr>
          <w:rFonts w:ascii="Garamond" w:eastAsia="MS Mincho" w:hAnsi="Garamond" w:cs="Times New Roman"/>
          <w:sz w:val="18"/>
          <w:szCs w:val="18"/>
          <w:lang w:val="es-AR" w:eastAsia="es-ES"/>
        </w:rPr>
        <w:t>Deuda de Siemens</w:t>
      </w:r>
      <w:r w:rsidR="00E01024" w:rsidRPr="00CA0A60">
        <w:rPr>
          <w:rFonts w:ascii="Garamond" w:eastAsia="MS Mincho" w:hAnsi="Garamond" w:cs="Times New Roman"/>
          <w:sz w:val="18"/>
          <w:szCs w:val="18"/>
          <w:lang w:val="es-AR" w:eastAsia="es-ES"/>
        </w:rPr>
        <w:t>, y el G</w:t>
      </w:r>
      <w:r w:rsidR="00E04E26" w:rsidRPr="00CA0A60">
        <w:rPr>
          <w:rFonts w:ascii="Garamond" w:eastAsia="MS Mincho" w:hAnsi="Garamond" w:cs="Times New Roman"/>
          <w:sz w:val="18"/>
          <w:szCs w:val="18"/>
          <w:lang w:val="es-AR" w:eastAsia="es-ES"/>
        </w:rPr>
        <w:t xml:space="preserve">ravamen sobre los </w:t>
      </w:r>
      <w:r w:rsidR="00B816E3" w:rsidRPr="00CA0A60">
        <w:rPr>
          <w:rFonts w:ascii="Garamond" w:eastAsia="MS Mincho" w:hAnsi="Garamond" w:cs="Times New Roman"/>
          <w:sz w:val="18"/>
          <w:szCs w:val="18"/>
          <w:lang w:val="es-AR" w:eastAsia="es-ES"/>
        </w:rPr>
        <w:t>CCEE de Siemens</w:t>
      </w:r>
      <w:r w:rsidR="00E04E26" w:rsidRPr="00CA0A60">
        <w:rPr>
          <w:rFonts w:ascii="Garamond" w:eastAsia="MS Mincho" w:hAnsi="Garamond" w:cs="Times New Roman"/>
          <w:sz w:val="18"/>
          <w:szCs w:val="18"/>
          <w:lang w:val="es-AR" w:eastAsia="es-ES"/>
        </w:rPr>
        <w:t xml:space="preserve"> se constituirá luego de la cancelación de la </w:t>
      </w:r>
      <w:r w:rsidR="00B816E3" w:rsidRPr="00CA0A60">
        <w:rPr>
          <w:rFonts w:ascii="Garamond" w:eastAsia="MS Mincho" w:hAnsi="Garamond" w:cs="Times New Roman"/>
          <w:sz w:val="18"/>
          <w:szCs w:val="18"/>
          <w:lang w:val="es-AR" w:eastAsia="es-ES"/>
        </w:rPr>
        <w:t>Deuda de Siemens</w:t>
      </w:r>
      <w:r w:rsidR="004436A1" w:rsidRPr="00CA0A60">
        <w:rPr>
          <w:rFonts w:ascii="Garamond" w:eastAsia="MS Mincho" w:hAnsi="Garamond" w:cs="Times New Roman"/>
          <w:sz w:val="18"/>
          <w:szCs w:val="18"/>
          <w:lang w:val="es-AR" w:eastAsia="es-ES"/>
        </w:rPr>
        <w:t xml:space="preserve"> con los fondos obtenidos de la colocación en la Fecha de Emisión</w:t>
      </w:r>
      <w:r w:rsidR="00D91F0A" w:rsidRPr="00CA0A60">
        <w:rPr>
          <w:rFonts w:ascii="Garamond" w:eastAsia="MS Mincho" w:hAnsi="Garamond" w:cs="Times New Roman"/>
          <w:sz w:val="18"/>
          <w:szCs w:val="18"/>
          <w:lang w:val="es-AR" w:eastAsia="es-ES"/>
        </w:rPr>
        <w:t xml:space="preserve"> </w:t>
      </w:r>
      <w:r w:rsidR="0046309E" w:rsidRPr="00CA0A60">
        <w:rPr>
          <w:rFonts w:ascii="Garamond" w:eastAsia="MS Mincho" w:hAnsi="Garamond" w:cs="Times New Roman"/>
          <w:sz w:val="18"/>
          <w:szCs w:val="18"/>
          <w:lang w:val="es-AR" w:eastAsia="es-ES"/>
        </w:rPr>
        <w:t>(tal como dichos términos se definen más adelante en el presente Suplemento</w:t>
      </w:r>
      <w:r w:rsidR="0079668D" w:rsidRPr="00CA0A60">
        <w:rPr>
          <w:rFonts w:ascii="Garamond" w:eastAsia="MS Mincho" w:hAnsi="Garamond" w:cs="Times New Roman"/>
          <w:sz w:val="18"/>
          <w:szCs w:val="18"/>
          <w:lang w:val="es-AR" w:eastAsia="es-ES"/>
        </w:rPr>
        <w:t>)</w:t>
      </w:r>
      <w:r w:rsidR="00D97CA0" w:rsidRPr="00CA0A60">
        <w:rPr>
          <w:rFonts w:ascii="Garamond" w:eastAsia="MS Mincho" w:hAnsi="Garamond" w:cs="Times New Roman"/>
          <w:sz w:val="18"/>
          <w:szCs w:val="18"/>
          <w:lang w:val="es-AR" w:eastAsia="es-ES"/>
        </w:rPr>
        <w:t xml:space="preserve">; </w:t>
      </w:r>
      <w:r w:rsidR="00AA22A8" w:rsidRPr="00CA0A60">
        <w:rPr>
          <w:rFonts w:ascii="Garamond" w:eastAsia="MS Mincho" w:hAnsi="Garamond" w:cs="Times New Roman"/>
          <w:sz w:val="18"/>
          <w:szCs w:val="18"/>
          <w:lang w:val="es-AR" w:eastAsia="es-ES"/>
        </w:rPr>
        <w:t xml:space="preserve">(v) en la medida que no estén garantizadas por </w:t>
      </w:r>
      <w:r w:rsidR="00D91F0A" w:rsidRPr="00CA0A60">
        <w:rPr>
          <w:rFonts w:ascii="Garamond" w:eastAsia="MS Mincho" w:hAnsi="Garamond" w:cs="Times New Roman"/>
          <w:sz w:val="18"/>
          <w:szCs w:val="18"/>
          <w:lang w:val="es-AR" w:eastAsia="es-ES"/>
        </w:rPr>
        <w:t>l</w:t>
      </w:r>
      <w:r w:rsidR="00E04E26" w:rsidRPr="00CA0A60">
        <w:rPr>
          <w:rFonts w:ascii="Garamond" w:eastAsia="MS Mincho" w:hAnsi="Garamond" w:cs="Times New Roman"/>
          <w:sz w:val="18"/>
          <w:szCs w:val="18"/>
          <w:lang w:val="es-AR" w:eastAsia="es-ES"/>
        </w:rPr>
        <w:t>o</w:t>
      </w:r>
      <w:r w:rsidR="00D91F0A" w:rsidRPr="00CA0A60">
        <w:rPr>
          <w:rFonts w:ascii="Garamond" w:eastAsia="MS Mincho" w:hAnsi="Garamond" w:cs="Times New Roman"/>
          <w:sz w:val="18"/>
          <w:szCs w:val="18"/>
          <w:lang w:val="es-AR" w:eastAsia="es-ES"/>
        </w:rPr>
        <w:t>s</w:t>
      </w:r>
      <w:r w:rsidR="00AA22A8" w:rsidRPr="00CA0A60">
        <w:rPr>
          <w:rFonts w:ascii="Garamond" w:eastAsia="MS Mincho" w:hAnsi="Garamond" w:cs="Times New Roman"/>
          <w:sz w:val="18"/>
          <w:szCs w:val="18"/>
          <w:lang w:val="es-AR" w:eastAsia="es-ES"/>
        </w:rPr>
        <w:t xml:space="preserve"> </w:t>
      </w:r>
      <w:r w:rsidR="00E04E26" w:rsidRPr="00CA0A60">
        <w:rPr>
          <w:rFonts w:ascii="Garamond" w:eastAsia="MS Mincho" w:hAnsi="Garamond" w:cs="Times New Roman"/>
          <w:sz w:val="18"/>
          <w:szCs w:val="18"/>
          <w:lang w:val="es-AR" w:eastAsia="es-ES"/>
        </w:rPr>
        <w:t>Derechos de Garantía</w:t>
      </w:r>
      <w:r w:rsidR="00AA22A8" w:rsidRPr="00CA0A60">
        <w:rPr>
          <w:rFonts w:ascii="Garamond" w:eastAsia="MS Mincho" w:hAnsi="Garamond" w:cs="Times New Roman"/>
          <w:sz w:val="18"/>
          <w:szCs w:val="18"/>
          <w:lang w:val="es-AR" w:eastAsia="es-ES"/>
        </w:rPr>
        <w:t xml:space="preserve">, tendrán el mismo </w:t>
      </w:r>
      <w:r w:rsidR="00D91F0A" w:rsidRPr="00CA0A60">
        <w:rPr>
          <w:rFonts w:ascii="Garamond" w:eastAsia="MS Mincho" w:hAnsi="Garamond" w:cs="Times New Roman"/>
          <w:sz w:val="18"/>
          <w:szCs w:val="18"/>
          <w:lang w:val="es-AR" w:eastAsia="es-ES"/>
        </w:rPr>
        <w:t>grado</w:t>
      </w:r>
      <w:r w:rsidR="00AA22A8" w:rsidRPr="00CA0A60">
        <w:rPr>
          <w:rFonts w:ascii="Garamond" w:eastAsia="MS Mincho" w:hAnsi="Garamond" w:cs="Times New Roman"/>
          <w:sz w:val="18"/>
          <w:szCs w:val="18"/>
          <w:lang w:val="es-AR" w:eastAsia="es-ES"/>
        </w:rPr>
        <w:t xml:space="preserve"> de privilegio de pago que todas las deudas no subordinadas de las Co-Emisoras actuales y futuras, salvo por ciertas obligaciones que gozan de tratamiento preferente por disposiciones legales o por imperio de la ley; (vi) tendrán </w:t>
      </w:r>
      <w:r w:rsidR="00653426" w:rsidRPr="00CA0A60">
        <w:rPr>
          <w:rFonts w:ascii="Garamond" w:eastAsia="MS Mincho" w:hAnsi="Garamond" w:cs="Times New Roman"/>
          <w:sz w:val="18"/>
          <w:szCs w:val="18"/>
          <w:lang w:val="es-AR" w:eastAsia="es-ES"/>
        </w:rPr>
        <w:t>grado</w:t>
      </w:r>
      <w:r w:rsidR="00AA22A8" w:rsidRPr="00CA0A60">
        <w:rPr>
          <w:rFonts w:ascii="Garamond" w:eastAsia="MS Mincho" w:hAnsi="Garamond" w:cs="Times New Roman"/>
          <w:sz w:val="18"/>
          <w:szCs w:val="18"/>
          <w:lang w:val="es-AR" w:eastAsia="es-ES"/>
        </w:rPr>
        <w:t xml:space="preserve"> de privilegio de pago mayor que todas las deudas subordinadas de las Co-Emisoras, actuales y futuras, si las hubiera, (</w:t>
      </w:r>
      <w:r w:rsidR="00617FA1" w:rsidRPr="00CA0A60">
        <w:rPr>
          <w:rFonts w:ascii="Garamond" w:eastAsia="MS Mincho" w:hAnsi="Garamond" w:cs="Times New Roman"/>
          <w:sz w:val="18"/>
          <w:szCs w:val="18"/>
          <w:lang w:val="es-AR" w:eastAsia="es-ES"/>
        </w:rPr>
        <w:t>vii</w:t>
      </w:r>
      <w:r w:rsidR="00AA22A8" w:rsidRPr="00CA0A60">
        <w:rPr>
          <w:rFonts w:ascii="Garamond" w:eastAsia="MS Mincho" w:hAnsi="Garamond" w:cs="Times New Roman"/>
          <w:sz w:val="18"/>
          <w:szCs w:val="18"/>
          <w:lang w:val="es-AR" w:eastAsia="es-ES"/>
        </w:rPr>
        <w:t xml:space="preserve">) tendrán </w:t>
      </w:r>
      <w:r w:rsidR="00653426" w:rsidRPr="00CA0A60">
        <w:rPr>
          <w:rFonts w:ascii="Garamond" w:eastAsia="MS Mincho" w:hAnsi="Garamond" w:cs="Times New Roman"/>
          <w:sz w:val="18"/>
          <w:szCs w:val="18"/>
          <w:lang w:val="es-AR" w:eastAsia="es-ES"/>
        </w:rPr>
        <w:t>grado</w:t>
      </w:r>
      <w:r w:rsidR="00AA22A8" w:rsidRPr="00CA0A60">
        <w:rPr>
          <w:rFonts w:ascii="Garamond" w:eastAsia="MS Mincho" w:hAnsi="Garamond" w:cs="Times New Roman"/>
          <w:sz w:val="18"/>
          <w:szCs w:val="18"/>
          <w:lang w:val="es-AR" w:eastAsia="es-ES"/>
        </w:rPr>
        <w:t xml:space="preserve"> de privilegio mayor que todas las deudas no garantizadas de las Co-Emisoras, actuales y futuras, por hasta un monto igual al Monto de Garantía Máximo (según se define más adelante en el presente Suplemento), (</w:t>
      </w:r>
      <w:r w:rsidR="00D316F6" w:rsidRPr="00CA0A60">
        <w:rPr>
          <w:rFonts w:ascii="Garamond" w:eastAsia="MS Mincho" w:hAnsi="Garamond" w:cs="Times New Roman"/>
          <w:sz w:val="18"/>
          <w:szCs w:val="18"/>
          <w:lang w:val="es-AR" w:eastAsia="es-ES"/>
        </w:rPr>
        <w:t>viii</w:t>
      </w:r>
      <w:r w:rsidR="00AA22A8" w:rsidRPr="00CA0A60">
        <w:rPr>
          <w:rFonts w:ascii="Garamond" w:eastAsia="MS Mincho" w:hAnsi="Garamond" w:cs="Times New Roman"/>
          <w:sz w:val="18"/>
          <w:szCs w:val="18"/>
          <w:lang w:val="es-AR" w:eastAsia="es-ES"/>
        </w:rPr>
        <w:t xml:space="preserve">) estarán efectivamente subordinadas a todas las deudas de las Co-Emisoras, actuales y futuras, garantizadas por activos que no garanticen las Obligaciones Negociables o garantizadas por un </w:t>
      </w:r>
      <w:r w:rsidR="00E01024" w:rsidRPr="00CA0A60">
        <w:rPr>
          <w:rFonts w:ascii="Garamond" w:eastAsia="MS Mincho" w:hAnsi="Garamond" w:cs="Times New Roman"/>
          <w:sz w:val="18"/>
          <w:szCs w:val="18"/>
          <w:lang w:val="es-AR" w:eastAsia="es-ES"/>
        </w:rPr>
        <w:t>G</w:t>
      </w:r>
      <w:r w:rsidR="00AA22A8" w:rsidRPr="00CA0A60">
        <w:rPr>
          <w:rFonts w:ascii="Garamond" w:eastAsia="MS Mincho" w:hAnsi="Garamond" w:cs="Times New Roman"/>
          <w:sz w:val="18"/>
          <w:szCs w:val="18"/>
          <w:lang w:val="es-AR" w:eastAsia="es-ES"/>
        </w:rPr>
        <w:t xml:space="preserve">ravamen en primer grado de privilegio sobre los </w:t>
      </w:r>
      <w:r w:rsidR="002A04E0">
        <w:rPr>
          <w:rFonts w:ascii="Garamond" w:eastAsia="MS Mincho" w:hAnsi="Garamond" w:cs="Times New Roman"/>
          <w:sz w:val="18"/>
          <w:szCs w:val="18"/>
          <w:lang w:val="es-AR" w:eastAsia="es-ES"/>
        </w:rPr>
        <w:t>Derechos de Garantía</w:t>
      </w:r>
      <w:r w:rsidR="00AA22A8" w:rsidRPr="00CA0A60">
        <w:rPr>
          <w:rFonts w:ascii="Garamond" w:eastAsia="MS Mincho" w:hAnsi="Garamond" w:cs="Times New Roman"/>
          <w:sz w:val="18"/>
          <w:szCs w:val="18"/>
          <w:lang w:val="es-AR" w:eastAsia="es-ES"/>
        </w:rPr>
        <w:t>, si l</w:t>
      </w:r>
      <w:r w:rsidR="004436A1" w:rsidRPr="00CA0A60">
        <w:rPr>
          <w:rFonts w:ascii="Garamond" w:eastAsia="MS Mincho" w:hAnsi="Garamond" w:cs="Times New Roman"/>
          <w:sz w:val="18"/>
          <w:szCs w:val="18"/>
          <w:lang w:val="es-AR" w:eastAsia="es-ES"/>
        </w:rPr>
        <w:t>o</w:t>
      </w:r>
      <w:r w:rsidR="00AA22A8" w:rsidRPr="00CA0A60">
        <w:rPr>
          <w:rFonts w:ascii="Garamond" w:eastAsia="MS Mincho" w:hAnsi="Garamond" w:cs="Times New Roman"/>
          <w:sz w:val="18"/>
          <w:szCs w:val="18"/>
          <w:lang w:val="es-AR" w:eastAsia="es-ES"/>
        </w:rPr>
        <w:t>s hubiera, hasta la concurrencia del valor de los activos que garantizan dicha deuda; y (</w:t>
      </w:r>
      <w:r w:rsidR="00D316F6" w:rsidRPr="00CA0A60">
        <w:rPr>
          <w:rFonts w:ascii="Garamond" w:eastAsia="MS Mincho" w:hAnsi="Garamond" w:cs="Times New Roman"/>
          <w:sz w:val="18"/>
          <w:szCs w:val="18"/>
          <w:lang w:val="es-AR" w:eastAsia="es-ES"/>
        </w:rPr>
        <w:t>i</w:t>
      </w:r>
      <w:r w:rsidR="00AA22A8" w:rsidRPr="00CA0A60">
        <w:rPr>
          <w:rFonts w:ascii="Garamond" w:eastAsia="MS Mincho" w:hAnsi="Garamond" w:cs="Times New Roman"/>
          <w:sz w:val="18"/>
          <w:szCs w:val="18"/>
          <w:lang w:val="es-AR" w:eastAsia="es-ES"/>
        </w:rPr>
        <w:t>x) estarán estructuralmente subordinadas a las deudas actuales y futuras y otras obligaciones (incluidas las deudas comerciales) de las Subsidiarias (tal como se define más adelante en el presente Suplemento) de cada una de las Co-Emisoras que no constituyan garantía de las Obligaciones Negociables</w:t>
      </w:r>
      <w:r w:rsidR="00C611F4" w:rsidRPr="00CA0A60">
        <w:rPr>
          <w:rFonts w:ascii="Garamond" w:eastAsia="MS Mincho" w:hAnsi="Garamond" w:cs="Times New Roman"/>
          <w:sz w:val="18"/>
          <w:szCs w:val="18"/>
          <w:lang w:val="es-AR" w:eastAsia="es-ES"/>
        </w:rPr>
        <w:t>.</w:t>
      </w:r>
      <w:r w:rsidRPr="00CA0A60">
        <w:rPr>
          <w:rFonts w:ascii="Garamond" w:eastAsia="MS Mincho" w:hAnsi="Garamond" w:cs="Times New Roman"/>
          <w:sz w:val="18"/>
          <w:szCs w:val="18"/>
          <w:lang w:val="es-AR" w:eastAsia="es-ES"/>
        </w:rPr>
        <w:t xml:space="preserve"> </w:t>
      </w:r>
    </w:p>
    <w:p w14:paraId="36844653" w14:textId="740F2FFD" w:rsidR="00354069" w:rsidRPr="002518CC" w:rsidRDefault="00354069" w:rsidP="00354069">
      <w:pPr>
        <w:widowControl w:val="0"/>
        <w:spacing w:after="60" w:line="240" w:lineRule="auto"/>
        <w:ind w:left="-142" w:right="-283"/>
        <w:jc w:val="both"/>
        <w:rPr>
          <w:rFonts w:ascii="Garamond" w:eastAsia="MS Mincho" w:hAnsi="Garamond" w:cs="Times New Roman"/>
          <w:b/>
          <w:sz w:val="18"/>
          <w:szCs w:val="18"/>
          <w:lang w:val="es-AR" w:eastAsia="es-ES"/>
        </w:rPr>
      </w:pPr>
      <w:r w:rsidRPr="00CA0A60">
        <w:rPr>
          <w:rFonts w:ascii="Garamond" w:eastAsia="MS Mincho" w:hAnsi="Garamond" w:cs="Times New Roman"/>
          <w:b/>
          <w:sz w:val="18"/>
          <w:szCs w:val="18"/>
          <w:lang w:val="es-AR" w:eastAsia="es-ES"/>
        </w:rPr>
        <w:t>L</w:t>
      </w:r>
      <w:r w:rsidR="00DA106C" w:rsidRPr="00CA0A60">
        <w:rPr>
          <w:rFonts w:ascii="Garamond" w:eastAsia="MS Mincho" w:hAnsi="Garamond" w:cs="Times New Roman"/>
          <w:b/>
          <w:sz w:val="18"/>
          <w:szCs w:val="18"/>
          <w:lang w:val="es-AR" w:eastAsia="es-ES"/>
        </w:rPr>
        <w:t xml:space="preserve">a constitución de </w:t>
      </w:r>
      <w:r w:rsidR="0046309E" w:rsidRPr="00CA0A60">
        <w:rPr>
          <w:rFonts w:ascii="Garamond" w:eastAsia="MS Mincho" w:hAnsi="Garamond" w:cs="Times New Roman"/>
          <w:b/>
          <w:sz w:val="18"/>
          <w:szCs w:val="18"/>
          <w:lang w:val="es-AR" w:eastAsia="es-ES"/>
        </w:rPr>
        <w:t>l</w:t>
      </w:r>
      <w:r w:rsidR="00E04E26" w:rsidRPr="00CA0A60">
        <w:rPr>
          <w:rFonts w:ascii="Garamond" w:eastAsia="MS Mincho" w:hAnsi="Garamond" w:cs="Times New Roman"/>
          <w:b/>
          <w:sz w:val="18"/>
          <w:szCs w:val="18"/>
          <w:lang w:val="es-AR" w:eastAsia="es-ES"/>
        </w:rPr>
        <w:t>o</w:t>
      </w:r>
      <w:r w:rsidR="0046309E" w:rsidRPr="00CA0A60">
        <w:rPr>
          <w:rFonts w:ascii="Garamond" w:eastAsia="MS Mincho" w:hAnsi="Garamond" w:cs="Times New Roman"/>
          <w:b/>
          <w:sz w:val="18"/>
          <w:szCs w:val="18"/>
          <w:lang w:val="es-AR" w:eastAsia="es-ES"/>
        </w:rPr>
        <w:t xml:space="preserve">s </w:t>
      </w:r>
      <w:r w:rsidR="00E04E26" w:rsidRPr="00CA0A60">
        <w:rPr>
          <w:rFonts w:ascii="Garamond" w:eastAsia="MS Mincho" w:hAnsi="Garamond" w:cs="Times New Roman"/>
          <w:b/>
          <w:sz w:val="18"/>
          <w:szCs w:val="18"/>
          <w:lang w:val="es-AR" w:eastAsia="es-ES"/>
        </w:rPr>
        <w:t xml:space="preserve">Derechos de Garantía </w:t>
      </w:r>
      <w:r w:rsidRPr="00CA0A60">
        <w:rPr>
          <w:rFonts w:ascii="Garamond" w:eastAsia="MS Mincho" w:hAnsi="Garamond" w:cs="Times New Roman"/>
          <w:b/>
          <w:sz w:val="18"/>
          <w:szCs w:val="18"/>
          <w:lang w:val="es-AR" w:eastAsia="es-ES"/>
        </w:rPr>
        <w:t xml:space="preserve">fue </w:t>
      </w:r>
      <w:r w:rsidR="00DA106C" w:rsidRPr="00CA0A60">
        <w:rPr>
          <w:rFonts w:ascii="Garamond" w:eastAsia="MS Mincho" w:hAnsi="Garamond" w:cs="Times New Roman"/>
          <w:b/>
          <w:sz w:val="18"/>
          <w:szCs w:val="18"/>
          <w:lang w:val="es-AR" w:eastAsia="es-ES"/>
        </w:rPr>
        <w:t xml:space="preserve">aprobada </w:t>
      </w:r>
      <w:r w:rsidRPr="00CA0A60">
        <w:rPr>
          <w:rFonts w:ascii="Garamond" w:eastAsia="MS Mincho" w:hAnsi="Garamond" w:cs="Times New Roman"/>
          <w:b/>
          <w:sz w:val="18"/>
          <w:szCs w:val="18"/>
          <w:lang w:val="es-AR" w:eastAsia="es-ES"/>
        </w:rPr>
        <w:t xml:space="preserve">mediante las manifestaciones realizadas por cada una de las Co-Emisoras en las reuniones de cada uno de los directorios de fecha </w:t>
      </w:r>
      <w:r w:rsidR="00D9349F" w:rsidRPr="00CA0A60">
        <w:rPr>
          <w:rFonts w:ascii="Garamond" w:eastAsia="MS Mincho" w:hAnsi="Garamond" w:cs="Times New Roman"/>
          <w:b/>
          <w:sz w:val="18"/>
          <w:szCs w:val="18"/>
          <w:lang w:val="es-AR" w:eastAsia="es-ES"/>
        </w:rPr>
        <w:t>16</w:t>
      </w:r>
      <w:r w:rsidR="008E5589" w:rsidRPr="00CA0A60">
        <w:rPr>
          <w:rFonts w:ascii="Garamond" w:eastAsia="MS Mincho" w:hAnsi="Garamond" w:cs="Times New Roman"/>
          <w:b/>
          <w:sz w:val="18"/>
          <w:szCs w:val="18"/>
          <w:lang w:val="es-AR" w:eastAsia="es-ES"/>
        </w:rPr>
        <w:t xml:space="preserve"> de </w:t>
      </w:r>
      <w:r w:rsidR="00D9349F" w:rsidRPr="00CA0A60">
        <w:rPr>
          <w:rFonts w:ascii="Garamond" w:eastAsia="MS Mincho" w:hAnsi="Garamond" w:cs="Times New Roman"/>
          <w:b/>
          <w:sz w:val="18"/>
          <w:szCs w:val="18"/>
          <w:lang w:val="es-AR" w:eastAsia="es-ES"/>
        </w:rPr>
        <w:t>julio</w:t>
      </w:r>
      <w:r w:rsidR="008E5589" w:rsidRPr="00CA0A60">
        <w:rPr>
          <w:rFonts w:ascii="Garamond" w:eastAsia="MS Mincho" w:hAnsi="Garamond" w:cs="Times New Roman"/>
          <w:b/>
          <w:sz w:val="18"/>
          <w:szCs w:val="18"/>
          <w:lang w:val="es-AR" w:eastAsia="es-ES"/>
        </w:rPr>
        <w:t xml:space="preserve"> de 2019</w:t>
      </w:r>
      <w:r w:rsidRPr="00CA0A60">
        <w:rPr>
          <w:rFonts w:ascii="Garamond" w:eastAsia="MS Mincho" w:hAnsi="Garamond" w:cs="Times New Roman"/>
          <w:b/>
          <w:sz w:val="18"/>
          <w:szCs w:val="18"/>
          <w:lang w:val="es-AR" w:eastAsia="es-ES"/>
        </w:rPr>
        <w:t xml:space="preserve">, en la que dispusieron la emisión de las Obligaciones Negociables. </w:t>
      </w:r>
      <w:r w:rsidR="0046309E" w:rsidRPr="00CA0A60">
        <w:rPr>
          <w:rFonts w:ascii="Garamond" w:eastAsia="MS Mincho" w:hAnsi="Garamond" w:cs="Times New Roman"/>
          <w:b/>
          <w:sz w:val="18"/>
          <w:szCs w:val="18"/>
          <w:lang w:val="es-AR" w:eastAsia="es-ES"/>
        </w:rPr>
        <w:t>L</w:t>
      </w:r>
      <w:r w:rsidR="003E2145" w:rsidRPr="00CA0A60">
        <w:rPr>
          <w:rFonts w:ascii="Garamond" w:eastAsia="MS Mincho" w:hAnsi="Garamond" w:cs="Times New Roman"/>
          <w:b/>
          <w:sz w:val="18"/>
          <w:szCs w:val="18"/>
          <w:lang w:val="es-AR" w:eastAsia="es-ES"/>
        </w:rPr>
        <w:t>o</w:t>
      </w:r>
      <w:r w:rsidR="0046309E" w:rsidRPr="00CA0A60">
        <w:rPr>
          <w:rFonts w:ascii="Garamond" w:eastAsia="MS Mincho" w:hAnsi="Garamond" w:cs="Times New Roman"/>
          <w:b/>
          <w:sz w:val="18"/>
          <w:szCs w:val="18"/>
          <w:lang w:val="es-AR" w:eastAsia="es-ES"/>
        </w:rPr>
        <w:t>s</w:t>
      </w:r>
      <w:r w:rsidR="003E2145" w:rsidRPr="00CA0A60">
        <w:rPr>
          <w:rFonts w:ascii="Garamond" w:eastAsia="MS Mincho" w:hAnsi="Garamond" w:cs="Times New Roman"/>
          <w:b/>
          <w:sz w:val="18"/>
          <w:szCs w:val="18"/>
          <w:lang w:val="es-AR" w:eastAsia="es-ES"/>
        </w:rPr>
        <w:t xml:space="preserve"> Derechos de Garantía</w:t>
      </w:r>
      <w:r w:rsidR="003E2145" w:rsidRPr="00CA0A60" w:rsidDel="003E2145">
        <w:rPr>
          <w:rFonts w:ascii="Garamond" w:eastAsia="MS Mincho" w:hAnsi="Garamond" w:cs="Times New Roman"/>
          <w:b/>
          <w:sz w:val="18"/>
          <w:szCs w:val="18"/>
          <w:lang w:val="es-AR" w:eastAsia="es-ES"/>
        </w:rPr>
        <w:t xml:space="preserve"> </w:t>
      </w:r>
      <w:r w:rsidR="0069541F" w:rsidRPr="00CA0A60">
        <w:rPr>
          <w:rFonts w:ascii="Garamond" w:eastAsia="MS Mincho" w:hAnsi="Garamond" w:cs="Times New Roman"/>
          <w:b/>
          <w:sz w:val="18"/>
          <w:szCs w:val="18"/>
          <w:lang w:val="es-AR" w:eastAsia="es-ES"/>
        </w:rPr>
        <w:t>serán constituid</w:t>
      </w:r>
      <w:r w:rsidR="003E2145" w:rsidRPr="00CA0A60">
        <w:rPr>
          <w:rFonts w:ascii="Garamond" w:eastAsia="MS Mincho" w:hAnsi="Garamond" w:cs="Times New Roman"/>
          <w:b/>
          <w:sz w:val="18"/>
          <w:szCs w:val="18"/>
          <w:lang w:val="es-AR" w:eastAsia="es-ES"/>
        </w:rPr>
        <w:t>o</w:t>
      </w:r>
      <w:r w:rsidR="0069541F" w:rsidRPr="00CA0A60">
        <w:rPr>
          <w:rFonts w:ascii="Garamond" w:eastAsia="MS Mincho" w:hAnsi="Garamond" w:cs="Times New Roman"/>
          <w:b/>
          <w:sz w:val="18"/>
          <w:szCs w:val="18"/>
          <w:lang w:val="es-AR" w:eastAsia="es-ES"/>
        </w:rPr>
        <w:t>s o</w:t>
      </w:r>
      <w:r w:rsidRPr="00CA0A60">
        <w:rPr>
          <w:rFonts w:ascii="Garamond" w:eastAsia="MS Mincho" w:hAnsi="Garamond" w:cs="Times New Roman"/>
          <w:b/>
          <w:sz w:val="18"/>
          <w:szCs w:val="18"/>
          <w:lang w:val="es-AR" w:eastAsia="es-ES"/>
        </w:rPr>
        <w:t xml:space="preserve"> inscript</w:t>
      </w:r>
      <w:r w:rsidR="003E2145" w:rsidRPr="00CA0A60">
        <w:rPr>
          <w:rFonts w:ascii="Garamond" w:eastAsia="MS Mincho" w:hAnsi="Garamond" w:cs="Times New Roman"/>
          <w:b/>
          <w:sz w:val="18"/>
          <w:szCs w:val="18"/>
          <w:lang w:val="es-AR" w:eastAsia="es-ES"/>
        </w:rPr>
        <w:t>o</w:t>
      </w:r>
      <w:r w:rsidRPr="00CA0A60">
        <w:rPr>
          <w:rFonts w:ascii="Garamond" w:eastAsia="MS Mincho" w:hAnsi="Garamond" w:cs="Times New Roman"/>
          <w:b/>
          <w:sz w:val="18"/>
          <w:szCs w:val="18"/>
          <w:lang w:val="es-AR" w:eastAsia="es-ES"/>
        </w:rPr>
        <w:t>s</w:t>
      </w:r>
      <w:r w:rsidR="006A78FA" w:rsidRPr="00CA0A60">
        <w:rPr>
          <w:rFonts w:ascii="Garamond" w:eastAsia="MS Mincho" w:hAnsi="Garamond" w:cs="Times New Roman"/>
          <w:b/>
          <w:sz w:val="18"/>
          <w:szCs w:val="18"/>
          <w:lang w:val="es-AR" w:eastAsia="es-ES"/>
        </w:rPr>
        <w:t>, según corresponda,</w:t>
      </w:r>
      <w:r w:rsidRPr="00CA0A60">
        <w:rPr>
          <w:rFonts w:ascii="Garamond" w:eastAsia="MS Mincho" w:hAnsi="Garamond" w:cs="Times New Roman"/>
          <w:b/>
          <w:sz w:val="18"/>
          <w:szCs w:val="18"/>
          <w:lang w:val="es-AR" w:eastAsia="es-ES"/>
        </w:rPr>
        <w:t xml:space="preserve"> en los registros públicos de las correspondientes jurisdicciones con anterioridad al comienzo del período de colocación de conformidad con lo establecido en el artículo 3 de la Ley de Obligaciones Negociables</w:t>
      </w:r>
      <w:r w:rsidR="009753A2" w:rsidRPr="00CA0A60">
        <w:rPr>
          <w:rFonts w:ascii="Garamond" w:eastAsia="MS Mincho" w:hAnsi="Garamond" w:cs="Times New Roman"/>
          <w:b/>
          <w:sz w:val="18"/>
          <w:szCs w:val="18"/>
          <w:lang w:val="es-AR" w:eastAsia="es-ES"/>
        </w:rPr>
        <w:t>, tal como se describe en</w:t>
      </w:r>
      <w:r w:rsidR="00DA106C" w:rsidRPr="00CA0A60">
        <w:rPr>
          <w:rFonts w:ascii="Garamond" w:eastAsia="MS Mincho" w:hAnsi="Garamond" w:cs="Times New Roman"/>
          <w:b/>
          <w:sz w:val="18"/>
          <w:szCs w:val="18"/>
          <w:lang w:val="es-AR" w:eastAsia="es-ES"/>
        </w:rPr>
        <w:t xml:space="preserve"> la Sección “</w:t>
      </w:r>
      <w:r w:rsidR="00DA106C" w:rsidRPr="00CA0A60">
        <w:rPr>
          <w:rFonts w:ascii="Garamond" w:eastAsia="MS Mincho" w:hAnsi="Garamond" w:cs="Times New Roman"/>
          <w:b/>
          <w:i/>
          <w:sz w:val="18"/>
          <w:szCs w:val="18"/>
          <w:lang w:val="es-AR" w:eastAsia="es-ES"/>
        </w:rPr>
        <w:t>Descripción de la Oferta y la Negociación – Descripción de las Obligaciones Negociables</w:t>
      </w:r>
      <w:r w:rsidR="00DA106C" w:rsidRPr="00CA0A60">
        <w:rPr>
          <w:rFonts w:ascii="Garamond" w:eastAsia="MS Mincho" w:hAnsi="Garamond" w:cs="Times New Roman"/>
          <w:b/>
          <w:sz w:val="18"/>
          <w:szCs w:val="18"/>
          <w:lang w:val="es-AR" w:eastAsia="es-ES"/>
        </w:rPr>
        <w:t>” del presente</w:t>
      </w:r>
      <w:r w:rsidRPr="00CA0A60">
        <w:rPr>
          <w:rFonts w:ascii="Garamond" w:eastAsia="MS Mincho" w:hAnsi="Garamond" w:cs="Times New Roman"/>
          <w:b/>
          <w:sz w:val="18"/>
          <w:szCs w:val="18"/>
          <w:lang w:val="es-AR" w:eastAsia="es-ES"/>
        </w:rPr>
        <w:t>.</w:t>
      </w:r>
      <w:r w:rsidR="002518CC">
        <w:rPr>
          <w:rFonts w:ascii="Garamond" w:eastAsia="MS Mincho" w:hAnsi="Garamond" w:cs="Times New Roman"/>
          <w:b/>
          <w:sz w:val="18"/>
          <w:szCs w:val="18"/>
          <w:lang w:val="es-AR" w:eastAsia="es-ES"/>
        </w:rPr>
        <w:t xml:space="preserve"> Los Derechos de Garantía cuentan con ciertas limitaciones, tal como se describen en la sección </w:t>
      </w:r>
      <w:r w:rsidR="002518CC">
        <w:rPr>
          <w:rFonts w:ascii="Garamond" w:eastAsia="MS Mincho" w:hAnsi="Garamond" w:cs="Times New Roman"/>
          <w:b/>
          <w:i/>
          <w:iCs/>
          <w:sz w:val="18"/>
          <w:szCs w:val="18"/>
          <w:lang w:val="es-AR" w:eastAsia="es-ES"/>
        </w:rPr>
        <w:t>“Descripción de la Oferta y la Negociación—Limitaciones a los Derechos de Garantía”.</w:t>
      </w:r>
    </w:p>
    <w:p w14:paraId="2A0A3993" w14:textId="3963F839" w:rsidR="00354069" w:rsidRPr="00CA0A60" w:rsidRDefault="00354069" w:rsidP="00582114">
      <w:pPr>
        <w:keepNext/>
        <w:keepLines/>
        <w:pBdr>
          <w:top w:val="single" w:sz="4" w:space="0" w:color="auto"/>
          <w:left w:val="single" w:sz="4" w:space="0" w:color="auto"/>
          <w:bottom w:val="single" w:sz="4" w:space="0" w:color="auto"/>
          <w:right w:val="single" w:sz="4" w:space="0" w:color="auto"/>
        </w:pBdr>
        <w:spacing w:after="60" w:line="240" w:lineRule="auto"/>
        <w:ind w:left="-142" w:right="-284"/>
        <w:jc w:val="both"/>
        <w:rPr>
          <w:rFonts w:ascii="Garamond" w:eastAsia="MS Mincho" w:hAnsi="Garamond" w:cs="Times New Roman"/>
          <w:b/>
          <w:sz w:val="18"/>
          <w:szCs w:val="18"/>
          <w:lang w:val="es-AR" w:eastAsia="es-ES"/>
        </w:rPr>
      </w:pPr>
      <w:r w:rsidRPr="00CA0A60">
        <w:rPr>
          <w:rFonts w:ascii="Garamond" w:eastAsia="MS Mincho" w:hAnsi="Garamond" w:cs="Times New Roman"/>
          <w:b/>
          <w:sz w:val="18"/>
          <w:szCs w:val="18"/>
          <w:lang w:val="es-AR" w:eastAsia="es-ES"/>
        </w:rPr>
        <w:lastRenderedPageBreak/>
        <w:t xml:space="preserve">El Programa no cuenta con calificación de riesgo. A nivel local, las Obligaciones Negociables únicamente contarán con una calificación de riesgo. </w:t>
      </w:r>
      <w:r w:rsidR="00395373">
        <w:rPr>
          <w:rFonts w:ascii="Garamond" w:eastAsia="MS Mincho" w:hAnsi="Garamond" w:cs="Times New Roman"/>
          <w:b/>
          <w:sz w:val="18"/>
          <w:szCs w:val="18"/>
          <w:lang w:val="es-AR" w:eastAsia="es-ES"/>
        </w:rPr>
        <w:t>Fix Scr</w:t>
      </w:r>
      <w:r w:rsidRPr="00CA0A60">
        <w:rPr>
          <w:rFonts w:ascii="Garamond" w:eastAsia="MS Mincho" w:hAnsi="Garamond" w:cs="Times New Roman"/>
          <w:b/>
          <w:sz w:val="18"/>
          <w:szCs w:val="18"/>
          <w:lang w:val="es-AR" w:eastAsia="es-ES"/>
        </w:rPr>
        <w:t xml:space="preserve"> </w:t>
      </w:r>
      <w:r w:rsidR="00395373">
        <w:rPr>
          <w:rFonts w:ascii="Garamond" w:eastAsia="MS Mincho" w:hAnsi="Garamond" w:cs="Times New Roman"/>
          <w:b/>
          <w:sz w:val="18"/>
          <w:szCs w:val="18"/>
          <w:lang w:val="es-AR" w:eastAsia="es-ES"/>
        </w:rPr>
        <w:t xml:space="preserve">S.A. (afiliada de Fitch Ratings), </w:t>
      </w:r>
      <w:r w:rsidRPr="00CA0A60">
        <w:rPr>
          <w:rFonts w:ascii="Garamond" w:eastAsia="MS Mincho" w:hAnsi="Garamond" w:cs="Times New Roman"/>
          <w:b/>
          <w:sz w:val="18"/>
          <w:szCs w:val="18"/>
          <w:lang w:val="es-AR" w:eastAsia="es-ES"/>
        </w:rPr>
        <w:t>Agente de Calificación de Riesgo</w:t>
      </w:r>
      <w:r w:rsidR="00395373">
        <w:rPr>
          <w:rFonts w:ascii="Garamond" w:eastAsia="MS Mincho" w:hAnsi="Garamond" w:cs="Times New Roman"/>
          <w:b/>
          <w:sz w:val="18"/>
          <w:szCs w:val="18"/>
          <w:lang w:val="es-AR" w:eastAsia="es-ES"/>
        </w:rPr>
        <w:t xml:space="preserve"> – Reg. CNV N° 9 –</w:t>
      </w:r>
      <w:r w:rsidR="00395373" w:rsidRPr="00CA0A60" w:rsidDel="00395373">
        <w:rPr>
          <w:rFonts w:ascii="Garamond" w:eastAsia="MS Mincho" w:hAnsi="Garamond" w:cs="Times New Roman"/>
          <w:b/>
          <w:sz w:val="18"/>
          <w:szCs w:val="18"/>
          <w:lang w:val="es-AR" w:eastAsia="es-ES"/>
        </w:rPr>
        <w:t xml:space="preserve"> </w:t>
      </w:r>
      <w:r w:rsidRPr="00CA0A60">
        <w:rPr>
          <w:rFonts w:ascii="Garamond" w:eastAsia="MS Mincho" w:hAnsi="Garamond" w:cs="Times New Roman"/>
          <w:b/>
          <w:sz w:val="18"/>
          <w:szCs w:val="18"/>
          <w:lang w:val="es-AR" w:eastAsia="es-ES"/>
        </w:rPr>
        <w:t>ha asignado a las Obligaciones Negociables la calificación “</w:t>
      </w:r>
      <w:r w:rsidR="00395373" w:rsidRPr="00582114">
        <w:rPr>
          <w:rFonts w:ascii="Garamond" w:eastAsia="MS Mincho" w:hAnsi="Garamond" w:cs="Times New Roman"/>
          <w:b/>
          <w:smallCaps/>
          <w:sz w:val="18"/>
          <w:szCs w:val="18"/>
          <w:lang w:val="es-AR" w:eastAsia="es-ES"/>
        </w:rPr>
        <w:t>BBB</w:t>
      </w:r>
      <w:r w:rsidRPr="00CA0A60">
        <w:rPr>
          <w:rFonts w:ascii="Garamond" w:eastAsia="MS Mincho" w:hAnsi="Garamond" w:cs="Times New Roman"/>
          <w:b/>
          <w:sz w:val="18"/>
          <w:szCs w:val="18"/>
          <w:lang w:val="es-AR" w:eastAsia="es-ES"/>
        </w:rPr>
        <w:t xml:space="preserve">”. </w:t>
      </w:r>
      <w:r w:rsidR="00FA36BE">
        <w:rPr>
          <w:rFonts w:ascii="Garamond" w:eastAsia="MS Mincho" w:hAnsi="Garamond" w:cs="Times New Roman"/>
          <w:b/>
          <w:sz w:val="18"/>
          <w:szCs w:val="18"/>
          <w:lang w:val="es-AR" w:eastAsia="es-ES"/>
        </w:rPr>
        <w:t>V</w:t>
      </w:r>
      <w:r w:rsidRPr="00CA0A60">
        <w:rPr>
          <w:rFonts w:ascii="Garamond" w:eastAsia="MS Mincho" w:hAnsi="Garamond" w:cs="Times New Roman"/>
          <w:b/>
          <w:sz w:val="18"/>
          <w:szCs w:val="18"/>
          <w:lang w:val="es-AR" w:eastAsia="es-ES"/>
        </w:rPr>
        <w:t xml:space="preserve">er la sección </w:t>
      </w:r>
      <w:r w:rsidRPr="00CA0A60">
        <w:rPr>
          <w:rFonts w:ascii="Garamond" w:eastAsia="MS Mincho" w:hAnsi="Garamond" w:cs="Times New Roman"/>
          <w:b/>
          <w:bCs/>
          <w:i/>
          <w:iCs/>
          <w:sz w:val="18"/>
          <w:szCs w:val="18"/>
          <w:lang w:val="es-AR" w:eastAsia="es-ES"/>
        </w:rPr>
        <w:t>“</w:t>
      </w:r>
      <w:r w:rsidR="00FA36BE">
        <w:rPr>
          <w:rFonts w:ascii="Garamond" w:eastAsia="MS Mincho" w:hAnsi="Garamond" w:cs="Times New Roman"/>
          <w:b/>
          <w:bCs/>
          <w:i/>
          <w:iCs/>
          <w:sz w:val="18"/>
          <w:szCs w:val="18"/>
          <w:lang w:val="es-AR" w:eastAsia="es-ES"/>
        </w:rPr>
        <w:t>Oferta de los Valores Negociables—</w:t>
      </w:r>
      <w:r w:rsidRPr="00CA0A60">
        <w:rPr>
          <w:rFonts w:ascii="Garamond" w:eastAsia="MS Mincho" w:hAnsi="Garamond" w:cs="Times New Roman"/>
          <w:b/>
          <w:bCs/>
          <w:i/>
          <w:iCs/>
          <w:sz w:val="18"/>
          <w:szCs w:val="18"/>
          <w:lang w:val="es-AR" w:eastAsia="es-ES"/>
        </w:rPr>
        <w:t>Calificación de Riesgo”</w:t>
      </w:r>
      <w:r w:rsidRPr="00CA0A60">
        <w:rPr>
          <w:rFonts w:ascii="Garamond" w:eastAsia="MS Mincho" w:hAnsi="Garamond" w:cs="Times New Roman"/>
          <w:b/>
          <w:bCs/>
          <w:iCs/>
          <w:sz w:val="18"/>
          <w:szCs w:val="18"/>
          <w:lang w:val="es-AR" w:eastAsia="es-ES"/>
        </w:rPr>
        <w:t xml:space="preserve"> en este Suplemento</w:t>
      </w:r>
      <w:r w:rsidRPr="00CA0A60">
        <w:rPr>
          <w:rFonts w:ascii="Garamond" w:eastAsia="MS Mincho" w:hAnsi="Garamond" w:cs="Times New Roman"/>
          <w:b/>
          <w:sz w:val="18"/>
          <w:szCs w:val="18"/>
          <w:lang w:val="es-AR" w:eastAsia="es-ES"/>
        </w:rPr>
        <w:t>.</w:t>
      </w:r>
    </w:p>
    <w:p w14:paraId="6CB56853" w14:textId="12B2A52B" w:rsidR="002E067D" w:rsidRPr="00CA0A60" w:rsidRDefault="002E067D" w:rsidP="00582114">
      <w:pPr>
        <w:keepNext/>
        <w:keepLines/>
        <w:spacing w:after="60" w:line="240" w:lineRule="auto"/>
        <w:ind w:left="-142" w:right="-284"/>
        <w:jc w:val="both"/>
        <w:rPr>
          <w:rFonts w:ascii="Garamond" w:eastAsia="MS Mincho" w:hAnsi="Garamond" w:cs="Times New Roman"/>
          <w:sz w:val="18"/>
          <w:szCs w:val="18"/>
          <w:lang w:val="es-AR" w:eastAsia="es-ES"/>
        </w:rPr>
      </w:pPr>
      <w:r w:rsidRPr="00CA0A60">
        <w:rPr>
          <w:rFonts w:ascii="Garamond" w:eastAsia="MS Mincho" w:hAnsi="Garamond" w:cs="Times New Roman"/>
          <w:sz w:val="18"/>
          <w:szCs w:val="18"/>
          <w:lang w:val="es-AR" w:eastAsia="es-ES"/>
        </w:rPr>
        <w:t xml:space="preserve">El capital de las Obligaciones Negociables será amortizado en </w:t>
      </w:r>
      <w:r w:rsidR="003E2145" w:rsidRPr="00CA0A60">
        <w:rPr>
          <w:rFonts w:ascii="Garamond" w:eastAsia="MS Mincho" w:hAnsi="Garamond" w:cs="Times New Roman"/>
          <w:sz w:val="18"/>
          <w:szCs w:val="18"/>
          <w:lang w:val="es-AR" w:eastAsia="es-ES"/>
        </w:rPr>
        <w:t>10</w:t>
      </w:r>
      <w:r w:rsidRPr="00CA0A60">
        <w:rPr>
          <w:rFonts w:ascii="Garamond" w:eastAsia="MS Mincho" w:hAnsi="Garamond" w:cs="Times New Roman"/>
          <w:sz w:val="18"/>
          <w:szCs w:val="18"/>
          <w:lang w:val="es-AR" w:eastAsia="es-ES"/>
        </w:rPr>
        <w:t xml:space="preserve"> cuotas trimestrales consecutivas, pagaderas a partir de la fecha en que se cumplan </w:t>
      </w:r>
      <w:r w:rsidR="003E2145" w:rsidRPr="00CA0A60">
        <w:rPr>
          <w:rFonts w:ascii="Garamond" w:eastAsia="MS Mincho" w:hAnsi="Garamond" w:cs="Times New Roman"/>
          <w:sz w:val="18"/>
          <w:szCs w:val="18"/>
          <w:lang w:val="es-AR" w:eastAsia="es-ES"/>
        </w:rPr>
        <w:t>18</w:t>
      </w:r>
      <w:r w:rsidRPr="00CA0A60">
        <w:rPr>
          <w:rFonts w:ascii="Garamond" w:eastAsia="MS Mincho" w:hAnsi="Garamond" w:cs="Times New Roman"/>
          <w:sz w:val="18"/>
          <w:szCs w:val="18"/>
          <w:lang w:val="es-AR" w:eastAsia="es-ES"/>
        </w:rPr>
        <w:t xml:space="preserve"> meses contados desde la Fecha de Emisión, según lo indicado en la Sección “</w:t>
      </w:r>
      <w:r w:rsidRPr="00CA0A60">
        <w:rPr>
          <w:rFonts w:ascii="Garamond" w:eastAsia="MS Mincho" w:hAnsi="Garamond" w:cs="Times New Roman"/>
          <w:i/>
          <w:sz w:val="18"/>
          <w:szCs w:val="18"/>
          <w:lang w:val="es-AR" w:eastAsia="es-ES"/>
        </w:rPr>
        <w:t>Descripción de la Oferta y la Negociación – Descripción de las Obligaciones Negociables</w:t>
      </w:r>
      <w:r w:rsidRPr="00CA0A60">
        <w:rPr>
          <w:rFonts w:ascii="Garamond" w:eastAsia="MS Mincho" w:hAnsi="Garamond" w:cs="Times New Roman"/>
          <w:sz w:val="18"/>
          <w:szCs w:val="18"/>
          <w:lang w:val="es-AR" w:eastAsia="es-ES"/>
        </w:rPr>
        <w:t xml:space="preserve">” del presente. Las Obligaciones Negociables devengarán intereses a </w:t>
      </w:r>
      <w:r w:rsidR="00A75C69" w:rsidRPr="00A75C69">
        <w:rPr>
          <w:rFonts w:ascii="Garamond" w:eastAsia="MS Mincho" w:hAnsi="Garamond" w:cs="Times New Roman"/>
          <w:sz w:val="18"/>
          <w:szCs w:val="18"/>
          <w:lang w:val="es-AR" w:eastAsia="es-ES"/>
        </w:rPr>
        <w:t xml:space="preserve">tasa fija </w:t>
      </w:r>
      <w:r w:rsidRPr="00CA0A60">
        <w:rPr>
          <w:rFonts w:ascii="Garamond" w:eastAsia="MS Mincho" w:hAnsi="Garamond" w:cs="Times New Roman"/>
          <w:sz w:val="18"/>
          <w:szCs w:val="18"/>
          <w:lang w:val="es-AR" w:eastAsia="es-ES"/>
        </w:rPr>
        <w:t xml:space="preserve">calculada tal como se describe en la sección </w:t>
      </w:r>
      <w:r w:rsidR="008656CA" w:rsidRPr="00CA0A60">
        <w:rPr>
          <w:rFonts w:ascii="Garamond" w:eastAsia="MS Mincho" w:hAnsi="Garamond" w:cs="Times New Roman"/>
          <w:sz w:val="18"/>
          <w:szCs w:val="18"/>
          <w:lang w:val="es-AR" w:eastAsia="es-ES"/>
        </w:rPr>
        <w:t>“</w:t>
      </w:r>
      <w:r w:rsidR="008656CA" w:rsidRPr="00CA0A60">
        <w:rPr>
          <w:rFonts w:ascii="Garamond" w:eastAsia="MS Mincho" w:hAnsi="Garamond" w:cs="Times New Roman"/>
          <w:i/>
          <w:sz w:val="18"/>
          <w:szCs w:val="18"/>
          <w:lang w:val="es-AR" w:eastAsia="es-ES"/>
        </w:rPr>
        <w:t>Descripción de la Oferta y la Negociación – Descripción de las Obligaciones Negociables</w:t>
      </w:r>
      <w:r w:rsidR="008656CA" w:rsidRPr="00CA0A60">
        <w:rPr>
          <w:rFonts w:ascii="Garamond" w:eastAsia="MS Mincho" w:hAnsi="Garamond" w:cs="Times New Roman"/>
          <w:sz w:val="18"/>
          <w:szCs w:val="18"/>
          <w:lang w:val="es-AR" w:eastAsia="es-ES"/>
        </w:rPr>
        <w:t>” del presente,</w:t>
      </w:r>
      <w:r w:rsidRPr="00CA0A60">
        <w:rPr>
          <w:rFonts w:ascii="Garamond" w:eastAsia="MS Mincho" w:hAnsi="Garamond" w:cs="Times New Roman"/>
          <w:sz w:val="18"/>
          <w:szCs w:val="18"/>
          <w:lang w:val="es-AR" w:eastAsia="es-ES"/>
        </w:rPr>
        <w:t xml:space="preserve"> </w:t>
      </w:r>
      <w:r w:rsidR="009E0619" w:rsidRPr="00CA0A60">
        <w:rPr>
          <w:rFonts w:ascii="Garamond" w:eastAsia="MS Mincho" w:hAnsi="Garamond" w:cs="Times New Roman"/>
          <w:sz w:val="18"/>
          <w:szCs w:val="18"/>
          <w:lang w:val="es-AR" w:eastAsia="es-ES"/>
        </w:rPr>
        <w:t xml:space="preserve">conforme lo dispuesto en la Sección </w:t>
      </w:r>
      <w:r w:rsidR="009E0619" w:rsidRPr="00CA0A60">
        <w:rPr>
          <w:rFonts w:ascii="Garamond" w:eastAsia="MS Mincho" w:hAnsi="Garamond" w:cs="Times New Roman"/>
          <w:i/>
          <w:sz w:val="18"/>
          <w:szCs w:val="18"/>
          <w:lang w:val="es-AR" w:eastAsia="es-ES"/>
        </w:rPr>
        <w:t>“Plan de Distribución”</w:t>
      </w:r>
      <w:r w:rsidRPr="00CA0A60">
        <w:rPr>
          <w:rFonts w:ascii="Garamond" w:eastAsia="MS Mincho" w:hAnsi="Garamond" w:cs="Times New Roman"/>
          <w:sz w:val="18"/>
          <w:szCs w:val="18"/>
          <w:lang w:val="es-AR" w:eastAsia="es-ES"/>
        </w:rPr>
        <w:t>, que serán pagaderos trimestralmente, según lo indicado en la Sección “</w:t>
      </w:r>
      <w:r w:rsidRPr="00CA0A60">
        <w:rPr>
          <w:rFonts w:ascii="Garamond" w:eastAsia="MS Mincho" w:hAnsi="Garamond" w:cs="Times New Roman"/>
          <w:i/>
          <w:sz w:val="18"/>
          <w:szCs w:val="18"/>
          <w:lang w:val="es-AR" w:eastAsia="es-ES"/>
        </w:rPr>
        <w:t>Descripción de la Oferta y la Negociación – Descripción de las Obligaciones Negociables</w:t>
      </w:r>
      <w:r w:rsidRPr="00CA0A60">
        <w:rPr>
          <w:rFonts w:ascii="Garamond" w:eastAsia="MS Mincho" w:hAnsi="Garamond" w:cs="Times New Roman"/>
          <w:sz w:val="18"/>
          <w:szCs w:val="18"/>
          <w:lang w:val="es-AR" w:eastAsia="es-ES"/>
        </w:rPr>
        <w:t xml:space="preserve">” </w:t>
      </w:r>
      <w:r w:rsidR="008656CA" w:rsidRPr="00CA0A60">
        <w:rPr>
          <w:rFonts w:ascii="Garamond" w:eastAsia="MS Mincho" w:hAnsi="Garamond" w:cs="Times New Roman"/>
          <w:sz w:val="18"/>
          <w:szCs w:val="18"/>
          <w:lang w:val="es-AR" w:eastAsia="es-ES"/>
        </w:rPr>
        <w:t>antes referida</w:t>
      </w:r>
      <w:r w:rsidRPr="00CA0A60">
        <w:rPr>
          <w:rFonts w:ascii="Garamond" w:eastAsia="MS Mincho" w:hAnsi="Garamond" w:cs="Times New Roman"/>
          <w:sz w:val="18"/>
          <w:szCs w:val="18"/>
          <w:lang w:val="es-AR" w:eastAsia="es-ES"/>
        </w:rPr>
        <w:t>.</w:t>
      </w:r>
    </w:p>
    <w:p w14:paraId="5C96E09C" w14:textId="5C6D6E7A" w:rsidR="00354069" w:rsidRPr="00CA0A60" w:rsidRDefault="00354069" w:rsidP="002E067D">
      <w:pPr>
        <w:widowControl w:val="0"/>
        <w:spacing w:after="60" w:line="240" w:lineRule="auto"/>
        <w:ind w:left="-142" w:right="-283"/>
        <w:jc w:val="both"/>
        <w:rPr>
          <w:rFonts w:ascii="Garamond" w:eastAsia="MS Mincho" w:hAnsi="Garamond" w:cs="Times New Roman"/>
          <w:sz w:val="18"/>
          <w:szCs w:val="18"/>
          <w:lang w:val="es-AR" w:eastAsia="es-ES"/>
        </w:rPr>
      </w:pPr>
      <w:r w:rsidRPr="00CA0A60">
        <w:rPr>
          <w:rFonts w:ascii="Garamond" w:eastAsia="MS Mincho" w:hAnsi="Garamond" w:cs="Times New Roman"/>
          <w:sz w:val="18"/>
          <w:szCs w:val="18"/>
          <w:lang w:val="es-AR" w:eastAsia="es-ES"/>
        </w:rPr>
        <w:t>Las Obligaciones Negociables se ofrecerán mediante (i) una oferta pública local dirigida exclusivamente a “inversores calificados” en Argentina según se los define en el artículo 12 de la Sección I del Capítulo VI del Título II de las Normas de la CNV (la “</w:t>
      </w:r>
      <w:r w:rsidRPr="00CA0A60">
        <w:rPr>
          <w:rFonts w:ascii="Garamond" w:eastAsia="MS Mincho" w:hAnsi="Garamond" w:cs="Times New Roman"/>
          <w:sz w:val="18"/>
          <w:szCs w:val="18"/>
          <w:u w:val="single"/>
          <w:lang w:val="es-AR" w:eastAsia="es-ES"/>
        </w:rPr>
        <w:t>Oferta Local</w:t>
      </w:r>
      <w:r w:rsidRPr="00CA0A60">
        <w:rPr>
          <w:rFonts w:ascii="Garamond" w:eastAsia="MS Mincho" w:hAnsi="Garamond" w:cs="Times New Roman"/>
          <w:sz w:val="18"/>
          <w:szCs w:val="18"/>
          <w:lang w:val="es-AR" w:eastAsia="es-ES"/>
        </w:rPr>
        <w:t>”); y (ii) una oferta internacional no registrada en los Estados Unidos de América (“</w:t>
      </w:r>
      <w:r w:rsidRPr="00CA0A60">
        <w:rPr>
          <w:rFonts w:ascii="Garamond" w:eastAsia="MS Mincho" w:hAnsi="Garamond" w:cs="Times New Roman"/>
          <w:sz w:val="18"/>
          <w:szCs w:val="18"/>
          <w:u w:val="single"/>
          <w:lang w:val="es-AR" w:eastAsia="es-ES"/>
        </w:rPr>
        <w:t>Estados Unidos</w:t>
      </w:r>
      <w:r w:rsidRPr="00CA0A60">
        <w:rPr>
          <w:rFonts w:ascii="Garamond" w:eastAsia="MS Mincho" w:hAnsi="Garamond" w:cs="Times New Roman"/>
          <w:sz w:val="18"/>
          <w:szCs w:val="18"/>
          <w:lang w:val="es-AR" w:eastAsia="es-ES"/>
        </w:rPr>
        <w:t>”) (la “</w:t>
      </w:r>
      <w:r w:rsidRPr="00CA0A60">
        <w:rPr>
          <w:rFonts w:ascii="Garamond" w:eastAsia="MS Mincho" w:hAnsi="Garamond" w:cs="Times New Roman"/>
          <w:sz w:val="18"/>
          <w:szCs w:val="18"/>
          <w:u w:val="single"/>
          <w:lang w:val="es-AR" w:eastAsia="es-ES"/>
        </w:rPr>
        <w:t>Oferta Internacional</w:t>
      </w:r>
      <w:r w:rsidRPr="00CA0A60">
        <w:rPr>
          <w:rFonts w:ascii="Garamond" w:eastAsia="MS Mincho" w:hAnsi="Garamond" w:cs="Times New Roman"/>
          <w:sz w:val="18"/>
          <w:szCs w:val="18"/>
          <w:lang w:val="es-AR" w:eastAsia="es-ES"/>
        </w:rPr>
        <w:t>” y junto con la Oferta Local, la “</w:t>
      </w:r>
      <w:r w:rsidRPr="00CA0A60">
        <w:rPr>
          <w:rFonts w:ascii="Garamond" w:eastAsia="MS Mincho" w:hAnsi="Garamond" w:cs="Times New Roman"/>
          <w:sz w:val="18"/>
          <w:szCs w:val="18"/>
          <w:u w:val="single"/>
          <w:lang w:val="es-AR" w:eastAsia="es-ES"/>
        </w:rPr>
        <w:t>Oferta</w:t>
      </w:r>
      <w:r w:rsidRPr="00CA0A60">
        <w:rPr>
          <w:rFonts w:ascii="Garamond" w:eastAsia="MS Mincho" w:hAnsi="Garamond" w:cs="Times New Roman"/>
          <w:sz w:val="18"/>
          <w:szCs w:val="18"/>
          <w:lang w:val="es-AR" w:eastAsia="es-ES"/>
        </w:rPr>
        <w:t>”), que estará dirigida (1) a inversores acreditados (“</w:t>
      </w:r>
      <w:r w:rsidRPr="00CA0A60">
        <w:rPr>
          <w:rFonts w:ascii="Garamond" w:eastAsia="MS Mincho" w:hAnsi="Garamond" w:cs="Times New Roman"/>
          <w:i/>
          <w:sz w:val="18"/>
          <w:szCs w:val="18"/>
          <w:lang w:val="es-AR" w:eastAsia="es-ES"/>
        </w:rPr>
        <w:t>accredited investors</w:t>
      </w:r>
      <w:r w:rsidRPr="00CA0A60">
        <w:rPr>
          <w:rFonts w:ascii="Garamond" w:eastAsia="MS Mincho" w:hAnsi="Garamond" w:cs="Times New Roman"/>
          <w:sz w:val="18"/>
          <w:szCs w:val="18"/>
          <w:lang w:val="es-AR" w:eastAsia="es-ES"/>
        </w:rPr>
        <w:t>”) en los Estados Unidos</w:t>
      </w:r>
      <w:r w:rsidR="00713FFC" w:rsidRPr="00CA0A60">
        <w:rPr>
          <w:rFonts w:ascii="Garamond" w:eastAsia="MS Mincho" w:hAnsi="Garamond" w:cs="Times New Roman"/>
          <w:sz w:val="18"/>
          <w:szCs w:val="18"/>
          <w:lang w:val="es-AR" w:eastAsia="es-ES"/>
        </w:rPr>
        <w:t xml:space="preserve"> (conforme se los define en la Regla 501(a) de la Regulación D de la Ley de Títulos Valores de 1933 de Estados Unidos y sus modificatorias (la “</w:t>
      </w:r>
      <w:r w:rsidR="00713FFC" w:rsidRPr="00CA0A60">
        <w:rPr>
          <w:rFonts w:ascii="Garamond" w:eastAsia="MS Mincho" w:hAnsi="Garamond" w:cs="Times New Roman"/>
          <w:sz w:val="18"/>
          <w:szCs w:val="18"/>
          <w:u w:val="single"/>
          <w:lang w:val="es-AR" w:eastAsia="es-ES"/>
        </w:rPr>
        <w:t>Ley de Títulos Valores Estadounidense</w:t>
      </w:r>
      <w:r w:rsidR="00713FFC" w:rsidRPr="00CA0A60">
        <w:rPr>
          <w:rFonts w:ascii="Garamond" w:eastAsia="MS Mincho" w:hAnsi="Garamond" w:cs="Times New Roman"/>
          <w:sz w:val="18"/>
          <w:szCs w:val="18"/>
          <w:lang w:val="es-AR" w:eastAsia="es-ES"/>
        </w:rPr>
        <w:t>”)</w:t>
      </w:r>
      <w:r w:rsidR="00BA622E" w:rsidRPr="00CA0A60">
        <w:rPr>
          <w:rFonts w:ascii="Garamond" w:eastAsia="MS Mincho" w:hAnsi="Garamond" w:cs="Times New Roman"/>
          <w:sz w:val="18"/>
          <w:szCs w:val="18"/>
          <w:lang w:val="es-AR" w:eastAsia="es-ES"/>
        </w:rPr>
        <w:t xml:space="preserve"> que también sean inversores institucionales calificados (“</w:t>
      </w:r>
      <w:r w:rsidR="00BA622E" w:rsidRPr="00CA0A60">
        <w:rPr>
          <w:rFonts w:ascii="Garamond" w:eastAsia="MS Mincho" w:hAnsi="Garamond" w:cs="Times New Roman"/>
          <w:i/>
          <w:sz w:val="18"/>
          <w:szCs w:val="18"/>
          <w:lang w:val="es-AR" w:eastAsia="es-ES"/>
        </w:rPr>
        <w:t>qualified institutional buyers</w:t>
      </w:r>
      <w:r w:rsidR="00BA622E" w:rsidRPr="00CA0A60">
        <w:rPr>
          <w:rFonts w:ascii="Garamond" w:eastAsia="MS Mincho" w:hAnsi="Garamond" w:cs="Times New Roman"/>
          <w:sz w:val="18"/>
          <w:szCs w:val="18"/>
          <w:lang w:val="es-AR" w:eastAsia="es-ES"/>
        </w:rPr>
        <w:t>”) (conforme se define en la Regla 144A de la Ley de Títulos Valores Estadounidense)</w:t>
      </w:r>
      <w:r w:rsidR="00713FFC" w:rsidRPr="00CA0A60">
        <w:rPr>
          <w:rFonts w:ascii="Garamond" w:eastAsia="MS Mincho" w:hAnsi="Garamond" w:cs="Times New Roman"/>
          <w:sz w:val="18"/>
          <w:szCs w:val="18"/>
          <w:lang w:val="es-AR" w:eastAsia="es-ES"/>
        </w:rPr>
        <w:t>)</w:t>
      </w:r>
      <w:r w:rsidRPr="00CA0A60">
        <w:rPr>
          <w:rFonts w:ascii="Garamond" w:eastAsia="MS Mincho" w:hAnsi="Garamond" w:cs="Times New Roman"/>
          <w:sz w:val="18"/>
          <w:szCs w:val="18"/>
          <w:lang w:val="es-AR" w:eastAsia="es-ES"/>
        </w:rPr>
        <w:t>, en virtud de la exención de los requisitos de registro la Ley de Títulos Valores Estadounidense</w:t>
      </w:r>
      <w:r w:rsidR="00713FFC" w:rsidRPr="00CA0A60">
        <w:rPr>
          <w:rFonts w:ascii="Garamond" w:eastAsia="MS Mincho" w:hAnsi="Garamond" w:cs="Times New Roman"/>
          <w:sz w:val="18"/>
          <w:szCs w:val="18"/>
          <w:lang w:val="es-AR" w:eastAsia="es-ES"/>
        </w:rPr>
        <w:t xml:space="preserve"> </w:t>
      </w:r>
      <w:r w:rsidRPr="00CA0A60">
        <w:rPr>
          <w:rFonts w:ascii="Garamond" w:eastAsia="MS Mincho" w:hAnsi="Garamond" w:cs="Times New Roman"/>
          <w:sz w:val="18"/>
          <w:szCs w:val="18"/>
          <w:lang w:val="es-AR" w:eastAsia="es-ES"/>
        </w:rPr>
        <w:t xml:space="preserve">sobre la base de la </w:t>
      </w:r>
      <w:r w:rsidR="00713FFC" w:rsidRPr="00CA0A60">
        <w:rPr>
          <w:rFonts w:ascii="Garamond" w:eastAsia="MS Mincho" w:hAnsi="Garamond" w:cs="Times New Roman"/>
          <w:sz w:val="18"/>
          <w:szCs w:val="18"/>
          <w:lang w:val="es-AR" w:eastAsia="es-ES"/>
        </w:rPr>
        <w:t>Regla 4(a)(2)</w:t>
      </w:r>
      <w:r w:rsidRPr="00CA0A60">
        <w:rPr>
          <w:rFonts w:ascii="Garamond" w:eastAsia="MS Mincho" w:hAnsi="Garamond" w:cs="Times New Roman"/>
          <w:sz w:val="18"/>
          <w:szCs w:val="18"/>
          <w:lang w:val="es-AR" w:eastAsia="es-ES"/>
        </w:rPr>
        <w:t xml:space="preserve"> de dicha ley, y (2) </w:t>
      </w:r>
      <w:r w:rsidR="006B4BB1" w:rsidRPr="00CA0A60">
        <w:rPr>
          <w:rFonts w:ascii="Garamond" w:eastAsia="MS Mincho" w:hAnsi="Garamond" w:cs="Times New Roman"/>
          <w:sz w:val="18"/>
          <w:szCs w:val="18"/>
          <w:lang w:val="es-AR" w:eastAsia="es-ES"/>
        </w:rPr>
        <w:t xml:space="preserve">fuera de Estados Unidos y Argentina </w:t>
      </w:r>
      <w:r w:rsidRPr="00CA0A60">
        <w:rPr>
          <w:rFonts w:ascii="Garamond" w:eastAsia="MS Mincho" w:hAnsi="Garamond" w:cs="Times New Roman"/>
          <w:sz w:val="18"/>
          <w:szCs w:val="18"/>
          <w:lang w:val="es-AR" w:eastAsia="es-ES"/>
        </w:rPr>
        <w:t>a personas no estadounidenses (“</w:t>
      </w:r>
      <w:r w:rsidRPr="00CA0A60">
        <w:rPr>
          <w:rFonts w:ascii="Garamond" w:eastAsia="MS Mincho" w:hAnsi="Garamond" w:cs="Times New Roman"/>
          <w:i/>
          <w:sz w:val="18"/>
          <w:szCs w:val="18"/>
          <w:lang w:val="es-AR" w:eastAsia="es-ES"/>
        </w:rPr>
        <w:t>non-U.S. persons</w:t>
      </w:r>
      <w:r w:rsidRPr="00CA0A60">
        <w:rPr>
          <w:rFonts w:ascii="Garamond" w:eastAsia="MS Mincho" w:hAnsi="Garamond" w:cs="Times New Roman"/>
          <w:sz w:val="18"/>
          <w:szCs w:val="18"/>
          <w:lang w:val="es-AR" w:eastAsia="es-ES"/>
        </w:rPr>
        <w:t>”), en virtud de la exención de los requisitos de registro de la Ley de Títulos Valores Estadounidense sobre la base de la Regulación S de dicha ley. Para una mayor descripción de la Oferta, véase “</w:t>
      </w:r>
      <w:r w:rsidRPr="00CA0A60">
        <w:rPr>
          <w:rFonts w:ascii="Garamond" w:eastAsia="MS Mincho" w:hAnsi="Garamond" w:cs="Times New Roman"/>
          <w:i/>
          <w:sz w:val="18"/>
          <w:szCs w:val="18"/>
          <w:lang w:val="es-AR" w:eastAsia="es-ES"/>
        </w:rPr>
        <w:t>Plan de Distribución</w:t>
      </w:r>
      <w:r w:rsidRPr="00CA0A60">
        <w:rPr>
          <w:rFonts w:ascii="Garamond" w:eastAsia="MS Mincho" w:hAnsi="Garamond" w:cs="Times New Roman"/>
          <w:sz w:val="18"/>
          <w:szCs w:val="18"/>
          <w:lang w:val="es-AR" w:eastAsia="es-ES"/>
        </w:rPr>
        <w:t>”, en el presente Suplemento.</w:t>
      </w:r>
    </w:p>
    <w:p w14:paraId="6D0F8FBF" w14:textId="77777777" w:rsidR="00354069" w:rsidRPr="00CA0A60" w:rsidRDefault="00354069" w:rsidP="00354069">
      <w:pPr>
        <w:widowControl w:val="0"/>
        <w:spacing w:after="60" w:line="240" w:lineRule="auto"/>
        <w:ind w:left="-142" w:right="-283"/>
        <w:jc w:val="both"/>
        <w:rPr>
          <w:rFonts w:ascii="Garamond" w:eastAsia="MS Mincho" w:hAnsi="Garamond" w:cs="Times New Roman"/>
          <w:sz w:val="18"/>
          <w:szCs w:val="18"/>
          <w:lang w:val="es-AR" w:eastAsia="es-ES"/>
        </w:rPr>
      </w:pPr>
      <w:r w:rsidRPr="00CA0A60">
        <w:rPr>
          <w:rFonts w:ascii="Garamond" w:eastAsia="MS Mincho" w:hAnsi="Garamond" w:cs="Times New Roman"/>
          <w:sz w:val="18"/>
          <w:szCs w:val="18"/>
          <w:lang w:val="es-AR" w:eastAsia="es-ES"/>
        </w:rPr>
        <w:t xml:space="preserve">Las Obligaciones Negociables no han sido ni serán registradas bajo la Ley de Títulos Valores Estadounidense, ni estarán registradas ante la </w:t>
      </w:r>
      <w:r w:rsidRPr="00CA0A60">
        <w:rPr>
          <w:rFonts w:ascii="Garamond" w:eastAsia="MS Mincho" w:hAnsi="Garamond" w:cs="Times New Roman"/>
          <w:i/>
          <w:sz w:val="18"/>
          <w:szCs w:val="18"/>
          <w:lang w:val="es-AR" w:eastAsia="es-ES"/>
        </w:rPr>
        <w:t>Securities Exchange Commission</w:t>
      </w:r>
      <w:r w:rsidRPr="00CA0A60">
        <w:rPr>
          <w:rFonts w:ascii="Garamond" w:eastAsia="MS Mincho" w:hAnsi="Garamond" w:cs="Times New Roman"/>
          <w:sz w:val="18"/>
          <w:szCs w:val="18"/>
          <w:lang w:val="es-AR" w:eastAsia="es-ES"/>
        </w:rPr>
        <w:t xml:space="preserve"> (“</w:t>
      </w:r>
      <w:r w:rsidRPr="00CA0A60">
        <w:rPr>
          <w:rFonts w:ascii="Garamond" w:eastAsia="MS Mincho" w:hAnsi="Garamond" w:cs="Times New Roman"/>
          <w:sz w:val="18"/>
          <w:szCs w:val="18"/>
          <w:u w:val="single"/>
          <w:lang w:val="es-AR" w:eastAsia="es-ES"/>
        </w:rPr>
        <w:t>SEC</w:t>
      </w:r>
      <w:r w:rsidRPr="00CA0A60">
        <w:rPr>
          <w:rFonts w:ascii="Garamond" w:eastAsia="MS Mincho" w:hAnsi="Garamond" w:cs="Times New Roman"/>
          <w:sz w:val="18"/>
          <w:szCs w:val="18"/>
          <w:lang w:val="es-AR" w:eastAsia="es-ES"/>
        </w:rPr>
        <w:t xml:space="preserve">”), ni </w:t>
      </w:r>
      <w:r w:rsidR="00B03811" w:rsidRPr="00CA0A60">
        <w:rPr>
          <w:rFonts w:ascii="Garamond" w:eastAsia="MS Mincho" w:hAnsi="Garamond" w:cs="Times New Roman"/>
          <w:sz w:val="18"/>
          <w:szCs w:val="18"/>
          <w:lang w:val="es-AR" w:eastAsia="es-ES"/>
        </w:rPr>
        <w:t xml:space="preserve">ante </w:t>
      </w:r>
      <w:r w:rsidRPr="00CA0A60">
        <w:rPr>
          <w:rFonts w:ascii="Garamond" w:eastAsia="MS Mincho" w:hAnsi="Garamond" w:cs="Times New Roman"/>
          <w:sz w:val="18"/>
          <w:szCs w:val="18"/>
          <w:lang w:val="es-AR" w:eastAsia="es-ES"/>
        </w:rPr>
        <w:t xml:space="preserve">cualquier otra comisión de los Estados Unidos u otra autoridad regulatoria, y ninguna de dichas autoridades ha evaluado o autorizado los méritos de la </w:t>
      </w:r>
      <w:r w:rsidR="00706145" w:rsidRPr="00CA0A60">
        <w:rPr>
          <w:rFonts w:ascii="Garamond" w:eastAsia="MS Mincho" w:hAnsi="Garamond" w:cs="Times New Roman"/>
          <w:sz w:val="18"/>
          <w:szCs w:val="18"/>
          <w:lang w:val="es-AR" w:eastAsia="es-ES"/>
        </w:rPr>
        <w:t>O</w:t>
      </w:r>
      <w:r w:rsidRPr="00CA0A60">
        <w:rPr>
          <w:rFonts w:ascii="Garamond" w:eastAsia="MS Mincho" w:hAnsi="Garamond" w:cs="Times New Roman"/>
          <w:sz w:val="18"/>
          <w:szCs w:val="18"/>
          <w:lang w:val="es-AR" w:eastAsia="es-ES"/>
        </w:rPr>
        <w:t xml:space="preserve">ferta ni la veracidad del presente Suplemento. Las Obligaciones Negociables no podrán ser ofrecidas, vendidas y/o entregadas en los Estados Unidos o a personas estadounidenses, salvo </w:t>
      </w:r>
      <w:r w:rsidR="00DC41C9" w:rsidRPr="00CA0A60">
        <w:rPr>
          <w:rFonts w:ascii="Garamond" w:eastAsia="MS Mincho" w:hAnsi="Garamond" w:cs="Times New Roman"/>
          <w:sz w:val="18"/>
          <w:szCs w:val="18"/>
          <w:lang w:val="es-AR" w:eastAsia="es-ES"/>
        </w:rPr>
        <w:t xml:space="preserve">de conformidad con </w:t>
      </w:r>
      <w:r w:rsidRPr="00CA0A60">
        <w:rPr>
          <w:rFonts w:ascii="Garamond" w:eastAsia="MS Mincho" w:hAnsi="Garamond" w:cs="Times New Roman"/>
          <w:sz w:val="18"/>
          <w:szCs w:val="18"/>
          <w:lang w:val="es-AR" w:eastAsia="es-ES"/>
        </w:rPr>
        <w:t xml:space="preserve">las excepciones previamente mencionadas. </w:t>
      </w:r>
    </w:p>
    <w:p w14:paraId="74FFF877" w14:textId="78936B6D" w:rsidR="00354069" w:rsidRPr="00CA0A60" w:rsidRDefault="00354069" w:rsidP="00354069">
      <w:pPr>
        <w:widowControl w:val="0"/>
        <w:spacing w:after="60" w:line="240" w:lineRule="auto"/>
        <w:ind w:left="-142" w:right="-283"/>
        <w:jc w:val="both"/>
        <w:rPr>
          <w:rFonts w:ascii="Garamond" w:eastAsia="MS Mincho" w:hAnsi="Garamond" w:cs="Times New Roman"/>
          <w:sz w:val="18"/>
          <w:szCs w:val="18"/>
          <w:lang w:val="es-AR" w:eastAsia="es-ES"/>
        </w:rPr>
      </w:pPr>
      <w:r w:rsidRPr="00CA0A60">
        <w:rPr>
          <w:rFonts w:ascii="Garamond" w:eastAsia="MS Mincho" w:hAnsi="Garamond" w:cs="Times New Roman"/>
          <w:sz w:val="18"/>
          <w:szCs w:val="18"/>
          <w:lang w:val="es-AR" w:eastAsia="es-ES"/>
        </w:rPr>
        <w:t xml:space="preserve">La integración del precio de suscripción de las </w:t>
      </w:r>
      <w:r w:rsidR="00DC41C9" w:rsidRPr="00CA0A60">
        <w:rPr>
          <w:rFonts w:ascii="Garamond" w:eastAsia="MS Mincho" w:hAnsi="Garamond" w:cs="Times New Roman"/>
          <w:sz w:val="18"/>
          <w:szCs w:val="18"/>
          <w:lang w:val="es-AR" w:eastAsia="es-ES"/>
        </w:rPr>
        <w:t>Obligaciones Negociables Clase II</w:t>
      </w:r>
      <w:r w:rsidRPr="00CA0A60">
        <w:rPr>
          <w:rFonts w:ascii="Garamond" w:eastAsia="MS Mincho" w:hAnsi="Garamond" w:cs="Times New Roman"/>
          <w:sz w:val="18"/>
          <w:szCs w:val="18"/>
          <w:lang w:val="es-AR" w:eastAsia="es-ES"/>
        </w:rPr>
        <w:t xml:space="preserve"> </w:t>
      </w:r>
      <w:r w:rsidR="00AF25EE" w:rsidRPr="00CA0A60">
        <w:rPr>
          <w:rFonts w:ascii="Garamond" w:eastAsia="MS Mincho" w:hAnsi="Garamond" w:cs="Times New Roman"/>
          <w:sz w:val="18"/>
          <w:szCs w:val="18"/>
          <w:lang w:val="es-AR" w:eastAsia="es-ES"/>
        </w:rPr>
        <w:t>deber</w:t>
      </w:r>
      <w:r w:rsidR="00CF1BA1" w:rsidRPr="00CA0A60">
        <w:rPr>
          <w:rFonts w:ascii="Garamond" w:eastAsia="MS Mincho" w:hAnsi="Garamond" w:cs="Times New Roman"/>
          <w:sz w:val="18"/>
          <w:szCs w:val="18"/>
          <w:lang w:val="es-AR" w:eastAsia="es-ES"/>
        </w:rPr>
        <w:t>á</w:t>
      </w:r>
      <w:r w:rsidRPr="00CA0A60">
        <w:rPr>
          <w:rFonts w:ascii="Garamond" w:eastAsia="MS Mincho" w:hAnsi="Garamond" w:cs="Times New Roman"/>
          <w:sz w:val="18"/>
          <w:szCs w:val="18"/>
          <w:lang w:val="es-AR" w:eastAsia="es-ES"/>
        </w:rPr>
        <w:t xml:space="preserve"> </w:t>
      </w:r>
      <w:r w:rsidR="00AF25EE" w:rsidRPr="00CA0A60">
        <w:rPr>
          <w:rFonts w:ascii="Garamond" w:eastAsia="MS Mincho" w:hAnsi="Garamond" w:cs="Times New Roman"/>
          <w:sz w:val="18"/>
          <w:szCs w:val="18"/>
          <w:lang w:val="es-AR" w:eastAsia="es-ES"/>
        </w:rPr>
        <w:t xml:space="preserve">ser </w:t>
      </w:r>
      <w:r w:rsidRPr="00CA0A60">
        <w:rPr>
          <w:rFonts w:ascii="Garamond" w:eastAsia="MS Mincho" w:hAnsi="Garamond" w:cs="Times New Roman"/>
          <w:sz w:val="18"/>
          <w:szCs w:val="18"/>
          <w:lang w:val="es-AR" w:eastAsia="es-ES"/>
        </w:rPr>
        <w:t>realizada en efectivo</w:t>
      </w:r>
      <w:r w:rsidR="00BE29AF" w:rsidRPr="00CA0A60">
        <w:rPr>
          <w:rFonts w:ascii="Garamond" w:eastAsia="MS Mincho" w:hAnsi="Garamond" w:cs="Times New Roman"/>
          <w:sz w:val="18"/>
          <w:szCs w:val="18"/>
          <w:lang w:val="es-AR" w:eastAsia="es-ES"/>
        </w:rPr>
        <w:t xml:space="preserve"> y</w:t>
      </w:r>
      <w:r w:rsidRPr="00CA0A60">
        <w:rPr>
          <w:rFonts w:ascii="Garamond" w:eastAsia="MS Mincho" w:hAnsi="Garamond" w:cs="Times New Roman"/>
          <w:sz w:val="18"/>
          <w:szCs w:val="18"/>
          <w:lang w:val="es-AR" w:eastAsia="es-ES"/>
        </w:rPr>
        <w:t xml:space="preserve"> en Dólares</w:t>
      </w:r>
      <w:r w:rsidR="00D9349F" w:rsidRPr="00CA0A60">
        <w:rPr>
          <w:rFonts w:ascii="Garamond" w:eastAsia="MS Mincho" w:hAnsi="Garamond" w:cs="Times New Roman"/>
          <w:sz w:val="18"/>
          <w:szCs w:val="18"/>
          <w:lang w:val="es-AR" w:eastAsia="es-ES"/>
        </w:rPr>
        <w:t xml:space="preserve"> y/o en Pesos (convertidos al Tipo de Cambio Aplicable (según se define más adelante))</w:t>
      </w:r>
      <w:r w:rsidR="00EE3DF8" w:rsidRPr="00CA0A60">
        <w:rPr>
          <w:rFonts w:ascii="Garamond" w:eastAsia="MS Mincho" w:hAnsi="Garamond" w:cs="Times New Roman"/>
          <w:sz w:val="18"/>
          <w:szCs w:val="18"/>
          <w:lang w:val="es-AR" w:eastAsia="es-ES"/>
        </w:rPr>
        <w:t>.</w:t>
      </w:r>
    </w:p>
    <w:p w14:paraId="4909C623" w14:textId="77777777" w:rsidR="00354069" w:rsidRPr="00CA0A60" w:rsidRDefault="00354069" w:rsidP="00354069">
      <w:pPr>
        <w:widowControl w:val="0"/>
        <w:spacing w:after="60" w:line="240" w:lineRule="auto"/>
        <w:ind w:left="-142" w:right="-283"/>
        <w:jc w:val="both"/>
        <w:rPr>
          <w:rFonts w:ascii="Garamond" w:eastAsia="MS Mincho" w:hAnsi="Garamond" w:cs="Times New Roman"/>
          <w:sz w:val="18"/>
          <w:szCs w:val="18"/>
          <w:lang w:val="es-AR" w:eastAsia="es-ES"/>
        </w:rPr>
      </w:pPr>
      <w:r w:rsidRPr="00CA0A60">
        <w:rPr>
          <w:rFonts w:ascii="Garamond" w:eastAsia="MS Mincho" w:hAnsi="Garamond" w:cs="Times New Roman"/>
          <w:sz w:val="18"/>
          <w:szCs w:val="18"/>
          <w:lang w:val="es-AR" w:eastAsia="es-ES"/>
        </w:rPr>
        <w:t>Las Sociedades solicitaron autorización para el listado de las Obligaciones Negociables en Bolsas y Mercados Argentinos</w:t>
      </w:r>
      <w:r w:rsidRPr="00CA0A60" w:rsidDel="00B02314">
        <w:rPr>
          <w:rFonts w:ascii="Garamond" w:eastAsia="MS Mincho" w:hAnsi="Garamond" w:cs="Times New Roman"/>
          <w:sz w:val="18"/>
          <w:szCs w:val="18"/>
          <w:lang w:val="es-AR" w:eastAsia="es-ES"/>
        </w:rPr>
        <w:t xml:space="preserve"> </w:t>
      </w:r>
      <w:r w:rsidRPr="00CA0A60">
        <w:rPr>
          <w:rFonts w:ascii="Garamond" w:eastAsia="MS Mincho" w:hAnsi="Garamond" w:cs="Times New Roman"/>
          <w:sz w:val="18"/>
          <w:szCs w:val="18"/>
          <w:lang w:val="es-AR" w:eastAsia="es-ES"/>
        </w:rPr>
        <w:t>S.A. (“</w:t>
      </w:r>
      <w:r w:rsidRPr="00CA0A60">
        <w:rPr>
          <w:rFonts w:ascii="Garamond" w:eastAsia="MS Mincho" w:hAnsi="Garamond" w:cs="Times New Roman"/>
          <w:sz w:val="18"/>
          <w:szCs w:val="18"/>
          <w:u w:val="single"/>
          <w:lang w:val="es-AR" w:eastAsia="es-ES"/>
        </w:rPr>
        <w:t>BYMA</w:t>
      </w:r>
      <w:r w:rsidRPr="00CA0A60">
        <w:rPr>
          <w:rFonts w:ascii="Garamond" w:eastAsia="MS Mincho" w:hAnsi="Garamond" w:cs="Times New Roman"/>
          <w:sz w:val="18"/>
          <w:szCs w:val="18"/>
          <w:lang w:val="es-AR" w:eastAsia="es-ES"/>
        </w:rPr>
        <w:t xml:space="preserve">”), y </w:t>
      </w:r>
      <w:r w:rsidR="00F977C5" w:rsidRPr="00CA0A60">
        <w:rPr>
          <w:rFonts w:ascii="Garamond" w:eastAsia="MS Mincho" w:hAnsi="Garamond" w:cs="Times New Roman"/>
          <w:sz w:val="18"/>
          <w:szCs w:val="18"/>
          <w:lang w:val="es-AR" w:eastAsia="es-ES"/>
        </w:rPr>
        <w:t xml:space="preserve">para su negociación </w:t>
      </w:r>
      <w:r w:rsidRPr="00CA0A60">
        <w:rPr>
          <w:rFonts w:ascii="Garamond" w:eastAsia="MS Mincho" w:hAnsi="Garamond" w:cs="Times New Roman"/>
          <w:sz w:val="18"/>
          <w:szCs w:val="18"/>
          <w:lang w:val="es-AR" w:eastAsia="es-ES"/>
        </w:rPr>
        <w:t>en el Mercado Abierto Electrónico S.A. (“</w:t>
      </w:r>
      <w:r w:rsidRPr="00CA0A60">
        <w:rPr>
          <w:rFonts w:ascii="Garamond" w:eastAsia="MS Mincho" w:hAnsi="Garamond" w:cs="Times New Roman"/>
          <w:sz w:val="18"/>
          <w:szCs w:val="18"/>
          <w:u w:val="single"/>
          <w:lang w:val="es-AR" w:eastAsia="es-ES"/>
        </w:rPr>
        <w:t>MAE</w:t>
      </w:r>
      <w:r w:rsidRPr="00CA0A60">
        <w:rPr>
          <w:rFonts w:ascii="Garamond" w:eastAsia="MS Mincho" w:hAnsi="Garamond" w:cs="Times New Roman"/>
          <w:sz w:val="18"/>
          <w:szCs w:val="18"/>
          <w:lang w:val="es-AR" w:eastAsia="es-ES"/>
        </w:rPr>
        <w:t>”)</w:t>
      </w:r>
      <w:r w:rsidR="00F977C5" w:rsidRPr="00CA0A60">
        <w:rPr>
          <w:rFonts w:ascii="Garamond" w:eastAsia="MS Mincho" w:hAnsi="Garamond" w:cs="Times New Roman"/>
          <w:sz w:val="18"/>
          <w:szCs w:val="18"/>
          <w:lang w:val="es-AR" w:eastAsia="es-ES"/>
        </w:rPr>
        <w:t>.</w:t>
      </w:r>
    </w:p>
    <w:p w14:paraId="59EBA011" w14:textId="5ADDD723" w:rsidR="00354069" w:rsidRPr="00CA3A3D" w:rsidRDefault="00AF25EE" w:rsidP="00354069">
      <w:pPr>
        <w:widowControl w:val="0"/>
        <w:spacing w:after="60" w:line="240" w:lineRule="auto"/>
        <w:ind w:left="-142" w:right="-283"/>
        <w:jc w:val="both"/>
        <w:rPr>
          <w:rFonts w:ascii="Garamond" w:eastAsia="MS Mincho" w:hAnsi="Garamond" w:cs="Times New Roman"/>
          <w:sz w:val="18"/>
          <w:szCs w:val="18"/>
          <w:lang w:val="es-AR" w:eastAsia="es-ES"/>
        </w:rPr>
      </w:pPr>
      <w:r w:rsidRPr="00CA0A60">
        <w:rPr>
          <w:rFonts w:ascii="Garamond" w:eastAsia="MS Mincho" w:hAnsi="Garamond" w:cs="Times New Roman"/>
          <w:sz w:val="18"/>
          <w:szCs w:val="18"/>
          <w:lang w:val="es-AR" w:eastAsia="es-ES"/>
        </w:rPr>
        <w:t xml:space="preserve">Las Obligaciones Negociables se emitirán en la forma de una o más Obligaciones Negociables globales sin cupones, registradas a nombre de una persona designada de </w:t>
      </w:r>
      <w:r w:rsidRPr="00CA3A3D">
        <w:rPr>
          <w:rFonts w:ascii="Garamond" w:eastAsia="MS Mincho" w:hAnsi="Garamond" w:cs="Times New Roman"/>
          <w:sz w:val="18"/>
          <w:szCs w:val="18"/>
          <w:lang w:val="es-AR" w:eastAsia="es-ES"/>
        </w:rPr>
        <w:t>The Depository Trust Company (“</w:t>
      </w:r>
      <w:r w:rsidRPr="00CA3A3D">
        <w:rPr>
          <w:rFonts w:ascii="Garamond" w:eastAsia="MS Mincho" w:hAnsi="Garamond" w:cs="Times New Roman"/>
          <w:sz w:val="18"/>
          <w:szCs w:val="18"/>
          <w:u w:val="single"/>
          <w:lang w:val="es-AR" w:eastAsia="es-ES"/>
        </w:rPr>
        <w:t>DTC</w:t>
      </w:r>
      <w:r w:rsidRPr="00CA3A3D">
        <w:rPr>
          <w:rFonts w:ascii="Garamond" w:eastAsia="MS Mincho" w:hAnsi="Garamond" w:cs="Times New Roman"/>
          <w:sz w:val="18"/>
          <w:szCs w:val="18"/>
          <w:lang w:val="es-AR" w:eastAsia="es-ES"/>
        </w:rPr>
        <w:t>”)</w:t>
      </w:r>
      <w:r w:rsidRPr="00CA0A60">
        <w:rPr>
          <w:rFonts w:ascii="Garamond" w:eastAsia="MS Mincho" w:hAnsi="Garamond" w:cs="Times New Roman"/>
          <w:sz w:val="18"/>
          <w:szCs w:val="18"/>
          <w:lang w:val="es-AR" w:eastAsia="es-ES"/>
        </w:rPr>
        <w:t xml:space="preserve">, en carácter de depositario, en las cuentas de sus participantes directos e indirectos, incluyendo </w:t>
      </w:r>
      <w:r w:rsidRPr="00CA3A3D">
        <w:rPr>
          <w:rFonts w:ascii="Garamond" w:eastAsia="MS Mincho" w:hAnsi="Garamond" w:cs="Times New Roman"/>
          <w:sz w:val="18"/>
          <w:szCs w:val="18"/>
          <w:lang w:val="es-AR" w:eastAsia="es-ES"/>
        </w:rPr>
        <w:t>Euroclear Bank S.A./N.V. (“</w:t>
      </w:r>
      <w:r w:rsidRPr="00CA0A60">
        <w:rPr>
          <w:rFonts w:ascii="Garamond" w:eastAsia="MS Mincho" w:hAnsi="Garamond" w:cs="Times New Roman"/>
          <w:sz w:val="18"/>
          <w:szCs w:val="18"/>
          <w:u w:val="single"/>
          <w:lang w:val="es-AR" w:eastAsia="es-ES"/>
        </w:rPr>
        <w:t>Euroclear</w:t>
      </w:r>
      <w:r w:rsidRPr="00713D6E">
        <w:rPr>
          <w:rFonts w:ascii="Garamond" w:eastAsia="MS Mincho" w:hAnsi="Garamond" w:cs="Times New Roman"/>
          <w:sz w:val="18"/>
          <w:szCs w:val="18"/>
          <w:lang w:val="es-AR" w:eastAsia="es-ES"/>
        </w:rPr>
        <w:t xml:space="preserve">”) y </w:t>
      </w:r>
      <w:r w:rsidRPr="00CA3A3D">
        <w:rPr>
          <w:rFonts w:ascii="Garamond" w:eastAsia="MS Mincho" w:hAnsi="Garamond" w:cs="Times New Roman"/>
          <w:sz w:val="18"/>
          <w:szCs w:val="18"/>
          <w:lang w:val="es-AR" w:eastAsia="es-ES"/>
        </w:rPr>
        <w:t xml:space="preserve">Clearstream Banking, </w:t>
      </w:r>
      <w:r w:rsidRPr="00CA3A3D">
        <w:rPr>
          <w:rFonts w:ascii="Garamond" w:eastAsia="MS Mincho" w:hAnsi="Garamond" w:cs="Times New Roman"/>
          <w:i/>
          <w:sz w:val="18"/>
          <w:szCs w:val="18"/>
          <w:lang w:val="es-AR" w:eastAsia="es-ES"/>
        </w:rPr>
        <w:t>société anonyme</w:t>
      </w:r>
      <w:r w:rsidRPr="00CA0A60">
        <w:rPr>
          <w:rFonts w:ascii="Garamond" w:eastAsia="MS Mincho" w:hAnsi="Garamond" w:cs="Times New Roman"/>
          <w:sz w:val="18"/>
          <w:szCs w:val="18"/>
          <w:lang w:val="es-AR" w:eastAsia="es-ES"/>
        </w:rPr>
        <w:t xml:space="preserve"> </w:t>
      </w:r>
      <w:r w:rsidRPr="00713D6E">
        <w:rPr>
          <w:rFonts w:ascii="Garamond" w:eastAsia="MS Mincho" w:hAnsi="Garamond" w:cs="Times New Roman"/>
          <w:sz w:val="18"/>
          <w:szCs w:val="18"/>
          <w:lang w:val="es-AR" w:eastAsia="es-ES"/>
        </w:rPr>
        <w:t>(“</w:t>
      </w:r>
      <w:r w:rsidRPr="00713D6E">
        <w:rPr>
          <w:rFonts w:ascii="Garamond" w:eastAsia="MS Mincho" w:hAnsi="Garamond" w:cs="Times New Roman"/>
          <w:sz w:val="18"/>
          <w:szCs w:val="18"/>
          <w:u w:val="single"/>
          <w:lang w:val="es-AR" w:eastAsia="es-ES"/>
        </w:rPr>
        <w:t>Clearstream</w:t>
      </w:r>
      <w:r w:rsidRPr="00CA0A60">
        <w:rPr>
          <w:rFonts w:ascii="Garamond" w:eastAsia="MS Mincho" w:hAnsi="Garamond" w:cs="Times New Roman"/>
          <w:sz w:val="18"/>
          <w:szCs w:val="18"/>
          <w:u w:val="single"/>
          <w:lang w:val="es-AR" w:eastAsia="es-ES"/>
        </w:rPr>
        <w:t>”)</w:t>
      </w:r>
      <w:r w:rsidRPr="00CA0A60">
        <w:rPr>
          <w:rFonts w:ascii="Garamond" w:eastAsia="MS Mincho" w:hAnsi="Garamond" w:cs="Times New Roman"/>
          <w:sz w:val="18"/>
          <w:szCs w:val="18"/>
          <w:lang w:val="es-AR" w:eastAsia="es-ES"/>
        </w:rPr>
        <w:t>, y se negociarán a través del sistema de liquidación de fondos en el día de DTC. Las participaciones no podrán canjearse por títulos cartulares, salvo en limitadas circunstancias.</w:t>
      </w:r>
    </w:p>
    <w:p w14:paraId="0F1FE006" w14:textId="77777777" w:rsidR="00BE1B7C" w:rsidRPr="00CA3A3D" w:rsidRDefault="00BE1B7C" w:rsidP="00BE1B7C">
      <w:pPr>
        <w:widowControl w:val="0"/>
        <w:spacing w:after="60" w:line="240" w:lineRule="auto"/>
        <w:ind w:left="-142" w:right="-283"/>
        <w:jc w:val="both"/>
        <w:rPr>
          <w:rFonts w:ascii="Garamond" w:eastAsia="MS Mincho" w:hAnsi="Garamond" w:cs="Times New Roman"/>
          <w:b/>
          <w:sz w:val="18"/>
          <w:szCs w:val="18"/>
          <w:lang w:val="es-AR" w:eastAsia="es-ES"/>
        </w:rPr>
      </w:pPr>
      <w:r w:rsidRPr="00CA3A3D">
        <w:rPr>
          <w:rFonts w:ascii="Garamond" w:eastAsia="MS Mincho" w:hAnsi="Garamond" w:cs="Times New Roman"/>
          <w:b/>
          <w:sz w:val="18"/>
          <w:szCs w:val="18"/>
          <w:lang w:val="es-AR" w:eastAsia="es-ES"/>
        </w:rPr>
        <w:t xml:space="preserve">El presente Suplemento debe ser leído en forma conjunta con el Prospecto autorizado por la CNV de fecha </w:t>
      </w:r>
      <w:r w:rsidR="008D26DF" w:rsidRPr="00CA3A3D">
        <w:rPr>
          <w:rFonts w:ascii="Garamond" w:eastAsia="MS Mincho" w:hAnsi="Garamond" w:cs="Times New Roman"/>
          <w:b/>
          <w:sz w:val="18"/>
          <w:szCs w:val="18"/>
          <w:lang w:val="es-AR" w:eastAsia="es-ES"/>
        </w:rPr>
        <w:t xml:space="preserve">29 </w:t>
      </w:r>
      <w:r w:rsidRPr="00CA3A3D">
        <w:rPr>
          <w:rFonts w:ascii="Garamond" w:eastAsia="MS Mincho" w:hAnsi="Garamond" w:cs="Times New Roman"/>
          <w:b/>
          <w:sz w:val="18"/>
          <w:szCs w:val="18"/>
          <w:lang w:val="es-AR" w:eastAsia="es-ES"/>
        </w:rPr>
        <w:t xml:space="preserve">de </w:t>
      </w:r>
      <w:r w:rsidR="008D26DF" w:rsidRPr="00CA3A3D">
        <w:rPr>
          <w:rFonts w:ascii="Garamond" w:eastAsia="MS Mincho" w:hAnsi="Garamond" w:cs="Times New Roman"/>
          <w:b/>
          <w:sz w:val="18"/>
          <w:szCs w:val="18"/>
          <w:lang w:val="es-AR" w:eastAsia="es-ES"/>
        </w:rPr>
        <w:t xml:space="preserve">marzo </w:t>
      </w:r>
      <w:r w:rsidRPr="00CA3A3D">
        <w:rPr>
          <w:rFonts w:ascii="Garamond" w:eastAsia="MS Mincho" w:hAnsi="Garamond" w:cs="Times New Roman"/>
          <w:b/>
          <w:sz w:val="18"/>
          <w:szCs w:val="18"/>
          <w:lang w:val="es-AR" w:eastAsia="es-ES"/>
        </w:rPr>
        <w:t>de 2019 (el “</w:t>
      </w:r>
      <w:r w:rsidRPr="00CA3A3D">
        <w:rPr>
          <w:rFonts w:ascii="Garamond" w:eastAsia="MS Mincho" w:hAnsi="Garamond" w:cs="Times New Roman"/>
          <w:b/>
          <w:sz w:val="18"/>
          <w:szCs w:val="18"/>
          <w:u w:val="single"/>
          <w:lang w:val="es-AR" w:eastAsia="es-ES"/>
        </w:rPr>
        <w:t>Prospecto</w:t>
      </w:r>
      <w:r w:rsidRPr="00CA3A3D">
        <w:rPr>
          <w:rFonts w:ascii="Garamond" w:eastAsia="MS Mincho" w:hAnsi="Garamond" w:cs="Times New Roman"/>
          <w:b/>
          <w:sz w:val="18"/>
          <w:szCs w:val="18"/>
          <w:lang w:val="es-AR" w:eastAsia="es-ES"/>
        </w:rPr>
        <w:t>”) y publicado en la Autopista de la Información Financiera (la “</w:t>
      </w:r>
      <w:r w:rsidRPr="00CA3A3D">
        <w:rPr>
          <w:rFonts w:ascii="Garamond" w:eastAsia="MS Mincho" w:hAnsi="Garamond" w:cs="Times New Roman"/>
          <w:b/>
          <w:sz w:val="18"/>
          <w:szCs w:val="18"/>
          <w:u w:val="single"/>
          <w:lang w:val="es-AR" w:eastAsia="es-ES"/>
        </w:rPr>
        <w:t>Página Web de la CNV</w:t>
      </w:r>
      <w:r w:rsidRPr="00CA3A3D">
        <w:rPr>
          <w:rFonts w:ascii="Garamond" w:eastAsia="MS Mincho" w:hAnsi="Garamond" w:cs="Times New Roman"/>
          <w:b/>
          <w:sz w:val="18"/>
          <w:szCs w:val="18"/>
          <w:lang w:val="es-AR" w:eastAsia="es-ES"/>
        </w:rPr>
        <w:t>”).</w:t>
      </w:r>
      <w:r w:rsidR="00D654A1" w:rsidRPr="00CA3A3D">
        <w:rPr>
          <w:rFonts w:ascii="Garamond" w:eastAsia="MS Mincho" w:hAnsi="Garamond" w:cs="Times New Roman"/>
          <w:b/>
          <w:sz w:val="18"/>
          <w:szCs w:val="18"/>
          <w:lang w:val="es-AR" w:eastAsia="es-ES"/>
        </w:rPr>
        <w:t xml:space="preserve"> Todos los términos en mayúscula utilizados pero no definidos en el presente, tienen el significado que se les asigna en el Prospecto.</w:t>
      </w:r>
    </w:p>
    <w:p w14:paraId="0770875D" w14:textId="6213ED8E" w:rsidR="00BE1B7C" w:rsidRPr="00CA3A3D" w:rsidRDefault="00BE1B7C" w:rsidP="00BE1B7C">
      <w:pPr>
        <w:widowControl w:val="0"/>
        <w:spacing w:after="60" w:line="240" w:lineRule="auto"/>
        <w:ind w:left="-142" w:right="-283"/>
        <w:jc w:val="both"/>
        <w:rPr>
          <w:rFonts w:ascii="Garamond" w:eastAsia="MS Mincho" w:hAnsi="Garamond" w:cs="Times New Roman"/>
          <w:b/>
          <w:sz w:val="18"/>
          <w:szCs w:val="18"/>
          <w:lang w:val="es-AR" w:eastAsia="es-ES"/>
        </w:rPr>
      </w:pPr>
      <w:r w:rsidRPr="00CA3A3D">
        <w:rPr>
          <w:rFonts w:ascii="Garamond" w:eastAsia="MS Mincho" w:hAnsi="Garamond" w:cs="Times New Roman"/>
          <w:b/>
          <w:sz w:val="18"/>
          <w:szCs w:val="18"/>
          <w:lang w:val="es-AR" w:eastAsia="es-ES"/>
        </w:rPr>
        <w:t>Los responsables del presente documento manifiestan, con carácter de declaración jurada, que la totalidad de los términos y condiciones en el Suplemento se encuentran vigentes.</w:t>
      </w:r>
    </w:p>
    <w:p w14:paraId="2F7D5F5A" w14:textId="77777777" w:rsidR="00BE1B7C" w:rsidRPr="00CA3A3D" w:rsidRDefault="00BE1B7C" w:rsidP="00BE1B7C">
      <w:pPr>
        <w:widowControl w:val="0"/>
        <w:spacing w:after="60" w:line="240" w:lineRule="auto"/>
        <w:ind w:left="-142" w:right="-283"/>
        <w:jc w:val="both"/>
        <w:rPr>
          <w:rFonts w:ascii="Garamond" w:eastAsia="MS Mincho" w:hAnsi="Garamond" w:cs="Times New Roman"/>
          <w:b/>
          <w:sz w:val="18"/>
          <w:szCs w:val="18"/>
          <w:lang w:val="es-AR" w:eastAsia="es-ES"/>
        </w:rPr>
      </w:pPr>
      <w:r w:rsidRPr="00CA3A3D">
        <w:rPr>
          <w:rFonts w:ascii="Garamond" w:eastAsia="MS Mincho" w:hAnsi="Garamond" w:cs="Times New Roman"/>
          <w:b/>
          <w:sz w:val="18"/>
          <w:szCs w:val="18"/>
          <w:lang w:val="es-AR" w:eastAsia="es-ES"/>
        </w:rPr>
        <w:t>Todo eventual inversor deberá leer cuidadosamente los factores de riesgo para la inversión contenidos en el presente Suplemento y en el Prospecto</w:t>
      </w:r>
      <w:r w:rsidR="002B4513" w:rsidRPr="00CA3A3D">
        <w:rPr>
          <w:rFonts w:ascii="Garamond" w:eastAsia="MS Mincho" w:hAnsi="Garamond" w:cs="Times New Roman"/>
          <w:b/>
          <w:sz w:val="18"/>
          <w:szCs w:val="18"/>
          <w:lang w:val="es-AR" w:eastAsia="es-ES"/>
        </w:rPr>
        <w:t xml:space="preserve">. Invertir en </w:t>
      </w:r>
      <w:r w:rsidRPr="00CA3A3D">
        <w:rPr>
          <w:rFonts w:ascii="Garamond" w:eastAsia="MS Mincho" w:hAnsi="Garamond" w:cs="Times New Roman"/>
          <w:b/>
          <w:sz w:val="18"/>
          <w:szCs w:val="18"/>
          <w:lang w:val="es-AR" w:eastAsia="es-ES"/>
        </w:rPr>
        <w:t xml:space="preserve">Obligaciones Negociables de </w:t>
      </w:r>
      <w:r w:rsidR="002E067D" w:rsidRPr="00CA3A3D">
        <w:rPr>
          <w:rFonts w:ascii="Garamond" w:eastAsia="MS Mincho" w:hAnsi="Garamond" w:cs="Times New Roman"/>
          <w:b/>
          <w:sz w:val="18"/>
          <w:szCs w:val="18"/>
          <w:lang w:val="es-AR" w:eastAsia="es-ES"/>
        </w:rPr>
        <w:t>las Co-Emisoras</w:t>
      </w:r>
      <w:r w:rsidR="002B4513" w:rsidRPr="00CA3A3D">
        <w:rPr>
          <w:rFonts w:ascii="Garamond" w:eastAsia="MS Mincho" w:hAnsi="Garamond" w:cs="Times New Roman"/>
          <w:b/>
          <w:sz w:val="18"/>
          <w:szCs w:val="18"/>
          <w:lang w:val="es-AR" w:eastAsia="es-ES"/>
        </w:rPr>
        <w:t xml:space="preserve"> </w:t>
      </w:r>
      <w:r w:rsidRPr="00CA3A3D">
        <w:rPr>
          <w:rFonts w:ascii="Garamond" w:eastAsia="MS Mincho" w:hAnsi="Garamond" w:cs="Times New Roman"/>
          <w:b/>
          <w:sz w:val="18"/>
          <w:szCs w:val="18"/>
          <w:lang w:val="es-AR" w:eastAsia="es-ES"/>
        </w:rPr>
        <w:t>implica riesgos. Véase la sección titulada “</w:t>
      </w:r>
      <w:r w:rsidRPr="00CA3A3D">
        <w:rPr>
          <w:rFonts w:ascii="Garamond" w:eastAsia="MS Mincho" w:hAnsi="Garamond" w:cs="Times New Roman"/>
          <w:b/>
          <w:i/>
          <w:sz w:val="18"/>
          <w:szCs w:val="18"/>
          <w:lang w:val="es-AR" w:eastAsia="es-ES"/>
        </w:rPr>
        <w:t>Factores de Riesgo</w:t>
      </w:r>
      <w:r w:rsidRPr="00CA3A3D">
        <w:rPr>
          <w:rFonts w:ascii="Garamond" w:eastAsia="MS Mincho" w:hAnsi="Garamond" w:cs="Times New Roman"/>
          <w:b/>
          <w:sz w:val="18"/>
          <w:szCs w:val="18"/>
          <w:lang w:val="es-AR" w:eastAsia="es-ES"/>
        </w:rPr>
        <w:t>” en este Suplemento y en cualquier documento incorporado por referencia.</w:t>
      </w:r>
    </w:p>
    <w:p w14:paraId="0E8D630B" w14:textId="369678F4" w:rsidR="0013082B" w:rsidRPr="00CA0A60" w:rsidRDefault="0013082B" w:rsidP="0013082B">
      <w:pPr>
        <w:widowControl w:val="0"/>
        <w:spacing w:after="60" w:line="240" w:lineRule="auto"/>
        <w:ind w:left="-142" w:right="-283"/>
        <w:jc w:val="both"/>
        <w:rPr>
          <w:rFonts w:ascii="Garamond" w:eastAsia="MS Mincho" w:hAnsi="Garamond" w:cs="Times New Roman"/>
          <w:b/>
          <w:sz w:val="18"/>
          <w:szCs w:val="18"/>
          <w:lang w:val="es-AR" w:eastAsia="es-ES"/>
        </w:rPr>
      </w:pPr>
      <w:r w:rsidRPr="00CA0A60">
        <w:rPr>
          <w:rFonts w:ascii="Garamond" w:eastAsia="MS Mincho" w:hAnsi="Garamond" w:cs="Times New Roman"/>
          <w:b/>
          <w:sz w:val="18"/>
          <w:szCs w:val="18"/>
          <w:lang w:val="es-AR" w:eastAsia="es-ES"/>
        </w:rPr>
        <w:t xml:space="preserve">La oferta pública de las Obligaciones Negociables que se describen en este Suplemento se encuentra comprendida dentro de la autorización de oferta pública otorgada por la CNV al Programa, en el marco de lo establecido por el artículo 41, </w:t>
      </w:r>
      <w:r w:rsidR="0013005D" w:rsidRPr="00CA0A60">
        <w:rPr>
          <w:rFonts w:ascii="Garamond" w:eastAsia="MS Mincho" w:hAnsi="Garamond" w:cs="Times New Roman"/>
          <w:b/>
          <w:sz w:val="18"/>
          <w:szCs w:val="18"/>
          <w:lang w:val="es-AR" w:eastAsia="es-ES"/>
        </w:rPr>
        <w:t>sección V, c</w:t>
      </w:r>
      <w:r w:rsidRPr="00CA0A60">
        <w:rPr>
          <w:rFonts w:ascii="Garamond" w:eastAsia="MS Mincho" w:hAnsi="Garamond" w:cs="Times New Roman"/>
          <w:b/>
          <w:sz w:val="18"/>
          <w:szCs w:val="18"/>
          <w:lang w:val="es-AR" w:eastAsia="es-ES"/>
        </w:rPr>
        <w:t xml:space="preserve">apítulo V, </w:t>
      </w:r>
      <w:r w:rsidR="0013005D" w:rsidRPr="00CA0A60">
        <w:rPr>
          <w:rFonts w:ascii="Garamond" w:eastAsia="MS Mincho" w:hAnsi="Garamond" w:cs="Times New Roman"/>
          <w:b/>
          <w:sz w:val="18"/>
          <w:szCs w:val="18"/>
          <w:lang w:val="es-AR" w:eastAsia="es-ES"/>
        </w:rPr>
        <w:t>t</w:t>
      </w:r>
      <w:r w:rsidRPr="00CA0A60">
        <w:rPr>
          <w:rFonts w:ascii="Garamond" w:eastAsia="MS Mincho" w:hAnsi="Garamond" w:cs="Times New Roman"/>
          <w:b/>
          <w:sz w:val="18"/>
          <w:szCs w:val="18"/>
          <w:lang w:val="es-AR" w:eastAsia="es-ES"/>
        </w:rPr>
        <w:t>ítulo II de las Normas de la CNV. El presente Suplemento no ha sido previamente revisado ni conformado por la CNV. De acuerdo con el procedimiento establecido en el artículo 51</w:t>
      </w:r>
      <w:r w:rsidR="0013005D" w:rsidRPr="00CA0A60">
        <w:rPr>
          <w:rFonts w:ascii="Garamond" w:eastAsia="MS Mincho" w:hAnsi="Garamond" w:cs="Times New Roman"/>
          <w:b/>
          <w:sz w:val="18"/>
          <w:szCs w:val="18"/>
          <w:lang w:val="es-AR" w:eastAsia="es-ES"/>
        </w:rPr>
        <w:t>,</w:t>
      </w:r>
      <w:r w:rsidRPr="00CA0A60">
        <w:rPr>
          <w:rFonts w:ascii="Garamond" w:eastAsia="MS Mincho" w:hAnsi="Garamond" w:cs="Times New Roman"/>
          <w:b/>
          <w:sz w:val="18"/>
          <w:szCs w:val="18"/>
          <w:lang w:val="es-AR" w:eastAsia="es-ES"/>
        </w:rPr>
        <w:t xml:space="preserve"> </w:t>
      </w:r>
      <w:r w:rsidR="0013005D" w:rsidRPr="00CA0A60">
        <w:rPr>
          <w:rFonts w:ascii="Garamond" w:eastAsia="MS Mincho" w:hAnsi="Garamond" w:cs="Times New Roman"/>
          <w:b/>
          <w:sz w:val="18"/>
          <w:szCs w:val="18"/>
          <w:lang w:val="es-AR" w:eastAsia="es-ES"/>
        </w:rPr>
        <w:t xml:space="preserve">sección V, capítulo V, </w:t>
      </w:r>
      <w:r w:rsidRPr="00CA0A60">
        <w:rPr>
          <w:rFonts w:ascii="Garamond" w:eastAsia="MS Mincho" w:hAnsi="Garamond" w:cs="Times New Roman"/>
          <w:b/>
          <w:sz w:val="18"/>
          <w:szCs w:val="18"/>
          <w:lang w:val="es-AR" w:eastAsia="es-ES"/>
        </w:rPr>
        <w:t>del Título II de las Normas de la CNV, dentro de los cinco días hábiles de suscriptas las Obligaciones Negociables, las Co-Emisoras presentarán la documentación definitiva relativa a las mismas ante CNV.</w:t>
      </w:r>
    </w:p>
    <w:tbl>
      <w:tblPr>
        <w:tblStyle w:val="Tablaconcuadrcula"/>
        <w:tblW w:w="0" w:type="auto"/>
        <w:jc w:val="center"/>
        <w:tblBorders>
          <w:insideH w:val="none" w:sz="0" w:space="0" w:color="auto"/>
        </w:tblBorders>
        <w:tblLook w:val="04A0" w:firstRow="1" w:lastRow="0" w:firstColumn="1" w:lastColumn="0" w:noHBand="0" w:noVBand="1"/>
      </w:tblPr>
      <w:tblGrid>
        <w:gridCol w:w="4531"/>
        <w:gridCol w:w="4531"/>
      </w:tblGrid>
      <w:tr w:rsidR="009643D9" w:rsidRPr="00CA0A60" w14:paraId="151B0539" w14:textId="77777777" w:rsidTr="009643D9">
        <w:trPr>
          <w:jc w:val="center"/>
        </w:trPr>
        <w:tc>
          <w:tcPr>
            <w:tcW w:w="4531" w:type="dxa"/>
            <w:tcBorders>
              <w:top w:val="single" w:sz="4" w:space="0" w:color="auto"/>
              <w:left w:val="single" w:sz="4" w:space="0" w:color="auto"/>
              <w:bottom w:val="nil"/>
              <w:right w:val="single" w:sz="4" w:space="0" w:color="auto"/>
            </w:tcBorders>
            <w:hideMark/>
          </w:tcPr>
          <w:p w14:paraId="3EBDA0E4" w14:textId="77777777" w:rsidR="009643D9" w:rsidRPr="00CA0A60" w:rsidRDefault="009643D9" w:rsidP="009643D9">
            <w:pPr>
              <w:keepNext/>
              <w:keepLines/>
              <w:jc w:val="center"/>
              <w:rPr>
                <w:rFonts w:ascii="Garamond" w:hAnsi="Garamond"/>
                <w:b/>
                <w:sz w:val="18"/>
                <w:szCs w:val="18"/>
              </w:rPr>
            </w:pPr>
            <w:r w:rsidRPr="00CA0A60">
              <w:rPr>
                <w:rFonts w:ascii="Garamond" w:hAnsi="Garamond"/>
                <w:b/>
                <w:sz w:val="18"/>
                <w:szCs w:val="18"/>
              </w:rPr>
              <w:t>GEMSA</w:t>
            </w:r>
          </w:p>
        </w:tc>
        <w:tc>
          <w:tcPr>
            <w:tcW w:w="4531" w:type="dxa"/>
            <w:tcBorders>
              <w:top w:val="single" w:sz="4" w:space="0" w:color="auto"/>
              <w:left w:val="single" w:sz="4" w:space="0" w:color="auto"/>
              <w:bottom w:val="nil"/>
              <w:right w:val="single" w:sz="4" w:space="0" w:color="auto"/>
            </w:tcBorders>
            <w:hideMark/>
          </w:tcPr>
          <w:p w14:paraId="0BD21277" w14:textId="77777777" w:rsidR="009643D9" w:rsidRPr="00CA0A60" w:rsidRDefault="009643D9" w:rsidP="009643D9">
            <w:pPr>
              <w:keepNext/>
              <w:keepLines/>
              <w:jc w:val="center"/>
              <w:rPr>
                <w:rFonts w:ascii="Garamond" w:hAnsi="Garamond"/>
                <w:b/>
                <w:sz w:val="18"/>
                <w:szCs w:val="18"/>
              </w:rPr>
            </w:pPr>
            <w:r w:rsidRPr="00CA0A60">
              <w:rPr>
                <w:rFonts w:ascii="Garamond" w:hAnsi="Garamond"/>
                <w:b/>
                <w:sz w:val="18"/>
                <w:szCs w:val="18"/>
              </w:rPr>
              <w:t>CTR</w:t>
            </w:r>
          </w:p>
        </w:tc>
      </w:tr>
      <w:tr w:rsidR="009643D9" w:rsidRPr="00CA0A60" w14:paraId="7BD89CA2" w14:textId="77777777" w:rsidTr="009643D9">
        <w:trPr>
          <w:jc w:val="center"/>
        </w:trPr>
        <w:tc>
          <w:tcPr>
            <w:tcW w:w="4531" w:type="dxa"/>
            <w:tcBorders>
              <w:top w:val="nil"/>
              <w:left w:val="single" w:sz="4" w:space="0" w:color="auto"/>
              <w:bottom w:val="nil"/>
              <w:right w:val="single" w:sz="4" w:space="0" w:color="auto"/>
            </w:tcBorders>
            <w:hideMark/>
          </w:tcPr>
          <w:p w14:paraId="48A412B4" w14:textId="77777777" w:rsidR="009643D9" w:rsidRPr="00CA0A60" w:rsidRDefault="009643D9" w:rsidP="009643D9">
            <w:pPr>
              <w:keepNext/>
              <w:keepLines/>
              <w:jc w:val="center"/>
              <w:rPr>
                <w:rFonts w:ascii="Garamond" w:hAnsi="Garamond"/>
                <w:sz w:val="18"/>
                <w:szCs w:val="18"/>
              </w:rPr>
            </w:pPr>
            <w:r w:rsidRPr="00CA0A60">
              <w:rPr>
                <w:rFonts w:ascii="Garamond" w:hAnsi="Garamond"/>
                <w:sz w:val="18"/>
                <w:szCs w:val="18"/>
              </w:rPr>
              <w:t>30-68243472-0</w:t>
            </w:r>
          </w:p>
        </w:tc>
        <w:tc>
          <w:tcPr>
            <w:tcW w:w="4531" w:type="dxa"/>
            <w:tcBorders>
              <w:top w:val="nil"/>
              <w:left w:val="single" w:sz="4" w:space="0" w:color="auto"/>
              <w:bottom w:val="nil"/>
              <w:right w:val="single" w:sz="4" w:space="0" w:color="auto"/>
            </w:tcBorders>
            <w:hideMark/>
          </w:tcPr>
          <w:p w14:paraId="596E69AB" w14:textId="77777777" w:rsidR="009643D9" w:rsidRPr="00CA0A60" w:rsidRDefault="009643D9" w:rsidP="009643D9">
            <w:pPr>
              <w:keepNext/>
              <w:keepLines/>
              <w:jc w:val="center"/>
              <w:rPr>
                <w:rFonts w:ascii="Garamond" w:hAnsi="Garamond"/>
                <w:sz w:val="18"/>
                <w:szCs w:val="18"/>
              </w:rPr>
            </w:pPr>
            <w:r w:rsidRPr="00CA0A60">
              <w:rPr>
                <w:rFonts w:ascii="Garamond" w:hAnsi="Garamond"/>
                <w:sz w:val="18"/>
                <w:szCs w:val="18"/>
              </w:rPr>
              <w:t>33-71194489-9</w:t>
            </w:r>
          </w:p>
        </w:tc>
      </w:tr>
      <w:tr w:rsidR="009643D9" w:rsidRPr="00CA0A60" w14:paraId="241FAFFE" w14:textId="77777777" w:rsidTr="009643D9">
        <w:trPr>
          <w:jc w:val="center"/>
        </w:trPr>
        <w:tc>
          <w:tcPr>
            <w:tcW w:w="4531" w:type="dxa"/>
            <w:tcBorders>
              <w:top w:val="nil"/>
              <w:left w:val="single" w:sz="4" w:space="0" w:color="auto"/>
              <w:bottom w:val="nil"/>
              <w:right w:val="single" w:sz="4" w:space="0" w:color="auto"/>
            </w:tcBorders>
            <w:hideMark/>
          </w:tcPr>
          <w:p w14:paraId="3FFDF90C" w14:textId="77777777" w:rsidR="009643D9" w:rsidRPr="00CA0A60" w:rsidRDefault="009643D9" w:rsidP="009643D9">
            <w:pPr>
              <w:keepNext/>
              <w:keepLines/>
              <w:jc w:val="center"/>
              <w:rPr>
                <w:rFonts w:ascii="Garamond" w:hAnsi="Garamond"/>
                <w:sz w:val="18"/>
                <w:szCs w:val="18"/>
              </w:rPr>
            </w:pPr>
            <w:r w:rsidRPr="00CA0A60">
              <w:rPr>
                <w:rFonts w:ascii="Garamond" w:hAnsi="Garamond"/>
                <w:sz w:val="18"/>
                <w:szCs w:val="18"/>
              </w:rPr>
              <w:t>+54 11 4313-6790</w:t>
            </w:r>
          </w:p>
        </w:tc>
        <w:tc>
          <w:tcPr>
            <w:tcW w:w="4531" w:type="dxa"/>
            <w:tcBorders>
              <w:top w:val="nil"/>
              <w:left w:val="single" w:sz="4" w:space="0" w:color="auto"/>
              <w:bottom w:val="nil"/>
              <w:right w:val="single" w:sz="4" w:space="0" w:color="auto"/>
            </w:tcBorders>
            <w:hideMark/>
          </w:tcPr>
          <w:p w14:paraId="0D48277D" w14:textId="77777777" w:rsidR="009643D9" w:rsidRPr="00CA0A60" w:rsidRDefault="009643D9" w:rsidP="009643D9">
            <w:pPr>
              <w:keepNext/>
              <w:keepLines/>
              <w:jc w:val="center"/>
              <w:rPr>
                <w:rFonts w:ascii="Garamond" w:hAnsi="Garamond"/>
                <w:sz w:val="18"/>
                <w:szCs w:val="18"/>
              </w:rPr>
            </w:pPr>
            <w:r w:rsidRPr="00CA0A60">
              <w:rPr>
                <w:rFonts w:ascii="Garamond" w:hAnsi="Garamond"/>
                <w:sz w:val="18"/>
                <w:szCs w:val="18"/>
              </w:rPr>
              <w:t>+54 11 4313-6790</w:t>
            </w:r>
          </w:p>
        </w:tc>
      </w:tr>
      <w:tr w:rsidR="009643D9" w:rsidRPr="00CA0A60" w14:paraId="020E00DB" w14:textId="77777777" w:rsidTr="009643D9">
        <w:trPr>
          <w:jc w:val="center"/>
        </w:trPr>
        <w:tc>
          <w:tcPr>
            <w:tcW w:w="4531" w:type="dxa"/>
            <w:tcBorders>
              <w:top w:val="nil"/>
              <w:left w:val="single" w:sz="4" w:space="0" w:color="auto"/>
              <w:bottom w:val="nil"/>
              <w:right w:val="single" w:sz="4" w:space="0" w:color="auto"/>
            </w:tcBorders>
            <w:hideMark/>
          </w:tcPr>
          <w:p w14:paraId="6EAF64FC" w14:textId="77777777" w:rsidR="009643D9" w:rsidRPr="00CA3A3D" w:rsidRDefault="009643D9" w:rsidP="009643D9">
            <w:pPr>
              <w:keepNext/>
              <w:keepLines/>
              <w:jc w:val="center"/>
              <w:rPr>
                <w:rFonts w:ascii="Garamond" w:hAnsi="Garamond"/>
                <w:sz w:val="18"/>
                <w:szCs w:val="18"/>
              </w:rPr>
            </w:pPr>
            <w:r w:rsidRPr="00CA3A3D">
              <w:rPr>
                <w:rFonts w:ascii="Garamond" w:hAnsi="Garamond"/>
                <w:sz w:val="18"/>
                <w:szCs w:val="18"/>
                <w:lang w:val="es-ES"/>
              </w:rPr>
              <w:t>Av. Leandro N. Alem 855 – Piso 14</w:t>
            </w:r>
          </w:p>
        </w:tc>
        <w:tc>
          <w:tcPr>
            <w:tcW w:w="4531" w:type="dxa"/>
            <w:tcBorders>
              <w:top w:val="nil"/>
              <w:left w:val="single" w:sz="4" w:space="0" w:color="auto"/>
              <w:bottom w:val="nil"/>
              <w:right w:val="single" w:sz="4" w:space="0" w:color="auto"/>
            </w:tcBorders>
            <w:hideMark/>
          </w:tcPr>
          <w:p w14:paraId="59C1FCD9" w14:textId="77777777" w:rsidR="009643D9" w:rsidRPr="00CA3A3D" w:rsidRDefault="009643D9" w:rsidP="009643D9">
            <w:pPr>
              <w:keepNext/>
              <w:keepLines/>
              <w:jc w:val="center"/>
              <w:rPr>
                <w:rFonts w:ascii="Garamond" w:hAnsi="Garamond"/>
                <w:sz w:val="18"/>
                <w:szCs w:val="18"/>
              </w:rPr>
            </w:pPr>
            <w:r w:rsidRPr="00CA3A3D">
              <w:rPr>
                <w:rFonts w:ascii="Garamond" w:hAnsi="Garamond"/>
                <w:sz w:val="18"/>
                <w:szCs w:val="18"/>
                <w:lang w:val="es-ES"/>
              </w:rPr>
              <w:t>Av. Leandro N. Alem 855 – Piso 14</w:t>
            </w:r>
          </w:p>
        </w:tc>
      </w:tr>
      <w:tr w:rsidR="009643D9" w:rsidRPr="00CA0A60" w14:paraId="0BCA03FC" w14:textId="77777777" w:rsidTr="009643D9">
        <w:trPr>
          <w:jc w:val="center"/>
        </w:trPr>
        <w:tc>
          <w:tcPr>
            <w:tcW w:w="4531" w:type="dxa"/>
            <w:tcBorders>
              <w:top w:val="nil"/>
              <w:left w:val="single" w:sz="4" w:space="0" w:color="auto"/>
              <w:bottom w:val="nil"/>
              <w:right w:val="single" w:sz="4" w:space="0" w:color="auto"/>
            </w:tcBorders>
            <w:hideMark/>
          </w:tcPr>
          <w:p w14:paraId="6E4373E0" w14:textId="77777777" w:rsidR="009643D9" w:rsidRPr="00CA0A60" w:rsidRDefault="009643D9" w:rsidP="009643D9">
            <w:pPr>
              <w:keepNext/>
              <w:keepLines/>
              <w:jc w:val="center"/>
              <w:rPr>
                <w:rFonts w:ascii="Garamond" w:hAnsi="Garamond"/>
                <w:sz w:val="18"/>
                <w:szCs w:val="18"/>
              </w:rPr>
            </w:pPr>
            <w:r w:rsidRPr="00CA0A60">
              <w:rPr>
                <w:rFonts w:ascii="Garamond" w:hAnsi="Garamond"/>
                <w:sz w:val="18"/>
                <w:szCs w:val="18"/>
              </w:rPr>
              <w:t>Ciudad Autónoma de Buenos Aires – República Argentina</w:t>
            </w:r>
          </w:p>
        </w:tc>
        <w:tc>
          <w:tcPr>
            <w:tcW w:w="4531" w:type="dxa"/>
            <w:tcBorders>
              <w:top w:val="nil"/>
              <w:left w:val="single" w:sz="4" w:space="0" w:color="auto"/>
              <w:bottom w:val="nil"/>
              <w:right w:val="single" w:sz="4" w:space="0" w:color="auto"/>
            </w:tcBorders>
            <w:hideMark/>
          </w:tcPr>
          <w:p w14:paraId="2CC13990" w14:textId="77777777" w:rsidR="009643D9" w:rsidRPr="00CA0A60" w:rsidRDefault="009643D9" w:rsidP="009643D9">
            <w:pPr>
              <w:keepNext/>
              <w:keepLines/>
              <w:jc w:val="center"/>
              <w:rPr>
                <w:rFonts w:ascii="Garamond" w:hAnsi="Garamond"/>
                <w:sz w:val="18"/>
                <w:szCs w:val="18"/>
              </w:rPr>
            </w:pPr>
            <w:r w:rsidRPr="00CA0A60">
              <w:rPr>
                <w:rFonts w:ascii="Garamond" w:hAnsi="Garamond"/>
                <w:sz w:val="18"/>
                <w:szCs w:val="18"/>
              </w:rPr>
              <w:t>Ciudad Autónoma de Buenos Aires – República Argentina</w:t>
            </w:r>
          </w:p>
        </w:tc>
      </w:tr>
      <w:tr w:rsidR="009643D9" w:rsidRPr="00CA0A60" w14:paraId="6DB90F02" w14:textId="77777777" w:rsidTr="009643D9">
        <w:trPr>
          <w:jc w:val="center"/>
        </w:trPr>
        <w:tc>
          <w:tcPr>
            <w:tcW w:w="4531" w:type="dxa"/>
            <w:tcBorders>
              <w:top w:val="nil"/>
              <w:left w:val="single" w:sz="4" w:space="0" w:color="auto"/>
              <w:bottom w:val="single" w:sz="4" w:space="0" w:color="auto"/>
              <w:right w:val="single" w:sz="4" w:space="0" w:color="auto"/>
            </w:tcBorders>
            <w:hideMark/>
          </w:tcPr>
          <w:p w14:paraId="600796A3" w14:textId="77777777" w:rsidR="009643D9" w:rsidRPr="00CA0A60" w:rsidRDefault="009643D9" w:rsidP="009643D9">
            <w:pPr>
              <w:keepNext/>
              <w:keepLines/>
              <w:jc w:val="center"/>
              <w:rPr>
                <w:rFonts w:ascii="Garamond" w:hAnsi="Garamond"/>
                <w:sz w:val="18"/>
                <w:szCs w:val="18"/>
              </w:rPr>
            </w:pPr>
            <w:r w:rsidRPr="00CA0A60">
              <w:rPr>
                <w:rFonts w:ascii="Garamond" w:hAnsi="Garamond"/>
                <w:sz w:val="18"/>
                <w:szCs w:val="18"/>
              </w:rPr>
              <w:t>mediterranea@albanesi.com.ar</w:t>
            </w:r>
          </w:p>
        </w:tc>
        <w:tc>
          <w:tcPr>
            <w:tcW w:w="4531" w:type="dxa"/>
            <w:tcBorders>
              <w:top w:val="nil"/>
              <w:left w:val="single" w:sz="4" w:space="0" w:color="auto"/>
              <w:bottom w:val="single" w:sz="4" w:space="0" w:color="auto"/>
              <w:right w:val="single" w:sz="4" w:space="0" w:color="auto"/>
            </w:tcBorders>
            <w:hideMark/>
          </w:tcPr>
          <w:p w14:paraId="1E2ADEFB" w14:textId="77777777" w:rsidR="009643D9" w:rsidRPr="00CA0A60" w:rsidRDefault="009643D9" w:rsidP="009643D9">
            <w:pPr>
              <w:keepNext/>
              <w:keepLines/>
              <w:jc w:val="center"/>
              <w:rPr>
                <w:rFonts w:ascii="Garamond" w:hAnsi="Garamond"/>
                <w:sz w:val="18"/>
                <w:szCs w:val="18"/>
              </w:rPr>
            </w:pPr>
            <w:r w:rsidRPr="00CA0A60">
              <w:rPr>
                <w:rFonts w:ascii="Garamond" w:hAnsi="Garamond"/>
                <w:sz w:val="18"/>
                <w:szCs w:val="18"/>
              </w:rPr>
              <w:t>roca@albanesi.com.ar</w:t>
            </w:r>
          </w:p>
        </w:tc>
      </w:tr>
    </w:tbl>
    <w:p w14:paraId="72A3D3EC" w14:textId="77777777" w:rsidR="009D4491" w:rsidRPr="00CA0A60" w:rsidRDefault="009D4491" w:rsidP="009D4491">
      <w:pPr>
        <w:spacing w:after="0"/>
        <w:rPr>
          <w:sz w:val="18"/>
          <w:szCs w:val="18"/>
          <w:lang w:val="es-AR"/>
        </w:rPr>
      </w:pPr>
    </w:p>
    <w:tbl>
      <w:tblPr>
        <w:tblStyle w:val="Tablaconcuadrcula"/>
        <w:tblW w:w="0" w:type="auto"/>
        <w:jc w:val="center"/>
        <w:tblBorders>
          <w:insideH w:val="none" w:sz="0" w:space="0" w:color="auto"/>
        </w:tblBorders>
        <w:tblLook w:val="04A0" w:firstRow="1" w:lastRow="0" w:firstColumn="1" w:lastColumn="0" w:noHBand="0" w:noVBand="1"/>
      </w:tblPr>
      <w:tblGrid>
        <w:gridCol w:w="4531"/>
      </w:tblGrid>
      <w:tr w:rsidR="009643D9" w:rsidRPr="00CA0A60" w14:paraId="1581309F" w14:textId="77777777" w:rsidTr="009643D9">
        <w:trPr>
          <w:jc w:val="center"/>
        </w:trPr>
        <w:tc>
          <w:tcPr>
            <w:tcW w:w="4531" w:type="dxa"/>
            <w:tcBorders>
              <w:top w:val="single" w:sz="4" w:space="0" w:color="auto"/>
              <w:left w:val="single" w:sz="4" w:space="0" w:color="auto"/>
              <w:bottom w:val="nil"/>
              <w:right w:val="single" w:sz="4" w:space="0" w:color="auto"/>
            </w:tcBorders>
            <w:hideMark/>
          </w:tcPr>
          <w:p w14:paraId="39F8B694" w14:textId="77777777" w:rsidR="009643D9" w:rsidRPr="00CA0A60" w:rsidRDefault="009643D9">
            <w:pPr>
              <w:keepNext/>
              <w:keepLines/>
              <w:jc w:val="center"/>
              <w:rPr>
                <w:rFonts w:ascii="Garamond" w:hAnsi="Garamond"/>
                <w:b/>
                <w:sz w:val="18"/>
                <w:szCs w:val="18"/>
              </w:rPr>
            </w:pPr>
            <w:r w:rsidRPr="00CA0A60">
              <w:rPr>
                <w:rFonts w:ascii="Garamond" w:hAnsi="Garamond"/>
                <w:b/>
                <w:sz w:val="18"/>
                <w:szCs w:val="18"/>
              </w:rPr>
              <w:t>ASA</w:t>
            </w:r>
          </w:p>
        </w:tc>
      </w:tr>
      <w:tr w:rsidR="009643D9" w:rsidRPr="00CA0A60" w14:paraId="7912507F" w14:textId="77777777" w:rsidTr="009643D9">
        <w:trPr>
          <w:jc w:val="center"/>
        </w:trPr>
        <w:tc>
          <w:tcPr>
            <w:tcW w:w="4531" w:type="dxa"/>
            <w:tcBorders>
              <w:top w:val="nil"/>
              <w:left w:val="single" w:sz="4" w:space="0" w:color="auto"/>
              <w:bottom w:val="nil"/>
              <w:right w:val="single" w:sz="4" w:space="0" w:color="auto"/>
            </w:tcBorders>
            <w:hideMark/>
          </w:tcPr>
          <w:p w14:paraId="183309F9" w14:textId="77777777" w:rsidR="009643D9" w:rsidRPr="00713D6E" w:rsidRDefault="009643D9">
            <w:pPr>
              <w:keepNext/>
              <w:keepLines/>
              <w:jc w:val="center"/>
              <w:rPr>
                <w:rFonts w:ascii="Garamond" w:hAnsi="Garamond"/>
                <w:sz w:val="18"/>
                <w:szCs w:val="18"/>
              </w:rPr>
            </w:pPr>
            <w:r w:rsidRPr="00CA0A60">
              <w:rPr>
                <w:rFonts w:ascii="Garamond" w:hAnsi="Garamond"/>
                <w:sz w:val="18"/>
                <w:szCs w:val="18"/>
              </w:rPr>
              <w:t>30-68243472-0</w:t>
            </w:r>
          </w:p>
        </w:tc>
      </w:tr>
      <w:tr w:rsidR="009643D9" w:rsidRPr="00CA0A60" w14:paraId="7C210A8E" w14:textId="77777777" w:rsidTr="009643D9">
        <w:trPr>
          <w:jc w:val="center"/>
        </w:trPr>
        <w:tc>
          <w:tcPr>
            <w:tcW w:w="4531" w:type="dxa"/>
            <w:tcBorders>
              <w:top w:val="nil"/>
              <w:left w:val="single" w:sz="4" w:space="0" w:color="auto"/>
              <w:bottom w:val="nil"/>
              <w:right w:val="single" w:sz="4" w:space="0" w:color="auto"/>
            </w:tcBorders>
            <w:hideMark/>
          </w:tcPr>
          <w:p w14:paraId="4EA71D6F" w14:textId="77777777" w:rsidR="009643D9" w:rsidRPr="00CA0A60" w:rsidRDefault="009643D9">
            <w:pPr>
              <w:keepNext/>
              <w:keepLines/>
              <w:jc w:val="center"/>
              <w:rPr>
                <w:rFonts w:ascii="Garamond" w:hAnsi="Garamond"/>
                <w:sz w:val="18"/>
                <w:szCs w:val="18"/>
              </w:rPr>
            </w:pPr>
            <w:r w:rsidRPr="00CA0A60">
              <w:rPr>
                <w:rFonts w:ascii="Garamond" w:hAnsi="Garamond"/>
                <w:sz w:val="18"/>
                <w:szCs w:val="18"/>
              </w:rPr>
              <w:t>+54 11 4313-6790</w:t>
            </w:r>
          </w:p>
        </w:tc>
      </w:tr>
      <w:tr w:rsidR="009643D9" w:rsidRPr="00CA0A60" w14:paraId="5CB56520" w14:textId="77777777" w:rsidTr="009643D9">
        <w:trPr>
          <w:jc w:val="center"/>
        </w:trPr>
        <w:tc>
          <w:tcPr>
            <w:tcW w:w="4531" w:type="dxa"/>
            <w:tcBorders>
              <w:top w:val="nil"/>
              <w:left w:val="single" w:sz="4" w:space="0" w:color="auto"/>
              <w:bottom w:val="nil"/>
              <w:right w:val="single" w:sz="4" w:space="0" w:color="auto"/>
            </w:tcBorders>
            <w:hideMark/>
          </w:tcPr>
          <w:p w14:paraId="1A9EE49F" w14:textId="77777777" w:rsidR="009643D9" w:rsidRPr="00CA3A3D" w:rsidRDefault="009643D9">
            <w:pPr>
              <w:keepNext/>
              <w:keepLines/>
              <w:jc w:val="center"/>
              <w:rPr>
                <w:rFonts w:ascii="Garamond" w:hAnsi="Garamond"/>
                <w:sz w:val="18"/>
                <w:szCs w:val="18"/>
              </w:rPr>
            </w:pPr>
            <w:r w:rsidRPr="00CA3A3D">
              <w:rPr>
                <w:rFonts w:ascii="Garamond" w:hAnsi="Garamond"/>
                <w:sz w:val="18"/>
                <w:szCs w:val="18"/>
                <w:lang w:val="es-ES"/>
              </w:rPr>
              <w:t>Av. Leandro N. Alem 855 – Piso 14</w:t>
            </w:r>
          </w:p>
        </w:tc>
      </w:tr>
      <w:tr w:rsidR="009643D9" w:rsidRPr="00CA0A60" w14:paraId="2466D257" w14:textId="77777777" w:rsidTr="009643D9">
        <w:trPr>
          <w:jc w:val="center"/>
        </w:trPr>
        <w:tc>
          <w:tcPr>
            <w:tcW w:w="4531" w:type="dxa"/>
            <w:tcBorders>
              <w:top w:val="nil"/>
              <w:left w:val="single" w:sz="4" w:space="0" w:color="auto"/>
              <w:bottom w:val="nil"/>
              <w:right w:val="single" w:sz="4" w:space="0" w:color="auto"/>
            </w:tcBorders>
            <w:hideMark/>
          </w:tcPr>
          <w:p w14:paraId="35F573C3" w14:textId="77777777" w:rsidR="009643D9" w:rsidRPr="00CA0A60" w:rsidRDefault="009643D9">
            <w:pPr>
              <w:keepNext/>
              <w:keepLines/>
              <w:jc w:val="center"/>
              <w:rPr>
                <w:rFonts w:ascii="Garamond" w:hAnsi="Garamond"/>
                <w:sz w:val="18"/>
                <w:szCs w:val="18"/>
              </w:rPr>
            </w:pPr>
            <w:r w:rsidRPr="00CA0A60">
              <w:rPr>
                <w:rFonts w:ascii="Garamond" w:hAnsi="Garamond"/>
                <w:sz w:val="18"/>
                <w:szCs w:val="18"/>
              </w:rPr>
              <w:t>Ciudad Autónoma de Buenos Aires – República Argentina</w:t>
            </w:r>
          </w:p>
        </w:tc>
      </w:tr>
      <w:tr w:rsidR="009643D9" w:rsidRPr="00CA0A60" w14:paraId="71286334" w14:textId="77777777" w:rsidTr="009643D9">
        <w:trPr>
          <w:jc w:val="center"/>
        </w:trPr>
        <w:tc>
          <w:tcPr>
            <w:tcW w:w="4531" w:type="dxa"/>
            <w:tcBorders>
              <w:top w:val="nil"/>
              <w:left w:val="single" w:sz="4" w:space="0" w:color="auto"/>
              <w:bottom w:val="single" w:sz="4" w:space="0" w:color="auto"/>
              <w:right w:val="single" w:sz="4" w:space="0" w:color="auto"/>
            </w:tcBorders>
            <w:hideMark/>
          </w:tcPr>
          <w:p w14:paraId="17A0068F" w14:textId="77777777" w:rsidR="009643D9" w:rsidRPr="00CA0A60" w:rsidRDefault="009643D9">
            <w:pPr>
              <w:keepNext/>
              <w:keepLines/>
              <w:jc w:val="center"/>
              <w:rPr>
                <w:rFonts w:ascii="Garamond" w:hAnsi="Garamond"/>
                <w:sz w:val="18"/>
                <w:szCs w:val="18"/>
              </w:rPr>
            </w:pPr>
            <w:r w:rsidRPr="00CA0A60">
              <w:rPr>
                <w:rFonts w:ascii="Garamond" w:hAnsi="Garamond"/>
                <w:sz w:val="18"/>
                <w:szCs w:val="18"/>
              </w:rPr>
              <w:t>asa@albanesi.com.ar</w:t>
            </w:r>
          </w:p>
        </w:tc>
      </w:tr>
    </w:tbl>
    <w:p w14:paraId="0E27B00A" w14:textId="104421EC" w:rsidR="009B3E90" w:rsidRPr="00CA0A60" w:rsidRDefault="009B3E90" w:rsidP="00354069">
      <w:pPr>
        <w:widowControl w:val="0"/>
        <w:spacing w:after="60" w:line="240" w:lineRule="auto"/>
        <w:ind w:left="-142" w:right="-283"/>
        <w:jc w:val="both"/>
        <w:rPr>
          <w:rFonts w:ascii="Garamond" w:eastAsia="MS Mincho" w:hAnsi="Garamond" w:cs="Times New Roman"/>
          <w:sz w:val="18"/>
          <w:szCs w:val="18"/>
          <w:lang w:val="es-AR" w:eastAsia="es-ES"/>
        </w:rPr>
      </w:pPr>
    </w:p>
    <w:p w14:paraId="7864969E" w14:textId="77777777" w:rsidR="00545BDD" w:rsidRPr="00CA0A60" w:rsidRDefault="00545BDD" w:rsidP="00354069">
      <w:pPr>
        <w:widowControl w:val="0"/>
        <w:spacing w:after="60" w:line="240" w:lineRule="auto"/>
        <w:ind w:left="-142" w:right="-283"/>
        <w:jc w:val="both"/>
        <w:rPr>
          <w:rFonts w:ascii="Garamond" w:eastAsia="MS Mincho" w:hAnsi="Garamond" w:cs="Times New Roman"/>
          <w:sz w:val="18"/>
          <w:szCs w:val="18"/>
          <w:lang w:val="es-AR" w:eastAsia="es-ES"/>
        </w:rPr>
      </w:pPr>
      <w:r w:rsidRPr="00CA0A60">
        <w:rPr>
          <w:rFonts w:ascii="Garamond" w:eastAsia="MS Mincho" w:hAnsi="Garamond" w:cs="Times New Roman"/>
          <w:sz w:val="18"/>
          <w:szCs w:val="18"/>
          <w:lang w:val="es-AR" w:eastAsia="es-ES"/>
        </w:rPr>
        <w:t>De acuerdo al artículo 13 de la Sección IV del Título XI de las Normas de la CNV, la CNV no autorizará la oferta pública de valores en los supuestos en que una entidad emisora, sus beneficiarios finales, y las personas físicas o jurídicas que tengan como mínimo el 20% de su capital o de los derechos a voto, o que por otros medios ejerzan el control final, directo o indirecto sobre la misma, registren condenas por delitos de lavado de activos y/o financiamiento del terrorismo y/o figuren en las listas de terroristas y organizaciones terroristas emitidas por el Consejo de Seguridad de las Naciones Unidas.</w:t>
      </w:r>
    </w:p>
    <w:p w14:paraId="6E96F087" w14:textId="77777777" w:rsidR="00354069" w:rsidRPr="00CA0A60" w:rsidRDefault="00EE642B" w:rsidP="00354069">
      <w:pPr>
        <w:widowControl w:val="0"/>
        <w:spacing w:after="60" w:line="240" w:lineRule="auto"/>
        <w:ind w:left="-142" w:right="-283"/>
        <w:jc w:val="both"/>
        <w:rPr>
          <w:rFonts w:ascii="Garamond" w:eastAsia="MS Mincho" w:hAnsi="Garamond" w:cs="Times New Roman"/>
          <w:b/>
          <w:sz w:val="18"/>
          <w:szCs w:val="18"/>
          <w:lang w:val="es-AR" w:eastAsia="es-ES"/>
        </w:rPr>
      </w:pPr>
      <w:r w:rsidRPr="00CA0A60">
        <w:rPr>
          <w:rFonts w:ascii="Garamond" w:eastAsia="MS Mincho" w:hAnsi="Garamond" w:cs="Times New Roman"/>
          <w:b/>
          <w:sz w:val="18"/>
          <w:szCs w:val="18"/>
          <w:lang w:val="es-AR" w:eastAsia="es-ES"/>
        </w:rPr>
        <w:t>Oferta Pública</w:t>
      </w:r>
      <w:r w:rsidR="00354069" w:rsidRPr="00CA0A60">
        <w:rPr>
          <w:rFonts w:ascii="Garamond" w:eastAsia="MS Mincho" w:hAnsi="Garamond" w:cs="Times New Roman"/>
          <w:b/>
          <w:sz w:val="18"/>
          <w:szCs w:val="18"/>
          <w:lang w:val="es-AR" w:eastAsia="es-ES"/>
        </w:rPr>
        <w:t xml:space="preserve"> autorizada por Resolución Nº RESFC-2017-18947-APN-DIR#CNV de fecha 26 de septiembre de 2017 y el aumento del monto del Programa por Resolución Nº </w:t>
      </w:r>
      <w:r w:rsidR="00194C06" w:rsidRPr="00CA0A60">
        <w:rPr>
          <w:rFonts w:ascii="Garamond" w:eastAsia="MS Mincho" w:hAnsi="Garamond" w:cs="Times New Roman"/>
          <w:b/>
          <w:sz w:val="18"/>
          <w:szCs w:val="18"/>
          <w:lang w:val="es-AR" w:eastAsia="es-ES"/>
        </w:rPr>
        <w:t>RESFC-2019-20111-APN-DIR#CNV</w:t>
      </w:r>
      <w:r w:rsidR="00354069" w:rsidRPr="00CA0A60">
        <w:rPr>
          <w:rFonts w:ascii="Garamond" w:eastAsia="MS Mincho" w:hAnsi="Garamond" w:cs="Times New Roman"/>
          <w:b/>
          <w:sz w:val="18"/>
          <w:szCs w:val="18"/>
          <w:lang w:val="es-AR" w:eastAsia="es-ES"/>
        </w:rPr>
        <w:t xml:space="preserve"> de fecha </w:t>
      </w:r>
      <w:r w:rsidR="00194C06" w:rsidRPr="00CA0A60">
        <w:rPr>
          <w:rFonts w:ascii="Garamond" w:eastAsia="MS Mincho" w:hAnsi="Garamond" w:cs="Times New Roman"/>
          <w:b/>
          <w:sz w:val="18"/>
          <w:szCs w:val="18"/>
          <w:lang w:val="es-AR" w:eastAsia="es-ES"/>
        </w:rPr>
        <w:t>8</w:t>
      </w:r>
      <w:r w:rsidR="00CA01B5" w:rsidRPr="00CA0A60">
        <w:rPr>
          <w:rFonts w:ascii="Garamond" w:eastAsia="MS Mincho" w:hAnsi="Garamond" w:cs="Times New Roman"/>
          <w:b/>
          <w:sz w:val="18"/>
          <w:szCs w:val="18"/>
          <w:lang w:val="es-AR" w:eastAsia="es-ES"/>
        </w:rPr>
        <w:t xml:space="preserve"> </w:t>
      </w:r>
      <w:r w:rsidR="00354069" w:rsidRPr="00CA0A60">
        <w:rPr>
          <w:rFonts w:ascii="Garamond" w:eastAsia="MS Mincho" w:hAnsi="Garamond" w:cs="Times New Roman"/>
          <w:b/>
          <w:sz w:val="18"/>
          <w:szCs w:val="18"/>
          <w:lang w:val="es-AR" w:eastAsia="es-ES"/>
        </w:rPr>
        <w:t xml:space="preserve">de </w:t>
      </w:r>
      <w:r w:rsidR="00194C06" w:rsidRPr="00CA0A60">
        <w:rPr>
          <w:rFonts w:ascii="Garamond" w:eastAsia="MS Mincho" w:hAnsi="Garamond" w:cs="Times New Roman"/>
          <w:b/>
          <w:sz w:val="18"/>
          <w:szCs w:val="18"/>
          <w:lang w:val="es-AR" w:eastAsia="es-ES"/>
        </w:rPr>
        <w:t xml:space="preserve">marzo </w:t>
      </w:r>
      <w:r w:rsidR="00354069" w:rsidRPr="00CA0A60">
        <w:rPr>
          <w:rFonts w:ascii="Garamond" w:eastAsia="MS Mincho" w:hAnsi="Garamond" w:cs="Times New Roman"/>
          <w:b/>
          <w:sz w:val="18"/>
          <w:szCs w:val="18"/>
          <w:lang w:val="es-AR" w:eastAsia="es-ES"/>
        </w:rPr>
        <w:t>de 2019. Esta autorización sólo significa que se ha cumplido con los requisitos establecidos en materia de información. La CNV no ha emitido juicio sobre los datos contenidos en el Prospecto y/o en este Suplemento. La veracidad de la información contable, económica</w:t>
      </w:r>
      <w:r w:rsidRPr="00CA0A60">
        <w:rPr>
          <w:rFonts w:ascii="Garamond" w:eastAsia="MS Mincho" w:hAnsi="Garamond" w:cs="Times New Roman"/>
          <w:b/>
          <w:sz w:val="18"/>
          <w:szCs w:val="18"/>
          <w:lang w:val="es-AR" w:eastAsia="es-ES"/>
        </w:rPr>
        <w:t xml:space="preserve"> y financiera</w:t>
      </w:r>
      <w:r w:rsidR="00354069" w:rsidRPr="00CA0A60">
        <w:rPr>
          <w:rFonts w:ascii="Garamond" w:eastAsia="MS Mincho" w:hAnsi="Garamond" w:cs="Times New Roman"/>
          <w:b/>
          <w:sz w:val="18"/>
          <w:szCs w:val="18"/>
          <w:lang w:val="es-AR" w:eastAsia="es-ES"/>
        </w:rPr>
        <w:t>, así como de toda otra información suministrada en el Prospecto y/o en este Suplemento</w:t>
      </w:r>
      <w:r w:rsidRPr="00CA0A60">
        <w:rPr>
          <w:rFonts w:ascii="Garamond" w:eastAsia="MS Mincho" w:hAnsi="Garamond" w:cs="Times New Roman"/>
          <w:b/>
          <w:sz w:val="18"/>
          <w:szCs w:val="18"/>
          <w:lang w:val="es-AR" w:eastAsia="es-ES"/>
        </w:rPr>
        <w:t>,</w:t>
      </w:r>
      <w:r w:rsidR="00354069" w:rsidRPr="00CA0A60">
        <w:rPr>
          <w:rFonts w:ascii="Garamond" w:eastAsia="MS Mincho" w:hAnsi="Garamond" w:cs="Times New Roman"/>
          <w:b/>
          <w:sz w:val="18"/>
          <w:szCs w:val="18"/>
          <w:lang w:val="es-AR" w:eastAsia="es-ES"/>
        </w:rPr>
        <w:t xml:space="preserve"> es exclusiva responsabilidad de los directorios y, en lo que les atañe, de los órganos de fiscalización de las Sociedades y de los auditores en cuanto a sus respectivos informes sobre los estados contables que se acompañan y demás responsables contemplados en los artículos 119 y 120 de la Ley de Mercado de Capitales. Los directorios </w:t>
      </w:r>
      <w:r w:rsidR="00724DA0" w:rsidRPr="00CA0A60">
        <w:rPr>
          <w:rFonts w:ascii="Garamond" w:eastAsia="MS Mincho" w:hAnsi="Garamond" w:cs="Times New Roman"/>
          <w:b/>
          <w:sz w:val="18"/>
          <w:szCs w:val="18"/>
          <w:lang w:val="es-AR" w:eastAsia="es-ES"/>
        </w:rPr>
        <w:t xml:space="preserve">de las Co-Emisoras </w:t>
      </w:r>
      <w:r w:rsidR="00354069" w:rsidRPr="00CA0A60">
        <w:rPr>
          <w:rFonts w:ascii="Garamond" w:eastAsia="MS Mincho" w:hAnsi="Garamond" w:cs="Times New Roman"/>
          <w:b/>
          <w:sz w:val="18"/>
          <w:szCs w:val="18"/>
          <w:lang w:val="es-AR" w:eastAsia="es-ES"/>
        </w:rPr>
        <w:t xml:space="preserve">manifiestan, con carácter de declaración jurada, que el Prospecto y este Suplemento contienen, a la fecha de su publicación, información </w:t>
      </w:r>
      <w:r w:rsidR="00354069" w:rsidRPr="00CA0A60">
        <w:rPr>
          <w:rFonts w:ascii="Garamond" w:eastAsia="MS Mincho" w:hAnsi="Garamond" w:cs="Times New Roman"/>
          <w:b/>
          <w:sz w:val="18"/>
          <w:szCs w:val="18"/>
          <w:lang w:val="es-AR" w:eastAsia="es-ES"/>
        </w:rPr>
        <w:lastRenderedPageBreak/>
        <w:t>veraz y suficiente sobre todo hecho relevante que pueda afectar la situación patrimonial, económica y financiera de las Sociedades y de toda aquélla que deba ser de conocimiento del público inversor con relación a la presente emisión, conforme las normas vigentes.</w:t>
      </w:r>
    </w:p>
    <w:tbl>
      <w:tblPr>
        <w:tblW w:w="10248" w:type="dxa"/>
        <w:tblLayout w:type="fixed"/>
        <w:tblLook w:val="04A0" w:firstRow="1" w:lastRow="0" w:firstColumn="1" w:lastColumn="0" w:noHBand="0" w:noVBand="1"/>
      </w:tblPr>
      <w:tblGrid>
        <w:gridCol w:w="108"/>
        <w:gridCol w:w="1289"/>
        <w:gridCol w:w="1397"/>
        <w:gridCol w:w="1397"/>
        <w:gridCol w:w="807"/>
        <w:gridCol w:w="956"/>
        <w:gridCol w:w="1499"/>
        <w:gridCol w:w="1397"/>
        <w:gridCol w:w="1039"/>
        <w:gridCol w:w="359"/>
      </w:tblGrid>
      <w:tr w:rsidR="00354069" w:rsidRPr="00CA0A60" w14:paraId="333B69F6" w14:textId="77777777" w:rsidTr="00290A87">
        <w:trPr>
          <w:gridBefore w:val="1"/>
          <w:gridAfter w:val="1"/>
          <w:wBefore w:w="108" w:type="dxa"/>
          <w:wAfter w:w="359" w:type="dxa"/>
          <w:trHeight w:val="268"/>
        </w:trPr>
        <w:tc>
          <w:tcPr>
            <w:tcW w:w="9781" w:type="dxa"/>
            <w:gridSpan w:val="8"/>
            <w:shd w:val="clear" w:color="auto" w:fill="auto"/>
            <w:vAlign w:val="center"/>
          </w:tcPr>
          <w:p w14:paraId="2C859EFD" w14:textId="1CA0C0CD" w:rsidR="009B3E90" w:rsidRPr="00CA0A60" w:rsidRDefault="009B3E90" w:rsidP="009B3E90">
            <w:pPr>
              <w:spacing w:after="0" w:line="240" w:lineRule="auto"/>
              <w:jc w:val="center"/>
              <w:rPr>
                <w:rFonts w:ascii="Garamond" w:eastAsia="MS Mincho" w:hAnsi="Garamond" w:cs="Times New Roman"/>
                <w:noProof/>
                <w:sz w:val="18"/>
                <w:szCs w:val="18"/>
                <w:lang w:val="es-AR" w:eastAsia="es-AR"/>
              </w:rPr>
            </w:pPr>
            <w:bookmarkStart w:id="2" w:name="_DV_M13"/>
            <w:bookmarkEnd w:id="2"/>
          </w:p>
        </w:tc>
      </w:tr>
      <w:tr w:rsidR="004A5C30" w:rsidRPr="00CA0A60" w14:paraId="46CEBDE8" w14:textId="77777777" w:rsidTr="00290A87">
        <w:trPr>
          <w:gridBefore w:val="1"/>
          <w:gridAfter w:val="1"/>
          <w:wBefore w:w="108" w:type="dxa"/>
          <w:wAfter w:w="359" w:type="dxa"/>
          <w:trHeight w:val="268"/>
        </w:trPr>
        <w:tc>
          <w:tcPr>
            <w:tcW w:w="4890" w:type="dxa"/>
            <w:gridSpan w:val="4"/>
            <w:shd w:val="clear" w:color="auto" w:fill="auto"/>
            <w:vAlign w:val="center"/>
          </w:tcPr>
          <w:p w14:paraId="7D74181A" w14:textId="5E11463F" w:rsidR="004A5C30" w:rsidRPr="00CA0A60" w:rsidRDefault="004A5C30" w:rsidP="00290A87">
            <w:pPr>
              <w:spacing w:after="0" w:line="240" w:lineRule="auto"/>
              <w:jc w:val="center"/>
              <w:rPr>
                <w:rFonts w:ascii="Garamond" w:eastAsia="MS Mincho" w:hAnsi="Garamond" w:cs="Times New Roman"/>
                <w:sz w:val="18"/>
                <w:szCs w:val="18"/>
                <w:lang w:val="es-AR" w:eastAsia="es-ES"/>
              </w:rPr>
            </w:pPr>
          </w:p>
        </w:tc>
        <w:tc>
          <w:tcPr>
            <w:tcW w:w="4891" w:type="dxa"/>
            <w:gridSpan w:val="4"/>
            <w:shd w:val="clear" w:color="auto" w:fill="auto"/>
            <w:vAlign w:val="center"/>
          </w:tcPr>
          <w:p w14:paraId="002336B5" w14:textId="57C0CD8E" w:rsidR="004A5C30" w:rsidRPr="00CA0A60" w:rsidRDefault="004A5C30" w:rsidP="00290A87">
            <w:pPr>
              <w:spacing w:after="0" w:line="240" w:lineRule="auto"/>
              <w:jc w:val="center"/>
              <w:rPr>
                <w:rFonts w:ascii="Garamond" w:eastAsia="MS Mincho" w:hAnsi="Garamond" w:cs="Times New Roman"/>
                <w:sz w:val="18"/>
                <w:szCs w:val="18"/>
                <w:lang w:val="es-AR" w:eastAsia="es-ES"/>
              </w:rPr>
            </w:pPr>
          </w:p>
        </w:tc>
      </w:tr>
      <w:tr w:rsidR="00290A87" w:rsidRPr="00CA0A60" w14:paraId="29B356F8" w14:textId="77777777" w:rsidTr="00290A87">
        <w:trPr>
          <w:trHeight w:val="268"/>
        </w:trPr>
        <w:tc>
          <w:tcPr>
            <w:tcW w:w="10248" w:type="dxa"/>
            <w:gridSpan w:val="10"/>
            <w:shd w:val="clear" w:color="auto" w:fill="auto"/>
            <w:vAlign w:val="center"/>
          </w:tcPr>
          <w:p w14:paraId="047F7B8C" w14:textId="77777777" w:rsidR="00290A87" w:rsidRPr="00713D6E" w:rsidRDefault="00290A87" w:rsidP="00206F74">
            <w:pPr>
              <w:spacing w:after="0" w:line="240" w:lineRule="auto"/>
              <w:jc w:val="center"/>
              <w:rPr>
                <w:rFonts w:ascii="Garamond" w:eastAsia="MS Mincho" w:hAnsi="Garamond" w:cs="Times New Roman"/>
                <w:noProof/>
                <w:sz w:val="18"/>
                <w:szCs w:val="18"/>
                <w:lang w:val="es-AR" w:eastAsia="es-AR"/>
              </w:rPr>
            </w:pPr>
            <w:r w:rsidRPr="00CA0A60">
              <w:rPr>
                <w:rFonts w:ascii="Garamond" w:eastAsia="MS Mincho" w:hAnsi="Garamond" w:cs="Times New Roman"/>
                <w:b/>
                <w:sz w:val="18"/>
                <w:szCs w:val="18"/>
                <w:lang w:val="es-AR" w:eastAsia="es-ES"/>
              </w:rPr>
              <w:t xml:space="preserve">Agentes </w:t>
            </w:r>
            <w:r w:rsidRPr="00713D6E">
              <w:rPr>
                <w:rFonts w:ascii="Garamond" w:eastAsia="MS Mincho" w:hAnsi="Garamond" w:cs="Times New Roman"/>
                <w:b/>
                <w:sz w:val="18"/>
                <w:szCs w:val="18"/>
                <w:lang w:val="es-AR" w:eastAsia="es-ES"/>
              </w:rPr>
              <w:t>Colocadores Locales</w:t>
            </w:r>
          </w:p>
        </w:tc>
      </w:tr>
      <w:tr w:rsidR="00290A87" w:rsidRPr="00CA0A60" w14:paraId="44A6BAB2" w14:textId="77777777" w:rsidTr="00290A87">
        <w:trPr>
          <w:trHeight w:val="268"/>
        </w:trPr>
        <w:tc>
          <w:tcPr>
            <w:tcW w:w="1397" w:type="dxa"/>
            <w:gridSpan w:val="2"/>
            <w:shd w:val="clear" w:color="auto" w:fill="auto"/>
            <w:vAlign w:val="center"/>
          </w:tcPr>
          <w:p w14:paraId="601C28E8" w14:textId="4712E6F4" w:rsidR="00290A87" w:rsidRPr="00CA0A60" w:rsidDel="005F1166" w:rsidRDefault="00B84CE6" w:rsidP="00206F74">
            <w:pPr>
              <w:spacing w:after="0" w:line="240" w:lineRule="auto"/>
              <w:jc w:val="center"/>
              <w:rPr>
                <w:rFonts w:ascii="Garamond" w:eastAsia="MS Mincho" w:hAnsi="Garamond" w:cs="Times New Roman"/>
                <w:sz w:val="18"/>
                <w:szCs w:val="18"/>
                <w:lang w:val="es-AR" w:eastAsia="es-ES"/>
              </w:rPr>
            </w:pPr>
            <w:r w:rsidRPr="00130084">
              <w:rPr>
                <w:rFonts w:ascii="Calibri" w:eastAsia="MS Mincho" w:hAnsi="Calibri" w:cs="Times New Roman"/>
                <w:noProof/>
                <w:sz w:val="15"/>
                <w:szCs w:val="15"/>
                <w:lang w:val="es-AR" w:eastAsia="es-AR"/>
              </w:rPr>
              <w:drawing>
                <wp:inline distT="0" distB="0" distL="0" distR="0" wp14:anchorId="4B8D1308" wp14:editId="7E2000C8">
                  <wp:extent cx="801585" cy="244185"/>
                  <wp:effectExtent l="0" t="0" r="0" b="3810"/>
                  <wp:docPr id="30" name="Imagen 30" descr="C:\Users\guido.aiassa\AppData\Local\Microsoft\Windows\Temporary Internet Files\Content.Outlook\MJE15H21\Logo ARPARTNERS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uido.aiassa\AppData\Local\Microsoft\Windows\Temporary Internet Files\Content.Outlook\MJE15H21\Logo ARPARTNERS 20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5491" cy="266699"/>
                          </a:xfrm>
                          <a:prstGeom prst="rect">
                            <a:avLst/>
                          </a:prstGeom>
                          <a:noFill/>
                          <a:ln>
                            <a:noFill/>
                          </a:ln>
                        </pic:spPr>
                      </pic:pic>
                    </a:graphicData>
                  </a:graphic>
                </wp:inline>
              </w:drawing>
            </w:r>
          </w:p>
        </w:tc>
        <w:tc>
          <w:tcPr>
            <w:tcW w:w="1397" w:type="dxa"/>
            <w:shd w:val="clear" w:color="auto" w:fill="auto"/>
            <w:vAlign w:val="center"/>
          </w:tcPr>
          <w:p w14:paraId="335A2AB1" w14:textId="77777777" w:rsidR="00290A87" w:rsidRPr="00CA0A60" w:rsidRDefault="00290A87" w:rsidP="00206F74">
            <w:pPr>
              <w:spacing w:after="0" w:line="240" w:lineRule="auto"/>
              <w:jc w:val="center"/>
              <w:rPr>
                <w:rFonts w:ascii="Garamond" w:eastAsia="MS Mincho" w:hAnsi="Garamond" w:cs="Times New Roman"/>
                <w:sz w:val="18"/>
                <w:szCs w:val="18"/>
                <w:lang w:val="es-AR" w:eastAsia="es-ES"/>
              </w:rPr>
            </w:pPr>
            <w:r w:rsidRPr="00CA3A3D">
              <w:rPr>
                <w:lang w:val="es-AR"/>
              </w:rPr>
              <w:object w:dxaOrig="6345" w:dyaOrig="1440" w14:anchorId="359A1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4.25pt" o:ole="">
                  <v:imagedata r:id="rId12" o:title=""/>
                </v:shape>
                <o:OLEObject Type="Embed" ProgID="PBrush" ShapeID="_x0000_i1025" DrawAspect="Content" ObjectID="_1625580244" r:id="rId13"/>
              </w:object>
            </w:r>
          </w:p>
        </w:tc>
        <w:tc>
          <w:tcPr>
            <w:tcW w:w="1397" w:type="dxa"/>
            <w:shd w:val="clear" w:color="auto" w:fill="auto"/>
            <w:vAlign w:val="center"/>
          </w:tcPr>
          <w:p w14:paraId="25249D0C" w14:textId="77777777" w:rsidR="00290A87" w:rsidRPr="00CA0A60" w:rsidRDefault="00290A87" w:rsidP="00206F74">
            <w:pPr>
              <w:spacing w:after="0" w:line="240" w:lineRule="auto"/>
              <w:jc w:val="center"/>
              <w:rPr>
                <w:rFonts w:ascii="Garamond" w:eastAsia="MS Mincho" w:hAnsi="Garamond" w:cs="Times New Roman"/>
                <w:sz w:val="18"/>
                <w:szCs w:val="18"/>
                <w:lang w:val="es-AR" w:eastAsia="es-ES"/>
              </w:rPr>
            </w:pPr>
            <w:r w:rsidRPr="00CA3A3D">
              <w:rPr>
                <w:lang w:val="es-AR"/>
              </w:rPr>
              <w:object w:dxaOrig="2190" w:dyaOrig="765" w14:anchorId="7304A244">
                <v:shape id="_x0000_i1026" type="#_x0000_t75" style="width:57pt;height:22.5pt" o:ole="">
                  <v:imagedata r:id="rId14" o:title=""/>
                </v:shape>
                <o:OLEObject Type="Embed" ProgID="PBrush" ShapeID="_x0000_i1026" DrawAspect="Content" ObjectID="_1625580245" r:id="rId15"/>
              </w:object>
            </w:r>
          </w:p>
        </w:tc>
        <w:tc>
          <w:tcPr>
            <w:tcW w:w="1763" w:type="dxa"/>
            <w:gridSpan w:val="2"/>
            <w:shd w:val="clear" w:color="auto" w:fill="auto"/>
            <w:vAlign w:val="center"/>
          </w:tcPr>
          <w:p w14:paraId="08A9998C" w14:textId="77777777" w:rsidR="00290A87" w:rsidRPr="00CA0A60" w:rsidRDefault="00290A87" w:rsidP="00206F74">
            <w:pPr>
              <w:spacing w:after="0" w:line="240" w:lineRule="auto"/>
              <w:jc w:val="center"/>
              <w:rPr>
                <w:rFonts w:ascii="Garamond" w:eastAsia="MS Mincho" w:hAnsi="Garamond" w:cs="Times New Roman"/>
                <w:sz w:val="18"/>
                <w:szCs w:val="18"/>
                <w:lang w:val="es-AR" w:eastAsia="es-ES"/>
              </w:rPr>
            </w:pPr>
            <w:r w:rsidRPr="00CA3A3D">
              <w:rPr>
                <w:lang w:val="es-AR"/>
              </w:rPr>
              <w:object w:dxaOrig="5970" w:dyaOrig="2235" w14:anchorId="13D1F315">
                <v:shape id="_x0000_i1027" type="#_x0000_t75" style="width:79.5pt;height:29.25pt" o:ole="">
                  <v:imagedata r:id="rId16" o:title=""/>
                </v:shape>
                <o:OLEObject Type="Embed" ProgID="PBrush" ShapeID="_x0000_i1027" DrawAspect="Content" ObjectID="_1625580246" r:id="rId17"/>
              </w:object>
            </w:r>
          </w:p>
        </w:tc>
        <w:tc>
          <w:tcPr>
            <w:tcW w:w="1499" w:type="dxa"/>
            <w:shd w:val="clear" w:color="auto" w:fill="auto"/>
            <w:vAlign w:val="center"/>
          </w:tcPr>
          <w:p w14:paraId="6D744E92" w14:textId="77777777" w:rsidR="00290A87" w:rsidRPr="00CA0A60" w:rsidRDefault="00290A87" w:rsidP="00206F74">
            <w:pPr>
              <w:spacing w:after="0" w:line="240" w:lineRule="auto"/>
              <w:jc w:val="center"/>
              <w:rPr>
                <w:rFonts w:ascii="Garamond" w:eastAsia="MS Mincho" w:hAnsi="Garamond" w:cs="Times New Roman"/>
                <w:sz w:val="18"/>
                <w:szCs w:val="18"/>
                <w:lang w:val="es-AR" w:eastAsia="es-ES"/>
              </w:rPr>
            </w:pPr>
            <w:r w:rsidRPr="00CA0A60">
              <w:rPr>
                <w:rFonts w:ascii="Times New Roman Bold" w:eastAsia="PMingLiU" w:hAnsi="Times New Roman Bold"/>
                <w:b/>
                <w:caps/>
                <w:noProof/>
                <w:sz w:val="10"/>
                <w:szCs w:val="10"/>
                <w:lang w:val="es-AR" w:eastAsia="es-AR"/>
              </w:rPr>
              <w:drawing>
                <wp:inline distT="0" distB="0" distL="0" distR="0" wp14:anchorId="461FFFC6" wp14:editId="54A4246C">
                  <wp:extent cx="1105535" cy="429895"/>
                  <wp:effectExtent l="0" t="0" r="0" b="8255"/>
                  <wp:docPr id="7" name="Picture 1" descr="Descripción: BST_Identificadores_Vertical_Blanc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ción: BST_Identificadores_Vertical_Blanco_300dpi"/>
                          <pic:cNvPicPr>
                            <a:picLocks noChangeAspect="1" noChangeArrowheads="1"/>
                          </pic:cNvPicPr>
                        </pic:nvPicPr>
                        <pic:blipFill>
                          <a:blip r:embed="rId18">
                            <a:extLst>
                              <a:ext uri="{28A0092B-C50C-407E-A947-70E740481C1C}">
                                <a14:useLocalDpi xmlns:a14="http://schemas.microsoft.com/office/drawing/2010/main" val="0"/>
                              </a:ext>
                            </a:extLst>
                          </a:blip>
                          <a:srcRect t="17609" b="23549"/>
                          <a:stretch>
                            <a:fillRect/>
                          </a:stretch>
                        </pic:blipFill>
                        <pic:spPr bwMode="auto">
                          <a:xfrm>
                            <a:off x="0" y="0"/>
                            <a:ext cx="1105535" cy="429895"/>
                          </a:xfrm>
                          <a:prstGeom prst="rect">
                            <a:avLst/>
                          </a:prstGeom>
                          <a:noFill/>
                          <a:ln>
                            <a:noFill/>
                          </a:ln>
                        </pic:spPr>
                      </pic:pic>
                    </a:graphicData>
                  </a:graphic>
                </wp:inline>
              </w:drawing>
            </w:r>
          </w:p>
        </w:tc>
        <w:tc>
          <w:tcPr>
            <w:tcW w:w="1397" w:type="dxa"/>
            <w:shd w:val="clear" w:color="auto" w:fill="auto"/>
            <w:vAlign w:val="center"/>
          </w:tcPr>
          <w:p w14:paraId="21F73884" w14:textId="77777777" w:rsidR="00290A87" w:rsidRPr="00CA0A60" w:rsidRDefault="00290A87" w:rsidP="00206F74">
            <w:pPr>
              <w:spacing w:after="0" w:line="240" w:lineRule="auto"/>
              <w:jc w:val="center"/>
              <w:rPr>
                <w:rFonts w:ascii="Garamond" w:eastAsia="MS Mincho" w:hAnsi="Garamond" w:cs="Times New Roman"/>
                <w:sz w:val="18"/>
                <w:szCs w:val="18"/>
                <w:lang w:val="es-AR" w:eastAsia="es-ES"/>
              </w:rPr>
            </w:pPr>
            <w:r w:rsidRPr="00CA3A3D">
              <w:rPr>
                <w:lang w:val="es-AR"/>
              </w:rPr>
              <w:object w:dxaOrig="7800" w:dyaOrig="1380" w14:anchorId="78672127">
                <v:shape id="_x0000_i1028" type="#_x0000_t75" style="width:57pt;height:6.75pt" o:ole="">
                  <v:imagedata r:id="rId19" o:title=""/>
                </v:shape>
                <o:OLEObject Type="Embed" ProgID="PBrush" ShapeID="_x0000_i1028" DrawAspect="Content" ObjectID="_1625580247" r:id="rId20"/>
              </w:object>
            </w:r>
          </w:p>
        </w:tc>
        <w:tc>
          <w:tcPr>
            <w:tcW w:w="1398" w:type="dxa"/>
            <w:gridSpan w:val="2"/>
            <w:shd w:val="clear" w:color="auto" w:fill="auto"/>
            <w:vAlign w:val="center"/>
          </w:tcPr>
          <w:p w14:paraId="243FF500" w14:textId="77777777" w:rsidR="00290A87" w:rsidRPr="00CA0A60" w:rsidRDefault="00290A87" w:rsidP="00206F74">
            <w:pPr>
              <w:spacing w:after="0" w:line="240" w:lineRule="auto"/>
              <w:jc w:val="center"/>
              <w:rPr>
                <w:rFonts w:ascii="Garamond" w:eastAsia="MS Mincho" w:hAnsi="Garamond" w:cs="Times New Roman"/>
                <w:sz w:val="18"/>
                <w:szCs w:val="18"/>
                <w:lang w:val="es-AR" w:eastAsia="es-ES"/>
              </w:rPr>
            </w:pPr>
            <w:r w:rsidRPr="00CA3A3D">
              <w:rPr>
                <w:lang w:val="es-AR"/>
              </w:rPr>
              <w:object w:dxaOrig="2850" w:dyaOrig="2850" w14:anchorId="276FBBAC">
                <v:shape id="_x0000_i1029" type="#_x0000_t75" style="width:43.5pt;height:43.5pt" o:ole="">
                  <v:imagedata r:id="rId21" o:title=""/>
                </v:shape>
                <o:OLEObject Type="Embed" ProgID="PBrush" ShapeID="_x0000_i1029" DrawAspect="Content" ObjectID="_1625580248" r:id="rId22"/>
              </w:object>
            </w:r>
          </w:p>
        </w:tc>
      </w:tr>
      <w:tr w:rsidR="00290A87" w:rsidRPr="00B81D9F" w14:paraId="167CA058" w14:textId="77777777" w:rsidTr="00290A87">
        <w:trPr>
          <w:trHeight w:val="268"/>
        </w:trPr>
        <w:tc>
          <w:tcPr>
            <w:tcW w:w="1397" w:type="dxa"/>
            <w:gridSpan w:val="2"/>
            <w:shd w:val="clear" w:color="auto" w:fill="auto"/>
          </w:tcPr>
          <w:p w14:paraId="4B551342" w14:textId="77777777" w:rsidR="00290A87" w:rsidRPr="00A438F1" w:rsidRDefault="00290A87" w:rsidP="00206F74">
            <w:pPr>
              <w:keepNext/>
              <w:widowControl w:val="0"/>
              <w:spacing w:after="0"/>
              <w:jc w:val="center"/>
              <w:rPr>
                <w:rFonts w:ascii="Garamond" w:hAnsi="Garamond"/>
                <w:b/>
                <w:sz w:val="14"/>
                <w:lang w:val="en-US"/>
              </w:rPr>
            </w:pPr>
            <w:r w:rsidRPr="00A438F1">
              <w:rPr>
                <w:rFonts w:ascii="Garamond" w:hAnsi="Garamond"/>
                <w:b/>
                <w:sz w:val="14"/>
                <w:lang w:val="en-US"/>
              </w:rPr>
              <w:t>AR Partners S.A.</w:t>
            </w:r>
          </w:p>
          <w:p w14:paraId="19D0A797" w14:textId="77777777" w:rsidR="00290A87" w:rsidRPr="00A438F1" w:rsidRDefault="00290A87" w:rsidP="00206F74">
            <w:pPr>
              <w:spacing w:after="0" w:line="240" w:lineRule="auto"/>
              <w:jc w:val="center"/>
              <w:rPr>
                <w:rFonts w:ascii="Garamond" w:eastAsia="MS Mincho" w:hAnsi="Garamond" w:cs="Times New Roman"/>
                <w:sz w:val="14"/>
                <w:szCs w:val="20"/>
                <w:lang w:val="en-US" w:eastAsia="es-ES"/>
              </w:rPr>
            </w:pPr>
            <w:r w:rsidRPr="00A438F1">
              <w:rPr>
                <w:rFonts w:ascii="Garamond" w:eastAsia="MS Mincho" w:hAnsi="Garamond" w:cs="Times New Roman"/>
                <w:sz w:val="14"/>
                <w:szCs w:val="20"/>
                <w:lang w:val="en-US" w:eastAsia="es-ES"/>
              </w:rPr>
              <w:t>ALyC/AN-I N° 31</w:t>
            </w:r>
          </w:p>
        </w:tc>
        <w:tc>
          <w:tcPr>
            <w:tcW w:w="1397" w:type="dxa"/>
            <w:shd w:val="clear" w:color="auto" w:fill="auto"/>
          </w:tcPr>
          <w:p w14:paraId="74BA12CF" w14:textId="77777777" w:rsidR="00290A87" w:rsidRPr="00CA0A60" w:rsidRDefault="00290A87" w:rsidP="00206F74">
            <w:pPr>
              <w:keepNext/>
              <w:widowControl w:val="0"/>
              <w:spacing w:after="0"/>
              <w:jc w:val="center"/>
              <w:rPr>
                <w:rFonts w:ascii="Garamond" w:hAnsi="Garamond"/>
                <w:b/>
                <w:sz w:val="14"/>
                <w:lang w:val="es-AR"/>
              </w:rPr>
            </w:pPr>
            <w:r w:rsidRPr="00CA0A60">
              <w:rPr>
                <w:rFonts w:ascii="Garamond" w:hAnsi="Garamond"/>
                <w:b/>
                <w:sz w:val="14"/>
                <w:lang w:val="es-AR"/>
              </w:rPr>
              <w:t>Balanz Capital Valores S.A.U.</w:t>
            </w:r>
          </w:p>
          <w:p w14:paraId="21708FEE" w14:textId="77777777" w:rsidR="00290A87" w:rsidRPr="00CA0A60" w:rsidRDefault="00290A87" w:rsidP="00206F74">
            <w:pPr>
              <w:keepNext/>
              <w:widowControl w:val="0"/>
              <w:spacing w:after="0"/>
              <w:jc w:val="center"/>
              <w:rPr>
                <w:rFonts w:ascii="Garamond" w:hAnsi="Garamond"/>
                <w:b/>
                <w:sz w:val="14"/>
                <w:lang w:val="es-AR"/>
              </w:rPr>
            </w:pPr>
            <w:r w:rsidRPr="00CA0A60">
              <w:rPr>
                <w:rFonts w:ascii="Garamond" w:eastAsia="MS Mincho" w:hAnsi="Garamond" w:cs="Times New Roman"/>
                <w:sz w:val="14"/>
                <w:szCs w:val="20"/>
                <w:lang w:val="es-AR" w:eastAsia="es-ES"/>
              </w:rPr>
              <w:t>ALyC/AN-I N° 210</w:t>
            </w:r>
          </w:p>
          <w:p w14:paraId="764E5355" w14:textId="77777777" w:rsidR="00290A87" w:rsidRPr="00CA0A60" w:rsidRDefault="00290A87" w:rsidP="00206F74">
            <w:pPr>
              <w:spacing w:after="0" w:line="240" w:lineRule="auto"/>
              <w:jc w:val="center"/>
              <w:rPr>
                <w:rFonts w:ascii="Garamond" w:eastAsia="MS Mincho" w:hAnsi="Garamond" w:cs="Times New Roman"/>
                <w:b/>
                <w:sz w:val="14"/>
                <w:szCs w:val="20"/>
                <w:lang w:val="es-AR" w:eastAsia="es-ES"/>
              </w:rPr>
            </w:pPr>
          </w:p>
        </w:tc>
        <w:tc>
          <w:tcPr>
            <w:tcW w:w="1397" w:type="dxa"/>
            <w:shd w:val="clear" w:color="auto" w:fill="auto"/>
          </w:tcPr>
          <w:p w14:paraId="35DFD4B9" w14:textId="77777777" w:rsidR="00290A87" w:rsidRPr="00CA0A60" w:rsidRDefault="00290A87" w:rsidP="00206F74">
            <w:pPr>
              <w:keepNext/>
              <w:widowControl w:val="0"/>
              <w:spacing w:after="0"/>
              <w:jc w:val="center"/>
              <w:rPr>
                <w:rFonts w:ascii="Garamond" w:hAnsi="Garamond"/>
                <w:b/>
                <w:sz w:val="14"/>
                <w:lang w:val="es-AR"/>
              </w:rPr>
            </w:pPr>
            <w:r w:rsidRPr="00CA0A60">
              <w:rPr>
                <w:rFonts w:ascii="Garamond" w:hAnsi="Garamond"/>
                <w:b/>
                <w:sz w:val="14"/>
                <w:lang w:val="es-AR"/>
              </w:rPr>
              <w:t>BACS Banco de Crédito y Securitización S.A.</w:t>
            </w:r>
          </w:p>
          <w:p w14:paraId="66F085F6" w14:textId="77777777" w:rsidR="00290A87" w:rsidRPr="00CA0A60" w:rsidRDefault="00290A87" w:rsidP="00206F74">
            <w:pPr>
              <w:keepNext/>
              <w:widowControl w:val="0"/>
              <w:spacing w:after="0"/>
              <w:jc w:val="center"/>
              <w:rPr>
                <w:rFonts w:ascii="Garamond" w:hAnsi="Garamond"/>
                <w:b/>
                <w:sz w:val="14"/>
                <w:lang w:val="es-AR"/>
              </w:rPr>
            </w:pPr>
            <w:r w:rsidRPr="00CA0A60">
              <w:rPr>
                <w:rFonts w:ascii="Garamond" w:eastAsia="MS Mincho" w:hAnsi="Garamond" w:cs="Times New Roman"/>
                <w:sz w:val="14"/>
                <w:szCs w:val="20"/>
                <w:lang w:val="es-AR" w:eastAsia="es-ES"/>
              </w:rPr>
              <w:t>ALyC/AN-I N° 25</w:t>
            </w:r>
          </w:p>
          <w:p w14:paraId="34501685" w14:textId="77777777" w:rsidR="00290A87" w:rsidRPr="00CA0A60" w:rsidRDefault="00290A87" w:rsidP="00206F74">
            <w:pPr>
              <w:spacing w:after="0" w:line="240" w:lineRule="auto"/>
              <w:jc w:val="center"/>
              <w:rPr>
                <w:rFonts w:ascii="Garamond" w:eastAsia="MS Mincho" w:hAnsi="Garamond" w:cs="Times New Roman"/>
                <w:b/>
                <w:sz w:val="14"/>
                <w:szCs w:val="20"/>
                <w:lang w:val="es-AR" w:eastAsia="es-ES"/>
              </w:rPr>
            </w:pPr>
          </w:p>
        </w:tc>
        <w:tc>
          <w:tcPr>
            <w:tcW w:w="1763" w:type="dxa"/>
            <w:gridSpan w:val="2"/>
            <w:shd w:val="clear" w:color="auto" w:fill="auto"/>
          </w:tcPr>
          <w:p w14:paraId="7F7CB239" w14:textId="00A72558" w:rsidR="00290A87" w:rsidRPr="00CA0A60" w:rsidRDefault="00290A87" w:rsidP="00206F74">
            <w:pPr>
              <w:keepNext/>
              <w:widowControl w:val="0"/>
              <w:spacing w:after="0"/>
              <w:jc w:val="center"/>
              <w:rPr>
                <w:rFonts w:ascii="Garamond" w:hAnsi="Garamond"/>
                <w:b/>
                <w:sz w:val="14"/>
                <w:lang w:val="es-AR"/>
              </w:rPr>
            </w:pPr>
            <w:r w:rsidRPr="00CA0A60">
              <w:rPr>
                <w:rFonts w:ascii="Garamond" w:hAnsi="Garamond"/>
                <w:b/>
                <w:sz w:val="14"/>
                <w:lang w:val="es-AR"/>
              </w:rPr>
              <w:t>Banco Hipotecario S.A.</w:t>
            </w:r>
          </w:p>
          <w:p w14:paraId="6DCE209A" w14:textId="77777777" w:rsidR="00290A87" w:rsidRPr="00CA0A60" w:rsidRDefault="00290A87" w:rsidP="00206F74">
            <w:pPr>
              <w:spacing w:after="0" w:line="240" w:lineRule="auto"/>
              <w:jc w:val="center"/>
              <w:rPr>
                <w:rFonts w:ascii="Garamond" w:eastAsia="MS Mincho" w:hAnsi="Garamond" w:cs="Times New Roman"/>
                <w:b/>
                <w:sz w:val="14"/>
                <w:szCs w:val="20"/>
                <w:lang w:val="es-AR" w:eastAsia="es-ES"/>
              </w:rPr>
            </w:pPr>
            <w:r w:rsidRPr="00CA0A60">
              <w:rPr>
                <w:rFonts w:ascii="Garamond" w:eastAsia="MS Mincho" w:hAnsi="Garamond" w:cs="Times New Roman"/>
                <w:sz w:val="14"/>
                <w:szCs w:val="20"/>
                <w:lang w:val="es-AR" w:eastAsia="es-ES"/>
              </w:rPr>
              <w:t>ALyC/AN-I N° 40</w:t>
            </w:r>
          </w:p>
        </w:tc>
        <w:tc>
          <w:tcPr>
            <w:tcW w:w="1499" w:type="dxa"/>
            <w:shd w:val="clear" w:color="auto" w:fill="auto"/>
          </w:tcPr>
          <w:p w14:paraId="17C5A35E" w14:textId="77777777" w:rsidR="00290A87" w:rsidRPr="00CA0A60" w:rsidRDefault="00290A87" w:rsidP="00206F74">
            <w:pPr>
              <w:keepNext/>
              <w:widowControl w:val="0"/>
              <w:spacing w:after="0"/>
              <w:jc w:val="center"/>
              <w:rPr>
                <w:rFonts w:ascii="Garamond" w:hAnsi="Garamond"/>
                <w:b/>
                <w:sz w:val="14"/>
                <w:lang w:val="es-AR"/>
              </w:rPr>
            </w:pPr>
            <w:r w:rsidRPr="00CA0A60">
              <w:rPr>
                <w:rFonts w:ascii="Garamond" w:hAnsi="Garamond"/>
                <w:b/>
                <w:sz w:val="14"/>
                <w:lang w:val="es-AR"/>
              </w:rPr>
              <w:t>Banco de Servicios y Transacciones S.A.</w:t>
            </w:r>
          </w:p>
          <w:p w14:paraId="14190486" w14:textId="77777777" w:rsidR="00290A87" w:rsidRPr="00CA0A60" w:rsidRDefault="00290A87" w:rsidP="00206F74">
            <w:pPr>
              <w:spacing w:after="0" w:line="240" w:lineRule="auto"/>
              <w:jc w:val="center"/>
              <w:rPr>
                <w:rFonts w:ascii="Garamond" w:eastAsia="MS Mincho" w:hAnsi="Garamond" w:cs="Times New Roman"/>
                <w:b/>
                <w:sz w:val="14"/>
                <w:szCs w:val="20"/>
                <w:lang w:val="es-AR" w:eastAsia="es-ES"/>
              </w:rPr>
            </w:pPr>
            <w:r w:rsidRPr="00CA0A60">
              <w:rPr>
                <w:rFonts w:ascii="Garamond" w:eastAsia="MS Mincho" w:hAnsi="Garamond" w:cs="Times New Roman"/>
                <w:sz w:val="14"/>
                <w:szCs w:val="20"/>
                <w:lang w:val="es-AR" w:eastAsia="es-ES"/>
              </w:rPr>
              <w:t>ALyC/AN-I N° 64</w:t>
            </w:r>
          </w:p>
        </w:tc>
        <w:tc>
          <w:tcPr>
            <w:tcW w:w="1397" w:type="dxa"/>
            <w:shd w:val="clear" w:color="auto" w:fill="auto"/>
          </w:tcPr>
          <w:p w14:paraId="1ECF4513" w14:textId="77777777" w:rsidR="00290A87" w:rsidRPr="00A438F1" w:rsidRDefault="00290A87" w:rsidP="00206F74">
            <w:pPr>
              <w:keepNext/>
              <w:widowControl w:val="0"/>
              <w:spacing w:after="0"/>
              <w:jc w:val="center"/>
              <w:rPr>
                <w:rFonts w:ascii="Garamond" w:hAnsi="Garamond"/>
                <w:b/>
                <w:sz w:val="14"/>
                <w:lang w:val="en-US"/>
              </w:rPr>
            </w:pPr>
            <w:r w:rsidRPr="00A438F1">
              <w:rPr>
                <w:rFonts w:ascii="Garamond" w:hAnsi="Garamond"/>
                <w:b/>
                <w:sz w:val="14"/>
                <w:lang w:val="en-US"/>
              </w:rPr>
              <w:t>INTL CIBSA S.A.</w:t>
            </w:r>
          </w:p>
          <w:p w14:paraId="1099ACD1" w14:textId="77777777" w:rsidR="00290A87" w:rsidRPr="00A438F1" w:rsidRDefault="00290A87" w:rsidP="00206F74">
            <w:pPr>
              <w:spacing w:after="0" w:line="240" w:lineRule="auto"/>
              <w:jc w:val="center"/>
              <w:rPr>
                <w:rFonts w:ascii="Garamond" w:eastAsia="MS Mincho" w:hAnsi="Garamond" w:cs="Times New Roman"/>
                <w:b/>
                <w:sz w:val="14"/>
                <w:szCs w:val="20"/>
                <w:lang w:val="en-US" w:eastAsia="es-ES"/>
              </w:rPr>
            </w:pPr>
            <w:r w:rsidRPr="00A438F1">
              <w:rPr>
                <w:rFonts w:ascii="Garamond" w:eastAsia="MS Mincho" w:hAnsi="Garamond" w:cs="Times New Roman"/>
                <w:sz w:val="14"/>
                <w:szCs w:val="20"/>
                <w:lang w:val="en-US" w:eastAsia="es-ES"/>
              </w:rPr>
              <w:t>ALyC/AN-I N° 47</w:t>
            </w:r>
          </w:p>
        </w:tc>
        <w:tc>
          <w:tcPr>
            <w:tcW w:w="1398" w:type="dxa"/>
            <w:gridSpan w:val="2"/>
            <w:shd w:val="clear" w:color="auto" w:fill="auto"/>
          </w:tcPr>
          <w:p w14:paraId="72878944" w14:textId="77777777" w:rsidR="00290A87" w:rsidRPr="00A438F1" w:rsidRDefault="00290A87" w:rsidP="00206F74">
            <w:pPr>
              <w:keepNext/>
              <w:widowControl w:val="0"/>
              <w:spacing w:after="0"/>
              <w:jc w:val="center"/>
              <w:rPr>
                <w:rFonts w:ascii="Garamond" w:hAnsi="Garamond"/>
                <w:b/>
                <w:sz w:val="14"/>
                <w:lang w:val="en-US"/>
              </w:rPr>
            </w:pPr>
            <w:r w:rsidRPr="00A438F1">
              <w:rPr>
                <w:rFonts w:ascii="Garamond" w:hAnsi="Garamond"/>
                <w:b/>
                <w:sz w:val="14"/>
                <w:lang w:val="en-US"/>
              </w:rPr>
              <w:t>SBS Trading S.A.</w:t>
            </w:r>
          </w:p>
          <w:p w14:paraId="54A9F082" w14:textId="77777777" w:rsidR="00290A87" w:rsidRPr="00A438F1" w:rsidRDefault="00290A87" w:rsidP="00206F74">
            <w:pPr>
              <w:spacing w:after="0" w:line="240" w:lineRule="auto"/>
              <w:jc w:val="center"/>
              <w:rPr>
                <w:rFonts w:ascii="Garamond" w:eastAsia="MS Mincho" w:hAnsi="Garamond" w:cs="Times New Roman"/>
                <w:b/>
                <w:sz w:val="14"/>
                <w:szCs w:val="20"/>
                <w:lang w:val="en-US" w:eastAsia="es-ES"/>
              </w:rPr>
            </w:pPr>
            <w:r w:rsidRPr="00A438F1">
              <w:rPr>
                <w:rFonts w:ascii="Garamond" w:eastAsia="MS Mincho" w:hAnsi="Garamond" w:cs="Times New Roman"/>
                <w:sz w:val="14"/>
                <w:szCs w:val="20"/>
                <w:lang w:val="en-US" w:eastAsia="es-ES"/>
              </w:rPr>
              <w:t>ALyC/AN-I N° 57</w:t>
            </w:r>
          </w:p>
        </w:tc>
      </w:tr>
      <w:tr w:rsidR="004A5C30" w:rsidRPr="00B81D9F" w14:paraId="239F3CC2" w14:textId="77777777" w:rsidTr="00290A87">
        <w:trPr>
          <w:gridBefore w:val="1"/>
          <w:gridAfter w:val="1"/>
          <w:wBefore w:w="108" w:type="dxa"/>
          <w:wAfter w:w="359" w:type="dxa"/>
          <w:trHeight w:val="268"/>
        </w:trPr>
        <w:tc>
          <w:tcPr>
            <w:tcW w:w="4890" w:type="dxa"/>
            <w:gridSpan w:val="4"/>
            <w:shd w:val="clear" w:color="auto" w:fill="auto"/>
            <w:vAlign w:val="center"/>
          </w:tcPr>
          <w:p w14:paraId="598DC4AE" w14:textId="7ABA2F3F" w:rsidR="004A5C30" w:rsidRPr="00A438F1" w:rsidRDefault="004A5C30" w:rsidP="004A5C30">
            <w:pPr>
              <w:spacing w:after="0" w:line="240" w:lineRule="auto"/>
              <w:jc w:val="center"/>
              <w:rPr>
                <w:rFonts w:ascii="Garamond" w:eastAsia="MS Mincho" w:hAnsi="Garamond" w:cs="Times New Roman"/>
                <w:b/>
                <w:sz w:val="20"/>
                <w:szCs w:val="20"/>
                <w:lang w:val="en-US" w:eastAsia="es-ES"/>
              </w:rPr>
            </w:pPr>
          </w:p>
        </w:tc>
        <w:tc>
          <w:tcPr>
            <w:tcW w:w="4891" w:type="dxa"/>
            <w:gridSpan w:val="4"/>
            <w:shd w:val="clear" w:color="auto" w:fill="auto"/>
            <w:vAlign w:val="center"/>
          </w:tcPr>
          <w:p w14:paraId="4865E257" w14:textId="6F032527" w:rsidR="004A5C30" w:rsidRPr="00A438F1" w:rsidRDefault="004A5C30" w:rsidP="004A5C30">
            <w:pPr>
              <w:spacing w:after="0" w:line="240" w:lineRule="auto"/>
              <w:jc w:val="center"/>
              <w:rPr>
                <w:rFonts w:ascii="Garamond" w:eastAsia="MS Mincho" w:hAnsi="Garamond" w:cs="Times New Roman"/>
                <w:b/>
                <w:sz w:val="20"/>
                <w:szCs w:val="20"/>
                <w:lang w:val="en-US" w:eastAsia="es-ES"/>
              </w:rPr>
            </w:pPr>
          </w:p>
        </w:tc>
      </w:tr>
    </w:tbl>
    <w:p w14:paraId="5A2EA824" w14:textId="748EBA1B" w:rsidR="00354069" w:rsidRPr="00713D6E" w:rsidRDefault="00354069" w:rsidP="00060DAB">
      <w:pPr>
        <w:spacing w:after="0" w:line="240" w:lineRule="auto"/>
        <w:jc w:val="center"/>
        <w:rPr>
          <w:rFonts w:ascii="Calibri" w:eastAsia="MS Mincho" w:hAnsi="Calibri" w:cs="Times New Roman"/>
          <w:sz w:val="15"/>
          <w:szCs w:val="15"/>
          <w:lang w:val="es-AR" w:eastAsia="es-ES"/>
        </w:rPr>
      </w:pPr>
      <w:r w:rsidRPr="00CA0A60">
        <w:rPr>
          <w:rFonts w:ascii="Garamond" w:eastAsia="MS Mincho" w:hAnsi="Garamond" w:cs="Times New Roman"/>
          <w:sz w:val="18"/>
          <w:szCs w:val="18"/>
          <w:lang w:val="es-AR" w:eastAsia="es-ES"/>
        </w:rPr>
        <w:t>La fecha de este Supleme</w:t>
      </w:r>
      <w:r w:rsidRPr="00713D6E">
        <w:rPr>
          <w:rFonts w:ascii="Garamond" w:eastAsia="MS Mincho" w:hAnsi="Garamond" w:cs="Times New Roman"/>
          <w:sz w:val="18"/>
          <w:szCs w:val="18"/>
          <w:lang w:val="es-AR" w:eastAsia="es-ES"/>
        </w:rPr>
        <w:t xml:space="preserve">nto es </w:t>
      </w:r>
      <w:r w:rsidR="00845D78">
        <w:rPr>
          <w:rFonts w:ascii="Garamond" w:eastAsia="MS Mincho" w:hAnsi="Garamond" w:cs="Calibri" w:hint="eastAsia"/>
          <w:sz w:val="18"/>
          <w:szCs w:val="18"/>
          <w:lang w:val="es-AR" w:eastAsia="es-ES"/>
        </w:rPr>
        <w:t>2</w:t>
      </w:r>
      <w:r w:rsidR="00845D78">
        <w:rPr>
          <w:rFonts w:ascii="Garamond" w:eastAsia="MS Mincho" w:hAnsi="Garamond" w:cs="Calibri"/>
          <w:sz w:val="18"/>
          <w:szCs w:val="18"/>
          <w:lang w:val="es-AR" w:eastAsia="es-ES"/>
        </w:rPr>
        <w:t>5</w:t>
      </w:r>
      <w:r w:rsidR="00724DA0" w:rsidRPr="00CA0A60">
        <w:rPr>
          <w:rFonts w:ascii="Garamond" w:eastAsia="MS Mincho" w:hAnsi="Garamond" w:cs="Times New Roman"/>
          <w:sz w:val="18"/>
          <w:szCs w:val="18"/>
          <w:lang w:val="es-AR" w:eastAsia="es-ES"/>
        </w:rPr>
        <w:t xml:space="preserve"> </w:t>
      </w:r>
      <w:r w:rsidRPr="00713D6E">
        <w:rPr>
          <w:rFonts w:ascii="Garamond" w:eastAsia="MS Mincho" w:hAnsi="Garamond" w:cs="Times New Roman"/>
          <w:sz w:val="18"/>
          <w:szCs w:val="18"/>
          <w:lang w:val="es-AR" w:eastAsia="es-ES"/>
        </w:rPr>
        <w:t xml:space="preserve">de </w:t>
      </w:r>
      <w:r w:rsidR="00A734BA" w:rsidRPr="00CA3A3D">
        <w:rPr>
          <w:rFonts w:ascii="Garamond" w:eastAsia="MS Mincho" w:hAnsi="Garamond" w:cs="Calibri"/>
          <w:sz w:val="18"/>
          <w:szCs w:val="18"/>
          <w:lang w:val="es-AR" w:eastAsia="es-ES"/>
        </w:rPr>
        <w:t>julio</w:t>
      </w:r>
      <w:r w:rsidR="00A60384" w:rsidRPr="00CA3A3D">
        <w:rPr>
          <w:rFonts w:ascii="Garamond" w:eastAsia="MS Mincho" w:hAnsi="Garamond" w:cs="Calibri"/>
          <w:sz w:val="18"/>
          <w:szCs w:val="18"/>
          <w:lang w:val="es-AR" w:eastAsia="es-ES"/>
        </w:rPr>
        <w:t xml:space="preserve"> </w:t>
      </w:r>
      <w:r w:rsidRPr="00CA0A60">
        <w:rPr>
          <w:rFonts w:ascii="Garamond" w:eastAsia="MS Mincho" w:hAnsi="Garamond" w:cs="Times New Roman"/>
          <w:sz w:val="18"/>
          <w:szCs w:val="18"/>
          <w:lang w:val="es-AR" w:eastAsia="es-ES"/>
        </w:rPr>
        <w:t>de 2019</w:t>
      </w:r>
    </w:p>
    <w:p w14:paraId="4B94D5A5" w14:textId="77777777" w:rsidR="00354069" w:rsidRPr="00CA0A60" w:rsidRDefault="00354069" w:rsidP="00354069">
      <w:pPr>
        <w:spacing w:after="0" w:line="240" w:lineRule="auto"/>
        <w:rPr>
          <w:rFonts w:ascii="Calibri" w:eastAsia="MS Mincho" w:hAnsi="Calibri" w:cs="Times New Roman"/>
          <w:sz w:val="15"/>
          <w:szCs w:val="15"/>
          <w:lang w:val="es-AR" w:eastAsia="es-ES"/>
        </w:rPr>
        <w:sectPr w:rsidR="00354069" w:rsidRPr="00CA0A60" w:rsidSect="00C240D5">
          <w:footerReference w:type="even" r:id="rId23"/>
          <w:footerReference w:type="default" r:id="rId24"/>
          <w:pgSz w:w="11906" w:h="16838"/>
          <w:pgMar w:top="426" w:right="707" w:bottom="426" w:left="1134" w:header="45" w:footer="567" w:gutter="0"/>
          <w:cols w:space="708"/>
          <w:titlePg/>
          <w:docGrid w:linePitch="360"/>
        </w:sectPr>
      </w:pPr>
    </w:p>
    <w:p w14:paraId="018D1C8F" w14:textId="77777777" w:rsidR="00354069" w:rsidRPr="00CA0A60" w:rsidRDefault="00354069" w:rsidP="008B0923">
      <w:pPr>
        <w:spacing w:after="0" w:line="240" w:lineRule="auto"/>
        <w:jc w:val="center"/>
        <w:rPr>
          <w:rFonts w:ascii="Garamond" w:eastAsia="MS Mincho" w:hAnsi="Garamond" w:cs="Times New Roman"/>
          <w:b/>
          <w:sz w:val="24"/>
          <w:szCs w:val="20"/>
          <w:lang w:val="es-AR" w:eastAsia="es-ES"/>
        </w:rPr>
      </w:pPr>
      <w:r w:rsidRPr="00CA0A60">
        <w:rPr>
          <w:rFonts w:ascii="Garamond" w:eastAsia="MS Mincho" w:hAnsi="Garamond" w:cs="Times New Roman"/>
          <w:b/>
          <w:sz w:val="24"/>
          <w:szCs w:val="20"/>
          <w:lang w:val="es-AR" w:eastAsia="es-ES"/>
        </w:rPr>
        <w:lastRenderedPageBreak/>
        <w:t>ÍNDICE</w:t>
      </w:r>
    </w:p>
    <w:p w14:paraId="3DEEC669" w14:textId="77777777" w:rsidR="00407B1A" w:rsidRPr="00CA0A60" w:rsidRDefault="00407B1A" w:rsidP="008B0923">
      <w:pPr>
        <w:spacing w:after="0" w:line="240" w:lineRule="auto"/>
        <w:jc w:val="center"/>
        <w:rPr>
          <w:rFonts w:ascii="Garamond" w:eastAsia="MS Mincho" w:hAnsi="Garamond" w:cs="Times New Roman"/>
          <w:b/>
          <w:sz w:val="24"/>
          <w:szCs w:val="20"/>
          <w:lang w:val="es-AR" w:eastAsia="es-ES"/>
        </w:rPr>
      </w:pPr>
    </w:p>
    <w:p w14:paraId="3656B9AB" w14:textId="77777777" w:rsidR="00407B1A" w:rsidRPr="00CA0A60" w:rsidRDefault="00407B1A" w:rsidP="008B0923">
      <w:pPr>
        <w:spacing w:after="0" w:line="240" w:lineRule="auto"/>
        <w:jc w:val="center"/>
        <w:rPr>
          <w:rFonts w:ascii="Garamond" w:eastAsia="MS Mincho" w:hAnsi="Garamond" w:cs="Times New Roman"/>
          <w:b/>
          <w:sz w:val="24"/>
          <w:szCs w:val="20"/>
          <w:lang w:val="es-AR" w:eastAsia="es-ES"/>
        </w:rPr>
      </w:pPr>
    </w:p>
    <w:sdt>
      <w:sdtPr>
        <w:rPr>
          <w:rFonts w:ascii="Garamond" w:eastAsia="MS Mincho" w:hAnsi="Garamond" w:cs="Times New Roman"/>
          <w:sz w:val="24"/>
          <w:szCs w:val="20"/>
          <w:lang w:val="es-AR" w:eastAsia="es-ES"/>
        </w:rPr>
        <w:id w:val="-9682108"/>
        <w:docPartObj>
          <w:docPartGallery w:val="Table of Contents"/>
          <w:docPartUnique/>
        </w:docPartObj>
      </w:sdtPr>
      <w:sdtEndPr>
        <w:rPr>
          <w:bCs/>
        </w:rPr>
      </w:sdtEndPr>
      <w:sdtContent>
        <w:p w14:paraId="6A148451" w14:textId="77C8A0D5" w:rsidR="00467DC9" w:rsidRDefault="00354069">
          <w:pPr>
            <w:pStyle w:val="TDC1"/>
            <w:tabs>
              <w:tab w:val="right" w:leader="dot" w:pos="8495"/>
            </w:tabs>
            <w:rPr>
              <w:rFonts w:eastAsiaTheme="minorEastAsia"/>
              <w:noProof/>
              <w:lang w:val="es-AR" w:eastAsia="es-AR"/>
            </w:rPr>
          </w:pPr>
          <w:r w:rsidRPr="006D2B27">
            <w:rPr>
              <w:rFonts w:ascii="Garamond" w:eastAsia="MS Mincho" w:hAnsi="Garamond" w:cs="Times New Roman"/>
              <w:szCs w:val="20"/>
              <w:lang w:val="es-AR" w:eastAsia="es-ES"/>
            </w:rPr>
            <w:fldChar w:fldCharType="begin"/>
          </w:r>
          <w:r w:rsidRPr="006D2B27">
            <w:rPr>
              <w:rFonts w:ascii="Garamond" w:eastAsia="MS Mincho" w:hAnsi="Garamond" w:cs="Times New Roman"/>
              <w:szCs w:val="20"/>
              <w:lang w:val="es-AR" w:eastAsia="es-ES"/>
            </w:rPr>
            <w:instrText xml:space="preserve"> TOC \o "1-1" \h \z \u </w:instrText>
          </w:r>
          <w:r w:rsidRPr="006D2B27">
            <w:rPr>
              <w:rFonts w:ascii="Garamond" w:eastAsia="MS Mincho" w:hAnsi="Garamond" w:cs="Times New Roman"/>
              <w:szCs w:val="20"/>
              <w:lang w:val="es-AR" w:eastAsia="es-ES"/>
            </w:rPr>
            <w:fldChar w:fldCharType="separate"/>
          </w:r>
          <w:hyperlink w:anchor="_Toc14922242" w:history="1">
            <w:r w:rsidR="00467DC9" w:rsidRPr="00FA3AED">
              <w:rPr>
                <w:rStyle w:val="Hipervnculo"/>
                <w:rFonts w:ascii="Garamond" w:eastAsia="MS Mincho" w:hAnsi="Garamond" w:cs="Times New Roman"/>
                <w:b/>
                <w:noProof/>
                <w:lang w:val="es-AR" w:eastAsia="es-ES"/>
              </w:rPr>
              <w:t>AVISO A LOS INVERSORES Y DECLARACIONES</w:t>
            </w:r>
            <w:r w:rsidR="00467DC9">
              <w:rPr>
                <w:noProof/>
                <w:webHidden/>
              </w:rPr>
              <w:tab/>
            </w:r>
            <w:r w:rsidR="00467DC9">
              <w:rPr>
                <w:noProof/>
                <w:webHidden/>
              </w:rPr>
              <w:fldChar w:fldCharType="begin"/>
            </w:r>
            <w:r w:rsidR="00467DC9">
              <w:rPr>
                <w:noProof/>
                <w:webHidden/>
              </w:rPr>
              <w:instrText xml:space="preserve"> PAGEREF _Toc14922242 \h </w:instrText>
            </w:r>
            <w:r w:rsidR="00467DC9">
              <w:rPr>
                <w:noProof/>
                <w:webHidden/>
              </w:rPr>
            </w:r>
            <w:r w:rsidR="00467DC9">
              <w:rPr>
                <w:noProof/>
                <w:webHidden/>
              </w:rPr>
              <w:fldChar w:fldCharType="separate"/>
            </w:r>
            <w:r w:rsidR="00B81D9F">
              <w:rPr>
                <w:noProof/>
                <w:webHidden/>
              </w:rPr>
              <w:t>2</w:t>
            </w:r>
            <w:r w:rsidR="00467DC9">
              <w:rPr>
                <w:noProof/>
                <w:webHidden/>
              </w:rPr>
              <w:fldChar w:fldCharType="end"/>
            </w:r>
          </w:hyperlink>
        </w:p>
        <w:p w14:paraId="30251070" w14:textId="24056F3A" w:rsidR="00467DC9" w:rsidRDefault="00574BEF">
          <w:pPr>
            <w:pStyle w:val="TDC1"/>
            <w:tabs>
              <w:tab w:val="right" w:leader="dot" w:pos="8495"/>
            </w:tabs>
            <w:rPr>
              <w:rFonts w:eastAsiaTheme="minorEastAsia"/>
              <w:noProof/>
              <w:lang w:val="es-AR" w:eastAsia="es-AR"/>
            </w:rPr>
          </w:pPr>
          <w:hyperlink w:anchor="_Toc14922243" w:history="1">
            <w:r w:rsidR="00467DC9" w:rsidRPr="00FA3AED">
              <w:rPr>
                <w:rStyle w:val="Hipervnculo"/>
                <w:rFonts w:ascii="Garamond" w:eastAsia="MS Mincho" w:hAnsi="Garamond" w:cs="Times New Roman"/>
                <w:b/>
                <w:noProof/>
                <w:lang w:val="es-AR" w:eastAsia="es-ES"/>
              </w:rPr>
              <w:t>OFERTA DE LOS VALORES NEGOCIABLES</w:t>
            </w:r>
            <w:r w:rsidR="00467DC9">
              <w:rPr>
                <w:noProof/>
                <w:webHidden/>
              </w:rPr>
              <w:tab/>
            </w:r>
            <w:r w:rsidR="00467DC9">
              <w:rPr>
                <w:noProof/>
                <w:webHidden/>
              </w:rPr>
              <w:fldChar w:fldCharType="begin"/>
            </w:r>
            <w:r w:rsidR="00467DC9">
              <w:rPr>
                <w:noProof/>
                <w:webHidden/>
              </w:rPr>
              <w:instrText xml:space="preserve"> PAGEREF _Toc14922243 \h </w:instrText>
            </w:r>
            <w:r w:rsidR="00467DC9">
              <w:rPr>
                <w:noProof/>
                <w:webHidden/>
              </w:rPr>
            </w:r>
            <w:r w:rsidR="00467DC9">
              <w:rPr>
                <w:noProof/>
                <w:webHidden/>
              </w:rPr>
              <w:fldChar w:fldCharType="separate"/>
            </w:r>
            <w:r w:rsidR="00B81D9F">
              <w:rPr>
                <w:noProof/>
                <w:webHidden/>
              </w:rPr>
              <w:t>14</w:t>
            </w:r>
            <w:r w:rsidR="00467DC9">
              <w:rPr>
                <w:noProof/>
                <w:webHidden/>
              </w:rPr>
              <w:fldChar w:fldCharType="end"/>
            </w:r>
          </w:hyperlink>
        </w:p>
        <w:p w14:paraId="18F45994" w14:textId="3F7133EE" w:rsidR="00467DC9" w:rsidRDefault="00574BEF">
          <w:pPr>
            <w:pStyle w:val="TDC1"/>
            <w:tabs>
              <w:tab w:val="right" w:leader="dot" w:pos="8495"/>
            </w:tabs>
            <w:rPr>
              <w:rFonts w:eastAsiaTheme="minorEastAsia"/>
              <w:noProof/>
              <w:lang w:val="es-AR" w:eastAsia="es-AR"/>
            </w:rPr>
          </w:pPr>
          <w:hyperlink w:anchor="_Toc14922244" w:history="1">
            <w:r w:rsidR="00467DC9" w:rsidRPr="00FA3AED">
              <w:rPr>
                <w:rStyle w:val="Hipervnculo"/>
                <w:rFonts w:ascii="Garamond" w:eastAsia="MS Mincho" w:hAnsi="Garamond" w:cs="Times New Roman"/>
                <w:b/>
                <w:noProof/>
                <w:lang w:val="es-AR" w:eastAsia="es-ES"/>
              </w:rPr>
              <w:t>DESCRIPCIÓN DE LA OFERTA Y LA NEGOCIACIÓN</w:t>
            </w:r>
            <w:r w:rsidR="00467DC9">
              <w:rPr>
                <w:noProof/>
                <w:webHidden/>
              </w:rPr>
              <w:tab/>
            </w:r>
            <w:r w:rsidR="00467DC9">
              <w:rPr>
                <w:noProof/>
                <w:webHidden/>
              </w:rPr>
              <w:fldChar w:fldCharType="begin"/>
            </w:r>
            <w:r w:rsidR="00467DC9">
              <w:rPr>
                <w:noProof/>
                <w:webHidden/>
              </w:rPr>
              <w:instrText xml:space="preserve"> PAGEREF _Toc14922244 \h </w:instrText>
            </w:r>
            <w:r w:rsidR="00467DC9">
              <w:rPr>
                <w:noProof/>
                <w:webHidden/>
              </w:rPr>
            </w:r>
            <w:r w:rsidR="00467DC9">
              <w:rPr>
                <w:noProof/>
                <w:webHidden/>
              </w:rPr>
              <w:fldChar w:fldCharType="separate"/>
            </w:r>
            <w:r w:rsidR="00B81D9F">
              <w:rPr>
                <w:noProof/>
                <w:webHidden/>
              </w:rPr>
              <w:t>21</w:t>
            </w:r>
            <w:r w:rsidR="00467DC9">
              <w:rPr>
                <w:noProof/>
                <w:webHidden/>
              </w:rPr>
              <w:fldChar w:fldCharType="end"/>
            </w:r>
          </w:hyperlink>
        </w:p>
        <w:p w14:paraId="711D41C7" w14:textId="1F96121C" w:rsidR="00467DC9" w:rsidRPr="00467DC9" w:rsidRDefault="00574BEF">
          <w:pPr>
            <w:pStyle w:val="TDC1"/>
            <w:tabs>
              <w:tab w:val="right" w:leader="dot" w:pos="8495"/>
            </w:tabs>
            <w:rPr>
              <w:rStyle w:val="Hipervnculo"/>
              <w:rFonts w:ascii="Garamond" w:eastAsia="MS Mincho" w:hAnsi="Garamond" w:cs="Times New Roman"/>
              <w:b/>
              <w:noProof/>
              <w:lang w:eastAsia="es-ES"/>
            </w:rPr>
          </w:pPr>
          <w:hyperlink w:anchor="_Toc14922245" w:history="1">
            <w:r w:rsidR="00467DC9" w:rsidRPr="00AB7554">
              <w:rPr>
                <w:rStyle w:val="Hipervnculo"/>
                <w:rFonts w:ascii="Garamond" w:eastAsia="MS Mincho" w:hAnsi="Garamond" w:cs="Times New Roman"/>
                <w:b/>
                <w:noProof/>
                <w:lang w:val="es-AR" w:eastAsia="es-ES"/>
              </w:rPr>
              <w:t>PLAN DE DISTRIBUCIÓN</w:t>
            </w:r>
            <w:r w:rsidR="00467DC9" w:rsidRPr="00467DC9">
              <w:rPr>
                <w:rStyle w:val="Hipervnculo"/>
                <w:rFonts w:ascii="Garamond" w:eastAsia="MS Mincho" w:hAnsi="Garamond" w:cs="Times New Roman"/>
                <w:b/>
                <w:noProof/>
                <w:webHidden/>
                <w:lang w:val="es-AR" w:eastAsia="es-ES"/>
              </w:rPr>
              <w:tab/>
            </w:r>
            <w:r w:rsidR="00467DC9" w:rsidRPr="00AB7554">
              <w:rPr>
                <w:rStyle w:val="Hipervnculo"/>
                <w:rFonts w:ascii="Garamond" w:eastAsia="MS Mincho" w:hAnsi="Garamond" w:cs="Times New Roman"/>
                <w:bCs/>
                <w:noProof/>
                <w:webHidden/>
                <w:lang w:val="es-AR" w:eastAsia="es-ES"/>
              </w:rPr>
              <w:fldChar w:fldCharType="begin"/>
            </w:r>
            <w:r w:rsidR="00467DC9" w:rsidRPr="00AB7554">
              <w:rPr>
                <w:rStyle w:val="Hipervnculo"/>
                <w:rFonts w:ascii="Garamond" w:eastAsia="MS Mincho" w:hAnsi="Garamond" w:cs="Times New Roman"/>
                <w:bCs/>
                <w:noProof/>
                <w:webHidden/>
                <w:lang w:val="es-AR" w:eastAsia="es-ES"/>
              </w:rPr>
              <w:instrText xml:space="preserve"> PAGEREF _Toc14922245 \h </w:instrText>
            </w:r>
            <w:r w:rsidR="00467DC9" w:rsidRPr="00AB7554">
              <w:rPr>
                <w:rStyle w:val="Hipervnculo"/>
                <w:rFonts w:ascii="Garamond" w:eastAsia="MS Mincho" w:hAnsi="Garamond" w:cs="Times New Roman"/>
                <w:bCs/>
                <w:noProof/>
                <w:webHidden/>
                <w:lang w:val="es-AR" w:eastAsia="es-ES"/>
              </w:rPr>
            </w:r>
            <w:r w:rsidR="00467DC9" w:rsidRPr="00AB7554">
              <w:rPr>
                <w:rStyle w:val="Hipervnculo"/>
                <w:rFonts w:ascii="Garamond" w:eastAsia="MS Mincho" w:hAnsi="Garamond" w:cs="Times New Roman"/>
                <w:bCs/>
                <w:noProof/>
                <w:webHidden/>
                <w:lang w:val="es-AR" w:eastAsia="es-ES"/>
              </w:rPr>
              <w:fldChar w:fldCharType="separate"/>
            </w:r>
            <w:r w:rsidR="00B81D9F">
              <w:rPr>
                <w:rStyle w:val="Hipervnculo"/>
                <w:rFonts w:ascii="Garamond" w:eastAsia="MS Mincho" w:hAnsi="Garamond" w:cs="Times New Roman"/>
                <w:bCs/>
                <w:noProof/>
                <w:webHidden/>
                <w:lang w:val="es-AR" w:eastAsia="es-ES"/>
              </w:rPr>
              <w:t>100</w:t>
            </w:r>
            <w:r w:rsidR="00467DC9" w:rsidRPr="00AB7554">
              <w:rPr>
                <w:rStyle w:val="Hipervnculo"/>
                <w:rFonts w:ascii="Garamond" w:eastAsia="MS Mincho" w:hAnsi="Garamond" w:cs="Times New Roman"/>
                <w:bCs/>
                <w:noProof/>
                <w:webHidden/>
                <w:lang w:val="es-AR" w:eastAsia="es-ES"/>
              </w:rPr>
              <w:fldChar w:fldCharType="end"/>
            </w:r>
          </w:hyperlink>
        </w:p>
        <w:p w14:paraId="0A716648" w14:textId="7D8F497C" w:rsidR="00467DC9" w:rsidRDefault="00574BEF">
          <w:pPr>
            <w:pStyle w:val="TDC1"/>
            <w:tabs>
              <w:tab w:val="right" w:leader="dot" w:pos="8495"/>
            </w:tabs>
            <w:rPr>
              <w:rFonts w:eastAsiaTheme="minorEastAsia"/>
              <w:noProof/>
              <w:lang w:val="es-AR" w:eastAsia="es-AR"/>
            </w:rPr>
          </w:pPr>
          <w:hyperlink w:anchor="_Toc14922246" w:history="1">
            <w:r w:rsidR="00467DC9" w:rsidRPr="00FA3AED">
              <w:rPr>
                <w:rStyle w:val="Hipervnculo"/>
                <w:rFonts w:ascii="Garamond" w:eastAsia="MS Mincho" w:hAnsi="Garamond" w:cs="Times New Roman"/>
                <w:b/>
                <w:noProof/>
                <w:lang w:val="es-AR" w:eastAsia="es-ES"/>
              </w:rPr>
              <w:t>FACTORES DE RIESGO</w:t>
            </w:r>
            <w:r w:rsidR="00467DC9">
              <w:rPr>
                <w:noProof/>
                <w:webHidden/>
              </w:rPr>
              <w:tab/>
            </w:r>
            <w:r w:rsidR="00467DC9">
              <w:rPr>
                <w:noProof/>
                <w:webHidden/>
              </w:rPr>
              <w:fldChar w:fldCharType="begin"/>
            </w:r>
            <w:r w:rsidR="00467DC9">
              <w:rPr>
                <w:noProof/>
                <w:webHidden/>
              </w:rPr>
              <w:instrText xml:space="preserve"> PAGEREF _Toc14922246 \h </w:instrText>
            </w:r>
            <w:r w:rsidR="00467DC9">
              <w:rPr>
                <w:noProof/>
                <w:webHidden/>
              </w:rPr>
            </w:r>
            <w:r w:rsidR="00467DC9">
              <w:rPr>
                <w:noProof/>
                <w:webHidden/>
              </w:rPr>
              <w:fldChar w:fldCharType="separate"/>
            </w:r>
            <w:r w:rsidR="00B81D9F">
              <w:rPr>
                <w:noProof/>
                <w:webHidden/>
              </w:rPr>
              <w:t>110</w:t>
            </w:r>
            <w:r w:rsidR="00467DC9">
              <w:rPr>
                <w:noProof/>
                <w:webHidden/>
              </w:rPr>
              <w:fldChar w:fldCharType="end"/>
            </w:r>
          </w:hyperlink>
        </w:p>
        <w:p w14:paraId="3B6D9CB7" w14:textId="78A03730" w:rsidR="00467DC9" w:rsidRDefault="00574BEF">
          <w:pPr>
            <w:pStyle w:val="TDC1"/>
            <w:tabs>
              <w:tab w:val="right" w:leader="dot" w:pos="8495"/>
            </w:tabs>
            <w:rPr>
              <w:rFonts w:eastAsiaTheme="minorEastAsia"/>
              <w:noProof/>
              <w:lang w:val="es-AR" w:eastAsia="es-AR"/>
            </w:rPr>
          </w:pPr>
          <w:hyperlink w:anchor="_Toc14922247" w:history="1">
            <w:r w:rsidR="00467DC9" w:rsidRPr="00FA3AED">
              <w:rPr>
                <w:rStyle w:val="Hipervnculo"/>
                <w:rFonts w:ascii="Garamond" w:eastAsia="MS Mincho" w:hAnsi="Garamond" w:cs="Times New Roman"/>
                <w:b/>
                <w:noProof/>
                <w:lang w:val="es-AR" w:eastAsia="es-ES"/>
              </w:rPr>
              <w:t>INFORMACIÓN FINANCIERA</w:t>
            </w:r>
            <w:r w:rsidR="00467DC9">
              <w:rPr>
                <w:noProof/>
                <w:webHidden/>
              </w:rPr>
              <w:tab/>
            </w:r>
            <w:r w:rsidR="00467DC9">
              <w:rPr>
                <w:noProof/>
                <w:webHidden/>
              </w:rPr>
              <w:fldChar w:fldCharType="begin"/>
            </w:r>
            <w:r w:rsidR="00467DC9">
              <w:rPr>
                <w:noProof/>
                <w:webHidden/>
              </w:rPr>
              <w:instrText xml:space="preserve"> PAGEREF _Toc14922247 \h </w:instrText>
            </w:r>
            <w:r w:rsidR="00467DC9">
              <w:rPr>
                <w:noProof/>
                <w:webHidden/>
              </w:rPr>
            </w:r>
            <w:r w:rsidR="00467DC9">
              <w:rPr>
                <w:noProof/>
                <w:webHidden/>
              </w:rPr>
              <w:fldChar w:fldCharType="separate"/>
            </w:r>
            <w:r w:rsidR="00B81D9F">
              <w:rPr>
                <w:noProof/>
                <w:webHidden/>
              </w:rPr>
              <w:t>121</w:t>
            </w:r>
            <w:r w:rsidR="00467DC9">
              <w:rPr>
                <w:noProof/>
                <w:webHidden/>
              </w:rPr>
              <w:fldChar w:fldCharType="end"/>
            </w:r>
          </w:hyperlink>
        </w:p>
        <w:p w14:paraId="7721FA09" w14:textId="75CBBC7B" w:rsidR="00467DC9" w:rsidRDefault="00574BEF">
          <w:pPr>
            <w:pStyle w:val="TDC1"/>
            <w:tabs>
              <w:tab w:val="right" w:leader="dot" w:pos="8495"/>
            </w:tabs>
            <w:rPr>
              <w:rFonts w:eastAsiaTheme="minorEastAsia"/>
              <w:noProof/>
              <w:lang w:val="es-AR" w:eastAsia="es-AR"/>
            </w:rPr>
          </w:pPr>
          <w:hyperlink w:anchor="_Toc14922248" w:history="1">
            <w:r w:rsidR="00467DC9" w:rsidRPr="00FA3AED">
              <w:rPr>
                <w:rStyle w:val="Hipervnculo"/>
                <w:rFonts w:ascii="Garamond" w:eastAsia="MS Mincho" w:hAnsi="Garamond" w:cs="Times New Roman"/>
                <w:b/>
                <w:noProof/>
                <w:lang w:val="es-AR" w:eastAsia="es-ES"/>
              </w:rPr>
              <w:t>DESTINO DE LOS FONDOS</w:t>
            </w:r>
            <w:r w:rsidR="00467DC9">
              <w:rPr>
                <w:noProof/>
                <w:webHidden/>
              </w:rPr>
              <w:tab/>
            </w:r>
            <w:r w:rsidR="00467DC9">
              <w:rPr>
                <w:noProof/>
                <w:webHidden/>
              </w:rPr>
              <w:fldChar w:fldCharType="begin"/>
            </w:r>
            <w:r w:rsidR="00467DC9">
              <w:rPr>
                <w:noProof/>
                <w:webHidden/>
              </w:rPr>
              <w:instrText xml:space="preserve"> PAGEREF _Toc14922248 \h </w:instrText>
            </w:r>
            <w:r w:rsidR="00467DC9">
              <w:rPr>
                <w:noProof/>
                <w:webHidden/>
              </w:rPr>
            </w:r>
            <w:r w:rsidR="00467DC9">
              <w:rPr>
                <w:noProof/>
                <w:webHidden/>
              </w:rPr>
              <w:fldChar w:fldCharType="separate"/>
            </w:r>
            <w:r w:rsidR="00B81D9F">
              <w:rPr>
                <w:noProof/>
                <w:webHidden/>
              </w:rPr>
              <w:t>144</w:t>
            </w:r>
            <w:r w:rsidR="00467DC9">
              <w:rPr>
                <w:noProof/>
                <w:webHidden/>
              </w:rPr>
              <w:fldChar w:fldCharType="end"/>
            </w:r>
          </w:hyperlink>
        </w:p>
        <w:p w14:paraId="6D821823" w14:textId="4920DA1D" w:rsidR="00467DC9" w:rsidRDefault="00574BEF">
          <w:pPr>
            <w:pStyle w:val="TDC1"/>
            <w:tabs>
              <w:tab w:val="right" w:leader="dot" w:pos="8495"/>
            </w:tabs>
            <w:rPr>
              <w:rFonts w:eastAsiaTheme="minorEastAsia"/>
              <w:noProof/>
              <w:lang w:val="es-AR" w:eastAsia="es-AR"/>
            </w:rPr>
          </w:pPr>
          <w:hyperlink w:anchor="_Toc14922249" w:history="1">
            <w:r w:rsidR="00467DC9" w:rsidRPr="00FA3AED">
              <w:rPr>
                <w:rStyle w:val="Hipervnculo"/>
                <w:rFonts w:ascii="Garamond" w:eastAsia="MS Mincho" w:hAnsi="Garamond" w:cs="Times New Roman"/>
                <w:b/>
                <w:noProof/>
                <w:lang w:val="es-AR" w:eastAsia="es-ES"/>
              </w:rPr>
              <w:t>GASTOS DE EMISIÓN</w:t>
            </w:r>
            <w:r w:rsidR="00467DC9">
              <w:rPr>
                <w:noProof/>
                <w:webHidden/>
              </w:rPr>
              <w:tab/>
            </w:r>
            <w:r w:rsidR="00467DC9">
              <w:rPr>
                <w:noProof/>
                <w:webHidden/>
              </w:rPr>
              <w:fldChar w:fldCharType="begin"/>
            </w:r>
            <w:r w:rsidR="00467DC9">
              <w:rPr>
                <w:noProof/>
                <w:webHidden/>
              </w:rPr>
              <w:instrText xml:space="preserve"> PAGEREF _Toc14922249 \h </w:instrText>
            </w:r>
            <w:r w:rsidR="00467DC9">
              <w:rPr>
                <w:noProof/>
                <w:webHidden/>
              </w:rPr>
            </w:r>
            <w:r w:rsidR="00467DC9">
              <w:rPr>
                <w:noProof/>
                <w:webHidden/>
              </w:rPr>
              <w:fldChar w:fldCharType="separate"/>
            </w:r>
            <w:r w:rsidR="00B81D9F">
              <w:rPr>
                <w:noProof/>
                <w:webHidden/>
              </w:rPr>
              <w:t>146</w:t>
            </w:r>
            <w:r w:rsidR="00467DC9">
              <w:rPr>
                <w:noProof/>
                <w:webHidden/>
              </w:rPr>
              <w:fldChar w:fldCharType="end"/>
            </w:r>
          </w:hyperlink>
        </w:p>
        <w:p w14:paraId="32E4F412" w14:textId="4F0DADD9" w:rsidR="00467DC9" w:rsidRDefault="00574BEF">
          <w:pPr>
            <w:pStyle w:val="TDC1"/>
            <w:tabs>
              <w:tab w:val="right" w:leader="dot" w:pos="8495"/>
            </w:tabs>
            <w:rPr>
              <w:rFonts w:eastAsiaTheme="minorEastAsia"/>
              <w:noProof/>
              <w:lang w:val="es-AR" w:eastAsia="es-AR"/>
            </w:rPr>
          </w:pPr>
          <w:hyperlink w:anchor="_Toc14922250" w:history="1">
            <w:r w:rsidR="00467DC9" w:rsidRPr="00FA3AED">
              <w:rPr>
                <w:rStyle w:val="Hipervnculo"/>
                <w:rFonts w:ascii="Garamond" w:eastAsia="MS Mincho" w:hAnsi="Garamond" w:cs="Times New Roman"/>
                <w:b/>
                <w:noProof/>
                <w:lang w:val="es-AR" w:eastAsia="es-ES"/>
              </w:rPr>
              <w:t>CONTRATO DE COLOCACIÓN</w:t>
            </w:r>
            <w:r w:rsidR="00467DC9">
              <w:rPr>
                <w:noProof/>
                <w:webHidden/>
              </w:rPr>
              <w:tab/>
            </w:r>
            <w:r w:rsidR="00467DC9">
              <w:rPr>
                <w:noProof/>
                <w:webHidden/>
              </w:rPr>
              <w:fldChar w:fldCharType="begin"/>
            </w:r>
            <w:r w:rsidR="00467DC9">
              <w:rPr>
                <w:noProof/>
                <w:webHidden/>
              </w:rPr>
              <w:instrText xml:space="preserve"> PAGEREF _Toc14922250 \h </w:instrText>
            </w:r>
            <w:r w:rsidR="00467DC9">
              <w:rPr>
                <w:noProof/>
                <w:webHidden/>
              </w:rPr>
            </w:r>
            <w:r w:rsidR="00467DC9">
              <w:rPr>
                <w:noProof/>
                <w:webHidden/>
              </w:rPr>
              <w:fldChar w:fldCharType="separate"/>
            </w:r>
            <w:r w:rsidR="00B81D9F">
              <w:rPr>
                <w:noProof/>
                <w:webHidden/>
              </w:rPr>
              <w:t>147</w:t>
            </w:r>
            <w:r w:rsidR="00467DC9">
              <w:rPr>
                <w:noProof/>
                <w:webHidden/>
              </w:rPr>
              <w:fldChar w:fldCharType="end"/>
            </w:r>
          </w:hyperlink>
        </w:p>
        <w:p w14:paraId="14742C09" w14:textId="764D5929" w:rsidR="00467DC9" w:rsidRDefault="00574BEF">
          <w:pPr>
            <w:pStyle w:val="TDC1"/>
            <w:tabs>
              <w:tab w:val="right" w:leader="dot" w:pos="8495"/>
            </w:tabs>
            <w:rPr>
              <w:rFonts w:eastAsiaTheme="minorEastAsia"/>
              <w:noProof/>
              <w:lang w:val="es-AR" w:eastAsia="es-AR"/>
            </w:rPr>
          </w:pPr>
          <w:hyperlink w:anchor="_Toc14922251" w:history="1">
            <w:r w:rsidR="00467DC9" w:rsidRPr="00FA3AED">
              <w:rPr>
                <w:rStyle w:val="Hipervnculo"/>
                <w:rFonts w:ascii="Garamond" w:eastAsia="MS Mincho" w:hAnsi="Garamond" w:cs="Times New Roman"/>
                <w:b/>
                <w:noProof/>
                <w:lang w:val="es-AR" w:eastAsia="es-ES"/>
              </w:rPr>
              <w:t>HECHOS POSTERIORES AL CIERRE</w:t>
            </w:r>
            <w:r w:rsidR="00467DC9">
              <w:rPr>
                <w:noProof/>
                <w:webHidden/>
              </w:rPr>
              <w:tab/>
            </w:r>
            <w:r w:rsidR="00467DC9">
              <w:rPr>
                <w:noProof/>
                <w:webHidden/>
              </w:rPr>
              <w:fldChar w:fldCharType="begin"/>
            </w:r>
            <w:r w:rsidR="00467DC9">
              <w:rPr>
                <w:noProof/>
                <w:webHidden/>
              </w:rPr>
              <w:instrText xml:space="preserve"> PAGEREF _Toc14922251 \h </w:instrText>
            </w:r>
            <w:r w:rsidR="00467DC9">
              <w:rPr>
                <w:noProof/>
                <w:webHidden/>
              </w:rPr>
            </w:r>
            <w:r w:rsidR="00467DC9">
              <w:rPr>
                <w:noProof/>
                <w:webHidden/>
              </w:rPr>
              <w:fldChar w:fldCharType="separate"/>
            </w:r>
            <w:r w:rsidR="00B81D9F">
              <w:rPr>
                <w:noProof/>
                <w:webHidden/>
              </w:rPr>
              <w:t>148</w:t>
            </w:r>
            <w:r w:rsidR="00467DC9">
              <w:rPr>
                <w:noProof/>
                <w:webHidden/>
              </w:rPr>
              <w:fldChar w:fldCharType="end"/>
            </w:r>
          </w:hyperlink>
        </w:p>
        <w:p w14:paraId="47CA1269" w14:textId="297AAADE" w:rsidR="00467DC9" w:rsidRDefault="00574BEF">
          <w:pPr>
            <w:pStyle w:val="TDC1"/>
            <w:tabs>
              <w:tab w:val="right" w:leader="dot" w:pos="8495"/>
            </w:tabs>
            <w:rPr>
              <w:rFonts w:eastAsiaTheme="minorEastAsia"/>
              <w:noProof/>
              <w:lang w:val="es-AR" w:eastAsia="es-AR"/>
            </w:rPr>
          </w:pPr>
          <w:hyperlink w:anchor="_Toc14922252" w:history="1">
            <w:r w:rsidR="00467DC9" w:rsidRPr="00FA3AED">
              <w:rPr>
                <w:rStyle w:val="Hipervnculo"/>
                <w:rFonts w:ascii="Garamond" w:eastAsia="MS Mincho" w:hAnsi="Garamond" w:cs="Times New Roman"/>
                <w:b/>
                <w:noProof/>
                <w:lang w:val="es-AR" w:eastAsia="es-ES"/>
              </w:rPr>
              <w:t>INFORMACIÓN ADICIONAL</w:t>
            </w:r>
            <w:r w:rsidR="00467DC9">
              <w:rPr>
                <w:noProof/>
                <w:webHidden/>
              </w:rPr>
              <w:tab/>
            </w:r>
            <w:r w:rsidR="00467DC9">
              <w:rPr>
                <w:noProof/>
                <w:webHidden/>
              </w:rPr>
              <w:fldChar w:fldCharType="begin"/>
            </w:r>
            <w:r w:rsidR="00467DC9">
              <w:rPr>
                <w:noProof/>
                <w:webHidden/>
              </w:rPr>
              <w:instrText xml:space="preserve"> PAGEREF _Toc14922252 \h </w:instrText>
            </w:r>
            <w:r w:rsidR="00467DC9">
              <w:rPr>
                <w:noProof/>
                <w:webHidden/>
              </w:rPr>
            </w:r>
            <w:r w:rsidR="00467DC9">
              <w:rPr>
                <w:noProof/>
                <w:webHidden/>
              </w:rPr>
              <w:fldChar w:fldCharType="separate"/>
            </w:r>
            <w:r w:rsidR="00B81D9F">
              <w:rPr>
                <w:noProof/>
                <w:webHidden/>
              </w:rPr>
              <w:t>149</w:t>
            </w:r>
            <w:r w:rsidR="00467DC9">
              <w:rPr>
                <w:noProof/>
                <w:webHidden/>
              </w:rPr>
              <w:fldChar w:fldCharType="end"/>
            </w:r>
          </w:hyperlink>
        </w:p>
        <w:p w14:paraId="2E312860" w14:textId="47882B37" w:rsidR="00467DC9" w:rsidRDefault="00574BEF">
          <w:pPr>
            <w:pStyle w:val="TDC1"/>
            <w:tabs>
              <w:tab w:val="right" w:leader="dot" w:pos="8495"/>
            </w:tabs>
            <w:rPr>
              <w:rFonts w:eastAsiaTheme="minorEastAsia"/>
              <w:noProof/>
              <w:lang w:val="es-AR" w:eastAsia="es-AR"/>
            </w:rPr>
          </w:pPr>
          <w:hyperlink w:anchor="_Toc14922253" w:history="1">
            <w:r w:rsidR="00467DC9" w:rsidRPr="00FA3AED">
              <w:rPr>
                <w:rStyle w:val="Hipervnculo"/>
                <w:rFonts w:ascii="Garamond" w:eastAsia="MS Mincho" w:hAnsi="Garamond" w:cs="Times New Roman"/>
                <w:b/>
                <w:noProof/>
                <w:lang w:val="es-AR" w:eastAsia="es-ES"/>
              </w:rPr>
              <w:t>INCORPORACIÓN DE INFORMACIÓN POR REFERENCIA</w:t>
            </w:r>
            <w:r w:rsidR="00467DC9">
              <w:rPr>
                <w:noProof/>
                <w:webHidden/>
              </w:rPr>
              <w:tab/>
            </w:r>
            <w:r w:rsidR="00467DC9">
              <w:rPr>
                <w:noProof/>
                <w:webHidden/>
              </w:rPr>
              <w:fldChar w:fldCharType="begin"/>
            </w:r>
            <w:r w:rsidR="00467DC9">
              <w:rPr>
                <w:noProof/>
                <w:webHidden/>
              </w:rPr>
              <w:instrText xml:space="preserve"> PAGEREF _Toc14922253 \h </w:instrText>
            </w:r>
            <w:r w:rsidR="00467DC9">
              <w:rPr>
                <w:noProof/>
                <w:webHidden/>
              </w:rPr>
            </w:r>
            <w:r w:rsidR="00467DC9">
              <w:rPr>
                <w:noProof/>
                <w:webHidden/>
              </w:rPr>
              <w:fldChar w:fldCharType="separate"/>
            </w:r>
            <w:r w:rsidR="00B81D9F">
              <w:rPr>
                <w:noProof/>
                <w:webHidden/>
              </w:rPr>
              <w:t>150</w:t>
            </w:r>
            <w:r w:rsidR="00467DC9">
              <w:rPr>
                <w:noProof/>
                <w:webHidden/>
              </w:rPr>
              <w:fldChar w:fldCharType="end"/>
            </w:r>
          </w:hyperlink>
        </w:p>
        <w:p w14:paraId="45FB0818" w14:textId="72B31E32" w:rsidR="00354069" w:rsidRPr="00CA0A60" w:rsidRDefault="00354069" w:rsidP="00354069">
          <w:pPr>
            <w:spacing w:after="0" w:line="240" w:lineRule="auto"/>
            <w:rPr>
              <w:rFonts w:ascii="Garamond" w:eastAsia="MS Mincho" w:hAnsi="Garamond" w:cs="Times New Roman"/>
              <w:sz w:val="24"/>
              <w:szCs w:val="20"/>
              <w:lang w:val="es-AR" w:eastAsia="es-ES"/>
            </w:rPr>
          </w:pPr>
          <w:r w:rsidRPr="006D2B27">
            <w:rPr>
              <w:rFonts w:ascii="Garamond" w:eastAsia="MS Mincho" w:hAnsi="Garamond" w:cs="Times New Roman"/>
              <w:szCs w:val="20"/>
              <w:lang w:val="es-AR" w:eastAsia="es-ES"/>
            </w:rPr>
            <w:fldChar w:fldCharType="end"/>
          </w:r>
        </w:p>
      </w:sdtContent>
    </w:sdt>
    <w:p w14:paraId="049F31CB" w14:textId="77777777" w:rsidR="00354069" w:rsidRPr="00CA0A60" w:rsidRDefault="00354069" w:rsidP="00354069">
      <w:pPr>
        <w:spacing w:after="0" w:line="240" w:lineRule="auto"/>
        <w:rPr>
          <w:rFonts w:ascii="Garamond" w:eastAsia="MS Mincho" w:hAnsi="Garamond" w:cs="Times New Roman"/>
          <w:sz w:val="24"/>
          <w:szCs w:val="20"/>
          <w:lang w:val="es-AR" w:eastAsia="es-ES"/>
        </w:rPr>
      </w:pPr>
    </w:p>
    <w:p w14:paraId="53128261" w14:textId="77777777" w:rsidR="00354069" w:rsidRPr="00CA0A60" w:rsidRDefault="00354069" w:rsidP="00354069">
      <w:pPr>
        <w:spacing w:after="0" w:line="240" w:lineRule="auto"/>
        <w:rPr>
          <w:rFonts w:ascii="Times New Roman" w:eastAsia="MS Mincho" w:hAnsi="Times New Roman" w:cs="Times New Roman"/>
          <w:sz w:val="24"/>
          <w:szCs w:val="20"/>
          <w:lang w:val="es-AR" w:eastAsia="es-ES"/>
        </w:rPr>
      </w:pPr>
    </w:p>
    <w:p w14:paraId="62486C05" w14:textId="77777777" w:rsidR="00354069" w:rsidRPr="00CA0A60" w:rsidRDefault="00354069" w:rsidP="00354069">
      <w:pPr>
        <w:rPr>
          <w:rFonts w:ascii="Times New Roman" w:eastAsia="MS Mincho" w:hAnsi="Times New Roman" w:cs="Times New Roman"/>
          <w:sz w:val="24"/>
          <w:szCs w:val="20"/>
          <w:lang w:val="es-AR" w:eastAsia="es-ES"/>
        </w:rPr>
      </w:pPr>
      <w:r w:rsidRPr="00CA0A60">
        <w:rPr>
          <w:rFonts w:ascii="Times New Roman" w:eastAsia="MS Mincho" w:hAnsi="Times New Roman" w:cs="Times New Roman"/>
          <w:sz w:val="24"/>
          <w:szCs w:val="20"/>
          <w:lang w:val="es-AR" w:eastAsia="es-ES"/>
        </w:rPr>
        <w:br w:type="page"/>
      </w:r>
    </w:p>
    <w:p w14:paraId="0DDBEB97" w14:textId="77777777" w:rsidR="00354069" w:rsidRPr="00CA3A3D" w:rsidRDefault="00354069" w:rsidP="00060DAB">
      <w:pPr>
        <w:widowControl w:val="0"/>
        <w:spacing w:before="120" w:after="120" w:line="240" w:lineRule="auto"/>
        <w:jc w:val="center"/>
        <w:outlineLvl w:val="0"/>
        <w:rPr>
          <w:rFonts w:ascii="Garamond" w:eastAsia="MS Mincho" w:hAnsi="Garamond" w:cs="Times New Roman"/>
          <w:b/>
          <w:szCs w:val="18"/>
          <w:lang w:val="es-AR" w:eastAsia="es-ES"/>
        </w:rPr>
      </w:pPr>
      <w:bookmarkStart w:id="3" w:name="_Toc450834387"/>
      <w:bookmarkStart w:id="4" w:name="_Toc444008276"/>
      <w:bookmarkStart w:id="5" w:name="_Toc442292436"/>
      <w:bookmarkStart w:id="6" w:name="_Toc441170893"/>
      <w:bookmarkStart w:id="7" w:name="_Toc14922242"/>
      <w:bookmarkStart w:id="8" w:name="_Toc397509436"/>
      <w:r w:rsidRPr="00CA3A3D">
        <w:rPr>
          <w:rFonts w:ascii="Garamond" w:eastAsia="MS Mincho" w:hAnsi="Garamond" w:cs="Times New Roman"/>
          <w:b/>
          <w:szCs w:val="18"/>
          <w:lang w:val="es-AR" w:eastAsia="es-ES"/>
        </w:rPr>
        <w:lastRenderedPageBreak/>
        <w:t>AVISO A LOS INVERSORES</w:t>
      </w:r>
      <w:bookmarkEnd w:id="3"/>
      <w:bookmarkEnd w:id="4"/>
      <w:bookmarkEnd w:id="5"/>
      <w:bookmarkEnd w:id="6"/>
      <w:r w:rsidRPr="00CA3A3D">
        <w:rPr>
          <w:rFonts w:ascii="Garamond" w:eastAsia="MS Mincho" w:hAnsi="Garamond" w:cs="Times New Roman"/>
          <w:b/>
          <w:szCs w:val="18"/>
          <w:lang w:val="es-AR" w:eastAsia="es-ES"/>
        </w:rPr>
        <w:t xml:space="preserve"> Y DECLARACIONES</w:t>
      </w:r>
      <w:bookmarkEnd w:id="7"/>
    </w:p>
    <w:p w14:paraId="4101652C" w14:textId="77777777" w:rsidR="00354069" w:rsidRPr="00CA3A3D" w:rsidRDefault="00354069" w:rsidP="00B441B1">
      <w:pPr>
        <w:widowControl w:val="0"/>
        <w:spacing w:after="0" w:line="240" w:lineRule="auto"/>
        <w:jc w:val="center"/>
        <w:outlineLvl w:val="0"/>
        <w:rPr>
          <w:rFonts w:ascii="Garamond" w:eastAsia="MS Mincho" w:hAnsi="Garamond" w:cs="Times New Roman"/>
          <w:b/>
          <w:szCs w:val="18"/>
          <w:lang w:val="es-AR" w:eastAsia="es-ES"/>
        </w:rPr>
      </w:pPr>
    </w:p>
    <w:p w14:paraId="591F0E20" w14:textId="77777777" w:rsidR="00354069" w:rsidRPr="00CA0A60" w:rsidRDefault="00354069" w:rsidP="00B441B1">
      <w:pPr>
        <w:widowControl w:val="0"/>
        <w:spacing w:after="0" w:line="240" w:lineRule="auto"/>
        <w:jc w:val="both"/>
        <w:rPr>
          <w:rFonts w:ascii="Garamond" w:eastAsia="MS Mincho" w:hAnsi="Garamond" w:cs="Times New Roman"/>
          <w:b/>
          <w:sz w:val="20"/>
          <w:szCs w:val="20"/>
          <w:lang w:val="es-AR" w:eastAsia="es-ES"/>
        </w:rPr>
      </w:pPr>
      <w:r w:rsidRPr="00CA0A60">
        <w:rPr>
          <w:rFonts w:ascii="Garamond" w:eastAsia="MS Mincho" w:hAnsi="Garamond" w:cs="Times New Roman"/>
          <w:b/>
          <w:sz w:val="20"/>
          <w:szCs w:val="20"/>
          <w:lang w:val="es-AR" w:eastAsia="es-ES"/>
        </w:rPr>
        <w:t xml:space="preserve">NI EL PROSPECTO NI ESTE SUPLEMENTO CONSTITUYEN O CONSTITUIRÁN UNA OFERTA DE VENTA Y/O UNA INVITACIÓN A FORMULAR OFERTAS DE COMPRA DE LAS OBLIGACIONES NEGOCIABLES EN AQUELLAS JURISDICCIONES EN LAS QUE LA REALIZACIÓN DE DICHA OFERTA Y/O INVITACIÓN NO FUERA PERMITIDA POR LAS NORMAS VIGENTES. EL PÚBLICO INVERSOR DEBERÁ CUMPLIR CON TODAS LAS NORMAS VIGENTES EN CUALQUIER JURISDICCIÓN EN QUE COMPRARA, OFRECIERA Y/O VENDIERA LAS OBLIGACIONES NEGOCIABLES Y/O EN LA QUE POSEYERA, CONSULTARA Y/O DISTRIBUYERA EL PROSPECTO Y/O ESTE SUPLEMENTO, Y DEBERÁ OBTENER LOS CONSENTIMIENTOS, LAS APROBACIONES Y/O LOS PERMISOS PARA LA COMPRA, OFERTA Y/O VENTA DE LAS OBLIGACIONES NEGOCIABLES REQUERIDOS POR LAS NORMAS VIGENTES EN CUALQUIER JURISDICCIÓN A LA QUE SE ENCONTRARAN SUJETOS Y/O EN LA QUE REALIZARAN DICHAS COMPRAS, OFERTAS Y/O VENTAS. NI LAS </w:t>
      </w:r>
      <w:r w:rsidR="00ED2825" w:rsidRPr="00CA0A60">
        <w:rPr>
          <w:rFonts w:ascii="Garamond" w:eastAsia="MS Mincho" w:hAnsi="Garamond" w:cs="Times New Roman"/>
          <w:b/>
          <w:sz w:val="20"/>
          <w:szCs w:val="20"/>
          <w:lang w:val="es-AR" w:eastAsia="es-ES"/>
        </w:rPr>
        <w:t>CO-</w:t>
      </w:r>
      <w:r w:rsidRPr="00CA0A60">
        <w:rPr>
          <w:rFonts w:ascii="Garamond" w:eastAsia="MS Mincho" w:hAnsi="Garamond" w:cs="Times New Roman"/>
          <w:b/>
          <w:sz w:val="20"/>
          <w:szCs w:val="20"/>
          <w:lang w:val="es-AR" w:eastAsia="es-ES"/>
        </w:rPr>
        <w:t>EMISORAS NI LOS COLOCADORES TENDRÁN RESPONSABILIDAD ALGUNA POR INCUMPLIMIENTOS A DICHAS NORMAS VIGENTES.</w:t>
      </w:r>
    </w:p>
    <w:p w14:paraId="4B99056E"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p>
    <w:p w14:paraId="5FB23DD9" w14:textId="77777777" w:rsidR="00354069" w:rsidRPr="00CA3A3D" w:rsidRDefault="00354069" w:rsidP="00B441B1">
      <w:pPr>
        <w:widowControl w:val="0"/>
        <w:spacing w:after="0" w:line="240" w:lineRule="auto"/>
        <w:jc w:val="both"/>
        <w:rPr>
          <w:rFonts w:ascii="Garamond" w:eastAsia="MS Mincho" w:hAnsi="Garamond" w:cs="Times New Roman"/>
          <w:b/>
          <w:sz w:val="20"/>
          <w:szCs w:val="20"/>
          <w:lang w:val="es-AR" w:eastAsia="es-ES"/>
        </w:rPr>
      </w:pPr>
      <w:r w:rsidRPr="00CA0A60">
        <w:rPr>
          <w:rFonts w:ascii="Garamond" w:eastAsia="MS Mincho" w:hAnsi="Garamond" w:cs="Times New Roman"/>
          <w:b/>
          <w:sz w:val="20"/>
          <w:szCs w:val="20"/>
          <w:lang w:val="es-AR" w:eastAsia="es-ES"/>
        </w:rPr>
        <w:t>PARA OBTENER INFORMACIÓN RELATIVA A LA NORMATIVA VIGENTE EN MATERIA DE PREVENCIÓN DEL LAVADO DE ACTIVOS, CONTROL DE CAMBIOS Y CARGA TRIBUTARIA, VÉASE “</w:t>
      </w:r>
      <w:r w:rsidRPr="00CA0A60">
        <w:rPr>
          <w:rFonts w:ascii="Garamond" w:eastAsia="MS Mincho" w:hAnsi="Garamond" w:cs="Times New Roman"/>
          <w:b/>
          <w:i/>
          <w:sz w:val="20"/>
          <w:szCs w:val="20"/>
          <w:lang w:val="es-AR" w:eastAsia="es-ES"/>
        </w:rPr>
        <w:t>INFORMACIÓN ADICIONAL</w:t>
      </w:r>
      <w:r w:rsidRPr="00CA0A60">
        <w:rPr>
          <w:rFonts w:ascii="Garamond" w:eastAsia="MS Mincho" w:hAnsi="Garamond" w:cs="Times New Roman"/>
          <w:b/>
          <w:sz w:val="20"/>
          <w:szCs w:val="20"/>
          <w:lang w:val="es-AR" w:eastAsia="es-ES"/>
        </w:rPr>
        <w:t xml:space="preserve"> - </w:t>
      </w:r>
      <w:r w:rsidRPr="00CA0A60">
        <w:rPr>
          <w:rFonts w:ascii="Garamond" w:eastAsia="MS Mincho" w:hAnsi="Garamond" w:cs="Times New Roman"/>
          <w:b/>
          <w:i/>
          <w:sz w:val="20"/>
          <w:szCs w:val="20"/>
          <w:lang w:val="es-AR" w:eastAsia="es-ES"/>
        </w:rPr>
        <w:t>PREVENCIÓN DEL LAVADO DE DINERO</w:t>
      </w:r>
      <w:r w:rsidRPr="00CA0A60">
        <w:rPr>
          <w:rFonts w:ascii="Garamond" w:eastAsia="MS Mincho" w:hAnsi="Garamond" w:cs="Times New Roman"/>
          <w:b/>
          <w:sz w:val="20"/>
          <w:szCs w:val="20"/>
          <w:lang w:val="es-AR" w:eastAsia="es-ES"/>
        </w:rPr>
        <w:t>”, “-</w:t>
      </w:r>
      <w:r w:rsidRPr="00CA0A60">
        <w:rPr>
          <w:rFonts w:ascii="Garamond" w:eastAsia="MS Mincho" w:hAnsi="Garamond" w:cs="Times New Roman"/>
          <w:b/>
          <w:i/>
          <w:sz w:val="20"/>
          <w:szCs w:val="20"/>
          <w:lang w:val="es-AR" w:eastAsia="es-ES"/>
        </w:rPr>
        <w:t>CONTROL DE CAMBIOS</w:t>
      </w:r>
      <w:r w:rsidRPr="00CA0A60">
        <w:rPr>
          <w:rFonts w:ascii="Garamond" w:eastAsia="MS Mincho" w:hAnsi="Garamond" w:cs="Times New Roman"/>
          <w:b/>
          <w:sz w:val="20"/>
          <w:szCs w:val="20"/>
          <w:lang w:val="es-AR" w:eastAsia="es-ES"/>
        </w:rPr>
        <w:t>” Y “-</w:t>
      </w:r>
      <w:r w:rsidRPr="00CA0A60">
        <w:rPr>
          <w:rFonts w:ascii="Garamond" w:eastAsia="MS Mincho" w:hAnsi="Garamond" w:cs="Times New Roman"/>
          <w:b/>
          <w:i/>
          <w:sz w:val="20"/>
          <w:szCs w:val="20"/>
          <w:lang w:val="es-AR" w:eastAsia="es-ES"/>
        </w:rPr>
        <w:t>CARGA TRIBUTARIA</w:t>
      </w:r>
      <w:r w:rsidRPr="00CA0A60">
        <w:rPr>
          <w:rFonts w:ascii="Garamond" w:eastAsia="MS Mincho" w:hAnsi="Garamond" w:cs="Times New Roman"/>
          <w:b/>
          <w:sz w:val="20"/>
          <w:szCs w:val="20"/>
          <w:lang w:val="es-AR" w:eastAsia="es-ES"/>
        </w:rPr>
        <w:t xml:space="preserve">” DEL PROSPECTO Y </w:t>
      </w:r>
      <w:r w:rsidRPr="00CA0A60">
        <w:rPr>
          <w:rFonts w:ascii="Garamond" w:eastAsia="MS Mincho" w:hAnsi="Garamond" w:cs="Times New Roman"/>
          <w:b/>
          <w:i/>
          <w:sz w:val="20"/>
          <w:szCs w:val="20"/>
          <w:lang w:val="es-AR" w:eastAsia="es-ES"/>
        </w:rPr>
        <w:t>“</w:t>
      </w:r>
      <w:r w:rsidRPr="00CA3A3D">
        <w:rPr>
          <w:rFonts w:ascii="Garamond" w:eastAsia="MS Mincho" w:hAnsi="Garamond" w:cs="Times New Roman"/>
          <w:b/>
          <w:i/>
          <w:sz w:val="20"/>
          <w:szCs w:val="20"/>
          <w:lang w:val="es-AR" w:eastAsia="es-ES"/>
        </w:rPr>
        <w:t xml:space="preserve">AVISO A LOS INVERSORES SOBRE NORMATIVA REFERENTE A LAVADO DE DINERO” </w:t>
      </w:r>
      <w:r w:rsidRPr="00CA3A3D">
        <w:rPr>
          <w:rFonts w:ascii="Garamond" w:eastAsia="MS Mincho" w:hAnsi="Garamond" w:cs="Times New Roman"/>
          <w:b/>
          <w:sz w:val="20"/>
          <w:szCs w:val="20"/>
          <w:lang w:val="es-AR" w:eastAsia="es-ES"/>
        </w:rPr>
        <w:t>DE ESTE SUPLEMENTO.</w:t>
      </w:r>
    </w:p>
    <w:p w14:paraId="1299C43A" w14:textId="77777777" w:rsidR="00354069" w:rsidRPr="00CA0A60" w:rsidRDefault="00354069" w:rsidP="00B441B1">
      <w:pPr>
        <w:widowControl w:val="0"/>
        <w:spacing w:after="0" w:line="240" w:lineRule="auto"/>
        <w:jc w:val="both"/>
        <w:rPr>
          <w:rFonts w:ascii="Garamond" w:eastAsia="MS Mincho" w:hAnsi="Garamond" w:cs="Times New Roman"/>
          <w:b/>
          <w:sz w:val="20"/>
          <w:szCs w:val="20"/>
          <w:lang w:val="es-AR" w:eastAsia="es-ES"/>
        </w:rPr>
      </w:pPr>
    </w:p>
    <w:p w14:paraId="34BA1DF1"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t>AL TOMAR DECISIONES DE INVERSIÓN RESPECTO DE LAS OBLIGACIONES NEGOCIABLES, EL PÚBLICO INVERSOR DEBERÁ BASARSE EN LA INFORMACIÓN DE LA SOCIEDAD</w:t>
      </w:r>
      <w:r w:rsidR="009B3E90" w:rsidRPr="00CA0A60">
        <w:rPr>
          <w:rFonts w:ascii="Garamond" w:eastAsia="MS Mincho" w:hAnsi="Garamond" w:cs="Times New Roman"/>
          <w:sz w:val="20"/>
          <w:szCs w:val="20"/>
          <w:lang w:val="es-AR" w:eastAsia="es-ES"/>
        </w:rPr>
        <w:t>ES Y EL GARANTE</w:t>
      </w:r>
      <w:r w:rsidRPr="00CA0A60">
        <w:rPr>
          <w:rFonts w:ascii="Garamond" w:eastAsia="MS Mincho" w:hAnsi="Garamond" w:cs="Times New Roman"/>
          <w:sz w:val="20"/>
          <w:szCs w:val="20"/>
          <w:lang w:val="es-AR" w:eastAsia="es-ES"/>
        </w:rPr>
        <w:t xml:space="preserve"> CONTENIDA EN EL PROSPECTO Y ESTE SUPLEMENTO, EN LOS TÉRMINOS Y CONDICIONES DE LAS OBLIGACIONES NEGOCIABLES, Y DE LOS BENEFICIOS Y RIESGOS INVOLUCRADOS. EL CONTENIDO DEL PROSPECTO Y/O DE ESTE SUPLEMENTO NO DEBE SER INTERPRETADO COMO ASESORAMIENTO LEGAL, COMERCIAL, FINANCIERO, CAMBIARIO, IMPOSITIVO Y/O DE OTRO TIPO. EL PÚBLICO INVERSOR DEBERÁ CONSULTAR CON SUS PROPIOS ASESORES RESPECTO DE LOS ASPECTOS LEGALES, COMERCIALES, FINANCIEROS, CAMBIARIOS, IMPOSITIVOS Y/O DE OTRO TIPO RELACIONADOS CON SU INVERSIÓN EN LAS OBLIGACIONES NEGOCIABLES.</w:t>
      </w:r>
    </w:p>
    <w:p w14:paraId="4DDBEF00"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p>
    <w:p w14:paraId="53B3C5CB"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t>NO SE HA AUTORIZADO A LOS COLOCADOR</w:t>
      </w:r>
      <w:r w:rsidR="009B3E90" w:rsidRPr="00CA0A60">
        <w:rPr>
          <w:rFonts w:ascii="Garamond" w:eastAsia="MS Mincho" w:hAnsi="Garamond" w:cs="Times New Roman"/>
          <w:sz w:val="20"/>
          <w:szCs w:val="20"/>
          <w:lang w:val="es-AR" w:eastAsia="es-ES"/>
        </w:rPr>
        <w:t>ES</w:t>
      </w:r>
      <w:r w:rsidRPr="00CA0A60">
        <w:rPr>
          <w:rFonts w:ascii="Garamond" w:eastAsia="MS Mincho" w:hAnsi="Garamond" w:cs="Times New Roman"/>
          <w:sz w:val="20"/>
          <w:szCs w:val="20"/>
          <w:lang w:val="es-AR" w:eastAsia="es-ES"/>
        </w:rPr>
        <w:t xml:space="preserve"> NI A CUALQUIER OTRA PERSONA A BRINDAR INFORMACIÓN Y/O EFECTUAR DECLARACIONES RESPECTO DE LAS </w:t>
      </w:r>
      <w:r w:rsidR="00ED2825" w:rsidRPr="00CA0A60">
        <w:rPr>
          <w:rFonts w:ascii="Garamond" w:eastAsia="MS Mincho" w:hAnsi="Garamond" w:cs="Times New Roman"/>
          <w:sz w:val="20"/>
          <w:szCs w:val="20"/>
          <w:lang w:val="es-AR" w:eastAsia="es-ES"/>
        </w:rPr>
        <w:t>CO-</w:t>
      </w:r>
      <w:r w:rsidRPr="00CA0A60">
        <w:rPr>
          <w:rFonts w:ascii="Garamond" w:eastAsia="MS Mincho" w:hAnsi="Garamond" w:cs="Times New Roman"/>
          <w:sz w:val="20"/>
          <w:szCs w:val="20"/>
          <w:lang w:val="es-AR" w:eastAsia="es-ES"/>
        </w:rPr>
        <w:t>EMISORAS Y/O DE LAS OBLIGACIONES NEGOCIABLES QUE NO ESTÉN CONTENIDAS EN EL PROSPECTO Y/O EN ESTE SUPLEMENTO, Y, SI SE BRINDARA Y/O EFECTUARA, DICHA INFORMACIÓN Y/O DECLARACIONES NO PODRÁN SER CONSIDERADAS AUTORIZADAS Y/O CONSENTIDAS POR LA</w:t>
      </w:r>
      <w:r w:rsidR="00A622E4"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w:t>
      </w:r>
      <w:r w:rsidR="00ED2825" w:rsidRPr="00CA0A60">
        <w:rPr>
          <w:rFonts w:ascii="Garamond" w:eastAsia="MS Mincho" w:hAnsi="Garamond" w:cs="Times New Roman"/>
          <w:sz w:val="20"/>
          <w:szCs w:val="20"/>
          <w:lang w:val="es-AR" w:eastAsia="es-ES"/>
        </w:rPr>
        <w:t>CO-</w:t>
      </w:r>
      <w:r w:rsidRPr="00CA0A60">
        <w:rPr>
          <w:rFonts w:ascii="Garamond" w:eastAsia="MS Mincho" w:hAnsi="Garamond" w:cs="Times New Roman"/>
          <w:sz w:val="20"/>
          <w:szCs w:val="20"/>
          <w:lang w:val="es-AR" w:eastAsia="es-ES"/>
        </w:rPr>
        <w:t>EMISORA</w:t>
      </w:r>
      <w:r w:rsidR="00A622E4"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Y/O LOS CORRESPONDIENTES COLOCADORES.</w:t>
      </w:r>
    </w:p>
    <w:p w14:paraId="3461D779"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p>
    <w:p w14:paraId="30E42378"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t>LA INFORMACIÓN CONTENIDA EN EL PROSPECTO Y/O EN ESTE SUPLEMENTO CORRESPONDE A LAS RESPECTIVAS FECHAS CONSIGNADAS EN LOS MISMOS Y PODRÁ SUFRIR CAMBIOS EN EL FUTURO. NI LA ENTREGA DEL PROSPECTO Y/O DE ESTE SUPLEMENTO NI LA VENTA DE OBLIGACIONES NEGOCIABLES EN VIRTUD DE LOS MISMOS, IMPLICARÁ, BAJO NINGUNA CIRCUNSTANCIA, QUE NO SE HAN PRODUCIDO CAMBIOS EN LA INFORMACIÓN INCLUIDA EN EL PROSPECTO Y/O EN ESTE SUPLEMENTO Y/O EN LA SITUACIÓN DE LAS COMPAÑÍAS CON POSTERIORIDAD A LA FECHA DEL PROSPECTO Y/O DEL PRESENTE SUPLEMENTO, SEGÚN CORRESPONDA.</w:t>
      </w:r>
    </w:p>
    <w:p w14:paraId="3CF2D8B6" w14:textId="3233A786" w:rsidR="00354069" w:rsidRPr="00CA0A60" w:rsidRDefault="00607D38" w:rsidP="00B441B1">
      <w:pPr>
        <w:widowControl w:val="0"/>
        <w:spacing w:after="0" w:line="240" w:lineRule="auto"/>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t xml:space="preserve"> </w:t>
      </w:r>
    </w:p>
    <w:p w14:paraId="49EA86F6" w14:textId="17871C7F"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t>LA INFORMACIÓN CONTENIDA EN EL PROSPECTO Y/O EN ESTE SUPLEMENTO CON RESPECTO A LA SITUACIÓN POLÍTICA, LEGAL Y ECONÓMICA DE ARGENTINA HA SIDO OBTENIDA DE FUENTES GUBERNAMENTALES Y OTRAS FUENTES PÚBLICAS Y LA</w:t>
      </w:r>
      <w:r w:rsidR="00A622E4"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COMPAÑÍA</w:t>
      </w:r>
      <w:r w:rsidR="00A622E4"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Y LOS COLOCADORES, SIN PERJUICIO DE LO DISPUESTO EN LOS ARTÍCULOS 119 Y 120 DE LA LEY </w:t>
      </w:r>
      <w:r w:rsidR="00A622E4" w:rsidRPr="00CA0A60">
        <w:rPr>
          <w:rFonts w:ascii="Garamond" w:eastAsia="MS Mincho" w:hAnsi="Garamond" w:cs="Times New Roman"/>
          <w:sz w:val="20"/>
          <w:szCs w:val="20"/>
          <w:lang w:val="es-AR" w:eastAsia="es-ES"/>
        </w:rPr>
        <w:t>DE MERCADO DE CAPITALES</w:t>
      </w:r>
      <w:r w:rsidRPr="00CA0A60">
        <w:rPr>
          <w:rFonts w:ascii="Garamond" w:eastAsia="MS Mincho" w:hAnsi="Garamond" w:cs="Times New Roman"/>
          <w:sz w:val="20"/>
          <w:szCs w:val="20"/>
          <w:lang w:val="es-AR" w:eastAsia="es-ES"/>
        </w:rPr>
        <w:t>, NO SON RESPONSABLES DE SU VERACIDAD. NO PODRÁ CONSIDERARSE QUE LA INFORMACIÓN CONTENIDA EN EL PROSPECTO Y/O EN ESTE SUPLEMENTO CONSTITUYA UNA PROMESA O GARANTÍA, YA SEA CON RESPECTO AL PASADO O AL FUTURO. EL PROSPECTO Y/O ESTE SUPLEMENTO CONTIENEN RESÚMENES, QUE LA</w:t>
      </w:r>
      <w:r w:rsidR="00C51B39"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COMPAÑÍA</w:t>
      </w:r>
      <w:r w:rsidR="00C51B39"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CONSIDERA PRECISOS, DE CIERTOS DOCUMENTOS DE LA</w:t>
      </w:r>
      <w:r w:rsidR="00A622E4"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COMPAÑÍA</w:t>
      </w:r>
      <w:r w:rsidR="00A622E4"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w:t>
      </w:r>
      <w:r w:rsidR="00A622E4" w:rsidRPr="00CA0A60">
        <w:rPr>
          <w:rFonts w:ascii="Garamond" w:eastAsia="MS Mincho" w:hAnsi="Garamond" w:cs="Times New Roman"/>
          <w:sz w:val="20"/>
          <w:szCs w:val="20"/>
          <w:lang w:val="es-AR" w:eastAsia="es-ES"/>
        </w:rPr>
        <w:t>LAS CO-</w:t>
      </w:r>
      <w:r w:rsidRPr="00CA0A60">
        <w:rPr>
          <w:rFonts w:ascii="Garamond" w:eastAsia="MS Mincho" w:hAnsi="Garamond" w:cs="Times New Roman"/>
          <w:sz w:val="20"/>
          <w:szCs w:val="20"/>
          <w:lang w:val="es-AR" w:eastAsia="es-ES"/>
        </w:rPr>
        <w:t>EMISOR</w:t>
      </w:r>
      <w:r w:rsidR="00A622E4" w:rsidRPr="00CA0A60">
        <w:rPr>
          <w:rFonts w:ascii="Garamond" w:eastAsia="MS Mincho" w:hAnsi="Garamond" w:cs="Times New Roman"/>
          <w:sz w:val="20"/>
          <w:szCs w:val="20"/>
          <w:lang w:val="es-AR" w:eastAsia="es-ES"/>
        </w:rPr>
        <w:t>AS</w:t>
      </w:r>
      <w:r w:rsidRPr="00CA0A60">
        <w:rPr>
          <w:rFonts w:ascii="Garamond" w:eastAsia="MS Mincho" w:hAnsi="Garamond" w:cs="Times New Roman"/>
          <w:sz w:val="20"/>
          <w:szCs w:val="20"/>
          <w:lang w:val="es-AR" w:eastAsia="es-ES"/>
        </w:rPr>
        <w:t xml:space="preserve"> PONDRÁ</w:t>
      </w:r>
      <w:r w:rsidR="00A622E4" w:rsidRPr="00CA0A60">
        <w:rPr>
          <w:rFonts w:ascii="Garamond" w:eastAsia="MS Mincho" w:hAnsi="Garamond" w:cs="Times New Roman"/>
          <w:sz w:val="20"/>
          <w:szCs w:val="20"/>
          <w:lang w:val="es-AR" w:eastAsia="es-ES"/>
        </w:rPr>
        <w:t>N</w:t>
      </w:r>
      <w:r w:rsidRPr="00CA0A60">
        <w:rPr>
          <w:rFonts w:ascii="Garamond" w:eastAsia="MS Mincho" w:hAnsi="Garamond" w:cs="Times New Roman"/>
          <w:sz w:val="20"/>
          <w:szCs w:val="20"/>
          <w:lang w:val="es-AR" w:eastAsia="es-ES"/>
        </w:rPr>
        <w:t xml:space="preserve"> COPIAS DE DICHOS </w:t>
      </w:r>
      <w:r w:rsidRPr="00CA0A60">
        <w:rPr>
          <w:rFonts w:ascii="Garamond" w:eastAsia="MS Mincho" w:hAnsi="Garamond" w:cs="Times New Roman"/>
          <w:sz w:val="20"/>
          <w:szCs w:val="20"/>
          <w:lang w:val="es-AR" w:eastAsia="es-ES"/>
        </w:rPr>
        <w:lastRenderedPageBreak/>
        <w:t>DOCUMENTOS A DISPOSICIÓN DEL INVERSOR QUE LAS SOLICITARA, PARA COMPLETAR LA INFORMACIÓN RESUMIDA EN EL PROSPECTO Y/O EN ESTE SUPLEMENTO. LOS RESÚMENES CONTENIDOS EN EL PROSPECTO Y/O EN ESTE SUPLEMENTO SE ENCUENTRAN CONDICIONADOS EN SU TOTALIDAD A DICHAS REFERENCIAS.</w:t>
      </w:r>
    </w:p>
    <w:p w14:paraId="0FB78278"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p>
    <w:p w14:paraId="0C75C60F"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t>EN LO QUE RESPECTA A LA INFORMACIÓN CONTENIDA EN EL PROSPECTO Y/O EN ESTE SUPLEMENTO, LA</w:t>
      </w:r>
      <w:r w:rsidR="00A622E4"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SOCIEDAD</w:t>
      </w:r>
      <w:r w:rsidR="00A622E4" w:rsidRPr="00CA0A60">
        <w:rPr>
          <w:rFonts w:ascii="Garamond" w:eastAsia="MS Mincho" w:hAnsi="Garamond" w:cs="Times New Roman"/>
          <w:sz w:val="20"/>
          <w:szCs w:val="20"/>
          <w:lang w:val="es-AR" w:eastAsia="es-ES"/>
        </w:rPr>
        <w:t>ES</w:t>
      </w:r>
      <w:r w:rsidRPr="00CA0A60">
        <w:rPr>
          <w:rFonts w:ascii="Garamond" w:eastAsia="MS Mincho" w:hAnsi="Garamond" w:cs="Times New Roman"/>
          <w:sz w:val="20"/>
          <w:szCs w:val="20"/>
          <w:lang w:val="es-AR" w:eastAsia="es-ES"/>
        </w:rPr>
        <w:t xml:space="preserve"> TENDRÁ</w:t>
      </w:r>
      <w:r w:rsidR="00A622E4" w:rsidRPr="00CA0A60">
        <w:rPr>
          <w:rFonts w:ascii="Garamond" w:eastAsia="MS Mincho" w:hAnsi="Garamond" w:cs="Times New Roman"/>
          <w:sz w:val="20"/>
          <w:szCs w:val="20"/>
          <w:lang w:val="es-AR" w:eastAsia="es-ES"/>
        </w:rPr>
        <w:t>N</w:t>
      </w:r>
      <w:r w:rsidRPr="00CA0A60">
        <w:rPr>
          <w:rFonts w:ascii="Garamond" w:eastAsia="MS Mincho" w:hAnsi="Garamond" w:cs="Times New Roman"/>
          <w:sz w:val="20"/>
          <w:szCs w:val="20"/>
          <w:lang w:val="es-AR" w:eastAsia="es-ES"/>
        </w:rPr>
        <w:t xml:space="preserve"> LAS OBLIGACIONES Y RESPONSABILIDADES QUE IMPONEN LOS ARTÍCULOS 119 Y 120 DE LA LEY </w:t>
      </w:r>
      <w:r w:rsidR="00A622E4" w:rsidRPr="00CA0A60">
        <w:rPr>
          <w:rFonts w:ascii="Garamond" w:eastAsia="MS Mincho" w:hAnsi="Garamond" w:cs="Times New Roman"/>
          <w:sz w:val="20"/>
          <w:szCs w:val="20"/>
          <w:lang w:val="es-AR" w:eastAsia="es-ES"/>
        </w:rPr>
        <w:t>DE MERCADO DE CAPITALES</w:t>
      </w:r>
      <w:r w:rsidRPr="00CA0A60">
        <w:rPr>
          <w:rFonts w:ascii="Garamond" w:eastAsia="MS Mincho" w:hAnsi="Garamond" w:cs="Times New Roman"/>
          <w:sz w:val="20"/>
          <w:szCs w:val="20"/>
          <w:lang w:val="es-AR" w:eastAsia="es-ES"/>
        </w:rPr>
        <w:t>. EL ARTÍCULO 119 ESTABLECE QUE LOS EMISORES DE VALORES NEGOCIABLES, JUNTAMENTE CON LOS INTEGRANTES DE LOS ÓRGANOS DE ADMINISTRACIÓN Y FISCALIZACIÓN, ESTOS ÚLTIMOS EN MATERIA DE SU COMPETENCIA, Y EN SU CASO LOS OFERENTES DE LOS VALORES NEGOCIABLES CON RELACIÓN A LA INFORMACIÓN VINCULADA A LOS MISMOS, Y LAS PERSONAS QUE FIRMEN EL PROSPECTO DE UNA EMISIÓN DE VALORES NEGOCIABLES, SERÁN RESPONSABLES DE TODA LA INFORMACIÓN INCLUIDA EN LOS PROSPECTOS POR ELLOS REGISTRADOS ANTE LA CNV. ASIMISMO, DE CONFORMIDAD CON EL ARTÍCULO 120 DE DICHA LEY, LAS ENTIDADES Y AGENTES INTERMEDIARIOS EN EL MERCADO QUE PARTICIPEN COMO COLOCADORES EN UNA OFERTA PÚBLICA DE VENTA O COMPRA DE VALORES NEGOCIABLES DEBERÁN REVISAR DILIGENTEMENTE LA INFORMACIÓN CONTENIDA EN LOS PROSPECTOS DE LA OFERTA, SIENDO QUE LOS EXPERTOS O TERCEROS QUE OPINEN SOBRE CIERTAS PARTES DEL PROSPECTO SÓLO SERÁN RESPONSABLES POR LA PARTE DE DICHA INFORMACIÓN SOBRE LA QUE HAN EMITIDO OPINIÓN.</w:t>
      </w:r>
    </w:p>
    <w:p w14:paraId="1FC39945"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p>
    <w:p w14:paraId="7ED4B584" w14:textId="039C4603" w:rsidR="00354069" w:rsidRPr="00CA3A3D" w:rsidRDefault="00354069" w:rsidP="00B441B1">
      <w:pPr>
        <w:widowControl w:val="0"/>
        <w:spacing w:after="0" w:line="240" w:lineRule="auto"/>
        <w:jc w:val="both"/>
        <w:rPr>
          <w:rFonts w:ascii="Garamond" w:eastAsia="MS Mincho" w:hAnsi="Garamond" w:cs="Times New Roman"/>
          <w:caps/>
          <w:sz w:val="20"/>
          <w:szCs w:val="20"/>
          <w:lang w:val="es-AR" w:eastAsia="es-ES"/>
        </w:rPr>
      </w:pPr>
      <w:r w:rsidRPr="00CA0A60">
        <w:rPr>
          <w:rFonts w:ascii="Garamond" w:eastAsia="MS Mincho" w:hAnsi="Garamond" w:cs="Times New Roman"/>
          <w:sz w:val="20"/>
          <w:szCs w:val="20"/>
          <w:lang w:val="es-AR" w:eastAsia="es-ES"/>
        </w:rPr>
        <w:t>LOS COLOCADORES</w:t>
      </w:r>
      <w:r w:rsidR="00A60384" w:rsidRPr="00CA0A60">
        <w:rPr>
          <w:rFonts w:ascii="Garamond" w:eastAsia="MS Mincho" w:hAnsi="Garamond" w:cs="Times New Roman"/>
          <w:sz w:val="20"/>
          <w:szCs w:val="20"/>
          <w:lang w:val="es-AR" w:eastAsia="es-ES"/>
        </w:rPr>
        <w:t xml:space="preserve"> LOCALES</w:t>
      </w:r>
      <w:r w:rsidRPr="00CA0A60">
        <w:rPr>
          <w:rFonts w:ascii="Garamond" w:eastAsia="MS Mincho" w:hAnsi="Garamond" w:cs="Times New Roman"/>
          <w:sz w:val="20"/>
          <w:szCs w:val="20"/>
          <w:lang w:val="es-AR" w:eastAsia="es-ES"/>
        </w:rPr>
        <w:t xml:space="preserve"> DE LAS OBLIGACIONES NEGOCIABLES, UNA VEZ QUE LAS MISMAS INGRESEN EN LA NEGOCIACIÓN SECUNDARIA, PODRÁN REALIZAR OPERACIONES DESTINADAS A ESTABILIZAR EL PRECIO DE MERCADO DE LAS OBLIGACIONES NEGOCIABLES, ÚNICAMENTE A TRAVÉS DE LOS SISTEMAS INFORMÁTICOS DE NEGOCIACIÓN BAJO SEGMENTOS QUE ASEGUREN LA PRIORIDAD PRECIO TIEMPO Y POR INTERFERENCIA DE OFERTAS, GARANTIZADOS POR EL MERCADO Y/O LA CÁMARA COMPENSADORA EN SU CASO, TODO ELLO CONFORME CON EL ARTÍCULO 1</w:t>
      </w:r>
      <w:r w:rsidR="004331D9" w:rsidRPr="00CA0A60">
        <w:rPr>
          <w:rFonts w:ascii="Garamond" w:eastAsia="MS Mincho" w:hAnsi="Garamond" w:cs="Times New Roman"/>
          <w:sz w:val="20"/>
          <w:szCs w:val="20"/>
          <w:lang w:val="es-AR" w:eastAsia="es-ES"/>
        </w:rPr>
        <w:t>2</w:t>
      </w:r>
      <w:r w:rsidRPr="00CA0A60">
        <w:rPr>
          <w:rFonts w:ascii="Garamond" w:eastAsia="MS Mincho" w:hAnsi="Garamond" w:cs="Times New Roman"/>
          <w:sz w:val="20"/>
          <w:szCs w:val="20"/>
          <w:lang w:val="es-AR" w:eastAsia="es-ES"/>
        </w:rPr>
        <w:t>, SECCIÓN I</w:t>
      </w:r>
      <w:r w:rsidR="004331D9" w:rsidRPr="00CA0A60">
        <w:rPr>
          <w:rFonts w:ascii="Garamond" w:eastAsia="MS Mincho" w:hAnsi="Garamond" w:cs="Times New Roman"/>
          <w:sz w:val="20"/>
          <w:szCs w:val="20"/>
          <w:lang w:val="es-AR" w:eastAsia="es-ES"/>
        </w:rPr>
        <w:t>V</w:t>
      </w:r>
      <w:r w:rsidRPr="00CA0A60">
        <w:rPr>
          <w:rFonts w:ascii="Garamond" w:eastAsia="MS Mincho" w:hAnsi="Garamond" w:cs="Times New Roman"/>
          <w:sz w:val="20"/>
          <w:szCs w:val="20"/>
          <w:lang w:val="es-AR" w:eastAsia="es-ES"/>
        </w:rPr>
        <w:t xml:space="preserve">, CAPÍTULO IV, TÍTULO VI DE LAS NORMAS DE LA CNV Y DEMÁS NORMAS VIGENTES (LAS CUALES PODRÁN SER SUSPENDIDAS Y/O INTERRUMPIDAS EN CUALQUIER MOMENTO). DICHAS OPERACIONES DEBERÁN AJUSTARSE A LAS SIGUIENTES CONDICIONES: </w:t>
      </w:r>
      <w:r w:rsidR="000B462C" w:rsidRPr="00CA0A60">
        <w:rPr>
          <w:rFonts w:ascii="Garamond" w:eastAsia="MS Mincho" w:hAnsi="Garamond" w:cs="Times New Roman"/>
          <w:sz w:val="20"/>
          <w:szCs w:val="20"/>
          <w:lang w:val="es-AR" w:eastAsia="es-ES"/>
        </w:rPr>
        <w:t>(</w:t>
      </w:r>
      <w:r w:rsidR="004331D9" w:rsidRPr="00CA0A60">
        <w:rPr>
          <w:rFonts w:ascii="Garamond" w:eastAsia="MS Mincho" w:hAnsi="Garamond" w:cs="Times New Roman"/>
          <w:sz w:val="20"/>
          <w:szCs w:val="20"/>
          <w:lang w:val="es-AR" w:eastAsia="es-ES"/>
        </w:rPr>
        <w:t xml:space="preserve">I) NO PODRÁN EXTENDERSE MÁS ALLÁ DE LOS PRIMEROS 30 DÍAS CORRIDOS DESDE EL PRIMER DÍA EN EL CUAL SE HAYA INICIADO LA NEGOCIACIÓN </w:t>
      </w:r>
      <w:r w:rsidR="00443E75" w:rsidRPr="00CA0A60">
        <w:rPr>
          <w:rFonts w:ascii="Garamond" w:eastAsia="MS Mincho" w:hAnsi="Garamond" w:cs="Times New Roman"/>
          <w:sz w:val="20"/>
          <w:szCs w:val="20"/>
          <w:lang w:val="es-AR" w:eastAsia="es-ES"/>
        </w:rPr>
        <w:t xml:space="preserve">SECUNDARIA </w:t>
      </w:r>
      <w:r w:rsidR="004331D9" w:rsidRPr="00CA0A60">
        <w:rPr>
          <w:rFonts w:ascii="Garamond" w:eastAsia="MS Mincho" w:hAnsi="Garamond" w:cs="Times New Roman"/>
          <w:sz w:val="20"/>
          <w:szCs w:val="20"/>
          <w:lang w:val="es-AR" w:eastAsia="es-ES"/>
        </w:rPr>
        <w:t>DE LAS CORRESPONDIENTES OBLIGACIONES NEGOCIABLES EN EL MERCADO; (II) PODRÁN SER REALIZADAS POR AGENTES QUE HAYAN PARTICIPADO EN LA ORGANIZACIÓN Y COORDINACIÓN DE LA COLOCACIÓN Y DISTRIBUCIÓN DE LA EMISIÓN; (III) PODRÁN REALIZARSE OPERACIONES DE ESTABILIZACIÓN DESTINADAS A EVITAR O MODERAR ALTERACIONES BRUSCAS EN EL PRECIO AL CUAL SE NEGOCIEN LAS OBLIGACIONES NEGOCIABLES COMPRENDIDAS EN LA OFERTA PÚBLICA INICIAL EN CUESTIÓN POR MEDIO DEL SISTEMA DE FORMACIÓN DE LIBRO O POR SUBASTA O LICITACIÓN PÚBLICA; (IV) NINGUNA OPERACIÓN DE ESTABILIZACIÓN QUE SE REALICE EN EL PERÍODO AUTORIZADO PODRÁ EFECTUARSE A PRECIOS SUPERIORES A AQUELLOS A LOS QUE SE HAYA NEGOCIADO LAS OBLIGACIONES NEGOCIABLES EN CUESTIÓN EN LOS MERCADOS AUTORIZADOS, EN OPERACIONES ENTRE PARTES NO VINCULADAS CON LAS ACTIVIDADES DE ORGANIZACIÓN, DISTRIBUCIÓN Y COLOCACIÓN; Y (V) AGENTES QUE REALICEN OPERACIONES EN LOS TÉRMINOS ANTES INDICADOS, DEBERÁN INFORMAR A LOS MERCADOS LA INDIVIDUALIZACIÓN DE LAS MISMAS, LOS MERCADOS DEBERÁN INDIVIDUALIZAR COMO TALES Y HACER PÚBLICAS LAS OPERACIONES DE ESTABILIZACIÓN, YA FUERE EN CADA OPERACIÓN INDIVIDUAL O AL CIERRE DIARIO DE LAS OPERACIONES.</w:t>
      </w:r>
    </w:p>
    <w:p w14:paraId="0562CB0E"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p>
    <w:p w14:paraId="6DA20717"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t>EN CASO QUE</w:t>
      </w:r>
      <w:r w:rsidR="004331D9" w:rsidRPr="00CA0A60">
        <w:rPr>
          <w:rFonts w:ascii="Garamond" w:eastAsia="MS Mincho" w:hAnsi="Garamond" w:cs="Times New Roman"/>
          <w:sz w:val="20"/>
          <w:szCs w:val="20"/>
          <w:lang w:val="es-AR" w:eastAsia="es-ES"/>
        </w:rPr>
        <w:t xml:space="preserve"> ALGUNA DE </w:t>
      </w:r>
      <w:r w:rsidRPr="00CA0A60">
        <w:rPr>
          <w:rFonts w:ascii="Garamond" w:eastAsia="MS Mincho" w:hAnsi="Garamond" w:cs="Times New Roman"/>
          <w:sz w:val="20"/>
          <w:szCs w:val="20"/>
          <w:lang w:val="es-AR" w:eastAsia="es-ES"/>
        </w:rPr>
        <w:t>LA</w:t>
      </w:r>
      <w:r w:rsidR="004331D9"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SOCIEDAD</w:t>
      </w:r>
      <w:r w:rsidR="004331D9" w:rsidRPr="00CA0A60">
        <w:rPr>
          <w:rFonts w:ascii="Garamond" w:eastAsia="MS Mincho" w:hAnsi="Garamond" w:cs="Times New Roman"/>
          <w:sz w:val="20"/>
          <w:szCs w:val="20"/>
          <w:lang w:val="es-AR" w:eastAsia="es-ES"/>
        </w:rPr>
        <w:t>ES</w:t>
      </w:r>
      <w:r w:rsidRPr="00CA0A60">
        <w:rPr>
          <w:rFonts w:ascii="Garamond" w:eastAsia="MS Mincho" w:hAnsi="Garamond" w:cs="Times New Roman"/>
          <w:sz w:val="20"/>
          <w:szCs w:val="20"/>
          <w:lang w:val="es-AR" w:eastAsia="es-ES"/>
        </w:rPr>
        <w:t xml:space="preserve"> SE ENCONTRARA SUJETA A PROCESOS JUDICIALES DE QUIEBRA, CONCURSO PREVENTIVO, ACUERDOS PREVENTIVOS EXTRAJUDICIALES Y/O SIMILARES, LAS NORMAS VIGENTES QUE REGULAN LAS OBLIGACIONES NEGOCIABLES (INCLUYENDO, SIN LIMITACIÓN, LAS DISPOSICIONES DE LA LEY DE OBLIGACIONES NEGOCIABLES),</w:t>
      </w:r>
      <w:r w:rsidR="00004AF3" w:rsidRPr="00CA0A60">
        <w:rPr>
          <w:rFonts w:ascii="Garamond" w:eastAsia="MS Mincho" w:hAnsi="Garamond" w:cs="Times New Roman"/>
          <w:sz w:val="20"/>
          <w:szCs w:val="20"/>
          <w:lang w:val="es-AR" w:eastAsia="es-ES"/>
        </w:rPr>
        <w:t xml:space="preserve"> Y</w:t>
      </w:r>
      <w:r w:rsidRPr="00CA0A60">
        <w:rPr>
          <w:rFonts w:ascii="Garamond" w:eastAsia="MS Mincho" w:hAnsi="Garamond" w:cs="Times New Roman"/>
          <w:sz w:val="20"/>
          <w:szCs w:val="20"/>
          <w:lang w:val="es-AR" w:eastAsia="es-ES"/>
        </w:rPr>
        <w:t xml:space="preserve"> LOS TÉRMINOS Y CONDICIONES DE LAS OBLIGACIONES NEGOCIABLES, ESTARÁN SUJETOS A LAS DISPOSICIONES PREVISTAS POR LAS LEYES DE QUIEBRA, CONCURSOS, ACUERDOS PREVENTIVOS EXTRAJUDICIALES Y/O SIMILARES Y/O DEMÁS NORMAS VIGENTES QUE SEAN APLICABLES.</w:t>
      </w:r>
    </w:p>
    <w:p w14:paraId="34CE0A41"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p>
    <w:p w14:paraId="03427C1E"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lastRenderedPageBreak/>
        <w:t>DE CONFORMIDAD CON EL ART. 34 DE LA LEY DE OBLIGACIONES NEGOCIABLES, LOS DIRECTORES, ADMINISTRADORES, SÍNDICOS O CONSEJEROS DE VIGILANCIA DE LA</w:t>
      </w:r>
      <w:r w:rsidR="004331D9" w:rsidRPr="00CA0A60">
        <w:rPr>
          <w:rFonts w:ascii="Garamond" w:eastAsia="MS Mincho" w:hAnsi="Garamond" w:cs="Times New Roman"/>
          <w:sz w:val="20"/>
          <w:szCs w:val="20"/>
          <w:lang w:val="es-AR" w:eastAsia="es-ES"/>
        </w:rPr>
        <w:t>S CO-</w:t>
      </w:r>
      <w:r w:rsidRPr="00CA0A60">
        <w:rPr>
          <w:rFonts w:ascii="Garamond" w:eastAsia="MS Mincho" w:hAnsi="Garamond" w:cs="Times New Roman"/>
          <w:sz w:val="20"/>
          <w:szCs w:val="20"/>
          <w:lang w:val="es-AR" w:eastAsia="es-ES"/>
        </w:rPr>
        <w:t>EMISORA</w:t>
      </w:r>
      <w:r w:rsidR="004F1F9D" w:rsidRPr="00CA0A60">
        <w:rPr>
          <w:rFonts w:ascii="Garamond" w:eastAsia="MS Mincho" w:hAnsi="Garamond" w:cs="Times New Roman"/>
          <w:sz w:val="20"/>
          <w:szCs w:val="20"/>
          <w:lang w:val="es-AR" w:eastAsia="es-ES"/>
        </w:rPr>
        <w:t>S</w:t>
      </w:r>
      <w:r w:rsidRPr="00CA0A60">
        <w:rPr>
          <w:rFonts w:ascii="Garamond" w:eastAsia="MS Mincho" w:hAnsi="Garamond" w:cs="Times New Roman"/>
          <w:sz w:val="20"/>
          <w:szCs w:val="20"/>
          <w:lang w:val="es-AR" w:eastAsia="es-ES"/>
        </w:rPr>
        <w:t xml:space="preserve"> SON ILIMITADA Y SOLIDARIAMENTE RESPONSABLES POR LOS PERJUICIOS QUE LA VIOLACIÓN DE LAS DISPOSICIONES DE DICHA LEY PRODUZCA A LOS TENEDORES DE LAS OBLIGACIONES NEGOCIABLES.</w:t>
      </w:r>
    </w:p>
    <w:p w14:paraId="62EBF3C5" w14:textId="77777777" w:rsidR="00354069" w:rsidRPr="00CA0A60" w:rsidRDefault="00354069" w:rsidP="00B441B1">
      <w:pPr>
        <w:widowControl w:val="0"/>
        <w:spacing w:after="0" w:line="240" w:lineRule="auto"/>
        <w:jc w:val="both"/>
        <w:rPr>
          <w:rFonts w:ascii="Garamond" w:eastAsia="MS Mincho" w:hAnsi="Garamond" w:cs="Times New Roman"/>
          <w:sz w:val="20"/>
          <w:szCs w:val="20"/>
          <w:lang w:val="es-AR" w:eastAsia="es-ES"/>
        </w:rPr>
      </w:pPr>
    </w:p>
    <w:p w14:paraId="0106B5BE" w14:textId="77777777" w:rsidR="00354069" w:rsidRPr="00CA3A3D" w:rsidRDefault="00354069" w:rsidP="00B441B1">
      <w:pPr>
        <w:widowControl w:val="0"/>
        <w:spacing w:after="0" w:line="240" w:lineRule="auto"/>
        <w:jc w:val="both"/>
        <w:rPr>
          <w:rFonts w:ascii="Garamond" w:eastAsia="MS Mincho" w:hAnsi="Garamond" w:cs="Times New Roman"/>
          <w:sz w:val="20"/>
          <w:szCs w:val="20"/>
          <w:lang w:val="es-AR" w:eastAsia="es-ES"/>
        </w:rPr>
      </w:pPr>
      <w:r w:rsidRPr="00CA3A3D">
        <w:rPr>
          <w:rFonts w:ascii="Garamond" w:eastAsia="MS Mincho" w:hAnsi="Garamond" w:cs="Times New Roman"/>
          <w:sz w:val="20"/>
          <w:szCs w:val="20"/>
          <w:lang w:val="es-AR" w:eastAsia="es-ES"/>
        </w:rPr>
        <w:t xml:space="preserve">TODA PERSONA QUE SUSCRIBA LAS OBLIGACIONES NEGOCIABLES RECONOCE QUE SE LE HA BRINDADO LA OPORTUNIDAD DE SOLICITAR A </w:t>
      </w:r>
      <w:r w:rsidR="004331D9" w:rsidRPr="00CA3A3D">
        <w:rPr>
          <w:rFonts w:ascii="Garamond" w:eastAsia="MS Mincho" w:hAnsi="Garamond" w:cs="Times New Roman"/>
          <w:sz w:val="20"/>
          <w:szCs w:val="20"/>
          <w:lang w:val="es-AR" w:eastAsia="es-ES"/>
        </w:rPr>
        <w:t>LAS CO-EMISORAS</w:t>
      </w:r>
      <w:r w:rsidRPr="00CA3A3D">
        <w:rPr>
          <w:rFonts w:ascii="Garamond" w:eastAsia="MS Mincho" w:hAnsi="Garamond" w:cs="Times New Roman"/>
          <w:sz w:val="20"/>
          <w:szCs w:val="20"/>
          <w:lang w:val="es-AR" w:eastAsia="es-ES"/>
        </w:rPr>
        <w:t>, Y DE EXAMINAR, Y HA RECIBIDO Y EXAMINADO, TODA LA INFORMACIÓN ADICIONAL QUE CONSIDERÓ NECESARIA PARA VERIFICAR LA EXACTITUD DE LA INFORMACIÓN CONTENIDA EN EL PROSPECTO Y/O EN ESTE SUPLEMENTO Y/O PARA COMPLEMENTAR TAL INFORMACIÓN.</w:t>
      </w:r>
    </w:p>
    <w:p w14:paraId="6D98A12B" w14:textId="77777777" w:rsidR="00354069" w:rsidRPr="00CA3A3D" w:rsidRDefault="00354069" w:rsidP="00354069">
      <w:pPr>
        <w:spacing w:after="0" w:line="240" w:lineRule="auto"/>
        <w:rPr>
          <w:rFonts w:ascii="Garamond" w:eastAsia="MS Mincho" w:hAnsi="Garamond" w:cs="Times New Roman"/>
          <w:b/>
          <w:sz w:val="18"/>
          <w:szCs w:val="18"/>
          <w:lang w:val="es-AR" w:eastAsia="es-ES"/>
        </w:rPr>
      </w:pPr>
      <w:r w:rsidRPr="00CA0A60">
        <w:rPr>
          <w:rFonts w:ascii="Garamond" w:eastAsia="MS Mincho" w:hAnsi="Garamond" w:cs="Times New Roman"/>
          <w:b/>
          <w:sz w:val="18"/>
          <w:szCs w:val="20"/>
          <w:lang w:val="es-AR" w:eastAsia="es-ES"/>
        </w:rPr>
        <w:br w:type="page"/>
      </w:r>
    </w:p>
    <w:p w14:paraId="2A20CBD8" w14:textId="77777777" w:rsidR="00CE6C41" w:rsidRPr="00CA3A3D" w:rsidRDefault="00354069" w:rsidP="00060DAB">
      <w:pPr>
        <w:spacing w:before="120" w:after="120" w:line="240" w:lineRule="auto"/>
        <w:jc w:val="both"/>
        <w:rPr>
          <w:rFonts w:ascii="Garamond" w:hAnsi="Garamond" w:cs="Times New Roman"/>
          <w:caps/>
          <w:sz w:val="20"/>
          <w:szCs w:val="20"/>
          <w:lang w:val="es-AR"/>
        </w:rPr>
      </w:pPr>
      <w:bookmarkStart w:id="9" w:name="_Toc450834388"/>
      <w:bookmarkStart w:id="10" w:name="_Toc397509437"/>
      <w:bookmarkEnd w:id="8"/>
      <w:r w:rsidRPr="00CA3A3D">
        <w:rPr>
          <w:rFonts w:ascii="Garamond" w:eastAsia="MS Mincho" w:hAnsi="Garamond" w:cs="Times New Roman"/>
          <w:b/>
          <w:caps/>
          <w:sz w:val="20"/>
          <w:szCs w:val="20"/>
          <w:lang w:val="es-AR" w:eastAsia="es-ES"/>
        </w:rPr>
        <w:lastRenderedPageBreak/>
        <w:t>AVISO A LOS INVERSORES SOBRE NORMATIVA REFERENTE A LAVADO DE ACTIVOS</w:t>
      </w:r>
      <w:bookmarkStart w:id="11" w:name="_DV_M63"/>
      <w:bookmarkStart w:id="12" w:name="_DV_M79"/>
      <w:bookmarkStart w:id="13" w:name="_DV_M83"/>
      <w:bookmarkStart w:id="14" w:name="_DV_M97"/>
      <w:bookmarkStart w:id="15" w:name="_DV_M99"/>
      <w:bookmarkStart w:id="16" w:name="_DV_M101"/>
      <w:bookmarkStart w:id="17" w:name="_DV_M102"/>
      <w:bookmarkStart w:id="18" w:name="_DV_M103"/>
      <w:bookmarkStart w:id="19" w:name="_DV_M109"/>
      <w:bookmarkStart w:id="20" w:name="_DV_M120"/>
      <w:bookmarkStart w:id="21" w:name="_DV_M121"/>
      <w:bookmarkStart w:id="22" w:name="_DV_M133"/>
      <w:bookmarkStart w:id="23" w:name="_DV_M141"/>
      <w:bookmarkStart w:id="24" w:name="_DV_M14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EA34D24" w14:textId="5252EBD2" w:rsidR="00CE6C41" w:rsidRPr="00CA3A3D" w:rsidRDefault="00CE6C41" w:rsidP="00060DAB">
      <w:pPr>
        <w:spacing w:before="120" w:after="120" w:line="240" w:lineRule="auto"/>
        <w:jc w:val="both"/>
        <w:rPr>
          <w:rFonts w:ascii="Garamond" w:hAnsi="Garamond" w:cs="Times New Roman"/>
          <w:caps/>
          <w:sz w:val="20"/>
          <w:szCs w:val="20"/>
          <w:lang w:val="es-AR"/>
        </w:rPr>
      </w:pPr>
      <w:r w:rsidRPr="00CA3A3D">
        <w:rPr>
          <w:rFonts w:ascii="Garamond" w:hAnsi="Garamond" w:cs="Times New Roman"/>
          <w:caps/>
          <w:sz w:val="20"/>
          <w:szCs w:val="20"/>
          <w:lang w:val="es-AR"/>
        </w:rPr>
        <w:t>Las co-emisoras y/o los Colocadores</w:t>
      </w:r>
      <w:r w:rsidR="00567015" w:rsidRPr="00CA3A3D">
        <w:rPr>
          <w:rFonts w:ascii="Garamond" w:hAnsi="Garamond" w:cs="Times New Roman"/>
          <w:caps/>
          <w:sz w:val="20"/>
          <w:szCs w:val="20"/>
          <w:lang w:val="es-AR"/>
        </w:rPr>
        <w:t xml:space="preserve"> LOCALES</w:t>
      </w:r>
      <w:r w:rsidRPr="00CA3A3D">
        <w:rPr>
          <w:rFonts w:ascii="Garamond" w:hAnsi="Garamond" w:cs="Times New Roman"/>
          <w:caps/>
          <w:sz w:val="20"/>
          <w:szCs w:val="20"/>
          <w:lang w:val="es-AR"/>
        </w:rPr>
        <w:t xml:space="preserve"> podrán requerir a quienes deseen suscribir las Obligaciones Negociables, información relacionada con el cumplimiento del régimen de Prevención del Encubrimiento y Lavado de Activos de Origen Delictivo conforme con lo dispuesto por la Ley Nº 25.246 (modificada posteriormente por Ley N° 26.087, Ley N° 26.119, Ley N° 26.268, Ley N° 26.683, la Ley Nº 26.733 y la ley N°26.734 y tal como la misma pudiera ser modificada y/o complementada en el futuro), el decreto N° 27/2018 o por disposiciones, resoluciones o requerimientos de la Unidad de Información Financiera (en conjunto, la “</w:t>
      </w:r>
      <w:r w:rsidRPr="00CA3A3D">
        <w:rPr>
          <w:rFonts w:ascii="Garamond" w:hAnsi="Garamond" w:cs="Times New Roman"/>
          <w:caps/>
          <w:sz w:val="20"/>
          <w:szCs w:val="20"/>
          <w:u w:val="single"/>
          <w:lang w:val="es-AR"/>
        </w:rPr>
        <w:t>Ley de Prevención de Lavado de Activos</w:t>
      </w:r>
      <w:r w:rsidRPr="00CA3A3D">
        <w:rPr>
          <w:rFonts w:ascii="Garamond" w:hAnsi="Garamond" w:cs="Times New Roman"/>
          <w:caps/>
          <w:sz w:val="20"/>
          <w:szCs w:val="20"/>
          <w:lang w:val="es-AR"/>
        </w:rPr>
        <w:t>”). Las co-emisoras y los colocadores podrán rechazar las suscripciones cuando quien desee suscribir las Obligaciones Negociables no proporcione, a satisfacción de las co-emisoras y/o de los Colocadores, la información y documentación solicitada. Para mayor información, véase “NOTIFICACIÓN A LOS INVERSORES SOBRE NORMATIVA REFERENTE A LAVADO DE ACTIVOS” del Prospecto.</w:t>
      </w:r>
    </w:p>
    <w:p w14:paraId="0D602944" w14:textId="77777777" w:rsidR="00CE6C41" w:rsidRPr="00CA3A3D" w:rsidRDefault="00CE6C41" w:rsidP="00060DAB">
      <w:pPr>
        <w:spacing w:before="120" w:after="120" w:line="240" w:lineRule="auto"/>
        <w:jc w:val="both"/>
        <w:rPr>
          <w:rFonts w:ascii="Garamond" w:hAnsi="Garamond" w:cs="Times New Roman"/>
          <w:b/>
          <w:sz w:val="20"/>
          <w:szCs w:val="20"/>
          <w:lang w:val="es-AR"/>
        </w:rPr>
      </w:pPr>
      <w:r w:rsidRPr="00CA3A3D">
        <w:rPr>
          <w:rFonts w:ascii="Garamond" w:hAnsi="Garamond" w:cs="Times New Roman"/>
          <w:b/>
          <w:sz w:val="20"/>
          <w:szCs w:val="20"/>
          <w:lang w:val="es-AR"/>
        </w:rPr>
        <w:t>PARA UN ANÁLISIS MÁS EXHAUSTIVO DEL RÉGIMEN DE PREVENCIÓN DEL LAVADO DE ACTIVOS VIGENTE AL DÍA DE LA FECHA, SE SUGIERE A LOS INVERSORES CONSULTAR CON SUS ASESORES LEGALES Y DAR UNA LECTURA COMPLETA DEL CAPÍTULO XIII, TÍTULO XI, LIBRO SEGUNDO DEL CÓDIGO PENAL ARGENTINO, A CUYO EFECTO LOS INTERESADOS PODRÁN CONSULTAR EN EL SITIO WEB DEL MINISTERIO DE HACIENDA DE LA NACIÓN O EN WWW.ARGENTINA.GOB.AR/HACIENDA. ASIMISMO LOS INVERSORES PODRÁN CONSULTAR LOS SITIOS WEB DEL BCRA (WWW.BCRA.GOV.AR), UIF (WWW.ARGENTINA.GOB.AR/UIF) Y CNV (WWW.CNV.GO</w:t>
      </w:r>
      <w:r w:rsidR="009E0C27" w:rsidRPr="00CA3A3D">
        <w:rPr>
          <w:rFonts w:ascii="Garamond" w:hAnsi="Garamond" w:cs="Times New Roman"/>
          <w:b/>
          <w:sz w:val="20"/>
          <w:szCs w:val="20"/>
          <w:lang w:val="es-AR"/>
        </w:rPr>
        <w:t>V</w:t>
      </w:r>
      <w:r w:rsidRPr="00CA3A3D">
        <w:rPr>
          <w:rFonts w:ascii="Garamond" w:hAnsi="Garamond" w:cs="Times New Roman"/>
          <w:b/>
          <w:sz w:val="20"/>
          <w:szCs w:val="20"/>
          <w:lang w:val="es-AR"/>
        </w:rPr>
        <w:t>.AR).</w:t>
      </w:r>
    </w:p>
    <w:p w14:paraId="0F901BE0" w14:textId="62AB9900" w:rsidR="00CE6C41" w:rsidRPr="00CA3A3D" w:rsidRDefault="00CE6C41" w:rsidP="00060DAB">
      <w:pPr>
        <w:spacing w:before="120" w:after="120" w:line="240" w:lineRule="auto"/>
        <w:jc w:val="both"/>
        <w:rPr>
          <w:rFonts w:ascii="Garamond" w:hAnsi="Garamond" w:cs="Times New Roman"/>
          <w:b/>
          <w:sz w:val="20"/>
          <w:szCs w:val="20"/>
          <w:lang w:val="es-AR"/>
        </w:rPr>
      </w:pPr>
      <w:r w:rsidRPr="00CA3A3D">
        <w:rPr>
          <w:rFonts w:ascii="Garamond" w:hAnsi="Garamond" w:cs="Times New Roman"/>
          <w:b/>
          <w:sz w:val="20"/>
          <w:szCs w:val="20"/>
          <w:lang w:val="es-AR"/>
        </w:rPr>
        <w:t xml:space="preserve">EL PRESENTE AVISO A LOS </w:t>
      </w:r>
      <w:r w:rsidR="004113B6" w:rsidRPr="00CA3A3D">
        <w:rPr>
          <w:rFonts w:ascii="Garamond" w:hAnsi="Garamond" w:cs="Times New Roman"/>
          <w:b/>
          <w:sz w:val="20"/>
          <w:szCs w:val="20"/>
          <w:lang w:val="es-AR"/>
        </w:rPr>
        <w:t>INVER</w:t>
      </w:r>
      <w:r w:rsidRPr="00CA3A3D">
        <w:rPr>
          <w:rFonts w:ascii="Garamond" w:hAnsi="Garamond" w:cs="Times New Roman"/>
          <w:b/>
          <w:sz w:val="20"/>
          <w:szCs w:val="20"/>
          <w:lang w:val="es-AR"/>
        </w:rPr>
        <w:t xml:space="preserve">SORES </w:t>
      </w:r>
      <w:r w:rsidR="00292FE4" w:rsidRPr="00CA3A3D">
        <w:rPr>
          <w:rFonts w:ascii="Garamond" w:hAnsi="Garamond" w:cs="Times New Roman"/>
          <w:b/>
          <w:sz w:val="20"/>
          <w:szCs w:val="20"/>
          <w:lang w:val="es-AR"/>
        </w:rPr>
        <w:t xml:space="preserve">CONSTA DE </w:t>
      </w:r>
      <w:r w:rsidRPr="00CA3A3D">
        <w:rPr>
          <w:rFonts w:ascii="Garamond" w:hAnsi="Garamond" w:cs="Times New Roman"/>
          <w:b/>
          <w:sz w:val="20"/>
          <w:szCs w:val="20"/>
          <w:lang w:val="es-AR"/>
        </w:rPr>
        <w:t>UN</w:t>
      </w:r>
      <w:r w:rsidR="00D05B65" w:rsidRPr="00CA3A3D">
        <w:rPr>
          <w:rFonts w:ascii="Garamond" w:hAnsi="Garamond" w:cs="Times New Roman"/>
          <w:b/>
          <w:sz w:val="20"/>
          <w:szCs w:val="20"/>
          <w:lang w:val="es-AR"/>
        </w:rPr>
        <w:t>A MERA REFERENCIA A LA NORMA</w:t>
      </w:r>
      <w:r w:rsidR="00004AF3" w:rsidRPr="00CA3A3D">
        <w:rPr>
          <w:rFonts w:ascii="Garamond" w:hAnsi="Garamond" w:cs="Times New Roman"/>
          <w:b/>
          <w:sz w:val="20"/>
          <w:szCs w:val="20"/>
          <w:lang w:val="es-AR"/>
        </w:rPr>
        <w:t>T</w:t>
      </w:r>
      <w:r w:rsidR="00D05B65" w:rsidRPr="00CA3A3D">
        <w:rPr>
          <w:rFonts w:ascii="Garamond" w:hAnsi="Garamond" w:cs="Times New Roman"/>
          <w:b/>
          <w:sz w:val="20"/>
          <w:szCs w:val="20"/>
          <w:lang w:val="es-AR"/>
        </w:rPr>
        <w:t xml:space="preserve">IVA VIGENTE SOBRE </w:t>
      </w:r>
      <w:r w:rsidRPr="00CA3A3D">
        <w:rPr>
          <w:rFonts w:ascii="Garamond" w:hAnsi="Garamond" w:cs="Times New Roman"/>
          <w:b/>
          <w:sz w:val="20"/>
          <w:szCs w:val="20"/>
          <w:lang w:val="es-AR"/>
        </w:rPr>
        <w:t xml:space="preserve">LA PREVENCIÓN DEL LAVADO DE ACTIVOS </w:t>
      </w:r>
      <w:r w:rsidR="00D05B65" w:rsidRPr="00CA3A3D">
        <w:rPr>
          <w:rFonts w:ascii="Garamond" w:hAnsi="Garamond" w:cs="Times New Roman"/>
          <w:b/>
          <w:sz w:val="20"/>
          <w:szCs w:val="20"/>
          <w:lang w:val="es-AR"/>
        </w:rPr>
        <w:t xml:space="preserve">Y EN LA SECCIÓN </w:t>
      </w:r>
      <w:r w:rsidR="00D05B65" w:rsidRPr="00CA3A3D">
        <w:rPr>
          <w:rFonts w:ascii="Garamond" w:hAnsi="Garamond" w:cs="Times New Roman"/>
          <w:b/>
          <w:caps/>
          <w:sz w:val="20"/>
          <w:szCs w:val="20"/>
          <w:lang w:val="es-AR"/>
        </w:rPr>
        <w:t>“NOTIFICACIÓN A LOS INVERSORES SOBRE NORMATIVA REFERENTE A LAVADO DE ACTIVOS” del Prospecto</w:t>
      </w:r>
      <w:r w:rsidR="00D05B65" w:rsidRPr="00CA3A3D">
        <w:rPr>
          <w:rFonts w:ascii="Garamond" w:hAnsi="Garamond" w:cs="Times New Roman"/>
          <w:b/>
          <w:sz w:val="20"/>
          <w:szCs w:val="20"/>
          <w:lang w:val="es-AR"/>
        </w:rPr>
        <w:t xml:space="preserve"> SE ENCUENTRA UN BREVE RESUMEN DE LA MISMA </w:t>
      </w:r>
      <w:r w:rsidRPr="00CA3A3D">
        <w:rPr>
          <w:rFonts w:ascii="Garamond" w:hAnsi="Garamond" w:cs="Times New Roman"/>
          <w:b/>
          <w:sz w:val="20"/>
          <w:szCs w:val="20"/>
          <w:lang w:val="es-AR"/>
        </w:rPr>
        <w:t>A MEROS FINES INFORMATIVOS. A PESAR DE ESE RESUMEN, SE ACLARA QUE RESULTAN DE APLICACIÓN A LA</w:t>
      </w:r>
      <w:r w:rsidR="00ED2825" w:rsidRPr="00CA3A3D">
        <w:rPr>
          <w:rFonts w:ascii="Garamond" w:hAnsi="Garamond" w:cs="Times New Roman"/>
          <w:b/>
          <w:sz w:val="20"/>
          <w:szCs w:val="20"/>
          <w:lang w:val="es-AR"/>
        </w:rPr>
        <w:t>S</w:t>
      </w:r>
      <w:r w:rsidRPr="00CA3A3D">
        <w:rPr>
          <w:rFonts w:ascii="Garamond" w:hAnsi="Garamond" w:cs="Times New Roman"/>
          <w:b/>
          <w:sz w:val="20"/>
          <w:szCs w:val="20"/>
          <w:lang w:val="es-AR"/>
        </w:rPr>
        <w:t xml:space="preserve"> </w:t>
      </w:r>
      <w:r w:rsidR="00ED2825" w:rsidRPr="00CA3A3D">
        <w:rPr>
          <w:rFonts w:ascii="Garamond" w:hAnsi="Garamond" w:cs="Times New Roman"/>
          <w:b/>
          <w:sz w:val="20"/>
          <w:szCs w:val="20"/>
          <w:lang w:val="es-AR"/>
        </w:rPr>
        <w:t>CO-</w:t>
      </w:r>
      <w:r w:rsidRPr="00CA3A3D">
        <w:rPr>
          <w:rFonts w:ascii="Garamond" w:hAnsi="Garamond" w:cs="Times New Roman"/>
          <w:b/>
          <w:sz w:val="20"/>
          <w:szCs w:val="20"/>
          <w:lang w:val="es-AR"/>
        </w:rPr>
        <w:t>EMISORA</w:t>
      </w:r>
      <w:r w:rsidR="00ED2825" w:rsidRPr="00CA3A3D">
        <w:rPr>
          <w:rFonts w:ascii="Garamond" w:hAnsi="Garamond" w:cs="Times New Roman"/>
          <w:b/>
          <w:sz w:val="20"/>
          <w:szCs w:val="20"/>
          <w:lang w:val="es-AR"/>
        </w:rPr>
        <w:t>S</w:t>
      </w:r>
      <w:r w:rsidRPr="00CA3A3D">
        <w:rPr>
          <w:rFonts w:ascii="Garamond" w:hAnsi="Garamond" w:cs="Times New Roman"/>
          <w:b/>
          <w:sz w:val="20"/>
          <w:szCs w:val="20"/>
          <w:lang w:val="es-AR"/>
        </w:rPr>
        <w:t xml:space="preserve"> LA TOTALIDAD DE LA NORMATIVA DE PREVENCIÓN DEL LAVADO DE ACTIVOS Y FINANCIAMINETO DEL TERRORISMO.</w:t>
      </w:r>
    </w:p>
    <w:p w14:paraId="74F7E45F" w14:textId="77777777" w:rsidR="00CE6C41" w:rsidRPr="00CA3A3D" w:rsidRDefault="00CE6C41" w:rsidP="00060DAB">
      <w:pPr>
        <w:spacing w:before="120" w:after="120" w:line="240" w:lineRule="auto"/>
        <w:jc w:val="center"/>
        <w:rPr>
          <w:rFonts w:ascii="Garamond" w:hAnsi="Garamond" w:cs="Times New Roman"/>
          <w:b/>
          <w:sz w:val="20"/>
          <w:szCs w:val="20"/>
          <w:lang w:val="es-AR"/>
        </w:rPr>
      </w:pPr>
      <w:r w:rsidRPr="00CA3A3D">
        <w:rPr>
          <w:rFonts w:ascii="Garamond" w:hAnsi="Garamond"/>
          <w:b/>
          <w:sz w:val="20"/>
          <w:szCs w:val="20"/>
          <w:lang w:val="es-AR" w:eastAsia="es-ES"/>
        </w:rPr>
        <w:t>CONTROLES DE CAMBIO</w:t>
      </w:r>
      <w:r w:rsidR="004109CB" w:rsidRPr="00CA3A3D">
        <w:rPr>
          <w:rFonts w:ascii="Garamond" w:hAnsi="Garamond"/>
          <w:b/>
          <w:sz w:val="20"/>
          <w:szCs w:val="20"/>
          <w:lang w:val="es-AR" w:eastAsia="es-ES"/>
        </w:rPr>
        <w:t xml:space="preserve"> y CARGA TRIBUTARIA</w:t>
      </w:r>
    </w:p>
    <w:p w14:paraId="00FF6D48" w14:textId="77777777" w:rsidR="00CE6C41" w:rsidRPr="00CA3A3D" w:rsidRDefault="00CE6C41" w:rsidP="00060DAB">
      <w:pPr>
        <w:spacing w:before="120" w:after="120" w:line="240" w:lineRule="auto"/>
        <w:jc w:val="both"/>
        <w:rPr>
          <w:rFonts w:ascii="Garamond" w:hAnsi="Garamond" w:cs="Times New Roman"/>
          <w:b/>
          <w:sz w:val="20"/>
          <w:szCs w:val="20"/>
          <w:lang w:val="es-AR"/>
        </w:rPr>
      </w:pPr>
      <w:r w:rsidRPr="00CA3A3D">
        <w:rPr>
          <w:rFonts w:ascii="Garamond" w:hAnsi="Garamond"/>
          <w:sz w:val="20"/>
          <w:szCs w:val="20"/>
          <w:lang w:val="es-AR" w:eastAsia="es-ES"/>
        </w:rPr>
        <w:t>PARA OBTENER INFORMACIÓN RELATIVA A LA NORMATIVA VIGENTE EN MATERIA DE CONTROLES DE CAMBIO Y CARGA TRIBUTARIA, VÉASE LAS SECCIONES “</w:t>
      </w:r>
      <w:r w:rsidRPr="00CA3A3D">
        <w:rPr>
          <w:rFonts w:ascii="Garamond" w:hAnsi="Garamond"/>
          <w:i/>
          <w:sz w:val="20"/>
          <w:szCs w:val="20"/>
          <w:lang w:val="es-AR" w:eastAsia="es-ES"/>
        </w:rPr>
        <w:t>INFORMACIÓN ADICIONAL</w:t>
      </w:r>
      <w:r w:rsidR="004C411E" w:rsidRPr="00CA3A3D">
        <w:rPr>
          <w:rFonts w:ascii="Garamond" w:hAnsi="Garamond"/>
          <w:i/>
          <w:sz w:val="20"/>
          <w:szCs w:val="20"/>
          <w:lang w:val="es-AR" w:eastAsia="es-ES"/>
        </w:rPr>
        <w:t xml:space="preserve"> - </w:t>
      </w:r>
      <w:r w:rsidRPr="00CA3A3D">
        <w:rPr>
          <w:rFonts w:ascii="Garamond" w:hAnsi="Garamond"/>
          <w:i/>
          <w:sz w:val="20"/>
          <w:szCs w:val="20"/>
          <w:lang w:val="es-AR" w:eastAsia="es-ES"/>
        </w:rPr>
        <w:t>CONTROLES DE CAMBIO</w:t>
      </w:r>
      <w:r w:rsidRPr="00CA3A3D">
        <w:rPr>
          <w:rFonts w:ascii="Garamond" w:hAnsi="Garamond"/>
          <w:sz w:val="20"/>
          <w:szCs w:val="20"/>
          <w:lang w:val="es-AR" w:eastAsia="es-ES"/>
        </w:rPr>
        <w:t xml:space="preserve">” </w:t>
      </w:r>
      <w:r w:rsidR="009E6186" w:rsidRPr="00CA3A3D">
        <w:rPr>
          <w:rFonts w:ascii="Garamond" w:hAnsi="Garamond"/>
          <w:sz w:val="20"/>
          <w:szCs w:val="20"/>
          <w:lang w:val="es-AR" w:eastAsia="es-ES"/>
        </w:rPr>
        <w:t>E</w:t>
      </w:r>
      <w:r w:rsidRPr="00CA3A3D">
        <w:rPr>
          <w:rFonts w:ascii="Garamond" w:hAnsi="Garamond"/>
          <w:sz w:val="20"/>
          <w:szCs w:val="20"/>
          <w:lang w:val="es-AR" w:eastAsia="es-ES"/>
        </w:rPr>
        <w:t xml:space="preserve"> “</w:t>
      </w:r>
      <w:r w:rsidRPr="00CA3A3D">
        <w:rPr>
          <w:rFonts w:ascii="Garamond" w:hAnsi="Garamond"/>
          <w:i/>
          <w:sz w:val="20"/>
          <w:szCs w:val="20"/>
          <w:lang w:val="es-AR" w:eastAsia="es-ES"/>
        </w:rPr>
        <w:t>INFORMACIÓN ADICIONAL</w:t>
      </w:r>
      <w:r w:rsidR="004C411E" w:rsidRPr="00CA3A3D">
        <w:rPr>
          <w:rFonts w:ascii="Garamond" w:hAnsi="Garamond"/>
          <w:i/>
          <w:sz w:val="20"/>
          <w:szCs w:val="20"/>
          <w:lang w:val="es-AR" w:eastAsia="es-ES"/>
        </w:rPr>
        <w:t xml:space="preserve"> - </w:t>
      </w:r>
      <w:r w:rsidRPr="00CA3A3D">
        <w:rPr>
          <w:rFonts w:ascii="Garamond" w:hAnsi="Garamond"/>
          <w:i/>
          <w:sz w:val="20"/>
          <w:szCs w:val="20"/>
          <w:lang w:val="es-AR" w:eastAsia="es-ES"/>
        </w:rPr>
        <w:t>CARGA TRIBUTARIA</w:t>
      </w:r>
      <w:r w:rsidRPr="00CA3A3D">
        <w:rPr>
          <w:rFonts w:ascii="Garamond" w:hAnsi="Garamond"/>
          <w:sz w:val="20"/>
          <w:szCs w:val="20"/>
          <w:lang w:val="es-AR" w:eastAsia="es-ES"/>
        </w:rPr>
        <w:t>” DEL PROSPECTO.</w:t>
      </w:r>
    </w:p>
    <w:p w14:paraId="3937FC2E" w14:textId="5AD8279D" w:rsidR="00CE6C41" w:rsidRPr="00CA3A3D" w:rsidRDefault="00CE6C41" w:rsidP="00060DAB">
      <w:pPr>
        <w:spacing w:before="120" w:after="120" w:line="240" w:lineRule="auto"/>
        <w:jc w:val="center"/>
        <w:rPr>
          <w:rFonts w:ascii="Garamond" w:hAnsi="Garamond" w:cs="Times New Roman"/>
          <w:b/>
          <w:sz w:val="20"/>
          <w:szCs w:val="20"/>
          <w:lang w:val="es-AR"/>
        </w:rPr>
      </w:pPr>
      <w:r w:rsidRPr="00CA3A3D">
        <w:rPr>
          <w:rFonts w:ascii="Garamond" w:hAnsi="Garamond"/>
          <w:b/>
          <w:sz w:val="20"/>
          <w:szCs w:val="20"/>
          <w:lang w:val="es-AR" w:eastAsia="es-ES"/>
        </w:rPr>
        <w:t xml:space="preserve">INVERSORES CALIFICADOS </w:t>
      </w:r>
    </w:p>
    <w:p w14:paraId="479C10A1" w14:textId="63D2AC3F" w:rsidR="00CE6C41" w:rsidRPr="00CA3A3D" w:rsidRDefault="00CE6C41" w:rsidP="00060DAB">
      <w:pPr>
        <w:spacing w:before="120" w:after="120" w:line="240" w:lineRule="auto"/>
        <w:jc w:val="both"/>
        <w:rPr>
          <w:rFonts w:ascii="Garamond" w:hAnsi="Garamond"/>
          <w:sz w:val="20"/>
          <w:szCs w:val="20"/>
          <w:lang w:val="es-AR" w:eastAsia="es-ES"/>
        </w:rPr>
      </w:pPr>
      <w:r w:rsidRPr="00CA3A3D">
        <w:rPr>
          <w:rFonts w:ascii="Garamond" w:hAnsi="Garamond"/>
          <w:sz w:val="20"/>
          <w:szCs w:val="20"/>
          <w:lang w:val="es-AR" w:eastAsia="es-ES"/>
        </w:rPr>
        <w:t xml:space="preserve">En la Argentina, la oferta pública de estas Obligaciones Negociables que se emiten en el marco del presente está destinada exclusivamente a inversores calificados, los cuales se detallan a continuación, de conformidad con lo dispuesto en el Artículo 12, Sección I, Capítulo VI, Título II de las Normas de la CNV. Por lo tanto, las Obligaciones Negociables sólo pueden ser </w:t>
      </w:r>
      <w:r w:rsidR="001177D4" w:rsidRPr="00CA3A3D">
        <w:rPr>
          <w:rFonts w:ascii="Garamond" w:hAnsi="Garamond"/>
          <w:sz w:val="20"/>
          <w:szCs w:val="20"/>
          <w:lang w:val="es-AR" w:eastAsia="es-ES"/>
        </w:rPr>
        <w:t>adquiridas por</w:t>
      </w:r>
      <w:r w:rsidR="009E6186" w:rsidRPr="00CA3A3D">
        <w:rPr>
          <w:rFonts w:ascii="Garamond" w:hAnsi="Garamond"/>
          <w:sz w:val="20"/>
          <w:szCs w:val="20"/>
          <w:lang w:val="es-AR" w:eastAsia="es-ES"/>
        </w:rPr>
        <w:t xml:space="preserve"> </w:t>
      </w:r>
      <w:r w:rsidRPr="00CA3A3D">
        <w:rPr>
          <w:rFonts w:ascii="Garamond" w:hAnsi="Garamond"/>
          <w:sz w:val="20"/>
          <w:szCs w:val="20"/>
          <w:lang w:val="es-AR" w:eastAsia="es-ES"/>
        </w:rPr>
        <w:t>Inversores Calificados: (a) el Estado Nacional, las Provincias y Municipalidades, Entidades Autárquicas, Sociedades y Empresas del Estado; (b) Organismos Internacionales y Personas Jurídicas de Derecho Público; (c) Fondos Fiduciarios Públicos; (d) la Administración Nacional de la Seguridad Social (ANSES) – Fondo de Garantía de Sustentabilidad (FGS); (e) Cajas Previsionales; (f) Bancos y Entidades Financieras Públicas y Privadas; (g) Fondos Comunes de Inversión; (h) Fideicomisos Financieros con oferta pública; (i) Compañías de Seguros, de Reaseguros y Aseguradoras de Riesgos de Trabajo; (j) Sociedades de Garantía Recíproca; (k) Personas Jurídicas registradas por la CNV como agentes, cuando actúen por cuenta propia; (l) Personas humanas que se encuentren inscriptas, con carácter definitivo, en el Registro de Idóneos a cargo de la CNV; (m) Personas humanas o jurídicas, distintas de las enunciadas en los incisos anteriores, que al momento de efectuar la inversión cuenten con inversiones en valores negociables y/o depósitos en entidades financieras por un monto equivalente a Unidades de Valor Adquisitivo trescientas cincuenta mil (UVA 350.000); y (n) Personas jurídicas constituidas en el extranjero y personas humanas con domicilio real en el extranjero</w:t>
      </w:r>
      <w:r w:rsidR="009E0C27" w:rsidRPr="00CA3A3D">
        <w:rPr>
          <w:rFonts w:ascii="Garamond" w:hAnsi="Garamond"/>
          <w:sz w:val="20"/>
          <w:szCs w:val="20"/>
          <w:lang w:val="es-AR" w:eastAsia="es-ES"/>
        </w:rPr>
        <w:t xml:space="preserve"> (los “</w:t>
      </w:r>
      <w:r w:rsidR="009E0C27" w:rsidRPr="00CA3A3D">
        <w:rPr>
          <w:rFonts w:ascii="Garamond" w:hAnsi="Garamond"/>
          <w:sz w:val="20"/>
          <w:szCs w:val="20"/>
          <w:u w:val="single"/>
          <w:lang w:val="es-AR" w:eastAsia="es-ES"/>
        </w:rPr>
        <w:t>Inversores Calificados</w:t>
      </w:r>
      <w:r w:rsidR="009E0C27" w:rsidRPr="00CA3A3D">
        <w:rPr>
          <w:rFonts w:ascii="Garamond" w:hAnsi="Garamond"/>
          <w:sz w:val="20"/>
          <w:szCs w:val="20"/>
          <w:lang w:val="es-AR" w:eastAsia="es-ES"/>
        </w:rPr>
        <w:t>”)</w:t>
      </w:r>
      <w:r w:rsidRPr="00CA3A3D">
        <w:rPr>
          <w:rFonts w:ascii="Garamond" w:hAnsi="Garamond"/>
          <w:sz w:val="20"/>
          <w:szCs w:val="20"/>
          <w:lang w:val="es-AR" w:eastAsia="es-ES"/>
        </w:rPr>
        <w:t>.</w:t>
      </w:r>
    </w:p>
    <w:p w14:paraId="3CED409D" w14:textId="77777777" w:rsidR="00CE6C41" w:rsidRPr="00CA3A3D" w:rsidRDefault="00CE6C41" w:rsidP="00060DAB">
      <w:pPr>
        <w:keepNext/>
        <w:spacing w:before="120" w:after="120" w:line="240" w:lineRule="auto"/>
        <w:jc w:val="center"/>
        <w:rPr>
          <w:rFonts w:ascii="Garamond" w:hAnsi="Garamond"/>
          <w:sz w:val="20"/>
          <w:szCs w:val="20"/>
          <w:lang w:val="es-AR" w:eastAsia="es-ES"/>
        </w:rPr>
      </w:pPr>
      <w:r w:rsidRPr="00CA3A3D">
        <w:rPr>
          <w:rFonts w:ascii="Garamond" w:eastAsia="MS Mincho" w:hAnsi="Garamond" w:cs="Times New Roman"/>
          <w:b/>
          <w:sz w:val="20"/>
          <w:szCs w:val="20"/>
          <w:lang w:val="es-AR" w:eastAsia="es-ES"/>
        </w:rPr>
        <w:t>APROBACIONES</w:t>
      </w:r>
    </w:p>
    <w:p w14:paraId="6C92F898" w14:textId="1991B6F7" w:rsidR="003F2399" w:rsidRPr="00CA3A3D" w:rsidRDefault="00CE6C41">
      <w:pPr>
        <w:keepNext/>
        <w:spacing w:before="120" w:after="120" w:line="240" w:lineRule="auto"/>
        <w:jc w:val="both"/>
        <w:rPr>
          <w:rFonts w:ascii="Garamond" w:hAnsi="Garamond"/>
          <w:sz w:val="20"/>
          <w:szCs w:val="20"/>
          <w:lang w:val="es-AR"/>
        </w:rPr>
      </w:pPr>
      <w:r w:rsidRPr="00CA3A3D">
        <w:rPr>
          <w:rFonts w:ascii="Garamond" w:hAnsi="Garamond"/>
          <w:sz w:val="20"/>
          <w:szCs w:val="20"/>
          <w:lang w:val="es-AR" w:eastAsia="es-ES"/>
        </w:rPr>
        <w:t xml:space="preserve">La creación del Programa ha sido aprobada mediante resolución de la asamblea de accionistas de cada una de las Co-Emisoras de fecha </w:t>
      </w:r>
      <w:r w:rsidR="00CA01B5" w:rsidRPr="00CA3A3D">
        <w:rPr>
          <w:rFonts w:ascii="Garamond" w:hAnsi="Garamond"/>
          <w:sz w:val="20"/>
          <w:szCs w:val="20"/>
          <w:lang w:val="es-AR" w:eastAsia="es-ES"/>
        </w:rPr>
        <w:t>8</w:t>
      </w:r>
      <w:r w:rsidRPr="00CA3A3D">
        <w:rPr>
          <w:rFonts w:ascii="Garamond" w:hAnsi="Garamond"/>
          <w:sz w:val="20"/>
          <w:szCs w:val="20"/>
          <w:lang w:val="es-AR" w:eastAsia="es-ES"/>
        </w:rPr>
        <w:t xml:space="preserve"> de </w:t>
      </w:r>
      <w:r w:rsidR="00CA01B5" w:rsidRPr="00CA3A3D">
        <w:rPr>
          <w:rFonts w:ascii="Garamond" w:hAnsi="Garamond"/>
          <w:sz w:val="20"/>
          <w:szCs w:val="20"/>
          <w:lang w:val="es-AR" w:eastAsia="es-ES"/>
        </w:rPr>
        <w:t xml:space="preserve">agosto </w:t>
      </w:r>
      <w:r w:rsidRPr="00CA3A3D">
        <w:rPr>
          <w:rFonts w:ascii="Garamond" w:hAnsi="Garamond"/>
          <w:sz w:val="20"/>
          <w:szCs w:val="20"/>
          <w:lang w:val="es-AR" w:eastAsia="es-ES"/>
        </w:rPr>
        <w:t>de 20</w:t>
      </w:r>
      <w:r w:rsidR="009E6186" w:rsidRPr="00CA3A3D">
        <w:rPr>
          <w:rFonts w:ascii="Garamond" w:hAnsi="Garamond"/>
          <w:sz w:val="20"/>
          <w:szCs w:val="20"/>
          <w:lang w:val="es-AR" w:eastAsia="es-ES"/>
        </w:rPr>
        <w:t>1</w:t>
      </w:r>
      <w:r w:rsidR="00CA01B5" w:rsidRPr="00CA3A3D">
        <w:rPr>
          <w:rFonts w:ascii="Garamond" w:hAnsi="Garamond"/>
          <w:sz w:val="20"/>
          <w:szCs w:val="20"/>
          <w:lang w:val="es-AR" w:eastAsia="es-ES"/>
        </w:rPr>
        <w:t>7 y por Resolución de la CNV Nº RESFC-2017-18947-APN-</w:t>
      </w:r>
      <w:r w:rsidR="00CA01B5" w:rsidRPr="00CA3A3D">
        <w:rPr>
          <w:rFonts w:ascii="Garamond" w:hAnsi="Garamond"/>
          <w:sz w:val="20"/>
          <w:szCs w:val="20"/>
          <w:lang w:val="es-AR" w:eastAsia="es-ES"/>
        </w:rPr>
        <w:lastRenderedPageBreak/>
        <w:t>DIR#CNV de fecha 26 de septiembre de 2017</w:t>
      </w:r>
      <w:r w:rsidRPr="00CA3A3D">
        <w:rPr>
          <w:rFonts w:ascii="Garamond" w:hAnsi="Garamond"/>
          <w:sz w:val="20"/>
          <w:szCs w:val="20"/>
          <w:lang w:val="es-AR" w:eastAsia="es-ES"/>
        </w:rPr>
        <w:t xml:space="preserve">. </w:t>
      </w:r>
      <w:r w:rsidR="00CA01B5" w:rsidRPr="00CA3A3D">
        <w:rPr>
          <w:rFonts w:ascii="Garamond" w:hAnsi="Garamond"/>
          <w:sz w:val="20"/>
          <w:szCs w:val="20"/>
          <w:lang w:val="es-AR" w:eastAsia="es-ES"/>
        </w:rPr>
        <w:t>El aumento del monto del</w:t>
      </w:r>
      <w:r w:rsidRPr="00CA3A3D">
        <w:rPr>
          <w:rFonts w:ascii="Garamond" w:hAnsi="Garamond"/>
          <w:sz w:val="20"/>
          <w:szCs w:val="20"/>
          <w:lang w:val="es-AR" w:eastAsia="es-ES"/>
        </w:rPr>
        <w:t xml:space="preserve"> Programa fue autorizad</w:t>
      </w:r>
      <w:r w:rsidR="00CA01B5" w:rsidRPr="00CA3A3D">
        <w:rPr>
          <w:rFonts w:ascii="Garamond" w:hAnsi="Garamond"/>
          <w:sz w:val="20"/>
          <w:szCs w:val="20"/>
          <w:lang w:val="es-AR" w:eastAsia="es-ES"/>
        </w:rPr>
        <w:t>o</w:t>
      </w:r>
      <w:r w:rsidRPr="00CA3A3D">
        <w:rPr>
          <w:rFonts w:ascii="Garamond" w:hAnsi="Garamond"/>
          <w:sz w:val="20"/>
          <w:szCs w:val="20"/>
          <w:lang w:val="es-AR" w:eastAsia="es-ES"/>
        </w:rPr>
        <w:t xml:space="preserve"> por resoluciones de las asambleas de accionistas de cada una de las </w:t>
      </w:r>
      <w:r w:rsidR="001177D4" w:rsidRPr="00CA3A3D">
        <w:rPr>
          <w:rFonts w:ascii="Garamond" w:hAnsi="Garamond"/>
          <w:sz w:val="20"/>
          <w:szCs w:val="20"/>
          <w:lang w:val="es-AR" w:eastAsia="es-ES"/>
        </w:rPr>
        <w:t>Co-</w:t>
      </w:r>
      <w:r w:rsidRPr="00CA3A3D">
        <w:rPr>
          <w:rFonts w:ascii="Garamond" w:hAnsi="Garamond"/>
          <w:sz w:val="20"/>
          <w:szCs w:val="20"/>
          <w:lang w:val="es-AR" w:eastAsia="es-ES"/>
        </w:rPr>
        <w:t>Emisoras</w:t>
      </w:r>
      <w:r w:rsidR="001177D4" w:rsidRPr="00CA3A3D">
        <w:rPr>
          <w:rFonts w:ascii="Garamond" w:hAnsi="Garamond"/>
          <w:sz w:val="20"/>
          <w:szCs w:val="20"/>
          <w:lang w:val="es-AR" w:eastAsia="es-ES"/>
        </w:rPr>
        <w:t>,</w:t>
      </w:r>
      <w:r w:rsidRPr="00CA3A3D">
        <w:rPr>
          <w:rFonts w:ascii="Garamond" w:hAnsi="Garamond"/>
          <w:sz w:val="20"/>
          <w:szCs w:val="20"/>
          <w:lang w:val="es-AR" w:eastAsia="es-ES"/>
        </w:rPr>
        <w:t xml:space="preserve"> </w:t>
      </w:r>
      <w:r w:rsidR="00CA01B5" w:rsidRPr="00CA3A3D">
        <w:rPr>
          <w:rFonts w:ascii="Garamond" w:hAnsi="Garamond"/>
          <w:sz w:val="20"/>
          <w:szCs w:val="20"/>
          <w:lang w:val="es-AR" w:eastAsia="es-ES"/>
        </w:rPr>
        <w:t xml:space="preserve">ambas </w:t>
      </w:r>
      <w:r w:rsidRPr="00CA3A3D">
        <w:rPr>
          <w:rFonts w:ascii="Garamond" w:hAnsi="Garamond"/>
          <w:sz w:val="20"/>
          <w:szCs w:val="20"/>
          <w:lang w:val="es-AR" w:eastAsia="es-ES"/>
        </w:rPr>
        <w:t>de fecha 4 de febrero de 2019, y aprobad</w:t>
      </w:r>
      <w:r w:rsidR="001177D4" w:rsidRPr="00CA3A3D">
        <w:rPr>
          <w:rFonts w:ascii="Garamond" w:hAnsi="Garamond"/>
          <w:sz w:val="20"/>
          <w:szCs w:val="20"/>
          <w:lang w:val="es-AR" w:eastAsia="es-ES"/>
        </w:rPr>
        <w:t>o</w:t>
      </w:r>
      <w:r w:rsidRPr="00CA3A3D">
        <w:rPr>
          <w:rFonts w:ascii="Garamond" w:hAnsi="Garamond"/>
          <w:sz w:val="20"/>
          <w:szCs w:val="20"/>
          <w:lang w:val="es-AR" w:eastAsia="es-ES"/>
        </w:rPr>
        <w:t xml:space="preserve"> por </w:t>
      </w:r>
      <w:r w:rsidR="00CA01B5" w:rsidRPr="00CA3A3D">
        <w:rPr>
          <w:rFonts w:ascii="Garamond" w:hAnsi="Garamond"/>
          <w:sz w:val="20"/>
          <w:szCs w:val="20"/>
          <w:lang w:val="es-AR" w:eastAsia="es-ES"/>
        </w:rPr>
        <w:t xml:space="preserve">Resolución Nº RESFC-2019-20111-APN-DIR#CNV de fecha 8 de marzo </w:t>
      </w:r>
      <w:r w:rsidRPr="00CA3A3D">
        <w:rPr>
          <w:rFonts w:ascii="Garamond" w:hAnsi="Garamond"/>
          <w:sz w:val="20"/>
          <w:szCs w:val="20"/>
          <w:lang w:val="es-AR" w:eastAsia="es-ES"/>
        </w:rPr>
        <w:t>de 2019. La emisión de las obligaciones negociables</w:t>
      </w:r>
      <w:r w:rsidR="006A78FA" w:rsidRPr="00CA3A3D">
        <w:rPr>
          <w:rFonts w:ascii="Garamond" w:hAnsi="Garamond"/>
          <w:sz w:val="20"/>
          <w:szCs w:val="20"/>
          <w:lang w:val="es-AR" w:eastAsia="es-ES"/>
        </w:rPr>
        <w:t xml:space="preserve"> y la constitución de </w:t>
      </w:r>
      <w:r w:rsidR="0046309E" w:rsidRPr="00CA3A3D">
        <w:rPr>
          <w:rFonts w:ascii="Garamond" w:hAnsi="Garamond"/>
          <w:sz w:val="20"/>
          <w:szCs w:val="20"/>
          <w:lang w:val="es-AR" w:eastAsia="es-ES"/>
        </w:rPr>
        <w:t>l</w:t>
      </w:r>
      <w:r w:rsidR="00A7613B" w:rsidRPr="00CA3A3D">
        <w:rPr>
          <w:rFonts w:ascii="Garamond" w:hAnsi="Garamond"/>
          <w:sz w:val="20"/>
          <w:szCs w:val="20"/>
          <w:lang w:val="es-AR" w:eastAsia="es-ES"/>
        </w:rPr>
        <w:t>o</w:t>
      </w:r>
      <w:r w:rsidR="0046309E" w:rsidRPr="00CA3A3D">
        <w:rPr>
          <w:rFonts w:ascii="Garamond" w:hAnsi="Garamond"/>
          <w:sz w:val="20"/>
          <w:szCs w:val="20"/>
          <w:lang w:val="es-AR" w:eastAsia="es-ES"/>
        </w:rPr>
        <w:t xml:space="preserve">s </w:t>
      </w:r>
      <w:r w:rsidR="00A7613B" w:rsidRPr="00CA3A3D">
        <w:rPr>
          <w:rFonts w:ascii="Garamond" w:hAnsi="Garamond"/>
          <w:sz w:val="20"/>
          <w:szCs w:val="20"/>
          <w:lang w:val="es-AR" w:eastAsia="es-ES"/>
        </w:rPr>
        <w:t xml:space="preserve">Derechos de Garantía </w:t>
      </w:r>
      <w:r w:rsidRPr="00CA3A3D">
        <w:rPr>
          <w:rFonts w:ascii="Garamond" w:hAnsi="Garamond"/>
          <w:sz w:val="20"/>
          <w:szCs w:val="20"/>
          <w:lang w:val="es-AR" w:eastAsia="es-ES"/>
        </w:rPr>
        <w:t>fue</w:t>
      </w:r>
      <w:r w:rsidR="006A78FA" w:rsidRPr="00CA3A3D">
        <w:rPr>
          <w:rFonts w:ascii="Garamond" w:hAnsi="Garamond"/>
          <w:sz w:val="20"/>
          <w:szCs w:val="20"/>
          <w:lang w:val="es-AR" w:eastAsia="es-ES"/>
        </w:rPr>
        <w:t>ron</w:t>
      </w:r>
      <w:r w:rsidRPr="00CA3A3D">
        <w:rPr>
          <w:rFonts w:ascii="Garamond" w:hAnsi="Garamond"/>
          <w:sz w:val="20"/>
          <w:szCs w:val="20"/>
          <w:lang w:val="es-AR" w:eastAsia="es-ES"/>
        </w:rPr>
        <w:t xml:space="preserve"> aprobad</w:t>
      </w:r>
      <w:r w:rsidR="006A78FA" w:rsidRPr="00CA3A3D">
        <w:rPr>
          <w:rFonts w:ascii="Garamond" w:hAnsi="Garamond"/>
          <w:sz w:val="20"/>
          <w:szCs w:val="20"/>
          <w:lang w:val="es-AR" w:eastAsia="es-ES"/>
        </w:rPr>
        <w:t>os</w:t>
      </w:r>
      <w:r w:rsidRPr="00CA3A3D">
        <w:rPr>
          <w:rFonts w:ascii="Garamond" w:hAnsi="Garamond"/>
          <w:sz w:val="20"/>
          <w:szCs w:val="20"/>
          <w:lang w:val="es-AR" w:eastAsia="es-ES"/>
        </w:rPr>
        <w:t xml:space="preserve"> por resolución del directorio de cada una de las Co-Emisoras de fecha </w:t>
      </w:r>
      <w:r w:rsidR="00290A87" w:rsidRPr="00CA3A3D">
        <w:rPr>
          <w:rFonts w:ascii="Garamond" w:hAnsi="Garamond"/>
          <w:sz w:val="20"/>
          <w:szCs w:val="20"/>
          <w:lang w:val="es-AR" w:eastAsia="es-ES"/>
        </w:rPr>
        <w:t>16</w:t>
      </w:r>
      <w:r w:rsidR="00387E05" w:rsidRPr="00CA3A3D">
        <w:rPr>
          <w:rFonts w:ascii="Garamond" w:hAnsi="Garamond"/>
          <w:sz w:val="20"/>
          <w:szCs w:val="20"/>
          <w:lang w:val="es-AR" w:eastAsia="es-ES"/>
        </w:rPr>
        <w:t xml:space="preserve"> de </w:t>
      </w:r>
      <w:r w:rsidR="00290A87" w:rsidRPr="00CA3A3D">
        <w:rPr>
          <w:rFonts w:ascii="Garamond" w:hAnsi="Garamond"/>
          <w:sz w:val="20"/>
          <w:szCs w:val="20"/>
          <w:lang w:val="es-AR" w:eastAsia="es-ES"/>
        </w:rPr>
        <w:t>julio</w:t>
      </w:r>
      <w:r w:rsidR="005416C4" w:rsidRPr="00CA3A3D">
        <w:rPr>
          <w:rFonts w:ascii="Garamond" w:hAnsi="Garamond"/>
          <w:sz w:val="20"/>
          <w:szCs w:val="20"/>
          <w:lang w:val="es-AR" w:eastAsia="es-ES"/>
        </w:rPr>
        <w:t xml:space="preserve"> </w:t>
      </w:r>
      <w:r w:rsidRPr="00CA3A3D">
        <w:rPr>
          <w:rFonts w:ascii="Garamond" w:hAnsi="Garamond"/>
          <w:sz w:val="20"/>
          <w:szCs w:val="20"/>
          <w:lang w:val="es-AR" w:eastAsia="es-ES"/>
        </w:rPr>
        <w:t xml:space="preserve">de 2019, de acuerdo con las facultades delegadas a los directorios de cada una de las </w:t>
      </w:r>
      <w:r w:rsidR="00F54F44" w:rsidRPr="00CA3A3D">
        <w:rPr>
          <w:rFonts w:ascii="Garamond" w:hAnsi="Garamond"/>
          <w:sz w:val="20"/>
          <w:szCs w:val="20"/>
          <w:lang w:val="es-AR" w:eastAsia="es-ES"/>
        </w:rPr>
        <w:t>respectivas</w:t>
      </w:r>
      <w:r w:rsidR="007D5BE7" w:rsidRPr="00CA3A3D">
        <w:rPr>
          <w:rFonts w:ascii="Garamond" w:hAnsi="Garamond"/>
          <w:sz w:val="20"/>
          <w:szCs w:val="20"/>
          <w:lang w:val="es-AR" w:eastAsia="es-ES"/>
        </w:rPr>
        <w:t xml:space="preserve"> </w:t>
      </w:r>
      <w:r w:rsidRPr="00CA3A3D">
        <w:rPr>
          <w:rFonts w:ascii="Garamond" w:hAnsi="Garamond"/>
          <w:sz w:val="20"/>
          <w:szCs w:val="20"/>
          <w:lang w:val="es-AR" w:eastAsia="es-ES"/>
        </w:rPr>
        <w:t>Co-Emisoras en la asamblea de accionistas celebrada el 4 de febrero de 2019.</w:t>
      </w:r>
      <w:r w:rsidR="0039266E" w:rsidRPr="00CA3A3D">
        <w:rPr>
          <w:rFonts w:ascii="Garamond" w:hAnsi="Garamond"/>
          <w:sz w:val="20"/>
          <w:szCs w:val="20"/>
          <w:lang w:val="es-AR" w:eastAsia="es-ES"/>
        </w:rPr>
        <w:t xml:space="preserve"> </w:t>
      </w:r>
      <w:r w:rsidR="0039266E" w:rsidRPr="00CA3A3D">
        <w:rPr>
          <w:rFonts w:ascii="Garamond" w:hAnsi="Garamond"/>
          <w:sz w:val="20"/>
          <w:szCs w:val="20"/>
          <w:lang w:val="es-AR"/>
        </w:rPr>
        <w:t xml:space="preserve">La Garantía de ASA fue aprobada por reunión de Directorio del Garante celebrada el </w:t>
      </w:r>
      <w:r w:rsidR="00C40481" w:rsidRPr="00CA3A3D">
        <w:rPr>
          <w:rFonts w:ascii="Garamond" w:hAnsi="Garamond"/>
          <w:sz w:val="20"/>
          <w:szCs w:val="20"/>
          <w:lang w:val="es-AR"/>
        </w:rPr>
        <w:t>16</w:t>
      </w:r>
      <w:r w:rsidR="00387E05" w:rsidRPr="00CA3A3D">
        <w:rPr>
          <w:rFonts w:ascii="Garamond" w:hAnsi="Garamond"/>
          <w:sz w:val="20"/>
          <w:szCs w:val="20"/>
          <w:lang w:val="es-AR"/>
        </w:rPr>
        <w:t xml:space="preserve"> de </w:t>
      </w:r>
      <w:r w:rsidR="00C40481" w:rsidRPr="00CA3A3D">
        <w:rPr>
          <w:rFonts w:ascii="Garamond" w:hAnsi="Garamond"/>
          <w:sz w:val="20"/>
          <w:szCs w:val="20"/>
          <w:lang w:val="es-AR"/>
        </w:rPr>
        <w:t xml:space="preserve">julio </w:t>
      </w:r>
      <w:r w:rsidR="00387E05" w:rsidRPr="00CA3A3D">
        <w:rPr>
          <w:rFonts w:ascii="Garamond" w:hAnsi="Garamond"/>
          <w:sz w:val="20"/>
          <w:szCs w:val="20"/>
          <w:lang w:val="es-AR"/>
        </w:rPr>
        <w:t>de 2019</w:t>
      </w:r>
      <w:r w:rsidR="0039266E" w:rsidRPr="00CA3A3D">
        <w:rPr>
          <w:rFonts w:ascii="Garamond" w:hAnsi="Garamond"/>
          <w:sz w:val="20"/>
          <w:szCs w:val="20"/>
          <w:lang w:val="es-AR"/>
        </w:rPr>
        <w:t>.</w:t>
      </w:r>
      <w:r w:rsidR="00387E05" w:rsidRPr="00CA3A3D">
        <w:rPr>
          <w:rFonts w:ascii="Garamond" w:hAnsi="Garamond"/>
          <w:sz w:val="20"/>
          <w:szCs w:val="20"/>
          <w:lang w:val="es-AR"/>
        </w:rPr>
        <w:t xml:space="preserve"> Los términos y condiciones específicas de las Obligaciones Negociables fueron aprobad</w:t>
      </w:r>
      <w:r w:rsidR="00290A87" w:rsidRPr="00CA3A3D">
        <w:rPr>
          <w:rFonts w:ascii="Garamond" w:hAnsi="Garamond"/>
          <w:sz w:val="20"/>
          <w:szCs w:val="20"/>
          <w:lang w:val="es-AR"/>
        </w:rPr>
        <w:t>o</w:t>
      </w:r>
      <w:r w:rsidR="00387E05" w:rsidRPr="00CA3A3D">
        <w:rPr>
          <w:rFonts w:ascii="Garamond" w:hAnsi="Garamond"/>
          <w:sz w:val="20"/>
          <w:szCs w:val="20"/>
          <w:lang w:val="es-AR"/>
        </w:rPr>
        <w:t>s por reuni</w:t>
      </w:r>
      <w:r w:rsidR="00C40481" w:rsidRPr="00CA3A3D">
        <w:rPr>
          <w:rFonts w:ascii="Garamond" w:hAnsi="Garamond"/>
          <w:sz w:val="20"/>
          <w:szCs w:val="20"/>
          <w:lang w:val="es-AR"/>
        </w:rPr>
        <w:t>ones</w:t>
      </w:r>
      <w:r w:rsidR="00387E05" w:rsidRPr="00CA3A3D">
        <w:rPr>
          <w:rFonts w:ascii="Garamond" w:hAnsi="Garamond"/>
          <w:sz w:val="20"/>
          <w:szCs w:val="20"/>
          <w:lang w:val="es-AR"/>
        </w:rPr>
        <w:t xml:space="preserve"> de subdelegado de </w:t>
      </w:r>
      <w:r w:rsidR="00C40481" w:rsidRPr="00CA3A3D">
        <w:rPr>
          <w:rFonts w:ascii="Garamond" w:hAnsi="Garamond"/>
          <w:sz w:val="20"/>
          <w:szCs w:val="20"/>
          <w:lang w:val="es-AR"/>
        </w:rPr>
        <w:t xml:space="preserve">cada una de las Co-Emisoras ambas de </w:t>
      </w:r>
      <w:r w:rsidR="00387E05" w:rsidRPr="00CA3A3D">
        <w:rPr>
          <w:rFonts w:ascii="Garamond" w:hAnsi="Garamond"/>
          <w:sz w:val="20"/>
          <w:szCs w:val="20"/>
          <w:lang w:val="es-AR"/>
        </w:rPr>
        <w:t xml:space="preserve">fecha </w:t>
      </w:r>
      <w:r w:rsidR="00467DC9">
        <w:rPr>
          <w:rFonts w:ascii="Garamond" w:hAnsi="Garamond" w:hint="eastAsia"/>
          <w:sz w:val="20"/>
          <w:szCs w:val="20"/>
          <w:lang w:val="es-AR"/>
        </w:rPr>
        <w:t>2</w:t>
      </w:r>
      <w:r w:rsidR="00467DC9">
        <w:rPr>
          <w:rFonts w:ascii="Garamond" w:hAnsi="Garamond"/>
          <w:sz w:val="20"/>
          <w:szCs w:val="20"/>
          <w:lang w:val="es-AR"/>
        </w:rPr>
        <w:t>5 de julio de 2019</w:t>
      </w:r>
      <w:r w:rsidR="00387E05" w:rsidRPr="00CA3A3D">
        <w:rPr>
          <w:rFonts w:ascii="Garamond" w:hAnsi="Garamond" w:hint="eastAsia"/>
          <w:sz w:val="20"/>
          <w:szCs w:val="20"/>
          <w:lang w:val="es-AR"/>
        </w:rPr>
        <w:t>.</w:t>
      </w:r>
    </w:p>
    <w:p w14:paraId="130FEAC0" w14:textId="77777777" w:rsidR="00AE1B1E" w:rsidRPr="00CA3A3D" w:rsidRDefault="00AE1B1E">
      <w:pPr>
        <w:keepNext/>
        <w:spacing w:before="120" w:after="120" w:line="240" w:lineRule="auto"/>
        <w:jc w:val="center"/>
        <w:rPr>
          <w:rFonts w:ascii="Garamond" w:eastAsia="MS Mincho" w:hAnsi="Garamond" w:cs="Times New Roman"/>
          <w:b/>
          <w:sz w:val="20"/>
          <w:szCs w:val="20"/>
          <w:lang w:val="es-AR" w:eastAsia="es-ES"/>
        </w:rPr>
      </w:pPr>
    </w:p>
    <w:p w14:paraId="0BA1C68F" w14:textId="77777777" w:rsidR="005824A4" w:rsidRPr="00CA3A3D" w:rsidRDefault="00E935DD">
      <w:pPr>
        <w:keepNext/>
        <w:spacing w:before="120" w:after="120" w:line="240" w:lineRule="auto"/>
        <w:jc w:val="center"/>
        <w:rPr>
          <w:rFonts w:ascii="Garamond" w:hAnsi="Garamond"/>
          <w:sz w:val="20"/>
          <w:szCs w:val="20"/>
          <w:lang w:val="es-AR"/>
        </w:rPr>
      </w:pPr>
      <w:r w:rsidRPr="00CA3A3D">
        <w:rPr>
          <w:rFonts w:ascii="Garamond" w:eastAsia="MS Mincho" w:hAnsi="Garamond" w:cs="Times New Roman"/>
          <w:b/>
          <w:sz w:val="20"/>
          <w:szCs w:val="20"/>
          <w:lang w:val="es-AR" w:eastAsia="es-ES"/>
        </w:rPr>
        <w:t>PROCESO PENAL</w:t>
      </w:r>
    </w:p>
    <w:p w14:paraId="7C9C9AEB" w14:textId="77777777" w:rsidR="00482939" w:rsidRPr="00CA0A60" w:rsidRDefault="00482939" w:rsidP="00002289">
      <w:pPr>
        <w:spacing w:before="120" w:after="120" w:line="240" w:lineRule="auto"/>
        <w:contextualSpacing/>
        <w:jc w:val="both"/>
        <w:rPr>
          <w:rFonts w:ascii="Garamond" w:eastAsia="Times New Roman" w:hAnsi="Garamond" w:cs="Times New Roman"/>
          <w:sz w:val="20"/>
          <w:szCs w:val="18"/>
          <w:lang w:val="es-AR"/>
        </w:rPr>
      </w:pPr>
      <w:bookmarkStart w:id="25" w:name="_cp_text_1_9"/>
      <w:r w:rsidRPr="00CA0A60">
        <w:rPr>
          <w:rFonts w:ascii="Garamond" w:eastAsia="Times New Roman" w:hAnsi="Garamond" w:cs="Times New Roman"/>
          <w:sz w:val="20"/>
          <w:szCs w:val="18"/>
          <w:lang w:val="es-AR" w:eastAsia="ja-JP"/>
        </w:rPr>
        <w:t>A continuación</w:t>
      </w:r>
      <w:r w:rsidR="008D26DF" w:rsidRPr="00713D6E">
        <w:rPr>
          <w:rFonts w:ascii="Garamond" w:eastAsia="Times New Roman" w:hAnsi="Garamond" w:cs="Times New Roman"/>
          <w:sz w:val="20"/>
          <w:szCs w:val="18"/>
          <w:lang w:val="es-AR" w:eastAsia="ja-JP"/>
        </w:rPr>
        <w:t>,</w:t>
      </w:r>
      <w:r w:rsidRPr="00CA0A60">
        <w:rPr>
          <w:rFonts w:ascii="Garamond" w:eastAsia="Times New Roman" w:hAnsi="Garamond" w:cs="Times New Roman"/>
          <w:sz w:val="20"/>
          <w:szCs w:val="18"/>
          <w:lang w:val="es-AR" w:eastAsia="ja-JP"/>
        </w:rPr>
        <w:t xml:space="preserve"> se </w:t>
      </w:r>
      <w:r w:rsidRPr="00CA0A60">
        <w:rPr>
          <w:rFonts w:ascii="Garamond" w:eastAsia="Times New Roman" w:hAnsi="Garamond" w:cs="Times New Roman"/>
          <w:sz w:val="20"/>
          <w:szCs w:val="18"/>
          <w:lang w:val="es-AR"/>
        </w:rPr>
        <w:t xml:space="preserve">encuentran ciertas declaraciones de </w:t>
      </w:r>
      <w:r w:rsidRPr="00CA3A3D">
        <w:rPr>
          <w:rFonts w:ascii="Garamond" w:hAnsi="Garamond"/>
          <w:sz w:val="20"/>
          <w:szCs w:val="18"/>
          <w:lang w:val="es-AR"/>
        </w:rPr>
        <w:t>las Co-Emisoras respecto al</w:t>
      </w:r>
      <w:r w:rsidRPr="00CA0A60">
        <w:rPr>
          <w:rFonts w:ascii="Garamond" w:eastAsia="Times New Roman" w:hAnsi="Garamond" w:cs="Times New Roman"/>
          <w:sz w:val="20"/>
          <w:szCs w:val="18"/>
          <w:lang w:val="es-AR"/>
        </w:rPr>
        <w:t xml:space="preserve"> </w:t>
      </w:r>
      <w:bookmarkEnd w:id="25"/>
      <w:r w:rsidRPr="00CA0A60">
        <w:rPr>
          <w:rFonts w:ascii="Garamond" w:eastAsia="Times New Roman" w:hAnsi="Garamond" w:cs="Times New Roman"/>
          <w:sz w:val="20"/>
          <w:szCs w:val="18"/>
          <w:lang w:val="es-AR"/>
        </w:rPr>
        <w:t xml:space="preserve">estado de ciertas acciones judiciales que tramitan ante un juzgado federal de Argentina en las que el ex-presidente </w:t>
      </w:r>
      <w:r w:rsidR="008D26DF" w:rsidRPr="00CA0A60">
        <w:rPr>
          <w:rFonts w:ascii="Garamond" w:eastAsia="Times New Roman" w:hAnsi="Garamond" w:cs="Times New Roman"/>
          <w:sz w:val="20"/>
          <w:szCs w:val="18"/>
          <w:lang w:val="es-AR"/>
        </w:rPr>
        <w:t xml:space="preserve">del directorio </w:t>
      </w:r>
      <w:r w:rsidRPr="00CA0A60">
        <w:rPr>
          <w:rFonts w:ascii="Garamond" w:eastAsia="Times New Roman" w:hAnsi="Garamond" w:cs="Times New Roman"/>
          <w:sz w:val="20"/>
          <w:szCs w:val="18"/>
          <w:lang w:val="es-AR"/>
        </w:rPr>
        <w:t xml:space="preserve">de GEMSA, CTR y ASA (en conjunto, </w:t>
      </w:r>
      <w:r w:rsidR="00283391" w:rsidRPr="00CA0A60">
        <w:rPr>
          <w:rFonts w:ascii="Garamond" w:eastAsia="Times New Roman" w:hAnsi="Garamond" w:cs="Times New Roman"/>
          <w:sz w:val="20"/>
          <w:szCs w:val="18"/>
          <w:lang w:val="es-AR"/>
        </w:rPr>
        <w:t xml:space="preserve">las </w:t>
      </w:r>
      <w:r w:rsidRPr="00CA0A60">
        <w:rPr>
          <w:rFonts w:ascii="Garamond" w:eastAsia="Times New Roman" w:hAnsi="Garamond" w:cs="Times New Roman"/>
          <w:sz w:val="20"/>
          <w:szCs w:val="18"/>
          <w:lang w:val="es-AR"/>
        </w:rPr>
        <w:t>“</w:t>
      </w:r>
      <w:r w:rsidR="00283391" w:rsidRPr="00CA0A60">
        <w:rPr>
          <w:rFonts w:ascii="Garamond" w:eastAsia="Times New Roman" w:hAnsi="Garamond" w:cs="Times New Roman"/>
          <w:sz w:val="20"/>
          <w:szCs w:val="18"/>
          <w:u w:val="single"/>
          <w:lang w:val="es-AR"/>
        </w:rPr>
        <w:t>Entidades Relevantes</w:t>
      </w:r>
      <w:r w:rsidRPr="00CA0A60">
        <w:rPr>
          <w:rFonts w:ascii="Garamond" w:eastAsia="Times New Roman" w:hAnsi="Garamond" w:cs="Times New Roman"/>
          <w:sz w:val="20"/>
          <w:szCs w:val="18"/>
          <w:lang w:val="es-AR"/>
        </w:rPr>
        <w:t xml:space="preserve">”), el Sr. Armando Roberto Losón, ha sido procesado, se brinda un análisis de las derivaciones legales que tales acciones podrían tener para </w:t>
      </w:r>
      <w:r w:rsidR="00283391" w:rsidRPr="00CA0A60">
        <w:rPr>
          <w:rFonts w:ascii="Garamond" w:eastAsia="Times New Roman" w:hAnsi="Garamond" w:cs="Times New Roman"/>
          <w:sz w:val="20"/>
          <w:szCs w:val="18"/>
          <w:lang w:val="es-AR"/>
        </w:rPr>
        <w:t xml:space="preserve">las Entidades Relevantes </w:t>
      </w:r>
      <w:r w:rsidRPr="00CA0A60">
        <w:rPr>
          <w:rFonts w:ascii="Garamond" w:eastAsia="Times New Roman" w:hAnsi="Garamond" w:cs="Times New Roman"/>
          <w:sz w:val="20"/>
          <w:szCs w:val="18"/>
          <w:lang w:val="es-AR"/>
        </w:rPr>
        <w:t xml:space="preserve">en Argentina y Estados Unidos. </w:t>
      </w:r>
    </w:p>
    <w:p w14:paraId="110FFD37" w14:textId="77777777" w:rsidR="00482939" w:rsidRPr="00CA0A60" w:rsidRDefault="00482939" w:rsidP="00482939">
      <w:pPr>
        <w:spacing w:after="0"/>
        <w:contextualSpacing/>
        <w:jc w:val="both"/>
        <w:rPr>
          <w:rFonts w:ascii="Garamond" w:eastAsia="Times New Roman" w:hAnsi="Garamond" w:cs="Times New Roman"/>
          <w:sz w:val="20"/>
          <w:szCs w:val="18"/>
          <w:lang w:val="es-AR"/>
        </w:rPr>
      </w:pPr>
    </w:p>
    <w:p w14:paraId="31D98C7F" w14:textId="77777777" w:rsidR="00482939" w:rsidRPr="00CA0A60" w:rsidRDefault="00482939" w:rsidP="00002289">
      <w:pPr>
        <w:spacing w:before="120" w:after="120" w:line="240" w:lineRule="auto"/>
        <w:contextualSpacing/>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La información aquí descripta no constituye un dictamen legal. Todo inversor deberá realizar su propia diligencia debida y consultar con sus propios asesores legales y demás asesores independientes.</w:t>
      </w:r>
    </w:p>
    <w:p w14:paraId="6B699379" w14:textId="77777777" w:rsidR="00482939" w:rsidRPr="00CA0A60" w:rsidRDefault="00482939" w:rsidP="00002289">
      <w:pPr>
        <w:spacing w:before="120" w:after="120" w:line="240" w:lineRule="auto"/>
        <w:contextualSpacing/>
        <w:jc w:val="both"/>
        <w:rPr>
          <w:rFonts w:ascii="Garamond" w:eastAsia="Times New Roman" w:hAnsi="Garamond" w:cs="Times New Roman"/>
          <w:sz w:val="20"/>
          <w:szCs w:val="18"/>
          <w:lang w:val="es-AR"/>
        </w:rPr>
      </w:pPr>
    </w:p>
    <w:p w14:paraId="0AABBB2C" w14:textId="161F9A14" w:rsidR="00482939" w:rsidRPr="00CA0A60" w:rsidRDefault="00482939" w:rsidP="00002289">
      <w:pPr>
        <w:spacing w:before="120" w:after="120" w:line="240" w:lineRule="auto"/>
        <w:contextualSpacing/>
        <w:jc w:val="center"/>
        <w:rPr>
          <w:rFonts w:ascii="Garamond" w:eastAsia="Times New Roman" w:hAnsi="Garamond" w:cs="Times New Roman"/>
          <w:b/>
          <w:sz w:val="20"/>
          <w:szCs w:val="18"/>
          <w:lang w:val="es-AR"/>
        </w:rPr>
      </w:pPr>
      <w:r w:rsidRPr="00CA0A60">
        <w:rPr>
          <w:rFonts w:ascii="Garamond" w:eastAsia="Times New Roman" w:hAnsi="Garamond" w:cs="Times New Roman"/>
          <w:b/>
          <w:sz w:val="20"/>
          <w:szCs w:val="18"/>
          <w:lang w:val="es-AR"/>
        </w:rPr>
        <w:t>INVESTIGACIÓN PENAL</w:t>
      </w:r>
    </w:p>
    <w:p w14:paraId="156C8354" w14:textId="77777777" w:rsidR="00481B0B" w:rsidRPr="00CA0A60" w:rsidRDefault="00481B0B" w:rsidP="00002289">
      <w:pPr>
        <w:spacing w:before="120" w:after="120" w:line="240" w:lineRule="auto"/>
        <w:contextualSpacing/>
        <w:jc w:val="center"/>
        <w:rPr>
          <w:rFonts w:ascii="Garamond" w:hAnsi="Garamond"/>
          <w:b/>
          <w:sz w:val="20"/>
          <w:lang w:val="es-AR"/>
        </w:rPr>
      </w:pPr>
    </w:p>
    <w:p w14:paraId="7E82EDE0" w14:textId="77777777" w:rsidR="00482939" w:rsidRPr="00CA0A60" w:rsidRDefault="00482939" w:rsidP="00002289">
      <w:pPr>
        <w:spacing w:before="120" w:after="120" w:line="240" w:lineRule="auto"/>
        <w:contextualSpacing/>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El 1° de agosto de 2018, el Sr. Armando Roberto Losón fue procesado por el Juzgado Nacional en lo Criminal y Correccional N° 11, Secretaría N° 21 (el “</w:t>
      </w:r>
      <w:r w:rsidRPr="00CA0A60">
        <w:rPr>
          <w:rFonts w:ascii="Garamond" w:eastAsia="Times New Roman" w:hAnsi="Garamond" w:cs="Times New Roman"/>
          <w:sz w:val="20"/>
          <w:szCs w:val="18"/>
          <w:u w:val="single"/>
          <w:lang w:val="es-AR"/>
        </w:rPr>
        <w:t>Juzgado</w:t>
      </w:r>
      <w:r w:rsidRPr="00CA0A60">
        <w:rPr>
          <w:rFonts w:ascii="Garamond" w:eastAsia="Times New Roman" w:hAnsi="Garamond" w:cs="Times New Roman"/>
          <w:sz w:val="20"/>
          <w:szCs w:val="18"/>
          <w:lang w:val="es-AR"/>
        </w:rPr>
        <w:t xml:space="preserve">”), con asiento en la Ciudad </w:t>
      </w:r>
      <w:r w:rsidR="00283391" w:rsidRPr="00CA0A60">
        <w:rPr>
          <w:rFonts w:ascii="Garamond" w:eastAsia="Times New Roman" w:hAnsi="Garamond" w:cs="Times New Roman"/>
          <w:sz w:val="20"/>
          <w:szCs w:val="18"/>
          <w:lang w:val="es-AR"/>
        </w:rPr>
        <w:t xml:space="preserve">Autónoma </w:t>
      </w:r>
      <w:r w:rsidRPr="00CA0A60">
        <w:rPr>
          <w:rFonts w:ascii="Garamond" w:eastAsia="Times New Roman" w:hAnsi="Garamond" w:cs="Times New Roman"/>
          <w:sz w:val="20"/>
          <w:szCs w:val="18"/>
          <w:lang w:val="es-AR"/>
        </w:rPr>
        <w:t>de Buenos Aires, Argentina, como presunto participante de una asociación ilícita junto con otros destacados empresarios y ex-funcionarios de gobierno. El Sr. Armando Roberto Losón fue procesado por los delitos de (i) asociación ilícita en calidad de participante</w:t>
      </w:r>
      <w:r w:rsidRPr="00CA0A60">
        <w:rPr>
          <w:rStyle w:val="Refdenotaalpie"/>
          <w:rFonts w:ascii="Garamond" w:eastAsia="Times New Roman" w:hAnsi="Garamond" w:cs="Times New Roman"/>
          <w:sz w:val="20"/>
          <w:szCs w:val="18"/>
          <w:lang w:val="es-AR"/>
        </w:rPr>
        <w:footnoteReference w:id="2"/>
      </w:r>
      <w:r w:rsidRPr="00CA0A60">
        <w:rPr>
          <w:rFonts w:ascii="Garamond" w:eastAsia="Times New Roman" w:hAnsi="Garamond" w:cs="Times New Roman"/>
          <w:sz w:val="20"/>
          <w:szCs w:val="18"/>
          <w:lang w:val="es-AR"/>
        </w:rPr>
        <w:t xml:space="preserve"> </w:t>
      </w:r>
      <w:r w:rsidR="008D26DF" w:rsidRPr="00713D6E">
        <w:rPr>
          <w:rFonts w:ascii="Garamond" w:eastAsia="Times New Roman" w:hAnsi="Garamond" w:cs="Times New Roman"/>
          <w:sz w:val="20"/>
          <w:szCs w:val="18"/>
          <w:lang w:val="es-AR"/>
        </w:rPr>
        <w:t xml:space="preserve">(por </w:t>
      </w:r>
      <w:r w:rsidRPr="00CA0A60">
        <w:rPr>
          <w:rFonts w:ascii="Garamond" w:eastAsia="Times New Roman" w:hAnsi="Garamond" w:cs="Times New Roman"/>
          <w:sz w:val="20"/>
          <w:szCs w:val="18"/>
          <w:lang w:val="es-AR"/>
        </w:rPr>
        <w:t>un hecho</w:t>
      </w:r>
      <w:r w:rsidR="008D26DF" w:rsidRPr="00CA0A60">
        <w:rPr>
          <w:rFonts w:ascii="Garamond" w:eastAsia="Times New Roman" w:hAnsi="Garamond" w:cs="Times New Roman"/>
          <w:sz w:val="20"/>
          <w:szCs w:val="18"/>
          <w:lang w:val="es-AR"/>
        </w:rPr>
        <w:t>)</w:t>
      </w:r>
      <w:r w:rsidRPr="00CA0A60">
        <w:rPr>
          <w:rFonts w:ascii="Garamond" w:eastAsia="Times New Roman" w:hAnsi="Garamond" w:cs="Times New Roman"/>
          <w:sz w:val="20"/>
          <w:szCs w:val="18"/>
          <w:lang w:val="es-AR"/>
        </w:rPr>
        <w:t xml:space="preserve"> en virtud del artículo 210 del Código Penal de Argentina (el “</w:t>
      </w:r>
      <w:r w:rsidRPr="00CA0A60">
        <w:rPr>
          <w:rFonts w:ascii="Garamond" w:eastAsia="Times New Roman" w:hAnsi="Garamond" w:cs="Times New Roman"/>
          <w:sz w:val="20"/>
          <w:szCs w:val="18"/>
          <w:u w:val="single"/>
          <w:lang w:val="es-AR"/>
        </w:rPr>
        <w:t>Código Penal de Argentina</w:t>
      </w:r>
      <w:r w:rsidRPr="00CA0A60">
        <w:rPr>
          <w:rFonts w:ascii="Garamond" w:eastAsia="Times New Roman" w:hAnsi="Garamond" w:cs="Times New Roman"/>
          <w:sz w:val="20"/>
          <w:szCs w:val="18"/>
          <w:lang w:val="es-AR"/>
        </w:rPr>
        <w:t xml:space="preserve">”), y (ii) dación de dádivas a funcionarios de gobierno </w:t>
      </w:r>
      <w:r w:rsidR="008D26DF" w:rsidRPr="00CA0A60">
        <w:rPr>
          <w:rFonts w:ascii="Garamond" w:eastAsia="Times New Roman" w:hAnsi="Garamond" w:cs="Times New Roman"/>
          <w:sz w:val="20"/>
          <w:szCs w:val="18"/>
          <w:lang w:val="es-AR"/>
        </w:rPr>
        <w:t xml:space="preserve">(por </w:t>
      </w:r>
      <w:r w:rsidRPr="00CA0A60">
        <w:rPr>
          <w:rFonts w:ascii="Garamond" w:eastAsia="Times New Roman" w:hAnsi="Garamond" w:cs="Times New Roman"/>
          <w:sz w:val="20"/>
          <w:szCs w:val="18"/>
          <w:lang w:val="es-AR"/>
        </w:rPr>
        <w:t>diez hechos</w:t>
      </w:r>
      <w:r w:rsidR="008D26DF" w:rsidRPr="00CA0A60">
        <w:rPr>
          <w:rFonts w:ascii="Garamond" w:eastAsia="Times New Roman" w:hAnsi="Garamond" w:cs="Times New Roman"/>
          <w:sz w:val="20"/>
          <w:szCs w:val="18"/>
          <w:lang w:val="es-AR"/>
        </w:rPr>
        <w:t>)</w:t>
      </w:r>
      <w:r w:rsidRPr="00CA0A60">
        <w:rPr>
          <w:rFonts w:ascii="Garamond" w:eastAsia="Times New Roman" w:hAnsi="Garamond" w:cs="Times New Roman"/>
          <w:sz w:val="20"/>
          <w:szCs w:val="18"/>
          <w:lang w:val="es-AR"/>
        </w:rPr>
        <w:t xml:space="preserve"> en virtud del artículo 259, segundo párrafo del Código Penal de Argentina.</w:t>
      </w:r>
    </w:p>
    <w:p w14:paraId="1F72F646" w14:textId="77777777" w:rsidR="00482939" w:rsidRPr="00CA0A60" w:rsidRDefault="00482939" w:rsidP="00482939">
      <w:pPr>
        <w:spacing w:after="0"/>
        <w:contextualSpacing/>
        <w:jc w:val="both"/>
        <w:rPr>
          <w:rFonts w:ascii="Garamond" w:eastAsia="Times New Roman" w:hAnsi="Garamond" w:cs="Times New Roman"/>
          <w:sz w:val="20"/>
          <w:szCs w:val="18"/>
          <w:lang w:val="es-AR"/>
        </w:rPr>
      </w:pPr>
    </w:p>
    <w:p w14:paraId="4E9917EC" w14:textId="77777777" w:rsidR="00482939" w:rsidRPr="00CA0A60" w:rsidRDefault="00482939" w:rsidP="00482939">
      <w:pPr>
        <w:spacing w:after="0"/>
        <w:contextualSpacing/>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En el auto de procesamiento (el “</w:t>
      </w:r>
      <w:r w:rsidRPr="00CA0A60">
        <w:rPr>
          <w:rFonts w:ascii="Garamond" w:eastAsia="Times New Roman" w:hAnsi="Garamond" w:cs="Times New Roman"/>
          <w:sz w:val="20"/>
          <w:szCs w:val="18"/>
          <w:u w:val="single"/>
          <w:lang w:val="es-AR"/>
        </w:rPr>
        <w:t>Auto de Procesamiento</w:t>
      </w:r>
      <w:r w:rsidRPr="00CA0A60">
        <w:rPr>
          <w:rFonts w:ascii="Garamond" w:eastAsia="Times New Roman" w:hAnsi="Garamond" w:cs="Times New Roman"/>
          <w:sz w:val="20"/>
          <w:szCs w:val="18"/>
          <w:lang w:val="es-AR"/>
        </w:rPr>
        <w:t>”) el Juzgado adu</w:t>
      </w:r>
      <w:r w:rsidR="008D26DF" w:rsidRPr="00CA0A60">
        <w:rPr>
          <w:rFonts w:ascii="Garamond" w:eastAsia="Times New Roman" w:hAnsi="Garamond" w:cs="Times New Roman"/>
          <w:sz w:val="20"/>
          <w:szCs w:val="18"/>
          <w:lang w:val="es-AR"/>
        </w:rPr>
        <w:t>jo</w:t>
      </w:r>
      <w:r w:rsidRPr="00CA0A60">
        <w:rPr>
          <w:rFonts w:ascii="Garamond" w:eastAsia="Times New Roman" w:hAnsi="Garamond" w:cs="Times New Roman"/>
          <w:sz w:val="20"/>
          <w:szCs w:val="18"/>
          <w:lang w:val="es-AR"/>
        </w:rPr>
        <w:t xml:space="preserve"> que (i) el Sr. Armando R. Losón fue participante de una asociación ilícita junto con otros empresarios y exfuncionarios de gobierno, (ii) como parte de dicha asociación ilícita, el Sr. Armando Roberto Losón realizó pagos ilícitos en julio, agosto y septiembre de 2013 y en junio, julio y octubre de 2015 a ciertos funcionarios de gobierno por la suma total de U$S </w:t>
      </w:r>
      <w:r w:rsidRPr="00CA0A60">
        <w:rPr>
          <w:rFonts w:ascii="Garamond" w:hAnsi="Garamond" w:cs="Times New Roman"/>
          <w:color w:val="000000"/>
          <w:sz w:val="20"/>
          <w:szCs w:val="18"/>
          <w:lang w:val="es-AR"/>
        </w:rPr>
        <w:t xml:space="preserve">4,3 </w:t>
      </w:r>
      <w:bookmarkStart w:id="26" w:name="_cp_text_1_25"/>
      <w:r w:rsidRPr="00CA0A60">
        <w:rPr>
          <w:rFonts w:ascii="Garamond" w:hAnsi="Garamond" w:cs="Times New Roman"/>
          <w:color w:val="000000"/>
          <w:sz w:val="20"/>
          <w:szCs w:val="18"/>
          <w:lang w:val="es-AR"/>
        </w:rPr>
        <w:t>millones</w:t>
      </w:r>
      <w:bookmarkEnd w:id="26"/>
      <w:r w:rsidRPr="00CA0A60">
        <w:rPr>
          <w:rFonts w:ascii="Garamond" w:eastAsia="Times New Roman" w:hAnsi="Garamond" w:cs="Times New Roman"/>
          <w:sz w:val="20"/>
          <w:szCs w:val="18"/>
          <w:lang w:val="es-AR"/>
        </w:rPr>
        <w:t>, y (iii) dichos pagos constituyeron dádivas a funcionarios de gobierno con el objeto de obtener prebendas en beneficio propio y de sus negocios.</w:t>
      </w:r>
    </w:p>
    <w:p w14:paraId="08CE6F91" w14:textId="77777777" w:rsidR="00482939" w:rsidRPr="00CA0A60" w:rsidRDefault="00482939" w:rsidP="00482939">
      <w:pPr>
        <w:spacing w:after="0"/>
        <w:contextualSpacing/>
        <w:jc w:val="both"/>
        <w:rPr>
          <w:rFonts w:ascii="Garamond" w:eastAsia="Times New Roman" w:hAnsi="Garamond" w:cs="Times New Roman"/>
          <w:sz w:val="20"/>
          <w:szCs w:val="18"/>
          <w:lang w:val="es-AR"/>
        </w:rPr>
      </w:pPr>
    </w:p>
    <w:p w14:paraId="482FD805" w14:textId="5566AC76" w:rsidR="00482939" w:rsidRPr="00CA0A60" w:rsidRDefault="00482939" w:rsidP="00482939">
      <w:pPr>
        <w:spacing w:after="0"/>
        <w:contextualSpacing/>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Según los asesores legales en lo penal del Sr. Armando Roberto Losón (el “</w:t>
      </w:r>
      <w:r w:rsidRPr="00CA0A60">
        <w:rPr>
          <w:rFonts w:ascii="Garamond" w:eastAsia="Times New Roman" w:hAnsi="Garamond" w:cs="Times New Roman"/>
          <w:sz w:val="20"/>
          <w:szCs w:val="18"/>
          <w:u w:val="single"/>
          <w:lang w:val="es-AR"/>
        </w:rPr>
        <w:t>Abogado Penalista</w:t>
      </w:r>
      <w:r w:rsidRPr="00CA0A60">
        <w:rPr>
          <w:rFonts w:ascii="Garamond" w:eastAsia="Times New Roman" w:hAnsi="Garamond" w:cs="Times New Roman"/>
          <w:sz w:val="20"/>
          <w:szCs w:val="18"/>
          <w:lang w:val="es-AR"/>
        </w:rPr>
        <w:t>”), el Sr. Armando Roberto Losón prestó declaración indagatoria ante el Juzgado (la “</w:t>
      </w:r>
      <w:r w:rsidRPr="00CA0A60">
        <w:rPr>
          <w:rFonts w:ascii="Garamond" w:eastAsia="Times New Roman" w:hAnsi="Garamond" w:cs="Times New Roman"/>
          <w:sz w:val="20"/>
          <w:szCs w:val="18"/>
          <w:u w:val="single"/>
          <w:lang w:val="es-AR"/>
        </w:rPr>
        <w:t>Declaración Indagatoria</w:t>
      </w:r>
      <w:r w:rsidRPr="00CA0A60">
        <w:rPr>
          <w:rFonts w:ascii="Garamond" w:eastAsia="Times New Roman" w:hAnsi="Garamond" w:cs="Times New Roman"/>
          <w:sz w:val="20"/>
          <w:szCs w:val="18"/>
          <w:lang w:val="es-AR"/>
        </w:rPr>
        <w:t xml:space="preserve">”), en la que dijo ser víctima y no participante de la supuesta asociación ilícita, pero admitió haber realizado pagos </w:t>
      </w:r>
      <w:r w:rsidRPr="00CA0A60">
        <w:rPr>
          <w:rFonts w:ascii="Garamond" w:eastAsia="Times New Roman" w:hAnsi="Garamond" w:cs="Times New Roman"/>
          <w:sz w:val="20"/>
          <w:szCs w:val="18"/>
          <w:lang w:val="es-AR"/>
        </w:rPr>
        <w:noBreakHyphen/>
        <w:t xml:space="preserve">por menores sumas y en </w:t>
      </w:r>
      <w:r w:rsidR="00283391" w:rsidRPr="00CA0A60">
        <w:rPr>
          <w:rFonts w:ascii="Garamond" w:eastAsia="Times New Roman" w:hAnsi="Garamond" w:cs="Times New Roman"/>
          <w:sz w:val="20"/>
          <w:szCs w:val="18"/>
          <w:lang w:val="es-AR"/>
        </w:rPr>
        <w:t>P</w:t>
      </w:r>
      <w:r w:rsidRPr="00CA0A60">
        <w:rPr>
          <w:rFonts w:ascii="Garamond" w:eastAsia="Times New Roman" w:hAnsi="Garamond" w:cs="Times New Roman"/>
          <w:sz w:val="20"/>
          <w:szCs w:val="18"/>
          <w:lang w:val="es-AR"/>
        </w:rPr>
        <w:t xml:space="preserve">esos </w:t>
      </w:r>
      <w:r w:rsidRPr="00CA0A60">
        <w:rPr>
          <w:rFonts w:ascii="Garamond" w:eastAsia="Times New Roman" w:hAnsi="Garamond" w:cs="Times New Roman"/>
          <w:sz w:val="20"/>
          <w:szCs w:val="18"/>
          <w:lang w:val="es-AR"/>
        </w:rPr>
        <w:noBreakHyphen/>
        <w:t xml:space="preserve"> a ciertos ex-funcionarios de gobierno como aportes a la campaña de elección de candidatos del entonces partido oficialista. El Auto de Procesamiento, que cita algunas de las respuestas del Sr. Armando Roberto Losón a las preguntas del juzgado federal en la Declaración Indagatoria, indica que el Sr. Armando </w:t>
      </w:r>
      <w:bookmarkStart w:id="27" w:name="_cp_text_1_29"/>
      <w:r w:rsidRPr="00CA0A60">
        <w:rPr>
          <w:rFonts w:ascii="Garamond" w:eastAsia="Times New Roman" w:hAnsi="Garamond" w:cs="Times New Roman"/>
          <w:sz w:val="20"/>
          <w:szCs w:val="18"/>
          <w:lang w:val="es-AR"/>
        </w:rPr>
        <w:t xml:space="preserve">Roberto </w:t>
      </w:r>
      <w:bookmarkEnd w:id="27"/>
      <w:r w:rsidRPr="00CA0A60">
        <w:rPr>
          <w:rFonts w:ascii="Garamond" w:eastAsia="Times New Roman" w:hAnsi="Garamond" w:cs="Times New Roman"/>
          <w:sz w:val="20"/>
          <w:szCs w:val="18"/>
          <w:lang w:val="es-AR"/>
        </w:rPr>
        <w:t>Losón</w:t>
      </w:r>
      <w:bookmarkStart w:id="28" w:name="_cp_text_1_30"/>
      <w:r w:rsidRPr="00CA0A60">
        <w:rPr>
          <w:rFonts w:ascii="Garamond" w:eastAsia="Times New Roman" w:hAnsi="Garamond" w:cs="Times New Roman"/>
          <w:sz w:val="20"/>
          <w:szCs w:val="18"/>
          <w:lang w:val="es-AR"/>
        </w:rPr>
        <w:t xml:space="preserve"> respondió: (i) </w:t>
      </w:r>
      <w:bookmarkEnd w:id="28"/>
      <w:r w:rsidRPr="00CA0A60">
        <w:rPr>
          <w:rFonts w:ascii="Garamond" w:eastAsia="Times New Roman" w:hAnsi="Garamond" w:cs="Times New Roman"/>
          <w:sz w:val="20"/>
          <w:szCs w:val="18"/>
          <w:lang w:val="es-AR"/>
        </w:rPr>
        <w:t>que los pagos se habían realizado en efectivo y que él no recibió nada a cambio, y (ii) que dichos pagos constituían aportes a las campañas electorales.</w:t>
      </w:r>
    </w:p>
    <w:p w14:paraId="61CDCEAD" w14:textId="77777777" w:rsidR="00482939" w:rsidRPr="00CA0A60" w:rsidRDefault="00482939" w:rsidP="00482939">
      <w:pPr>
        <w:spacing w:after="0"/>
        <w:contextualSpacing/>
        <w:jc w:val="both"/>
        <w:rPr>
          <w:rFonts w:ascii="Garamond" w:eastAsia="Times New Roman" w:hAnsi="Garamond" w:cs="Times New Roman"/>
          <w:sz w:val="20"/>
          <w:szCs w:val="18"/>
          <w:lang w:val="es-AR"/>
        </w:rPr>
      </w:pPr>
    </w:p>
    <w:p w14:paraId="4743616B" w14:textId="77777777" w:rsidR="00482939" w:rsidRPr="00CA0A60" w:rsidRDefault="00482939" w:rsidP="00482939">
      <w:pPr>
        <w:spacing w:after="0"/>
        <w:contextualSpacing/>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Junto con el procesamiento, el Juzgado dictó una medida precautoria en virtud de la cual (i) prohibió la salida del país del Sr. Armando Roberto Losón sin la autorización del Juzgado, y (ii) ordenó un embargo sobre sus bienes por hasta AR$ 4.000 millones. En consecuencia, se vio imposibilitado de transferir o enajenar sus bienes sin la previa autorización del Juzgado. Esta medida precautoria no afectó los activos de propiedad de ninguna de las empresas de las que el Sr. Armando Roberto Losón es accionista, entre ellas GEMSA, CTR y ASA en las que es tenedor de participaciones accionarias directas del 51,26%, 37,5% y 50%, respectivamente.</w:t>
      </w:r>
    </w:p>
    <w:p w14:paraId="6BB9E253" w14:textId="77777777" w:rsidR="00482939" w:rsidRPr="00CA0A60" w:rsidRDefault="00482939" w:rsidP="00482939">
      <w:pPr>
        <w:spacing w:after="0"/>
        <w:contextualSpacing/>
        <w:jc w:val="both"/>
        <w:rPr>
          <w:rFonts w:ascii="Garamond" w:eastAsia="Times New Roman" w:hAnsi="Garamond" w:cs="Times New Roman"/>
          <w:sz w:val="20"/>
          <w:szCs w:val="18"/>
          <w:lang w:val="es-AR"/>
        </w:rPr>
      </w:pPr>
    </w:p>
    <w:p w14:paraId="2DB53D9B" w14:textId="5EF2FFBE" w:rsidR="00482939" w:rsidRPr="00CA0A60" w:rsidRDefault="00482939" w:rsidP="00482939">
      <w:pPr>
        <w:spacing w:after="0"/>
        <w:contextualSpacing/>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Según el Abogado Penalista, el 30 de septiembre de 2018, el Sr. Armando Roberto Losón apeló (la “</w:t>
      </w:r>
      <w:r w:rsidRPr="00CA0A60">
        <w:rPr>
          <w:rFonts w:ascii="Garamond" w:eastAsia="Times New Roman" w:hAnsi="Garamond" w:cs="Times New Roman"/>
          <w:sz w:val="20"/>
          <w:szCs w:val="18"/>
          <w:u w:val="single"/>
          <w:lang w:val="es-AR"/>
        </w:rPr>
        <w:t>Apelación</w:t>
      </w:r>
      <w:r w:rsidRPr="00CA0A60">
        <w:rPr>
          <w:rFonts w:ascii="Garamond" w:eastAsia="Times New Roman" w:hAnsi="Garamond" w:cs="Times New Roman"/>
          <w:sz w:val="20"/>
          <w:szCs w:val="18"/>
          <w:lang w:val="es-AR"/>
        </w:rPr>
        <w:t xml:space="preserve">”) el procesamiento (y la medida cautelar antes mencionada) argumentando que el Juzgado había realizado una </w:t>
      </w:r>
      <w:r w:rsidRPr="00CA0A60">
        <w:rPr>
          <w:rFonts w:ascii="Garamond" w:eastAsia="Times New Roman" w:hAnsi="Garamond" w:cs="Times New Roman"/>
          <w:sz w:val="20"/>
          <w:szCs w:val="18"/>
          <w:lang w:val="es-AR"/>
        </w:rPr>
        <w:lastRenderedPageBreak/>
        <w:t xml:space="preserve">interpretación errónea de las pruebas disponibles, que no existen pruebas objetivas suficientes para respaldar las manifestaciones expresadas por el Juzgado en el Auto de Procesamiento en relación con el Sr. Armando Roberto Losón y que el Auto de Procesamiento fue prematuro debido a que el Juzgado no ordenó la producción de pruebas relevantes solicitadas por la defensa. </w:t>
      </w:r>
      <w:r w:rsidR="00F71DDC" w:rsidRPr="00CA0A60">
        <w:rPr>
          <w:rFonts w:ascii="Garamond" w:eastAsia="Times New Roman" w:hAnsi="Garamond" w:cs="Times New Roman"/>
          <w:sz w:val="20"/>
          <w:szCs w:val="18"/>
          <w:lang w:val="es-AR"/>
        </w:rPr>
        <w:t>A</w:t>
      </w:r>
      <w:r w:rsidRPr="00CA0A60">
        <w:rPr>
          <w:rFonts w:ascii="Garamond" w:eastAsia="Times New Roman" w:hAnsi="Garamond" w:cs="Times New Roman"/>
          <w:sz w:val="20"/>
          <w:szCs w:val="18"/>
          <w:lang w:val="es-AR"/>
        </w:rPr>
        <w:t>simismo</w:t>
      </w:r>
      <w:r w:rsidR="00F71DDC" w:rsidRPr="00CA0A60">
        <w:rPr>
          <w:rFonts w:ascii="Garamond" w:eastAsia="Times New Roman" w:hAnsi="Garamond" w:cs="Times New Roman"/>
          <w:sz w:val="20"/>
          <w:szCs w:val="18"/>
          <w:lang w:val="es-AR"/>
        </w:rPr>
        <w:t>, la Apelación</w:t>
      </w:r>
      <w:r w:rsidRPr="00CA0A60">
        <w:rPr>
          <w:rFonts w:ascii="Garamond" w:eastAsia="Times New Roman" w:hAnsi="Garamond" w:cs="Times New Roman"/>
          <w:sz w:val="20"/>
          <w:szCs w:val="18"/>
          <w:lang w:val="es-AR"/>
        </w:rPr>
        <w:t xml:space="preserve"> sostiene que la conducta del Sr. Armando </w:t>
      </w:r>
      <w:bookmarkStart w:id="29" w:name="_cp_text_1_56"/>
      <w:r w:rsidRPr="00CA0A60">
        <w:rPr>
          <w:rFonts w:ascii="Garamond" w:eastAsia="Times New Roman" w:hAnsi="Garamond" w:cs="Times New Roman"/>
          <w:sz w:val="20"/>
          <w:szCs w:val="18"/>
          <w:lang w:val="es-AR"/>
        </w:rPr>
        <w:t xml:space="preserve">Roberto </w:t>
      </w:r>
      <w:bookmarkEnd w:id="29"/>
      <w:r w:rsidRPr="00CA0A60">
        <w:rPr>
          <w:rFonts w:ascii="Garamond" w:eastAsia="Times New Roman" w:hAnsi="Garamond" w:cs="Times New Roman"/>
          <w:sz w:val="20"/>
          <w:szCs w:val="18"/>
          <w:lang w:val="es-AR"/>
        </w:rPr>
        <w:t xml:space="preserve">Losón no se encuadra dentro de ninguno de los delitos de los que se le acusa, debido a que, entre otras cosas, (i) él no ofreció el aporte al funcionario de gobierno, sino que dicho aporte le fue </w:t>
      </w:r>
      <w:r w:rsidR="00E94FA7">
        <w:rPr>
          <w:rFonts w:ascii="Garamond" w:eastAsia="Times New Roman" w:hAnsi="Garamond" w:cs="Times New Roman"/>
          <w:sz w:val="20"/>
          <w:szCs w:val="18"/>
          <w:lang w:val="es-AR"/>
        </w:rPr>
        <w:t>exigido</w:t>
      </w:r>
      <w:r w:rsidRPr="00CA0A60">
        <w:rPr>
          <w:rFonts w:ascii="Garamond" w:eastAsia="Times New Roman" w:hAnsi="Garamond" w:cs="Times New Roman"/>
          <w:sz w:val="20"/>
          <w:szCs w:val="18"/>
          <w:lang w:val="es-AR"/>
        </w:rPr>
        <w:t>, (ii) no existió un acuerdo voluntario con ninguno de los demás presuntos participantes de la asociación ilícita, y (iii) él no solicitó ni recibió nada a cambio del aporte realizado. Por ende, la Apelación sostiene que el Sr. Armando Roberto Losón nunca solicitó prebendas de funcionarios de gobierno, sino que fue víctima de demandas ilegales de un funcionario de gobierno en relación con las elecciones celebradas en 2013 y 2015. Como resultado de la Apelación, el Auto de Procesamiento fue revisado por la Cámara de Apelaciones en lo Criminal Federal (la “</w:t>
      </w:r>
      <w:r w:rsidRPr="00CA0A60">
        <w:rPr>
          <w:rFonts w:ascii="Garamond" w:eastAsia="Times New Roman" w:hAnsi="Garamond" w:cs="Times New Roman"/>
          <w:sz w:val="20"/>
          <w:szCs w:val="18"/>
          <w:u w:val="single"/>
          <w:lang w:val="es-AR"/>
        </w:rPr>
        <w:t>Cámara de Apelaciones</w:t>
      </w:r>
      <w:r w:rsidRPr="00CA0A60">
        <w:rPr>
          <w:rFonts w:ascii="Garamond" w:eastAsia="Times New Roman" w:hAnsi="Garamond" w:cs="Times New Roman"/>
          <w:sz w:val="20"/>
          <w:szCs w:val="18"/>
          <w:lang w:val="es-AR"/>
        </w:rPr>
        <w:t>”), que se pronunció el 20 de diciembre de 2018.</w:t>
      </w:r>
    </w:p>
    <w:p w14:paraId="23DE523C" w14:textId="77777777" w:rsidR="00482939" w:rsidRPr="00CA0A60" w:rsidRDefault="00482939" w:rsidP="00482939">
      <w:pPr>
        <w:spacing w:after="0"/>
        <w:contextualSpacing/>
        <w:jc w:val="both"/>
        <w:rPr>
          <w:rFonts w:ascii="Garamond" w:eastAsia="Times New Roman" w:hAnsi="Garamond" w:cs="Times New Roman"/>
          <w:sz w:val="20"/>
          <w:szCs w:val="18"/>
          <w:lang w:val="es-AR"/>
        </w:rPr>
      </w:pPr>
    </w:p>
    <w:p w14:paraId="3D97FC61" w14:textId="77777777" w:rsidR="00482939" w:rsidRPr="00CA0A60" w:rsidRDefault="00482939" w:rsidP="00482939">
      <w:pPr>
        <w:spacing w:after="0"/>
        <w:contextualSpacing/>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La Cámara de Apelaciones resolvió lo siguiente en relación con el Sr. Armando Roberto Losón:</w:t>
      </w:r>
    </w:p>
    <w:p w14:paraId="52E56223" w14:textId="77777777" w:rsidR="00482939" w:rsidRPr="00CA0A60" w:rsidRDefault="00482939" w:rsidP="00482939">
      <w:pPr>
        <w:spacing w:after="0"/>
        <w:contextualSpacing/>
        <w:jc w:val="both"/>
        <w:rPr>
          <w:rFonts w:ascii="Garamond" w:eastAsia="Times New Roman" w:hAnsi="Garamond" w:cs="Times New Roman"/>
          <w:sz w:val="20"/>
          <w:szCs w:val="18"/>
          <w:lang w:val="es-AR"/>
        </w:rPr>
      </w:pPr>
    </w:p>
    <w:p w14:paraId="08782114" w14:textId="77777777" w:rsidR="00482939" w:rsidRPr="00CA0A60" w:rsidRDefault="00482939" w:rsidP="002830AF">
      <w:pPr>
        <w:pStyle w:val="Prrafodelista"/>
        <w:numPr>
          <w:ilvl w:val="0"/>
          <w:numId w:val="142"/>
        </w:numPr>
        <w:spacing w:after="0" w:line="240" w:lineRule="auto"/>
        <w:ind w:left="360"/>
        <w:contextualSpacing w:val="0"/>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 xml:space="preserve">Se decretó la falta de mérito del Sr. Armando Roberto Losón </w:t>
      </w:r>
      <w:bookmarkStart w:id="30" w:name="_cp_text_1_80"/>
      <w:r w:rsidRPr="00CA0A60">
        <w:rPr>
          <w:rFonts w:ascii="Garamond" w:eastAsia="Times New Roman" w:hAnsi="Garamond" w:cs="Times New Roman"/>
          <w:sz w:val="20"/>
          <w:szCs w:val="18"/>
          <w:lang w:val="es-AR"/>
        </w:rPr>
        <w:t>por el delito de participante de la asociación ilícita.</w:t>
      </w:r>
    </w:p>
    <w:bookmarkEnd w:id="30"/>
    <w:p w14:paraId="07547A01" w14:textId="77777777" w:rsidR="00482939" w:rsidRPr="00CA0A60" w:rsidRDefault="00482939" w:rsidP="00482939">
      <w:pPr>
        <w:pStyle w:val="Prrafodelista"/>
        <w:spacing w:after="0"/>
        <w:ind w:hanging="360"/>
        <w:jc w:val="both"/>
        <w:rPr>
          <w:rFonts w:ascii="Garamond" w:eastAsia="Times New Roman" w:hAnsi="Garamond" w:cs="Times New Roman"/>
          <w:sz w:val="20"/>
          <w:szCs w:val="18"/>
          <w:lang w:val="es-AR"/>
        </w:rPr>
      </w:pPr>
    </w:p>
    <w:p w14:paraId="68CE7985" w14:textId="5E56126E" w:rsidR="00482939" w:rsidRPr="00CA0A60" w:rsidRDefault="00482939" w:rsidP="002830AF">
      <w:pPr>
        <w:pStyle w:val="Prrafodelista"/>
        <w:numPr>
          <w:ilvl w:val="0"/>
          <w:numId w:val="142"/>
        </w:numPr>
        <w:spacing w:after="0" w:line="240" w:lineRule="auto"/>
        <w:ind w:left="360"/>
        <w:contextualSpacing w:val="0"/>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 xml:space="preserve">El Sr. Armando Roberto Losón </w:t>
      </w:r>
      <w:bookmarkStart w:id="31" w:name="_cp_text_1_87"/>
      <w:r w:rsidR="00E94FA7">
        <w:rPr>
          <w:rFonts w:ascii="Garamond" w:eastAsia="Times New Roman" w:hAnsi="Garamond" w:cs="Times New Roman"/>
          <w:sz w:val="20"/>
          <w:szCs w:val="18"/>
          <w:lang w:val="es-AR"/>
        </w:rPr>
        <w:t>continua procesado pero se ha modificado la calificación jurídica por la de cohecho activo de acuerdo con el artículo 258, primera parte del Código Penal de Argentina</w:t>
      </w:r>
      <w:r w:rsidRPr="00CA0A60">
        <w:rPr>
          <w:rFonts w:ascii="Garamond" w:eastAsia="Times New Roman" w:hAnsi="Garamond" w:cs="Times New Roman"/>
          <w:sz w:val="20"/>
          <w:szCs w:val="18"/>
          <w:lang w:val="es-AR"/>
        </w:rPr>
        <w:t xml:space="preserve">. Asimismo, la Cámara de Apelaciones ha instruido al Juzgado que </w:t>
      </w:r>
      <w:r w:rsidR="00E94FA7">
        <w:rPr>
          <w:rFonts w:ascii="Garamond" w:eastAsia="Times New Roman" w:hAnsi="Garamond" w:cs="Times New Roman"/>
          <w:sz w:val="20"/>
          <w:szCs w:val="18"/>
          <w:lang w:val="es-AR"/>
        </w:rPr>
        <w:t xml:space="preserve">profundice </w:t>
      </w:r>
      <w:r w:rsidRPr="00CA0A60">
        <w:rPr>
          <w:rFonts w:ascii="Garamond" w:eastAsia="Times New Roman" w:hAnsi="Garamond" w:cs="Times New Roman"/>
          <w:sz w:val="20"/>
          <w:szCs w:val="18"/>
          <w:lang w:val="es-AR"/>
        </w:rPr>
        <w:t>su investigación de los hechos dado que, a la luz de las pruebas aportadas hasta la fecha y los argumentos del abogado defensor sobre los aportes de campaña, podr</w:t>
      </w:r>
      <w:r w:rsidR="008D26DF" w:rsidRPr="00CA0A60">
        <w:rPr>
          <w:rFonts w:ascii="Garamond" w:eastAsia="Times New Roman" w:hAnsi="Garamond" w:cs="Times New Roman"/>
          <w:sz w:val="20"/>
          <w:szCs w:val="18"/>
          <w:lang w:val="es-AR"/>
        </w:rPr>
        <w:t>ía</w:t>
      </w:r>
      <w:r w:rsidRPr="00CA0A60">
        <w:rPr>
          <w:rFonts w:ascii="Garamond" w:eastAsia="Times New Roman" w:hAnsi="Garamond" w:cs="Times New Roman"/>
          <w:sz w:val="20"/>
          <w:szCs w:val="18"/>
          <w:lang w:val="es-AR"/>
        </w:rPr>
        <w:t xml:space="preserve"> ser necesario modificar nuevamente la calificación, reemplazándola por la de aportes de campaña ilícitos de acuerdo con el Código Electoral Nacional, lo que podría derivar en </w:t>
      </w:r>
      <w:r w:rsidR="004C5D43">
        <w:rPr>
          <w:rFonts w:ascii="Garamond" w:eastAsia="Times New Roman" w:hAnsi="Garamond" w:cs="Times New Roman"/>
          <w:sz w:val="20"/>
          <w:szCs w:val="18"/>
          <w:lang w:val="es-AR"/>
        </w:rPr>
        <w:t xml:space="preserve">un proceso que </w:t>
      </w:r>
      <w:r w:rsidRPr="00CA0A60">
        <w:rPr>
          <w:rFonts w:ascii="Garamond" w:eastAsia="Times New Roman" w:hAnsi="Garamond" w:cs="Times New Roman"/>
          <w:sz w:val="20"/>
          <w:szCs w:val="18"/>
          <w:lang w:val="es-AR"/>
        </w:rPr>
        <w:t>dejaría de estar sujeto a la jurisdicción penal.</w:t>
      </w:r>
    </w:p>
    <w:bookmarkEnd w:id="31"/>
    <w:p w14:paraId="5043CB0F" w14:textId="77777777" w:rsidR="00482939" w:rsidRPr="00CA0A60" w:rsidRDefault="00482939" w:rsidP="00482939">
      <w:pPr>
        <w:pStyle w:val="Prrafodelista"/>
        <w:spacing w:after="0"/>
        <w:ind w:hanging="360"/>
        <w:jc w:val="both"/>
        <w:rPr>
          <w:rFonts w:ascii="Garamond" w:eastAsia="Times New Roman" w:hAnsi="Garamond" w:cs="Times New Roman"/>
          <w:sz w:val="20"/>
          <w:szCs w:val="18"/>
          <w:lang w:val="es-AR"/>
        </w:rPr>
      </w:pPr>
    </w:p>
    <w:p w14:paraId="2688E030" w14:textId="30FE1BB9" w:rsidR="00482939" w:rsidRPr="00A438F1" w:rsidRDefault="00482939" w:rsidP="002830AF">
      <w:pPr>
        <w:pStyle w:val="Prrafodelista"/>
        <w:numPr>
          <w:ilvl w:val="0"/>
          <w:numId w:val="142"/>
        </w:numPr>
        <w:spacing w:after="0" w:line="240" w:lineRule="auto"/>
        <w:ind w:left="360"/>
        <w:contextualSpacing w:val="0"/>
        <w:jc w:val="both"/>
        <w:rPr>
          <w:rFonts w:ascii="Garamond" w:hAnsi="Garamond"/>
          <w:sz w:val="20"/>
          <w:szCs w:val="18"/>
          <w:lang w:val="es-AR"/>
        </w:rPr>
      </w:pPr>
      <w:r w:rsidRPr="00CA0A60">
        <w:rPr>
          <w:rFonts w:ascii="Garamond" w:eastAsia="Times New Roman" w:hAnsi="Garamond" w:cs="Times New Roman"/>
          <w:sz w:val="20"/>
          <w:szCs w:val="18"/>
          <w:lang w:val="es-AR"/>
        </w:rPr>
        <w:t>El embargo sobre los bienes del Sr. Armando Roberto Losón fue reducido considerablemente</w:t>
      </w:r>
      <w:r w:rsidR="00A64892" w:rsidRPr="00CA0A60">
        <w:rPr>
          <w:rFonts w:ascii="Garamond" w:eastAsia="Times New Roman" w:hAnsi="Garamond" w:cs="Times New Roman"/>
          <w:sz w:val="20"/>
          <w:szCs w:val="18"/>
          <w:lang w:val="es-AR"/>
        </w:rPr>
        <w:t>,</w:t>
      </w:r>
      <w:r w:rsidRPr="00CA0A60">
        <w:rPr>
          <w:rFonts w:ascii="Garamond" w:eastAsia="Times New Roman" w:hAnsi="Garamond" w:cs="Times New Roman"/>
          <w:sz w:val="20"/>
          <w:szCs w:val="18"/>
          <w:lang w:val="es-AR"/>
        </w:rPr>
        <w:t xml:space="preserve"> a la suma de AR$ 120 millones (aproximadamente U$S 3 </w:t>
      </w:r>
      <w:bookmarkStart w:id="32" w:name="_cp_text_1_115"/>
      <w:r w:rsidRPr="00CA0A60">
        <w:rPr>
          <w:rFonts w:ascii="Garamond" w:eastAsia="Times New Roman" w:hAnsi="Garamond" w:cs="Times New Roman"/>
          <w:sz w:val="20"/>
          <w:szCs w:val="18"/>
          <w:lang w:val="es-AR"/>
        </w:rPr>
        <w:t>mill</w:t>
      </w:r>
      <w:bookmarkEnd w:id="32"/>
      <w:r w:rsidRPr="00CA0A60">
        <w:rPr>
          <w:rFonts w:ascii="Garamond" w:eastAsia="Times New Roman" w:hAnsi="Garamond" w:cs="Times New Roman"/>
          <w:sz w:val="20"/>
          <w:szCs w:val="18"/>
          <w:lang w:val="es-AR"/>
        </w:rPr>
        <w:t xml:space="preserve">ones). El 31 de enero de 2019, el Juzgado aprobó </w:t>
      </w:r>
      <w:r w:rsidR="004C5D43">
        <w:rPr>
          <w:rFonts w:ascii="Garamond" w:eastAsia="Times New Roman" w:hAnsi="Garamond" w:cs="Times New Roman"/>
          <w:sz w:val="20"/>
          <w:szCs w:val="18"/>
          <w:lang w:val="es-AR"/>
        </w:rPr>
        <w:t>s</w:t>
      </w:r>
      <w:r w:rsidRPr="00CA0A60">
        <w:rPr>
          <w:rFonts w:ascii="Garamond" w:eastAsia="Times New Roman" w:hAnsi="Garamond" w:cs="Times New Roman"/>
          <w:sz w:val="20"/>
          <w:szCs w:val="18"/>
          <w:lang w:val="es-AR"/>
        </w:rPr>
        <w:t>e</w:t>
      </w:r>
      <w:r w:rsidR="004C5D43">
        <w:rPr>
          <w:rFonts w:ascii="Garamond" w:eastAsia="Times New Roman" w:hAnsi="Garamond" w:cs="Times New Roman"/>
          <w:sz w:val="20"/>
          <w:szCs w:val="18"/>
          <w:lang w:val="es-AR"/>
        </w:rPr>
        <w:t xml:space="preserve"> afecte al </w:t>
      </w:r>
      <w:r w:rsidRPr="00CA0A60">
        <w:rPr>
          <w:rFonts w:ascii="Garamond" w:eastAsia="Times New Roman" w:hAnsi="Garamond" w:cs="Times New Roman"/>
          <w:sz w:val="20"/>
          <w:szCs w:val="18"/>
          <w:lang w:val="es-AR"/>
        </w:rPr>
        <w:t xml:space="preserve">embargo un inmueble ubicado en </w:t>
      </w:r>
      <w:r w:rsidRPr="00CA0A60">
        <w:rPr>
          <w:rFonts w:ascii="Garamond" w:hAnsi="Garamond"/>
          <w:sz w:val="20"/>
          <w:szCs w:val="18"/>
          <w:shd w:val="clear" w:color="auto" w:fill="FFFFFF"/>
          <w:lang w:val="es-AR"/>
        </w:rPr>
        <w:t xml:space="preserve">Av. Leandro N. Alem 855, Piso 14, Ciudad de </w:t>
      </w:r>
      <w:bookmarkStart w:id="33" w:name="_cp_text_1_123"/>
      <w:r w:rsidRPr="00CA0A60">
        <w:rPr>
          <w:rFonts w:ascii="Garamond" w:hAnsi="Garamond"/>
          <w:sz w:val="20"/>
          <w:szCs w:val="18"/>
          <w:shd w:val="clear" w:color="auto" w:fill="FFFFFF"/>
          <w:lang w:val="es-AR"/>
        </w:rPr>
        <w:t>Buenos Aires, en relación con las medidas cautelares antes descriptas.</w:t>
      </w:r>
    </w:p>
    <w:p w14:paraId="0B276AA9" w14:textId="77777777" w:rsidR="004C5D43" w:rsidRDefault="004C5D43" w:rsidP="004C5D43">
      <w:pPr>
        <w:pStyle w:val="Prrafodelista"/>
        <w:spacing w:after="0" w:line="240" w:lineRule="auto"/>
        <w:ind w:left="360"/>
        <w:jc w:val="both"/>
        <w:rPr>
          <w:rFonts w:ascii="Garamond" w:eastAsia="Times New Roman" w:hAnsi="Garamond" w:cs="Times New Roman"/>
          <w:sz w:val="20"/>
          <w:szCs w:val="18"/>
          <w:lang w:val="es-AR"/>
        </w:rPr>
      </w:pPr>
    </w:p>
    <w:p w14:paraId="1B6064A7" w14:textId="43BCAE14" w:rsidR="004C5D43" w:rsidRDefault="004C5D43" w:rsidP="00582114">
      <w:pPr>
        <w:pStyle w:val="Prrafodelista"/>
        <w:numPr>
          <w:ilvl w:val="0"/>
          <w:numId w:val="142"/>
        </w:numPr>
        <w:spacing w:after="0" w:line="240" w:lineRule="auto"/>
        <w:ind w:left="360"/>
        <w:contextualSpacing w:val="0"/>
        <w:jc w:val="both"/>
        <w:rPr>
          <w:rFonts w:ascii="Garamond" w:eastAsia="Times New Roman" w:hAnsi="Garamond" w:cs="Times New Roman"/>
          <w:sz w:val="20"/>
          <w:szCs w:val="18"/>
          <w:lang w:val="es-AR"/>
        </w:rPr>
      </w:pPr>
      <w:r>
        <w:rPr>
          <w:rFonts w:ascii="Garamond" w:eastAsia="Times New Roman" w:hAnsi="Garamond" w:cs="Times New Roman"/>
          <w:sz w:val="20"/>
          <w:szCs w:val="18"/>
          <w:lang w:val="es-AR"/>
        </w:rPr>
        <w:t xml:space="preserve">Sin perjuicio que el Fiscal interviniente en la causa ha requerido la elevación de la causa a juicio oral, es importante destacar que </w:t>
      </w:r>
      <w:r w:rsidR="00EF2B4D">
        <w:rPr>
          <w:rFonts w:ascii="Garamond" w:eastAsia="Times New Roman" w:hAnsi="Garamond" w:cs="Times New Roman"/>
          <w:sz w:val="20"/>
          <w:szCs w:val="18"/>
          <w:lang w:val="es-AR"/>
        </w:rPr>
        <w:t xml:space="preserve">(i) </w:t>
      </w:r>
      <w:r>
        <w:rPr>
          <w:rFonts w:ascii="Garamond" w:eastAsia="Times New Roman" w:hAnsi="Garamond" w:cs="Times New Roman"/>
          <w:sz w:val="20"/>
          <w:szCs w:val="18"/>
          <w:lang w:val="es-AR"/>
        </w:rPr>
        <w:t>los montos que ha considerado son sustancialmente menores a los originalmente imputados (</w:t>
      </w:r>
      <w:r w:rsidR="00EF2B4D">
        <w:rPr>
          <w:rFonts w:ascii="Garamond" w:eastAsia="Times New Roman" w:hAnsi="Garamond" w:cs="Times New Roman"/>
          <w:sz w:val="20"/>
          <w:szCs w:val="18"/>
          <w:lang w:val="es-AR"/>
        </w:rPr>
        <w:t xml:space="preserve">entre AR$ 2.000.000 y </w:t>
      </w:r>
      <w:r>
        <w:rPr>
          <w:rFonts w:ascii="Garamond" w:eastAsia="Times New Roman" w:hAnsi="Garamond" w:cs="Times New Roman"/>
          <w:sz w:val="20"/>
          <w:szCs w:val="18"/>
          <w:lang w:val="es-AR"/>
        </w:rPr>
        <w:t xml:space="preserve">AR$ 3.000.000, cuando al comienzo del proceso se mencionaba hechos por alrededor de USD 4 </w:t>
      </w:r>
      <w:r w:rsidR="00B05152">
        <w:rPr>
          <w:rFonts w:ascii="Garamond" w:eastAsia="Times New Roman" w:hAnsi="Garamond" w:cs="Times New Roman"/>
          <w:sz w:val="20"/>
          <w:szCs w:val="18"/>
          <w:lang w:val="es-AR"/>
        </w:rPr>
        <w:t>millones</w:t>
      </w:r>
      <w:r>
        <w:rPr>
          <w:rFonts w:ascii="Garamond" w:eastAsia="Times New Roman" w:hAnsi="Garamond" w:cs="Times New Roman"/>
          <w:sz w:val="20"/>
          <w:szCs w:val="18"/>
          <w:lang w:val="es-AR"/>
        </w:rPr>
        <w:t>)</w:t>
      </w:r>
      <w:r w:rsidR="00EF2B4D">
        <w:rPr>
          <w:rFonts w:ascii="Garamond" w:eastAsia="Times New Roman" w:hAnsi="Garamond" w:cs="Times New Roman"/>
          <w:sz w:val="20"/>
          <w:szCs w:val="18"/>
          <w:lang w:val="es-AR"/>
        </w:rPr>
        <w:t>,</w:t>
      </w:r>
      <w:r>
        <w:rPr>
          <w:rFonts w:ascii="Garamond" w:eastAsia="Times New Roman" w:hAnsi="Garamond" w:cs="Times New Roman"/>
          <w:sz w:val="20"/>
          <w:szCs w:val="18"/>
          <w:lang w:val="es-AR"/>
        </w:rPr>
        <w:t xml:space="preserve"> y </w:t>
      </w:r>
      <w:r w:rsidR="00EF2B4D">
        <w:rPr>
          <w:rFonts w:ascii="Garamond" w:eastAsia="Times New Roman" w:hAnsi="Garamond" w:cs="Times New Roman"/>
          <w:sz w:val="20"/>
          <w:szCs w:val="18"/>
          <w:lang w:val="es-AR"/>
        </w:rPr>
        <w:t xml:space="preserve">(ii) los montos están denominados </w:t>
      </w:r>
      <w:r>
        <w:rPr>
          <w:rFonts w:ascii="Garamond" w:eastAsia="Times New Roman" w:hAnsi="Garamond" w:cs="Times New Roman"/>
          <w:sz w:val="20"/>
          <w:szCs w:val="18"/>
          <w:lang w:val="es-AR"/>
        </w:rPr>
        <w:t xml:space="preserve">en pesos argentinos. </w:t>
      </w:r>
    </w:p>
    <w:p w14:paraId="5C02096C" w14:textId="77777777" w:rsidR="004C5D43" w:rsidRDefault="004C5D43" w:rsidP="004C5D43">
      <w:pPr>
        <w:pStyle w:val="Prrafodelista"/>
        <w:spacing w:after="0" w:line="240" w:lineRule="auto"/>
        <w:ind w:left="360"/>
        <w:jc w:val="both"/>
        <w:rPr>
          <w:rFonts w:ascii="Garamond" w:eastAsia="Times New Roman" w:hAnsi="Garamond" w:cs="Times New Roman"/>
          <w:sz w:val="20"/>
          <w:szCs w:val="18"/>
          <w:lang w:val="es-AR"/>
        </w:rPr>
      </w:pPr>
    </w:p>
    <w:p w14:paraId="3113F5A4" w14:textId="1E800DD2" w:rsidR="004C5D43" w:rsidRPr="00582114" w:rsidRDefault="004C5D43" w:rsidP="00582114">
      <w:pPr>
        <w:pStyle w:val="Prrafodelista"/>
        <w:numPr>
          <w:ilvl w:val="0"/>
          <w:numId w:val="142"/>
        </w:numPr>
        <w:spacing w:after="0" w:line="240" w:lineRule="auto"/>
        <w:ind w:left="360"/>
        <w:contextualSpacing w:val="0"/>
        <w:jc w:val="both"/>
        <w:rPr>
          <w:rFonts w:ascii="Garamond" w:eastAsia="Times New Roman" w:hAnsi="Garamond" w:cs="Times New Roman"/>
          <w:sz w:val="20"/>
          <w:szCs w:val="18"/>
          <w:lang w:val="es-AR"/>
        </w:rPr>
      </w:pPr>
      <w:r>
        <w:rPr>
          <w:rFonts w:ascii="Garamond" w:eastAsia="Times New Roman" w:hAnsi="Garamond" w:cs="Times New Roman"/>
          <w:sz w:val="20"/>
          <w:szCs w:val="18"/>
          <w:lang w:val="es-AR"/>
        </w:rPr>
        <w:t>Asimismo, considerando que la Cámara de Apelaciones ha confirmado</w:t>
      </w:r>
      <w:r w:rsidR="00EF2B4D">
        <w:rPr>
          <w:rFonts w:ascii="Garamond" w:eastAsia="Times New Roman" w:hAnsi="Garamond" w:cs="Times New Roman"/>
          <w:sz w:val="20"/>
          <w:szCs w:val="18"/>
          <w:lang w:val="es-AR"/>
        </w:rPr>
        <w:t xml:space="preserve"> la solicitud del Juzgado</w:t>
      </w:r>
      <w:r>
        <w:rPr>
          <w:rFonts w:ascii="Garamond" w:eastAsia="Times New Roman" w:hAnsi="Garamond" w:cs="Times New Roman"/>
          <w:sz w:val="20"/>
          <w:szCs w:val="18"/>
          <w:lang w:val="es-AR"/>
        </w:rPr>
        <w:t xml:space="preserve">, </w:t>
      </w:r>
      <w:r w:rsidR="00655AF1">
        <w:rPr>
          <w:rFonts w:ascii="Garamond" w:eastAsia="Times New Roman" w:hAnsi="Garamond" w:cs="Times New Roman"/>
          <w:sz w:val="20"/>
          <w:szCs w:val="18"/>
          <w:lang w:val="es-AR"/>
        </w:rPr>
        <w:t>para que continúe la investigación acerca de si los presuntos ilícitos debe</w:t>
      </w:r>
      <w:r w:rsidR="00B05152">
        <w:rPr>
          <w:rFonts w:ascii="Garamond" w:eastAsia="Times New Roman" w:hAnsi="Garamond" w:cs="Times New Roman"/>
          <w:sz w:val="20"/>
          <w:szCs w:val="18"/>
          <w:lang w:val="es-AR"/>
        </w:rPr>
        <w:t>n</w:t>
      </w:r>
      <w:r w:rsidR="00655AF1">
        <w:rPr>
          <w:rFonts w:ascii="Garamond" w:eastAsia="Times New Roman" w:hAnsi="Garamond" w:cs="Times New Roman"/>
          <w:sz w:val="20"/>
          <w:szCs w:val="18"/>
          <w:lang w:val="es-AR"/>
        </w:rPr>
        <w:t xml:space="preserve"> ser recaratulados como aportes ilícitos de campaña, </w:t>
      </w:r>
      <w:r>
        <w:rPr>
          <w:rFonts w:ascii="Garamond" w:eastAsia="Times New Roman" w:hAnsi="Garamond" w:cs="Times New Roman"/>
          <w:sz w:val="20"/>
          <w:szCs w:val="18"/>
          <w:lang w:val="es-AR"/>
        </w:rPr>
        <w:t xml:space="preserve">que la investigación ordenada se encuentra pendiente y </w:t>
      </w:r>
      <w:r w:rsidR="00655AF1">
        <w:rPr>
          <w:rFonts w:ascii="Garamond" w:eastAsia="Times New Roman" w:hAnsi="Garamond" w:cs="Times New Roman"/>
          <w:sz w:val="20"/>
          <w:szCs w:val="18"/>
          <w:lang w:val="es-AR"/>
        </w:rPr>
        <w:t xml:space="preserve">que se </w:t>
      </w:r>
      <w:r>
        <w:rPr>
          <w:rFonts w:ascii="Garamond" w:eastAsia="Times New Roman" w:hAnsi="Garamond" w:cs="Times New Roman"/>
          <w:sz w:val="20"/>
          <w:szCs w:val="18"/>
          <w:lang w:val="es-AR"/>
        </w:rPr>
        <w:t xml:space="preserve">ha ordenado nuevamente la realización de la misma, el Abogado Penalista presentó un pedido de nulidad parcial del requerimiento de elevación a juicio </w:t>
      </w:r>
      <w:r w:rsidR="00655AF1">
        <w:rPr>
          <w:rFonts w:ascii="Garamond" w:eastAsia="Times New Roman" w:hAnsi="Garamond" w:cs="Times New Roman"/>
          <w:sz w:val="20"/>
          <w:szCs w:val="18"/>
          <w:lang w:val="es-AR"/>
        </w:rPr>
        <w:t xml:space="preserve">oral. </w:t>
      </w:r>
    </w:p>
    <w:bookmarkEnd w:id="33"/>
    <w:p w14:paraId="07459315" w14:textId="77777777" w:rsidR="00482939" w:rsidRPr="00CA0A60" w:rsidRDefault="00482939" w:rsidP="00482939">
      <w:pPr>
        <w:pStyle w:val="Prrafodelista"/>
        <w:spacing w:after="0"/>
        <w:ind w:left="360"/>
        <w:jc w:val="both"/>
        <w:rPr>
          <w:rFonts w:ascii="Garamond" w:eastAsia="Times New Roman" w:hAnsi="Garamond" w:cs="Times New Roman"/>
          <w:sz w:val="20"/>
          <w:szCs w:val="18"/>
          <w:lang w:val="es-AR"/>
        </w:rPr>
      </w:pPr>
    </w:p>
    <w:p w14:paraId="74F78250" w14:textId="792DE790" w:rsidR="00482939" w:rsidRPr="00CA0A60" w:rsidRDefault="00482939" w:rsidP="00482939">
      <w:pPr>
        <w:jc w:val="both"/>
        <w:rPr>
          <w:rFonts w:ascii="Garamond" w:eastAsia="Times New Roman" w:hAnsi="Garamond" w:cs="Times New Roman"/>
          <w:sz w:val="20"/>
          <w:szCs w:val="18"/>
          <w:lang w:val="es-AR"/>
        </w:rPr>
      </w:pPr>
      <w:bookmarkStart w:id="34" w:name="_cp_text_1_126"/>
      <w:r w:rsidRPr="00CA0A60">
        <w:rPr>
          <w:rFonts w:ascii="Garamond" w:eastAsia="Times New Roman" w:hAnsi="Garamond" w:cs="Times New Roman"/>
          <w:sz w:val="20"/>
          <w:szCs w:val="18"/>
          <w:lang w:val="es-AR"/>
        </w:rPr>
        <w:t xml:space="preserve">Se entiende que los próximos pasos </w:t>
      </w:r>
      <w:r w:rsidR="004C5D43">
        <w:rPr>
          <w:rFonts w:ascii="Garamond" w:eastAsia="Times New Roman" w:hAnsi="Garamond" w:cs="Times New Roman"/>
          <w:sz w:val="20"/>
          <w:szCs w:val="18"/>
          <w:lang w:val="es-AR"/>
        </w:rPr>
        <w:t>deberían ser que el Ju</w:t>
      </w:r>
      <w:r w:rsidR="00655AF1">
        <w:rPr>
          <w:rFonts w:ascii="Garamond" w:eastAsia="Times New Roman" w:hAnsi="Garamond" w:cs="Times New Roman"/>
          <w:sz w:val="20"/>
          <w:szCs w:val="18"/>
          <w:lang w:val="es-AR"/>
        </w:rPr>
        <w:t>zgado</w:t>
      </w:r>
      <w:r w:rsidR="004C5D43">
        <w:rPr>
          <w:rFonts w:ascii="Garamond" w:eastAsia="Times New Roman" w:hAnsi="Garamond" w:cs="Times New Roman"/>
          <w:sz w:val="20"/>
          <w:szCs w:val="18"/>
          <w:lang w:val="es-AR"/>
        </w:rPr>
        <w:t xml:space="preserve"> resuelva el pedido de nulidad y en su caso se produzca </w:t>
      </w:r>
      <w:r w:rsidRPr="00CA0A60">
        <w:rPr>
          <w:rFonts w:ascii="Garamond" w:eastAsia="Times New Roman" w:hAnsi="Garamond" w:cs="Times New Roman"/>
          <w:sz w:val="20"/>
          <w:szCs w:val="18"/>
          <w:lang w:val="es-AR"/>
        </w:rPr>
        <w:t>la continuación de la investigación judicial según lo descripto anteriormente</w:t>
      </w:r>
      <w:r w:rsidR="004C5D43">
        <w:rPr>
          <w:rFonts w:ascii="Garamond" w:eastAsia="Times New Roman" w:hAnsi="Garamond" w:cs="Times New Roman"/>
          <w:sz w:val="20"/>
          <w:szCs w:val="18"/>
          <w:lang w:val="es-AR"/>
        </w:rPr>
        <w:t xml:space="preserve">, o en caso de no </w:t>
      </w:r>
      <w:r w:rsidR="00655AF1">
        <w:rPr>
          <w:rFonts w:ascii="Garamond" w:eastAsia="Times New Roman" w:hAnsi="Garamond" w:cs="Times New Roman"/>
          <w:sz w:val="20"/>
          <w:szCs w:val="18"/>
          <w:lang w:val="es-AR"/>
        </w:rPr>
        <w:t xml:space="preserve">hacer lugar </w:t>
      </w:r>
      <w:r w:rsidR="004C5D43">
        <w:rPr>
          <w:rFonts w:ascii="Garamond" w:eastAsia="Times New Roman" w:hAnsi="Garamond" w:cs="Times New Roman"/>
          <w:sz w:val="20"/>
          <w:szCs w:val="18"/>
          <w:lang w:val="es-AR"/>
        </w:rPr>
        <w:t xml:space="preserve">al pedido </w:t>
      </w:r>
      <w:r w:rsidR="00655AF1">
        <w:rPr>
          <w:rFonts w:ascii="Garamond" w:eastAsia="Times New Roman" w:hAnsi="Garamond" w:cs="Times New Roman"/>
          <w:sz w:val="20"/>
          <w:szCs w:val="18"/>
          <w:lang w:val="es-AR"/>
        </w:rPr>
        <w:t xml:space="preserve">del Abogado Penalista, </w:t>
      </w:r>
      <w:r w:rsidR="004C5D43">
        <w:rPr>
          <w:rFonts w:ascii="Garamond" w:eastAsia="Times New Roman" w:hAnsi="Garamond" w:cs="Times New Roman"/>
          <w:sz w:val="20"/>
          <w:szCs w:val="18"/>
          <w:lang w:val="es-AR"/>
        </w:rPr>
        <w:t>resolver respecto a la elevación a juicio requerida por el Fiscal.</w:t>
      </w:r>
      <w:r w:rsidRPr="00CA0A60">
        <w:rPr>
          <w:rFonts w:ascii="Garamond" w:eastAsia="Times New Roman" w:hAnsi="Garamond" w:cs="Times New Roman"/>
          <w:sz w:val="20"/>
          <w:szCs w:val="18"/>
          <w:lang w:val="es-AR"/>
        </w:rPr>
        <w:t xml:space="preserve"> Sin embargo, el Abogado Penalista ha informado </w:t>
      </w:r>
      <w:r w:rsidR="005C5C8B" w:rsidRPr="00CA0A60">
        <w:rPr>
          <w:rFonts w:ascii="Garamond" w:eastAsia="Times New Roman" w:hAnsi="Garamond" w:cs="Times New Roman"/>
          <w:sz w:val="20"/>
          <w:szCs w:val="18"/>
          <w:lang w:val="es-AR"/>
        </w:rPr>
        <w:t>a</w:t>
      </w:r>
      <w:r w:rsidR="00373BDD" w:rsidRPr="00CA0A60">
        <w:rPr>
          <w:rFonts w:ascii="Garamond" w:eastAsia="Times New Roman" w:hAnsi="Garamond" w:cs="Times New Roman"/>
          <w:sz w:val="20"/>
          <w:szCs w:val="18"/>
          <w:lang w:val="es-AR"/>
        </w:rPr>
        <w:t xml:space="preserve"> las Entidades Relevantes</w:t>
      </w:r>
      <w:r w:rsidR="005C5C8B" w:rsidRPr="00CA0A6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que no hay certeza sobre los plazos en que puedan ejecutarse las próximas medidas.</w:t>
      </w:r>
    </w:p>
    <w:p w14:paraId="3A8F10FB" w14:textId="77777777" w:rsidR="00482939" w:rsidRPr="00CA0A60" w:rsidRDefault="00482939" w:rsidP="00482939">
      <w:pPr>
        <w:spacing w:after="0"/>
        <w:contextualSpacing/>
        <w:jc w:val="both"/>
        <w:rPr>
          <w:rFonts w:ascii="Garamond" w:eastAsia="Times New Roman" w:hAnsi="Garamond" w:cs="Times New Roman"/>
          <w:sz w:val="20"/>
          <w:szCs w:val="18"/>
          <w:lang w:val="es-AR"/>
        </w:rPr>
      </w:pPr>
      <w:bookmarkStart w:id="35" w:name="_cp_text_1_145"/>
      <w:bookmarkEnd w:id="34"/>
      <w:r w:rsidRPr="00CA0A60">
        <w:rPr>
          <w:rFonts w:ascii="Garamond" w:eastAsia="Times New Roman" w:hAnsi="Garamond" w:cs="Times New Roman"/>
          <w:sz w:val="20"/>
          <w:szCs w:val="18"/>
          <w:lang w:val="es-AR"/>
        </w:rPr>
        <w:t xml:space="preserve">Ninguna de las </w:t>
      </w:r>
      <w:r w:rsidR="00283391" w:rsidRPr="00CA0A60">
        <w:rPr>
          <w:rFonts w:ascii="Garamond" w:eastAsia="Times New Roman" w:hAnsi="Garamond" w:cs="Times New Roman"/>
          <w:sz w:val="20"/>
          <w:szCs w:val="18"/>
          <w:lang w:val="es-AR"/>
        </w:rPr>
        <w:t>E</w:t>
      </w:r>
      <w:r w:rsidRPr="00CA0A60">
        <w:rPr>
          <w:rFonts w:ascii="Garamond" w:eastAsia="Times New Roman" w:hAnsi="Garamond" w:cs="Times New Roman"/>
          <w:sz w:val="20"/>
          <w:szCs w:val="18"/>
          <w:lang w:val="es-AR"/>
        </w:rPr>
        <w:t xml:space="preserve">ntidades </w:t>
      </w:r>
      <w:r w:rsidR="00283391" w:rsidRPr="00CA0A60">
        <w:rPr>
          <w:rFonts w:ascii="Garamond" w:eastAsia="Times New Roman" w:hAnsi="Garamond" w:cs="Times New Roman"/>
          <w:sz w:val="20"/>
          <w:szCs w:val="18"/>
          <w:lang w:val="es-AR"/>
        </w:rPr>
        <w:t xml:space="preserve">Relevantes </w:t>
      </w:r>
      <w:r w:rsidRPr="00CA0A60">
        <w:rPr>
          <w:rFonts w:ascii="Garamond" w:eastAsia="Times New Roman" w:hAnsi="Garamond" w:cs="Times New Roman"/>
          <w:sz w:val="20"/>
          <w:szCs w:val="18"/>
          <w:lang w:val="es-AR"/>
        </w:rPr>
        <w:t xml:space="preserve">ni sus demás directores o funcionarios ejecutivos han sido citados por ningún tribunal o autoridad en relación con esta investigación judicial, ya sea como imputados, testigos o en otro carácter. A la fecha del presente, </w:t>
      </w:r>
      <w:r w:rsidR="00283391" w:rsidRPr="00CA0A60">
        <w:rPr>
          <w:rFonts w:ascii="Garamond" w:eastAsia="Times New Roman" w:hAnsi="Garamond" w:cs="Times New Roman"/>
          <w:sz w:val="20"/>
          <w:szCs w:val="18"/>
          <w:lang w:val="es-AR"/>
        </w:rPr>
        <w:t>las Entidades Relevantes</w:t>
      </w:r>
      <w:r w:rsidRPr="00CA0A60">
        <w:rPr>
          <w:rFonts w:ascii="Garamond" w:eastAsia="Times New Roman" w:hAnsi="Garamond" w:cs="Times New Roman"/>
          <w:sz w:val="20"/>
          <w:szCs w:val="18"/>
          <w:lang w:val="es-AR"/>
        </w:rPr>
        <w:t xml:space="preserve"> no tiene</w:t>
      </w:r>
      <w:r w:rsidR="00373BDD" w:rsidRPr="00CA0A60">
        <w:rPr>
          <w:rFonts w:ascii="Garamond" w:eastAsia="Times New Roman" w:hAnsi="Garamond" w:cs="Times New Roman"/>
          <w:sz w:val="20"/>
          <w:szCs w:val="18"/>
          <w:lang w:val="es-AR"/>
        </w:rPr>
        <w:t>n</w:t>
      </w:r>
      <w:r w:rsidRPr="00CA0A60">
        <w:rPr>
          <w:rFonts w:ascii="Garamond" w:eastAsia="Times New Roman" w:hAnsi="Garamond" w:cs="Times New Roman"/>
          <w:sz w:val="20"/>
          <w:szCs w:val="18"/>
          <w:lang w:val="es-AR"/>
        </w:rPr>
        <w:t xml:space="preserve"> fundamentos para creer que ninguna de las </w:t>
      </w:r>
      <w:r w:rsidR="00283391" w:rsidRPr="00CA0A60">
        <w:rPr>
          <w:rFonts w:ascii="Garamond" w:eastAsia="Times New Roman" w:hAnsi="Garamond" w:cs="Times New Roman"/>
          <w:sz w:val="20"/>
          <w:szCs w:val="18"/>
          <w:lang w:val="es-AR"/>
        </w:rPr>
        <w:t>E</w:t>
      </w:r>
      <w:r w:rsidRPr="00CA0A60">
        <w:rPr>
          <w:rFonts w:ascii="Garamond" w:eastAsia="Times New Roman" w:hAnsi="Garamond" w:cs="Times New Roman"/>
          <w:sz w:val="20"/>
          <w:szCs w:val="18"/>
          <w:lang w:val="es-AR"/>
        </w:rPr>
        <w:t xml:space="preserve">ntidades </w:t>
      </w:r>
      <w:r w:rsidR="00283391" w:rsidRPr="00CA0A60">
        <w:rPr>
          <w:rFonts w:ascii="Garamond" w:eastAsia="Times New Roman" w:hAnsi="Garamond" w:cs="Times New Roman"/>
          <w:sz w:val="20"/>
          <w:szCs w:val="18"/>
          <w:lang w:val="es-AR"/>
        </w:rPr>
        <w:t xml:space="preserve">Relevantes </w:t>
      </w:r>
      <w:r w:rsidRPr="00CA0A60">
        <w:rPr>
          <w:rFonts w:ascii="Garamond" w:eastAsia="Times New Roman" w:hAnsi="Garamond" w:cs="Times New Roman"/>
          <w:sz w:val="20"/>
          <w:szCs w:val="18"/>
          <w:lang w:val="es-AR"/>
        </w:rPr>
        <w:t>o sus demás directores o funcionarios ejecutivos se encuentra o pasará a estar imputado o procesado en estos procedimientos.</w:t>
      </w:r>
    </w:p>
    <w:bookmarkEnd w:id="35"/>
    <w:p w14:paraId="6537F28F" w14:textId="77777777" w:rsidR="00482939" w:rsidRPr="00CA0A60" w:rsidRDefault="00482939" w:rsidP="00482939">
      <w:pPr>
        <w:spacing w:after="0"/>
        <w:contextualSpacing/>
        <w:jc w:val="both"/>
        <w:rPr>
          <w:rFonts w:ascii="Garamond" w:eastAsia="Times New Roman" w:hAnsi="Garamond" w:cs="Times New Roman"/>
          <w:sz w:val="20"/>
          <w:szCs w:val="18"/>
          <w:lang w:val="es-AR"/>
        </w:rPr>
      </w:pPr>
    </w:p>
    <w:p w14:paraId="3CA78FA3" w14:textId="77777777" w:rsidR="00482939" w:rsidRPr="00CA0A60" w:rsidRDefault="00482939" w:rsidP="00482939">
      <w:pPr>
        <w:spacing w:after="0"/>
        <w:contextualSpacing/>
        <w:jc w:val="both"/>
        <w:rPr>
          <w:rFonts w:ascii="Garamond" w:eastAsia="Times New Roman" w:hAnsi="Garamond" w:cs="Times New Roman"/>
          <w:sz w:val="20"/>
          <w:szCs w:val="18"/>
          <w:lang w:val="es-AR"/>
        </w:rPr>
      </w:pPr>
      <w:bookmarkStart w:id="36" w:name="_cp_text_1_162"/>
      <w:r w:rsidRPr="00CA0A60">
        <w:rPr>
          <w:rFonts w:ascii="Garamond" w:eastAsia="Times New Roman" w:hAnsi="Garamond" w:cs="Times New Roman"/>
          <w:sz w:val="20"/>
          <w:szCs w:val="18"/>
          <w:lang w:val="es-AR"/>
        </w:rPr>
        <w:t>El 1° de diciembre de 2017, el Congreso de la Nación sancionó la Ley N° 27.401 de Responsabilidad Penal de las Personas Jurídicas (“</w:t>
      </w:r>
      <w:r w:rsidRPr="00CA0A60">
        <w:rPr>
          <w:rFonts w:ascii="Garamond" w:eastAsia="Times New Roman" w:hAnsi="Garamond" w:cs="Times New Roman"/>
          <w:sz w:val="20"/>
          <w:szCs w:val="18"/>
          <w:u w:val="single"/>
          <w:lang w:val="es-AR" w:eastAsia="es-AR"/>
        </w:rPr>
        <w:t>Ley de Responsabilidad Penal de las Personas Jurídicas</w:t>
      </w:r>
      <w:r w:rsidRPr="00CA0A60">
        <w:rPr>
          <w:rFonts w:ascii="Garamond" w:eastAsia="Times New Roman" w:hAnsi="Garamond" w:cs="Times New Roman"/>
          <w:sz w:val="20"/>
          <w:szCs w:val="18"/>
          <w:lang w:val="es-AR" w:eastAsia="es-AR"/>
        </w:rPr>
        <w:t xml:space="preserve">”), que establece la responsabilidad penal de las empresas que participan en actos de corrupción. Sin embargo, la Ley de </w:t>
      </w:r>
      <w:r w:rsidRPr="00CA0A60">
        <w:rPr>
          <w:rFonts w:ascii="Garamond" w:eastAsia="Times New Roman" w:hAnsi="Garamond" w:cs="Times New Roman"/>
          <w:sz w:val="20"/>
          <w:szCs w:val="18"/>
          <w:lang w:val="es-AR" w:eastAsia="es-AR"/>
        </w:rPr>
        <w:lastRenderedPageBreak/>
        <w:t>Responsabilidad Penal de las Personas Jurídicas no es aplicable al caso descripto en el presente dado que los hechos investigados tuvieron lugar antes de la entrada en vigencia de la ley, y la ley no tiene efectos retroactivos.</w:t>
      </w:r>
      <w:bookmarkStart w:id="37" w:name="_cp_text_28_163"/>
      <w:bookmarkEnd w:id="36"/>
      <w:r w:rsidRPr="00CA0A60">
        <w:rPr>
          <w:rStyle w:val="Refdenotaalpie"/>
          <w:rFonts w:ascii="Garamond" w:eastAsia="Times New Roman" w:hAnsi="Garamond" w:cs="Times New Roman"/>
          <w:sz w:val="20"/>
          <w:szCs w:val="18"/>
          <w:lang w:val="es-AR" w:eastAsia="es-AR"/>
        </w:rPr>
        <w:footnoteReference w:id="3"/>
      </w:r>
      <w:r w:rsidRPr="00CA0A60">
        <w:rPr>
          <w:rFonts w:ascii="Garamond" w:eastAsia="Times New Roman" w:hAnsi="Garamond" w:cs="Times New Roman"/>
          <w:sz w:val="20"/>
          <w:szCs w:val="18"/>
          <w:lang w:val="es-AR"/>
        </w:rPr>
        <w:t xml:space="preserve"> </w:t>
      </w:r>
      <w:bookmarkStart w:id="42" w:name="_cp_text_1_168"/>
      <w:bookmarkEnd w:id="37"/>
    </w:p>
    <w:bookmarkEnd w:id="42"/>
    <w:p w14:paraId="6DFB9E20" w14:textId="77777777" w:rsidR="00482939" w:rsidRPr="00CA0A60" w:rsidRDefault="00482939" w:rsidP="00482939">
      <w:pPr>
        <w:spacing w:after="0"/>
        <w:contextualSpacing/>
        <w:jc w:val="both"/>
        <w:rPr>
          <w:rFonts w:ascii="Garamond" w:eastAsia="Times New Roman" w:hAnsi="Garamond" w:cs="Times New Roman"/>
          <w:sz w:val="20"/>
          <w:szCs w:val="18"/>
          <w:lang w:val="es-AR"/>
        </w:rPr>
      </w:pPr>
    </w:p>
    <w:p w14:paraId="13C6B920" w14:textId="0926D17B" w:rsidR="00482939" w:rsidRPr="00CA0A60" w:rsidRDefault="00A64892" w:rsidP="005E14F3">
      <w:pPr>
        <w:keepNext/>
        <w:spacing w:after="0"/>
        <w:contextualSpacing/>
        <w:jc w:val="both"/>
        <w:rPr>
          <w:rFonts w:ascii="Garamond" w:eastAsia="Times New Roman" w:hAnsi="Garamond" w:cs="Times New Roman"/>
          <w:b/>
          <w:sz w:val="20"/>
          <w:szCs w:val="18"/>
          <w:lang w:val="es-AR"/>
        </w:rPr>
      </w:pPr>
      <w:r w:rsidRPr="00CA0A60">
        <w:rPr>
          <w:rFonts w:ascii="Garamond" w:eastAsia="Times New Roman" w:hAnsi="Garamond" w:cs="Times New Roman"/>
          <w:b/>
          <w:sz w:val="20"/>
          <w:szCs w:val="18"/>
          <w:lang w:val="es-AR"/>
        </w:rPr>
        <w:t xml:space="preserve">Consideraciones Jurídicas Bajo Las Legislaciones Estadounidense </w:t>
      </w:r>
      <w:r w:rsidR="00C25C8F" w:rsidRPr="00CA0A60">
        <w:rPr>
          <w:rFonts w:ascii="Garamond" w:eastAsia="Times New Roman" w:hAnsi="Garamond" w:cs="Times New Roman"/>
          <w:b/>
          <w:sz w:val="20"/>
          <w:szCs w:val="18"/>
          <w:lang w:val="es-AR"/>
        </w:rPr>
        <w:t>y</w:t>
      </w:r>
      <w:r w:rsidRPr="00CA0A60">
        <w:rPr>
          <w:rFonts w:ascii="Garamond" w:eastAsia="Times New Roman" w:hAnsi="Garamond" w:cs="Times New Roman"/>
          <w:b/>
          <w:sz w:val="20"/>
          <w:szCs w:val="18"/>
          <w:lang w:val="es-AR"/>
        </w:rPr>
        <w:t xml:space="preserve"> Argentina</w:t>
      </w:r>
    </w:p>
    <w:p w14:paraId="70DF9E56" w14:textId="77777777" w:rsidR="00482939" w:rsidRPr="00CA0A60" w:rsidRDefault="00482939" w:rsidP="005E14F3">
      <w:pPr>
        <w:keepNext/>
        <w:spacing w:after="0"/>
        <w:contextualSpacing/>
        <w:jc w:val="both"/>
        <w:rPr>
          <w:rFonts w:ascii="Garamond" w:eastAsia="Times New Roman" w:hAnsi="Garamond" w:cs="Times New Roman"/>
          <w:sz w:val="20"/>
          <w:szCs w:val="18"/>
          <w:lang w:val="es-AR"/>
        </w:rPr>
      </w:pPr>
    </w:p>
    <w:p w14:paraId="334A2C6C" w14:textId="147D0B0E" w:rsidR="00482939" w:rsidRPr="00CA0A60" w:rsidRDefault="00482939" w:rsidP="005E14F3">
      <w:pPr>
        <w:keepNext/>
        <w:spacing w:after="0"/>
        <w:contextualSpacing/>
        <w:jc w:val="both"/>
        <w:rPr>
          <w:rFonts w:ascii="Garamond" w:hAnsi="Garamond" w:cs="Times New Roman"/>
          <w:sz w:val="20"/>
          <w:szCs w:val="18"/>
          <w:lang w:val="es-AR"/>
        </w:rPr>
      </w:pPr>
      <w:bookmarkStart w:id="43" w:name="_cp_text_1_172"/>
      <w:r w:rsidRPr="00CA0A60">
        <w:rPr>
          <w:rFonts w:ascii="Garamond" w:eastAsia="Times New Roman" w:hAnsi="Garamond" w:cs="Times New Roman"/>
          <w:sz w:val="20"/>
          <w:szCs w:val="18"/>
          <w:lang w:val="es-AR"/>
        </w:rPr>
        <w:t xml:space="preserve">Las disposiciones antisoborno de la Ley Estadounidense de Prácticas Corruptas en el Extranjero </w:t>
      </w:r>
      <w:bookmarkEnd w:id="43"/>
      <w:r w:rsidRPr="00CA0A60">
        <w:rPr>
          <w:rFonts w:ascii="Garamond" w:eastAsia="Times New Roman" w:hAnsi="Garamond" w:cs="Times New Roman"/>
          <w:sz w:val="20"/>
          <w:szCs w:val="18"/>
          <w:lang w:val="es-AR"/>
        </w:rPr>
        <w:t>de 1977 (</w:t>
      </w:r>
      <w:r w:rsidRPr="00CA0A60">
        <w:rPr>
          <w:rFonts w:ascii="Garamond" w:eastAsia="Times New Roman" w:hAnsi="Garamond" w:cs="Times New Roman"/>
          <w:i/>
          <w:sz w:val="20"/>
          <w:szCs w:val="18"/>
          <w:lang w:val="es-AR"/>
        </w:rPr>
        <w:t>U.S. Foreign Corrupt Practices Act of 1977</w:t>
      </w:r>
      <w:r w:rsidRPr="00CA0A60">
        <w:rPr>
          <w:rFonts w:ascii="Garamond" w:eastAsia="Times New Roman" w:hAnsi="Garamond" w:cs="Times New Roman"/>
          <w:sz w:val="20"/>
          <w:szCs w:val="18"/>
          <w:lang w:val="es-AR"/>
        </w:rPr>
        <w:t>, “</w:t>
      </w:r>
      <w:r w:rsidRPr="00CA0A60">
        <w:rPr>
          <w:rFonts w:ascii="Garamond" w:eastAsia="Times New Roman" w:hAnsi="Garamond" w:cs="Times New Roman"/>
          <w:sz w:val="20"/>
          <w:szCs w:val="18"/>
          <w:u w:val="single"/>
          <w:lang w:val="es-AR"/>
        </w:rPr>
        <w:t>FCPA</w:t>
      </w:r>
      <w:r w:rsidRPr="00CA0A60">
        <w:rPr>
          <w:rFonts w:ascii="Garamond" w:eastAsia="Times New Roman" w:hAnsi="Garamond" w:cs="Times New Roman"/>
          <w:sz w:val="20"/>
          <w:szCs w:val="18"/>
          <w:lang w:val="es-AR"/>
        </w:rPr>
        <w:t xml:space="preserve">”) </w:t>
      </w:r>
      <w:bookmarkStart w:id="44" w:name="_cp_text_1_174"/>
      <w:r w:rsidRPr="00CA0A60">
        <w:rPr>
          <w:rFonts w:ascii="Garamond" w:eastAsia="Times New Roman" w:hAnsi="Garamond" w:cs="Times New Roman"/>
          <w:sz w:val="20"/>
          <w:szCs w:val="18"/>
          <w:lang w:val="es-AR"/>
        </w:rPr>
        <w:t>no son aplicables a</w:t>
      </w:r>
      <w:r w:rsidR="00283391" w:rsidRPr="00CA0A60">
        <w:rPr>
          <w:rFonts w:ascii="Garamond" w:eastAsia="Times New Roman" w:hAnsi="Garamond" w:cs="Times New Roman"/>
          <w:sz w:val="20"/>
          <w:szCs w:val="18"/>
          <w:lang w:val="es-AR"/>
        </w:rPr>
        <w:t xml:space="preserve"> las Entidades Relevantes </w:t>
      </w:r>
      <w:bookmarkEnd w:id="44"/>
      <w:r w:rsidRPr="00CA0A60">
        <w:rPr>
          <w:rFonts w:ascii="Garamond" w:eastAsia="Times New Roman" w:hAnsi="Garamond" w:cs="Times New Roman"/>
          <w:sz w:val="20"/>
          <w:szCs w:val="18"/>
          <w:lang w:val="es-AR"/>
        </w:rPr>
        <w:t xml:space="preserve">en relación con los presuntos hechos implicados en la investigación judicial antes mencionada. Las disposiciones antisoborno de la FCPA se aplican con mayor alcance a “empresas locales” y “emisoras” pero también pueden aplicarse a otras personas cuando su conducta tiene un nexo suficiente con los Estados Unidos. Dado que las </w:t>
      </w:r>
      <w:r w:rsidR="00322580" w:rsidRPr="00CA0A60">
        <w:rPr>
          <w:rFonts w:ascii="Garamond" w:eastAsia="Times New Roman" w:hAnsi="Garamond" w:cs="Times New Roman"/>
          <w:sz w:val="20"/>
          <w:szCs w:val="18"/>
          <w:lang w:val="es-AR"/>
        </w:rPr>
        <w:t>E</w:t>
      </w:r>
      <w:r w:rsidRPr="00CA0A60">
        <w:rPr>
          <w:rFonts w:ascii="Garamond" w:eastAsia="Times New Roman" w:hAnsi="Garamond" w:cs="Times New Roman"/>
          <w:sz w:val="20"/>
          <w:szCs w:val="18"/>
          <w:lang w:val="es-AR"/>
        </w:rPr>
        <w:t xml:space="preserve">ntidades </w:t>
      </w:r>
      <w:r w:rsidR="00322580" w:rsidRPr="00CA0A60">
        <w:rPr>
          <w:rFonts w:ascii="Garamond" w:eastAsia="Times New Roman" w:hAnsi="Garamond" w:cs="Times New Roman"/>
          <w:sz w:val="20"/>
          <w:szCs w:val="18"/>
          <w:lang w:val="es-AR"/>
        </w:rPr>
        <w:t xml:space="preserve">Relevantes </w:t>
      </w:r>
      <w:r w:rsidRPr="00CA0A60">
        <w:rPr>
          <w:rFonts w:ascii="Garamond" w:eastAsia="Times New Roman" w:hAnsi="Garamond" w:cs="Times New Roman"/>
          <w:sz w:val="20"/>
          <w:szCs w:val="18"/>
          <w:lang w:val="es-AR"/>
        </w:rPr>
        <w:t xml:space="preserve">son sociedades argentinas sin presencia en Estados Unidos y no están </w:t>
      </w:r>
      <w:r w:rsidR="00A64892" w:rsidRPr="00CA0A60">
        <w:rPr>
          <w:rFonts w:ascii="Garamond" w:eastAsia="Times New Roman" w:hAnsi="Garamond" w:cs="Times New Roman"/>
          <w:sz w:val="20"/>
          <w:szCs w:val="18"/>
          <w:lang w:val="es-AR"/>
        </w:rPr>
        <w:t xml:space="preserve">registradas </w:t>
      </w:r>
      <w:r w:rsidRPr="00CA0A60">
        <w:rPr>
          <w:rFonts w:ascii="Garamond" w:eastAsia="Times New Roman" w:hAnsi="Garamond" w:cs="Times New Roman"/>
          <w:sz w:val="20"/>
          <w:szCs w:val="18"/>
          <w:lang w:val="es-AR"/>
        </w:rPr>
        <w:t>ante la Comisión de Valores de Estados Unidos (</w:t>
      </w:r>
      <w:r w:rsidRPr="00CA0A60">
        <w:rPr>
          <w:rFonts w:ascii="Garamond" w:eastAsia="Times New Roman" w:hAnsi="Garamond" w:cs="Times New Roman"/>
          <w:i/>
          <w:sz w:val="20"/>
          <w:szCs w:val="18"/>
          <w:lang w:val="es-AR"/>
        </w:rPr>
        <w:t>U.S. Securities and Exchange Commission</w:t>
      </w:r>
      <w:r w:rsidRPr="00CA0A60">
        <w:rPr>
          <w:rFonts w:ascii="Garamond" w:eastAsia="Times New Roman" w:hAnsi="Garamond" w:cs="Times New Roman"/>
          <w:sz w:val="20"/>
          <w:szCs w:val="18"/>
          <w:lang w:val="es-AR"/>
        </w:rPr>
        <w:t>) ni poseen títulos valores listados en ninguna bolsa de valores estadounidense, no calificarían como “empresas locales” o “emisoras” bajo la FCPA. En consecuencia, las disposiciones antisoborno de la FCPA sólo podrían ser aplicables a</w:t>
      </w:r>
      <w:r w:rsidR="00322580" w:rsidRPr="00CA0A6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l</w:t>
      </w:r>
      <w:r w:rsidR="00322580" w:rsidRPr="00CA0A60">
        <w:rPr>
          <w:rFonts w:ascii="Garamond" w:eastAsia="Times New Roman" w:hAnsi="Garamond" w:cs="Times New Roman"/>
          <w:sz w:val="20"/>
          <w:szCs w:val="18"/>
          <w:lang w:val="es-AR"/>
        </w:rPr>
        <w:t>as</w:t>
      </w:r>
      <w:r w:rsidRPr="00CA0A60">
        <w:rPr>
          <w:rFonts w:ascii="Garamond" w:eastAsia="Times New Roman" w:hAnsi="Garamond" w:cs="Times New Roman"/>
          <w:sz w:val="20"/>
          <w:szCs w:val="18"/>
          <w:lang w:val="es-AR"/>
        </w:rPr>
        <w:t xml:space="preserve"> </w:t>
      </w:r>
      <w:r w:rsidR="00322580" w:rsidRPr="00CA0A60">
        <w:rPr>
          <w:rFonts w:ascii="Garamond" w:eastAsia="Times New Roman" w:hAnsi="Garamond" w:cs="Times New Roman"/>
          <w:sz w:val="20"/>
          <w:szCs w:val="18"/>
          <w:lang w:val="es-AR"/>
        </w:rPr>
        <w:t>Entidades Relevantes</w:t>
      </w:r>
      <w:r w:rsidR="00322580" w:rsidRPr="00CA0A60" w:rsidDel="0032258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 xml:space="preserve">si ellas o alguna persona en su nombre participara de un hecho tendiente a realizar un pago corrupto </w:t>
      </w:r>
      <w:r w:rsidR="001271ED" w:rsidRPr="00CA0A60">
        <w:rPr>
          <w:rFonts w:ascii="Garamond" w:eastAsia="Times New Roman" w:hAnsi="Garamond" w:cs="Times New Roman"/>
          <w:sz w:val="20"/>
          <w:szCs w:val="18"/>
          <w:lang w:val="es-AR"/>
        </w:rPr>
        <w:t xml:space="preserve">suficientemente vinculado a las </w:t>
      </w:r>
      <w:r w:rsidRPr="00CA0A60">
        <w:rPr>
          <w:rFonts w:ascii="Garamond" w:eastAsia="Times New Roman" w:hAnsi="Garamond" w:cs="Times New Roman"/>
          <w:sz w:val="20"/>
          <w:szCs w:val="18"/>
          <w:lang w:val="es-AR"/>
        </w:rPr>
        <w:t>Estados Unidos, o actuara como agente de una “emisora” o “empresa local” en relación con un esquema de sobornos.</w:t>
      </w:r>
      <w:bookmarkStart w:id="45" w:name="_cp_text_28_183"/>
      <w:r w:rsidRPr="00CA0A60">
        <w:rPr>
          <w:rStyle w:val="Refdenotaalpie"/>
          <w:rFonts w:ascii="Garamond" w:eastAsia="Times New Roman" w:hAnsi="Garamond" w:cs="Times New Roman"/>
          <w:sz w:val="20"/>
          <w:szCs w:val="18"/>
          <w:lang w:val="es-AR"/>
        </w:rPr>
        <w:footnoteReference w:id="4"/>
      </w:r>
      <w:r w:rsidRPr="00CA0A60">
        <w:rPr>
          <w:rFonts w:ascii="Garamond" w:hAnsi="Garamond" w:cs="Times New Roman"/>
          <w:sz w:val="20"/>
          <w:szCs w:val="18"/>
          <w:lang w:val="es-AR"/>
        </w:rPr>
        <w:t xml:space="preserve"> </w:t>
      </w:r>
      <w:bookmarkEnd w:id="45"/>
      <w:r w:rsidR="00D74620" w:rsidRPr="00CA0A60">
        <w:rPr>
          <w:rFonts w:ascii="Garamond" w:hAnsi="Garamond" w:cs="Times New Roman"/>
          <w:sz w:val="20"/>
          <w:szCs w:val="18"/>
          <w:lang w:val="es-AR"/>
        </w:rPr>
        <w:t>Las Sociedades no tienen</w:t>
      </w:r>
      <w:r w:rsidRPr="00713D6E">
        <w:rPr>
          <w:rFonts w:ascii="Garamond" w:hAnsi="Garamond" w:cs="Times New Roman"/>
          <w:sz w:val="20"/>
          <w:szCs w:val="18"/>
          <w:lang w:val="es-AR"/>
        </w:rPr>
        <w:t xml:space="preserve"> fundamentos para sostener que las disposiciones antisoborno de la FCPA </w:t>
      </w:r>
      <w:r w:rsidR="00D74620" w:rsidRPr="00CA0A60">
        <w:rPr>
          <w:rFonts w:ascii="Garamond" w:hAnsi="Garamond" w:cs="Times New Roman"/>
          <w:sz w:val="20"/>
          <w:szCs w:val="18"/>
          <w:lang w:val="es-AR"/>
        </w:rPr>
        <w:t xml:space="preserve">podrían ser </w:t>
      </w:r>
      <w:r w:rsidRPr="00CA0A60">
        <w:rPr>
          <w:rFonts w:ascii="Garamond" w:hAnsi="Garamond" w:cs="Times New Roman"/>
          <w:sz w:val="20"/>
          <w:szCs w:val="18"/>
          <w:lang w:val="es-AR"/>
        </w:rPr>
        <w:t>de aplicación a</w:t>
      </w:r>
      <w:r w:rsidR="00322580" w:rsidRPr="00CA0A60">
        <w:rPr>
          <w:rFonts w:ascii="Garamond" w:hAnsi="Garamond" w:cs="Times New Roman"/>
          <w:sz w:val="20"/>
          <w:szCs w:val="18"/>
          <w:lang w:val="es-AR"/>
        </w:rPr>
        <w:t xml:space="preserve"> </w:t>
      </w:r>
      <w:r w:rsidRPr="00CA0A60">
        <w:rPr>
          <w:rFonts w:ascii="Garamond" w:hAnsi="Garamond" w:cs="Times New Roman"/>
          <w:sz w:val="20"/>
          <w:szCs w:val="18"/>
          <w:lang w:val="es-AR"/>
        </w:rPr>
        <w:t>l</w:t>
      </w:r>
      <w:r w:rsidR="00322580" w:rsidRPr="00CA0A60">
        <w:rPr>
          <w:rFonts w:ascii="Garamond" w:hAnsi="Garamond" w:cs="Times New Roman"/>
          <w:sz w:val="20"/>
          <w:szCs w:val="18"/>
          <w:lang w:val="es-AR"/>
        </w:rPr>
        <w:t>as</w:t>
      </w:r>
      <w:r w:rsidRPr="00CA0A60">
        <w:rPr>
          <w:rFonts w:ascii="Garamond" w:hAnsi="Garamond" w:cs="Times New Roman"/>
          <w:sz w:val="20"/>
          <w:szCs w:val="18"/>
          <w:lang w:val="es-AR"/>
        </w:rPr>
        <w:t xml:space="preserve"> </w:t>
      </w:r>
      <w:r w:rsidR="00322580" w:rsidRPr="00CA0A60">
        <w:rPr>
          <w:rFonts w:ascii="Garamond" w:eastAsia="Times New Roman" w:hAnsi="Garamond" w:cs="Times New Roman"/>
          <w:sz w:val="20"/>
          <w:szCs w:val="18"/>
          <w:lang w:val="es-AR"/>
        </w:rPr>
        <w:t>Entidades Relevantes</w:t>
      </w:r>
      <w:r w:rsidR="00322580" w:rsidRPr="00CA0A60" w:rsidDel="00322580">
        <w:rPr>
          <w:rFonts w:ascii="Garamond" w:hAnsi="Garamond" w:cs="Times New Roman"/>
          <w:sz w:val="20"/>
          <w:szCs w:val="18"/>
          <w:lang w:val="es-AR"/>
        </w:rPr>
        <w:t xml:space="preserve"> </w:t>
      </w:r>
      <w:r w:rsidRPr="00CA0A60">
        <w:rPr>
          <w:rFonts w:ascii="Garamond" w:hAnsi="Garamond" w:cs="Times New Roman"/>
          <w:sz w:val="20"/>
          <w:szCs w:val="18"/>
          <w:lang w:val="es-AR"/>
        </w:rPr>
        <w:t>en este caso.</w:t>
      </w:r>
    </w:p>
    <w:p w14:paraId="44E871BC" w14:textId="77777777" w:rsidR="00F71DDC" w:rsidRPr="00CA0A60" w:rsidRDefault="00F71DDC" w:rsidP="00482939">
      <w:pPr>
        <w:spacing w:after="0"/>
        <w:contextualSpacing/>
        <w:jc w:val="both"/>
        <w:rPr>
          <w:rFonts w:ascii="Garamond" w:hAnsi="Garamond" w:cs="Times New Roman"/>
          <w:sz w:val="20"/>
          <w:szCs w:val="18"/>
          <w:lang w:val="es-AR"/>
        </w:rPr>
      </w:pPr>
    </w:p>
    <w:p w14:paraId="0481F92A" w14:textId="77777777" w:rsidR="00482939" w:rsidRPr="00CA0A60" w:rsidRDefault="00482939" w:rsidP="00482939">
      <w:pPr>
        <w:spacing w:after="0"/>
        <w:contextualSpacing/>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 xml:space="preserve">El siguiente análisis evalúa si los presuntos hechos constituirían un </w:t>
      </w:r>
      <w:r w:rsidR="002D5CDD" w:rsidRPr="00CA0A60">
        <w:rPr>
          <w:rFonts w:ascii="Garamond" w:eastAsia="Times New Roman" w:hAnsi="Garamond" w:cs="Times New Roman"/>
          <w:sz w:val="20"/>
          <w:szCs w:val="18"/>
          <w:lang w:val="es-AR"/>
        </w:rPr>
        <w:t xml:space="preserve">supuesto de </w:t>
      </w:r>
      <w:r w:rsidRPr="00CA0A60">
        <w:rPr>
          <w:rFonts w:ascii="Garamond" w:eastAsia="Times New Roman" w:hAnsi="Garamond" w:cs="Times New Roman"/>
          <w:sz w:val="20"/>
          <w:szCs w:val="18"/>
          <w:lang w:val="es-AR"/>
        </w:rPr>
        <w:t>incumplimiento bajo los principales documentos de deuda de</w:t>
      </w:r>
      <w:r w:rsidR="00322580" w:rsidRPr="00CA0A60">
        <w:rPr>
          <w:rFonts w:ascii="Garamond" w:eastAsia="Times New Roman" w:hAnsi="Garamond" w:cs="Times New Roman"/>
          <w:sz w:val="20"/>
          <w:szCs w:val="18"/>
          <w:lang w:val="es-AR"/>
        </w:rPr>
        <w:t xml:space="preserve"> </w:t>
      </w:r>
      <w:r w:rsidR="00F71DDC" w:rsidRPr="00CA0A60">
        <w:rPr>
          <w:rFonts w:ascii="Garamond" w:eastAsia="Times New Roman" w:hAnsi="Garamond" w:cs="Times New Roman"/>
          <w:sz w:val="20"/>
          <w:szCs w:val="18"/>
          <w:lang w:val="es-AR"/>
        </w:rPr>
        <w:t>l</w:t>
      </w:r>
      <w:r w:rsidR="00322580" w:rsidRPr="00CA0A60">
        <w:rPr>
          <w:rFonts w:ascii="Garamond" w:eastAsia="Times New Roman" w:hAnsi="Garamond" w:cs="Times New Roman"/>
          <w:sz w:val="20"/>
          <w:szCs w:val="18"/>
          <w:lang w:val="es-AR"/>
        </w:rPr>
        <w:t>as</w:t>
      </w:r>
      <w:r w:rsidR="00F71DDC" w:rsidRPr="00CA0A60">
        <w:rPr>
          <w:rFonts w:ascii="Garamond" w:eastAsia="Times New Roman" w:hAnsi="Garamond" w:cs="Times New Roman"/>
          <w:sz w:val="20"/>
          <w:szCs w:val="18"/>
          <w:lang w:val="es-AR"/>
        </w:rPr>
        <w:t xml:space="preserve"> </w:t>
      </w:r>
      <w:r w:rsidR="00322580" w:rsidRPr="00CA0A60">
        <w:rPr>
          <w:rFonts w:ascii="Garamond" w:eastAsia="Times New Roman" w:hAnsi="Garamond" w:cs="Times New Roman"/>
          <w:sz w:val="20"/>
          <w:szCs w:val="18"/>
          <w:lang w:val="es-AR"/>
        </w:rPr>
        <w:t>Entidades Relevantes</w:t>
      </w:r>
      <w:r w:rsidRPr="00CA0A60">
        <w:rPr>
          <w:rFonts w:ascii="Garamond" w:eastAsia="Times New Roman" w:hAnsi="Garamond" w:cs="Times New Roman"/>
          <w:sz w:val="20"/>
          <w:szCs w:val="18"/>
          <w:lang w:val="es-AR"/>
        </w:rPr>
        <w:t xml:space="preserve">, los </w:t>
      </w:r>
      <w:r w:rsidR="002F6E1A" w:rsidRPr="00CA3A3D">
        <w:rPr>
          <w:rFonts w:ascii="Garamond" w:hAnsi="Garamond" w:cs="Times New Roman"/>
          <w:sz w:val="20"/>
          <w:szCs w:val="20"/>
          <w:lang w:val="es-AR"/>
        </w:rPr>
        <w:t>contrato</w:t>
      </w:r>
      <w:r w:rsidR="007F732A" w:rsidRPr="00CA3A3D">
        <w:rPr>
          <w:rFonts w:ascii="Garamond" w:hAnsi="Garamond" w:cs="Times New Roman"/>
          <w:sz w:val="20"/>
          <w:szCs w:val="20"/>
          <w:lang w:val="es-AR"/>
        </w:rPr>
        <w:t xml:space="preserve">s </w:t>
      </w:r>
      <w:r w:rsidR="002F6E1A" w:rsidRPr="00CA3A3D">
        <w:rPr>
          <w:rFonts w:ascii="Garamond" w:hAnsi="Garamond" w:cs="Times New Roman"/>
          <w:sz w:val="20"/>
          <w:szCs w:val="20"/>
          <w:lang w:val="es-AR"/>
        </w:rPr>
        <w:t>de compra de energía</w:t>
      </w:r>
      <w:r w:rsidR="002F6E1A" w:rsidRPr="00CA0A6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y los contratos con proveedores en relación con sus proyectos de ampliación:</w:t>
      </w:r>
    </w:p>
    <w:p w14:paraId="144A5D23" w14:textId="77777777" w:rsidR="00482939" w:rsidRPr="00CA0A60" w:rsidRDefault="00482939" w:rsidP="00482939">
      <w:pPr>
        <w:spacing w:after="0"/>
        <w:contextualSpacing/>
        <w:jc w:val="both"/>
        <w:rPr>
          <w:rFonts w:ascii="Garamond" w:eastAsia="Times New Roman" w:hAnsi="Garamond" w:cs="Times New Roman"/>
          <w:sz w:val="20"/>
          <w:szCs w:val="18"/>
          <w:lang w:val="es-AR"/>
        </w:rPr>
      </w:pPr>
    </w:p>
    <w:p w14:paraId="4267E116" w14:textId="77777777" w:rsidR="00482939" w:rsidRPr="00CA0A60" w:rsidRDefault="00482939" w:rsidP="002830AF">
      <w:pPr>
        <w:pStyle w:val="Prrafodelista"/>
        <w:numPr>
          <w:ilvl w:val="0"/>
          <w:numId w:val="142"/>
        </w:numPr>
        <w:spacing w:after="0" w:line="240" w:lineRule="auto"/>
        <w:ind w:left="360"/>
        <w:contextualSpacing w:val="0"/>
        <w:jc w:val="both"/>
        <w:rPr>
          <w:rFonts w:ascii="Garamond" w:eastAsia="Times New Roman" w:hAnsi="Garamond" w:cs="Times New Roman"/>
          <w:sz w:val="20"/>
          <w:szCs w:val="18"/>
          <w:lang w:val="es-AR"/>
        </w:rPr>
      </w:pPr>
      <w:bookmarkStart w:id="48" w:name="_cp_text_1_195"/>
      <w:r w:rsidRPr="00CA0A60">
        <w:rPr>
          <w:rFonts w:ascii="Garamond" w:eastAsia="Times New Roman" w:hAnsi="Garamond" w:cs="Times New Roman"/>
          <w:sz w:val="20"/>
          <w:szCs w:val="18"/>
          <w:lang w:val="es-AR"/>
        </w:rPr>
        <w:t xml:space="preserve">El contrato de fideicomiso </w:t>
      </w:r>
      <w:bookmarkEnd w:id="48"/>
      <w:r w:rsidRPr="00CA0A60">
        <w:rPr>
          <w:rFonts w:ascii="Garamond" w:eastAsia="Times New Roman" w:hAnsi="Garamond" w:cs="Times New Roman"/>
          <w:sz w:val="20"/>
          <w:szCs w:val="18"/>
          <w:lang w:val="es-AR"/>
        </w:rPr>
        <w:t>(el “</w:t>
      </w:r>
      <w:r w:rsidRPr="00CA0A60">
        <w:rPr>
          <w:rFonts w:ascii="Garamond" w:eastAsia="Times New Roman" w:hAnsi="Garamond" w:cs="Times New Roman"/>
          <w:sz w:val="20"/>
          <w:szCs w:val="18"/>
          <w:u w:val="single"/>
          <w:lang w:val="es-AR"/>
        </w:rPr>
        <w:t>Contrato de Fideicomiso 2016</w:t>
      </w:r>
      <w:r w:rsidRPr="00CA0A60">
        <w:rPr>
          <w:rFonts w:ascii="Garamond" w:eastAsia="Times New Roman" w:hAnsi="Garamond" w:cs="Times New Roman"/>
          <w:sz w:val="20"/>
          <w:szCs w:val="18"/>
          <w:lang w:val="es-AR"/>
        </w:rPr>
        <w:t>”), de fecha 27 de julio de 2016, entre GEMSA y CTR como co-emisoras y ASA como garante, Deutsche Bank Trust Company Americas, como fiduciario, agente de registro, agente de transferencia y agente de pago, Deutsche Bank Luxembourg S.A. como agente de cotización de Luxemburgo y agente de transferencia de Luxemburgo, Banco Santander Río S.A., como co-agente de registro, agente de transferencia argentino, agente de pago y agente de garantía y representante del fiduciario en Argentina. Los presuntos hechos no constituirían un incumplimiento bajo el Contrato de Fideicomiso 2016.</w:t>
      </w:r>
      <w:r w:rsidR="00322580" w:rsidRPr="00CA0A6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 xml:space="preserve">Por otra parte, </w:t>
      </w:r>
      <w:r w:rsidR="00322580" w:rsidRPr="00CA0A60">
        <w:rPr>
          <w:rFonts w:ascii="Garamond" w:eastAsia="Times New Roman" w:hAnsi="Garamond" w:cs="Times New Roman"/>
          <w:sz w:val="20"/>
          <w:szCs w:val="18"/>
          <w:lang w:val="es-AR"/>
        </w:rPr>
        <w:t>las Entidades Relevantes</w:t>
      </w:r>
      <w:r w:rsidRPr="00CA0A60">
        <w:rPr>
          <w:rFonts w:ascii="Garamond" w:eastAsia="Times New Roman" w:hAnsi="Garamond" w:cs="Times New Roman"/>
          <w:sz w:val="20"/>
          <w:szCs w:val="18"/>
          <w:lang w:val="es-AR"/>
        </w:rPr>
        <w:t xml:space="preserve"> no ha</w:t>
      </w:r>
      <w:r w:rsidR="00322580" w:rsidRPr="00CA0A60">
        <w:rPr>
          <w:rFonts w:ascii="Garamond" w:eastAsia="Times New Roman" w:hAnsi="Garamond" w:cs="Times New Roman"/>
          <w:sz w:val="20"/>
          <w:szCs w:val="18"/>
          <w:lang w:val="es-AR"/>
        </w:rPr>
        <w:t>n</w:t>
      </w:r>
      <w:r w:rsidRPr="00CA0A60">
        <w:rPr>
          <w:rFonts w:ascii="Garamond" w:eastAsia="Times New Roman" w:hAnsi="Garamond" w:cs="Times New Roman"/>
          <w:sz w:val="20"/>
          <w:szCs w:val="18"/>
          <w:lang w:val="es-AR"/>
        </w:rPr>
        <w:t xml:space="preserve"> sido objeto de ningún reclamo bajo el Contrato de Fideicomiso 2016 o en relación con el mismo.</w:t>
      </w:r>
    </w:p>
    <w:p w14:paraId="738610EB" w14:textId="77777777" w:rsidR="00482939" w:rsidRPr="00CA0A60" w:rsidRDefault="00482939" w:rsidP="00482939">
      <w:pPr>
        <w:pStyle w:val="Prrafodelista"/>
        <w:spacing w:after="0"/>
        <w:ind w:hanging="360"/>
        <w:jc w:val="both"/>
        <w:rPr>
          <w:rFonts w:ascii="Garamond" w:eastAsia="Times New Roman" w:hAnsi="Garamond" w:cs="Times New Roman"/>
          <w:sz w:val="20"/>
          <w:szCs w:val="18"/>
          <w:lang w:val="es-AR"/>
        </w:rPr>
      </w:pPr>
    </w:p>
    <w:p w14:paraId="26F06D46" w14:textId="77777777" w:rsidR="00482939" w:rsidRPr="00CA0A60" w:rsidRDefault="00482939" w:rsidP="002830AF">
      <w:pPr>
        <w:pStyle w:val="Prrafodelista"/>
        <w:numPr>
          <w:ilvl w:val="0"/>
          <w:numId w:val="142"/>
        </w:numPr>
        <w:spacing w:after="0" w:line="240" w:lineRule="auto"/>
        <w:ind w:left="360"/>
        <w:contextualSpacing w:val="0"/>
        <w:jc w:val="both"/>
        <w:rPr>
          <w:rFonts w:ascii="Garamond" w:eastAsiaTheme="minorHAnsi" w:hAnsi="Garamond" w:cs="Times New Roman"/>
          <w:sz w:val="20"/>
          <w:szCs w:val="18"/>
          <w:lang w:val="es-AR"/>
        </w:rPr>
      </w:pPr>
      <w:bookmarkStart w:id="49" w:name="_cp_text_1_217"/>
      <w:r w:rsidRPr="00CA0A60">
        <w:rPr>
          <w:rFonts w:ascii="Garamond" w:hAnsi="Garamond" w:cs="Times New Roman"/>
          <w:sz w:val="20"/>
          <w:szCs w:val="18"/>
          <w:lang w:val="es-AR"/>
        </w:rPr>
        <w:t>Las Obligaciones Negociables Locales (las “</w:t>
      </w:r>
      <w:r w:rsidRPr="00CA0A60">
        <w:rPr>
          <w:rFonts w:ascii="Garamond" w:hAnsi="Garamond" w:cs="Times New Roman"/>
          <w:sz w:val="20"/>
          <w:szCs w:val="18"/>
          <w:u w:val="single"/>
          <w:lang w:val="es-AR"/>
        </w:rPr>
        <w:t>ONs Locales</w:t>
      </w:r>
      <w:r w:rsidRPr="00CA0A60">
        <w:rPr>
          <w:rFonts w:ascii="Garamond" w:hAnsi="Garamond" w:cs="Times New Roman"/>
          <w:sz w:val="20"/>
          <w:szCs w:val="18"/>
          <w:lang w:val="es-AR"/>
        </w:rPr>
        <w:t>”) emitidas por (a) GEMSA: (i) Clase VI en febrero de 2017 por un valor nominal de U$S 34,7 millones, y (ii) Clase VIII en agosto de 2017 por un valor nominal de AR$ 312,9 millones; (b)</w:t>
      </w:r>
      <w:r w:rsidR="002D5CDD" w:rsidRPr="00CA0A60">
        <w:rPr>
          <w:rFonts w:ascii="Garamond" w:hAnsi="Garamond" w:cs="Times New Roman"/>
          <w:sz w:val="20"/>
          <w:szCs w:val="18"/>
          <w:lang w:val="es-AR"/>
        </w:rPr>
        <w:t xml:space="preserve"> </w:t>
      </w:r>
      <w:r w:rsidRPr="00CA0A60">
        <w:rPr>
          <w:rFonts w:ascii="Garamond" w:hAnsi="Garamond" w:cs="Times New Roman"/>
          <w:sz w:val="20"/>
          <w:szCs w:val="18"/>
          <w:lang w:val="es-AR"/>
        </w:rPr>
        <w:t>GEMSA y CTR, Clase I en octubre de 2017 por un valor nominal de U$S 30 millones; (c) CTR, (i) Clase II en noviembre de 2015 por un valor nominal de AR$ 270 millones, y (ii) Clase IV en julio de 2017 por un valor nominal de AR$ 291,1 millones; y (d)</w:t>
      </w:r>
      <w:r w:rsidR="002D5CDD" w:rsidRPr="00CA0A60">
        <w:rPr>
          <w:rFonts w:ascii="Garamond" w:hAnsi="Garamond"/>
          <w:sz w:val="20"/>
          <w:szCs w:val="18"/>
          <w:lang w:val="es-AR"/>
        </w:rPr>
        <w:t xml:space="preserve"> </w:t>
      </w:r>
      <w:r w:rsidRPr="00CA0A60">
        <w:rPr>
          <w:rFonts w:ascii="Garamond" w:hAnsi="Garamond" w:cs="Times New Roman"/>
          <w:sz w:val="20"/>
          <w:szCs w:val="18"/>
          <w:lang w:val="es-AR"/>
        </w:rPr>
        <w:t xml:space="preserve">ASA, Clase III en junio de 2017 por un valor nominal de AR$ 255,8 millones. Los presuntos hechos no constituirían un incumplimiento bajo las ONs Locales. </w:t>
      </w:r>
      <w:r w:rsidRPr="00CA0A60">
        <w:rPr>
          <w:rFonts w:ascii="Garamond" w:eastAsia="Times New Roman" w:hAnsi="Garamond" w:cs="Times New Roman"/>
          <w:sz w:val="20"/>
          <w:szCs w:val="18"/>
          <w:lang w:val="es-AR"/>
        </w:rPr>
        <w:t xml:space="preserve">Por otra parte, </w:t>
      </w:r>
      <w:r w:rsidR="00322580" w:rsidRPr="00CA0A60">
        <w:rPr>
          <w:rFonts w:ascii="Garamond" w:eastAsia="Times New Roman" w:hAnsi="Garamond" w:cs="Times New Roman"/>
          <w:sz w:val="20"/>
          <w:szCs w:val="18"/>
          <w:lang w:val="es-AR"/>
        </w:rPr>
        <w:t>las Entidades Relevantes</w:t>
      </w:r>
      <w:r w:rsidR="00322580" w:rsidRPr="00CA0A60" w:rsidDel="0032258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no ha</w:t>
      </w:r>
      <w:r w:rsidR="00322580" w:rsidRPr="00CA0A60">
        <w:rPr>
          <w:rFonts w:ascii="Garamond" w:eastAsia="Times New Roman" w:hAnsi="Garamond" w:cs="Times New Roman"/>
          <w:sz w:val="20"/>
          <w:szCs w:val="18"/>
          <w:lang w:val="es-AR"/>
        </w:rPr>
        <w:t>n</w:t>
      </w:r>
      <w:r w:rsidRPr="00CA0A60">
        <w:rPr>
          <w:rFonts w:ascii="Garamond" w:eastAsia="Times New Roman" w:hAnsi="Garamond" w:cs="Times New Roman"/>
          <w:sz w:val="20"/>
          <w:szCs w:val="18"/>
          <w:lang w:val="es-AR"/>
        </w:rPr>
        <w:t xml:space="preserve"> sido objeto de ningún reclamo con respecto a las </w:t>
      </w:r>
      <w:r w:rsidRPr="00CA0A60">
        <w:rPr>
          <w:rFonts w:ascii="Garamond" w:hAnsi="Garamond" w:cs="Times New Roman"/>
          <w:sz w:val="20"/>
          <w:szCs w:val="18"/>
          <w:lang w:val="es-AR"/>
        </w:rPr>
        <w:t>ONs</w:t>
      </w:r>
      <w:r w:rsidRPr="00CA0A60">
        <w:rPr>
          <w:rFonts w:ascii="Garamond" w:eastAsia="Times New Roman" w:hAnsi="Garamond" w:cs="Times New Roman"/>
          <w:sz w:val="20"/>
          <w:szCs w:val="18"/>
          <w:lang w:val="es-AR"/>
        </w:rPr>
        <w:t>.</w:t>
      </w:r>
    </w:p>
    <w:bookmarkEnd w:id="49"/>
    <w:p w14:paraId="637805D2" w14:textId="77777777" w:rsidR="00482939" w:rsidRPr="00CA0A60" w:rsidRDefault="00482939" w:rsidP="00482939">
      <w:pPr>
        <w:pStyle w:val="Prrafodelista"/>
        <w:spacing w:after="0"/>
        <w:ind w:hanging="360"/>
        <w:jc w:val="both"/>
        <w:rPr>
          <w:rFonts w:ascii="Garamond" w:eastAsia="Times New Roman" w:hAnsi="Garamond" w:cs="Times New Roman"/>
          <w:sz w:val="20"/>
          <w:szCs w:val="18"/>
          <w:lang w:val="es-AR"/>
        </w:rPr>
      </w:pPr>
    </w:p>
    <w:p w14:paraId="0AF7CA0A" w14:textId="78EB62CA" w:rsidR="00482939" w:rsidRPr="00CA0A60" w:rsidRDefault="00322580" w:rsidP="002830AF">
      <w:pPr>
        <w:pStyle w:val="Prrafodelista"/>
        <w:numPr>
          <w:ilvl w:val="0"/>
          <w:numId w:val="142"/>
        </w:numPr>
        <w:spacing w:after="0" w:line="240" w:lineRule="auto"/>
        <w:ind w:left="360"/>
        <w:jc w:val="both"/>
        <w:rPr>
          <w:rFonts w:ascii="Garamond" w:eastAsia="Times New Roman" w:hAnsi="Garamond" w:cs="Times New Roman"/>
          <w:sz w:val="20"/>
          <w:szCs w:val="18"/>
          <w:lang w:val="es-AR" w:eastAsia="es-AR"/>
        </w:rPr>
      </w:pPr>
      <w:bookmarkStart w:id="50" w:name="_cp_text_1_257"/>
      <w:r w:rsidRPr="00CA0A60">
        <w:rPr>
          <w:rFonts w:ascii="Garamond" w:eastAsia="Times New Roman" w:hAnsi="Garamond" w:cs="Times New Roman"/>
          <w:sz w:val="20"/>
          <w:szCs w:val="18"/>
          <w:lang w:val="es-AR"/>
        </w:rPr>
        <w:t>Las Entidades Relevantes</w:t>
      </w:r>
      <w:r w:rsidRPr="00CA0A60" w:rsidDel="00322580">
        <w:rPr>
          <w:rFonts w:ascii="Garamond" w:hAnsi="Garamond" w:cs="Times New Roman"/>
          <w:sz w:val="20"/>
          <w:szCs w:val="18"/>
          <w:lang w:val="es-AR"/>
        </w:rPr>
        <w:t xml:space="preserve"> </w:t>
      </w:r>
      <w:r w:rsidR="00482939" w:rsidRPr="00CA0A60">
        <w:rPr>
          <w:rFonts w:ascii="Garamond" w:hAnsi="Garamond" w:cs="Times New Roman"/>
          <w:sz w:val="20"/>
          <w:szCs w:val="18"/>
          <w:lang w:val="es-AR"/>
        </w:rPr>
        <w:t>cuenta</w:t>
      </w:r>
      <w:r w:rsidRPr="00CA0A60">
        <w:rPr>
          <w:rFonts w:ascii="Garamond" w:hAnsi="Garamond" w:cs="Times New Roman"/>
          <w:sz w:val="20"/>
          <w:szCs w:val="18"/>
          <w:lang w:val="es-AR"/>
        </w:rPr>
        <w:t>n</w:t>
      </w:r>
      <w:r w:rsidR="00482939" w:rsidRPr="00CA0A60">
        <w:rPr>
          <w:rFonts w:ascii="Garamond" w:hAnsi="Garamond" w:cs="Times New Roman"/>
          <w:sz w:val="20"/>
          <w:szCs w:val="18"/>
          <w:lang w:val="es-AR"/>
        </w:rPr>
        <w:t xml:space="preserve"> con (i) siete </w:t>
      </w:r>
      <w:r w:rsidR="007F732A" w:rsidRPr="00CA3A3D">
        <w:rPr>
          <w:rFonts w:ascii="Garamond" w:hAnsi="Garamond" w:cs="Times New Roman"/>
          <w:sz w:val="20"/>
          <w:szCs w:val="20"/>
          <w:lang w:val="es-AR"/>
        </w:rPr>
        <w:t xml:space="preserve">contratos de compra de energía </w:t>
      </w:r>
      <w:bookmarkEnd w:id="50"/>
      <w:r w:rsidR="00482939" w:rsidRPr="00CA0A60">
        <w:rPr>
          <w:rFonts w:ascii="Garamond" w:hAnsi="Garamond" w:cs="Times New Roman"/>
          <w:sz w:val="20"/>
          <w:szCs w:val="18"/>
          <w:lang w:val="es-AR"/>
        </w:rPr>
        <w:t>celebrados bajo la Resolución 220/2017</w:t>
      </w:r>
      <w:bookmarkStart w:id="51" w:name="_cp_text_1_260"/>
      <w:r w:rsidR="00482939" w:rsidRPr="00CA0A60">
        <w:rPr>
          <w:rFonts w:ascii="Garamond" w:hAnsi="Garamond" w:cs="Times New Roman"/>
          <w:sz w:val="20"/>
          <w:szCs w:val="18"/>
          <w:lang w:val="es-AR"/>
        </w:rPr>
        <w:t xml:space="preserve">; (ii) cuatro </w:t>
      </w:r>
      <w:r w:rsidR="007F732A" w:rsidRPr="00CA3A3D">
        <w:rPr>
          <w:rFonts w:ascii="Garamond" w:hAnsi="Garamond" w:cs="Times New Roman"/>
          <w:sz w:val="20"/>
          <w:szCs w:val="20"/>
          <w:lang w:val="es-AR"/>
        </w:rPr>
        <w:t xml:space="preserve">contratos de compra de energía </w:t>
      </w:r>
      <w:r w:rsidR="00482939" w:rsidRPr="00CA0A60">
        <w:rPr>
          <w:rFonts w:ascii="Garamond" w:hAnsi="Garamond" w:cs="Times New Roman"/>
          <w:sz w:val="20"/>
          <w:szCs w:val="18"/>
          <w:lang w:val="es-AR"/>
        </w:rPr>
        <w:t>celebrados bajo la Resolución 21/2016</w:t>
      </w:r>
      <w:r w:rsidR="00482939" w:rsidRPr="00CA0A60">
        <w:rPr>
          <w:rFonts w:ascii="Garamond" w:eastAsia="Times New Roman" w:hAnsi="Garamond" w:cs="Times New Roman"/>
          <w:sz w:val="20"/>
          <w:szCs w:val="18"/>
          <w:lang w:val="es-AR" w:eastAsia="es-AR"/>
        </w:rPr>
        <w:t xml:space="preserve">; y (iii) </w:t>
      </w:r>
      <w:r w:rsidR="00482939" w:rsidRPr="00713D6E">
        <w:rPr>
          <w:rFonts w:ascii="Garamond" w:hAnsi="Garamond" w:cs="Times New Roman"/>
          <w:sz w:val="20"/>
          <w:szCs w:val="18"/>
          <w:lang w:val="es-AR"/>
        </w:rPr>
        <w:t xml:space="preserve">dos </w:t>
      </w:r>
      <w:r w:rsidR="007F732A" w:rsidRPr="00CA3A3D">
        <w:rPr>
          <w:rFonts w:ascii="Garamond" w:hAnsi="Garamond" w:cs="Times New Roman"/>
          <w:sz w:val="20"/>
          <w:szCs w:val="20"/>
          <w:lang w:val="es-AR"/>
        </w:rPr>
        <w:t xml:space="preserve">contratos de compra de energía </w:t>
      </w:r>
      <w:r w:rsidR="00482939" w:rsidRPr="00CA0A60">
        <w:rPr>
          <w:rFonts w:ascii="Garamond" w:hAnsi="Garamond" w:cs="Times New Roman"/>
          <w:sz w:val="20"/>
          <w:szCs w:val="18"/>
          <w:lang w:val="es-AR"/>
        </w:rPr>
        <w:t xml:space="preserve">celebrados bajo la Resolución 287/2017; en todos los casos con CAMMESA. Los </w:t>
      </w:r>
      <w:r w:rsidR="007F732A" w:rsidRPr="00CA3A3D">
        <w:rPr>
          <w:rFonts w:ascii="Garamond" w:hAnsi="Garamond" w:cs="Times New Roman"/>
          <w:sz w:val="20"/>
          <w:szCs w:val="20"/>
          <w:lang w:val="es-AR"/>
        </w:rPr>
        <w:t>contratos de compra de energía</w:t>
      </w:r>
      <w:r w:rsidR="007F732A" w:rsidRPr="00CA0A60">
        <w:rPr>
          <w:rFonts w:ascii="Garamond" w:eastAsia="Times New Roman" w:hAnsi="Garamond" w:cs="Times New Roman"/>
          <w:sz w:val="20"/>
          <w:szCs w:val="18"/>
          <w:lang w:val="es-AR"/>
        </w:rPr>
        <w:t xml:space="preserve"> </w:t>
      </w:r>
      <w:r w:rsidR="00482939" w:rsidRPr="00CA0A60">
        <w:rPr>
          <w:rFonts w:ascii="Garamond" w:hAnsi="Garamond" w:cs="Times New Roman"/>
          <w:sz w:val="20"/>
          <w:szCs w:val="18"/>
          <w:lang w:val="es-AR"/>
        </w:rPr>
        <w:t xml:space="preserve">de </w:t>
      </w:r>
      <w:r w:rsidR="00482939" w:rsidRPr="00713D6E">
        <w:rPr>
          <w:rFonts w:ascii="Garamond" w:eastAsia="Times New Roman" w:hAnsi="Garamond" w:cs="Times New Roman"/>
          <w:sz w:val="20"/>
          <w:szCs w:val="18"/>
          <w:lang w:val="es-AR" w:eastAsia="es-AR"/>
        </w:rPr>
        <w:t>CAMMESA no contienen ninguna disposición contractual que establezca la imposición de sanciones o rescisión por hechos tales como los investigados en la causa antes mencionada.</w:t>
      </w:r>
      <w:bookmarkEnd w:id="51"/>
    </w:p>
    <w:p w14:paraId="463F29E8" w14:textId="77777777" w:rsidR="00482939" w:rsidRPr="00CA0A60" w:rsidRDefault="00482939" w:rsidP="00482939">
      <w:pPr>
        <w:pStyle w:val="Prrafodelista"/>
        <w:spacing w:after="0"/>
        <w:ind w:left="360"/>
        <w:jc w:val="both"/>
        <w:rPr>
          <w:rFonts w:ascii="Garamond" w:eastAsia="Times New Roman" w:hAnsi="Garamond" w:cs="Times New Roman"/>
          <w:sz w:val="20"/>
          <w:szCs w:val="18"/>
          <w:lang w:val="es-AR"/>
        </w:rPr>
      </w:pPr>
    </w:p>
    <w:p w14:paraId="37B824DE" w14:textId="77777777" w:rsidR="00482939" w:rsidRPr="00CA0A60" w:rsidRDefault="00482939" w:rsidP="002830AF">
      <w:pPr>
        <w:pStyle w:val="Prrafodelista"/>
        <w:numPr>
          <w:ilvl w:val="0"/>
          <w:numId w:val="142"/>
        </w:numPr>
        <w:spacing w:after="0" w:line="240" w:lineRule="auto"/>
        <w:ind w:left="360"/>
        <w:jc w:val="both"/>
        <w:rPr>
          <w:rFonts w:ascii="Garamond" w:eastAsia="Times New Roman" w:hAnsi="Garamond" w:cs="Times New Roman"/>
          <w:sz w:val="20"/>
          <w:szCs w:val="18"/>
          <w:lang w:val="es-AR" w:eastAsia="es-AR"/>
        </w:rPr>
      </w:pPr>
      <w:bookmarkStart w:id="52" w:name="_cp_text_1_266"/>
      <w:r w:rsidRPr="00CA0A60">
        <w:rPr>
          <w:rFonts w:ascii="Garamond" w:eastAsia="Times New Roman" w:hAnsi="Garamond" w:cs="Times New Roman"/>
          <w:sz w:val="20"/>
          <w:szCs w:val="18"/>
          <w:lang w:val="es-AR" w:eastAsia="es-AR"/>
        </w:rPr>
        <w:t xml:space="preserve">En cuanto a los </w:t>
      </w:r>
      <w:r w:rsidR="007F732A" w:rsidRPr="00CA3A3D">
        <w:rPr>
          <w:rFonts w:ascii="Garamond" w:hAnsi="Garamond" w:cs="Times New Roman"/>
          <w:sz w:val="20"/>
          <w:szCs w:val="20"/>
          <w:lang w:val="es-AR"/>
        </w:rPr>
        <w:t>contratos de compra de energía</w:t>
      </w:r>
      <w:r w:rsidR="007F732A" w:rsidRPr="00CA0A6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eastAsia="es-AR"/>
        </w:rPr>
        <w:t>actualmente vigentes celebrados con ciertos compradores privados, no contienen ninguna disposición contractual que establezca la imposición de sanciones o rescisión por hechos tales como los investigados en la causa antes mencionada.</w:t>
      </w:r>
    </w:p>
    <w:bookmarkEnd w:id="52"/>
    <w:p w14:paraId="3B7B4B86" w14:textId="77777777" w:rsidR="00482939" w:rsidRPr="00CA0A60" w:rsidRDefault="00482939" w:rsidP="00482939">
      <w:pPr>
        <w:pStyle w:val="Prrafodelista"/>
        <w:spacing w:after="0"/>
        <w:ind w:left="360"/>
        <w:jc w:val="both"/>
        <w:rPr>
          <w:rFonts w:ascii="Garamond" w:eastAsia="Times New Roman" w:hAnsi="Garamond" w:cs="Times New Roman"/>
          <w:sz w:val="20"/>
          <w:szCs w:val="18"/>
          <w:lang w:val="es-AR" w:eastAsia="es-AR"/>
        </w:rPr>
      </w:pPr>
    </w:p>
    <w:p w14:paraId="694B9A9C" w14:textId="77777777" w:rsidR="00482939" w:rsidRPr="00CA0A60" w:rsidRDefault="00322580" w:rsidP="002830AF">
      <w:pPr>
        <w:pStyle w:val="Prrafodelista"/>
        <w:numPr>
          <w:ilvl w:val="0"/>
          <w:numId w:val="142"/>
        </w:numPr>
        <w:spacing w:after="0" w:line="240" w:lineRule="auto"/>
        <w:ind w:left="360"/>
        <w:contextualSpacing w:val="0"/>
        <w:jc w:val="both"/>
        <w:rPr>
          <w:rFonts w:ascii="Garamond" w:eastAsia="Times New Roman" w:hAnsi="Garamond" w:cs="Times New Roman"/>
          <w:sz w:val="20"/>
          <w:szCs w:val="18"/>
          <w:lang w:val="es-AR"/>
        </w:rPr>
      </w:pPr>
      <w:bookmarkStart w:id="53" w:name="_cp_text_1_269"/>
      <w:r w:rsidRPr="00CA0A60">
        <w:rPr>
          <w:rFonts w:ascii="Garamond" w:eastAsia="Times New Roman" w:hAnsi="Garamond" w:cs="Times New Roman"/>
          <w:sz w:val="20"/>
          <w:szCs w:val="18"/>
          <w:lang w:val="es-AR"/>
        </w:rPr>
        <w:lastRenderedPageBreak/>
        <w:t>Las Entidades Relevantes</w:t>
      </w:r>
      <w:r w:rsidRPr="00CA0A60" w:rsidDel="00322580">
        <w:rPr>
          <w:rFonts w:ascii="Garamond" w:eastAsia="Times New Roman" w:hAnsi="Garamond" w:cs="Times New Roman"/>
          <w:sz w:val="20"/>
          <w:szCs w:val="18"/>
          <w:lang w:val="es-AR" w:eastAsia="es-AR"/>
        </w:rPr>
        <w:t xml:space="preserve"> </w:t>
      </w:r>
      <w:r w:rsidR="00482939" w:rsidRPr="00CA0A60">
        <w:rPr>
          <w:rFonts w:ascii="Garamond" w:eastAsia="Times New Roman" w:hAnsi="Garamond" w:cs="Times New Roman"/>
          <w:sz w:val="20"/>
          <w:szCs w:val="18"/>
          <w:lang w:val="es-AR" w:eastAsia="es-AR"/>
        </w:rPr>
        <w:t>ha</w:t>
      </w:r>
      <w:r w:rsidRPr="00CA0A60">
        <w:rPr>
          <w:rFonts w:ascii="Garamond" w:eastAsia="Times New Roman" w:hAnsi="Garamond" w:cs="Times New Roman"/>
          <w:sz w:val="20"/>
          <w:szCs w:val="18"/>
          <w:lang w:val="es-AR" w:eastAsia="es-AR"/>
        </w:rPr>
        <w:t>n</w:t>
      </w:r>
      <w:r w:rsidR="00482939" w:rsidRPr="00CA0A60">
        <w:rPr>
          <w:rFonts w:ascii="Garamond" w:eastAsia="Times New Roman" w:hAnsi="Garamond" w:cs="Times New Roman"/>
          <w:sz w:val="20"/>
          <w:szCs w:val="18"/>
          <w:lang w:val="es-AR" w:eastAsia="es-AR"/>
        </w:rPr>
        <w:t xml:space="preserve"> celebrado contratos con ciertos proveedores clave vinculados con la adquisición de equipos para los proyectos de ampliación. Ninguno de estos contratos ha sido rescindido como resultado de la investigación antes descripta, y todos ellos permanecen en plena vigencia y efectos. Los proveedores externos han entregado parte de los equipos de acuerdo con el cronograma de entrega establecido en dichos contratos.</w:t>
      </w:r>
      <w:bookmarkEnd w:id="53"/>
    </w:p>
    <w:p w14:paraId="29D6B04F" w14:textId="77777777" w:rsidR="00482939" w:rsidRPr="00CA0A60" w:rsidRDefault="00482939" w:rsidP="00482939">
      <w:pPr>
        <w:pStyle w:val="Prrafodelista"/>
        <w:spacing w:after="0"/>
        <w:ind w:left="360"/>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 xml:space="preserve"> </w:t>
      </w:r>
    </w:p>
    <w:p w14:paraId="0E4F6043" w14:textId="7939C5A8" w:rsidR="00482939" w:rsidRPr="00CA0A60" w:rsidRDefault="00482939" w:rsidP="00002289">
      <w:pPr>
        <w:keepNext/>
        <w:spacing w:after="0"/>
        <w:jc w:val="center"/>
        <w:rPr>
          <w:rFonts w:ascii="Garamond" w:eastAsia="Times New Roman" w:hAnsi="Garamond" w:cs="Times New Roman"/>
          <w:b/>
          <w:sz w:val="20"/>
          <w:szCs w:val="18"/>
          <w:lang w:val="es-AR"/>
        </w:rPr>
      </w:pPr>
      <w:bookmarkStart w:id="54" w:name="_cp_text_1_271"/>
      <w:r w:rsidRPr="00CA0A60">
        <w:rPr>
          <w:rFonts w:ascii="Garamond" w:eastAsia="Times New Roman" w:hAnsi="Garamond" w:cs="Times New Roman"/>
          <w:b/>
          <w:sz w:val="20"/>
          <w:szCs w:val="18"/>
          <w:lang w:val="es-AR"/>
        </w:rPr>
        <w:t>PROGRAMA DE CUMPLIMIENTO ANTICORRUPCIÓN Y OTRAS CONSIDERACIONES RELACIONADAS</w:t>
      </w:r>
      <w:bookmarkEnd w:id="54"/>
    </w:p>
    <w:p w14:paraId="3A0FF5F2" w14:textId="77777777" w:rsidR="00482939" w:rsidRPr="00CA0A60" w:rsidRDefault="00482939" w:rsidP="00DE0516">
      <w:pPr>
        <w:keepNext/>
        <w:spacing w:after="0"/>
        <w:jc w:val="both"/>
        <w:rPr>
          <w:rFonts w:ascii="Garamond" w:eastAsia="Times New Roman" w:hAnsi="Garamond" w:cs="Times New Roman"/>
          <w:b/>
          <w:sz w:val="20"/>
          <w:szCs w:val="18"/>
          <w:u w:val="single"/>
          <w:lang w:val="es-AR"/>
        </w:rPr>
      </w:pPr>
    </w:p>
    <w:p w14:paraId="26A978D6" w14:textId="77777777" w:rsidR="00482939" w:rsidRPr="00CA0A60" w:rsidRDefault="00482939" w:rsidP="00DE0516">
      <w:pPr>
        <w:keepNext/>
        <w:jc w:val="both"/>
        <w:rPr>
          <w:rFonts w:ascii="Garamond" w:eastAsia="Times New Roman" w:hAnsi="Garamond" w:cs="Times New Roman"/>
          <w:sz w:val="20"/>
          <w:szCs w:val="18"/>
          <w:lang w:val="es-AR"/>
        </w:rPr>
      </w:pPr>
      <w:bookmarkStart w:id="55" w:name="_cp_text_1_273"/>
      <w:r w:rsidRPr="00CA0A60">
        <w:rPr>
          <w:rFonts w:ascii="Garamond" w:eastAsia="Times New Roman" w:hAnsi="Garamond" w:cs="Times New Roman"/>
          <w:i/>
          <w:sz w:val="20"/>
          <w:szCs w:val="18"/>
          <w:lang w:val="es-AR"/>
        </w:rPr>
        <w:t>Renuncia del Sr. Armando Roberto Losón</w:t>
      </w:r>
      <w:bookmarkEnd w:id="55"/>
    </w:p>
    <w:p w14:paraId="3D8AC88D" w14:textId="77777777" w:rsidR="00482939" w:rsidRPr="00CA0A60" w:rsidRDefault="00482939" w:rsidP="00DE0516">
      <w:pPr>
        <w:keepNext/>
        <w:jc w:val="both"/>
        <w:rPr>
          <w:rFonts w:ascii="Garamond" w:eastAsia="Times New Roman" w:hAnsi="Garamond" w:cs="Times New Roman"/>
          <w:sz w:val="20"/>
          <w:szCs w:val="18"/>
          <w:lang w:val="es-AR"/>
        </w:rPr>
      </w:pPr>
      <w:bookmarkStart w:id="56" w:name="_cp_text_1_280"/>
      <w:r w:rsidRPr="00CA0A60">
        <w:rPr>
          <w:rFonts w:ascii="Garamond" w:eastAsia="Times New Roman" w:hAnsi="Garamond" w:cs="Times New Roman"/>
          <w:sz w:val="20"/>
          <w:szCs w:val="18"/>
          <w:lang w:val="es-AR"/>
        </w:rPr>
        <w:t xml:space="preserve">El 7 de agosto de 2018 el Directorio aceptó la renuncia del Sr. Armando Roberto Losón a su cargo de presidente y miembro de los directorios de las </w:t>
      </w:r>
      <w:r w:rsidR="00322580" w:rsidRPr="00CA0A60">
        <w:rPr>
          <w:rFonts w:ascii="Garamond" w:eastAsia="Times New Roman" w:hAnsi="Garamond" w:cs="Times New Roman"/>
          <w:sz w:val="20"/>
          <w:szCs w:val="18"/>
          <w:lang w:val="es-AR"/>
        </w:rPr>
        <w:t>E</w:t>
      </w:r>
      <w:r w:rsidRPr="00CA0A60">
        <w:rPr>
          <w:rFonts w:ascii="Garamond" w:eastAsia="Times New Roman" w:hAnsi="Garamond" w:cs="Times New Roman"/>
          <w:sz w:val="20"/>
          <w:szCs w:val="18"/>
          <w:lang w:val="es-AR"/>
        </w:rPr>
        <w:t xml:space="preserve">ntidades </w:t>
      </w:r>
      <w:r w:rsidR="00322580" w:rsidRPr="00CA0A60">
        <w:rPr>
          <w:rFonts w:ascii="Garamond" w:eastAsia="Times New Roman" w:hAnsi="Garamond" w:cs="Times New Roman"/>
          <w:sz w:val="20"/>
          <w:szCs w:val="18"/>
          <w:lang w:val="es-AR"/>
        </w:rPr>
        <w:t>Relevantes</w:t>
      </w:r>
      <w:r w:rsidRPr="00CA0A60">
        <w:rPr>
          <w:rFonts w:ascii="Garamond" w:eastAsia="Times New Roman" w:hAnsi="Garamond" w:cs="Times New Roman"/>
          <w:sz w:val="20"/>
          <w:szCs w:val="18"/>
          <w:lang w:val="es-AR"/>
        </w:rPr>
        <w:t xml:space="preserve">. Para mayor información, remitirse a los estados financieros consolidados auditados de Albanesi para el ejercicio económico 2018. </w:t>
      </w:r>
      <w:bookmarkEnd w:id="56"/>
    </w:p>
    <w:p w14:paraId="7D7EF18D" w14:textId="77777777" w:rsidR="00482939" w:rsidRPr="00CA0A60" w:rsidRDefault="00482939" w:rsidP="00482939">
      <w:pPr>
        <w:spacing w:after="0"/>
        <w:jc w:val="both"/>
        <w:rPr>
          <w:rFonts w:ascii="Garamond" w:eastAsia="Times New Roman" w:hAnsi="Garamond" w:cs="Times New Roman"/>
          <w:i/>
          <w:sz w:val="20"/>
          <w:szCs w:val="18"/>
          <w:lang w:val="es-AR"/>
        </w:rPr>
      </w:pPr>
      <w:bookmarkStart w:id="57" w:name="_cp_text_1_283"/>
      <w:r w:rsidRPr="00CA0A60">
        <w:rPr>
          <w:rFonts w:ascii="Garamond" w:eastAsia="Times New Roman" w:hAnsi="Garamond" w:cs="Times New Roman"/>
          <w:i/>
          <w:sz w:val="20"/>
          <w:szCs w:val="18"/>
          <w:lang w:val="es-AR"/>
        </w:rPr>
        <w:t>Programa de Cumplimiento Anticorrupción de</w:t>
      </w:r>
      <w:r w:rsidR="00322580" w:rsidRPr="00CA0A60">
        <w:rPr>
          <w:rFonts w:ascii="Garamond" w:eastAsia="Times New Roman" w:hAnsi="Garamond" w:cs="Times New Roman"/>
          <w:i/>
          <w:sz w:val="20"/>
          <w:szCs w:val="18"/>
          <w:lang w:val="es-AR"/>
        </w:rPr>
        <w:t xml:space="preserve"> las Entidades Relevantes</w:t>
      </w:r>
      <w:bookmarkEnd w:id="57"/>
    </w:p>
    <w:p w14:paraId="5630AD66" w14:textId="77777777" w:rsidR="00482939" w:rsidRPr="00CA0A60" w:rsidRDefault="00482939" w:rsidP="00482939">
      <w:pPr>
        <w:spacing w:after="0"/>
        <w:jc w:val="both"/>
        <w:rPr>
          <w:rFonts w:ascii="Garamond" w:eastAsia="Times New Roman" w:hAnsi="Garamond" w:cs="Times New Roman"/>
          <w:sz w:val="20"/>
          <w:szCs w:val="18"/>
          <w:lang w:val="es-AR"/>
        </w:rPr>
      </w:pPr>
    </w:p>
    <w:p w14:paraId="113C1273" w14:textId="2E0D22BB" w:rsidR="00482939" w:rsidRPr="00CA0A60" w:rsidRDefault="00482939" w:rsidP="00482939">
      <w:pPr>
        <w:jc w:val="both"/>
        <w:rPr>
          <w:rFonts w:ascii="Garamond" w:eastAsia="Times New Roman" w:hAnsi="Garamond" w:cs="Times New Roman"/>
          <w:sz w:val="20"/>
          <w:szCs w:val="18"/>
          <w:lang w:val="es-AR"/>
        </w:rPr>
      </w:pPr>
      <w:bookmarkStart w:id="58" w:name="_cp_text_1_285"/>
      <w:r w:rsidRPr="00CA0A60">
        <w:rPr>
          <w:rFonts w:ascii="Garamond" w:eastAsia="Times New Roman" w:hAnsi="Garamond" w:cs="Times New Roman"/>
          <w:sz w:val="20"/>
          <w:szCs w:val="18"/>
          <w:lang w:val="es-AR"/>
        </w:rPr>
        <w:t>El Programa de Cumplimiento Anticorrupción de</w:t>
      </w:r>
      <w:r w:rsidR="00322580" w:rsidRPr="00CA0A6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l</w:t>
      </w:r>
      <w:r w:rsidR="00322580" w:rsidRPr="00CA0A60">
        <w:rPr>
          <w:rFonts w:ascii="Garamond" w:eastAsia="Times New Roman" w:hAnsi="Garamond" w:cs="Times New Roman"/>
          <w:sz w:val="20"/>
          <w:szCs w:val="18"/>
          <w:lang w:val="es-AR"/>
        </w:rPr>
        <w:t>as</w:t>
      </w:r>
      <w:r w:rsidRPr="00CA0A60">
        <w:rPr>
          <w:rFonts w:ascii="Garamond" w:eastAsia="Times New Roman" w:hAnsi="Garamond" w:cs="Times New Roman"/>
          <w:sz w:val="20"/>
          <w:szCs w:val="18"/>
          <w:lang w:val="es-AR"/>
        </w:rPr>
        <w:t xml:space="preserve"> </w:t>
      </w:r>
      <w:r w:rsidR="00322580" w:rsidRPr="00CA0A60">
        <w:rPr>
          <w:rFonts w:ascii="Garamond" w:eastAsia="Times New Roman" w:hAnsi="Garamond" w:cs="Times New Roman"/>
          <w:sz w:val="20"/>
          <w:szCs w:val="18"/>
          <w:lang w:val="es-AR"/>
        </w:rPr>
        <w:t>Entidades Relevantes</w:t>
      </w:r>
      <w:r w:rsidR="00322580" w:rsidRPr="00CA0A60" w:rsidDel="0032258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(el “</w:t>
      </w:r>
      <w:r w:rsidRPr="00CA0A60">
        <w:rPr>
          <w:rFonts w:ascii="Garamond" w:eastAsia="Times New Roman" w:hAnsi="Garamond" w:cs="Times New Roman"/>
          <w:sz w:val="20"/>
          <w:szCs w:val="18"/>
          <w:u w:val="single"/>
          <w:lang w:val="es-AR"/>
        </w:rPr>
        <w:t>Programa de Anticorrupción</w:t>
      </w:r>
      <w:r w:rsidRPr="00CA0A60">
        <w:rPr>
          <w:rFonts w:ascii="Garamond" w:eastAsia="Times New Roman" w:hAnsi="Garamond" w:cs="Times New Roman"/>
          <w:sz w:val="20"/>
          <w:szCs w:val="18"/>
          <w:lang w:val="es-AR"/>
        </w:rPr>
        <w:t xml:space="preserve">”) fue aprobado por el directorio de </w:t>
      </w:r>
      <w:r w:rsidR="002D5CDD" w:rsidRPr="00CA0A60">
        <w:rPr>
          <w:rFonts w:ascii="Garamond" w:eastAsia="Times New Roman" w:hAnsi="Garamond" w:cs="Times New Roman"/>
          <w:sz w:val="20"/>
          <w:szCs w:val="18"/>
          <w:lang w:val="es-AR"/>
        </w:rPr>
        <w:t xml:space="preserve">cada sociedad de las Entidades Relevantes </w:t>
      </w:r>
      <w:r w:rsidRPr="00CA0A60">
        <w:rPr>
          <w:rFonts w:ascii="Garamond" w:eastAsia="Times New Roman" w:hAnsi="Garamond" w:cs="Times New Roman"/>
          <w:sz w:val="20"/>
          <w:szCs w:val="18"/>
          <w:lang w:val="es-AR"/>
        </w:rPr>
        <w:t xml:space="preserve">el 16 de agosto de 2018. Los ejes del Programa de </w:t>
      </w:r>
      <w:r w:rsidR="00075520">
        <w:rPr>
          <w:rFonts w:ascii="Garamond" w:eastAsia="Times New Roman" w:hAnsi="Garamond" w:cs="Times New Roman"/>
          <w:sz w:val="20"/>
          <w:szCs w:val="18"/>
          <w:lang w:val="es-AR"/>
        </w:rPr>
        <w:t>Integridad</w:t>
      </w:r>
      <w:r w:rsidR="00075520" w:rsidRPr="00CA0A6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 xml:space="preserve">son: (i) un nuevo código de </w:t>
      </w:r>
      <w:r w:rsidR="00075520">
        <w:rPr>
          <w:rFonts w:ascii="Garamond" w:eastAsia="Times New Roman" w:hAnsi="Garamond" w:cs="Times New Roman"/>
          <w:sz w:val="20"/>
          <w:szCs w:val="18"/>
          <w:lang w:val="es-AR"/>
        </w:rPr>
        <w:t xml:space="preserve">ética y </w:t>
      </w:r>
      <w:r w:rsidRPr="00CA0A60">
        <w:rPr>
          <w:rFonts w:ascii="Garamond" w:eastAsia="Times New Roman" w:hAnsi="Garamond" w:cs="Times New Roman"/>
          <w:sz w:val="20"/>
          <w:szCs w:val="18"/>
          <w:lang w:val="es-AR"/>
        </w:rPr>
        <w:t>conducta (el “</w:t>
      </w:r>
      <w:r w:rsidRPr="00CA0A60">
        <w:rPr>
          <w:rFonts w:ascii="Garamond" w:eastAsia="Times New Roman" w:hAnsi="Garamond" w:cs="Times New Roman"/>
          <w:sz w:val="20"/>
          <w:szCs w:val="18"/>
          <w:u w:val="single"/>
          <w:lang w:val="es-AR"/>
        </w:rPr>
        <w:t>Código</w:t>
      </w:r>
      <w:r w:rsidRPr="00CA0A60">
        <w:rPr>
          <w:rFonts w:ascii="Garamond" w:eastAsia="Times New Roman" w:hAnsi="Garamond" w:cs="Times New Roman"/>
          <w:sz w:val="20"/>
          <w:szCs w:val="18"/>
          <w:lang w:val="es-AR"/>
        </w:rPr>
        <w:t xml:space="preserve">”), (ii) una política anticorrupción, (iii) una política para procesos licitatorios, (iv) una política en materia de relaciones con funcionarios de gobierno, y (v) una línea directa de denuncia </w:t>
      </w:r>
      <w:r w:rsidRPr="00CA0A60">
        <w:rPr>
          <w:rFonts w:ascii="Garamond" w:eastAsia="Times New Roman" w:hAnsi="Garamond" w:cs="Times New Roman"/>
          <w:i/>
          <w:sz w:val="20"/>
          <w:szCs w:val="18"/>
          <w:lang w:val="es-AR"/>
        </w:rPr>
        <w:t>(whistleblowers hotline</w:t>
      </w:r>
      <w:r w:rsidRPr="00CA0A60">
        <w:rPr>
          <w:rFonts w:ascii="Garamond" w:eastAsia="Times New Roman" w:hAnsi="Garamond" w:cs="Times New Roman"/>
          <w:sz w:val="20"/>
          <w:szCs w:val="18"/>
          <w:lang w:val="es-AR"/>
        </w:rPr>
        <w:t>) (la “</w:t>
      </w:r>
      <w:r w:rsidRPr="00CA0A60">
        <w:rPr>
          <w:rFonts w:ascii="Garamond" w:eastAsia="Times New Roman" w:hAnsi="Garamond" w:cs="Times New Roman"/>
          <w:sz w:val="20"/>
          <w:szCs w:val="18"/>
          <w:u w:val="single"/>
          <w:lang w:val="es-AR"/>
        </w:rPr>
        <w:t>Línea</w:t>
      </w:r>
      <w:r w:rsidRPr="00CA0A60">
        <w:rPr>
          <w:rFonts w:ascii="Garamond" w:eastAsia="Times New Roman" w:hAnsi="Garamond" w:cs="Times New Roman"/>
          <w:sz w:val="20"/>
          <w:szCs w:val="18"/>
          <w:lang w:val="es-AR"/>
        </w:rPr>
        <w:t xml:space="preserve">”) </w:t>
      </w:r>
      <w:r w:rsidR="00075520">
        <w:rPr>
          <w:rFonts w:ascii="Garamond" w:eastAsia="Times New Roman" w:hAnsi="Garamond" w:cs="Times New Roman"/>
          <w:sz w:val="20"/>
          <w:szCs w:val="18"/>
          <w:lang w:val="es-AR"/>
        </w:rPr>
        <w:t xml:space="preserve">cuya administración se encuentra tercerizada </w:t>
      </w:r>
      <w:r w:rsidRPr="00CA0A60">
        <w:rPr>
          <w:rFonts w:ascii="Garamond" w:eastAsia="Times New Roman" w:hAnsi="Garamond" w:cs="Times New Roman"/>
          <w:sz w:val="20"/>
          <w:szCs w:val="18"/>
          <w:lang w:val="es-AR"/>
        </w:rPr>
        <w:t xml:space="preserve">a cargo de </w:t>
      </w:r>
      <w:bookmarkStart w:id="59" w:name="_cp_text_1_327"/>
      <w:bookmarkEnd w:id="58"/>
      <w:r w:rsidRPr="00CA0A60">
        <w:rPr>
          <w:rFonts w:ascii="Garamond" w:eastAsia="Times New Roman" w:hAnsi="Garamond" w:cs="Times New Roman"/>
          <w:sz w:val="20"/>
          <w:szCs w:val="18"/>
          <w:lang w:val="es-AR"/>
        </w:rPr>
        <w:t>Price Waterhouse &amp; Co. (“</w:t>
      </w:r>
      <w:bookmarkEnd w:id="59"/>
      <w:r w:rsidRPr="00CA0A60">
        <w:rPr>
          <w:rFonts w:ascii="Garamond" w:eastAsia="Times New Roman" w:hAnsi="Garamond" w:cs="Times New Roman"/>
          <w:sz w:val="20"/>
          <w:szCs w:val="18"/>
          <w:u w:val="single"/>
          <w:lang w:val="es-AR"/>
        </w:rPr>
        <w:t>PwC</w:t>
      </w:r>
      <w:bookmarkStart w:id="60" w:name="_cp_text_1_328"/>
      <w:r w:rsidRPr="00CA0A60">
        <w:rPr>
          <w:rFonts w:ascii="Garamond" w:eastAsia="Times New Roman" w:hAnsi="Garamond" w:cs="Times New Roman"/>
          <w:sz w:val="20"/>
          <w:szCs w:val="18"/>
          <w:lang w:val="es-AR"/>
        </w:rPr>
        <w:t>”)</w:t>
      </w:r>
      <w:bookmarkEnd w:id="60"/>
      <w:r w:rsidRPr="00CA0A60">
        <w:rPr>
          <w:rFonts w:ascii="Garamond" w:eastAsia="Times New Roman" w:hAnsi="Garamond" w:cs="Times New Roman"/>
          <w:sz w:val="20"/>
          <w:szCs w:val="18"/>
          <w:lang w:val="es-AR"/>
        </w:rPr>
        <w:t xml:space="preserve">. </w:t>
      </w:r>
    </w:p>
    <w:p w14:paraId="018FFD6C" w14:textId="3AD6898A" w:rsidR="00482939" w:rsidRPr="00CA0A60" w:rsidRDefault="00482939" w:rsidP="00482939">
      <w:pPr>
        <w:jc w:val="both"/>
        <w:rPr>
          <w:rFonts w:ascii="Garamond" w:eastAsia="Times New Roman" w:hAnsi="Garamond" w:cs="Times New Roman"/>
          <w:sz w:val="20"/>
          <w:szCs w:val="18"/>
          <w:lang w:val="es-AR"/>
        </w:rPr>
      </w:pPr>
      <w:bookmarkStart w:id="61" w:name="_cp_text_1_330"/>
      <w:r w:rsidRPr="00CA0A60">
        <w:rPr>
          <w:rFonts w:ascii="Garamond" w:eastAsia="Times New Roman" w:hAnsi="Garamond" w:cs="Times New Roman"/>
          <w:sz w:val="20"/>
          <w:szCs w:val="18"/>
          <w:lang w:val="es-AR"/>
        </w:rPr>
        <w:t xml:space="preserve">Asimismo, </w:t>
      </w:r>
      <w:r w:rsidR="00322580" w:rsidRPr="00CA0A60">
        <w:rPr>
          <w:rFonts w:ascii="Garamond" w:eastAsia="Times New Roman" w:hAnsi="Garamond" w:cs="Times New Roman"/>
          <w:sz w:val="20"/>
          <w:szCs w:val="18"/>
          <w:lang w:val="es-AR"/>
        </w:rPr>
        <w:t>las Entidades Relevantes</w:t>
      </w:r>
      <w:r w:rsidR="00322580" w:rsidRPr="00CA0A60" w:rsidDel="0032258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ha</w:t>
      </w:r>
      <w:r w:rsidR="00322580" w:rsidRPr="00CA0A60">
        <w:rPr>
          <w:rFonts w:ascii="Garamond" w:eastAsia="Times New Roman" w:hAnsi="Garamond" w:cs="Times New Roman"/>
          <w:sz w:val="20"/>
          <w:szCs w:val="18"/>
          <w:lang w:val="es-AR"/>
        </w:rPr>
        <w:t>n</w:t>
      </w:r>
      <w:r w:rsidRPr="00CA0A60">
        <w:rPr>
          <w:rFonts w:ascii="Garamond" w:eastAsia="Times New Roman" w:hAnsi="Garamond" w:cs="Times New Roman"/>
          <w:sz w:val="20"/>
          <w:szCs w:val="18"/>
          <w:lang w:val="es-AR"/>
        </w:rPr>
        <w:t xml:space="preserve"> implementado nuevas políticas en materia de donaciones, confidencialidad, uso de herramientas de trabajo, viajes y gastos. También ha creado un registro de obsequios u</w:t>
      </w:r>
      <w:r w:rsidR="00075520">
        <w:rPr>
          <w:rFonts w:ascii="Garamond" w:eastAsia="Times New Roman" w:hAnsi="Garamond" w:cs="Times New Roman"/>
          <w:sz w:val="20"/>
          <w:szCs w:val="18"/>
          <w:lang w:val="es-AR"/>
        </w:rPr>
        <w:t>no de</w:t>
      </w:r>
      <w:r w:rsidRPr="00CA0A60">
        <w:rPr>
          <w:rFonts w:ascii="Garamond" w:eastAsia="Times New Roman" w:hAnsi="Garamond" w:cs="Times New Roman"/>
          <w:sz w:val="20"/>
          <w:szCs w:val="18"/>
          <w:lang w:val="es-AR"/>
        </w:rPr>
        <w:t xml:space="preserve"> contactos con funcionarios de gobierno y </w:t>
      </w:r>
      <w:r w:rsidR="00075520">
        <w:rPr>
          <w:rFonts w:ascii="Garamond" w:eastAsia="Times New Roman" w:hAnsi="Garamond" w:cs="Times New Roman"/>
          <w:sz w:val="20"/>
          <w:szCs w:val="18"/>
          <w:lang w:val="es-AR"/>
        </w:rPr>
        <w:t xml:space="preserve">un tercero respecto de </w:t>
      </w:r>
      <w:r w:rsidRPr="00CA0A60">
        <w:rPr>
          <w:rFonts w:ascii="Garamond" w:eastAsia="Times New Roman" w:hAnsi="Garamond" w:cs="Times New Roman"/>
          <w:sz w:val="20"/>
          <w:szCs w:val="18"/>
          <w:lang w:val="es-AR"/>
        </w:rPr>
        <w:t>conflictos de interés.</w:t>
      </w:r>
    </w:p>
    <w:p w14:paraId="4244E27C" w14:textId="3E4E2F21" w:rsidR="00482939" w:rsidRPr="00CA0A60" w:rsidRDefault="00482939" w:rsidP="00482939">
      <w:pPr>
        <w:jc w:val="both"/>
        <w:rPr>
          <w:rFonts w:ascii="Garamond" w:eastAsia="Times New Roman" w:hAnsi="Garamond" w:cs="Times New Roman"/>
          <w:sz w:val="20"/>
          <w:szCs w:val="18"/>
          <w:lang w:val="es-AR"/>
        </w:rPr>
      </w:pPr>
      <w:bookmarkStart w:id="62" w:name="_cp_text_1_353"/>
      <w:bookmarkEnd w:id="61"/>
      <w:r w:rsidRPr="00CA0A60">
        <w:rPr>
          <w:rFonts w:ascii="Garamond" w:eastAsia="Times New Roman" w:hAnsi="Garamond" w:cs="Times New Roman"/>
          <w:sz w:val="20"/>
          <w:szCs w:val="18"/>
          <w:lang w:val="es-AR"/>
        </w:rPr>
        <w:t xml:space="preserve">En lo que </w:t>
      </w:r>
      <w:r w:rsidR="00075520">
        <w:rPr>
          <w:rFonts w:ascii="Garamond" w:eastAsia="Times New Roman" w:hAnsi="Garamond" w:cs="Times New Roman"/>
          <w:sz w:val="20"/>
          <w:szCs w:val="18"/>
          <w:lang w:val="es-AR"/>
        </w:rPr>
        <w:t>respecta</w:t>
      </w:r>
      <w:r w:rsidR="00075520" w:rsidRPr="00CA0A6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 xml:space="preserve">a terceros, </w:t>
      </w:r>
      <w:r w:rsidR="002D5CDD" w:rsidRPr="00CA0A60">
        <w:rPr>
          <w:rFonts w:ascii="Garamond" w:eastAsia="Times New Roman" w:hAnsi="Garamond" w:cs="Times New Roman"/>
          <w:sz w:val="20"/>
          <w:szCs w:val="18"/>
          <w:lang w:val="es-AR"/>
        </w:rPr>
        <w:t xml:space="preserve">las </w:t>
      </w:r>
      <w:r w:rsidR="00322580" w:rsidRPr="00CA0A60">
        <w:rPr>
          <w:rFonts w:ascii="Garamond" w:eastAsia="Times New Roman" w:hAnsi="Garamond" w:cs="Times New Roman"/>
          <w:sz w:val="20"/>
          <w:szCs w:val="18"/>
          <w:lang w:val="es-AR"/>
        </w:rPr>
        <w:t>Entidades Relevantes</w:t>
      </w:r>
      <w:r w:rsidR="00322580" w:rsidRPr="00CA0A60" w:rsidDel="0032258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se encuentra</w:t>
      </w:r>
      <w:r w:rsidR="00322580" w:rsidRPr="00CA0A60">
        <w:rPr>
          <w:rFonts w:ascii="Garamond" w:eastAsia="Times New Roman" w:hAnsi="Garamond" w:cs="Times New Roman"/>
          <w:sz w:val="20"/>
          <w:szCs w:val="18"/>
          <w:lang w:val="es-AR"/>
        </w:rPr>
        <w:t>n</w:t>
      </w:r>
      <w:r w:rsidRPr="00CA0A60">
        <w:rPr>
          <w:rFonts w:ascii="Garamond" w:eastAsia="Times New Roman" w:hAnsi="Garamond" w:cs="Times New Roman"/>
          <w:sz w:val="20"/>
          <w:szCs w:val="18"/>
          <w:lang w:val="es-AR"/>
        </w:rPr>
        <w:t xml:space="preserve"> implementando con PwC una política de diligencia debida para auditar a terceros contratistas. </w:t>
      </w:r>
      <w:r w:rsidR="00322580" w:rsidRPr="00CA0A60">
        <w:rPr>
          <w:rFonts w:ascii="Garamond" w:eastAsia="Times New Roman" w:hAnsi="Garamond" w:cs="Times New Roman"/>
          <w:sz w:val="20"/>
          <w:szCs w:val="18"/>
          <w:lang w:val="es-AR"/>
        </w:rPr>
        <w:t>Las Entidades Relevantes</w:t>
      </w:r>
      <w:r w:rsidR="00322580" w:rsidRPr="00CA0A60" w:rsidDel="00322580">
        <w:rPr>
          <w:rFonts w:ascii="Garamond" w:eastAsia="Times New Roman" w:hAnsi="Garamond" w:cs="Times New Roman"/>
          <w:sz w:val="20"/>
          <w:szCs w:val="18"/>
          <w:lang w:val="es-AR"/>
        </w:rPr>
        <w:t xml:space="preserve"> </w:t>
      </w:r>
      <w:r w:rsidRPr="00CA0A60">
        <w:rPr>
          <w:rFonts w:ascii="Garamond" w:eastAsia="Times New Roman" w:hAnsi="Garamond" w:cs="Times New Roman"/>
          <w:sz w:val="20"/>
          <w:szCs w:val="18"/>
          <w:lang w:val="es-AR"/>
        </w:rPr>
        <w:t>también está</w:t>
      </w:r>
      <w:r w:rsidR="00322580" w:rsidRPr="00CA0A60">
        <w:rPr>
          <w:rFonts w:ascii="Garamond" w:eastAsia="Times New Roman" w:hAnsi="Garamond" w:cs="Times New Roman"/>
          <w:sz w:val="20"/>
          <w:szCs w:val="18"/>
          <w:lang w:val="es-AR"/>
        </w:rPr>
        <w:t>n</w:t>
      </w:r>
      <w:r w:rsidRPr="00CA0A60">
        <w:rPr>
          <w:rFonts w:ascii="Garamond" w:eastAsia="Times New Roman" w:hAnsi="Garamond" w:cs="Times New Roman"/>
          <w:sz w:val="20"/>
          <w:szCs w:val="18"/>
          <w:lang w:val="es-AR"/>
        </w:rPr>
        <w:t xml:space="preserve"> incluyendo una cláusula de </w:t>
      </w:r>
      <w:r w:rsidR="00075520">
        <w:rPr>
          <w:rFonts w:ascii="Garamond" w:eastAsia="Times New Roman" w:hAnsi="Garamond" w:cs="Times New Roman"/>
          <w:sz w:val="20"/>
          <w:szCs w:val="18"/>
          <w:lang w:val="es-AR"/>
        </w:rPr>
        <w:t xml:space="preserve">anticorrupción y ética </w:t>
      </w:r>
      <w:r w:rsidRPr="00CA0A60">
        <w:rPr>
          <w:rFonts w:ascii="Garamond" w:eastAsia="Times New Roman" w:hAnsi="Garamond" w:cs="Times New Roman"/>
          <w:sz w:val="20"/>
          <w:szCs w:val="18"/>
          <w:lang w:val="es-AR"/>
        </w:rPr>
        <w:t>cumplimiento regulatorio en todas ofertas</w:t>
      </w:r>
      <w:r w:rsidR="00075520">
        <w:rPr>
          <w:rFonts w:ascii="Garamond" w:eastAsia="Times New Roman" w:hAnsi="Garamond" w:cs="Times New Roman"/>
          <w:sz w:val="20"/>
          <w:szCs w:val="18"/>
          <w:lang w:val="es-AR"/>
        </w:rPr>
        <w:t>, procesos</w:t>
      </w:r>
      <w:r w:rsidRPr="00CA0A60">
        <w:rPr>
          <w:rFonts w:ascii="Garamond" w:eastAsia="Times New Roman" w:hAnsi="Garamond" w:cs="Times New Roman"/>
          <w:sz w:val="20"/>
          <w:szCs w:val="18"/>
          <w:lang w:val="es-AR"/>
        </w:rPr>
        <w:t xml:space="preserve"> licitatori</w:t>
      </w:r>
      <w:r w:rsidR="00075520">
        <w:rPr>
          <w:rFonts w:ascii="Garamond" w:eastAsia="Times New Roman" w:hAnsi="Garamond" w:cs="Times New Roman"/>
          <w:sz w:val="20"/>
          <w:szCs w:val="18"/>
          <w:lang w:val="es-AR"/>
        </w:rPr>
        <w:t>o</w:t>
      </w:r>
      <w:r w:rsidRPr="00CA0A60">
        <w:rPr>
          <w:rFonts w:ascii="Garamond" w:eastAsia="Times New Roman" w:hAnsi="Garamond" w:cs="Times New Roman"/>
          <w:sz w:val="20"/>
          <w:szCs w:val="18"/>
          <w:lang w:val="es-AR"/>
        </w:rPr>
        <w:t>s y contratos</w:t>
      </w:r>
      <w:r w:rsidR="00075520">
        <w:rPr>
          <w:rFonts w:ascii="Garamond" w:eastAsia="Times New Roman" w:hAnsi="Garamond" w:cs="Times New Roman"/>
          <w:sz w:val="20"/>
          <w:szCs w:val="18"/>
          <w:lang w:val="es-AR"/>
        </w:rPr>
        <w:t xml:space="preserve"> en general</w:t>
      </w:r>
      <w:r w:rsidRPr="00CA0A60">
        <w:rPr>
          <w:rFonts w:ascii="Garamond" w:eastAsia="Times New Roman" w:hAnsi="Garamond" w:cs="Times New Roman"/>
          <w:sz w:val="20"/>
          <w:szCs w:val="18"/>
          <w:lang w:val="es-AR"/>
        </w:rPr>
        <w:t>.</w:t>
      </w:r>
    </w:p>
    <w:p w14:paraId="66BE3E69" w14:textId="5872CCB2" w:rsidR="00482939" w:rsidRPr="00CA0A60" w:rsidRDefault="00482939" w:rsidP="00482939">
      <w:pPr>
        <w:jc w:val="both"/>
        <w:rPr>
          <w:rFonts w:ascii="Garamond" w:eastAsia="Times New Roman" w:hAnsi="Garamond" w:cs="Times New Roman"/>
          <w:sz w:val="20"/>
          <w:szCs w:val="18"/>
          <w:lang w:val="es-AR"/>
        </w:rPr>
      </w:pPr>
      <w:r w:rsidRPr="00CA0A60">
        <w:rPr>
          <w:rFonts w:ascii="Garamond" w:eastAsia="Times New Roman" w:hAnsi="Garamond" w:cs="Times New Roman"/>
          <w:sz w:val="20"/>
          <w:szCs w:val="18"/>
          <w:lang w:val="es-AR"/>
        </w:rPr>
        <w:t>El público general puede acceder a la información antes mencionada y a la Línea a través de</w:t>
      </w:r>
      <w:r w:rsidR="00075520">
        <w:rPr>
          <w:rFonts w:ascii="Garamond" w:eastAsia="Times New Roman" w:hAnsi="Garamond" w:cs="Times New Roman"/>
          <w:sz w:val="20"/>
          <w:szCs w:val="18"/>
          <w:lang w:val="es-AR"/>
        </w:rPr>
        <w:t>l</w:t>
      </w:r>
      <w:r w:rsidRPr="00CA0A60">
        <w:rPr>
          <w:rFonts w:ascii="Garamond" w:eastAsia="Times New Roman" w:hAnsi="Garamond" w:cs="Times New Roman"/>
          <w:sz w:val="20"/>
          <w:szCs w:val="18"/>
          <w:lang w:val="es-AR"/>
        </w:rPr>
        <w:t xml:space="preserve"> sitio </w:t>
      </w:r>
      <w:hyperlink r:id="rId25" w:history="1">
        <w:r w:rsidRPr="00CA0A60">
          <w:rPr>
            <w:rStyle w:val="Hipervnculo"/>
            <w:rFonts w:ascii="Garamond" w:eastAsia="Times New Roman" w:hAnsi="Garamond" w:cs="Times New Roman"/>
            <w:sz w:val="20"/>
            <w:szCs w:val="18"/>
            <w:lang w:val="es-AR"/>
          </w:rPr>
          <w:t>web</w:t>
        </w:r>
        <w:bookmarkEnd w:id="62"/>
        <w:r w:rsidRPr="00713D6E">
          <w:rPr>
            <w:rStyle w:val="Hipervnculo"/>
            <w:rFonts w:ascii="Garamond" w:hAnsi="Garamond" w:cs="Times New Roman"/>
            <w:sz w:val="20"/>
            <w:szCs w:val="18"/>
            <w:lang w:val="es-AR"/>
          </w:rPr>
          <w:t>://www.albanesi.com.ar/programa-integridad.php</w:t>
        </w:r>
      </w:hyperlink>
      <w:r w:rsidRPr="00CA0A60">
        <w:rPr>
          <w:rFonts w:ascii="Garamond" w:eastAsia="Times New Roman" w:hAnsi="Garamond" w:cs="Times New Roman"/>
          <w:sz w:val="20"/>
          <w:szCs w:val="18"/>
          <w:lang w:val="es-AR"/>
        </w:rPr>
        <w:t xml:space="preserve">. </w:t>
      </w:r>
    </w:p>
    <w:p w14:paraId="7EF1FB5B" w14:textId="72C4AFE9" w:rsidR="005824A4" w:rsidRPr="00CA0A60" w:rsidRDefault="00322580" w:rsidP="001E3DCC">
      <w:pPr>
        <w:jc w:val="both"/>
        <w:rPr>
          <w:rFonts w:ascii="Garamond" w:hAnsi="Garamond"/>
          <w:lang w:val="es-AR" w:eastAsia="es-ES"/>
        </w:rPr>
      </w:pPr>
      <w:bookmarkStart w:id="63" w:name="_cp_text_1_381"/>
      <w:r w:rsidRPr="00CA0A60">
        <w:rPr>
          <w:rFonts w:ascii="Garamond" w:eastAsia="Times New Roman" w:hAnsi="Garamond" w:cs="Times New Roman"/>
          <w:sz w:val="20"/>
          <w:szCs w:val="18"/>
          <w:lang w:val="es-AR"/>
        </w:rPr>
        <w:t>Las Entidades Relevantes</w:t>
      </w:r>
      <w:r w:rsidRPr="00CA0A60" w:rsidDel="00322580">
        <w:rPr>
          <w:rFonts w:ascii="Garamond" w:eastAsia="Times New Roman" w:hAnsi="Garamond" w:cs="Times New Roman"/>
          <w:sz w:val="20"/>
          <w:szCs w:val="18"/>
          <w:lang w:val="es-AR"/>
        </w:rPr>
        <w:t xml:space="preserve"> </w:t>
      </w:r>
      <w:r w:rsidR="00482939" w:rsidRPr="00CA0A60">
        <w:rPr>
          <w:rFonts w:ascii="Garamond" w:eastAsia="Times New Roman" w:hAnsi="Garamond" w:cs="Times New Roman"/>
          <w:sz w:val="20"/>
          <w:szCs w:val="18"/>
          <w:lang w:val="es-AR"/>
        </w:rPr>
        <w:t>ha</w:t>
      </w:r>
      <w:r w:rsidRPr="00CA0A60">
        <w:rPr>
          <w:rFonts w:ascii="Garamond" w:eastAsia="Times New Roman" w:hAnsi="Garamond" w:cs="Times New Roman"/>
          <w:sz w:val="20"/>
          <w:szCs w:val="18"/>
          <w:lang w:val="es-AR"/>
        </w:rPr>
        <w:t>n</w:t>
      </w:r>
      <w:r w:rsidR="00482939" w:rsidRPr="00CA0A60">
        <w:rPr>
          <w:rFonts w:ascii="Garamond" w:eastAsia="Times New Roman" w:hAnsi="Garamond" w:cs="Times New Roman"/>
          <w:sz w:val="20"/>
          <w:szCs w:val="18"/>
          <w:lang w:val="es-AR"/>
        </w:rPr>
        <w:t xml:space="preserve"> creado un </w:t>
      </w:r>
      <w:r w:rsidR="00075520">
        <w:rPr>
          <w:rFonts w:ascii="Garamond" w:eastAsia="Times New Roman" w:hAnsi="Garamond" w:cs="Times New Roman"/>
          <w:sz w:val="20"/>
          <w:szCs w:val="18"/>
          <w:lang w:val="es-AR"/>
        </w:rPr>
        <w:t>C</w:t>
      </w:r>
      <w:r w:rsidR="00482939" w:rsidRPr="00CA0A60">
        <w:rPr>
          <w:rFonts w:ascii="Garamond" w:eastAsia="Times New Roman" w:hAnsi="Garamond" w:cs="Times New Roman"/>
          <w:sz w:val="20"/>
          <w:szCs w:val="18"/>
          <w:lang w:val="es-AR"/>
        </w:rPr>
        <w:t xml:space="preserve">omité de </w:t>
      </w:r>
      <w:r w:rsidR="00075520">
        <w:rPr>
          <w:rFonts w:ascii="Garamond" w:eastAsia="Times New Roman" w:hAnsi="Garamond" w:cs="Times New Roman"/>
          <w:sz w:val="20"/>
          <w:szCs w:val="18"/>
          <w:lang w:val="es-AR"/>
        </w:rPr>
        <w:t>É</w:t>
      </w:r>
      <w:r w:rsidR="00482939" w:rsidRPr="00CA0A60">
        <w:rPr>
          <w:rFonts w:ascii="Garamond" w:eastAsia="Times New Roman" w:hAnsi="Garamond" w:cs="Times New Roman"/>
          <w:sz w:val="20"/>
          <w:szCs w:val="18"/>
          <w:lang w:val="es-AR"/>
        </w:rPr>
        <w:t xml:space="preserve">tica formado por el Gerente Corporativo de Recursos Humanos, el Gerente Corporativo de Legales </w:t>
      </w:r>
      <w:r w:rsidR="00075520">
        <w:rPr>
          <w:rFonts w:ascii="Garamond" w:eastAsia="Times New Roman" w:hAnsi="Garamond" w:cs="Times New Roman"/>
          <w:sz w:val="20"/>
          <w:szCs w:val="18"/>
          <w:lang w:val="es-AR"/>
        </w:rPr>
        <w:t xml:space="preserve">(devenido Legales y Compliance) </w:t>
      </w:r>
      <w:r w:rsidR="00482939" w:rsidRPr="00CA0A60">
        <w:rPr>
          <w:rFonts w:ascii="Garamond" w:eastAsia="Times New Roman" w:hAnsi="Garamond" w:cs="Times New Roman"/>
          <w:sz w:val="20"/>
          <w:szCs w:val="18"/>
          <w:lang w:val="es-AR"/>
        </w:rPr>
        <w:t xml:space="preserve">y un asesor externo, independiente de los accionistas, para realizar investigaciones relacionadas con cualquier violación real o presunta del Código. El </w:t>
      </w:r>
      <w:r w:rsidR="00075520">
        <w:rPr>
          <w:rFonts w:ascii="Garamond" w:eastAsia="Times New Roman" w:hAnsi="Garamond" w:cs="Times New Roman"/>
          <w:sz w:val="20"/>
          <w:szCs w:val="18"/>
          <w:lang w:val="es-AR"/>
        </w:rPr>
        <w:t>C</w:t>
      </w:r>
      <w:r w:rsidR="00482939" w:rsidRPr="00CA0A60">
        <w:rPr>
          <w:rFonts w:ascii="Garamond" w:eastAsia="Times New Roman" w:hAnsi="Garamond" w:cs="Times New Roman"/>
          <w:sz w:val="20"/>
          <w:szCs w:val="18"/>
          <w:lang w:val="es-AR"/>
        </w:rPr>
        <w:t xml:space="preserve">omité de </w:t>
      </w:r>
      <w:r w:rsidR="00075520">
        <w:rPr>
          <w:rFonts w:ascii="Garamond" w:eastAsia="Times New Roman" w:hAnsi="Garamond" w:cs="Times New Roman"/>
          <w:sz w:val="20"/>
          <w:szCs w:val="18"/>
          <w:lang w:val="es-AR"/>
        </w:rPr>
        <w:t>É</w:t>
      </w:r>
      <w:r w:rsidR="00482939" w:rsidRPr="00CA0A60">
        <w:rPr>
          <w:rFonts w:ascii="Garamond" w:eastAsia="Times New Roman" w:hAnsi="Garamond" w:cs="Times New Roman"/>
          <w:sz w:val="20"/>
          <w:szCs w:val="18"/>
          <w:lang w:val="es-AR"/>
        </w:rPr>
        <w:t>tica informa sus conclusiones al Directorio.</w:t>
      </w:r>
      <w:bookmarkEnd w:id="63"/>
    </w:p>
    <w:p w14:paraId="5A341AED" w14:textId="77777777" w:rsidR="00354069" w:rsidRPr="00CA3A3D" w:rsidRDefault="00354069" w:rsidP="00060DAB">
      <w:pPr>
        <w:spacing w:before="120" w:after="120" w:line="240" w:lineRule="auto"/>
        <w:jc w:val="center"/>
        <w:rPr>
          <w:rFonts w:ascii="Garamond" w:eastAsia="Times New Roman" w:hAnsi="Garamond"/>
          <w:b/>
          <w:bCs/>
          <w:sz w:val="20"/>
          <w:szCs w:val="20"/>
          <w:lang w:val="es-AR" w:eastAsia="es-ES"/>
        </w:rPr>
      </w:pPr>
      <w:r w:rsidRPr="00CA3A3D">
        <w:rPr>
          <w:rFonts w:ascii="Garamond" w:hAnsi="Garamond"/>
          <w:b/>
          <w:lang w:val="es-AR" w:eastAsia="es-ES"/>
        </w:rPr>
        <w:br w:type="page"/>
      </w:r>
      <w:bookmarkStart w:id="64" w:name="_Toc397509438"/>
      <w:bookmarkStart w:id="65" w:name="_Toc377029242"/>
      <w:bookmarkStart w:id="66" w:name="_Toc450834389"/>
      <w:r w:rsidRPr="00CA3A3D">
        <w:rPr>
          <w:rFonts w:ascii="Garamond" w:hAnsi="Garamond"/>
          <w:b/>
          <w:sz w:val="20"/>
          <w:szCs w:val="20"/>
          <w:lang w:val="es-AR" w:eastAsia="es-ES"/>
        </w:rPr>
        <w:lastRenderedPageBreak/>
        <w:t>DECLARACIONES Y GARANTÍAS DE LOS ADQUIRENTES DE LAS O</w:t>
      </w:r>
      <w:r w:rsidR="009E0C27" w:rsidRPr="00CA3A3D">
        <w:rPr>
          <w:rFonts w:ascii="Garamond" w:hAnsi="Garamond"/>
          <w:b/>
          <w:sz w:val="20"/>
          <w:szCs w:val="20"/>
          <w:lang w:val="es-AR" w:eastAsia="es-ES"/>
        </w:rPr>
        <w:t xml:space="preserve">BLIGACIONES </w:t>
      </w:r>
      <w:r w:rsidRPr="00CA3A3D">
        <w:rPr>
          <w:rFonts w:ascii="Garamond" w:hAnsi="Garamond"/>
          <w:b/>
          <w:sz w:val="20"/>
          <w:szCs w:val="20"/>
          <w:lang w:val="es-AR" w:eastAsia="es-ES"/>
        </w:rPr>
        <w:t>N</w:t>
      </w:r>
      <w:r w:rsidR="009E0C27" w:rsidRPr="00CA3A3D">
        <w:rPr>
          <w:rFonts w:ascii="Garamond" w:hAnsi="Garamond"/>
          <w:b/>
          <w:sz w:val="20"/>
          <w:szCs w:val="20"/>
          <w:lang w:val="es-AR" w:eastAsia="es-ES"/>
        </w:rPr>
        <w:t>EGOCIABLES</w:t>
      </w:r>
      <w:r w:rsidRPr="00CA3A3D">
        <w:rPr>
          <w:rFonts w:ascii="Garamond" w:hAnsi="Garamond"/>
          <w:b/>
          <w:sz w:val="20"/>
          <w:szCs w:val="20"/>
          <w:lang w:val="es-AR" w:eastAsia="es-ES"/>
        </w:rPr>
        <w:t xml:space="preserve"> </w:t>
      </w:r>
      <w:bookmarkEnd w:id="64"/>
      <w:bookmarkEnd w:id="65"/>
      <w:bookmarkEnd w:id="66"/>
    </w:p>
    <w:p w14:paraId="25468458"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 xml:space="preserve">La presentación de cualquier </w:t>
      </w:r>
      <w:r w:rsidR="009B3E90" w:rsidRPr="00CA0A60">
        <w:rPr>
          <w:rFonts w:ascii="Garamond" w:eastAsia="Times New Roman" w:hAnsi="Garamond" w:cs="Times New Roman"/>
          <w:sz w:val="20"/>
          <w:szCs w:val="20"/>
          <w:lang w:val="es-AR" w:eastAsia="es-ES"/>
        </w:rPr>
        <w:t>Declaración de Interés</w:t>
      </w:r>
      <w:r w:rsidR="003503B0" w:rsidRPr="00713D6E">
        <w:rPr>
          <w:rFonts w:ascii="Garamond" w:eastAsia="Times New Roman" w:hAnsi="Garamond" w:cs="Times New Roman"/>
          <w:sz w:val="20"/>
          <w:szCs w:val="20"/>
          <w:lang w:val="es-AR" w:eastAsia="es-ES"/>
        </w:rPr>
        <w:t xml:space="preserve"> –tal como dicho término se define en l</w:t>
      </w:r>
      <w:r w:rsidR="003503B0" w:rsidRPr="00CA0A60">
        <w:rPr>
          <w:rFonts w:ascii="Garamond" w:eastAsia="Times New Roman" w:hAnsi="Garamond" w:cs="Times New Roman"/>
          <w:sz w:val="20"/>
          <w:szCs w:val="20"/>
          <w:lang w:val="es-AR" w:eastAsia="es-ES"/>
        </w:rPr>
        <w:t>a Sección “</w:t>
      </w:r>
      <w:r w:rsidR="003503B0" w:rsidRPr="00CA0A60">
        <w:rPr>
          <w:rFonts w:ascii="Garamond" w:eastAsia="Times New Roman" w:hAnsi="Garamond" w:cs="Times New Roman"/>
          <w:i/>
          <w:sz w:val="20"/>
          <w:szCs w:val="20"/>
          <w:lang w:val="es-AR" w:eastAsia="es-ES"/>
        </w:rPr>
        <w:t>Plan de Distribución</w:t>
      </w:r>
      <w:r w:rsidR="003503B0" w:rsidRPr="00CA0A60">
        <w:rPr>
          <w:rFonts w:ascii="Garamond" w:eastAsia="Times New Roman" w:hAnsi="Garamond" w:cs="Times New Roman"/>
          <w:sz w:val="20"/>
          <w:szCs w:val="20"/>
          <w:lang w:val="es-AR" w:eastAsia="es-ES"/>
        </w:rPr>
        <w:t>” en el presente Suplemento-</w:t>
      </w:r>
      <w:r w:rsidRPr="00CA0A60">
        <w:rPr>
          <w:rFonts w:ascii="Garamond" w:eastAsia="Times New Roman" w:hAnsi="Garamond" w:cs="Times New Roman"/>
          <w:sz w:val="20"/>
          <w:szCs w:val="20"/>
          <w:lang w:val="es-AR" w:eastAsia="es-ES"/>
        </w:rPr>
        <w:t xml:space="preserve"> o la adquisición posterior de las Ob</w:t>
      </w:r>
      <w:r w:rsidR="00D60A13" w:rsidRPr="00CA0A60">
        <w:rPr>
          <w:rFonts w:ascii="Garamond" w:eastAsia="Times New Roman" w:hAnsi="Garamond" w:cs="Times New Roman"/>
          <w:sz w:val="20"/>
          <w:szCs w:val="20"/>
          <w:lang w:val="es-AR" w:eastAsia="es-ES"/>
        </w:rPr>
        <w:t>ligaciones Negociables Clase II</w:t>
      </w:r>
      <w:r w:rsidRPr="00CA0A60">
        <w:rPr>
          <w:rFonts w:ascii="Garamond" w:eastAsia="Times New Roman" w:hAnsi="Garamond" w:cs="Times New Roman"/>
          <w:sz w:val="20"/>
          <w:szCs w:val="20"/>
          <w:lang w:val="es-AR" w:eastAsia="es-ES"/>
        </w:rPr>
        <w:t xml:space="preserve"> implicará, según fuera aplicable, las declaraciones y garantías a </w:t>
      </w:r>
      <w:r w:rsidR="00AB1F3D" w:rsidRPr="00CA0A60">
        <w:rPr>
          <w:rFonts w:ascii="Garamond" w:eastAsia="Times New Roman" w:hAnsi="Garamond" w:cs="Times New Roman"/>
          <w:sz w:val="20"/>
          <w:szCs w:val="20"/>
          <w:lang w:val="es-AR" w:eastAsia="es-ES"/>
        </w:rPr>
        <w:t xml:space="preserve">favor de </w:t>
      </w:r>
      <w:r w:rsidRPr="00CA0A60">
        <w:rPr>
          <w:rFonts w:ascii="Garamond" w:eastAsia="Times New Roman" w:hAnsi="Garamond" w:cs="Times New Roman"/>
          <w:sz w:val="20"/>
          <w:szCs w:val="20"/>
          <w:lang w:val="es-AR" w:eastAsia="es-ES"/>
        </w:rPr>
        <w:t>la</w:t>
      </w:r>
      <w:r w:rsidR="00131A86" w:rsidRPr="00CA0A60">
        <w:rPr>
          <w:rFonts w:ascii="Garamond" w:eastAsia="Times New Roman" w:hAnsi="Garamond" w:cs="Times New Roman"/>
          <w:sz w:val="20"/>
          <w:szCs w:val="20"/>
          <w:lang w:val="es-AR" w:eastAsia="es-ES"/>
        </w:rPr>
        <w:t>s</w:t>
      </w:r>
      <w:r w:rsidRPr="00CA0A60">
        <w:rPr>
          <w:rFonts w:ascii="Garamond" w:eastAsia="Times New Roman" w:hAnsi="Garamond" w:cs="Times New Roman"/>
          <w:sz w:val="20"/>
          <w:szCs w:val="20"/>
          <w:lang w:val="es-AR" w:eastAsia="es-ES"/>
        </w:rPr>
        <w:t xml:space="preserve"> </w:t>
      </w:r>
      <w:r w:rsidR="00131A86" w:rsidRPr="00CA0A60">
        <w:rPr>
          <w:rFonts w:ascii="Garamond" w:eastAsia="Times New Roman" w:hAnsi="Garamond" w:cs="Times New Roman"/>
          <w:sz w:val="20"/>
          <w:szCs w:val="20"/>
          <w:lang w:val="es-AR" w:eastAsia="es-ES"/>
        </w:rPr>
        <w:t>Co-</w:t>
      </w:r>
      <w:r w:rsidRPr="00CA0A60">
        <w:rPr>
          <w:rFonts w:ascii="Garamond" w:eastAsia="Times New Roman" w:hAnsi="Garamond" w:cs="Times New Roman"/>
          <w:sz w:val="20"/>
          <w:szCs w:val="20"/>
          <w:lang w:val="es-AR" w:eastAsia="es-ES"/>
        </w:rPr>
        <w:t>Emisora</w:t>
      </w:r>
      <w:r w:rsidR="00131A86" w:rsidRPr="00CA0A60">
        <w:rPr>
          <w:rFonts w:ascii="Garamond" w:eastAsia="Times New Roman" w:hAnsi="Garamond" w:cs="Times New Roman"/>
          <w:sz w:val="20"/>
          <w:szCs w:val="20"/>
          <w:lang w:val="es-AR" w:eastAsia="es-ES"/>
        </w:rPr>
        <w:t>s</w:t>
      </w:r>
      <w:r w:rsidRPr="00CA0A60">
        <w:rPr>
          <w:rFonts w:ascii="Garamond" w:eastAsia="Times New Roman" w:hAnsi="Garamond" w:cs="Times New Roman"/>
          <w:sz w:val="20"/>
          <w:szCs w:val="20"/>
          <w:lang w:val="es-AR" w:eastAsia="es-ES"/>
        </w:rPr>
        <w:t xml:space="preserve"> y los Colocadores, por parte de cada inversor, </w:t>
      </w:r>
      <w:r w:rsidR="00AB1F3D" w:rsidRPr="00CA0A60">
        <w:rPr>
          <w:rFonts w:ascii="Garamond" w:eastAsia="Times New Roman" w:hAnsi="Garamond" w:cs="Times New Roman"/>
          <w:sz w:val="20"/>
          <w:szCs w:val="20"/>
          <w:lang w:val="es-AR" w:eastAsia="es-ES"/>
        </w:rPr>
        <w:t xml:space="preserve">y </w:t>
      </w:r>
      <w:r w:rsidRPr="00CA0A60">
        <w:rPr>
          <w:rFonts w:ascii="Garamond" w:eastAsia="Times New Roman" w:hAnsi="Garamond" w:cs="Times New Roman"/>
          <w:sz w:val="20"/>
          <w:szCs w:val="20"/>
          <w:lang w:val="es-AR" w:eastAsia="es-ES"/>
        </w:rPr>
        <w:t>sus cesionarios por cualquier causa o título, de que:</w:t>
      </w:r>
    </w:p>
    <w:p w14:paraId="61829076"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305A39BF" w14:textId="0DC9119A" w:rsidR="00354069" w:rsidRPr="00CA0A60" w:rsidRDefault="00F612A7" w:rsidP="00060DAB">
      <w:pPr>
        <w:numPr>
          <w:ilvl w:val="0"/>
          <w:numId w:val="1"/>
        </w:numPr>
        <w:autoSpaceDE w:val="0"/>
        <w:autoSpaceDN w:val="0"/>
        <w:adjustRightInd w:val="0"/>
        <w:spacing w:before="120" w:after="120" w:line="240" w:lineRule="auto"/>
        <w:ind w:left="425" w:hanging="425"/>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reconoce y acepta que (i) está en posición de soportar los riesgos económicos de la inversión en las Obligaciones Negociables Clase II, (ii) cuenta con suficiente conocimiento y experiencia en asuntos financieros, comerciales, tributarios y relacionados a inversiones en valores negociables (en particular, relacionado</w:t>
      </w:r>
      <w:r w:rsidR="00681149" w:rsidRPr="00CA0A60">
        <w:rPr>
          <w:rFonts w:ascii="Garamond" w:eastAsia="Times New Roman" w:hAnsi="Garamond" w:cs="Times New Roman"/>
          <w:sz w:val="20"/>
          <w:szCs w:val="20"/>
          <w:lang w:val="es-AR" w:eastAsia="es-ES"/>
        </w:rPr>
        <w:t>s</w:t>
      </w:r>
      <w:r w:rsidRPr="00CA0A60">
        <w:rPr>
          <w:rFonts w:ascii="Garamond" w:eastAsia="Times New Roman" w:hAnsi="Garamond" w:cs="Times New Roman"/>
          <w:sz w:val="20"/>
          <w:szCs w:val="20"/>
          <w:lang w:val="es-AR" w:eastAsia="es-ES"/>
        </w:rPr>
        <w:t xml:space="preserve"> a inversiones con escaza liquidez y riesgos relacionados), (iii) ha </w:t>
      </w:r>
      <w:r w:rsidR="00681149" w:rsidRPr="00CA0A60">
        <w:rPr>
          <w:rFonts w:ascii="Garamond" w:eastAsia="Times New Roman" w:hAnsi="Garamond" w:cs="Times New Roman"/>
          <w:sz w:val="20"/>
          <w:szCs w:val="20"/>
          <w:lang w:val="es-AR" w:eastAsia="es-ES"/>
        </w:rPr>
        <w:t xml:space="preserve">prestado </w:t>
      </w:r>
      <w:r w:rsidRPr="00CA0A60">
        <w:rPr>
          <w:rFonts w:ascii="Garamond" w:eastAsia="Times New Roman" w:hAnsi="Garamond" w:cs="Times New Roman"/>
          <w:sz w:val="20"/>
          <w:szCs w:val="20"/>
          <w:lang w:val="es-AR" w:eastAsia="es-ES"/>
        </w:rPr>
        <w:t xml:space="preserve">particular atención a los </w:t>
      </w:r>
      <w:r w:rsidR="00C131A5" w:rsidRPr="00CA0A60">
        <w:rPr>
          <w:rFonts w:ascii="Garamond" w:eastAsia="Times New Roman" w:hAnsi="Garamond" w:cs="Times New Roman"/>
          <w:sz w:val="20"/>
          <w:szCs w:val="20"/>
          <w:lang w:val="es-AR" w:eastAsia="es-ES"/>
        </w:rPr>
        <w:t>F</w:t>
      </w:r>
      <w:r w:rsidRPr="00CA0A60">
        <w:rPr>
          <w:rFonts w:ascii="Garamond" w:eastAsia="Times New Roman" w:hAnsi="Garamond" w:cs="Times New Roman"/>
          <w:sz w:val="20"/>
          <w:szCs w:val="20"/>
          <w:lang w:val="es-AR" w:eastAsia="es-ES"/>
        </w:rPr>
        <w:t xml:space="preserve">actores de </w:t>
      </w:r>
      <w:r w:rsidR="0012654E" w:rsidRPr="00CA0A60">
        <w:rPr>
          <w:rFonts w:ascii="Garamond" w:eastAsia="Times New Roman" w:hAnsi="Garamond" w:cs="Times New Roman"/>
          <w:sz w:val="20"/>
          <w:szCs w:val="20"/>
          <w:lang w:val="es-AR" w:eastAsia="es-ES"/>
        </w:rPr>
        <w:t>R</w:t>
      </w:r>
      <w:r w:rsidRPr="00CA0A60">
        <w:rPr>
          <w:rFonts w:ascii="Garamond" w:eastAsia="Times New Roman" w:hAnsi="Garamond" w:cs="Times New Roman"/>
          <w:sz w:val="20"/>
          <w:szCs w:val="20"/>
          <w:lang w:val="es-AR" w:eastAsia="es-ES"/>
        </w:rPr>
        <w:t>iesgo detallados en la sección “</w:t>
      </w:r>
      <w:r w:rsidRPr="00CA0A60">
        <w:rPr>
          <w:rFonts w:ascii="Garamond" w:eastAsia="Times New Roman" w:hAnsi="Garamond" w:cs="Times New Roman"/>
          <w:i/>
          <w:sz w:val="20"/>
          <w:szCs w:val="20"/>
          <w:lang w:val="es-AR" w:eastAsia="es-ES"/>
        </w:rPr>
        <w:t>Factores de Riesgo</w:t>
      </w:r>
      <w:r w:rsidRPr="00CA0A60">
        <w:rPr>
          <w:rFonts w:ascii="Garamond" w:eastAsia="Times New Roman" w:hAnsi="Garamond" w:cs="Times New Roman"/>
          <w:sz w:val="20"/>
          <w:szCs w:val="20"/>
          <w:lang w:val="es-AR" w:eastAsia="es-ES"/>
        </w:rPr>
        <w:t>” en el Prospecto y en este Suplemento a la hora de decidir acerca de la inversión en las Obligaciones Negociables, (iv) la inversión en las Obligaciones Negociables (a) será consistente con sus necesidades y condición financiera, objetivos y perfil de riesgo, y (b) será consistente y cumplirá con las políticas de inversión, guías, códigos de conducta y otras restricciones aplicables que le resulten aplicables</w:t>
      </w:r>
      <w:r w:rsidR="00131A86" w:rsidRPr="00CA0A60">
        <w:rPr>
          <w:rFonts w:ascii="Garamond" w:eastAsia="Times New Roman" w:hAnsi="Garamond" w:cs="Times New Roman"/>
          <w:sz w:val="20"/>
          <w:szCs w:val="20"/>
          <w:lang w:val="es-AR" w:eastAsia="es-ES"/>
        </w:rPr>
        <w:t>;</w:t>
      </w:r>
    </w:p>
    <w:p w14:paraId="2BA226A1" w14:textId="77777777" w:rsidR="00F612A7" w:rsidRPr="00CA0A60" w:rsidRDefault="00F612A7" w:rsidP="00B87409">
      <w:pPr>
        <w:autoSpaceDE w:val="0"/>
        <w:autoSpaceDN w:val="0"/>
        <w:adjustRightInd w:val="0"/>
        <w:spacing w:before="120" w:after="120" w:line="240" w:lineRule="auto"/>
        <w:ind w:left="425"/>
        <w:contextualSpacing/>
        <w:jc w:val="both"/>
        <w:rPr>
          <w:rFonts w:ascii="Garamond" w:eastAsia="Times New Roman" w:hAnsi="Garamond" w:cs="Times New Roman"/>
          <w:sz w:val="20"/>
          <w:szCs w:val="20"/>
          <w:lang w:val="es-AR" w:eastAsia="es-ES"/>
        </w:rPr>
      </w:pPr>
    </w:p>
    <w:p w14:paraId="23F96F14" w14:textId="77777777" w:rsidR="00F612A7" w:rsidRPr="00CA0A60" w:rsidRDefault="00F612A7" w:rsidP="00F612A7">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conoce y acepta la información descripta más arriba en “</w:t>
      </w:r>
      <w:r w:rsidRPr="00CA0A60">
        <w:rPr>
          <w:rFonts w:ascii="Garamond" w:eastAsia="Times New Roman" w:hAnsi="Garamond" w:cs="Times New Roman"/>
          <w:i/>
          <w:sz w:val="20"/>
          <w:szCs w:val="20"/>
          <w:lang w:val="es-AR" w:eastAsia="es-ES"/>
        </w:rPr>
        <w:t>Aviso a los Inversores y Declaraciones</w:t>
      </w:r>
      <w:r w:rsidRPr="00CA0A60">
        <w:rPr>
          <w:rFonts w:ascii="Garamond" w:eastAsia="Times New Roman" w:hAnsi="Garamond" w:cs="Times New Roman"/>
          <w:sz w:val="20"/>
          <w:szCs w:val="20"/>
          <w:lang w:val="es-AR" w:eastAsia="es-ES"/>
        </w:rPr>
        <w:t>” en el presente Suplemento;</w:t>
      </w:r>
    </w:p>
    <w:p w14:paraId="17AD93B2"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7FC51A27" w14:textId="75B50474" w:rsidR="00354069" w:rsidRPr="00CA0A60" w:rsidRDefault="00354069" w:rsidP="00060DAB">
      <w:pPr>
        <w:numPr>
          <w:ilvl w:val="0"/>
          <w:numId w:val="1"/>
        </w:numPr>
        <w:autoSpaceDE w:val="0"/>
        <w:autoSpaceDN w:val="0"/>
        <w:adjustRightInd w:val="0"/>
        <w:spacing w:before="120" w:after="120" w:line="240" w:lineRule="auto"/>
        <w:ind w:left="425" w:hanging="425"/>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está en posición de soportar los riesgos económicos de la inversión en las Obligaciones Negociables</w:t>
      </w:r>
      <w:r w:rsidR="00131A86" w:rsidRPr="00CA0A60">
        <w:rPr>
          <w:rFonts w:ascii="Garamond" w:eastAsia="Times New Roman" w:hAnsi="Garamond" w:cs="Times New Roman"/>
          <w:sz w:val="20"/>
          <w:szCs w:val="20"/>
          <w:lang w:val="es-AR" w:eastAsia="es-ES"/>
        </w:rPr>
        <w:t>;</w:t>
      </w:r>
    </w:p>
    <w:p w14:paraId="0DE4B5B7"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575E26E5" w14:textId="7532B0CF" w:rsidR="00354069" w:rsidRPr="00CA0A60" w:rsidRDefault="00DC30EE" w:rsidP="00060DAB">
      <w:pPr>
        <w:numPr>
          <w:ilvl w:val="0"/>
          <w:numId w:val="1"/>
        </w:numPr>
        <w:autoSpaceDE w:val="0"/>
        <w:autoSpaceDN w:val="0"/>
        <w:adjustRightInd w:val="0"/>
        <w:spacing w:before="120" w:after="120" w:line="240" w:lineRule="auto"/>
        <w:ind w:left="425" w:hanging="425"/>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 xml:space="preserve">le ha sido puesta a disposición y/o </w:t>
      </w:r>
      <w:r w:rsidR="00354069" w:rsidRPr="00CA0A60">
        <w:rPr>
          <w:rFonts w:ascii="Garamond" w:eastAsia="Times New Roman" w:hAnsi="Garamond" w:cs="Times New Roman"/>
          <w:sz w:val="20"/>
          <w:szCs w:val="20"/>
          <w:lang w:val="es-AR" w:eastAsia="es-ES"/>
        </w:rPr>
        <w:t>ha recibido copia de, y ha revisado y analizado</w:t>
      </w:r>
      <w:r w:rsidR="00F612A7" w:rsidRPr="00CA0A60">
        <w:rPr>
          <w:rFonts w:ascii="Garamond" w:eastAsia="Times New Roman" w:hAnsi="Garamond" w:cs="Times New Roman"/>
          <w:sz w:val="20"/>
          <w:szCs w:val="20"/>
          <w:lang w:val="es-AR" w:eastAsia="es-ES"/>
        </w:rPr>
        <w:t xml:space="preserve"> cuidadosamente</w:t>
      </w:r>
      <w:r w:rsidR="00354069" w:rsidRPr="00CA0A60">
        <w:rPr>
          <w:rFonts w:ascii="Garamond" w:eastAsia="Times New Roman" w:hAnsi="Garamond" w:cs="Times New Roman"/>
          <w:sz w:val="20"/>
          <w:szCs w:val="20"/>
          <w:lang w:val="es-AR" w:eastAsia="es-ES"/>
        </w:rPr>
        <w:t xml:space="preserve"> la totalidad de la información contenida en, el Prospecto, el presente Suplemento (incluyendo los estados financieros que </w:t>
      </w:r>
      <w:r w:rsidR="00354069" w:rsidRPr="00CA3A3D">
        <w:rPr>
          <w:rFonts w:ascii="Garamond" w:eastAsia="Times New Roman" w:hAnsi="Garamond" w:cs="Times New Roman"/>
          <w:sz w:val="20"/>
          <w:szCs w:val="20"/>
          <w:lang w:val="es-AR" w:eastAsia="es-ES"/>
        </w:rPr>
        <w:t xml:space="preserve">se encuentran a disposición del público inversor en la </w:t>
      </w:r>
      <w:r w:rsidR="00712C06" w:rsidRPr="00CA3A3D">
        <w:rPr>
          <w:rFonts w:ascii="Garamond" w:eastAsia="Times New Roman" w:hAnsi="Garamond" w:cs="Times New Roman"/>
          <w:sz w:val="20"/>
          <w:szCs w:val="20"/>
          <w:lang w:val="es-AR" w:eastAsia="es-ES"/>
        </w:rPr>
        <w:t>P</w:t>
      </w:r>
      <w:r w:rsidR="00354069" w:rsidRPr="00CA3A3D">
        <w:rPr>
          <w:rFonts w:ascii="Garamond" w:eastAsia="Times New Roman" w:hAnsi="Garamond" w:cs="Times New Roman"/>
          <w:sz w:val="20"/>
          <w:szCs w:val="20"/>
          <w:lang w:val="es-AR" w:eastAsia="es-ES"/>
        </w:rPr>
        <w:t xml:space="preserve">ágina </w:t>
      </w:r>
      <w:r w:rsidR="00712C06" w:rsidRPr="00CA3A3D">
        <w:rPr>
          <w:rFonts w:ascii="Garamond" w:eastAsia="Times New Roman" w:hAnsi="Garamond" w:cs="Times New Roman"/>
          <w:sz w:val="20"/>
          <w:szCs w:val="20"/>
          <w:lang w:val="es-AR" w:eastAsia="es-ES"/>
        </w:rPr>
        <w:t>W</w:t>
      </w:r>
      <w:r w:rsidR="00354069" w:rsidRPr="00CA3A3D">
        <w:rPr>
          <w:rFonts w:ascii="Garamond" w:eastAsia="Times New Roman" w:hAnsi="Garamond" w:cs="Times New Roman"/>
          <w:sz w:val="20"/>
          <w:szCs w:val="20"/>
          <w:lang w:val="es-AR" w:eastAsia="es-ES"/>
        </w:rPr>
        <w:t xml:space="preserve">eb de la CNV </w:t>
      </w:r>
      <w:r w:rsidR="00712C06" w:rsidRPr="00CA3A3D">
        <w:rPr>
          <w:rFonts w:ascii="Garamond" w:eastAsia="Times New Roman" w:hAnsi="Garamond" w:cs="Times New Roman"/>
          <w:sz w:val="20"/>
          <w:szCs w:val="20"/>
          <w:lang w:val="es-AR" w:eastAsia="es-ES"/>
        </w:rPr>
        <w:t xml:space="preserve">bajo los ID que se detallan posteriormente en el presente Suplemento </w:t>
      </w:r>
      <w:r w:rsidR="00354069" w:rsidRPr="00CA3A3D">
        <w:rPr>
          <w:rFonts w:ascii="Garamond" w:eastAsia="Times New Roman" w:hAnsi="Garamond" w:cs="Times New Roman"/>
          <w:sz w:val="20"/>
          <w:szCs w:val="20"/>
          <w:lang w:val="es-AR" w:eastAsia="es-ES"/>
        </w:rPr>
        <w:t>y en</w:t>
      </w:r>
      <w:r w:rsidR="00354069" w:rsidRPr="00CA0A60">
        <w:rPr>
          <w:rFonts w:ascii="Garamond" w:eastAsia="Times New Roman" w:hAnsi="Garamond" w:cs="Times New Roman"/>
          <w:sz w:val="20"/>
          <w:szCs w:val="20"/>
          <w:lang w:val="es-AR" w:eastAsia="es-ES"/>
        </w:rPr>
        <w:t xml:space="preserve"> la página web institucional de la</w:t>
      </w:r>
      <w:r w:rsidR="00ED2825" w:rsidRPr="00CA0A60">
        <w:rPr>
          <w:rFonts w:ascii="Garamond" w:eastAsia="Times New Roman" w:hAnsi="Garamond" w:cs="Times New Roman"/>
          <w:sz w:val="20"/>
          <w:szCs w:val="20"/>
          <w:lang w:val="es-AR" w:eastAsia="es-ES"/>
        </w:rPr>
        <w:t>s</w:t>
      </w:r>
      <w:r w:rsidR="00354069" w:rsidRPr="00713D6E">
        <w:rPr>
          <w:rFonts w:ascii="Garamond" w:eastAsia="Times New Roman" w:hAnsi="Garamond" w:cs="Times New Roman"/>
          <w:sz w:val="20"/>
          <w:szCs w:val="20"/>
          <w:lang w:val="es-AR" w:eastAsia="es-ES"/>
        </w:rPr>
        <w:t xml:space="preserve"> </w:t>
      </w:r>
      <w:r w:rsidR="00ED2825" w:rsidRPr="00CA0A60">
        <w:rPr>
          <w:rFonts w:ascii="Garamond" w:eastAsia="Times New Roman" w:hAnsi="Garamond" w:cs="Times New Roman"/>
          <w:sz w:val="20"/>
          <w:szCs w:val="20"/>
          <w:lang w:val="es-AR" w:eastAsia="es-ES"/>
        </w:rPr>
        <w:t>Co-</w:t>
      </w:r>
      <w:r w:rsidR="00354069" w:rsidRPr="00CA0A60">
        <w:rPr>
          <w:rFonts w:ascii="Garamond" w:eastAsia="Times New Roman" w:hAnsi="Garamond" w:cs="Times New Roman"/>
          <w:sz w:val="20"/>
          <w:szCs w:val="20"/>
          <w:lang w:val="es-AR" w:eastAsia="es-ES"/>
        </w:rPr>
        <w:t>Emisora</w:t>
      </w:r>
      <w:r w:rsidR="00ED2825" w:rsidRPr="00CA0A60">
        <w:rPr>
          <w:rFonts w:ascii="Garamond" w:eastAsia="Times New Roman" w:hAnsi="Garamond" w:cs="Times New Roman"/>
          <w:sz w:val="20"/>
          <w:szCs w:val="20"/>
          <w:lang w:val="es-AR" w:eastAsia="es-ES"/>
        </w:rPr>
        <w:t>s</w:t>
      </w:r>
      <w:r w:rsidR="00354069" w:rsidRPr="00CA0A60">
        <w:rPr>
          <w:rFonts w:ascii="Garamond" w:eastAsia="Times New Roman" w:hAnsi="Garamond" w:cs="Times New Roman"/>
          <w:sz w:val="20"/>
          <w:szCs w:val="20"/>
          <w:lang w:val="es-AR" w:eastAsia="es-ES"/>
        </w:rPr>
        <w:t xml:space="preserve"> (</w:t>
      </w:r>
      <w:hyperlink r:id="rId26" w:history="1">
        <w:r w:rsidR="00354069" w:rsidRPr="00CA0A60">
          <w:rPr>
            <w:rFonts w:ascii="Garamond" w:eastAsia="Times New Roman" w:hAnsi="Garamond" w:cs="Times New Roman"/>
            <w:color w:val="0000FF"/>
            <w:sz w:val="20"/>
            <w:szCs w:val="20"/>
            <w:u w:val="single"/>
            <w:lang w:val="es-AR" w:eastAsia="es-ES"/>
          </w:rPr>
          <w:t>www.albanesi.com.ar</w:t>
        </w:r>
      </w:hyperlink>
      <w:r w:rsidR="00354069" w:rsidRPr="00CA0A60">
        <w:rPr>
          <w:rFonts w:ascii="Garamond" w:eastAsia="Times New Roman" w:hAnsi="Garamond" w:cs="Times New Roman"/>
          <w:sz w:val="20"/>
          <w:szCs w:val="20"/>
          <w:lang w:val="es-AR" w:eastAsia="es-ES"/>
        </w:rPr>
        <w:t>)) y todo otro documento relacionado con la emisión de las Obligaciones Negociables Clase II (incluyendo, sin limitación, el aviso de suscripción</w:t>
      </w:r>
      <w:r w:rsidR="003503B0" w:rsidRPr="00CA0A60">
        <w:rPr>
          <w:rFonts w:ascii="Garamond" w:eastAsia="Times New Roman" w:hAnsi="Garamond" w:cs="Times New Roman"/>
          <w:sz w:val="20"/>
          <w:szCs w:val="20"/>
          <w:lang w:val="es-AR" w:eastAsia="es-ES"/>
        </w:rPr>
        <w:t>, el Contrato de Fideicomiso –tal como dicho término se define en la Sección “</w:t>
      </w:r>
      <w:r w:rsidR="00C7497A" w:rsidRPr="00CA0A60">
        <w:rPr>
          <w:rFonts w:ascii="Garamond" w:eastAsia="Times New Roman" w:hAnsi="Garamond" w:cs="Times New Roman"/>
          <w:i/>
          <w:sz w:val="20"/>
          <w:szCs w:val="20"/>
          <w:lang w:val="es-AR" w:eastAsia="es-ES"/>
        </w:rPr>
        <w:t>Descripción de la Oferta y la Negociación – Descripción de las Obligaciones Negociables</w:t>
      </w:r>
      <w:r w:rsidR="003503B0" w:rsidRPr="00CA0A60">
        <w:rPr>
          <w:rFonts w:ascii="Garamond" w:eastAsia="Times New Roman" w:hAnsi="Garamond" w:cs="Times New Roman"/>
          <w:sz w:val="20"/>
          <w:szCs w:val="20"/>
          <w:lang w:val="es-AR" w:eastAsia="es-ES"/>
        </w:rPr>
        <w:t>” en el presente Suplemento-</w:t>
      </w:r>
      <w:r w:rsidR="00C7497A" w:rsidRPr="00CA0A60">
        <w:rPr>
          <w:rFonts w:ascii="Garamond" w:eastAsia="Times New Roman" w:hAnsi="Garamond" w:cs="Times New Roman"/>
          <w:sz w:val="20"/>
          <w:szCs w:val="20"/>
          <w:lang w:val="es-AR" w:eastAsia="es-ES"/>
        </w:rPr>
        <w:t>, los documentos concernientes a l</w:t>
      </w:r>
      <w:r w:rsidR="00DE503D" w:rsidRPr="00CA0A60">
        <w:rPr>
          <w:rFonts w:ascii="Garamond" w:eastAsia="Times New Roman" w:hAnsi="Garamond" w:cs="Times New Roman"/>
          <w:sz w:val="20"/>
          <w:szCs w:val="20"/>
          <w:lang w:val="es-AR" w:eastAsia="es-ES"/>
        </w:rPr>
        <w:t>o</w:t>
      </w:r>
      <w:r w:rsidR="006B66D3" w:rsidRPr="00CA0A60">
        <w:rPr>
          <w:rFonts w:ascii="Garamond" w:eastAsia="Times New Roman" w:hAnsi="Garamond" w:cs="Times New Roman"/>
          <w:sz w:val="20"/>
          <w:szCs w:val="20"/>
          <w:lang w:val="es-AR" w:eastAsia="es-ES"/>
        </w:rPr>
        <w:t>s</w:t>
      </w:r>
      <w:r w:rsidR="00C7497A" w:rsidRPr="00CA0A60">
        <w:rPr>
          <w:rFonts w:ascii="Garamond" w:eastAsia="Times New Roman" w:hAnsi="Garamond" w:cs="Times New Roman"/>
          <w:sz w:val="20"/>
          <w:szCs w:val="20"/>
          <w:lang w:val="es-AR" w:eastAsia="es-ES"/>
        </w:rPr>
        <w:t xml:space="preserve"> </w:t>
      </w:r>
      <w:r w:rsidR="00DE503D" w:rsidRPr="00CA0A60">
        <w:rPr>
          <w:rFonts w:ascii="Garamond" w:eastAsia="Times New Roman" w:hAnsi="Garamond" w:cs="Times New Roman"/>
          <w:sz w:val="20"/>
          <w:szCs w:val="20"/>
          <w:lang w:val="es-AR" w:eastAsia="es-ES"/>
        </w:rPr>
        <w:t xml:space="preserve">Derechos de Garantía </w:t>
      </w:r>
      <w:r w:rsidR="00C7497A" w:rsidRPr="00CA0A60">
        <w:rPr>
          <w:rFonts w:ascii="Garamond" w:eastAsia="Times New Roman" w:hAnsi="Garamond" w:cs="Times New Roman"/>
          <w:sz w:val="20"/>
          <w:szCs w:val="20"/>
          <w:lang w:val="es-AR" w:eastAsia="es-ES"/>
        </w:rPr>
        <w:t>de las Obligaciones Negociables</w:t>
      </w:r>
      <w:r w:rsidR="00B35C5B" w:rsidRPr="00CA0A60">
        <w:rPr>
          <w:rFonts w:ascii="Garamond" w:eastAsia="Times New Roman" w:hAnsi="Garamond" w:cs="Times New Roman"/>
          <w:sz w:val="20"/>
          <w:szCs w:val="20"/>
          <w:lang w:val="es-AR" w:eastAsia="es-ES"/>
        </w:rPr>
        <w:t xml:space="preserve"> </w:t>
      </w:r>
      <w:r w:rsidR="00C7497A" w:rsidRPr="00CA0A60">
        <w:rPr>
          <w:rFonts w:ascii="Garamond" w:eastAsia="Times New Roman" w:hAnsi="Garamond" w:cs="Times New Roman"/>
          <w:sz w:val="20"/>
          <w:szCs w:val="20"/>
          <w:lang w:val="es-AR" w:eastAsia="es-ES"/>
        </w:rPr>
        <w:t xml:space="preserve">–tal como </w:t>
      </w:r>
      <w:r w:rsidR="00E263D7" w:rsidRPr="00CA0A60">
        <w:rPr>
          <w:rFonts w:ascii="Garamond" w:eastAsia="Times New Roman" w:hAnsi="Garamond" w:cs="Times New Roman"/>
          <w:sz w:val="20"/>
          <w:szCs w:val="20"/>
          <w:lang w:val="es-AR" w:eastAsia="es-ES"/>
        </w:rPr>
        <w:t xml:space="preserve">se describen </w:t>
      </w:r>
      <w:r w:rsidR="00C7497A" w:rsidRPr="00CA0A60">
        <w:rPr>
          <w:rFonts w:ascii="Garamond" w:eastAsia="Times New Roman" w:hAnsi="Garamond" w:cs="Times New Roman"/>
          <w:sz w:val="20"/>
          <w:szCs w:val="20"/>
          <w:lang w:val="es-AR" w:eastAsia="es-ES"/>
        </w:rPr>
        <w:t>en la Sección “</w:t>
      </w:r>
      <w:r w:rsidR="00C7497A" w:rsidRPr="00CA0A60">
        <w:rPr>
          <w:rFonts w:ascii="Garamond" w:eastAsia="Times New Roman" w:hAnsi="Garamond" w:cs="Times New Roman"/>
          <w:i/>
          <w:sz w:val="20"/>
          <w:szCs w:val="20"/>
          <w:lang w:val="es-AR" w:eastAsia="es-ES"/>
        </w:rPr>
        <w:t>Descripción de la Oferta y la Negociación – Descripción de las Obligaciones Negociables</w:t>
      </w:r>
      <w:r w:rsidR="00C7497A" w:rsidRPr="00CA0A60">
        <w:rPr>
          <w:rFonts w:ascii="Garamond" w:eastAsia="Times New Roman" w:hAnsi="Garamond" w:cs="Times New Roman"/>
          <w:sz w:val="20"/>
          <w:szCs w:val="20"/>
          <w:lang w:val="es-AR" w:eastAsia="es-ES"/>
        </w:rPr>
        <w:t>” en el presente Suplemento-,</w:t>
      </w:r>
      <w:r w:rsidR="003503B0" w:rsidRPr="00CA0A60">
        <w:rPr>
          <w:rFonts w:ascii="Garamond" w:eastAsia="Times New Roman" w:hAnsi="Garamond" w:cs="Times New Roman"/>
          <w:sz w:val="20"/>
          <w:szCs w:val="20"/>
          <w:lang w:val="es-AR" w:eastAsia="es-ES"/>
        </w:rPr>
        <w:t xml:space="preserve"> </w:t>
      </w:r>
      <w:r w:rsidR="00354069" w:rsidRPr="00CA0A60">
        <w:rPr>
          <w:rFonts w:ascii="Garamond" w:eastAsia="Times New Roman" w:hAnsi="Garamond" w:cs="Times New Roman"/>
          <w:sz w:val="20"/>
          <w:szCs w:val="20"/>
          <w:lang w:val="es-AR" w:eastAsia="es-ES"/>
        </w:rPr>
        <w:t xml:space="preserve">y la calificación de riesgo, y ha analizado </w:t>
      </w:r>
      <w:r w:rsidR="00F612A7" w:rsidRPr="00CA0A60">
        <w:rPr>
          <w:rFonts w:ascii="Garamond" w:eastAsia="Times New Roman" w:hAnsi="Garamond" w:cs="Times New Roman"/>
          <w:sz w:val="20"/>
          <w:szCs w:val="20"/>
          <w:lang w:val="es-AR" w:eastAsia="es-ES"/>
        </w:rPr>
        <w:t>cuidadosamente</w:t>
      </w:r>
      <w:r w:rsidR="00354069" w:rsidRPr="00CA0A60">
        <w:rPr>
          <w:rFonts w:ascii="Garamond" w:eastAsia="Times New Roman" w:hAnsi="Garamond" w:cs="Times New Roman"/>
          <w:sz w:val="20"/>
          <w:szCs w:val="20"/>
          <w:lang w:val="es-AR" w:eastAsia="es-ES"/>
        </w:rPr>
        <w:t xml:space="preserve"> las operaciones, la situación y las perspectivas de la</w:t>
      </w:r>
      <w:r w:rsidR="00712C06" w:rsidRPr="00CA0A60">
        <w:rPr>
          <w:rFonts w:ascii="Garamond" w:eastAsia="Times New Roman" w:hAnsi="Garamond" w:cs="Times New Roman"/>
          <w:sz w:val="20"/>
          <w:szCs w:val="20"/>
          <w:lang w:val="es-AR" w:eastAsia="es-ES"/>
        </w:rPr>
        <w:t>s Co-</w:t>
      </w:r>
      <w:r w:rsidR="00354069" w:rsidRPr="00CA0A60">
        <w:rPr>
          <w:rFonts w:ascii="Garamond" w:eastAsia="Times New Roman" w:hAnsi="Garamond" w:cs="Times New Roman"/>
          <w:sz w:val="20"/>
          <w:szCs w:val="20"/>
          <w:lang w:val="es-AR" w:eastAsia="es-ES"/>
        </w:rPr>
        <w:t>Emisora</w:t>
      </w:r>
      <w:r w:rsidR="00712C06" w:rsidRPr="00CA0A60">
        <w:rPr>
          <w:rFonts w:ascii="Garamond" w:eastAsia="Times New Roman" w:hAnsi="Garamond" w:cs="Times New Roman"/>
          <w:sz w:val="20"/>
          <w:szCs w:val="20"/>
          <w:lang w:val="es-AR" w:eastAsia="es-ES"/>
        </w:rPr>
        <w:t>s</w:t>
      </w:r>
      <w:r w:rsidR="00354069" w:rsidRPr="00CA0A60">
        <w:rPr>
          <w:rFonts w:ascii="Garamond" w:eastAsia="Times New Roman" w:hAnsi="Garamond" w:cs="Times New Roman"/>
          <w:sz w:val="20"/>
          <w:szCs w:val="20"/>
          <w:lang w:val="es-AR" w:eastAsia="es-ES"/>
        </w:rPr>
        <w:t xml:space="preserve">, todo ello en la medida necesaria para tomar por sí mismo y de manera independiente su decisión de </w:t>
      </w:r>
      <w:r w:rsidR="00F32E44" w:rsidRPr="00CA0A60">
        <w:rPr>
          <w:rFonts w:ascii="Garamond" w:eastAsia="Times New Roman" w:hAnsi="Garamond" w:cs="Times New Roman"/>
          <w:sz w:val="20"/>
          <w:szCs w:val="20"/>
          <w:lang w:val="es-AR" w:eastAsia="es-ES"/>
        </w:rPr>
        <w:t xml:space="preserve">suscribir </w:t>
      </w:r>
      <w:r w:rsidR="00354069" w:rsidRPr="00CA0A60">
        <w:rPr>
          <w:rFonts w:ascii="Garamond" w:eastAsia="Times New Roman" w:hAnsi="Garamond" w:cs="Times New Roman"/>
          <w:sz w:val="20"/>
          <w:szCs w:val="20"/>
          <w:lang w:val="es-AR" w:eastAsia="es-ES"/>
        </w:rPr>
        <w:t xml:space="preserve">las Obligaciones Negociables Clase II, y </w:t>
      </w:r>
      <w:r w:rsidRPr="00CA0A60">
        <w:rPr>
          <w:rFonts w:ascii="Garamond" w:eastAsia="Times New Roman" w:hAnsi="Garamond" w:cs="Times New Roman"/>
          <w:sz w:val="20"/>
          <w:szCs w:val="20"/>
          <w:lang w:val="es-AR" w:eastAsia="es-ES"/>
        </w:rPr>
        <w:t xml:space="preserve">suscribe </w:t>
      </w:r>
      <w:r w:rsidR="00354069" w:rsidRPr="00CA0A60">
        <w:rPr>
          <w:rFonts w:ascii="Garamond" w:eastAsia="Times New Roman" w:hAnsi="Garamond" w:cs="Times New Roman"/>
          <w:sz w:val="20"/>
          <w:szCs w:val="20"/>
          <w:lang w:val="es-AR" w:eastAsia="es-ES"/>
        </w:rPr>
        <w:t>las Obligaciones Neg</w:t>
      </w:r>
      <w:r w:rsidR="00712C06" w:rsidRPr="00CA0A60">
        <w:rPr>
          <w:rFonts w:ascii="Garamond" w:eastAsia="Times New Roman" w:hAnsi="Garamond" w:cs="Times New Roman"/>
          <w:sz w:val="20"/>
          <w:szCs w:val="20"/>
          <w:lang w:val="es-AR" w:eastAsia="es-ES"/>
        </w:rPr>
        <w:t>ociables Clase I</w:t>
      </w:r>
      <w:r w:rsidR="00354069" w:rsidRPr="00CA0A60">
        <w:rPr>
          <w:rFonts w:ascii="Garamond" w:eastAsia="Times New Roman" w:hAnsi="Garamond" w:cs="Times New Roman"/>
          <w:sz w:val="20"/>
          <w:szCs w:val="20"/>
          <w:lang w:val="es-AR" w:eastAsia="es-ES"/>
        </w:rPr>
        <w:t>I basándose solamente en su propia revisión y análisis;</w:t>
      </w:r>
    </w:p>
    <w:p w14:paraId="66204FF1" w14:textId="77777777" w:rsidR="00F612A7" w:rsidRPr="00CA0A60" w:rsidRDefault="00F612A7" w:rsidP="00B87409">
      <w:pPr>
        <w:autoSpaceDE w:val="0"/>
        <w:autoSpaceDN w:val="0"/>
        <w:adjustRightInd w:val="0"/>
        <w:spacing w:before="120" w:after="120" w:line="240" w:lineRule="auto"/>
        <w:ind w:left="425"/>
        <w:contextualSpacing/>
        <w:jc w:val="both"/>
        <w:rPr>
          <w:rFonts w:ascii="Garamond" w:eastAsia="Times New Roman" w:hAnsi="Garamond" w:cs="Times New Roman"/>
          <w:sz w:val="20"/>
          <w:szCs w:val="20"/>
          <w:lang w:val="es-AR" w:eastAsia="es-ES"/>
        </w:rPr>
      </w:pPr>
    </w:p>
    <w:p w14:paraId="57EF2BD5" w14:textId="488BB586" w:rsidR="00F612A7" w:rsidRPr="00CA0A60" w:rsidRDefault="00F612A7" w:rsidP="00F612A7">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conoce y acepta que en la Oferta Internacional: (i) las Obligaciones Negociables serán colocadas por los Agentes Colocadores Internacionales fuera de Argentina a través de documentos en idioma inglés que las Co-Emisoras pondrán a disposición de dichos inversores y que serán sustancialmente en términos similares al Suplemento;</w:t>
      </w:r>
      <w:r w:rsidR="00C25C8F" w:rsidRPr="00CA0A60">
        <w:rPr>
          <w:rFonts w:ascii="Garamond" w:eastAsia="Times New Roman" w:hAnsi="Garamond" w:cs="Times New Roman"/>
          <w:sz w:val="20"/>
          <w:szCs w:val="20"/>
          <w:lang w:val="es-AR" w:eastAsia="es-ES"/>
        </w:rPr>
        <w:t xml:space="preserve"> </w:t>
      </w:r>
      <w:r w:rsidRPr="00CA0A60">
        <w:rPr>
          <w:rFonts w:ascii="Garamond" w:eastAsia="Times New Roman" w:hAnsi="Garamond" w:cs="Times New Roman"/>
          <w:sz w:val="20"/>
          <w:szCs w:val="20"/>
          <w:lang w:val="es-AR" w:eastAsia="es-ES"/>
        </w:rPr>
        <w:t>y (i</w:t>
      </w:r>
      <w:r w:rsidR="00C25C8F" w:rsidRPr="00CA0A60">
        <w:rPr>
          <w:rFonts w:ascii="Garamond" w:eastAsia="Times New Roman" w:hAnsi="Garamond" w:cs="Times New Roman"/>
          <w:sz w:val="20"/>
          <w:szCs w:val="20"/>
          <w:lang w:val="es-AR" w:eastAsia="es-ES"/>
        </w:rPr>
        <w:t>i</w:t>
      </w:r>
      <w:r w:rsidRPr="00CA0A60">
        <w:rPr>
          <w:rFonts w:ascii="Garamond" w:eastAsia="Times New Roman" w:hAnsi="Garamond" w:cs="Times New Roman"/>
          <w:sz w:val="20"/>
          <w:szCs w:val="20"/>
          <w:lang w:val="es-AR" w:eastAsia="es-ES"/>
        </w:rPr>
        <w:t>) las Declaraciones de Interés que correspondan a inversores interesados en adquirir las Obligaciones Negociables a través de la Oferta Internacional, y se presenten fuera de la Argentina, tendrán la forma de formularios de suscripción (</w:t>
      </w:r>
      <w:r w:rsidRPr="00CA0A60">
        <w:rPr>
          <w:rFonts w:ascii="Garamond" w:eastAsia="Times New Roman" w:hAnsi="Garamond" w:cs="Times New Roman"/>
          <w:i/>
          <w:sz w:val="20"/>
          <w:szCs w:val="20"/>
          <w:lang w:val="es-AR" w:eastAsia="es-ES"/>
        </w:rPr>
        <w:t>subscription agreements</w:t>
      </w:r>
      <w:r w:rsidRPr="00CA0A60">
        <w:rPr>
          <w:rFonts w:ascii="Garamond" w:eastAsia="Times New Roman" w:hAnsi="Garamond" w:cs="Times New Roman"/>
          <w:sz w:val="20"/>
          <w:szCs w:val="20"/>
          <w:lang w:val="es-AR" w:eastAsia="es-ES"/>
        </w:rPr>
        <w:t>) con las Co-Emisoras que serán puestos a disposición de los mismos fuera de la Argentina;</w:t>
      </w:r>
    </w:p>
    <w:p w14:paraId="2DBF0D7D" w14:textId="77777777" w:rsidR="00F612A7" w:rsidRPr="00CA0A60" w:rsidRDefault="00F612A7" w:rsidP="00B87409">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5C878E03" w14:textId="77777777" w:rsidR="00F612A7" w:rsidRPr="00CA0A60" w:rsidRDefault="00F612A7" w:rsidP="00F612A7">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conoce y acepta que en la Oferta Internacional los Agentes Colocadores Internacionales no actuarán como colocadores en firme (</w:t>
      </w:r>
      <w:r w:rsidRPr="00CA0A60">
        <w:rPr>
          <w:rFonts w:ascii="Garamond" w:eastAsia="Times New Roman" w:hAnsi="Garamond" w:cs="Times New Roman"/>
          <w:i/>
          <w:sz w:val="20"/>
          <w:szCs w:val="20"/>
          <w:lang w:val="es-AR" w:eastAsia="es-ES"/>
        </w:rPr>
        <w:t>underwriters</w:t>
      </w:r>
      <w:r w:rsidRPr="00CA0A60">
        <w:rPr>
          <w:rFonts w:ascii="Garamond" w:eastAsia="Times New Roman" w:hAnsi="Garamond" w:cs="Times New Roman"/>
          <w:sz w:val="20"/>
          <w:szCs w:val="20"/>
          <w:lang w:val="es-AR" w:eastAsia="es-ES"/>
        </w:rPr>
        <w:t>) ni como compradores iniciales de las Obligaciones Negociables en el marco de un contrato de compra internacional, por lo tanto, los Agentes Colocadores Internacionales no adquirirán ni realizarán venta previa de las Obligaciones Negociables;</w:t>
      </w:r>
    </w:p>
    <w:p w14:paraId="6B62F1B3"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19446F03" w14:textId="7D8E33EE" w:rsidR="00354069" w:rsidRPr="00CA0A60" w:rsidRDefault="00354069" w:rsidP="00060DAB">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 xml:space="preserve">no ha recibido ningún tipo de asesoramiento legal, comercial, financiero, cambiario, impositivo y/o de </w:t>
      </w:r>
      <w:r w:rsidR="00681149" w:rsidRPr="00CA0A60">
        <w:rPr>
          <w:rFonts w:ascii="Garamond" w:eastAsia="Times New Roman" w:hAnsi="Garamond" w:cs="Times New Roman"/>
          <w:sz w:val="20"/>
          <w:szCs w:val="20"/>
          <w:lang w:val="es-AR" w:eastAsia="es-ES"/>
        </w:rPr>
        <w:t xml:space="preserve">ningún </w:t>
      </w:r>
      <w:r w:rsidRPr="00CA0A60">
        <w:rPr>
          <w:rFonts w:ascii="Garamond" w:eastAsia="Times New Roman" w:hAnsi="Garamond" w:cs="Times New Roman"/>
          <w:sz w:val="20"/>
          <w:szCs w:val="20"/>
          <w:lang w:val="es-AR" w:eastAsia="es-ES"/>
        </w:rPr>
        <w:t>otro tipo por parte de la</w:t>
      </w:r>
      <w:r w:rsidR="00712C06" w:rsidRPr="00CA0A60">
        <w:rPr>
          <w:rFonts w:ascii="Garamond" w:eastAsia="Times New Roman" w:hAnsi="Garamond" w:cs="Times New Roman"/>
          <w:sz w:val="20"/>
          <w:szCs w:val="20"/>
          <w:lang w:val="es-AR" w:eastAsia="es-ES"/>
        </w:rPr>
        <w:t>s</w:t>
      </w:r>
      <w:r w:rsidRPr="00CA0A60">
        <w:rPr>
          <w:rFonts w:ascii="Garamond" w:eastAsia="Times New Roman" w:hAnsi="Garamond" w:cs="Times New Roman"/>
          <w:sz w:val="20"/>
          <w:szCs w:val="20"/>
          <w:lang w:val="es-AR" w:eastAsia="es-ES"/>
        </w:rPr>
        <w:t xml:space="preserve"> </w:t>
      </w:r>
      <w:r w:rsidR="00712C06" w:rsidRPr="00CA0A60">
        <w:rPr>
          <w:rFonts w:ascii="Garamond" w:eastAsia="Times New Roman" w:hAnsi="Garamond" w:cs="Times New Roman"/>
          <w:sz w:val="20"/>
          <w:szCs w:val="20"/>
          <w:lang w:val="es-AR" w:eastAsia="es-ES"/>
        </w:rPr>
        <w:t>Co-</w:t>
      </w:r>
      <w:r w:rsidRPr="00CA0A60">
        <w:rPr>
          <w:rFonts w:ascii="Garamond" w:eastAsia="Times New Roman" w:hAnsi="Garamond" w:cs="Times New Roman"/>
          <w:sz w:val="20"/>
          <w:szCs w:val="20"/>
          <w:lang w:val="es-AR" w:eastAsia="es-ES"/>
        </w:rPr>
        <w:t>Emisora</w:t>
      </w:r>
      <w:r w:rsidR="00712C06" w:rsidRPr="00CA0A60">
        <w:rPr>
          <w:rFonts w:ascii="Garamond" w:eastAsia="Times New Roman" w:hAnsi="Garamond" w:cs="Times New Roman"/>
          <w:sz w:val="20"/>
          <w:szCs w:val="20"/>
          <w:lang w:val="es-AR" w:eastAsia="es-ES"/>
        </w:rPr>
        <w:t>s</w:t>
      </w:r>
      <w:r w:rsidRPr="00CA0A60">
        <w:rPr>
          <w:rFonts w:ascii="Garamond" w:eastAsia="Times New Roman" w:hAnsi="Garamond" w:cs="Times New Roman"/>
          <w:sz w:val="20"/>
          <w:szCs w:val="20"/>
          <w:lang w:val="es-AR" w:eastAsia="es-ES"/>
        </w:rPr>
        <w:t xml:space="preserve"> ni de los Colocadores y/o de cualquiera de sus empleados, agentes, directores y/o gerentes, y/o de cualquiera de sus sociedades controlantes, controladas, vinculadas o sujetas a control común (</w:t>
      </w:r>
      <w:r w:rsidR="00E263D7" w:rsidRPr="00CA0A60">
        <w:rPr>
          <w:rFonts w:ascii="Garamond" w:eastAsia="Times New Roman" w:hAnsi="Garamond" w:cs="Times New Roman"/>
          <w:sz w:val="20"/>
          <w:szCs w:val="20"/>
          <w:lang w:val="es-AR" w:eastAsia="es-ES"/>
        </w:rPr>
        <w:t>ni</w:t>
      </w:r>
      <w:r w:rsidRPr="00CA0A60">
        <w:rPr>
          <w:rFonts w:ascii="Garamond" w:eastAsia="Times New Roman" w:hAnsi="Garamond" w:cs="Times New Roman"/>
          <w:sz w:val="20"/>
          <w:szCs w:val="20"/>
          <w:lang w:val="es-AR" w:eastAsia="es-ES"/>
        </w:rPr>
        <w:t xml:space="preserve"> de sus empleados, agentes, directores y/o gerentes);</w:t>
      </w:r>
    </w:p>
    <w:p w14:paraId="02F2C34E"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4B4E32F3" w14:textId="77777777" w:rsidR="00354069" w:rsidRPr="00CA0A60" w:rsidRDefault="00354069" w:rsidP="00060DAB">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no ha recibido de la</w:t>
      </w:r>
      <w:r w:rsidR="002A18F0" w:rsidRPr="00CA0A60">
        <w:rPr>
          <w:rFonts w:ascii="Garamond" w:eastAsia="Times New Roman" w:hAnsi="Garamond" w:cs="Times New Roman"/>
          <w:sz w:val="20"/>
          <w:szCs w:val="20"/>
          <w:lang w:val="es-AR" w:eastAsia="es-ES"/>
        </w:rPr>
        <w:t>s</w:t>
      </w:r>
      <w:r w:rsidRPr="00CA0A60">
        <w:rPr>
          <w:rFonts w:ascii="Garamond" w:eastAsia="Times New Roman" w:hAnsi="Garamond" w:cs="Times New Roman"/>
          <w:sz w:val="20"/>
          <w:szCs w:val="20"/>
          <w:lang w:val="es-AR" w:eastAsia="es-ES"/>
        </w:rPr>
        <w:t xml:space="preserve"> </w:t>
      </w:r>
      <w:r w:rsidR="002A18F0" w:rsidRPr="00CA0A60">
        <w:rPr>
          <w:rFonts w:ascii="Garamond" w:eastAsia="Times New Roman" w:hAnsi="Garamond" w:cs="Times New Roman"/>
          <w:sz w:val="20"/>
          <w:szCs w:val="20"/>
          <w:lang w:val="es-AR" w:eastAsia="es-ES"/>
        </w:rPr>
        <w:t xml:space="preserve">Co-Emisoras </w:t>
      </w:r>
      <w:r w:rsidRPr="00CA0A60">
        <w:rPr>
          <w:rFonts w:ascii="Garamond" w:eastAsia="Times New Roman" w:hAnsi="Garamond" w:cs="Times New Roman"/>
          <w:sz w:val="20"/>
          <w:szCs w:val="20"/>
          <w:lang w:val="es-AR" w:eastAsia="es-ES"/>
        </w:rPr>
        <w:t xml:space="preserve">ni de los Colocadores, información o declaraciones que sean inconsistentes, o difieran, de la información o de las declaraciones contenidas en el Prospecto (incluyendo los estados contables adjuntos al mismo), el presente Suplemento (incluyendo los estados financieros que </w:t>
      </w:r>
      <w:r w:rsidRPr="00CA3A3D">
        <w:rPr>
          <w:rFonts w:ascii="Garamond" w:eastAsia="Times New Roman" w:hAnsi="Garamond" w:cs="Times New Roman"/>
          <w:sz w:val="20"/>
          <w:szCs w:val="20"/>
          <w:lang w:val="es-AR" w:eastAsia="es-ES"/>
        </w:rPr>
        <w:t xml:space="preserve">se encuentran a disposición del público inversor en la </w:t>
      </w:r>
      <w:r w:rsidR="002A18F0" w:rsidRPr="00CA3A3D">
        <w:rPr>
          <w:rFonts w:ascii="Garamond" w:eastAsia="Times New Roman" w:hAnsi="Garamond" w:cs="Times New Roman"/>
          <w:sz w:val="20"/>
          <w:szCs w:val="20"/>
          <w:lang w:val="es-AR" w:eastAsia="es-ES"/>
        </w:rPr>
        <w:t>Página Web de la CNV</w:t>
      </w:r>
      <w:r w:rsidRPr="00CA3A3D">
        <w:rPr>
          <w:rFonts w:ascii="Garamond" w:eastAsia="Times New Roman" w:hAnsi="Garamond" w:cs="Times New Roman"/>
          <w:sz w:val="20"/>
          <w:szCs w:val="20"/>
          <w:lang w:val="es-AR" w:eastAsia="es-ES"/>
        </w:rPr>
        <w:t xml:space="preserve"> y en</w:t>
      </w:r>
      <w:r w:rsidRPr="00CA0A60">
        <w:rPr>
          <w:rFonts w:ascii="Garamond" w:eastAsia="Times New Roman" w:hAnsi="Garamond" w:cs="Times New Roman"/>
          <w:sz w:val="20"/>
          <w:szCs w:val="20"/>
          <w:lang w:val="es-AR" w:eastAsia="es-ES"/>
        </w:rPr>
        <w:t xml:space="preserve"> la página web institucional de la</w:t>
      </w:r>
      <w:r w:rsidR="002A18F0" w:rsidRPr="00CA0A60">
        <w:rPr>
          <w:rFonts w:ascii="Garamond" w:eastAsia="Times New Roman" w:hAnsi="Garamond" w:cs="Times New Roman"/>
          <w:sz w:val="20"/>
          <w:szCs w:val="20"/>
          <w:lang w:val="es-AR" w:eastAsia="es-ES"/>
        </w:rPr>
        <w:t>s</w:t>
      </w:r>
      <w:r w:rsidRPr="00713D6E">
        <w:rPr>
          <w:rFonts w:ascii="Garamond" w:eastAsia="Times New Roman" w:hAnsi="Garamond" w:cs="Times New Roman"/>
          <w:sz w:val="20"/>
          <w:szCs w:val="20"/>
          <w:lang w:val="es-AR" w:eastAsia="es-ES"/>
        </w:rPr>
        <w:t xml:space="preserve"> </w:t>
      </w:r>
      <w:r w:rsidR="002A18F0" w:rsidRPr="00CA0A60">
        <w:rPr>
          <w:rFonts w:ascii="Garamond" w:eastAsia="Times New Roman" w:hAnsi="Garamond" w:cs="Times New Roman"/>
          <w:sz w:val="20"/>
          <w:szCs w:val="20"/>
          <w:lang w:val="es-AR" w:eastAsia="es-ES"/>
        </w:rPr>
        <w:t xml:space="preserve">Co-Emisoras </w:t>
      </w:r>
      <w:r w:rsidRPr="00CA0A60">
        <w:rPr>
          <w:rFonts w:ascii="Garamond" w:eastAsia="Times New Roman" w:hAnsi="Garamond" w:cs="Times New Roman"/>
          <w:sz w:val="20"/>
          <w:szCs w:val="20"/>
          <w:lang w:val="es-AR" w:eastAsia="es-ES"/>
        </w:rPr>
        <w:t>(</w:t>
      </w:r>
      <w:hyperlink r:id="rId27" w:history="1">
        <w:r w:rsidRPr="00CA0A60">
          <w:rPr>
            <w:rFonts w:ascii="Garamond" w:eastAsia="Times New Roman" w:hAnsi="Garamond" w:cs="Times New Roman"/>
            <w:color w:val="0000FF"/>
            <w:sz w:val="20"/>
            <w:szCs w:val="20"/>
            <w:u w:val="single"/>
            <w:lang w:val="es-AR" w:eastAsia="es-ES"/>
          </w:rPr>
          <w:t>www.albanesi.com.ar</w:t>
        </w:r>
      </w:hyperlink>
      <w:r w:rsidRPr="00CA0A60">
        <w:rPr>
          <w:rFonts w:ascii="Garamond" w:eastAsia="Times New Roman" w:hAnsi="Garamond" w:cs="Times New Roman"/>
          <w:sz w:val="20"/>
          <w:szCs w:val="20"/>
          <w:lang w:val="es-AR" w:eastAsia="es-ES"/>
        </w:rPr>
        <w:t>)) y todo otro documento relacionado con la emisión de las Obligaciones Negociables Clase II;</w:t>
      </w:r>
    </w:p>
    <w:p w14:paraId="680A4E5D"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0E06D435" w14:textId="5E3F1585" w:rsidR="00354069" w:rsidRPr="00CA0A60" w:rsidRDefault="00354069" w:rsidP="00060DAB">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 xml:space="preserve">conoce y acepta los términos descriptos en </w:t>
      </w:r>
      <w:r w:rsidR="002D19E7" w:rsidRPr="00CA0A60">
        <w:rPr>
          <w:rFonts w:ascii="Garamond" w:eastAsia="Times New Roman" w:hAnsi="Garamond" w:cs="Times New Roman"/>
          <w:sz w:val="20"/>
          <w:szCs w:val="20"/>
          <w:lang w:val="es-AR" w:eastAsia="es-ES"/>
        </w:rPr>
        <w:t xml:space="preserve">la sección </w:t>
      </w:r>
      <w:r w:rsidRPr="00CA0A60">
        <w:rPr>
          <w:rFonts w:ascii="Garamond" w:hAnsi="Garamond"/>
          <w:i/>
          <w:sz w:val="20"/>
          <w:lang w:val="es-AR"/>
        </w:rPr>
        <w:t>“Plan de Distribución”</w:t>
      </w:r>
      <w:r w:rsidRPr="00CA0A60">
        <w:rPr>
          <w:rFonts w:ascii="Garamond" w:hAnsi="Garamond"/>
          <w:sz w:val="20"/>
          <w:lang w:val="es-AR"/>
        </w:rPr>
        <w:t xml:space="preserve"> </w:t>
      </w:r>
      <w:r w:rsidR="002D19E7" w:rsidRPr="00CA0A60">
        <w:rPr>
          <w:rFonts w:ascii="Garamond" w:eastAsia="Times New Roman" w:hAnsi="Garamond" w:cs="Times New Roman"/>
          <w:sz w:val="20"/>
          <w:szCs w:val="20"/>
          <w:lang w:val="es-AR" w:eastAsia="es-ES"/>
        </w:rPr>
        <w:t>d</w:t>
      </w:r>
      <w:r w:rsidRPr="00CA0A60">
        <w:rPr>
          <w:rFonts w:ascii="Garamond" w:eastAsia="Times New Roman" w:hAnsi="Garamond" w:cs="Times New Roman"/>
          <w:sz w:val="20"/>
          <w:szCs w:val="20"/>
          <w:lang w:val="es-AR" w:eastAsia="es-ES"/>
        </w:rPr>
        <w:t xml:space="preserve">el presente Suplemento. </w:t>
      </w:r>
      <w:r w:rsidR="00F612A7" w:rsidRPr="00CA0A60">
        <w:rPr>
          <w:rFonts w:ascii="Garamond" w:eastAsia="Times New Roman" w:hAnsi="Garamond" w:cs="Times New Roman"/>
          <w:sz w:val="20"/>
          <w:szCs w:val="20"/>
          <w:lang w:val="es-AR" w:eastAsia="es-ES"/>
        </w:rPr>
        <w:t>Sin limitar lo expuesto precedentemente, el inversor conoce y acepta</w:t>
      </w:r>
      <w:r w:rsidR="00DA0B86" w:rsidRPr="00CA0A60">
        <w:rPr>
          <w:rFonts w:ascii="Garamond" w:eastAsia="Times New Roman" w:hAnsi="Garamond" w:cs="Times New Roman"/>
          <w:sz w:val="20"/>
          <w:szCs w:val="20"/>
          <w:lang w:val="es-AR" w:eastAsia="es-ES"/>
        </w:rPr>
        <w:t>,</w:t>
      </w:r>
      <w:r w:rsidR="00F612A7" w:rsidRPr="00CA0A60">
        <w:rPr>
          <w:rFonts w:ascii="Garamond" w:eastAsia="Times New Roman" w:hAnsi="Garamond" w:cs="Times New Roman"/>
          <w:sz w:val="20"/>
          <w:szCs w:val="20"/>
          <w:lang w:val="es-AR" w:eastAsia="es-ES"/>
        </w:rPr>
        <w:t xml:space="preserve"> en los términos indicados más abajo en </w:t>
      </w:r>
      <w:r w:rsidR="00F612A7" w:rsidRPr="00CA0A60">
        <w:rPr>
          <w:rFonts w:ascii="Garamond" w:eastAsia="Times New Roman" w:hAnsi="Garamond" w:cs="Times New Roman"/>
          <w:i/>
          <w:sz w:val="20"/>
          <w:szCs w:val="20"/>
          <w:lang w:val="es-AR" w:eastAsia="es-ES"/>
        </w:rPr>
        <w:t>“Plan de Distribución”</w:t>
      </w:r>
      <w:r w:rsidR="00F612A7" w:rsidRPr="00CA0A60">
        <w:rPr>
          <w:rFonts w:ascii="Garamond" w:eastAsia="Times New Roman" w:hAnsi="Garamond" w:cs="Times New Roman"/>
          <w:sz w:val="20"/>
          <w:szCs w:val="20"/>
          <w:lang w:val="es-AR" w:eastAsia="es-ES"/>
        </w:rPr>
        <w:t xml:space="preserve"> del presente Suplemento, </w:t>
      </w:r>
      <w:r w:rsidR="00DA0B86" w:rsidRPr="00CA0A60">
        <w:rPr>
          <w:rFonts w:ascii="Garamond" w:eastAsia="Times New Roman" w:hAnsi="Garamond" w:cs="Times New Roman"/>
          <w:sz w:val="20"/>
          <w:szCs w:val="20"/>
          <w:lang w:val="es-AR" w:eastAsia="es-ES"/>
        </w:rPr>
        <w:t xml:space="preserve">que </w:t>
      </w:r>
      <w:r w:rsidR="00F612A7" w:rsidRPr="00CA0A60">
        <w:rPr>
          <w:rFonts w:ascii="Garamond" w:eastAsia="Times New Roman" w:hAnsi="Garamond" w:cs="Times New Roman"/>
          <w:sz w:val="20"/>
          <w:szCs w:val="20"/>
          <w:lang w:val="es-AR" w:eastAsia="es-ES"/>
        </w:rPr>
        <w:t xml:space="preserve">(i) </w:t>
      </w:r>
      <w:r w:rsidR="00DA0B86" w:rsidRPr="00CA0A60">
        <w:rPr>
          <w:rFonts w:ascii="Garamond" w:eastAsia="Times New Roman" w:hAnsi="Garamond" w:cs="Times New Roman"/>
          <w:sz w:val="20"/>
          <w:szCs w:val="20"/>
          <w:lang w:val="es-AR" w:eastAsia="es-ES"/>
        </w:rPr>
        <w:t xml:space="preserve">la </w:t>
      </w:r>
      <w:r w:rsidR="00F612A7" w:rsidRPr="00CA0A60">
        <w:rPr>
          <w:rFonts w:ascii="Garamond" w:eastAsia="Times New Roman" w:hAnsi="Garamond" w:cs="Times New Roman"/>
          <w:sz w:val="20"/>
          <w:szCs w:val="20"/>
          <w:lang w:val="es-AR" w:eastAsia="es-ES"/>
        </w:rPr>
        <w:t xml:space="preserve">oferta en Argentina </w:t>
      </w:r>
      <w:r w:rsidR="00DA0B86" w:rsidRPr="00CA0A60">
        <w:rPr>
          <w:rFonts w:ascii="Garamond" w:eastAsia="Times New Roman" w:hAnsi="Garamond" w:cs="Times New Roman"/>
          <w:sz w:val="20"/>
          <w:szCs w:val="20"/>
          <w:lang w:val="es-AR" w:eastAsia="es-ES"/>
        </w:rPr>
        <w:t xml:space="preserve">será </w:t>
      </w:r>
      <w:r w:rsidR="00F612A7" w:rsidRPr="00CA0A60">
        <w:rPr>
          <w:rFonts w:ascii="Garamond" w:eastAsia="Times New Roman" w:hAnsi="Garamond" w:cs="Times New Roman"/>
          <w:sz w:val="20"/>
          <w:szCs w:val="20"/>
          <w:lang w:val="es-AR" w:eastAsia="es-ES"/>
        </w:rPr>
        <w:t>dirigida exclusivamente a “inversores calificados” según se los define en el artículo 12, Sección II, Capítulo VI, Título II de las Normas de la CNV, oferta que será realizada a través de los Agentes Colocadores Locales conforme los términos y condiciones del presente Suplemento y que será realizada mediante una oferta que califique como oferta pública en Argentina conforme con los términos de la Ley de Mercado de Capitales, las Normas de la CNV y demás normativa aplicable, (ii) la Oferta Internacional consistirá en una oferta internacional no sujeta a los requisitos de registro de la Ley de Títulos Valores Estadounidense en la cual los Agentes Colocadores Internacionales actuarán como agentes colocadores (“</w:t>
      </w:r>
      <w:r w:rsidR="00F612A7" w:rsidRPr="00CA0A60">
        <w:rPr>
          <w:rFonts w:ascii="Garamond" w:eastAsia="Times New Roman" w:hAnsi="Garamond" w:cs="Times New Roman"/>
          <w:i/>
          <w:sz w:val="20"/>
          <w:szCs w:val="20"/>
          <w:lang w:val="es-AR" w:eastAsia="es-ES"/>
        </w:rPr>
        <w:t>placement agents</w:t>
      </w:r>
      <w:r w:rsidR="00F612A7" w:rsidRPr="00CA0A60">
        <w:rPr>
          <w:rFonts w:ascii="Garamond" w:eastAsia="Times New Roman" w:hAnsi="Garamond" w:cs="Times New Roman"/>
          <w:sz w:val="20"/>
          <w:szCs w:val="20"/>
          <w:lang w:val="es-AR" w:eastAsia="es-ES"/>
        </w:rPr>
        <w:t>”) de dicha oferta, que estará dirigida (1) en los Estados Unidos a ciertos inversores acreditados (“</w:t>
      </w:r>
      <w:r w:rsidR="00F612A7" w:rsidRPr="00CA0A60">
        <w:rPr>
          <w:rFonts w:ascii="Garamond" w:eastAsia="Times New Roman" w:hAnsi="Garamond" w:cs="Times New Roman"/>
          <w:i/>
          <w:sz w:val="20"/>
          <w:szCs w:val="20"/>
          <w:lang w:val="es-AR" w:eastAsia="es-ES"/>
        </w:rPr>
        <w:t>accredited investors</w:t>
      </w:r>
      <w:r w:rsidR="00F612A7" w:rsidRPr="00CA0A60">
        <w:rPr>
          <w:rFonts w:ascii="Garamond" w:eastAsia="Times New Roman" w:hAnsi="Garamond" w:cs="Times New Roman"/>
          <w:sz w:val="20"/>
          <w:szCs w:val="20"/>
          <w:lang w:val="es-AR" w:eastAsia="es-ES"/>
        </w:rPr>
        <w:t>”) institucionales (conforme se define en la Regla 501(a)(1), (2), (3), (7) o (8) bajo la Regulación D de la Ley de Títulos Valores Estadounidense) que también sean inversores institucionales calificados (“</w:t>
      </w:r>
      <w:r w:rsidR="00F612A7" w:rsidRPr="00CA0A60">
        <w:rPr>
          <w:rFonts w:ascii="Garamond" w:eastAsia="Times New Roman" w:hAnsi="Garamond" w:cs="Times New Roman"/>
          <w:i/>
          <w:sz w:val="20"/>
          <w:szCs w:val="20"/>
          <w:lang w:val="es-AR" w:eastAsia="es-ES"/>
        </w:rPr>
        <w:t>qualified institutional buyers</w:t>
      </w:r>
      <w:r w:rsidR="00F612A7" w:rsidRPr="00CA0A60">
        <w:rPr>
          <w:rFonts w:ascii="Garamond" w:eastAsia="Times New Roman" w:hAnsi="Garamond" w:cs="Times New Roman"/>
          <w:sz w:val="20"/>
          <w:szCs w:val="20"/>
          <w:lang w:val="es-AR" w:eastAsia="es-ES"/>
        </w:rPr>
        <w:t>”) (conforme se define en la Regla 144A de la Ley de Títulos Valores Estadounidense), en virtud de la exención de los requisitos de registro de la Ley de Títulos Valores Estadounidense sobre la base de la Regla 4(a)(2) de dicha ley, y (2) fuera de los Estados Unidos y de Argentina, a personas no estadounidenses (“</w:t>
      </w:r>
      <w:r w:rsidR="00F612A7" w:rsidRPr="00CA0A60">
        <w:rPr>
          <w:rFonts w:ascii="Garamond" w:eastAsia="Times New Roman" w:hAnsi="Garamond" w:cs="Times New Roman"/>
          <w:i/>
          <w:sz w:val="20"/>
          <w:szCs w:val="20"/>
          <w:lang w:val="es-AR" w:eastAsia="es-ES"/>
        </w:rPr>
        <w:t>non-U.S. persons</w:t>
      </w:r>
      <w:r w:rsidR="00F612A7" w:rsidRPr="00CA0A60">
        <w:rPr>
          <w:rFonts w:ascii="Garamond" w:eastAsia="Times New Roman" w:hAnsi="Garamond" w:cs="Times New Roman"/>
          <w:sz w:val="20"/>
          <w:szCs w:val="20"/>
          <w:lang w:val="es-AR" w:eastAsia="es-ES"/>
        </w:rPr>
        <w:t>”) en transacciones fuera de los Estados Unidos (“</w:t>
      </w:r>
      <w:r w:rsidR="00F612A7" w:rsidRPr="00CA0A60">
        <w:rPr>
          <w:rFonts w:ascii="Garamond" w:eastAsia="Times New Roman" w:hAnsi="Garamond" w:cs="Times New Roman"/>
          <w:i/>
          <w:sz w:val="20"/>
          <w:szCs w:val="20"/>
          <w:lang w:val="es-AR" w:eastAsia="es-ES"/>
        </w:rPr>
        <w:t>offshore transactions</w:t>
      </w:r>
      <w:r w:rsidR="00F612A7" w:rsidRPr="00CA0A60">
        <w:rPr>
          <w:rFonts w:ascii="Garamond" w:eastAsia="Times New Roman" w:hAnsi="Garamond" w:cs="Times New Roman"/>
          <w:sz w:val="20"/>
          <w:szCs w:val="20"/>
          <w:lang w:val="es-AR" w:eastAsia="es-ES"/>
        </w:rPr>
        <w:t>”) en virtud de la exención de los requisitos de registro de la Ley de Títulos Valores Estadounidense sobre la base de la Regulación S de dicha ley, (iii)</w:t>
      </w:r>
      <w:r w:rsidRPr="00CA0A60">
        <w:rPr>
          <w:rFonts w:ascii="Garamond" w:eastAsia="Times New Roman" w:hAnsi="Garamond" w:cs="Times New Roman"/>
          <w:sz w:val="20"/>
          <w:szCs w:val="20"/>
          <w:lang w:val="es-AR" w:eastAsia="es-ES"/>
        </w:rPr>
        <w:t xml:space="preserve"> </w:t>
      </w:r>
      <w:r w:rsidR="009105ED" w:rsidRPr="00CA0A60">
        <w:rPr>
          <w:rFonts w:ascii="Garamond" w:eastAsia="Times New Roman" w:hAnsi="Garamond" w:cs="Times New Roman"/>
          <w:sz w:val="20"/>
          <w:szCs w:val="20"/>
          <w:lang w:val="es-AR" w:eastAsia="es-ES"/>
        </w:rPr>
        <w:t xml:space="preserve">las </w:t>
      </w:r>
      <w:r w:rsidR="003503B0" w:rsidRPr="00CA0A60">
        <w:rPr>
          <w:rFonts w:ascii="Garamond" w:eastAsia="Times New Roman" w:hAnsi="Garamond" w:cs="Times New Roman"/>
          <w:sz w:val="20"/>
          <w:szCs w:val="20"/>
          <w:lang w:val="es-AR" w:eastAsia="es-ES"/>
        </w:rPr>
        <w:t>Declaraciones de Interés</w:t>
      </w:r>
      <w:r w:rsidRPr="00CA0A60">
        <w:rPr>
          <w:rFonts w:ascii="Garamond" w:eastAsia="Times New Roman" w:hAnsi="Garamond" w:cs="Times New Roman"/>
          <w:sz w:val="20"/>
          <w:szCs w:val="20"/>
          <w:lang w:val="es-AR" w:eastAsia="es-ES"/>
        </w:rPr>
        <w:t xml:space="preserve"> que presente </w:t>
      </w:r>
      <w:r w:rsidR="009105ED" w:rsidRPr="00CA0A60">
        <w:rPr>
          <w:rFonts w:ascii="Garamond" w:eastAsia="Times New Roman" w:hAnsi="Garamond" w:cs="Times New Roman"/>
          <w:sz w:val="20"/>
          <w:szCs w:val="20"/>
          <w:lang w:val="es-AR" w:eastAsia="es-ES"/>
        </w:rPr>
        <w:t xml:space="preserve">a </w:t>
      </w:r>
      <w:r w:rsidRPr="00CA0A60">
        <w:rPr>
          <w:rFonts w:ascii="Garamond" w:eastAsia="Times New Roman" w:hAnsi="Garamond" w:cs="Times New Roman"/>
          <w:sz w:val="20"/>
          <w:szCs w:val="20"/>
          <w:lang w:val="es-AR" w:eastAsia="es-ES"/>
        </w:rPr>
        <w:t>los Colocadores serán firmes y vinculantes y sin posibilidad de retirarlas y/o revocarlas;</w:t>
      </w:r>
    </w:p>
    <w:p w14:paraId="19219836" w14:textId="77777777" w:rsidR="00354069" w:rsidRPr="00CA0A60" w:rsidRDefault="00354069" w:rsidP="00B87409">
      <w:pPr>
        <w:autoSpaceDE w:val="0"/>
        <w:autoSpaceDN w:val="0"/>
        <w:adjustRightInd w:val="0"/>
        <w:spacing w:before="120" w:after="120" w:line="240" w:lineRule="auto"/>
        <w:ind w:left="426"/>
        <w:contextualSpacing/>
        <w:jc w:val="both"/>
        <w:rPr>
          <w:rFonts w:ascii="Garamond" w:eastAsia="Times New Roman" w:hAnsi="Garamond" w:cs="Times New Roman"/>
          <w:sz w:val="20"/>
          <w:szCs w:val="20"/>
          <w:lang w:val="es-AR" w:eastAsia="es-ES"/>
        </w:rPr>
      </w:pPr>
    </w:p>
    <w:p w14:paraId="67A9FD19" w14:textId="77777777" w:rsidR="00F612A7" w:rsidRPr="00CA0A60" w:rsidRDefault="00F612A7" w:rsidP="00F612A7">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conoce y acepta que las Obligaciones Negociables Clase II ofrecidas mediante la Oferta Internacional constituye una oferta que no viola la Ley de Títulos Valores Estadounidenses;</w:t>
      </w:r>
    </w:p>
    <w:p w14:paraId="296FEF7D"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2E5A2906" w14:textId="77777777" w:rsidR="00354069" w:rsidRPr="00CA0A60" w:rsidRDefault="00354069" w:rsidP="00060DAB">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conoce y acepta que ni la</w:t>
      </w:r>
      <w:r w:rsidR="002A230D" w:rsidRPr="00CA0A60">
        <w:rPr>
          <w:rFonts w:ascii="Garamond" w:eastAsia="Times New Roman" w:hAnsi="Garamond" w:cs="Times New Roman"/>
          <w:sz w:val="20"/>
          <w:szCs w:val="20"/>
          <w:lang w:val="es-AR" w:eastAsia="es-ES"/>
        </w:rPr>
        <w:t>s</w:t>
      </w:r>
      <w:r w:rsidRPr="00CA0A60">
        <w:rPr>
          <w:rFonts w:ascii="Garamond" w:eastAsia="Times New Roman" w:hAnsi="Garamond" w:cs="Times New Roman"/>
          <w:sz w:val="20"/>
          <w:szCs w:val="20"/>
          <w:lang w:val="es-AR" w:eastAsia="es-ES"/>
        </w:rPr>
        <w:t xml:space="preserve"> </w:t>
      </w:r>
      <w:r w:rsidR="002A230D" w:rsidRPr="00CA0A60">
        <w:rPr>
          <w:rFonts w:ascii="Garamond" w:eastAsia="Times New Roman" w:hAnsi="Garamond" w:cs="Times New Roman"/>
          <w:sz w:val="20"/>
          <w:szCs w:val="20"/>
          <w:lang w:val="es-AR" w:eastAsia="es-ES"/>
        </w:rPr>
        <w:t xml:space="preserve">Co-Emisoras </w:t>
      </w:r>
      <w:r w:rsidRPr="00CA0A60">
        <w:rPr>
          <w:rFonts w:ascii="Garamond" w:eastAsia="Times New Roman" w:hAnsi="Garamond" w:cs="Times New Roman"/>
          <w:sz w:val="20"/>
          <w:szCs w:val="20"/>
          <w:lang w:val="es-AR" w:eastAsia="es-ES"/>
        </w:rPr>
        <w:t xml:space="preserve">ni los Colocadores garantizan a los inversores que presenten las </w:t>
      </w:r>
      <w:r w:rsidR="003503B0" w:rsidRPr="00CA0A60">
        <w:rPr>
          <w:rFonts w:ascii="Garamond" w:eastAsia="Times New Roman" w:hAnsi="Garamond" w:cs="Times New Roman"/>
          <w:sz w:val="20"/>
          <w:szCs w:val="20"/>
          <w:lang w:val="es-AR" w:eastAsia="es-ES"/>
        </w:rPr>
        <w:t>Declaraciones de Interés</w:t>
      </w:r>
      <w:r w:rsidRPr="00CA0A60">
        <w:rPr>
          <w:rFonts w:ascii="Garamond" w:eastAsia="Times New Roman" w:hAnsi="Garamond" w:cs="Times New Roman"/>
          <w:sz w:val="20"/>
          <w:szCs w:val="20"/>
          <w:lang w:val="es-AR" w:eastAsia="es-ES"/>
        </w:rPr>
        <w:t xml:space="preserve">, que mediante el mecanismo de adjudicación descripto más abajo (i) se les adjudicarán Obligaciones Negociables Clase II; ni que (ii) se les adjudicará el mismo valor nominal de Obligaciones Negociables Clase II solicitado en la </w:t>
      </w:r>
      <w:r w:rsidR="003503B0" w:rsidRPr="00CA0A60">
        <w:rPr>
          <w:rFonts w:ascii="Garamond" w:eastAsia="Times New Roman" w:hAnsi="Garamond" w:cs="Times New Roman"/>
          <w:sz w:val="20"/>
          <w:szCs w:val="20"/>
          <w:lang w:val="es-AR" w:eastAsia="es-ES"/>
        </w:rPr>
        <w:t>Declaración de Interés</w:t>
      </w:r>
      <w:r w:rsidRPr="00CA0A60">
        <w:rPr>
          <w:rFonts w:ascii="Garamond" w:eastAsia="Times New Roman" w:hAnsi="Garamond" w:cs="Times New Roman"/>
          <w:sz w:val="20"/>
          <w:szCs w:val="20"/>
          <w:lang w:val="es-AR" w:eastAsia="es-ES"/>
        </w:rPr>
        <w:t xml:space="preserve">; </w:t>
      </w:r>
    </w:p>
    <w:p w14:paraId="7194DBDC"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3F3662D7" w14:textId="77777777" w:rsidR="00354069" w:rsidRPr="00CA0A60" w:rsidRDefault="00354069" w:rsidP="00060DAB">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conoce y acepta que la</w:t>
      </w:r>
      <w:r w:rsidR="008B7DC6" w:rsidRPr="00CA0A60">
        <w:rPr>
          <w:rFonts w:ascii="Garamond" w:eastAsia="Times New Roman" w:hAnsi="Garamond" w:cs="Times New Roman"/>
          <w:sz w:val="20"/>
          <w:szCs w:val="20"/>
          <w:lang w:val="es-AR" w:eastAsia="es-ES"/>
        </w:rPr>
        <w:t>s</w:t>
      </w:r>
      <w:r w:rsidRPr="00CA0A60">
        <w:rPr>
          <w:rFonts w:ascii="Garamond" w:eastAsia="Times New Roman" w:hAnsi="Garamond" w:cs="Times New Roman"/>
          <w:sz w:val="20"/>
          <w:szCs w:val="20"/>
          <w:lang w:val="es-AR" w:eastAsia="es-ES"/>
        </w:rPr>
        <w:t xml:space="preserve"> </w:t>
      </w:r>
      <w:r w:rsidR="008B7DC6" w:rsidRPr="00CA0A60">
        <w:rPr>
          <w:rFonts w:ascii="Garamond" w:eastAsia="Times New Roman" w:hAnsi="Garamond" w:cs="Times New Roman"/>
          <w:sz w:val="20"/>
          <w:szCs w:val="20"/>
          <w:lang w:val="es-AR" w:eastAsia="es-ES"/>
        </w:rPr>
        <w:t xml:space="preserve">Co-Emisoras </w:t>
      </w:r>
      <w:r w:rsidRPr="00CA0A60">
        <w:rPr>
          <w:rFonts w:ascii="Garamond" w:eastAsia="Times New Roman" w:hAnsi="Garamond" w:cs="Times New Roman"/>
          <w:sz w:val="20"/>
          <w:szCs w:val="20"/>
          <w:lang w:val="es-AR" w:eastAsia="es-ES"/>
        </w:rPr>
        <w:t xml:space="preserve">y los Colocadores tendrán derecho de rechazar cualquier </w:t>
      </w:r>
      <w:r w:rsidR="003503B0" w:rsidRPr="00CA0A60">
        <w:rPr>
          <w:rFonts w:ascii="Garamond" w:eastAsia="Times New Roman" w:hAnsi="Garamond" w:cs="Times New Roman"/>
          <w:sz w:val="20"/>
          <w:szCs w:val="20"/>
          <w:lang w:val="es-AR" w:eastAsia="es-ES"/>
        </w:rPr>
        <w:t>Declaración de Interés</w:t>
      </w:r>
      <w:r w:rsidRPr="00CA0A60">
        <w:rPr>
          <w:rFonts w:ascii="Garamond" w:eastAsia="Times New Roman" w:hAnsi="Garamond" w:cs="Times New Roman"/>
          <w:sz w:val="20"/>
          <w:szCs w:val="20"/>
          <w:lang w:val="es-AR" w:eastAsia="es-ES"/>
        </w:rPr>
        <w:t xml:space="preserve"> en los casos y con el alcance detallado en </w:t>
      </w:r>
      <w:r w:rsidR="00220792" w:rsidRPr="00CA0A60">
        <w:rPr>
          <w:rFonts w:ascii="Garamond" w:eastAsia="Times New Roman" w:hAnsi="Garamond" w:cs="Times New Roman"/>
          <w:sz w:val="20"/>
          <w:szCs w:val="20"/>
          <w:lang w:val="es-AR" w:eastAsia="es-ES"/>
        </w:rPr>
        <w:t xml:space="preserve">la sección </w:t>
      </w:r>
      <w:r w:rsidRPr="00CA0A60">
        <w:rPr>
          <w:rFonts w:ascii="Garamond" w:eastAsia="Times New Roman" w:hAnsi="Garamond" w:cs="Times New Roman"/>
          <w:sz w:val="20"/>
          <w:szCs w:val="20"/>
          <w:lang w:val="es-AR" w:eastAsia="es-ES"/>
        </w:rPr>
        <w:t>“</w:t>
      </w:r>
      <w:r w:rsidRPr="00CA0A60">
        <w:rPr>
          <w:rFonts w:ascii="Garamond" w:eastAsia="Times New Roman" w:hAnsi="Garamond" w:cs="Times New Roman"/>
          <w:i/>
          <w:sz w:val="20"/>
          <w:szCs w:val="20"/>
          <w:lang w:val="es-AR" w:eastAsia="es-ES"/>
        </w:rPr>
        <w:t>Plan de Distribución</w:t>
      </w:r>
      <w:r w:rsidRPr="00CA0A60">
        <w:rPr>
          <w:rFonts w:ascii="Garamond" w:eastAsia="Times New Roman" w:hAnsi="Garamond" w:cs="Times New Roman"/>
          <w:sz w:val="20"/>
          <w:szCs w:val="20"/>
          <w:lang w:val="es-AR" w:eastAsia="es-ES"/>
        </w:rPr>
        <w:t>” del presente Suplemento;</w:t>
      </w:r>
    </w:p>
    <w:p w14:paraId="769D0D3C"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65A97539" w14:textId="77777777" w:rsidR="00354069" w:rsidRPr="00CA0A60" w:rsidRDefault="00354069" w:rsidP="00060DAB">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acepta que la</w:t>
      </w:r>
      <w:r w:rsidR="00AC3103" w:rsidRPr="00CA0A60">
        <w:rPr>
          <w:rFonts w:ascii="Garamond" w:eastAsia="Times New Roman" w:hAnsi="Garamond" w:cs="Times New Roman"/>
          <w:sz w:val="20"/>
          <w:szCs w:val="20"/>
          <w:lang w:val="es-AR" w:eastAsia="es-ES"/>
        </w:rPr>
        <w:t>s</w:t>
      </w:r>
      <w:r w:rsidRPr="00CA0A60">
        <w:rPr>
          <w:rFonts w:ascii="Garamond" w:eastAsia="Times New Roman" w:hAnsi="Garamond" w:cs="Times New Roman"/>
          <w:sz w:val="20"/>
          <w:szCs w:val="20"/>
          <w:lang w:val="es-AR" w:eastAsia="es-ES"/>
        </w:rPr>
        <w:t xml:space="preserve"> </w:t>
      </w:r>
      <w:r w:rsidR="00AC3103" w:rsidRPr="00CA0A60">
        <w:rPr>
          <w:rFonts w:ascii="Garamond" w:eastAsia="Times New Roman" w:hAnsi="Garamond" w:cs="Times New Roman"/>
          <w:sz w:val="20"/>
          <w:szCs w:val="20"/>
          <w:lang w:val="es-AR" w:eastAsia="es-ES"/>
        </w:rPr>
        <w:t>Co-Emisoras</w:t>
      </w:r>
      <w:r w:rsidRPr="00CA0A60">
        <w:rPr>
          <w:rFonts w:ascii="Garamond" w:eastAsia="Times New Roman" w:hAnsi="Garamond" w:cs="Times New Roman"/>
          <w:sz w:val="20"/>
          <w:szCs w:val="20"/>
          <w:lang w:val="es-AR" w:eastAsia="es-ES"/>
        </w:rPr>
        <w:t>, conjuntamente con los Colocadores, podrán declarar desierta la colocación de las Obligaciones Negociables Clase II, en todos los casos detallados en el presente Suplemento;</w:t>
      </w:r>
    </w:p>
    <w:p w14:paraId="54CD245A"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3E8B5551" w14:textId="0B6A8560" w:rsidR="00354069" w:rsidRPr="00CA0A60" w:rsidRDefault="0050593A" w:rsidP="00060DAB">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 xml:space="preserve">no </w:t>
      </w:r>
      <w:r w:rsidR="00354069" w:rsidRPr="00CA0A60">
        <w:rPr>
          <w:rFonts w:ascii="Garamond" w:eastAsia="Times New Roman" w:hAnsi="Garamond" w:cs="Times New Roman"/>
          <w:sz w:val="20"/>
          <w:szCs w:val="20"/>
          <w:lang w:val="es-AR" w:eastAsia="es-ES"/>
        </w:rPr>
        <w:t>se encuentra radicado en un país considerado “</w:t>
      </w:r>
      <w:r w:rsidR="00027D9E" w:rsidRPr="00CA0A60">
        <w:rPr>
          <w:rFonts w:ascii="Garamond" w:eastAsia="Times New Roman" w:hAnsi="Garamond" w:cs="Times New Roman"/>
          <w:sz w:val="20"/>
          <w:szCs w:val="20"/>
          <w:lang w:val="es-AR" w:eastAsia="es-ES"/>
        </w:rPr>
        <w:t xml:space="preserve">no </w:t>
      </w:r>
      <w:r w:rsidR="00354069" w:rsidRPr="00CA0A60">
        <w:rPr>
          <w:rFonts w:ascii="Garamond" w:eastAsia="Times New Roman" w:hAnsi="Garamond" w:cs="Times New Roman"/>
          <w:sz w:val="20"/>
          <w:szCs w:val="20"/>
          <w:lang w:val="es-AR" w:eastAsia="es-ES"/>
        </w:rPr>
        <w:t>cooperador a los fines de la transparencia fiscal” en los términos d</w:t>
      </w:r>
      <w:r w:rsidR="00354069" w:rsidRPr="00CA0A60">
        <w:rPr>
          <w:rFonts w:ascii="Garamond" w:eastAsia="Times New Roman" w:hAnsi="Garamond" w:cs="Times New Roman"/>
          <w:sz w:val="20"/>
          <w:szCs w:val="20"/>
          <w:lang w:val="es-AR"/>
        </w:rPr>
        <w:t xml:space="preserve">el artículo 15 de la Ley de Impuesto a las Ganancias </w:t>
      </w:r>
      <w:r w:rsidR="00354069" w:rsidRPr="00CA0A60">
        <w:rPr>
          <w:rFonts w:ascii="Garamond" w:eastAsia="Times New Roman" w:hAnsi="Garamond" w:cs="Times New Roman"/>
          <w:bCs/>
          <w:iCs/>
          <w:sz w:val="20"/>
          <w:szCs w:val="20"/>
          <w:lang w:val="es-AR"/>
        </w:rPr>
        <w:t>y el Decreto N° 589/2013</w:t>
      </w:r>
      <w:r w:rsidR="00354069" w:rsidRPr="00CA0A60">
        <w:rPr>
          <w:rFonts w:ascii="Garamond" w:eastAsia="Times New Roman" w:hAnsi="Garamond" w:cs="Times New Roman"/>
          <w:sz w:val="20"/>
          <w:szCs w:val="20"/>
          <w:lang w:val="es-AR" w:eastAsia="es-ES"/>
        </w:rPr>
        <w:t xml:space="preserve">, </w:t>
      </w:r>
      <w:r w:rsidR="00131A86" w:rsidRPr="00CA0A60">
        <w:rPr>
          <w:rFonts w:ascii="Garamond" w:eastAsia="Times New Roman" w:hAnsi="Garamond" w:cs="Times New Roman"/>
          <w:sz w:val="20"/>
          <w:szCs w:val="20"/>
          <w:lang w:val="es-AR" w:eastAsia="es-ES"/>
        </w:rPr>
        <w:t xml:space="preserve">y </w:t>
      </w:r>
      <w:r w:rsidR="00354069" w:rsidRPr="00CA0A60">
        <w:rPr>
          <w:rFonts w:ascii="Garamond" w:eastAsia="Times New Roman" w:hAnsi="Garamond" w:cs="Times New Roman"/>
          <w:sz w:val="20"/>
          <w:szCs w:val="20"/>
          <w:lang w:val="es-AR" w:eastAsia="es-ES"/>
        </w:rPr>
        <w:t>n</w:t>
      </w:r>
      <w:r w:rsidR="00131A86" w:rsidRPr="00CA0A60">
        <w:rPr>
          <w:rFonts w:ascii="Garamond" w:eastAsia="Times New Roman" w:hAnsi="Garamond" w:cs="Times New Roman"/>
          <w:sz w:val="20"/>
          <w:szCs w:val="20"/>
          <w:lang w:val="es-AR" w:eastAsia="es-ES"/>
        </w:rPr>
        <w:t>o</w:t>
      </w:r>
      <w:r w:rsidR="00354069" w:rsidRPr="00CA0A60">
        <w:rPr>
          <w:rFonts w:ascii="Garamond" w:eastAsia="Times New Roman" w:hAnsi="Garamond" w:cs="Times New Roman"/>
          <w:sz w:val="20"/>
          <w:szCs w:val="20"/>
          <w:lang w:val="es-AR" w:eastAsia="es-ES"/>
        </w:rPr>
        <w:t xml:space="preserve"> utiliza cuentas pertenecientes a entidades financieras radicadas en</w:t>
      </w:r>
      <w:r w:rsidR="004D590A" w:rsidRPr="00CA0A60">
        <w:rPr>
          <w:rFonts w:ascii="Garamond" w:eastAsia="Times New Roman" w:hAnsi="Garamond" w:cs="Times New Roman"/>
          <w:sz w:val="20"/>
          <w:szCs w:val="20"/>
          <w:lang w:val="es-AR" w:eastAsia="es-ES"/>
        </w:rPr>
        <w:t>, o fondos provenientes de,</w:t>
      </w:r>
      <w:r w:rsidR="00354069" w:rsidRPr="00CA0A60">
        <w:rPr>
          <w:rFonts w:ascii="Garamond" w:eastAsia="Times New Roman" w:hAnsi="Garamond" w:cs="Times New Roman"/>
          <w:sz w:val="20"/>
          <w:szCs w:val="20"/>
          <w:lang w:val="es-AR" w:eastAsia="es-ES"/>
        </w:rPr>
        <w:t xml:space="preserve"> países </w:t>
      </w:r>
      <w:r w:rsidR="00AE7BC8" w:rsidRPr="00CA0A60">
        <w:rPr>
          <w:rFonts w:ascii="Garamond" w:eastAsia="Times New Roman" w:hAnsi="Garamond" w:cs="Times New Roman"/>
          <w:sz w:val="20"/>
          <w:szCs w:val="20"/>
          <w:lang w:val="es-AR" w:eastAsia="es-ES"/>
        </w:rPr>
        <w:t xml:space="preserve">considerados </w:t>
      </w:r>
      <w:r w:rsidR="00027D9E" w:rsidRPr="00CA0A60">
        <w:rPr>
          <w:rFonts w:ascii="Garamond" w:eastAsia="Times New Roman" w:hAnsi="Garamond" w:cs="Times New Roman"/>
          <w:sz w:val="20"/>
          <w:szCs w:val="20"/>
          <w:lang w:val="es-AR" w:eastAsia="es-ES"/>
        </w:rPr>
        <w:t xml:space="preserve">y/o “no cooperador a los fines de la transparencia fiscal” </w:t>
      </w:r>
      <w:r w:rsidR="00354069" w:rsidRPr="00CA0A60">
        <w:rPr>
          <w:rFonts w:ascii="Garamond" w:eastAsia="Times New Roman" w:hAnsi="Garamond" w:cs="Times New Roman"/>
          <w:sz w:val="20"/>
          <w:szCs w:val="20"/>
          <w:lang w:val="es-AR" w:eastAsia="es-ES"/>
        </w:rPr>
        <w:t>a efectos de realizar la suscripción e integración de las Obligaciones Negociables Clase II;</w:t>
      </w:r>
    </w:p>
    <w:p w14:paraId="1231BE67"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7F7DECF5" w14:textId="77777777" w:rsidR="00354069" w:rsidRPr="00CA0A60" w:rsidRDefault="00354069" w:rsidP="00060DAB">
      <w:pPr>
        <w:numPr>
          <w:ilvl w:val="0"/>
          <w:numId w:val="1"/>
        </w:numPr>
        <w:autoSpaceDE w:val="0"/>
        <w:autoSpaceDN w:val="0"/>
        <w:adjustRightInd w:val="0"/>
        <w:spacing w:before="120" w:after="120" w:line="240" w:lineRule="auto"/>
        <w:ind w:left="426" w:hanging="426"/>
        <w:contextualSpacing/>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(a) los fondos y valores que corresponden a la suscripción de las Obligaciones Negociables Clase II son provenientes de actividades lícitas relacionadas con su actividad; (b) que la informaci</w:t>
      </w:r>
      <w:r w:rsidR="004D590A" w:rsidRPr="00CA0A60">
        <w:rPr>
          <w:rFonts w:ascii="Garamond" w:eastAsia="Times New Roman" w:hAnsi="Garamond" w:cs="Times New Roman"/>
          <w:sz w:val="20"/>
          <w:szCs w:val="20"/>
          <w:lang w:val="es-AR" w:eastAsia="es-ES"/>
        </w:rPr>
        <w:t>ón</w:t>
      </w:r>
      <w:r w:rsidRPr="00CA0A60">
        <w:rPr>
          <w:rFonts w:ascii="Garamond" w:eastAsia="Times New Roman" w:hAnsi="Garamond" w:cs="Times New Roman"/>
          <w:sz w:val="20"/>
          <w:szCs w:val="20"/>
          <w:lang w:val="es-AR" w:eastAsia="es-ES"/>
        </w:rPr>
        <w:t xml:space="preserve"> consignada en las </w:t>
      </w:r>
      <w:r w:rsidR="003503B0" w:rsidRPr="00CA0A60">
        <w:rPr>
          <w:rFonts w:ascii="Garamond" w:eastAsia="Times New Roman" w:hAnsi="Garamond" w:cs="Times New Roman"/>
          <w:sz w:val="20"/>
          <w:szCs w:val="20"/>
          <w:lang w:val="es-AR" w:eastAsia="es-ES"/>
        </w:rPr>
        <w:t>Declaraciones de Interés</w:t>
      </w:r>
      <w:r w:rsidRPr="00CA0A60">
        <w:rPr>
          <w:rFonts w:ascii="Garamond" w:eastAsia="Times New Roman" w:hAnsi="Garamond" w:cs="Times New Roman"/>
          <w:sz w:val="20"/>
          <w:szCs w:val="20"/>
          <w:lang w:val="es-AR" w:eastAsia="es-ES"/>
        </w:rPr>
        <w:t xml:space="preserve"> y para los registros de los Colocadores, </w:t>
      </w:r>
      <w:r w:rsidR="004D590A" w:rsidRPr="00CA0A60">
        <w:rPr>
          <w:rFonts w:ascii="Garamond" w:eastAsia="Times New Roman" w:hAnsi="Garamond" w:cs="Times New Roman"/>
          <w:sz w:val="20"/>
          <w:szCs w:val="20"/>
          <w:lang w:val="es-AR" w:eastAsia="es-ES"/>
        </w:rPr>
        <w:t xml:space="preserve">es </w:t>
      </w:r>
      <w:r w:rsidRPr="00CA0A60">
        <w:rPr>
          <w:rFonts w:ascii="Garamond" w:eastAsia="Times New Roman" w:hAnsi="Garamond" w:cs="Times New Roman"/>
          <w:sz w:val="20"/>
          <w:szCs w:val="20"/>
          <w:lang w:val="es-AR" w:eastAsia="es-ES"/>
        </w:rPr>
        <w:t xml:space="preserve">exacta y verdadera, y (iii) que tiene conocimiento de la </w:t>
      </w:r>
      <w:r w:rsidRPr="00CA0A60">
        <w:rPr>
          <w:rFonts w:ascii="Garamond" w:eastAsia="Times New Roman" w:hAnsi="Garamond" w:cs="Times New Roman"/>
          <w:sz w:val="20"/>
          <w:szCs w:val="20"/>
          <w:lang w:val="es-AR"/>
        </w:rPr>
        <w:t xml:space="preserve">normativa sobre encubrimiento y lavado de activos regulada por la Ley </w:t>
      </w:r>
      <w:r w:rsidR="00942DA6" w:rsidRPr="00CA0A60">
        <w:rPr>
          <w:rFonts w:ascii="Garamond" w:eastAsia="Times New Roman" w:hAnsi="Garamond" w:cs="Times New Roman"/>
          <w:sz w:val="20"/>
          <w:szCs w:val="20"/>
          <w:lang w:val="es-AR"/>
        </w:rPr>
        <w:t>de Prevención de Lavado de Activos</w:t>
      </w:r>
      <w:r w:rsidR="00FF09B2" w:rsidRPr="00CA0A60">
        <w:rPr>
          <w:rFonts w:ascii="Garamond" w:eastAsia="Times New Roman" w:hAnsi="Garamond" w:cs="Times New Roman"/>
          <w:sz w:val="20"/>
          <w:szCs w:val="20"/>
          <w:lang w:val="es-AR"/>
        </w:rPr>
        <w:t xml:space="preserve"> y no usa fondos provenientes de países de </w:t>
      </w:r>
      <w:r w:rsidR="00CD2DF5" w:rsidRPr="00CA0A60">
        <w:rPr>
          <w:rFonts w:ascii="Garamond" w:eastAsia="Times New Roman" w:hAnsi="Garamond" w:cs="Times New Roman"/>
          <w:sz w:val="20"/>
          <w:szCs w:val="20"/>
          <w:lang w:val="es-AR"/>
        </w:rPr>
        <w:t>“baja o nula tributación”</w:t>
      </w:r>
      <w:r w:rsidRPr="00CA0A60">
        <w:rPr>
          <w:rFonts w:ascii="Garamond" w:eastAsia="Times New Roman" w:hAnsi="Garamond" w:cs="Times New Roman"/>
          <w:sz w:val="20"/>
          <w:szCs w:val="20"/>
          <w:lang w:val="es-AR"/>
        </w:rPr>
        <w:t>;</w:t>
      </w:r>
    </w:p>
    <w:p w14:paraId="36FEB5B0" w14:textId="77777777" w:rsidR="00354069" w:rsidRPr="00CA0A60" w:rsidRDefault="00354069" w:rsidP="00060DAB">
      <w:pPr>
        <w:autoSpaceDE w:val="0"/>
        <w:autoSpaceDN w:val="0"/>
        <w:adjustRightInd w:val="0"/>
        <w:spacing w:before="120" w:after="120" w:line="240" w:lineRule="auto"/>
        <w:contextualSpacing/>
        <w:jc w:val="both"/>
        <w:rPr>
          <w:rFonts w:ascii="Garamond" w:eastAsia="Times New Roman" w:hAnsi="Garamond" w:cs="Times New Roman"/>
          <w:b/>
          <w:sz w:val="20"/>
          <w:szCs w:val="20"/>
          <w:lang w:val="es-AR" w:eastAsia="es-ES"/>
        </w:rPr>
      </w:pPr>
    </w:p>
    <w:p w14:paraId="43AEE413" w14:textId="77777777" w:rsidR="00D60A13" w:rsidRPr="00CA0A60" w:rsidRDefault="00354069" w:rsidP="00DE0516">
      <w:pPr>
        <w:numPr>
          <w:ilvl w:val="0"/>
          <w:numId w:val="1"/>
        </w:numPr>
        <w:autoSpaceDE w:val="0"/>
        <w:autoSpaceDN w:val="0"/>
        <w:adjustRightInd w:val="0"/>
        <w:spacing w:after="0" w:line="240" w:lineRule="auto"/>
        <w:ind w:left="426" w:hanging="426"/>
        <w:jc w:val="both"/>
        <w:rPr>
          <w:rFonts w:ascii="Garamond" w:eastAsia="Times New Roman" w:hAnsi="Garamond" w:cs="Times New Roman"/>
          <w:b/>
          <w:sz w:val="20"/>
          <w:szCs w:val="20"/>
          <w:lang w:val="es-AR" w:eastAsia="es-ES"/>
        </w:rPr>
      </w:pPr>
      <w:r w:rsidRPr="00CA0A60">
        <w:rPr>
          <w:rFonts w:ascii="Garamond" w:eastAsia="Times New Roman" w:hAnsi="Garamond" w:cs="Times New Roman"/>
          <w:sz w:val="20"/>
          <w:szCs w:val="20"/>
          <w:lang w:val="es-AR" w:eastAsia="es-ES"/>
        </w:rPr>
        <w:t>conoce y acepta que, en caso que las Obligaciones Negociables Clase II no sean integradas en la forma prevista en la sección “</w:t>
      </w:r>
      <w:r w:rsidRPr="00CA0A60">
        <w:rPr>
          <w:rFonts w:ascii="Garamond" w:eastAsia="Times New Roman" w:hAnsi="Garamond" w:cs="Times New Roman"/>
          <w:i/>
          <w:sz w:val="20"/>
          <w:szCs w:val="20"/>
          <w:lang w:val="es-AR" w:eastAsia="es-ES"/>
        </w:rPr>
        <w:t>Plan de Distribución</w:t>
      </w:r>
      <w:r w:rsidRPr="00CA0A60">
        <w:rPr>
          <w:rFonts w:ascii="Garamond" w:eastAsia="Times New Roman" w:hAnsi="Garamond" w:cs="Times New Roman"/>
          <w:sz w:val="20"/>
          <w:szCs w:val="20"/>
          <w:lang w:val="es-AR" w:eastAsia="es-ES"/>
        </w:rPr>
        <w:t>”</w:t>
      </w:r>
      <w:r w:rsidR="00942DA6" w:rsidRPr="00CA0A60">
        <w:rPr>
          <w:rFonts w:ascii="Garamond" w:eastAsia="Times New Roman" w:hAnsi="Garamond" w:cs="Times New Roman"/>
          <w:sz w:val="20"/>
          <w:szCs w:val="20"/>
          <w:lang w:val="es-AR" w:eastAsia="es-ES"/>
        </w:rPr>
        <w:t xml:space="preserve"> en el presente Suplemento</w:t>
      </w:r>
      <w:r w:rsidRPr="00CA0A60">
        <w:rPr>
          <w:rFonts w:ascii="Garamond" w:eastAsia="Times New Roman" w:hAnsi="Garamond" w:cs="Times New Roman"/>
          <w:sz w:val="20"/>
          <w:szCs w:val="20"/>
          <w:lang w:val="es-AR" w:eastAsia="es-ES"/>
        </w:rPr>
        <w:t>, los Colocadores procederán según las instrucciones que les imparta</w:t>
      </w:r>
      <w:r w:rsidR="0060792A" w:rsidRPr="00CA0A60">
        <w:rPr>
          <w:rFonts w:ascii="Garamond" w:eastAsia="Times New Roman" w:hAnsi="Garamond" w:cs="Times New Roman"/>
          <w:sz w:val="20"/>
          <w:szCs w:val="20"/>
          <w:lang w:val="es-AR" w:eastAsia="es-ES"/>
        </w:rPr>
        <w:t>n</w:t>
      </w:r>
      <w:r w:rsidRPr="00CA0A60">
        <w:rPr>
          <w:rFonts w:ascii="Garamond" w:eastAsia="Times New Roman" w:hAnsi="Garamond" w:cs="Times New Roman"/>
          <w:sz w:val="20"/>
          <w:szCs w:val="20"/>
          <w:lang w:val="es-AR" w:eastAsia="es-ES"/>
        </w:rPr>
        <w:t xml:space="preserve"> la</w:t>
      </w:r>
      <w:r w:rsidR="0060792A" w:rsidRPr="00CA0A60">
        <w:rPr>
          <w:rFonts w:ascii="Garamond" w:eastAsia="Times New Roman" w:hAnsi="Garamond" w:cs="Times New Roman"/>
          <w:sz w:val="20"/>
          <w:szCs w:val="20"/>
          <w:lang w:val="es-AR" w:eastAsia="es-ES"/>
        </w:rPr>
        <w:t>s</w:t>
      </w:r>
      <w:r w:rsidRPr="00CA0A60">
        <w:rPr>
          <w:rFonts w:ascii="Garamond" w:eastAsia="Times New Roman" w:hAnsi="Garamond" w:cs="Times New Roman"/>
          <w:sz w:val="20"/>
          <w:szCs w:val="20"/>
          <w:lang w:val="es-AR" w:eastAsia="es-ES"/>
        </w:rPr>
        <w:t xml:space="preserve"> </w:t>
      </w:r>
      <w:r w:rsidR="0060792A" w:rsidRPr="00CA0A60">
        <w:rPr>
          <w:rFonts w:ascii="Garamond" w:eastAsia="Times New Roman" w:hAnsi="Garamond" w:cs="Times New Roman"/>
          <w:sz w:val="20"/>
          <w:szCs w:val="20"/>
          <w:lang w:val="es-AR" w:eastAsia="es-ES"/>
        </w:rPr>
        <w:t>Co-Emisoras</w:t>
      </w:r>
      <w:r w:rsidRPr="00CA0A60">
        <w:rPr>
          <w:rFonts w:ascii="Garamond" w:eastAsia="Times New Roman" w:hAnsi="Garamond" w:cs="Times New Roman"/>
          <w:sz w:val="20"/>
          <w:szCs w:val="20"/>
          <w:lang w:val="es-AR" w:eastAsia="es-ES"/>
        </w:rPr>
        <w:t>, que podrán incluir, entre otras, la pérdida por parte de los inversores incumplidores del derecho de suscribir las Obligaciones Negociables Clase II en cuestión sin necesidad de otorgarle la posibilidad de remediar su incumplimiento</w:t>
      </w:r>
      <w:r w:rsidR="00CD2DF5" w:rsidRPr="00CA0A60">
        <w:rPr>
          <w:rFonts w:ascii="Garamond" w:eastAsia="Times New Roman" w:hAnsi="Garamond" w:cs="Times New Roman"/>
          <w:sz w:val="20"/>
          <w:szCs w:val="20"/>
          <w:lang w:val="es-AR" w:eastAsia="es-ES"/>
        </w:rPr>
        <w:t xml:space="preserve">; </w:t>
      </w:r>
    </w:p>
    <w:p w14:paraId="30D7AA69" w14:textId="77777777" w:rsidR="00223E71" w:rsidRPr="00CA0A60" w:rsidRDefault="00223E71" w:rsidP="00DE0516">
      <w:pPr>
        <w:autoSpaceDE w:val="0"/>
        <w:autoSpaceDN w:val="0"/>
        <w:adjustRightInd w:val="0"/>
        <w:spacing w:after="0" w:line="240" w:lineRule="auto"/>
        <w:ind w:left="426"/>
        <w:jc w:val="both"/>
        <w:rPr>
          <w:rFonts w:ascii="Garamond" w:eastAsia="Times New Roman" w:hAnsi="Garamond" w:cs="Times New Roman"/>
          <w:b/>
          <w:sz w:val="20"/>
          <w:szCs w:val="20"/>
          <w:lang w:val="es-AR" w:eastAsia="es-ES"/>
        </w:rPr>
      </w:pPr>
    </w:p>
    <w:p w14:paraId="4C6960C4" w14:textId="77777777" w:rsidR="00C7497A" w:rsidRPr="00CA0A60" w:rsidRDefault="00C7497A" w:rsidP="00DE0516">
      <w:pPr>
        <w:numPr>
          <w:ilvl w:val="0"/>
          <w:numId w:val="1"/>
        </w:numPr>
        <w:autoSpaceDE w:val="0"/>
        <w:autoSpaceDN w:val="0"/>
        <w:adjustRightInd w:val="0"/>
        <w:spacing w:after="0" w:line="240" w:lineRule="auto"/>
        <w:ind w:left="426" w:hanging="426"/>
        <w:jc w:val="both"/>
        <w:rPr>
          <w:rFonts w:ascii="Garamond" w:eastAsia="Times New Roman" w:hAnsi="Garamond" w:cs="Times New Roman"/>
          <w:b/>
          <w:sz w:val="20"/>
          <w:szCs w:val="20"/>
          <w:lang w:val="es-AR" w:eastAsia="es-ES"/>
        </w:rPr>
      </w:pPr>
      <w:r w:rsidRPr="00CA0A60">
        <w:rPr>
          <w:rFonts w:ascii="Garamond" w:eastAsia="Times New Roman" w:hAnsi="Garamond" w:cs="Times New Roman"/>
          <w:sz w:val="20"/>
          <w:szCs w:val="20"/>
          <w:lang w:val="es-AR" w:eastAsia="es-ES"/>
        </w:rPr>
        <w:t xml:space="preserve">conoce y acepta las restricciones a la transferencia de las Obligaciones Negociables Clase II previstas bajo la sección </w:t>
      </w:r>
      <w:r w:rsidRPr="00CA0A60">
        <w:rPr>
          <w:rFonts w:ascii="Garamond" w:hAnsi="Garamond"/>
          <w:i/>
          <w:sz w:val="20"/>
          <w:lang w:val="es-AR"/>
        </w:rPr>
        <w:t>“</w:t>
      </w:r>
      <w:r w:rsidRPr="00CA0A60">
        <w:rPr>
          <w:rFonts w:ascii="Garamond" w:eastAsia="Times New Roman" w:hAnsi="Garamond" w:cs="Times New Roman"/>
          <w:i/>
          <w:sz w:val="20"/>
          <w:szCs w:val="20"/>
          <w:lang w:val="es-AR" w:eastAsia="es-ES"/>
        </w:rPr>
        <w:t>Restricciones a la Transferencia</w:t>
      </w:r>
      <w:r w:rsidRPr="00CA0A60">
        <w:rPr>
          <w:rFonts w:ascii="Garamond" w:eastAsia="Times New Roman" w:hAnsi="Garamond" w:cs="Times New Roman"/>
          <w:sz w:val="20"/>
          <w:szCs w:val="20"/>
          <w:lang w:val="es-AR" w:eastAsia="es-ES"/>
        </w:rPr>
        <w:t>” más adelante en el presente Suplemento</w:t>
      </w:r>
      <w:r w:rsidR="00F51B42" w:rsidRPr="00CA0A60">
        <w:rPr>
          <w:rFonts w:ascii="Garamond" w:eastAsia="Times New Roman" w:hAnsi="Garamond" w:cs="Times New Roman"/>
          <w:sz w:val="20"/>
          <w:szCs w:val="20"/>
          <w:lang w:val="es-AR" w:eastAsia="es-ES"/>
        </w:rPr>
        <w:t>;</w:t>
      </w:r>
    </w:p>
    <w:p w14:paraId="7196D064" w14:textId="77777777" w:rsidR="00F51B42" w:rsidRPr="00CA0A60" w:rsidRDefault="00F51B42" w:rsidP="00DE0516">
      <w:pPr>
        <w:pStyle w:val="Prrafodelista"/>
        <w:spacing w:after="0" w:line="240" w:lineRule="auto"/>
        <w:contextualSpacing w:val="0"/>
        <w:rPr>
          <w:rFonts w:ascii="Garamond" w:eastAsia="Times New Roman" w:hAnsi="Garamond" w:cs="Times New Roman"/>
          <w:b/>
          <w:sz w:val="20"/>
          <w:szCs w:val="20"/>
          <w:lang w:val="es-AR" w:eastAsia="es-ES"/>
        </w:rPr>
      </w:pPr>
    </w:p>
    <w:p w14:paraId="0AFBB32E" w14:textId="313F0DF6" w:rsidR="00F51B42" w:rsidRPr="00CA3A3D" w:rsidRDefault="00F51B42" w:rsidP="00DE0516">
      <w:pPr>
        <w:numPr>
          <w:ilvl w:val="0"/>
          <w:numId w:val="1"/>
        </w:numPr>
        <w:autoSpaceDE w:val="0"/>
        <w:autoSpaceDN w:val="0"/>
        <w:adjustRightInd w:val="0"/>
        <w:spacing w:after="0" w:line="240" w:lineRule="auto"/>
        <w:ind w:left="426" w:hanging="426"/>
        <w:jc w:val="both"/>
        <w:rPr>
          <w:rFonts w:ascii="Garamond" w:eastAsia="Times New Roman" w:hAnsi="Garamond" w:cs="Times New Roman"/>
          <w:sz w:val="20"/>
          <w:szCs w:val="20"/>
          <w:lang w:val="es-AR" w:eastAsia="es-ES"/>
        </w:rPr>
      </w:pPr>
      <w:r w:rsidRPr="00CA0A60">
        <w:rPr>
          <w:rFonts w:ascii="Garamond" w:eastAsia="Times New Roman" w:hAnsi="Garamond" w:cs="Times New Roman"/>
          <w:sz w:val="20"/>
          <w:szCs w:val="20"/>
          <w:lang w:val="es-AR" w:eastAsia="es-ES"/>
        </w:rPr>
        <w:t xml:space="preserve">entiende y acepta que ciertos </w:t>
      </w:r>
      <w:r w:rsidR="00DE503D" w:rsidRPr="00CA0A60">
        <w:rPr>
          <w:rFonts w:ascii="Garamond" w:eastAsia="Times New Roman" w:hAnsi="Garamond" w:cs="Times New Roman"/>
          <w:sz w:val="20"/>
          <w:szCs w:val="20"/>
          <w:lang w:val="es-AR" w:eastAsia="es-ES"/>
        </w:rPr>
        <w:t>Derechos de Garantía</w:t>
      </w:r>
      <w:r w:rsidR="00020E30" w:rsidRPr="00CA0A60">
        <w:rPr>
          <w:rFonts w:ascii="Garamond" w:eastAsia="Times New Roman" w:hAnsi="Garamond" w:cs="Times New Roman"/>
          <w:sz w:val="20"/>
          <w:szCs w:val="20"/>
          <w:lang w:val="es-AR" w:eastAsia="es-ES"/>
        </w:rPr>
        <w:t xml:space="preserve"> relacionados a los </w:t>
      </w:r>
      <w:r w:rsidR="00B816E3" w:rsidRPr="00CA0A60">
        <w:rPr>
          <w:rFonts w:ascii="Garamond" w:eastAsia="Times New Roman" w:hAnsi="Garamond" w:cs="Times New Roman"/>
          <w:sz w:val="20"/>
          <w:szCs w:val="20"/>
          <w:lang w:val="es-AR" w:eastAsia="es-ES"/>
        </w:rPr>
        <w:t>CCEE de Siemens</w:t>
      </w:r>
      <w:r w:rsidR="00020E30" w:rsidRPr="00CA0A60">
        <w:rPr>
          <w:rFonts w:ascii="Garamond" w:eastAsia="Times New Roman" w:hAnsi="Garamond" w:cs="Times New Roman"/>
          <w:sz w:val="20"/>
          <w:szCs w:val="20"/>
          <w:lang w:val="es-AR" w:eastAsia="es-ES"/>
        </w:rPr>
        <w:t xml:space="preserve"> y a los </w:t>
      </w:r>
      <w:r w:rsidR="009109A7" w:rsidRPr="00CA0A60">
        <w:rPr>
          <w:rFonts w:ascii="Garamond" w:eastAsia="Times New Roman" w:hAnsi="Garamond" w:cs="Times New Roman"/>
          <w:sz w:val="20"/>
          <w:szCs w:val="20"/>
          <w:lang w:val="es-AR" w:eastAsia="es-ES"/>
        </w:rPr>
        <w:t>Equipos de Siemens</w:t>
      </w:r>
      <w:r w:rsidR="00DE503D" w:rsidRPr="00CA0A60">
        <w:rPr>
          <w:rFonts w:ascii="Garamond" w:eastAsia="Times New Roman" w:hAnsi="Garamond" w:cs="Times New Roman"/>
          <w:sz w:val="20"/>
          <w:szCs w:val="20"/>
          <w:lang w:val="es-AR" w:eastAsia="es-ES"/>
        </w:rPr>
        <w:t xml:space="preserve"> </w:t>
      </w:r>
      <w:r w:rsidRPr="00CA0A60">
        <w:rPr>
          <w:rFonts w:ascii="Garamond" w:eastAsia="Times New Roman" w:hAnsi="Garamond" w:cs="Times New Roman"/>
          <w:sz w:val="20"/>
          <w:szCs w:val="20"/>
          <w:lang w:val="es-AR" w:eastAsia="es-ES"/>
        </w:rPr>
        <w:t>s</w:t>
      </w:r>
      <w:r w:rsidR="00B35C5B" w:rsidRPr="00CA0A60">
        <w:rPr>
          <w:rFonts w:ascii="Garamond" w:eastAsia="Times New Roman" w:hAnsi="Garamond" w:cs="Times New Roman"/>
          <w:sz w:val="20"/>
          <w:szCs w:val="20"/>
          <w:lang w:val="es-AR" w:eastAsia="es-ES"/>
        </w:rPr>
        <w:t>erán inicialmente</w:t>
      </w:r>
      <w:r w:rsidRPr="00CA0A60">
        <w:rPr>
          <w:rFonts w:ascii="Garamond" w:eastAsia="Times New Roman" w:hAnsi="Garamond" w:cs="Times New Roman"/>
          <w:sz w:val="20"/>
          <w:szCs w:val="20"/>
          <w:lang w:val="es-AR" w:eastAsia="es-ES"/>
        </w:rPr>
        <w:t xml:space="preserve"> compartidos con terceros acreedores, tal como se describe en la sección </w:t>
      </w:r>
      <w:r w:rsidR="00D00ACF" w:rsidRPr="00CA0A60">
        <w:rPr>
          <w:rFonts w:ascii="Garamond" w:hAnsi="Garamond"/>
          <w:sz w:val="20"/>
          <w:szCs w:val="20"/>
          <w:lang w:val="es-AR"/>
        </w:rPr>
        <w:t>“</w:t>
      </w:r>
      <w:r w:rsidR="00D00ACF" w:rsidRPr="00CA0A60">
        <w:rPr>
          <w:rFonts w:ascii="Garamond" w:hAnsi="Garamond"/>
          <w:i/>
          <w:sz w:val="20"/>
          <w:szCs w:val="20"/>
          <w:lang w:val="es-AR"/>
        </w:rPr>
        <w:t>Descripción de la Oferta</w:t>
      </w:r>
      <w:r w:rsidR="00C25C8F" w:rsidRPr="00CA0A60">
        <w:rPr>
          <w:rFonts w:ascii="Garamond" w:hAnsi="Garamond"/>
          <w:i/>
          <w:sz w:val="20"/>
          <w:szCs w:val="20"/>
          <w:lang w:val="es-AR"/>
        </w:rPr>
        <w:t xml:space="preserve"> – </w:t>
      </w:r>
      <w:r w:rsidR="00D00ACF" w:rsidRPr="00CA0A60">
        <w:rPr>
          <w:rFonts w:ascii="Garamond" w:hAnsi="Garamond"/>
          <w:i/>
          <w:sz w:val="20"/>
          <w:szCs w:val="20"/>
          <w:lang w:val="es-AR"/>
        </w:rPr>
        <w:t xml:space="preserve">Descripción de las Obligaciones Negociables – </w:t>
      </w:r>
      <w:r w:rsidR="00E65F9D" w:rsidRPr="00CA0A60">
        <w:rPr>
          <w:rFonts w:ascii="Garamond" w:hAnsi="Garamond"/>
          <w:i/>
          <w:sz w:val="20"/>
          <w:szCs w:val="20"/>
          <w:lang w:val="es-AR"/>
        </w:rPr>
        <w:t>l</w:t>
      </w:r>
      <w:r w:rsidR="00DE503D" w:rsidRPr="00CA0A60">
        <w:rPr>
          <w:rFonts w:ascii="Garamond" w:hAnsi="Garamond"/>
          <w:i/>
          <w:sz w:val="20"/>
          <w:szCs w:val="20"/>
          <w:lang w:val="es-AR"/>
        </w:rPr>
        <w:t>o</w:t>
      </w:r>
      <w:r w:rsidR="00E65F9D" w:rsidRPr="00CA0A60">
        <w:rPr>
          <w:rFonts w:ascii="Garamond" w:hAnsi="Garamond"/>
          <w:i/>
          <w:sz w:val="20"/>
          <w:szCs w:val="20"/>
          <w:lang w:val="es-AR"/>
        </w:rPr>
        <w:t xml:space="preserve">s </w:t>
      </w:r>
      <w:r w:rsidR="00DE503D" w:rsidRPr="00CA0A60">
        <w:rPr>
          <w:rFonts w:ascii="Garamond" w:hAnsi="Garamond"/>
          <w:i/>
          <w:sz w:val="20"/>
          <w:szCs w:val="20"/>
          <w:lang w:val="es-AR"/>
        </w:rPr>
        <w:t>Derechos de Garantía</w:t>
      </w:r>
      <w:r w:rsidR="00D00ACF" w:rsidRPr="00CA0A60">
        <w:rPr>
          <w:rFonts w:ascii="Garamond" w:hAnsi="Garamond"/>
          <w:i/>
          <w:sz w:val="20"/>
          <w:szCs w:val="20"/>
          <w:lang w:val="es-AR"/>
        </w:rPr>
        <w:t xml:space="preserve">” </w:t>
      </w:r>
      <w:r w:rsidR="00D00ACF" w:rsidRPr="00CA0A60">
        <w:rPr>
          <w:rFonts w:ascii="Garamond" w:hAnsi="Garamond"/>
          <w:sz w:val="20"/>
          <w:szCs w:val="20"/>
          <w:lang w:val="es-AR"/>
        </w:rPr>
        <w:t xml:space="preserve">del presente </w:t>
      </w:r>
      <w:r w:rsidR="00D00ACF" w:rsidRPr="00CA0A60">
        <w:rPr>
          <w:rFonts w:ascii="Garamond" w:hAnsi="Garamond"/>
          <w:sz w:val="20"/>
          <w:szCs w:val="20"/>
          <w:lang w:val="es-AR"/>
        </w:rPr>
        <w:lastRenderedPageBreak/>
        <w:t>Suplemento,</w:t>
      </w:r>
      <w:r w:rsidR="00D00ACF" w:rsidRPr="00CA3A3D">
        <w:rPr>
          <w:rFonts w:ascii="Garamond" w:eastAsia="Times New Roman" w:hAnsi="Garamond" w:cs="Times New Roman"/>
          <w:sz w:val="20"/>
          <w:szCs w:val="20"/>
          <w:lang w:val="es-AR" w:eastAsia="es-ES"/>
        </w:rPr>
        <w:t xml:space="preserve"> y están sujetos a ciertos riesgos relacionados con las garantías descriptos en la sección “</w:t>
      </w:r>
      <w:r w:rsidR="00D00ACF" w:rsidRPr="00CA3A3D">
        <w:rPr>
          <w:rFonts w:ascii="Garamond" w:eastAsia="Times New Roman" w:hAnsi="Garamond" w:cs="Times New Roman"/>
          <w:i/>
          <w:sz w:val="20"/>
          <w:szCs w:val="20"/>
          <w:lang w:val="es-AR" w:eastAsia="es-ES"/>
        </w:rPr>
        <w:t>Factores de Riesgo</w:t>
      </w:r>
      <w:r w:rsidR="00D00ACF" w:rsidRPr="00CA3A3D">
        <w:rPr>
          <w:rFonts w:ascii="Garamond" w:eastAsia="Times New Roman" w:hAnsi="Garamond" w:cs="Times New Roman"/>
          <w:sz w:val="20"/>
          <w:szCs w:val="20"/>
          <w:lang w:val="es-AR" w:eastAsia="es-ES"/>
        </w:rPr>
        <w:t xml:space="preserve">” del presente Suplemento. </w:t>
      </w:r>
    </w:p>
    <w:p w14:paraId="34FF1C98" w14:textId="77777777" w:rsidR="00706FCD" w:rsidRPr="00CA3A3D" w:rsidRDefault="00706FCD" w:rsidP="00060DAB">
      <w:pPr>
        <w:autoSpaceDE w:val="0"/>
        <w:autoSpaceDN w:val="0"/>
        <w:adjustRightInd w:val="0"/>
        <w:spacing w:before="120" w:after="120" w:line="240" w:lineRule="auto"/>
        <w:contextualSpacing/>
        <w:rPr>
          <w:rFonts w:ascii="Garamond" w:eastAsia="Times New Roman" w:hAnsi="Garamond" w:cs="Times New Roman"/>
          <w:sz w:val="20"/>
          <w:szCs w:val="20"/>
          <w:lang w:val="es-AR" w:eastAsia="es-ES"/>
        </w:rPr>
      </w:pPr>
    </w:p>
    <w:p w14:paraId="2BB26783" w14:textId="77777777" w:rsidR="00D60A13" w:rsidRPr="00CA3A3D" w:rsidRDefault="00D60A13" w:rsidP="00060DAB">
      <w:pPr>
        <w:autoSpaceDE w:val="0"/>
        <w:autoSpaceDN w:val="0"/>
        <w:adjustRightInd w:val="0"/>
        <w:spacing w:before="120" w:after="120" w:line="240" w:lineRule="auto"/>
        <w:contextualSpacing/>
        <w:jc w:val="center"/>
        <w:rPr>
          <w:rFonts w:ascii="Garamond" w:eastAsia="Times New Roman" w:hAnsi="Garamond" w:cs="Times New Roman"/>
          <w:b/>
          <w:sz w:val="20"/>
          <w:szCs w:val="20"/>
          <w:lang w:val="es-AR" w:eastAsia="es-ES"/>
        </w:rPr>
      </w:pPr>
      <w:r w:rsidRPr="00CA3A3D">
        <w:rPr>
          <w:rFonts w:ascii="Garamond" w:eastAsia="Times New Roman" w:hAnsi="Garamond" w:cs="Times New Roman"/>
          <w:b/>
          <w:sz w:val="20"/>
          <w:szCs w:val="20"/>
          <w:lang w:val="es-AR" w:eastAsia="es-ES"/>
        </w:rPr>
        <w:t>DECLARACIONES SOBRE HECHOS FUTUROS</w:t>
      </w:r>
    </w:p>
    <w:p w14:paraId="6D072C0D" w14:textId="77777777" w:rsidR="00060DAB" w:rsidRPr="00CA3A3D" w:rsidRDefault="00060DAB" w:rsidP="00060DAB">
      <w:pPr>
        <w:autoSpaceDE w:val="0"/>
        <w:autoSpaceDN w:val="0"/>
        <w:adjustRightInd w:val="0"/>
        <w:spacing w:before="120" w:after="120" w:line="240" w:lineRule="auto"/>
        <w:contextualSpacing/>
        <w:jc w:val="both"/>
        <w:rPr>
          <w:rFonts w:ascii="Garamond" w:eastAsia="Times New Roman" w:hAnsi="Garamond" w:cs="Times New Roman"/>
          <w:sz w:val="20"/>
          <w:szCs w:val="20"/>
          <w:lang w:val="es-AR" w:eastAsia="es-ES"/>
        </w:rPr>
      </w:pPr>
    </w:p>
    <w:p w14:paraId="744467F6" w14:textId="34B5EFEF" w:rsidR="00D60A13" w:rsidRPr="00CA3A3D" w:rsidRDefault="00D60A13" w:rsidP="00060DAB">
      <w:pPr>
        <w:autoSpaceDE w:val="0"/>
        <w:autoSpaceDN w:val="0"/>
        <w:adjustRightInd w:val="0"/>
        <w:spacing w:before="120" w:after="120" w:line="240" w:lineRule="auto"/>
        <w:contextualSpacing/>
        <w:jc w:val="both"/>
        <w:rPr>
          <w:rFonts w:ascii="Garamond" w:eastAsia="Times New Roman" w:hAnsi="Garamond" w:cs="Times New Roman"/>
          <w:b/>
          <w:sz w:val="20"/>
          <w:szCs w:val="20"/>
          <w:lang w:val="es-AR" w:eastAsia="es-ES"/>
        </w:rPr>
      </w:pPr>
      <w:r w:rsidRPr="00CA3A3D">
        <w:rPr>
          <w:rFonts w:ascii="Garamond" w:eastAsia="Times New Roman" w:hAnsi="Garamond" w:cs="Times New Roman"/>
          <w:sz w:val="20"/>
          <w:szCs w:val="20"/>
          <w:lang w:val="es-AR" w:eastAsia="es-ES"/>
        </w:rPr>
        <w:t xml:space="preserve">El presente </w:t>
      </w:r>
      <w:r w:rsidR="00706FCD" w:rsidRPr="00CA3A3D">
        <w:rPr>
          <w:rFonts w:ascii="Garamond" w:eastAsia="Times New Roman" w:hAnsi="Garamond" w:cs="Times New Roman"/>
          <w:sz w:val="20"/>
          <w:szCs w:val="20"/>
          <w:lang w:val="es-AR" w:eastAsia="es-ES"/>
        </w:rPr>
        <w:t>Suplemento y el Prospecto</w:t>
      </w:r>
      <w:r w:rsidRPr="00CA3A3D">
        <w:rPr>
          <w:rFonts w:ascii="Garamond" w:eastAsia="Times New Roman" w:hAnsi="Garamond" w:cs="Times New Roman"/>
          <w:sz w:val="20"/>
          <w:szCs w:val="20"/>
          <w:lang w:val="es-AR" w:eastAsia="es-ES"/>
        </w:rPr>
        <w:t xml:space="preserve"> contiene</w:t>
      </w:r>
      <w:r w:rsidR="00706FCD" w:rsidRPr="00CA3A3D">
        <w:rPr>
          <w:rFonts w:ascii="Garamond" w:eastAsia="Times New Roman" w:hAnsi="Garamond" w:cs="Times New Roman"/>
          <w:sz w:val="20"/>
          <w:szCs w:val="20"/>
          <w:lang w:val="es-AR" w:eastAsia="es-ES"/>
        </w:rPr>
        <w:t>n</w:t>
      </w:r>
      <w:r w:rsidRPr="00CA3A3D">
        <w:rPr>
          <w:rFonts w:ascii="Garamond" w:eastAsia="Times New Roman" w:hAnsi="Garamond" w:cs="Times New Roman"/>
          <w:sz w:val="20"/>
          <w:szCs w:val="20"/>
          <w:lang w:val="es-AR" w:eastAsia="es-ES"/>
        </w:rPr>
        <w:t xml:space="preserve"> declaraciones que constituyen estimaciones sobre hechos futuros, por ejemplo en las secciones “</w:t>
      </w:r>
      <w:r w:rsidRPr="00CA3A3D">
        <w:rPr>
          <w:rFonts w:ascii="Garamond" w:eastAsia="Times New Roman" w:hAnsi="Garamond" w:cs="Times New Roman"/>
          <w:i/>
          <w:sz w:val="20"/>
          <w:szCs w:val="20"/>
          <w:lang w:val="es-AR" w:eastAsia="es-ES"/>
        </w:rPr>
        <w:t>Factores de Riesgo</w:t>
      </w:r>
      <w:r w:rsidRPr="00CA3A3D">
        <w:rPr>
          <w:rFonts w:ascii="Garamond" w:eastAsia="Times New Roman" w:hAnsi="Garamond" w:cs="Times New Roman"/>
          <w:sz w:val="20"/>
          <w:szCs w:val="20"/>
          <w:lang w:val="es-AR" w:eastAsia="es-ES"/>
        </w:rPr>
        <w:t>”</w:t>
      </w:r>
      <w:r w:rsidR="00A25DB0" w:rsidRPr="00CA3A3D">
        <w:rPr>
          <w:rFonts w:ascii="Garamond" w:eastAsia="Times New Roman" w:hAnsi="Garamond" w:cs="Times New Roman"/>
          <w:sz w:val="20"/>
          <w:szCs w:val="20"/>
          <w:lang w:val="es-AR" w:eastAsia="es-ES"/>
        </w:rPr>
        <w:t xml:space="preserve"> de ambos documentos</w:t>
      </w:r>
      <w:r w:rsidRPr="00CA3A3D">
        <w:rPr>
          <w:rFonts w:ascii="Garamond" w:eastAsia="Times New Roman" w:hAnsi="Garamond" w:cs="Times New Roman"/>
          <w:sz w:val="20"/>
          <w:szCs w:val="20"/>
          <w:lang w:val="es-AR" w:eastAsia="es-ES"/>
        </w:rPr>
        <w:t xml:space="preserve">, </w:t>
      </w:r>
      <w:r w:rsidRPr="00CA3A3D">
        <w:rPr>
          <w:rFonts w:ascii="Garamond" w:eastAsia="Times New Roman" w:hAnsi="Garamond" w:cs="Times New Roman"/>
          <w:i/>
          <w:sz w:val="20"/>
          <w:szCs w:val="20"/>
          <w:lang w:val="es-AR" w:eastAsia="es-ES"/>
        </w:rPr>
        <w:t>“</w:t>
      </w:r>
      <w:r w:rsidR="008E21A6">
        <w:rPr>
          <w:rFonts w:ascii="Garamond" w:eastAsia="Times New Roman" w:hAnsi="Garamond" w:cs="Times New Roman"/>
          <w:i/>
          <w:sz w:val="20"/>
          <w:szCs w:val="20"/>
          <w:lang w:val="es-AR" w:eastAsia="es-ES"/>
        </w:rPr>
        <w:t>Información Financiera</w:t>
      </w:r>
      <w:r w:rsidR="005748D7" w:rsidRPr="00CA3A3D">
        <w:rPr>
          <w:rFonts w:ascii="Garamond" w:eastAsia="Times New Roman" w:hAnsi="Garamond" w:cs="Times New Roman"/>
          <w:i/>
          <w:sz w:val="20"/>
          <w:szCs w:val="20"/>
          <w:lang w:val="es-AR" w:eastAsia="es-ES"/>
        </w:rPr>
        <w:t xml:space="preserve"> -</w:t>
      </w:r>
      <w:r w:rsidRPr="00CA3A3D">
        <w:rPr>
          <w:rFonts w:ascii="Garamond" w:eastAsia="Times New Roman" w:hAnsi="Garamond" w:cs="Times New Roman"/>
          <w:i/>
          <w:sz w:val="20"/>
          <w:szCs w:val="20"/>
          <w:lang w:val="es-AR" w:eastAsia="es-ES"/>
        </w:rPr>
        <w:t>Reseña y Perspectiva Operativa y Financiera</w:t>
      </w:r>
      <w:r w:rsidRPr="00CA3A3D">
        <w:rPr>
          <w:rFonts w:ascii="Garamond" w:eastAsia="Times New Roman" w:hAnsi="Garamond" w:cs="Times New Roman"/>
          <w:sz w:val="20"/>
          <w:szCs w:val="20"/>
          <w:lang w:val="es-AR" w:eastAsia="es-ES"/>
        </w:rPr>
        <w:t>”</w:t>
      </w:r>
      <w:r w:rsidR="00A25DB0" w:rsidRPr="00CA3A3D">
        <w:rPr>
          <w:rFonts w:ascii="Garamond" w:eastAsia="Times New Roman" w:hAnsi="Garamond" w:cs="Times New Roman"/>
          <w:sz w:val="20"/>
          <w:szCs w:val="20"/>
          <w:lang w:val="es-AR" w:eastAsia="es-ES"/>
        </w:rPr>
        <w:t xml:space="preserve"> del Prospecto. </w:t>
      </w:r>
      <w:r w:rsidRPr="00CA3A3D">
        <w:rPr>
          <w:rFonts w:ascii="Garamond" w:eastAsia="Times New Roman" w:hAnsi="Garamond" w:cs="Times New Roman"/>
          <w:sz w:val="20"/>
          <w:szCs w:val="20"/>
          <w:lang w:val="es-AR" w:eastAsia="es-ES"/>
        </w:rPr>
        <w:t>Los términos “cree”, “podría”, “podría haber”, “estima”, “continúa”, “anticipa”, “busca”, “debería”, “planea”, “espera”, “predice”, “potencial” y vocablos o frases similares, o las versiones en negativo de tales vocablos o frases u otras expresiones similares, tienen como fin identificar estimaciones sobre hechos futuros. Algunas de estas declaraciones incluyen intenciones, creencias o expectativas actuales. Las declaraciones sobre hechos futuros no constituyen garantías de desempeño a futuro. Los resultados reales podrían ser ampliamente distintos de las expectativas descritas en las declaraciones sobre hechos futuros. Por lo tanto, se advierte a los inversores que no confíen excesivamente en las declaraciones sobre hechos futuros como si fueran predicciones de resultados reales.</w:t>
      </w:r>
      <w:r w:rsidR="00CD2DF5" w:rsidRPr="00CA3A3D">
        <w:rPr>
          <w:rFonts w:ascii="Garamond" w:eastAsia="Times New Roman" w:hAnsi="Garamond" w:cs="Times New Roman"/>
          <w:sz w:val="20"/>
          <w:szCs w:val="20"/>
          <w:lang w:val="es-AR" w:eastAsia="es-ES"/>
        </w:rPr>
        <w:t xml:space="preserve"> </w:t>
      </w:r>
      <w:r w:rsidR="00C7387B" w:rsidRPr="00CA3A3D">
        <w:rPr>
          <w:rFonts w:ascii="Garamond" w:eastAsia="Times New Roman" w:hAnsi="Garamond" w:cs="Times New Roman"/>
          <w:sz w:val="20"/>
          <w:szCs w:val="20"/>
          <w:lang w:val="es-AR" w:eastAsia="es-ES"/>
        </w:rPr>
        <w:t>En particular, téngase presente lo informado en las secci</w:t>
      </w:r>
      <w:r w:rsidR="00FF447A" w:rsidRPr="00CA3A3D">
        <w:rPr>
          <w:rFonts w:ascii="Garamond" w:eastAsia="Times New Roman" w:hAnsi="Garamond" w:cs="Times New Roman"/>
          <w:sz w:val="20"/>
          <w:szCs w:val="20"/>
          <w:lang w:val="es-AR" w:eastAsia="es-ES"/>
        </w:rPr>
        <w:t>ó</w:t>
      </w:r>
      <w:r w:rsidR="00C7387B" w:rsidRPr="00CA3A3D">
        <w:rPr>
          <w:rFonts w:ascii="Garamond" w:eastAsia="Times New Roman" w:hAnsi="Garamond" w:cs="Times New Roman"/>
          <w:sz w:val="20"/>
          <w:szCs w:val="20"/>
          <w:lang w:val="es-AR" w:eastAsia="es-ES"/>
        </w:rPr>
        <w:t>n “</w:t>
      </w:r>
      <w:r w:rsidR="00C7387B" w:rsidRPr="00CA3A3D">
        <w:rPr>
          <w:rFonts w:ascii="Garamond" w:eastAsia="Times New Roman" w:hAnsi="Garamond" w:cs="Times New Roman"/>
          <w:i/>
          <w:sz w:val="20"/>
          <w:szCs w:val="20"/>
          <w:lang w:val="es-AR" w:eastAsia="es-ES"/>
        </w:rPr>
        <w:t>Declaraciones sobre Hechos Futuros</w:t>
      </w:r>
      <w:r w:rsidR="00C7387B" w:rsidRPr="00CA3A3D">
        <w:rPr>
          <w:rFonts w:ascii="Garamond" w:eastAsia="Times New Roman" w:hAnsi="Garamond" w:cs="Times New Roman"/>
          <w:sz w:val="20"/>
          <w:szCs w:val="20"/>
          <w:lang w:val="es-AR" w:eastAsia="es-ES"/>
        </w:rPr>
        <w:t>” del Prospecto.</w:t>
      </w:r>
    </w:p>
    <w:p w14:paraId="48A21919" w14:textId="77777777" w:rsidR="00C7497A" w:rsidRPr="00CA0A60" w:rsidRDefault="00C7497A" w:rsidP="00060DAB">
      <w:pPr>
        <w:spacing w:before="120" w:after="120" w:line="240" w:lineRule="auto"/>
        <w:contextualSpacing/>
        <w:rPr>
          <w:rFonts w:ascii="Garamond" w:eastAsia="MS Mincho" w:hAnsi="Garamond" w:cs="Times New Roman"/>
          <w:sz w:val="18"/>
          <w:szCs w:val="20"/>
          <w:lang w:val="es-AR" w:eastAsia="es-ES"/>
        </w:rPr>
      </w:pPr>
    </w:p>
    <w:p w14:paraId="449BBAB9" w14:textId="77777777" w:rsidR="00C7497A" w:rsidRPr="00CA0A60" w:rsidRDefault="00C7497A" w:rsidP="00060DAB">
      <w:pPr>
        <w:keepNext/>
        <w:keepLines/>
        <w:tabs>
          <w:tab w:val="right" w:leader="dot" w:pos="9062"/>
        </w:tabs>
        <w:spacing w:before="120" w:after="120" w:line="240" w:lineRule="auto"/>
        <w:contextualSpacing/>
        <w:jc w:val="center"/>
        <w:rPr>
          <w:rFonts w:ascii="Garamond" w:hAnsi="Garamond"/>
          <w:b/>
          <w:sz w:val="20"/>
          <w:lang w:val="es-AR"/>
        </w:rPr>
      </w:pPr>
      <w:r w:rsidRPr="00CA0A60">
        <w:rPr>
          <w:rFonts w:ascii="Garamond" w:hAnsi="Garamond"/>
          <w:b/>
          <w:sz w:val="20"/>
          <w:lang w:val="es-AR"/>
        </w:rPr>
        <w:t>MONEDA</w:t>
      </w:r>
    </w:p>
    <w:p w14:paraId="6BD18F9B" w14:textId="77777777" w:rsidR="00CD2DF5" w:rsidRPr="00CA0A60" w:rsidRDefault="00CD2DF5" w:rsidP="00060DAB">
      <w:pPr>
        <w:keepNext/>
        <w:keepLines/>
        <w:tabs>
          <w:tab w:val="right" w:leader="dot" w:pos="9062"/>
        </w:tabs>
        <w:spacing w:before="120" w:after="120" w:line="240" w:lineRule="auto"/>
        <w:contextualSpacing/>
        <w:jc w:val="both"/>
        <w:rPr>
          <w:rFonts w:ascii="Garamond" w:hAnsi="Garamond"/>
          <w:sz w:val="20"/>
          <w:szCs w:val="18"/>
          <w:lang w:val="es-AR"/>
        </w:rPr>
      </w:pPr>
    </w:p>
    <w:p w14:paraId="1B01F954" w14:textId="77777777" w:rsidR="00C7497A" w:rsidRPr="00CA3A3D" w:rsidRDefault="00C7497A" w:rsidP="00060DAB">
      <w:pPr>
        <w:keepNext/>
        <w:keepLines/>
        <w:tabs>
          <w:tab w:val="right" w:leader="dot" w:pos="9062"/>
        </w:tabs>
        <w:spacing w:before="120" w:after="120" w:line="240" w:lineRule="auto"/>
        <w:contextualSpacing/>
        <w:jc w:val="both"/>
        <w:rPr>
          <w:rFonts w:ascii="Garamond" w:hAnsi="Garamond"/>
          <w:sz w:val="20"/>
          <w:szCs w:val="18"/>
          <w:lang w:val="es-AR"/>
        </w:rPr>
      </w:pPr>
      <w:r w:rsidRPr="00CA0A60">
        <w:rPr>
          <w:rFonts w:ascii="Garamond" w:hAnsi="Garamond"/>
          <w:sz w:val="20"/>
          <w:szCs w:val="18"/>
          <w:lang w:val="es-AR"/>
        </w:rPr>
        <w:t>Salvo que se especifique lo contrario o el contexto requiera lo contrario, las referencias en el presente Prospecto a “Pesos”, “Ps.”, “ARS” o “$” son a pesos argentinos, mientras que las referencias a “</w:t>
      </w:r>
      <w:r w:rsidR="00D53314" w:rsidRPr="00CA0A60">
        <w:rPr>
          <w:rFonts w:ascii="Garamond" w:hAnsi="Garamond"/>
          <w:sz w:val="20"/>
          <w:szCs w:val="18"/>
          <w:lang w:val="es-AR"/>
        </w:rPr>
        <w:t>D</w:t>
      </w:r>
      <w:r w:rsidRPr="00CA0A60">
        <w:rPr>
          <w:rFonts w:ascii="Garamond" w:hAnsi="Garamond"/>
          <w:sz w:val="20"/>
          <w:szCs w:val="18"/>
          <w:lang w:val="es-AR"/>
        </w:rPr>
        <w:t xml:space="preserve">ólares </w:t>
      </w:r>
      <w:r w:rsidR="00D53314" w:rsidRPr="00CA0A60">
        <w:rPr>
          <w:rFonts w:ascii="Garamond" w:hAnsi="Garamond"/>
          <w:sz w:val="20"/>
          <w:szCs w:val="18"/>
          <w:lang w:val="es-AR"/>
        </w:rPr>
        <w:t>E</w:t>
      </w:r>
      <w:r w:rsidRPr="00CA0A60">
        <w:rPr>
          <w:rFonts w:ascii="Garamond" w:hAnsi="Garamond"/>
          <w:sz w:val="20"/>
          <w:szCs w:val="18"/>
          <w:lang w:val="es-AR"/>
        </w:rPr>
        <w:t>stadounidenses”,</w:t>
      </w:r>
      <w:r w:rsidR="00D53314" w:rsidRPr="00CA0A60">
        <w:rPr>
          <w:rFonts w:ascii="Garamond" w:hAnsi="Garamond"/>
          <w:sz w:val="20"/>
          <w:szCs w:val="18"/>
          <w:lang w:val="es-AR"/>
        </w:rPr>
        <w:t xml:space="preserve"> “Dólares”</w:t>
      </w:r>
      <w:r w:rsidRPr="00CA0A60">
        <w:rPr>
          <w:rFonts w:ascii="Garamond" w:hAnsi="Garamond"/>
          <w:sz w:val="20"/>
          <w:szCs w:val="18"/>
          <w:lang w:val="es-AR"/>
        </w:rPr>
        <w:t xml:space="preserve"> “U$S” o “USD” son a dólares de Estados Unidos. </w:t>
      </w:r>
    </w:p>
    <w:p w14:paraId="238601FE" w14:textId="77777777" w:rsidR="00C7497A" w:rsidRPr="00CA3A3D" w:rsidRDefault="00C7497A" w:rsidP="00060DAB">
      <w:pPr>
        <w:tabs>
          <w:tab w:val="right" w:leader="dot" w:pos="9062"/>
        </w:tabs>
        <w:spacing w:before="120" w:after="120" w:line="240" w:lineRule="auto"/>
        <w:contextualSpacing/>
        <w:jc w:val="both"/>
        <w:rPr>
          <w:rFonts w:ascii="Garamond" w:hAnsi="Garamond"/>
          <w:sz w:val="20"/>
          <w:szCs w:val="18"/>
          <w:lang w:val="es-AR"/>
        </w:rPr>
      </w:pPr>
    </w:p>
    <w:p w14:paraId="40563BAE" w14:textId="77777777" w:rsidR="00C7497A" w:rsidRPr="00CA0A60" w:rsidRDefault="00C7497A" w:rsidP="00060DAB">
      <w:pPr>
        <w:tabs>
          <w:tab w:val="right" w:leader="dot" w:pos="9062"/>
        </w:tabs>
        <w:spacing w:before="120" w:after="120" w:line="240" w:lineRule="auto"/>
        <w:contextualSpacing/>
        <w:jc w:val="both"/>
        <w:rPr>
          <w:rFonts w:ascii="Garamond" w:hAnsi="Garamond"/>
          <w:sz w:val="20"/>
          <w:szCs w:val="18"/>
          <w:lang w:val="es-AR"/>
        </w:rPr>
      </w:pPr>
      <w:r w:rsidRPr="00CA0A60">
        <w:rPr>
          <w:rFonts w:ascii="Garamond" w:hAnsi="Garamond"/>
          <w:sz w:val="20"/>
          <w:szCs w:val="18"/>
          <w:lang w:val="es-AR"/>
        </w:rPr>
        <w:t>Las transacciones en moneda extranjera son convertidas a la moneda funcional y de presentación usando los tipos de cambio del día de las transacciones o revaluación, cuando los conceptos de las mismas son remedidos. Las ganancias y pérdidas generadas por las diferencias en el tipo de cambio de las monedas extranjeras resultantes de cada transacción y por la conversión de los rubros monetarios expresados en moneda extranjera al cierre del ejercicio son reconocidos en el estado de resultado integral, a excepción de los montos que son capitalizados.</w:t>
      </w:r>
    </w:p>
    <w:p w14:paraId="0F3CABC7" w14:textId="77777777" w:rsidR="00C7497A" w:rsidRPr="00CA0A60" w:rsidRDefault="00C7497A" w:rsidP="00060DAB">
      <w:pPr>
        <w:tabs>
          <w:tab w:val="right" w:leader="dot" w:pos="9062"/>
        </w:tabs>
        <w:spacing w:before="120" w:after="120" w:line="240" w:lineRule="auto"/>
        <w:contextualSpacing/>
        <w:jc w:val="both"/>
        <w:rPr>
          <w:rFonts w:ascii="Garamond" w:hAnsi="Garamond"/>
          <w:sz w:val="20"/>
          <w:szCs w:val="18"/>
          <w:lang w:val="es-AR"/>
        </w:rPr>
      </w:pPr>
    </w:p>
    <w:p w14:paraId="595F4D07" w14:textId="77777777" w:rsidR="00060DAB" w:rsidRDefault="00C7497A" w:rsidP="00060DAB">
      <w:pPr>
        <w:tabs>
          <w:tab w:val="right" w:leader="dot" w:pos="9062"/>
        </w:tabs>
        <w:spacing w:before="120" w:after="120" w:line="240" w:lineRule="auto"/>
        <w:contextualSpacing/>
        <w:jc w:val="both"/>
        <w:rPr>
          <w:rFonts w:ascii="Garamond" w:hAnsi="Garamond"/>
          <w:sz w:val="20"/>
          <w:szCs w:val="18"/>
          <w:lang w:val="es-AR"/>
        </w:rPr>
      </w:pPr>
      <w:r w:rsidRPr="00CA0A60">
        <w:rPr>
          <w:rFonts w:ascii="Garamond" w:hAnsi="Garamond"/>
          <w:sz w:val="20"/>
          <w:szCs w:val="18"/>
          <w:lang w:val="es-AR"/>
        </w:rPr>
        <w:t>Los tipos de cambio utilizados son: tipo comprador para activos monetarios, tipo vendedor para pasivos monetarios y en el caso de los saldos con partes relacionadas se utiliza el tipo de cambio promedio, cada uno de ellos vigentes al cierre del ejercicio según Banco de la Nación Argentina y tipo de cambio puntual para las transacciones en moneda extranjera.</w:t>
      </w:r>
    </w:p>
    <w:p w14:paraId="7F2917B2" w14:textId="77777777" w:rsidR="00646E38" w:rsidRPr="00CA0A60" w:rsidRDefault="00646E38" w:rsidP="00060DAB">
      <w:pPr>
        <w:tabs>
          <w:tab w:val="right" w:leader="dot" w:pos="9062"/>
        </w:tabs>
        <w:spacing w:before="120" w:after="120" w:line="240" w:lineRule="auto"/>
        <w:contextualSpacing/>
        <w:jc w:val="both"/>
        <w:rPr>
          <w:rFonts w:ascii="Garamond" w:hAnsi="Garamond"/>
          <w:sz w:val="20"/>
          <w:szCs w:val="18"/>
          <w:lang w:val="es-AR"/>
        </w:rPr>
      </w:pPr>
    </w:p>
    <w:tbl>
      <w:tblPr>
        <w:tblW w:w="0" w:type="auto"/>
        <w:jc w:val="center"/>
        <w:tblCellMar>
          <w:left w:w="0" w:type="dxa"/>
          <w:right w:w="0" w:type="dxa"/>
        </w:tblCellMar>
        <w:tblLook w:val="04A0" w:firstRow="1" w:lastRow="0" w:firstColumn="1" w:lastColumn="0" w:noHBand="0" w:noVBand="1"/>
      </w:tblPr>
      <w:tblGrid>
        <w:gridCol w:w="1413"/>
        <w:gridCol w:w="1276"/>
        <w:gridCol w:w="1275"/>
        <w:gridCol w:w="1276"/>
      </w:tblGrid>
      <w:tr w:rsidR="00646E38" w:rsidRPr="00646E38" w14:paraId="02E4A9F8" w14:textId="77777777" w:rsidTr="00582114">
        <w:trPr>
          <w:trHeight w:val="512"/>
          <w:jc w:val="center"/>
        </w:trPr>
        <w:tc>
          <w:tcPr>
            <w:tcW w:w="14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35E40A" w14:textId="77777777" w:rsidR="00646E38" w:rsidRPr="00646E38" w:rsidRDefault="00646E38" w:rsidP="00646E38">
            <w:pPr>
              <w:spacing w:after="0" w:line="276" w:lineRule="auto"/>
              <w:jc w:val="center"/>
              <w:rPr>
                <w:rFonts w:ascii="Calibri" w:eastAsia="Calibri" w:hAnsi="Calibri" w:cs="Times New Roman"/>
                <w:lang w:val="es-AR"/>
              </w:rPr>
            </w:pPr>
            <w:r w:rsidRPr="00646E38">
              <w:rPr>
                <w:rFonts w:ascii="Garamond" w:eastAsia="Calibri" w:hAnsi="Garamond" w:cs="Times New Roman"/>
                <w:b/>
                <w:bCs/>
                <w:sz w:val="18"/>
                <w:szCs w:val="18"/>
                <w:lang w:val="es-AR"/>
              </w:rPr>
              <w:t>Estados</w:t>
            </w:r>
          </w:p>
          <w:p w14:paraId="057A2F20" w14:textId="77777777" w:rsidR="00646E38" w:rsidRPr="00646E38" w:rsidRDefault="00646E38" w:rsidP="00646E38">
            <w:pPr>
              <w:spacing w:after="0" w:line="276" w:lineRule="auto"/>
              <w:jc w:val="center"/>
              <w:rPr>
                <w:rFonts w:ascii="Calibri" w:eastAsia="Calibri" w:hAnsi="Calibri" w:cs="Times New Roman"/>
                <w:lang w:val="es-AR"/>
              </w:rPr>
            </w:pPr>
            <w:r w:rsidRPr="00646E38">
              <w:rPr>
                <w:rFonts w:ascii="Garamond" w:eastAsia="Calibri" w:hAnsi="Garamond" w:cs="Times New Roman"/>
                <w:b/>
                <w:bCs/>
                <w:sz w:val="18"/>
                <w:szCs w:val="18"/>
                <w:lang w:val="es-AR"/>
              </w:rPr>
              <w:t>Financieros al</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6E89C9" w14:textId="77777777" w:rsidR="00646E38" w:rsidRPr="00646E38" w:rsidRDefault="00646E38" w:rsidP="00646E38">
            <w:pPr>
              <w:spacing w:after="0" w:line="276" w:lineRule="auto"/>
              <w:jc w:val="center"/>
              <w:rPr>
                <w:rFonts w:ascii="Calibri" w:eastAsia="Calibri" w:hAnsi="Calibri" w:cs="Times New Roman"/>
                <w:lang w:val="es-AR"/>
              </w:rPr>
            </w:pPr>
            <w:r w:rsidRPr="00646E38">
              <w:rPr>
                <w:rFonts w:ascii="Garamond" w:eastAsia="Calibri" w:hAnsi="Garamond" w:cs="Times New Roman"/>
                <w:b/>
                <w:bCs/>
                <w:sz w:val="18"/>
                <w:szCs w:val="18"/>
                <w:lang w:val="es-AR"/>
              </w:rPr>
              <w:t>Fecha</w:t>
            </w:r>
          </w:p>
          <w:p w14:paraId="1AA8AF7A" w14:textId="77777777" w:rsidR="00646E38" w:rsidRPr="00646E38" w:rsidRDefault="00646E38" w:rsidP="00646E38">
            <w:pPr>
              <w:spacing w:after="0" w:line="276" w:lineRule="auto"/>
              <w:jc w:val="center"/>
              <w:rPr>
                <w:rFonts w:ascii="Calibri" w:eastAsia="Calibri" w:hAnsi="Calibri" w:cs="Times New Roman"/>
                <w:lang w:val="es-AR"/>
              </w:rPr>
            </w:pPr>
            <w:r w:rsidRPr="00646E38">
              <w:rPr>
                <w:rFonts w:ascii="Garamond" w:eastAsia="Calibri" w:hAnsi="Garamond" w:cs="Times New Roman"/>
                <w:b/>
                <w:bCs/>
                <w:sz w:val="18"/>
                <w:szCs w:val="18"/>
                <w:lang w:val="es-AR"/>
              </w:rPr>
              <w:t>cotización</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608B6C" w14:textId="77777777" w:rsidR="00646E38" w:rsidRPr="00646E38" w:rsidRDefault="00646E38" w:rsidP="00646E38">
            <w:pPr>
              <w:spacing w:after="0" w:line="480" w:lineRule="auto"/>
              <w:jc w:val="center"/>
              <w:rPr>
                <w:rFonts w:ascii="Calibri" w:eastAsia="Calibri" w:hAnsi="Calibri" w:cs="Times New Roman"/>
                <w:lang w:val="es-AR"/>
              </w:rPr>
            </w:pPr>
            <w:r w:rsidRPr="00646E38">
              <w:rPr>
                <w:rFonts w:ascii="Garamond" w:eastAsia="Calibri" w:hAnsi="Garamond" w:cs="Times New Roman"/>
                <w:b/>
                <w:bCs/>
                <w:sz w:val="18"/>
                <w:szCs w:val="18"/>
                <w:lang w:val="es-AR"/>
              </w:rPr>
              <w:t>Compra</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D19F9B" w14:textId="77777777" w:rsidR="00646E38" w:rsidRPr="00646E38" w:rsidRDefault="00646E38" w:rsidP="00646E38">
            <w:pPr>
              <w:spacing w:after="0" w:line="480" w:lineRule="auto"/>
              <w:jc w:val="center"/>
              <w:rPr>
                <w:rFonts w:ascii="Calibri" w:eastAsia="Calibri" w:hAnsi="Calibri" w:cs="Times New Roman"/>
                <w:lang w:val="es-AR"/>
              </w:rPr>
            </w:pPr>
            <w:r w:rsidRPr="00646E38">
              <w:rPr>
                <w:rFonts w:ascii="Garamond" w:eastAsia="Calibri" w:hAnsi="Garamond" w:cs="Times New Roman"/>
                <w:b/>
                <w:bCs/>
                <w:sz w:val="18"/>
                <w:szCs w:val="18"/>
                <w:lang w:val="es-AR"/>
              </w:rPr>
              <w:t>Venta</w:t>
            </w:r>
          </w:p>
        </w:tc>
      </w:tr>
      <w:tr w:rsidR="00646E38" w:rsidRPr="00646E38" w14:paraId="309C6F09" w14:textId="77777777" w:rsidTr="00582114">
        <w:trPr>
          <w:jc w:val="center"/>
        </w:trPr>
        <w:tc>
          <w:tcPr>
            <w:tcW w:w="1413" w:type="dxa"/>
            <w:tcBorders>
              <w:top w:val="nil"/>
              <w:left w:val="single" w:sz="8" w:space="0" w:color="auto"/>
              <w:bottom w:val="nil"/>
              <w:right w:val="single" w:sz="8" w:space="0" w:color="auto"/>
            </w:tcBorders>
            <w:tcMar>
              <w:top w:w="0" w:type="dxa"/>
              <w:left w:w="108" w:type="dxa"/>
              <w:bottom w:w="0" w:type="dxa"/>
              <w:right w:w="108" w:type="dxa"/>
            </w:tcMar>
            <w:hideMark/>
          </w:tcPr>
          <w:p w14:paraId="19594C76"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31/12/2016</w:t>
            </w:r>
          </w:p>
        </w:tc>
        <w:tc>
          <w:tcPr>
            <w:tcW w:w="1276" w:type="dxa"/>
            <w:tcBorders>
              <w:top w:val="nil"/>
              <w:left w:val="nil"/>
              <w:bottom w:val="nil"/>
              <w:right w:val="single" w:sz="8" w:space="0" w:color="auto"/>
            </w:tcBorders>
            <w:tcMar>
              <w:top w:w="0" w:type="dxa"/>
              <w:left w:w="108" w:type="dxa"/>
              <w:bottom w:w="0" w:type="dxa"/>
              <w:right w:w="108" w:type="dxa"/>
            </w:tcMar>
            <w:hideMark/>
          </w:tcPr>
          <w:p w14:paraId="11D71BA5"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31/12/2016</w:t>
            </w:r>
          </w:p>
        </w:tc>
        <w:tc>
          <w:tcPr>
            <w:tcW w:w="1275" w:type="dxa"/>
            <w:tcBorders>
              <w:top w:val="nil"/>
              <w:left w:val="nil"/>
              <w:bottom w:val="nil"/>
              <w:right w:val="single" w:sz="8" w:space="0" w:color="auto"/>
            </w:tcBorders>
            <w:tcMar>
              <w:top w:w="0" w:type="dxa"/>
              <w:left w:w="108" w:type="dxa"/>
              <w:bottom w:w="0" w:type="dxa"/>
              <w:right w:w="108" w:type="dxa"/>
            </w:tcMar>
            <w:hideMark/>
          </w:tcPr>
          <w:p w14:paraId="044C4C15"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15,790</w:t>
            </w:r>
          </w:p>
        </w:tc>
        <w:tc>
          <w:tcPr>
            <w:tcW w:w="1276" w:type="dxa"/>
            <w:tcBorders>
              <w:top w:val="nil"/>
              <w:left w:val="nil"/>
              <w:bottom w:val="nil"/>
              <w:right w:val="single" w:sz="8" w:space="0" w:color="auto"/>
            </w:tcBorders>
            <w:tcMar>
              <w:top w:w="0" w:type="dxa"/>
              <w:left w:w="108" w:type="dxa"/>
              <w:bottom w:w="0" w:type="dxa"/>
              <w:right w:w="108" w:type="dxa"/>
            </w:tcMar>
            <w:hideMark/>
          </w:tcPr>
          <w:p w14:paraId="7E0F6B83"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15,890</w:t>
            </w:r>
          </w:p>
        </w:tc>
      </w:tr>
      <w:tr w:rsidR="00646E38" w:rsidRPr="00646E38" w14:paraId="44F0EDA0" w14:textId="77777777" w:rsidTr="00582114">
        <w:trPr>
          <w:jc w:val="center"/>
        </w:trPr>
        <w:tc>
          <w:tcPr>
            <w:tcW w:w="1413" w:type="dxa"/>
            <w:tcBorders>
              <w:top w:val="nil"/>
              <w:left w:val="single" w:sz="8" w:space="0" w:color="auto"/>
              <w:bottom w:val="nil"/>
              <w:right w:val="single" w:sz="8" w:space="0" w:color="auto"/>
            </w:tcBorders>
            <w:tcMar>
              <w:top w:w="0" w:type="dxa"/>
              <w:left w:w="108" w:type="dxa"/>
              <w:bottom w:w="0" w:type="dxa"/>
              <w:right w:w="108" w:type="dxa"/>
            </w:tcMar>
            <w:hideMark/>
          </w:tcPr>
          <w:p w14:paraId="7C5C7C37"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31/12/2017</w:t>
            </w:r>
          </w:p>
        </w:tc>
        <w:tc>
          <w:tcPr>
            <w:tcW w:w="1276" w:type="dxa"/>
            <w:tcBorders>
              <w:top w:val="nil"/>
              <w:left w:val="nil"/>
              <w:bottom w:val="nil"/>
              <w:right w:val="single" w:sz="8" w:space="0" w:color="auto"/>
            </w:tcBorders>
            <w:tcMar>
              <w:top w:w="0" w:type="dxa"/>
              <w:left w:w="108" w:type="dxa"/>
              <w:bottom w:w="0" w:type="dxa"/>
              <w:right w:w="108" w:type="dxa"/>
            </w:tcMar>
            <w:hideMark/>
          </w:tcPr>
          <w:p w14:paraId="031642EB"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31/12/2017</w:t>
            </w:r>
          </w:p>
        </w:tc>
        <w:tc>
          <w:tcPr>
            <w:tcW w:w="1275" w:type="dxa"/>
            <w:tcBorders>
              <w:top w:val="nil"/>
              <w:left w:val="nil"/>
              <w:bottom w:val="nil"/>
              <w:right w:val="single" w:sz="8" w:space="0" w:color="auto"/>
            </w:tcBorders>
            <w:tcMar>
              <w:top w:w="0" w:type="dxa"/>
              <w:left w:w="108" w:type="dxa"/>
              <w:bottom w:w="0" w:type="dxa"/>
              <w:right w:w="108" w:type="dxa"/>
            </w:tcMar>
            <w:hideMark/>
          </w:tcPr>
          <w:p w14:paraId="0811EB72"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18,549</w:t>
            </w:r>
          </w:p>
        </w:tc>
        <w:tc>
          <w:tcPr>
            <w:tcW w:w="1276" w:type="dxa"/>
            <w:tcBorders>
              <w:top w:val="nil"/>
              <w:left w:val="nil"/>
              <w:bottom w:val="nil"/>
              <w:right w:val="single" w:sz="8" w:space="0" w:color="auto"/>
            </w:tcBorders>
            <w:tcMar>
              <w:top w:w="0" w:type="dxa"/>
              <w:left w:w="108" w:type="dxa"/>
              <w:bottom w:w="0" w:type="dxa"/>
              <w:right w:w="108" w:type="dxa"/>
            </w:tcMar>
            <w:hideMark/>
          </w:tcPr>
          <w:p w14:paraId="32821F20"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18,649</w:t>
            </w:r>
          </w:p>
        </w:tc>
      </w:tr>
      <w:tr w:rsidR="00646E38" w:rsidRPr="00646E38" w14:paraId="4CADC22C" w14:textId="77777777" w:rsidTr="00582114">
        <w:trPr>
          <w:jc w:val="center"/>
        </w:trPr>
        <w:tc>
          <w:tcPr>
            <w:tcW w:w="1413" w:type="dxa"/>
            <w:tcBorders>
              <w:top w:val="nil"/>
              <w:left w:val="single" w:sz="8" w:space="0" w:color="auto"/>
              <w:bottom w:val="nil"/>
              <w:right w:val="single" w:sz="8" w:space="0" w:color="auto"/>
            </w:tcBorders>
            <w:tcMar>
              <w:top w:w="0" w:type="dxa"/>
              <w:left w:w="108" w:type="dxa"/>
              <w:bottom w:w="0" w:type="dxa"/>
              <w:right w:w="108" w:type="dxa"/>
            </w:tcMar>
            <w:hideMark/>
          </w:tcPr>
          <w:p w14:paraId="69D8EA01"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31/12/2018</w:t>
            </w:r>
          </w:p>
        </w:tc>
        <w:tc>
          <w:tcPr>
            <w:tcW w:w="1276" w:type="dxa"/>
            <w:tcBorders>
              <w:top w:val="nil"/>
              <w:left w:val="nil"/>
              <w:bottom w:val="nil"/>
              <w:right w:val="single" w:sz="8" w:space="0" w:color="auto"/>
            </w:tcBorders>
            <w:tcMar>
              <w:top w:w="0" w:type="dxa"/>
              <w:left w:w="108" w:type="dxa"/>
              <w:bottom w:w="0" w:type="dxa"/>
              <w:right w:w="108" w:type="dxa"/>
            </w:tcMar>
            <w:hideMark/>
          </w:tcPr>
          <w:p w14:paraId="41960679"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31/12/2018</w:t>
            </w:r>
          </w:p>
        </w:tc>
        <w:tc>
          <w:tcPr>
            <w:tcW w:w="1275" w:type="dxa"/>
            <w:tcBorders>
              <w:top w:val="nil"/>
              <w:left w:val="nil"/>
              <w:bottom w:val="nil"/>
              <w:right w:val="single" w:sz="8" w:space="0" w:color="auto"/>
            </w:tcBorders>
            <w:tcMar>
              <w:top w:w="0" w:type="dxa"/>
              <w:left w:w="108" w:type="dxa"/>
              <w:bottom w:w="0" w:type="dxa"/>
              <w:right w:w="108" w:type="dxa"/>
            </w:tcMar>
            <w:hideMark/>
          </w:tcPr>
          <w:p w14:paraId="33832F31"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37,500</w:t>
            </w:r>
          </w:p>
        </w:tc>
        <w:tc>
          <w:tcPr>
            <w:tcW w:w="1276" w:type="dxa"/>
            <w:tcBorders>
              <w:top w:val="nil"/>
              <w:left w:val="nil"/>
              <w:bottom w:val="nil"/>
              <w:right w:val="single" w:sz="8" w:space="0" w:color="auto"/>
            </w:tcBorders>
            <w:tcMar>
              <w:top w:w="0" w:type="dxa"/>
              <w:left w:w="108" w:type="dxa"/>
              <w:bottom w:w="0" w:type="dxa"/>
              <w:right w:w="108" w:type="dxa"/>
            </w:tcMar>
            <w:hideMark/>
          </w:tcPr>
          <w:p w14:paraId="4AB63F78"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37,700</w:t>
            </w:r>
          </w:p>
        </w:tc>
      </w:tr>
      <w:tr w:rsidR="00646E38" w:rsidRPr="00646E38" w14:paraId="3C0131AE" w14:textId="77777777" w:rsidTr="00582114">
        <w:trPr>
          <w:jc w:val="center"/>
        </w:trPr>
        <w:tc>
          <w:tcPr>
            <w:tcW w:w="1413" w:type="dxa"/>
            <w:tcBorders>
              <w:top w:val="nil"/>
              <w:left w:val="single" w:sz="8" w:space="0" w:color="auto"/>
              <w:bottom w:val="nil"/>
              <w:right w:val="single" w:sz="8" w:space="0" w:color="auto"/>
            </w:tcBorders>
            <w:tcMar>
              <w:top w:w="0" w:type="dxa"/>
              <w:left w:w="108" w:type="dxa"/>
              <w:bottom w:w="0" w:type="dxa"/>
              <w:right w:w="108" w:type="dxa"/>
            </w:tcMar>
            <w:hideMark/>
          </w:tcPr>
          <w:p w14:paraId="40FEFB2F"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31/03/2019</w:t>
            </w:r>
          </w:p>
        </w:tc>
        <w:tc>
          <w:tcPr>
            <w:tcW w:w="1276" w:type="dxa"/>
            <w:tcBorders>
              <w:top w:val="nil"/>
              <w:left w:val="nil"/>
              <w:bottom w:val="nil"/>
              <w:right w:val="single" w:sz="8" w:space="0" w:color="auto"/>
            </w:tcBorders>
            <w:tcMar>
              <w:top w:w="0" w:type="dxa"/>
              <w:left w:w="108" w:type="dxa"/>
              <w:bottom w:w="0" w:type="dxa"/>
              <w:right w:w="108" w:type="dxa"/>
            </w:tcMar>
            <w:hideMark/>
          </w:tcPr>
          <w:p w14:paraId="10F714D1"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31/03/2019</w:t>
            </w:r>
          </w:p>
        </w:tc>
        <w:tc>
          <w:tcPr>
            <w:tcW w:w="1275" w:type="dxa"/>
            <w:tcBorders>
              <w:top w:val="nil"/>
              <w:left w:val="nil"/>
              <w:bottom w:val="nil"/>
              <w:right w:val="single" w:sz="8" w:space="0" w:color="auto"/>
            </w:tcBorders>
            <w:tcMar>
              <w:top w:w="0" w:type="dxa"/>
              <w:left w:w="108" w:type="dxa"/>
              <w:bottom w:w="0" w:type="dxa"/>
              <w:right w:w="108" w:type="dxa"/>
            </w:tcMar>
            <w:hideMark/>
          </w:tcPr>
          <w:p w14:paraId="71E64820"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42,510</w:t>
            </w:r>
          </w:p>
        </w:tc>
        <w:tc>
          <w:tcPr>
            <w:tcW w:w="1276" w:type="dxa"/>
            <w:tcBorders>
              <w:top w:val="nil"/>
              <w:left w:val="nil"/>
              <w:bottom w:val="nil"/>
              <w:right w:val="single" w:sz="8" w:space="0" w:color="auto"/>
            </w:tcBorders>
            <w:tcMar>
              <w:top w:w="0" w:type="dxa"/>
              <w:left w:w="108" w:type="dxa"/>
              <w:bottom w:w="0" w:type="dxa"/>
              <w:right w:w="108" w:type="dxa"/>
            </w:tcMar>
            <w:hideMark/>
          </w:tcPr>
          <w:p w14:paraId="2A69E84A"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42,710</w:t>
            </w:r>
          </w:p>
        </w:tc>
      </w:tr>
      <w:tr w:rsidR="00646E38" w:rsidRPr="00646E38" w14:paraId="4156C312" w14:textId="77777777" w:rsidTr="00582114">
        <w:trPr>
          <w:jc w:val="center"/>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BAF0A"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28/06/2019</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AD6C968"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28/06/2019</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2CF96C28"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41,500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7B6F80B" w14:textId="77777777" w:rsidR="00646E38" w:rsidRPr="00646E38" w:rsidRDefault="00646E38" w:rsidP="00646E38">
            <w:pPr>
              <w:spacing w:after="0" w:line="240" w:lineRule="auto"/>
              <w:jc w:val="right"/>
              <w:rPr>
                <w:rFonts w:ascii="Calibri" w:eastAsia="Calibri" w:hAnsi="Calibri" w:cs="Times New Roman"/>
                <w:lang w:val="es-AR"/>
              </w:rPr>
            </w:pPr>
            <w:r w:rsidRPr="00646E38">
              <w:rPr>
                <w:rFonts w:ascii="Garamond" w:eastAsia="Calibri" w:hAnsi="Garamond" w:cs="Times New Roman"/>
                <w:sz w:val="18"/>
                <w:szCs w:val="18"/>
                <w:lang w:val="es-AR"/>
              </w:rPr>
              <w:t>43,500</w:t>
            </w:r>
          </w:p>
        </w:tc>
      </w:tr>
    </w:tbl>
    <w:p w14:paraId="5A9C03AC" w14:textId="2BD420C4" w:rsidR="00C7497A" w:rsidRPr="00CA0A60" w:rsidRDefault="00C7497A" w:rsidP="00582114">
      <w:pPr>
        <w:spacing w:before="120" w:after="120" w:line="240" w:lineRule="auto"/>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t xml:space="preserve">Las fluctuaciones significativas en el valor del </w:t>
      </w:r>
      <w:r w:rsidR="00E23F72" w:rsidRPr="00CA0A60">
        <w:rPr>
          <w:rFonts w:ascii="Garamond" w:eastAsia="MS Mincho" w:hAnsi="Garamond" w:cs="Times New Roman"/>
          <w:sz w:val="20"/>
          <w:szCs w:val="20"/>
          <w:lang w:val="es-AR" w:eastAsia="es-ES"/>
        </w:rPr>
        <w:t>P</w:t>
      </w:r>
      <w:r w:rsidRPr="00CA0A60">
        <w:rPr>
          <w:rFonts w:ascii="Garamond" w:eastAsia="MS Mincho" w:hAnsi="Garamond" w:cs="Times New Roman"/>
          <w:sz w:val="20"/>
          <w:szCs w:val="20"/>
          <w:lang w:val="es-AR" w:eastAsia="es-ES"/>
        </w:rPr>
        <w:t xml:space="preserve">eso podrían impactar negativamente en la economía argentina y en </w:t>
      </w:r>
      <w:r w:rsidR="00E90BD1" w:rsidRPr="00CA0A60">
        <w:rPr>
          <w:rFonts w:ascii="Garamond" w:eastAsia="MS Mincho" w:hAnsi="Garamond" w:cs="Times New Roman"/>
          <w:sz w:val="20"/>
          <w:szCs w:val="20"/>
          <w:lang w:val="es-AR" w:eastAsia="es-ES"/>
        </w:rPr>
        <w:t xml:space="preserve">la </w:t>
      </w:r>
      <w:r w:rsidRPr="00CA0A60">
        <w:rPr>
          <w:rFonts w:ascii="Garamond" w:eastAsia="MS Mincho" w:hAnsi="Garamond" w:cs="Times New Roman"/>
          <w:sz w:val="20"/>
          <w:szCs w:val="20"/>
          <w:lang w:val="es-AR" w:eastAsia="es-ES"/>
        </w:rPr>
        <w:t xml:space="preserve">situación patrimonial y los resultados de </w:t>
      </w:r>
      <w:r w:rsidR="00E90BD1" w:rsidRPr="00CA0A60">
        <w:rPr>
          <w:rFonts w:ascii="Garamond" w:eastAsia="MS Mincho" w:hAnsi="Garamond" w:cs="Times New Roman"/>
          <w:sz w:val="20"/>
          <w:szCs w:val="20"/>
          <w:lang w:val="es-AR" w:eastAsia="es-ES"/>
        </w:rPr>
        <w:t xml:space="preserve">las </w:t>
      </w:r>
      <w:r w:rsidRPr="00CA0A60">
        <w:rPr>
          <w:rFonts w:ascii="Garamond" w:eastAsia="MS Mincho" w:hAnsi="Garamond" w:cs="Times New Roman"/>
          <w:sz w:val="20"/>
          <w:szCs w:val="20"/>
          <w:lang w:val="es-AR" w:eastAsia="es-ES"/>
        </w:rPr>
        <w:t>operaciones</w:t>
      </w:r>
      <w:r w:rsidR="00E90BD1" w:rsidRPr="00CA0A60">
        <w:rPr>
          <w:rFonts w:ascii="Garamond" w:eastAsia="MS Mincho" w:hAnsi="Garamond" w:cs="Times New Roman"/>
          <w:sz w:val="20"/>
          <w:szCs w:val="20"/>
          <w:lang w:val="es-AR" w:eastAsia="es-ES"/>
        </w:rPr>
        <w:t xml:space="preserve"> de las Co-Emisoras</w:t>
      </w:r>
      <w:r w:rsidRPr="00CA0A60">
        <w:rPr>
          <w:rFonts w:ascii="Garamond" w:eastAsia="MS Mincho" w:hAnsi="Garamond" w:cs="Times New Roman"/>
          <w:sz w:val="20"/>
          <w:szCs w:val="20"/>
          <w:lang w:val="es-AR" w:eastAsia="es-ES"/>
        </w:rPr>
        <w:t>.</w:t>
      </w:r>
    </w:p>
    <w:p w14:paraId="03642464" w14:textId="77777777" w:rsidR="00C7497A" w:rsidRPr="00CA0A60" w:rsidRDefault="00C7497A" w:rsidP="00060DAB">
      <w:pPr>
        <w:keepNext/>
        <w:keepLines/>
        <w:spacing w:before="120" w:after="120" w:line="240" w:lineRule="auto"/>
        <w:jc w:val="center"/>
        <w:rPr>
          <w:rFonts w:ascii="Garamond" w:hAnsi="Garamond"/>
          <w:b/>
          <w:caps/>
          <w:sz w:val="20"/>
          <w:lang w:val="es-AR"/>
        </w:rPr>
      </w:pPr>
      <w:r w:rsidRPr="00CA0A60">
        <w:rPr>
          <w:rFonts w:ascii="Garamond" w:hAnsi="Garamond"/>
          <w:b/>
          <w:caps/>
          <w:sz w:val="20"/>
          <w:lang w:val="es-AR"/>
        </w:rPr>
        <w:lastRenderedPageBreak/>
        <w:t>Ciertos términos definidos</w:t>
      </w:r>
    </w:p>
    <w:p w14:paraId="7EF6F5BE" w14:textId="77777777" w:rsidR="00481B0B" w:rsidRPr="00CA0A60" w:rsidRDefault="00481B0B" w:rsidP="00060DAB">
      <w:pPr>
        <w:keepNext/>
        <w:keepLines/>
        <w:spacing w:before="120" w:after="120" w:line="240" w:lineRule="auto"/>
        <w:jc w:val="center"/>
        <w:rPr>
          <w:rFonts w:ascii="Garamond" w:hAnsi="Garamond"/>
          <w:b/>
          <w:caps/>
          <w:sz w:val="20"/>
          <w:lang w:val="es-AR"/>
        </w:rPr>
      </w:pPr>
    </w:p>
    <w:p w14:paraId="7DE7F2B7" w14:textId="674A7747" w:rsidR="00C7497A" w:rsidRPr="00CA0A60" w:rsidRDefault="00C7497A" w:rsidP="00060DAB">
      <w:pPr>
        <w:keepNext/>
        <w:keepLines/>
        <w:spacing w:before="120" w:after="120" w:line="240" w:lineRule="auto"/>
        <w:contextualSpacing/>
        <w:jc w:val="both"/>
        <w:rPr>
          <w:rFonts w:ascii="Garamond" w:hAnsi="Garamond"/>
          <w:sz w:val="20"/>
          <w:lang w:val="es-AR"/>
        </w:rPr>
      </w:pPr>
      <w:r w:rsidRPr="00CA0A60">
        <w:rPr>
          <w:rFonts w:ascii="Garamond" w:hAnsi="Garamond"/>
          <w:sz w:val="20"/>
          <w:lang w:val="es-AR"/>
        </w:rPr>
        <w:t>En este Suplemento, los términos “$” o “Pesos” se refieren a la moneda de curso legal en Argentina y los términos “U$S”, “USD” o “Dólares” se refieren a la moneda de curso legal en los Estados Unidos. El término “Argentina” se refiere a la República Argentina. El término “Gobierno Nacional” o “Gobierno Argentino” se refiere al Gobierno de la Nación Argentina, el término “Secretaría de Energía”, “SGE” o “SE” refiere a la ex Secretaría de Energía de la Nación Argentina, ex Ministerio de Energía y Minería de la Nación o “ME&amp;M”, y actual Secretaría de Gobierno de Energía (el cual se encuentra dentro de la órbita del Ministerio de Hacienda de la Nación). Los términos “Banco Central” y “BCRA” se refieren al Banco Central de la República Argentina, el término “INDEC” se refiere al Instituto Nacional de Estadísticas y Censos, el término “IPC” se refiere al índice de precios al consumidor, el término “ENRE” se refiere al Ente Nacional Regulador de la Electricidad, el término “Banco Nación” se refiere al Banco de la Nación Argentina, el término “BCBA” refiere a la Bolsa de Comercio de Buenos Aires, el término “Boletín Diario de la BCBA” refiere al Boletín Diario de la Bolsa de Comercio de Buenos Aires, el término “CNV” refiere a la Comisión Nacional de Valores, el término “BYMA” refiere a Bolsas y Mercados Argentinos S.A., el término “Ley General de Sociedades” se refiere a la Ley General de Sociedades Nº 19.550 y sus modificatorias</w:t>
      </w:r>
      <w:r w:rsidR="00BE521B" w:rsidRPr="00CA0A60">
        <w:rPr>
          <w:rFonts w:ascii="Garamond" w:hAnsi="Garamond"/>
          <w:sz w:val="20"/>
          <w:lang w:val="es-AR"/>
        </w:rPr>
        <w:t xml:space="preserve"> y</w:t>
      </w:r>
      <w:r w:rsidRPr="00CA0A60">
        <w:rPr>
          <w:rFonts w:ascii="Garamond" w:hAnsi="Garamond"/>
          <w:sz w:val="20"/>
          <w:lang w:val="es-AR"/>
        </w:rPr>
        <w:t xml:space="preserve"> el término “Ministerio de Hacienda” se refiere al Ministerio de </w:t>
      </w:r>
      <w:r w:rsidRPr="00CA0A60">
        <w:rPr>
          <w:rFonts w:ascii="Garamond" w:hAnsi="Garamond"/>
          <w:sz w:val="20"/>
          <w:szCs w:val="18"/>
          <w:lang w:val="es-AR"/>
        </w:rPr>
        <w:t>Hacienda</w:t>
      </w:r>
      <w:r w:rsidRPr="00CA0A60">
        <w:rPr>
          <w:rFonts w:ascii="Garamond" w:hAnsi="Garamond"/>
          <w:sz w:val="20"/>
          <w:lang w:val="es-AR"/>
        </w:rPr>
        <w:t xml:space="preserve"> y Finanzas Públicas de la Nación Argentina. Las Compañías también utilizan en este </w:t>
      </w:r>
      <w:r w:rsidR="007E2623" w:rsidRPr="00CA0A60">
        <w:rPr>
          <w:rFonts w:ascii="Garamond" w:hAnsi="Garamond"/>
          <w:sz w:val="20"/>
          <w:lang w:val="es-AR"/>
        </w:rPr>
        <w:t xml:space="preserve">Suplemento </w:t>
      </w:r>
      <w:r w:rsidRPr="00CA0A60">
        <w:rPr>
          <w:rFonts w:ascii="Garamond" w:hAnsi="Garamond"/>
          <w:sz w:val="20"/>
          <w:lang w:val="es-AR"/>
        </w:rPr>
        <w:t xml:space="preserve">diversos términos y abreviaturas específicas de la industria de petróleo, gas y electricidad de Argentina. </w:t>
      </w:r>
    </w:p>
    <w:p w14:paraId="16DEB4AB" w14:textId="77777777" w:rsidR="00175C3E" w:rsidRPr="00CA0A60" w:rsidRDefault="00175C3E" w:rsidP="00060DAB">
      <w:pPr>
        <w:keepNext/>
        <w:keepLines/>
        <w:spacing w:before="120" w:after="120" w:line="240" w:lineRule="auto"/>
        <w:contextualSpacing/>
        <w:jc w:val="both"/>
        <w:rPr>
          <w:rFonts w:ascii="Garamond" w:hAnsi="Garamond"/>
          <w:sz w:val="20"/>
          <w:lang w:val="es-AR"/>
        </w:rPr>
      </w:pPr>
    </w:p>
    <w:p w14:paraId="5E7AF597" w14:textId="6D2B7272" w:rsidR="00175C3E" w:rsidRPr="00CA0A60" w:rsidRDefault="00175C3E" w:rsidP="00060DAB">
      <w:pPr>
        <w:keepNext/>
        <w:keepLines/>
        <w:spacing w:before="120" w:after="120" w:line="240" w:lineRule="auto"/>
        <w:contextualSpacing/>
        <w:jc w:val="both"/>
        <w:rPr>
          <w:rFonts w:ascii="Garamond" w:hAnsi="Garamond"/>
          <w:sz w:val="20"/>
          <w:lang w:val="es-AR"/>
        </w:rPr>
      </w:pPr>
      <w:r w:rsidRPr="00CA0A60">
        <w:rPr>
          <w:rFonts w:ascii="Garamond" w:hAnsi="Garamond"/>
          <w:sz w:val="20"/>
          <w:lang w:val="es-AR"/>
        </w:rPr>
        <w:t xml:space="preserve">Las Compañías </w:t>
      </w:r>
      <w:r w:rsidR="00A80B8A" w:rsidRPr="00CA0A60">
        <w:rPr>
          <w:rFonts w:ascii="Garamond" w:hAnsi="Garamond"/>
          <w:sz w:val="20"/>
          <w:lang w:val="es-AR"/>
        </w:rPr>
        <w:t>utilizan como</w:t>
      </w:r>
      <w:r w:rsidRPr="00CA0A60">
        <w:rPr>
          <w:rFonts w:ascii="Garamond" w:hAnsi="Garamond"/>
          <w:sz w:val="20"/>
          <w:lang w:val="es-AR"/>
        </w:rPr>
        <w:t xml:space="preserve"> la medición “EBITDA Ajustado”, que no es una medición de acuerdo con los Principios de Contabilidad Generalmente Aceptados en Argentina. En el presente Suplemento, </w:t>
      </w:r>
      <w:r w:rsidR="00BE521B" w:rsidRPr="00CA0A60">
        <w:rPr>
          <w:rFonts w:ascii="Garamond" w:hAnsi="Garamond"/>
          <w:sz w:val="20"/>
          <w:lang w:val="es-AR"/>
        </w:rPr>
        <w:t xml:space="preserve">cualquier referencia que pudiera hacerse al </w:t>
      </w:r>
      <w:r w:rsidRPr="00CA0A60">
        <w:rPr>
          <w:rFonts w:ascii="Garamond" w:hAnsi="Garamond"/>
          <w:sz w:val="20"/>
          <w:lang w:val="es-AR"/>
        </w:rPr>
        <w:t xml:space="preserve">“EBITDA Ajustado” significa las ganancias operativas menos gastos operativos (incluyendo gastos de venta, de administración, siempre que se encuentren incluidos en los gastos operativos) </w:t>
      </w:r>
      <w:r w:rsidR="00506555" w:rsidRPr="00CA0A60">
        <w:rPr>
          <w:rFonts w:ascii="Garamond" w:hAnsi="Garamond"/>
          <w:sz w:val="20"/>
          <w:lang w:val="es-AR"/>
        </w:rPr>
        <w:t xml:space="preserve">con </w:t>
      </w:r>
      <w:r w:rsidRPr="00CA0A60">
        <w:rPr>
          <w:rFonts w:ascii="Garamond" w:hAnsi="Garamond"/>
          <w:sz w:val="20"/>
          <w:lang w:val="es-AR"/>
        </w:rPr>
        <w:t>más las amortizaciones, depreciaciones y cualquier otro gasto que no sea realizado en efectivo (siempre que se encuentren incluidos en los gastos operativos)</w:t>
      </w:r>
      <w:r w:rsidR="00BE521B" w:rsidRPr="00CA0A60">
        <w:rPr>
          <w:rFonts w:ascii="Garamond" w:hAnsi="Garamond"/>
          <w:sz w:val="20"/>
          <w:lang w:val="es-AR"/>
        </w:rPr>
        <w:t>.</w:t>
      </w:r>
    </w:p>
    <w:p w14:paraId="4B1F511A" w14:textId="77777777" w:rsidR="00175C3E" w:rsidRPr="00CA0A60" w:rsidRDefault="00175C3E" w:rsidP="00060DAB">
      <w:pPr>
        <w:keepNext/>
        <w:keepLines/>
        <w:spacing w:before="120" w:after="120" w:line="240" w:lineRule="auto"/>
        <w:contextualSpacing/>
        <w:jc w:val="both"/>
        <w:rPr>
          <w:rFonts w:ascii="Garamond" w:hAnsi="Garamond"/>
          <w:sz w:val="20"/>
          <w:lang w:val="es-AR"/>
        </w:rPr>
      </w:pPr>
    </w:p>
    <w:p w14:paraId="54222B87" w14:textId="7D013C8A" w:rsidR="00175C3E" w:rsidRPr="00CA0A60" w:rsidRDefault="00175C3E" w:rsidP="00060DAB">
      <w:pPr>
        <w:keepNext/>
        <w:keepLines/>
        <w:spacing w:before="120" w:after="120" w:line="240" w:lineRule="auto"/>
        <w:contextualSpacing/>
        <w:jc w:val="both"/>
        <w:rPr>
          <w:rFonts w:ascii="Garamond" w:hAnsi="Garamond"/>
          <w:sz w:val="20"/>
          <w:lang w:val="es-AR"/>
        </w:rPr>
      </w:pPr>
      <w:r w:rsidRPr="00CA0A60">
        <w:rPr>
          <w:rFonts w:ascii="Garamond" w:hAnsi="Garamond"/>
          <w:sz w:val="20"/>
          <w:lang w:val="es-AR"/>
        </w:rPr>
        <w:t xml:space="preserve">La medición del EBITDA Ajustado es frecuentemente utilizada por analistas de títulos, inversores y otras partes interesadas en la evaluación de compañías en la industria </w:t>
      </w:r>
      <w:r w:rsidR="00CE45C7" w:rsidRPr="00CA0A60">
        <w:rPr>
          <w:rFonts w:ascii="Garamond" w:hAnsi="Garamond"/>
          <w:sz w:val="20"/>
          <w:lang w:val="es-AR"/>
        </w:rPr>
        <w:t>en la cual</w:t>
      </w:r>
      <w:r w:rsidRPr="00CA0A60">
        <w:rPr>
          <w:rFonts w:ascii="Garamond" w:hAnsi="Garamond"/>
          <w:sz w:val="20"/>
          <w:lang w:val="es-AR"/>
        </w:rPr>
        <w:t xml:space="preserve"> opera</w:t>
      </w:r>
      <w:r w:rsidR="00CD2DF5" w:rsidRPr="00CA0A60">
        <w:rPr>
          <w:rFonts w:ascii="Garamond" w:hAnsi="Garamond"/>
          <w:sz w:val="20"/>
          <w:lang w:val="es-AR"/>
        </w:rPr>
        <w:t>n</w:t>
      </w:r>
      <w:r w:rsidRPr="00CA0A60">
        <w:rPr>
          <w:rFonts w:ascii="Garamond" w:hAnsi="Garamond"/>
          <w:sz w:val="20"/>
          <w:lang w:val="es-AR"/>
        </w:rPr>
        <w:t xml:space="preserve"> las Compañías. </w:t>
      </w:r>
      <w:r w:rsidR="00CE45C7" w:rsidRPr="00CA0A60">
        <w:rPr>
          <w:rFonts w:ascii="Garamond" w:hAnsi="Garamond"/>
          <w:sz w:val="20"/>
          <w:lang w:val="es-AR"/>
        </w:rPr>
        <w:t xml:space="preserve">El </w:t>
      </w:r>
      <w:r w:rsidRPr="00CA0A60">
        <w:rPr>
          <w:rFonts w:ascii="Garamond" w:hAnsi="Garamond"/>
          <w:sz w:val="20"/>
          <w:lang w:val="es-AR"/>
        </w:rPr>
        <w:t xml:space="preserve">EBITDA Ajustado no debe ser considerado un sustituto de la utilidad neta como medición del </w:t>
      </w:r>
      <w:r w:rsidR="00CD2DF5" w:rsidRPr="00CA0A60">
        <w:rPr>
          <w:rFonts w:ascii="Garamond" w:hAnsi="Garamond"/>
          <w:sz w:val="20"/>
          <w:lang w:val="es-AR"/>
        </w:rPr>
        <w:t xml:space="preserve">desempeño </w:t>
      </w:r>
      <w:r w:rsidRPr="00CA0A60">
        <w:rPr>
          <w:rFonts w:ascii="Garamond" w:hAnsi="Garamond"/>
          <w:sz w:val="20"/>
          <w:lang w:val="es-AR"/>
        </w:rPr>
        <w:t>operativ</w:t>
      </w:r>
      <w:r w:rsidR="00CD2DF5" w:rsidRPr="00CA0A60">
        <w:rPr>
          <w:rFonts w:ascii="Garamond" w:hAnsi="Garamond"/>
          <w:sz w:val="20"/>
          <w:lang w:val="es-AR"/>
        </w:rPr>
        <w:t>o</w:t>
      </w:r>
      <w:r w:rsidRPr="00CA0A60">
        <w:rPr>
          <w:rFonts w:ascii="Garamond" w:hAnsi="Garamond"/>
          <w:sz w:val="20"/>
          <w:lang w:val="es-AR"/>
        </w:rPr>
        <w:t xml:space="preserve"> o de</w:t>
      </w:r>
      <w:r w:rsidR="00CE45C7" w:rsidRPr="00CA0A60">
        <w:rPr>
          <w:rFonts w:ascii="Garamond" w:hAnsi="Garamond"/>
          <w:sz w:val="20"/>
          <w:lang w:val="es-AR"/>
        </w:rPr>
        <w:t xml:space="preserve"> los</w:t>
      </w:r>
      <w:r w:rsidRPr="00CA0A60">
        <w:rPr>
          <w:rFonts w:ascii="Garamond" w:hAnsi="Garamond"/>
          <w:sz w:val="20"/>
          <w:lang w:val="es-AR"/>
        </w:rPr>
        <w:t xml:space="preserve"> flujos de efectivo de actividades operativas como medición de liquidez. </w:t>
      </w:r>
      <w:r w:rsidR="00CE45C7" w:rsidRPr="00CA0A60">
        <w:rPr>
          <w:rFonts w:ascii="Garamond" w:hAnsi="Garamond"/>
          <w:sz w:val="20"/>
          <w:lang w:val="es-AR"/>
        </w:rPr>
        <w:t>Dado</w:t>
      </w:r>
      <w:r w:rsidRPr="00CA0A60">
        <w:rPr>
          <w:rFonts w:ascii="Garamond" w:hAnsi="Garamond"/>
          <w:sz w:val="20"/>
          <w:lang w:val="es-AR"/>
        </w:rPr>
        <w:t xml:space="preserve"> que no todas las compañías utilizan métodos de cálculo similares, </w:t>
      </w:r>
      <w:r w:rsidR="00CE45C7" w:rsidRPr="00CA0A60">
        <w:rPr>
          <w:rFonts w:ascii="Garamond" w:hAnsi="Garamond"/>
          <w:sz w:val="20"/>
          <w:lang w:val="es-AR"/>
        </w:rPr>
        <w:t>el empleo</w:t>
      </w:r>
      <w:r w:rsidRPr="00CA0A60">
        <w:rPr>
          <w:rFonts w:ascii="Garamond" w:hAnsi="Garamond"/>
          <w:sz w:val="20"/>
          <w:lang w:val="es-AR"/>
        </w:rPr>
        <w:t xml:space="preserve"> de</w:t>
      </w:r>
      <w:r w:rsidR="00CE45C7" w:rsidRPr="00CA0A60">
        <w:rPr>
          <w:rFonts w:ascii="Garamond" w:hAnsi="Garamond"/>
          <w:sz w:val="20"/>
          <w:lang w:val="es-AR"/>
        </w:rPr>
        <w:t>l</w:t>
      </w:r>
      <w:r w:rsidRPr="00CA0A60">
        <w:rPr>
          <w:rFonts w:ascii="Garamond" w:hAnsi="Garamond"/>
          <w:sz w:val="20"/>
          <w:lang w:val="es-AR"/>
        </w:rPr>
        <w:t xml:space="preserve"> EBITDA Ajustado que realizan las Compañías puede no ser </w:t>
      </w:r>
      <w:r w:rsidR="00CE45C7" w:rsidRPr="00CA0A60">
        <w:rPr>
          <w:rFonts w:ascii="Garamond" w:hAnsi="Garamond"/>
          <w:sz w:val="20"/>
          <w:lang w:val="es-AR"/>
        </w:rPr>
        <w:t xml:space="preserve">un parámetro </w:t>
      </w:r>
      <w:r w:rsidRPr="00CA0A60">
        <w:rPr>
          <w:rFonts w:ascii="Garamond" w:hAnsi="Garamond"/>
          <w:sz w:val="20"/>
          <w:lang w:val="es-AR"/>
        </w:rPr>
        <w:t>comparable a otras mediciones denominadas de manera similar utilizadas por otras compañías.</w:t>
      </w:r>
    </w:p>
    <w:p w14:paraId="65F9C3DC" w14:textId="77777777" w:rsidR="00C7497A" w:rsidRPr="00CA0A60" w:rsidRDefault="00C7497A" w:rsidP="00060DAB">
      <w:pPr>
        <w:spacing w:before="120" w:after="120" w:line="240" w:lineRule="auto"/>
        <w:contextualSpacing/>
        <w:jc w:val="both"/>
        <w:rPr>
          <w:rFonts w:ascii="Garamond" w:hAnsi="Garamond"/>
          <w:sz w:val="20"/>
          <w:lang w:val="es-AR"/>
        </w:rPr>
      </w:pPr>
    </w:p>
    <w:p w14:paraId="73E3502D" w14:textId="77777777" w:rsidR="00C7497A" w:rsidRPr="00CA0A60" w:rsidRDefault="00C7497A" w:rsidP="00060DAB">
      <w:pPr>
        <w:spacing w:before="120" w:after="120" w:line="240" w:lineRule="auto"/>
        <w:jc w:val="center"/>
        <w:rPr>
          <w:rFonts w:ascii="Garamond" w:hAnsi="Garamond"/>
          <w:b/>
          <w:caps/>
          <w:sz w:val="20"/>
          <w:lang w:val="es-AR"/>
        </w:rPr>
      </w:pPr>
      <w:r w:rsidRPr="00CA0A60">
        <w:rPr>
          <w:rFonts w:ascii="Garamond" w:hAnsi="Garamond"/>
          <w:b/>
          <w:caps/>
          <w:sz w:val="20"/>
          <w:lang w:val="es-AR"/>
        </w:rPr>
        <w:t>Datos de mercado</w:t>
      </w:r>
    </w:p>
    <w:p w14:paraId="39175833" w14:textId="337C6967" w:rsidR="00C7497A" w:rsidRPr="00CA0A60" w:rsidRDefault="00C7497A" w:rsidP="00060DAB">
      <w:pPr>
        <w:spacing w:before="120" w:after="120" w:line="240" w:lineRule="auto"/>
        <w:jc w:val="both"/>
        <w:rPr>
          <w:rFonts w:ascii="Garamond" w:hAnsi="Garamond"/>
          <w:sz w:val="20"/>
          <w:lang w:val="es-AR"/>
        </w:rPr>
      </w:pPr>
      <w:r w:rsidRPr="00CA0A60">
        <w:rPr>
          <w:rFonts w:ascii="Garamond" w:hAnsi="Garamond"/>
          <w:sz w:val="20"/>
          <w:lang w:val="es-AR"/>
        </w:rPr>
        <w:t xml:space="preserve">Las Compañías han extraído la información sobre el mercado, la industria y las posiciones competitivas que se emplean a lo largo de este </w:t>
      </w:r>
      <w:r w:rsidR="009C35B9" w:rsidRPr="00CA0A60">
        <w:rPr>
          <w:rFonts w:ascii="Garamond" w:hAnsi="Garamond"/>
          <w:sz w:val="20"/>
          <w:lang w:val="es-AR"/>
        </w:rPr>
        <w:t>Suplement</w:t>
      </w:r>
      <w:r w:rsidRPr="00CA0A60">
        <w:rPr>
          <w:rFonts w:ascii="Garamond" w:hAnsi="Garamond"/>
          <w:sz w:val="20"/>
          <w:lang w:val="es-AR"/>
        </w:rPr>
        <w:t>o de sus propias estimaciones e investigación interna, como así también de fuentes gubernamentales y de publicaciones de la industria, entre ellos</w:t>
      </w:r>
      <w:r w:rsidR="00CE45C7" w:rsidRPr="00CA0A60">
        <w:rPr>
          <w:rFonts w:ascii="Garamond" w:hAnsi="Garamond"/>
          <w:sz w:val="20"/>
          <w:lang w:val="es-AR"/>
        </w:rPr>
        <w:t>,</w:t>
      </w:r>
      <w:r w:rsidRPr="00CA0A60">
        <w:rPr>
          <w:rFonts w:ascii="Garamond" w:hAnsi="Garamond"/>
          <w:sz w:val="20"/>
          <w:lang w:val="es-AR"/>
        </w:rPr>
        <w:t xml:space="preserve"> información confeccionada por el INDEC, el BCRA, el Ministerio de Hacienda, el Banco Nación, la SGE, CAMMESA y el ENRE. Si bien las Compañías consideran que las estimaciones y la investigación comercial interna son confiables y que las definiciones del mercado utilizadas son adecuadas, ni dichas estimaciones o investigación comercial, ni las definiciones, han sido verificadas por ninguna fuente independiente. Asimismo, si bien las Compañías consideran que la información proveniente de terceras fuentes es confiable, las Compañías no han verificado en forma independiente los datos sobre el mercado, la industria o las posiciones competitivas provenientes de dichas fuentes.</w:t>
      </w:r>
    </w:p>
    <w:p w14:paraId="5023141B" w14:textId="77777777" w:rsidR="00C7497A" w:rsidRPr="00CA0A60" w:rsidRDefault="00C7497A" w:rsidP="00060DAB">
      <w:pPr>
        <w:spacing w:before="120" w:after="120" w:line="240" w:lineRule="auto"/>
        <w:jc w:val="both"/>
        <w:rPr>
          <w:rFonts w:ascii="Garamond" w:hAnsi="Garamond"/>
          <w:sz w:val="20"/>
          <w:lang w:val="es-AR"/>
        </w:rPr>
      </w:pPr>
    </w:p>
    <w:p w14:paraId="14690139" w14:textId="77777777" w:rsidR="00C7497A" w:rsidRPr="00CA0A60" w:rsidRDefault="00C7497A" w:rsidP="00060DAB">
      <w:pPr>
        <w:keepNext/>
        <w:keepLines/>
        <w:spacing w:before="120" w:after="120" w:line="240" w:lineRule="auto"/>
        <w:jc w:val="center"/>
        <w:rPr>
          <w:rFonts w:ascii="Garamond" w:hAnsi="Garamond"/>
          <w:b/>
          <w:caps/>
          <w:sz w:val="20"/>
          <w:lang w:val="es-AR"/>
        </w:rPr>
      </w:pPr>
      <w:r w:rsidRPr="00CA0A60">
        <w:rPr>
          <w:rFonts w:ascii="Garamond" w:hAnsi="Garamond"/>
          <w:b/>
          <w:caps/>
          <w:sz w:val="20"/>
          <w:lang w:val="es-AR"/>
        </w:rPr>
        <w:t>Redondeo</w:t>
      </w:r>
    </w:p>
    <w:p w14:paraId="0F4F961C" w14:textId="784909ED" w:rsidR="00C7497A" w:rsidRPr="00CA0A60" w:rsidRDefault="00C7497A" w:rsidP="00060DAB">
      <w:pPr>
        <w:keepNext/>
        <w:keepLines/>
        <w:spacing w:before="120" w:after="120" w:line="240" w:lineRule="auto"/>
        <w:jc w:val="both"/>
        <w:rPr>
          <w:rFonts w:ascii="Garamond" w:hAnsi="Garamond"/>
          <w:sz w:val="20"/>
          <w:lang w:val="es-AR"/>
        </w:rPr>
      </w:pPr>
      <w:r w:rsidRPr="00CA0A60">
        <w:rPr>
          <w:rFonts w:ascii="Garamond" w:hAnsi="Garamond"/>
          <w:sz w:val="20"/>
          <w:lang w:val="es-AR"/>
        </w:rPr>
        <w:t xml:space="preserve">Las Compañías han efectuado ajustes de redondeo a ciertos números contenidos en el presente </w:t>
      </w:r>
      <w:r w:rsidR="00175C3E" w:rsidRPr="00CA0A60">
        <w:rPr>
          <w:rFonts w:ascii="Garamond" w:hAnsi="Garamond"/>
          <w:sz w:val="20"/>
          <w:lang w:val="es-AR"/>
        </w:rPr>
        <w:t>Suplemento</w:t>
      </w:r>
      <w:r w:rsidRPr="00CA0A60">
        <w:rPr>
          <w:rFonts w:ascii="Garamond" w:hAnsi="Garamond"/>
          <w:sz w:val="20"/>
          <w:lang w:val="es-AR"/>
        </w:rPr>
        <w:t xml:space="preserve">. Como consecuencia de ello, </w:t>
      </w:r>
      <w:r w:rsidR="00CE45C7" w:rsidRPr="00CA0A60">
        <w:rPr>
          <w:rFonts w:ascii="Garamond" w:hAnsi="Garamond"/>
          <w:sz w:val="20"/>
          <w:lang w:val="es-AR"/>
        </w:rPr>
        <w:t xml:space="preserve">algunos </w:t>
      </w:r>
      <w:r w:rsidRPr="00CA0A60">
        <w:rPr>
          <w:rFonts w:ascii="Garamond" w:hAnsi="Garamond"/>
          <w:sz w:val="20"/>
          <w:lang w:val="es-AR"/>
        </w:rPr>
        <w:t>números presentados como totales podrán no ser siempre</w:t>
      </w:r>
      <w:r w:rsidR="00CE45C7" w:rsidRPr="00CA0A60">
        <w:rPr>
          <w:rFonts w:ascii="Garamond" w:hAnsi="Garamond"/>
          <w:sz w:val="20"/>
          <w:lang w:val="es-AR"/>
        </w:rPr>
        <w:t xml:space="preserve"> el resultado de las</w:t>
      </w:r>
      <w:r w:rsidRPr="00CA0A60">
        <w:rPr>
          <w:rFonts w:ascii="Garamond" w:hAnsi="Garamond"/>
          <w:sz w:val="20"/>
          <w:lang w:val="es-AR"/>
        </w:rPr>
        <w:t xml:space="preserve"> sumas aritméticas de sus componentes, tal cual son presentadas.</w:t>
      </w:r>
    </w:p>
    <w:p w14:paraId="1F3B1409" w14:textId="77777777" w:rsidR="00C7497A" w:rsidRPr="00CA0A60" w:rsidRDefault="00C7497A" w:rsidP="00C7497A">
      <w:pPr>
        <w:keepNext/>
        <w:keepLines/>
        <w:spacing w:after="0"/>
        <w:rPr>
          <w:b/>
          <w:lang w:val="es-AR"/>
        </w:rPr>
      </w:pPr>
    </w:p>
    <w:p w14:paraId="562C75D1" w14:textId="77777777" w:rsidR="00C7497A" w:rsidRPr="00CA0A60" w:rsidRDefault="00C7497A" w:rsidP="002C15E0">
      <w:pPr>
        <w:tabs>
          <w:tab w:val="left" w:pos="255"/>
        </w:tabs>
        <w:jc w:val="both"/>
        <w:rPr>
          <w:rFonts w:ascii="Garamond" w:eastAsia="MS Mincho" w:hAnsi="Garamond" w:cs="Times New Roman"/>
          <w:sz w:val="18"/>
          <w:szCs w:val="20"/>
          <w:lang w:val="es-AR" w:eastAsia="es-ES"/>
        </w:rPr>
      </w:pPr>
      <w:r w:rsidRPr="00CA0A60">
        <w:rPr>
          <w:lang w:val="es-AR"/>
        </w:rPr>
        <w:br w:type="page"/>
      </w:r>
    </w:p>
    <w:p w14:paraId="2FA7BB27" w14:textId="35298614" w:rsidR="00354069" w:rsidRPr="00CA0A60" w:rsidRDefault="00354069" w:rsidP="00354069">
      <w:pPr>
        <w:widowControl w:val="0"/>
        <w:spacing w:after="0" w:line="240" w:lineRule="auto"/>
        <w:jc w:val="center"/>
        <w:outlineLvl w:val="0"/>
        <w:rPr>
          <w:rFonts w:ascii="Garamond" w:eastAsia="MS Mincho" w:hAnsi="Garamond" w:cs="Times New Roman"/>
          <w:b/>
          <w:sz w:val="24"/>
          <w:szCs w:val="20"/>
          <w:lang w:val="es-AR" w:eastAsia="es-ES"/>
        </w:rPr>
      </w:pPr>
      <w:bookmarkStart w:id="67" w:name="_Toc14922243"/>
      <w:r w:rsidRPr="00CA0A60">
        <w:rPr>
          <w:rFonts w:ascii="Garamond" w:eastAsia="MS Mincho" w:hAnsi="Garamond" w:cs="Times New Roman"/>
          <w:b/>
          <w:sz w:val="24"/>
          <w:szCs w:val="20"/>
          <w:lang w:val="es-AR" w:eastAsia="es-ES"/>
        </w:rPr>
        <w:lastRenderedPageBreak/>
        <w:t>OFERTA DE LOS VALORES NEGOCIABLES</w:t>
      </w:r>
      <w:bookmarkEnd w:id="67"/>
    </w:p>
    <w:p w14:paraId="1A965116" w14:textId="77777777" w:rsidR="00354069" w:rsidRPr="00CA0A60" w:rsidRDefault="00354069" w:rsidP="00354069">
      <w:pPr>
        <w:spacing w:after="0" w:line="240" w:lineRule="auto"/>
        <w:jc w:val="center"/>
        <w:rPr>
          <w:rFonts w:ascii="Times New Roman" w:eastAsia="MS Mincho" w:hAnsi="Times New Roman" w:cs="Times New Roman"/>
          <w:b/>
          <w:sz w:val="24"/>
          <w:szCs w:val="20"/>
          <w:lang w:val="es-AR" w:eastAsia="es-ES"/>
        </w:rPr>
      </w:pPr>
    </w:p>
    <w:p w14:paraId="2572230F" w14:textId="77777777" w:rsidR="00354069" w:rsidRPr="00CA0A60" w:rsidRDefault="007C3E5C" w:rsidP="00002289">
      <w:pPr>
        <w:spacing w:after="0" w:line="240" w:lineRule="auto"/>
        <w:contextualSpacing/>
        <w:jc w:val="center"/>
        <w:rPr>
          <w:rFonts w:ascii="Garamond" w:eastAsia="MS Mincho" w:hAnsi="Garamond" w:cs="Times New Roman"/>
          <w:b/>
          <w:sz w:val="24"/>
          <w:szCs w:val="20"/>
          <w:lang w:val="es-AR" w:eastAsia="es-ES"/>
        </w:rPr>
      </w:pPr>
      <w:r w:rsidRPr="00CA0A60">
        <w:rPr>
          <w:rFonts w:ascii="Garamond" w:eastAsia="MS Mincho" w:hAnsi="Garamond" w:cs="Times New Roman"/>
          <w:b/>
          <w:sz w:val="24"/>
          <w:szCs w:val="20"/>
          <w:lang w:val="es-AR" w:eastAsia="es-ES"/>
        </w:rPr>
        <w:t>RESUMEN DE LOS TÉRMINOS Y CONDICIONES DE LAS OBLIGACIONES NEGOCIABLES</w:t>
      </w:r>
    </w:p>
    <w:p w14:paraId="7DF4E37C" w14:textId="77777777" w:rsidR="00354069" w:rsidRPr="00CA0A60" w:rsidRDefault="00354069" w:rsidP="00354069">
      <w:pPr>
        <w:spacing w:after="0" w:line="240" w:lineRule="auto"/>
        <w:contextualSpacing/>
        <w:rPr>
          <w:rFonts w:ascii="Garamond" w:eastAsia="MS Mincho" w:hAnsi="Garamond" w:cs="Times New Roman"/>
          <w:sz w:val="24"/>
          <w:szCs w:val="20"/>
          <w:lang w:val="es-AR" w:eastAsia="es-ES"/>
        </w:rPr>
      </w:pPr>
    </w:p>
    <w:p w14:paraId="5E8CE308" w14:textId="1ED89983" w:rsidR="00E33021" w:rsidRPr="00CA3A3D" w:rsidRDefault="00E33021" w:rsidP="00E33021">
      <w:pPr>
        <w:widowControl w:val="0"/>
        <w:tabs>
          <w:tab w:val="left" w:pos="9214"/>
        </w:tabs>
        <w:spacing w:after="120"/>
        <w:ind w:right="4"/>
        <w:jc w:val="both"/>
        <w:rPr>
          <w:rFonts w:ascii="Garamond" w:hAnsi="Garamond"/>
          <w:i/>
          <w:sz w:val="20"/>
          <w:szCs w:val="20"/>
          <w:lang w:val="es-AR"/>
        </w:rPr>
      </w:pPr>
      <w:r w:rsidRPr="00CA3A3D">
        <w:rPr>
          <w:rFonts w:ascii="Garamond" w:hAnsi="Garamond"/>
          <w:i/>
          <w:sz w:val="20"/>
          <w:szCs w:val="20"/>
          <w:lang w:val="es-AR"/>
        </w:rPr>
        <w:t>A continuación se resumen los principales términos y condiciones específicos de las Obligaciones Negociables, los que se deberán leer en forma conjunta con la sección “Descripción de la O</w:t>
      </w:r>
      <w:r w:rsidR="00981412" w:rsidRPr="00CA3A3D">
        <w:rPr>
          <w:rFonts w:ascii="Garamond" w:hAnsi="Garamond"/>
          <w:i/>
          <w:sz w:val="20"/>
          <w:szCs w:val="20"/>
          <w:lang w:val="es-AR"/>
        </w:rPr>
        <w:t>ferta y la Negociación”</w:t>
      </w:r>
      <w:r w:rsidRPr="00CA3A3D">
        <w:rPr>
          <w:rFonts w:ascii="Garamond" w:hAnsi="Garamond"/>
          <w:i/>
          <w:sz w:val="20"/>
          <w:szCs w:val="20"/>
          <w:lang w:val="es-AR"/>
        </w:rPr>
        <w:t xml:space="preserve"> del presente</w:t>
      </w:r>
      <w:r w:rsidR="00154FB7" w:rsidRPr="00CA3A3D">
        <w:rPr>
          <w:rFonts w:ascii="Garamond" w:hAnsi="Garamond"/>
          <w:i/>
          <w:sz w:val="20"/>
          <w:szCs w:val="20"/>
          <w:lang w:val="es-AR"/>
        </w:rPr>
        <w:t xml:space="preserve"> Suplemento</w:t>
      </w:r>
      <w:r w:rsidRPr="00CA3A3D">
        <w:rPr>
          <w:rFonts w:ascii="Garamond" w:hAnsi="Garamond"/>
          <w:i/>
          <w:sz w:val="20"/>
          <w:szCs w:val="20"/>
          <w:lang w:val="es-AR"/>
        </w:rPr>
        <w:t>. Estos términos y condiciones complementan los términos y condiciones generales que se detallan en la sección “De la Oferta y la Negociación - Términos y Condiciones</w:t>
      </w:r>
      <w:r w:rsidR="00981412" w:rsidRPr="00CA3A3D">
        <w:rPr>
          <w:rFonts w:ascii="Garamond" w:hAnsi="Garamond"/>
          <w:i/>
          <w:sz w:val="20"/>
          <w:szCs w:val="20"/>
          <w:lang w:val="es-AR"/>
        </w:rPr>
        <w:t xml:space="preserve"> de las Obligaciones Negociables</w:t>
      </w:r>
      <w:r w:rsidRPr="00CA3A3D">
        <w:rPr>
          <w:rFonts w:ascii="Garamond" w:hAnsi="Garamond"/>
          <w:i/>
          <w:sz w:val="20"/>
          <w:szCs w:val="20"/>
          <w:lang w:val="es-AR"/>
        </w:rPr>
        <w:t>” del Prospecto y deben ser leídos conjuntamente con estos últimos. Ciertos términos en mayúscula utilizados pero no definidos en el presente, tienen el significado que se les asigna en el Prospecto.</w:t>
      </w:r>
    </w:p>
    <w:tbl>
      <w:tblPr>
        <w:tblpPr w:leftFromText="141" w:rightFromText="141" w:vertAnchor="text" w:tblpY="1"/>
        <w:tblOverlap w:val="never"/>
        <w:tblW w:w="0" w:type="auto"/>
        <w:tblLook w:val="00A0" w:firstRow="1" w:lastRow="0" w:firstColumn="1" w:lastColumn="0" w:noHBand="0" w:noVBand="0"/>
      </w:tblPr>
      <w:tblGrid>
        <w:gridCol w:w="1654"/>
        <w:gridCol w:w="6851"/>
      </w:tblGrid>
      <w:tr w:rsidR="00F1205F" w:rsidRPr="00CA0A60" w14:paraId="374C0FA4" w14:textId="77777777" w:rsidTr="001D5C14">
        <w:tc>
          <w:tcPr>
            <w:tcW w:w="1654" w:type="dxa"/>
          </w:tcPr>
          <w:p w14:paraId="06CA6015" w14:textId="77777777" w:rsidR="00F1205F" w:rsidRPr="00CA0A60" w:rsidRDefault="00F1205F" w:rsidP="00B53742">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Co-Emisoras</w:t>
            </w:r>
          </w:p>
        </w:tc>
        <w:tc>
          <w:tcPr>
            <w:tcW w:w="6851" w:type="dxa"/>
          </w:tcPr>
          <w:p w14:paraId="63C7E0B2" w14:textId="77777777" w:rsidR="00F1205F" w:rsidRPr="00CA0A60" w:rsidRDefault="00F1205F" w:rsidP="00B53742">
            <w:pPr>
              <w:pStyle w:val="CellBody"/>
              <w:widowControl w:val="0"/>
              <w:spacing w:before="120" w:after="120" w:line="240" w:lineRule="auto"/>
              <w:jc w:val="both"/>
              <w:rPr>
                <w:rFonts w:ascii="Garamond" w:eastAsia="MS Mincho" w:hAnsi="Garamond"/>
                <w:szCs w:val="22"/>
                <w:lang w:val="es-AR" w:eastAsia="en-US"/>
              </w:rPr>
            </w:pPr>
            <w:r w:rsidRPr="00CA0A60">
              <w:rPr>
                <w:rFonts w:ascii="Garamond" w:eastAsia="MS Mincho" w:hAnsi="Garamond"/>
                <w:szCs w:val="22"/>
                <w:lang w:val="es-AR" w:eastAsia="en-US"/>
              </w:rPr>
              <w:t>Generación Mediterránea S.A. y Central Térmica Roca S.A.</w:t>
            </w:r>
          </w:p>
          <w:p w14:paraId="5398E28B" w14:textId="77777777" w:rsidR="00F1205F" w:rsidRPr="00CA0A60" w:rsidRDefault="00F1205F" w:rsidP="005C139D">
            <w:pPr>
              <w:pStyle w:val="CellBody"/>
              <w:widowControl w:val="0"/>
              <w:spacing w:before="120" w:after="120" w:line="240" w:lineRule="auto"/>
              <w:jc w:val="both"/>
              <w:rPr>
                <w:rFonts w:ascii="Garamond" w:eastAsia="MS Mincho" w:hAnsi="Garamond"/>
                <w:szCs w:val="22"/>
                <w:lang w:val="es-AR" w:eastAsia="en-US"/>
              </w:rPr>
            </w:pPr>
            <w:r w:rsidRPr="00CA0A60">
              <w:rPr>
                <w:rFonts w:ascii="Garamond" w:eastAsia="MS Mincho" w:hAnsi="Garamond"/>
                <w:szCs w:val="22"/>
                <w:lang w:val="es-AR" w:eastAsia="en-US"/>
              </w:rPr>
              <w:t>Las</w:t>
            </w:r>
            <w:r w:rsidR="00BA731C" w:rsidRPr="00CA0A60">
              <w:rPr>
                <w:rFonts w:ascii="Garamond" w:eastAsia="MS Mincho" w:hAnsi="Garamond"/>
                <w:szCs w:val="22"/>
                <w:lang w:val="es-AR" w:eastAsia="en-US"/>
              </w:rPr>
              <w:t xml:space="preserve"> Co-Emisoras</w:t>
            </w:r>
            <w:r w:rsidRPr="00CA0A60">
              <w:rPr>
                <w:rFonts w:ascii="Garamond" w:eastAsia="MS Mincho" w:hAnsi="Garamond"/>
                <w:szCs w:val="22"/>
                <w:lang w:val="es-AR" w:eastAsia="en-US"/>
              </w:rPr>
              <w:t xml:space="preserve"> serán co-deudoras y solidariamente responsables respecto de cualquier obligación </w:t>
            </w:r>
            <w:r w:rsidR="005C139D" w:rsidRPr="00CA0A60">
              <w:rPr>
                <w:rFonts w:ascii="Garamond" w:eastAsia="MS Mincho" w:hAnsi="Garamond"/>
                <w:szCs w:val="22"/>
                <w:lang w:val="es-AR" w:eastAsia="en-US"/>
              </w:rPr>
              <w:t xml:space="preserve">que surja de </w:t>
            </w:r>
            <w:r w:rsidRPr="00CA0A60">
              <w:rPr>
                <w:rFonts w:ascii="Garamond" w:eastAsia="MS Mincho" w:hAnsi="Garamond"/>
                <w:szCs w:val="22"/>
                <w:lang w:val="es-AR" w:eastAsia="en-US"/>
              </w:rPr>
              <w:t>las Obligaciones Negociables.</w:t>
            </w:r>
          </w:p>
        </w:tc>
      </w:tr>
      <w:tr w:rsidR="00F1205F" w:rsidRPr="00CA0A60" w14:paraId="4497841B" w14:textId="77777777" w:rsidTr="001D5C14">
        <w:tc>
          <w:tcPr>
            <w:tcW w:w="1654" w:type="dxa"/>
          </w:tcPr>
          <w:p w14:paraId="1889BE0D" w14:textId="77777777" w:rsidR="00F1205F" w:rsidRPr="00CA0A60" w:rsidRDefault="00F1205F" w:rsidP="00B53742">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Garante</w:t>
            </w:r>
          </w:p>
        </w:tc>
        <w:tc>
          <w:tcPr>
            <w:tcW w:w="6851" w:type="dxa"/>
          </w:tcPr>
          <w:p w14:paraId="7D561F24" w14:textId="63A350A7" w:rsidR="00F1205F" w:rsidRPr="00CA0A60" w:rsidRDefault="00F1205F" w:rsidP="00B53742">
            <w:pPr>
              <w:pStyle w:val="CellBody"/>
              <w:widowControl w:val="0"/>
              <w:spacing w:before="120" w:after="120" w:line="240" w:lineRule="auto"/>
              <w:jc w:val="both"/>
              <w:rPr>
                <w:rFonts w:ascii="Garamond" w:eastAsia="MS Mincho" w:hAnsi="Garamond"/>
                <w:szCs w:val="22"/>
                <w:lang w:val="es-AR" w:eastAsia="en-US"/>
              </w:rPr>
            </w:pPr>
            <w:r w:rsidRPr="00CA0A60">
              <w:rPr>
                <w:rFonts w:ascii="Garamond" w:eastAsia="MS Mincho" w:hAnsi="Garamond"/>
                <w:szCs w:val="22"/>
                <w:lang w:val="es-AR" w:eastAsia="en-US"/>
              </w:rPr>
              <w:t>Albanesi S.A.</w:t>
            </w:r>
            <w:r w:rsidR="008A5F57">
              <w:rPr>
                <w:rFonts w:ascii="Garamond" w:eastAsia="MS Mincho" w:hAnsi="Garamond"/>
                <w:szCs w:val="22"/>
                <w:lang w:val="es-AR" w:eastAsia="en-US"/>
              </w:rPr>
              <w:t xml:space="preserve"> será solidariamente responsable con las Co-Emisoras respecto de cualquier obligación que surja de las Obligaciones Negociables.</w:t>
            </w:r>
          </w:p>
          <w:p w14:paraId="1E0FE923" w14:textId="235AFB4E" w:rsidR="00F1205F" w:rsidRPr="00CA0A60" w:rsidRDefault="009F0D21" w:rsidP="0037156A">
            <w:pPr>
              <w:pStyle w:val="CellBody"/>
              <w:widowControl w:val="0"/>
              <w:spacing w:before="120" w:after="120" w:line="240" w:lineRule="auto"/>
              <w:jc w:val="both"/>
              <w:rPr>
                <w:rFonts w:ascii="Garamond" w:hAnsi="Garamond"/>
                <w:szCs w:val="22"/>
                <w:lang w:val="es-AR"/>
              </w:rPr>
            </w:pPr>
            <w:r>
              <w:rPr>
                <w:rFonts w:ascii="Garamond" w:eastAsia="MS Mincho" w:hAnsi="Garamond"/>
                <w:szCs w:val="22"/>
                <w:lang w:val="es-AR" w:eastAsia="en-US"/>
              </w:rPr>
              <w:t xml:space="preserve">De conformidad con el Contrato de Fideicomiso (según se define más adelante), </w:t>
            </w:r>
            <w:r w:rsidRPr="009F0D21">
              <w:rPr>
                <w:rFonts w:ascii="Garamond" w:eastAsia="MS Mincho" w:hAnsi="Garamond"/>
                <w:szCs w:val="22"/>
                <w:lang w:val="es-AR" w:eastAsia="en-US"/>
              </w:rPr>
              <w:t xml:space="preserve">las obligaciones de las Co-Emisoras estarán incondicionalmente afianzadas en su totalidad, en forma solidaria, con garantía común sobre su patrimonio, (i) inicialmente, por el Albanesi S.A.; y (ii) posteriormente, por (i) cualquier Subsidiaria Restringida (conforme se define más adelante) de Albanesi S.A. que deba brindar una Garantía (conforme se define más adelante) con respecto a las Obligaciones Negociables de acuerdo con el compromiso del Contrato de Fideicomiso descripto bajo </w:t>
            </w:r>
            <w:r w:rsidRPr="00582114">
              <w:rPr>
                <w:rFonts w:ascii="Garamond" w:eastAsia="MS Mincho" w:hAnsi="Garamond"/>
                <w:i/>
                <w:szCs w:val="22"/>
                <w:lang w:val="es-AR" w:eastAsia="en-US"/>
              </w:rPr>
              <w:t xml:space="preserve">“Descripción de las Obligaciones Negociables—Garantías de ASA—Garantías de Obligaciones Negociables Futuras” </w:t>
            </w:r>
            <w:r w:rsidRPr="009F0D21">
              <w:rPr>
                <w:rFonts w:ascii="Garamond" w:eastAsia="MS Mincho" w:hAnsi="Garamond"/>
                <w:szCs w:val="22"/>
                <w:lang w:val="es-AR" w:eastAsia="en-US"/>
              </w:rPr>
              <w:t>del presente Suplemento de Prospecto.</w:t>
            </w:r>
            <w:r w:rsidR="00F1205F" w:rsidRPr="00CA0A60">
              <w:rPr>
                <w:rFonts w:ascii="Garamond" w:eastAsia="MS Mincho" w:hAnsi="Garamond"/>
                <w:szCs w:val="22"/>
                <w:lang w:val="es-AR" w:eastAsia="en-US"/>
              </w:rPr>
              <w:t xml:space="preserve">. </w:t>
            </w:r>
          </w:p>
        </w:tc>
      </w:tr>
      <w:tr w:rsidR="00F1205F" w:rsidRPr="00CA0A60" w14:paraId="5D3E632A" w14:textId="77777777" w:rsidTr="001D5C14">
        <w:tc>
          <w:tcPr>
            <w:tcW w:w="1654" w:type="dxa"/>
          </w:tcPr>
          <w:p w14:paraId="7CF7CAE3" w14:textId="77777777" w:rsidR="00F1205F" w:rsidRPr="00CA0A60" w:rsidRDefault="00F1205F" w:rsidP="00B53742">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Descripción</w:t>
            </w:r>
          </w:p>
        </w:tc>
        <w:tc>
          <w:tcPr>
            <w:tcW w:w="6851" w:type="dxa"/>
          </w:tcPr>
          <w:p w14:paraId="38B833BB" w14:textId="74679F9F" w:rsidR="00F1205F" w:rsidRPr="00CA0A60" w:rsidRDefault="00F1205F" w:rsidP="00F838EA">
            <w:pPr>
              <w:spacing w:before="120" w:after="120" w:line="240" w:lineRule="auto"/>
              <w:jc w:val="both"/>
              <w:rPr>
                <w:rFonts w:ascii="Garamond" w:hAnsi="Garamond"/>
                <w:sz w:val="20"/>
                <w:szCs w:val="20"/>
                <w:lang w:val="es-AR"/>
              </w:rPr>
            </w:pPr>
            <w:r w:rsidRPr="00CA0A60">
              <w:rPr>
                <w:rFonts w:ascii="Garamond" w:eastAsia="MS Mincho" w:hAnsi="Garamond"/>
                <w:sz w:val="20"/>
                <w:szCs w:val="20"/>
                <w:lang w:val="es-AR"/>
              </w:rPr>
              <w:t xml:space="preserve">Obligaciones negociables simples, no convertibles en acciones, no subordinadas, con garantía especial e incondicional e irrevocablemente </w:t>
            </w:r>
            <w:r w:rsidR="00C50500">
              <w:rPr>
                <w:rFonts w:ascii="Garamond" w:eastAsia="MS Mincho" w:hAnsi="Garamond"/>
                <w:sz w:val="20"/>
                <w:szCs w:val="20"/>
                <w:lang w:val="es-AR"/>
              </w:rPr>
              <w:t>afianzadas</w:t>
            </w:r>
            <w:r w:rsidR="00C50500" w:rsidRPr="00CA0A60">
              <w:rPr>
                <w:rFonts w:ascii="Garamond" w:eastAsia="MS Mincho" w:hAnsi="Garamond"/>
                <w:sz w:val="20"/>
                <w:szCs w:val="20"/>
                <w:lang w:val="es-AR"/>
              </w:rPr>
              <w:t xml:space="preserve"> </w:t>
            </w:r>
            <w:r w:rsidRPr="00CA0A60">
              <w:rPr>
                <w:rFonts w:ascii="Garamond" w:eastAsia="MS Mincho" w:hAnsi="Garamond"/>
                <w:sz w:val="20"/>
                <w:szCs w:val="20"/>
                <w:lang w:val="es-AR"/>
              </w:rPr>
              <w:t xml:space="preserve">por </w:t>
            </w:r>
            <w:r w:rsidR="00CD2DF5" w:rsidRPr="00CA0A60">
              <w:rPr>
                <w:rFonts w:ascii="Garamond" w:eastAsia="MS Mincho" w:hAnsi="Garamond"/>
                <w:sz w:val="20"/>
                <w:szCs w:val="20"/>
                <w:lang w:val="es-AR"/>
              </w:rPr>
              <w:t>e</w:t>
            </w:r>
            <w:r w:rsidRPr="00CA0A60">
              <w:rPr>
                <w:rFonts w:ascii="Garamond" w:eastAsia="MS Mincho" w:hAnsi="Garamond"/>
                <w:sz w:val="20"/>
                <w:szCs w:val="20"/>
                <w:lang w:val="es-AR"/>
              </w:rPr>
              <w:t>l Garante, emitidas conforme con la Ley de Obligaciones Negociables y demás normas vigentes.</w:t>
            </w:r>
          </w:p>
        </w:tc>
      </w:tr>
      <w:tr w:rsidR="00F1205F" w:rsidRPr="00CA0A60" w14:paraId="7D8B0997" w14:textId="77777777" w:rsidTr="001D5C14">
        <w:tc>
          <w:tcPr>
            <w:tcW w:w="1654" w:type="dxa"/>
          </w:tcPr>
          <w:p w14:paraId="47CA6D6D" w14:textId="77777777" w:rsidR="00F1205F" w:rsidRPr="00CA0A60" w:rsidRDefault="00F1205F" w:rsidP="00B53742">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Clase</w:t>
            </w:r>
          </w:p>
        </w:tc>
        <w:tc>
          <w:tcPr>
            <w:tcW w:w="6851" w:type="dxa"/>
          </w:tcPr>
          <w:p w14:paraId="4B56B8ED" w14:textId="77777777" w:rsidR="00F1205F" w:rsidRPr="00CA3A3D" w:rsidRDefault="00157F53" w:rsidP="00B53742">
            <w:pPr>
              <w:pStyle w:val="CellBody"/>
              <w:widowControl w:val="0"/>
              <w:spacing w:before="120" w:after="120" w:line="240" w:lineRule="auto"/>
              <w:jc w:val="both"/>
              <w:rPr>
                <w:rFonts w:ascii="Garamond" w:hAnsi="Garamond"/>
                <w:lang w:val="es-AR"/>
              </w:rPr>
            </w:pPr>
            <w:r w:rsidRPr="00CA0A60">
              <w:rPr>
                <w:rFonts w:ascii="Garamond" w:hAnsi="Garamond"/>
                <w:lang w:val="es-AR"/>
              </w:rPr>
              <w:t>II</w:t>
            </w:r>
            <w:r w:rsidR="00F1205F" w:rsidRPr="00713D6E">
              <w:rPr>
                <w:rFonts w:ascii="Garamond" w:hAnsi="Garamond"/>
                <w:lang w:val="es-AR"/>
              </w:rPr>
              <w:t>.</w:t>
            </w:r>
          </w:p>
        </w:tc>
      </w:tr>
      <w:tr w:rsidR="00F1205F" w:rsidRPr="00CA0A60" w14:paraId="1721534F" w14:textId="77777777" w:rsidTr="001D5C14">
        <w:tc>
          <w:tcPr>
            <w:tcW w:w="1654" w:type="dxa"/>
          </w:tcPr>
          <w:p w14:paraId="1E620243" w14:textId="77777777" w:rsidR="00F1205F" w:rsidRPr="00CA0A60" w:rsidRDefault="00F1205F" w:rsidP="00B53742">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Moneda de Denominación y Pago</w:t>
            </w:r>
          </w:p>
        </w:tc>
        <w:tc>
          <w:tcPr>
            <w:tcW w:w="6851" w:type="dxa"/>
          </w:tcPr>
          <w:p w14:paraId="09F9C48E" w14:textId="77777777" w:rsidR="00F1205F" w:rsidRPr="00CA0A60" w:rsidRDefault="00157F53" w:rsidP="00B53742">
            <w:pPr>
              <w:pStyle w:val="CellBody"/>
              <w:widowControl w:val="0"/>
              <w:spacing w:before="120" w:after="120" w:line="240" w:lineRule="auto"/>
              <w:jc w:val="both"/>
              <w:rPr>
                <w:rFonts w:ascii="Garamond" w:hAnsi="Garamond"/>
                <w:lang w:val="es-AR"/>
              </w:rPr>
            </w:pPr>
            <w:r w:rsidRPr="00CA0A60">
              <w:rPr>
                <w:rFonts w:ascii="Garamond" w:eastAsia="MS Mincho" w:hAnsi="Garamond"/>
                <w:lang w:val="es-AR" w:eastAsia="en-US"/>
              </w:rPr>
              <w:t>Dólares Estadounidenses</w:t>
            </w:r>
            <w:r w:rsidR="00F1205F" w:rsidRPr="00CA0A60">
              <w:rPr>
                <w:rFonts w:ascii="Garamond" w:hAnsi="Garamond"/>
                <w:lang w:val="es-AR"/>
              </w:rPr>
              <w:t>.</w:t>
            </w:r>
          </w:p>
        </w:tc>
      </w:tr>
      <w:tr w:rsidR="008D2028" w:rsidRPr="00CA0A60" w14:paraId="2772913E" w14:textId="77777777" w:rsidTr="005E14F3">
        <w:tc>
          <w:tcPr>
            <w:tcW w:w="1654" w:type="dxa"/>
            <w:shd w:val="clear" w:color="auto" w:fill="auto"/>
          </w:tcPr>
          <w:p w14:paraId="3944E916" w14:textId="77777777" w:rsidR="008D2028" w:rsidRPr="00CA0A60" w:rsidRDefault="008D2028" w:rsidP="00B53742">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 xml:space="preserve">Moneda de Suscripción e Integración </w:t>
            </w:r>
          </w:p>
        </w:tc>
        <w:tc>
          <w:tcPr>
            <w:tcW w:w="6851" w:type="dxa"/>
            <w:shd w:val="clear" w:color="auto" w:fill="auto"/>
          </w:tcPr>
          <w:p w14:paraId="66BFBBD1" w14:textId="72322230" w:rsidR="008D2028" w:rsidRPr="00CA0A60" w:rsidRDefault="00BD3B7C" w:rsidP="00CF358B">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 xml:space="preserve">Los Inversores Calificados que participen de la Oferta Local, </w:t>
            </w:r>
            <w:r w:rsidR="00CF358B" w:rsidRPr="00CA0A60">
              <w:rPr>
                <w:rFonts w:ascii="Garamond" w:hAnsi="Garamond"/>
                <w:szCs w:val="22"/>
                <w:lang w:val="es-AR"/>
              </w:rPr>
              <w:t>deber</w:t>
            </w:r>
            <w:r w:rsidRPr="00CA0A60">
              <w:rPr>
                <w:rFonts w:ascii="Garamond" w:hAnsi="Garamond"/>
                <w:szCs w:val="22"/>
                <w:lang w:val="es-AR"/>
              </w:rPr>
              <w:t>án suscribir e integrar las Obligaciones Negociables Clase II en Dólares Estadounidenses</w:t>
            </w:r>
            <w:r w:rsidR="00C25C8F" w:rsidRPr="00CA0A60">
              <w:rPr>
                <w:rFonts w:ascii="Garamond" w:hAnsi="Garamond"/>
                <w:szCs w:val="22"/>
                <w:lang w:val="es-AR"/>
              </w:rPr>
              <w:t xml:space="preserve"> y/o en Pesos (convertidos al Tipo de Cambio Aplicable</w:t>
            </w:r>
            <w:r w:rsidR="009D1218">
              <w:rPr>
                <w:rFonts w:ascii="Garamond" w:hAnsi="Garamond"/>
                <w:szCs w:val="22"/>
                <w:lang w:val="es-AR"/>
              </w:rPr>
              <w:t xml:space="preserve"> (tal como se define a continuación)</w:t>
            </w:r>
            <w:r w:rsidR="00C25C8F" w:rsidRPr="00CA0A60">
              <w:rPr>
                <w:rFonts w:ascii="Garamond" w:hAnsi="Garamond"/>
                <w:szCs w:val="22"/>
                <w:lang w:val="es-AR"/>
              </w:rPr>
              <w:t>)</w:t>
            </w:r>
            <w:r w:rsidR="001B35F3" w:rsidRPr="00CA0A60">
              <w:rPr>
                <w:rFonts w:ascii="Garamond" w:hAnsi="Garamond"/>
                <w:szCs w:val="22"/>
                <w:lang w:val="es-AR"/>
              </w:rPr>
              <w:t>.</w:t>
            </w:r>
            <w:r w:rsidR="00CF1BA1" w:rsidRPr="00CA0A60">
              <w:rPr>
                <w:rFonts w:ascii="Garamond" w:hAnsi="Garamond"/>
                <w:szCs w:val="22"/>
                <w:lang w:val="es-AR"/>
              </w:rPr>
              <w:t xml:space="preserve"> </w:t>
            </w:r>
          </w:p>
          <w:p w14:paraId="2202F898" w14:textId="77777777" w:rsidR="00CF1BA1" w:rsidRPr="00CA0A60" w:rsidRDefault="00CF1BA1" w:rsidP="006D6E60">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Los Inversores acreditados e institucionales calificados que participen en la Oferta Internacional, deberán suscribir e integrar las Obligaciones Negociables Clase II en Dólares Estadounidenses.</w:t>
            </w:r>
          </w:p>
          <w:p w14:paraId="7208F1FA" w14:textId="03C2AEEA" w:rsidR="00DF6632" w:rsidRPr="00CA0A60" w:rsidRDefault="009D1218" w:rsidP="009D1218">
            <w:pPr>
              <w:autoSpaceDE w:val="0"/>
              <w:autoSpaceDN w:val="0"/>
              <w:adjustRightInd w:val="0"/>
              <w:spacing w:after="0" w:line="240" w:lineRule="auto"/>
              <w:jc w:val="both"/>
              <w:rPr>
                <w:rFonts w:ascii="Garamond" w:eastAsia="Times New Roman" w:hAnsi="Garamond" w:cs="Times New Roman"/>
                <w:kern w:val="20"/>
                <w:sz w:val="20"/>
                <w:lang w:val="es-AR" w:eastAsia="en-GB"/>
              </w:rPr>
            </w:pPr>
            <w:r>
              <w:rPr>
                <w:rFonts w:ascii="Garamond" w:eastAsia="Times New Roman" w:hAnsi="Garamond" w:cs="Times New Roman"/>
                <w:kern w:val="20"/>
                <w:sz w:val="20"/>
                <w:lang w:val="es-AR" w:eastAsia="en-GB"/>
              </w:rPr>
              <w:t xml:space="preserve">El </w:t>
            </w:r>
            <w:r w:rsidRPr="009D1218">
              <w:rPr>
                <w:rFonts w:ascii="Garamond" w:eastAsia="Times New Roman" w:hAnsi="Garamond" w:cs="Times New Roman"/>
                <w:kern w:val="20"/>
                <w:sz w:val="20"/>
                <w:lang w:val="es-AR" w:eastAsia="en-GB"/>
              </w:rPr>
              <w:t>tipo de cambio aplicable</w:t>
            </w:r>
            <w:r w:rsidR="00C25C8F" w:rsidRPr="00CA0A60">
              <w:rPr>
                <w:rFonts w:ascii="Garamond" w:eastAsia="Times New Roman" w:hAnsi="Garamond" w:cs="Times New Roman"/>
                <w:kern w:val="20"/>
                <w:sz w:val="20"/>
                <w:lang w:val="es-AR" w:eastAsia="en-GB"/>
              </w:rPr>
              <w:t xml:space="preserve"> significa el </w:t>
            </w:r>
            <w:r w:rsidR="00A2246A">
              <w:rPr>
                <w:rFonts w:ascii="Garamond" w:eastAsia="Times New Roman" w:hAnsi="Garamond" w:cs="Times New Roman"/>
                <w:kern w:val="20"/>
                <w:sz w:val="20"/>
                <w:lang w:val="es-AR" w:eastAsia="en-GB"/>
              </w:rPr>
              <w:t>el</w:t>
            </w:r>
            <w:r w:rsidR="00C25C8F" w:rsidRPr="00CA0A60">
              <w:rPr>
                <w:rFonts w:ascii="Garamond" w:eastAsia="Times New Roman" w:hAnsi="Garamond" w:cs="Times New Roman"/>
                <w:kern w:val="20"/>
                <w:sz w:val="20"/>
                <w:lang w:val="es-AR" w:eastAsia="en-GB"/>
              </w:rPr>
              <w:t xml:space="preserve"> tipo de</w:t>
            </w:r>
            <w:r w:rsidR="00DF6632" w:rsidRPr="00CA0A60">
              <w:rPr>
                <w:rFonts w:ascii="Garamond" w:eastAsia="Times New Roman" w:hAnsi="Garamond" w:cs="Times New Roman"/>
                <w:kern w:val="20"/>
                <w:sz w:val="20"/>
                <w:lang w:val="es-AR" w:eastAsia="en-GB"/>
              </w:rPr>
              <w:t xml:space="preserve"> cambio determinado y publicado por el BCRA mediante la Comunicación “A” 3500 (o la regulación que la sucediera o modificase en el tiempo) e</w:t>
            </w:r>
            <w:r w:rsidR="00A2246A">
              <w:rPr>
                <w:rFonts w:ascii="Garamond" w:eastAsia="Times New Roman" w:hAnsi="Garamond" w:cs="Times New Roman"/>
                <w:kern w:val="20"/>
                <w:sz w:val="20"/>
                <w:lang w:val="es-AR" w:eastAsia="en-GB"/>
              </w:rPr>
              <w:t>l Día Hábil</w:t>
            </w:r>
            <w:r w:rsidR="00DF6632" w:rsidRPr="00CA0A60">
              <w:rPr>
                <w:rFonts w:ascii="Garamond" w:eastAsia="Times New Roman" w:hAnsi="Garamond" w:cs="Times New Roman"/>
                <w:kern w:val="20"/>
                <w:sz w:val="20"/>
                <w:lang w:val="es-AR" w:eastAsia="en-GB"/>
              </w:rPr>
              <w:t xml:space="preserve"> </w:t>
            </w:r>
            <w:r w:rsidR="00A2246A">
              <w:rPr>
                <w:rFonts w:ascii="Garamond" w:eastAsia="Times New Roman" w:hAnsi="Garamond" w:cs="Times New Roman"/>
                <w:kern w:val="20"/>
                <w:sz w:val="20"/>
                <w:lang w:val="es-AR" w:eastAsia="en-GB"/>
              </w:rPr>
              <w:t>inmediato anterior</w:t>
            </w:r>
            <w:r w:rsidR="00DF6632" w:rsidRPr="00CA0A60">
              <w:rPr>
                <w:rFonts w:ascii="Garamond" w:eastAsia="Times New Roman" w:hAnsi="Garamond" w:cs="Times New Roman"/>
                <w:kern w:val="20"/>
                <w:sz w:val="20"/>
                <w:lang w:val="es-AR" w:eastAsia="en-GB"/>
              </w:rPr>
              <w:t xml:space="preserve"> </w:t>
            </w:r>
            <w:r w:rsidR="00A2246A">
              <w:rPr>
                <w:rFonts w:ascii="Garamond" w:eastAsia="Times New Roman" w:hAnsi="Garamond" w:cs="Times New Roman"/>
                <w:kern w:val="20"/>
                <w:sz w:val="20"/>
                <w:lang w:val="es-AR" w:eastAsia="en-GB"/>
              </w:rPr>
              <w:t>al día del Período de Oferta</w:t>
            </w:r>
            <w:r>
              <w:rPr>
                <w:rFonts w:ascii="Garamond" w:eastAsia="Times New Roman" w:hAnsi="Garamond" w:cs="Times New Roman"/>
                <w:kern w:val="20"/>
                <w:sz w:val="20"/>
                <w:lang w:val="es-AR" w:eastAsia="en-GB"/>
              </w:rPr>
              <w:t xml:space="preserve"> (el “</w:t>
            </w:r>
            <w:r w:rsidRPr="00582114">
              <w:rPr>
                <w:rFonts w:ascii="Garamond" w:eastAsia="Times New Roman" w:hAnsi="Garamond" w:cs="Times New Roman"/>
                <w:kern w:val="20"/>
                <w:sz w:val="20"/>
                <w:u w:val="single"/>
                <w:lang w:val="es-AR" w:eastAsia="en-GB"/>
              </w:rPr>
              <w:t>Tipo de Cambio Aplicable</w:t>
            </w:r>
            <w:r>
              <w:rPr>
                <w:rFonts w:ascii="Garamond" w:eastAsia="Times New Roman" w:hAnsi="Garamond" w:cs="Times New Roman"/>
                <w:kern w:val="20"/>
                <w:sz w:val="20"/>
                <w:lang w:val="es-AR" w:eastAsia="en-GB"/>
              </w:rPr>
              <w:t>”)</w:t>
            </w:r>
            <w:r w:rsidR="00DF6632" w:rsidRPr="00CA0A60">
              <w:rPr>
                <w:rFonts w:ascii="Garamond" w:eastAsia="Times New Roman" w:hAnsi="Garamond" w:cs="Times New Roman"/>
                <w:kern w:val="20"/>
                <w:sz w:val="20"/>
                <w:lang w:val="es-AR" w:eastAsia="en-GB"/>
              </w:rPr>
              <w:t>.</w:t>
            </w:r>
          </w:p>
          <w:p w14:paraId="64D9C0E8" w14:textId="16176DD6" w:rsidR="00C25C8F" w:rsidRPr="00CA3A3D" w:rsidRDefault="00DF6632" w:rsidP="00582114">
            <w:pPr>
              <w:autoSpaceDE w:val="0"/>
              <w:autoSpaceDN w:val="0"/>
              <w:adjustRightInd w:val="0"/>
              <w:spacing w:after="0" w:line="240" w:lineRule="auto"/>
              <w:jc w:val="both"/>
              <w:rPr>
                <w:lang w:val="es-AR"/>
              </w:rPr>
            </w:pPr>
            <w:r w:rsidRPr="00CA0A60">
              <w:rPr>
                <w:rFonts w:ascii="Garamond" w:eastAsia="Times New Roman" w:hAnsi="Garamond" w:cs="Times New Roman"/>
                <w:kern w:val="20"/>
                <w:sz w:val="20"/>
                <w:lang w:val="es-AR" w:eastAsia="en-GB"/>
              </w:rPr>
              <w:t xml:space="preserve"> </w:t>
            </w:r>
          </w:p>
        </w:tc>
      </w:tr>
      <w:tr w:rsidR="00C25C8F" w:rsidRPr="00CA0A60" w14:paraId="05717D37" w14:textId="77777777" w:rsidTr="005E14F3">
        <w:tc>
          <w:tcPr>
            <w:tcW w:w="1654" w:type="dxa"/>
            <w:shd w:val="clear" w:color="auto" w:fill="auto"/>
          </w:tcPr>
          <w:p w14:paraId="2F5C1526" w14:textId="7DE4E053" w:rsidR="00C25C8F" w:rsidRPr="00CA0A60" w:rsidRDefault="00C25C8F" w:rsidP="00B53742">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Monto Máximo de Emisión</w:t>
            </w:r>
          </w:p>
        </w:tc>
        <w:tc>
          <w:tcPr>
            <w:tcW w:w="6851" w:type="dxa"/>
            <w:shd w:val="clear" w:color="auto" w:fill="auto"/>
          </w:tcPr>
          <w:p w14:paraId="7AA42021" w14:textId="11472B37" w:rsidR="00C25C8F" w:rsidRPr="00CA0A60" w:rsidRDefault="00C25C8F" w:rsidP="003B31A6">
            <w:pPr>
              <w:autoSpaceDE w:val="0"/>
              <w:autoSpaceDN w:val="0"/>
              <w:adjustRightInd w:val="0"/>
              <w:spacing w:after="0" w:line="240" w:lineRule="auto"/>
              <w:jc w:val="both"/>
              <w:rPr>
                <w:rFonts w:ascii="Garamond" w:hAnsi="Garamond"/>
                <w:lang w:val="es-AR"/>
              </w:rPr>
            </w:pPr>
            <w:r w:rsidRPr="00CA0A60">
              <w:rPr>
                <w:rFonts w:ascii="Garamond" w:eastAsia="Times New Roman" w:hAnsi="Garamond" w:cs="Times New Roman"/>
                <w:kern w:val="20"/>
                <w:sz w:val="20"/>
                <w:lang w:val="es-AR" w:eastAsia="en-GB"/>
              </w:rPr>
              <w:t>Hasta U$S</w:t>
            </w:r>
            <w:r w:rsidR="00B93192">
              <w:rPr>
                <w:rFonts w:ascii="Garamond" w:eastAsia="Times New Roman" w:hAnsi="Garamond" w:cs="Times New Roman"/>
                <w:kern w:val="20"/>
                <w:sz w:val="20"/>
                <w:lang w:val="es-AR" w:eastAsia="en-GB"/>
              </w:rPr>
              <w:t>85</w:t>
            </w:r>
            <w:r w:rsidRPr="00CA0A60">
              <w:rPr>
                <w:rFonts w:ascii="Garamond" w:eastAsia="Times New Roman" w:hAnsi="Garamond" w:cs="Times New Roman"/>
                <w:kern w:val="20"/>
                <w:sz w:val="20"/>
                <w:lang w:val="es-AR" w:eastAsia="en-GB"/>
              </w:rPr>
              <w:t>.000.000 (Dólares Estadounidenses noventa millones). El valor nominal</w:t>
            </w:r>
            <w:r w:rsidR="0049203C" w:rsidRPr="00CA0A60">
              <w:rPr>
                <w:rFonts w:ascii="Garamond" w:eastAsia="Times New Roman" w:hAnsi="Garamond" w:cs="Times New Roman"/>
                <w:kern w:val="20"/>
                <w:sz w:val="20"/>
                <w:lang w:val="es-AR" w:eastAsia="en-GB"/>
              </w:rPr>
              <w:t xml:space="preserve"> </w:t>
            </w:r>
            <w:r w:rsidRPr="00CA0A60">
              <w:rPr>
                <w:rFonts w:ascii="Garamond" w:eastAsia="Times New Roman" w:hAnsi="Garamond" w:cs="Times New Roman"/>
                <w:kern w:val="20"/>
                <w:sz w:val="20"/>
                <w:lang w:val="es-AR" w:eastAsia="en-GB"/>
              </w:rPr>
              <w:t>total a ser emitido será informado oportunamente en el Aviso de Resultados (tal</w:t>
            </w:r>
            <w:r w:rsidR="0049203C" w:rsidRPr="00CA0A60">
              <w:rPr>
                <w:rFonts w:ascii="Garamond" w:eastAsia="Times New Roman" w:hAnsi="Garamond" w:cs="Times New Roman"/>
                <w:kern w:val="20"/>
                <w:sz w:val="20"/>
                <w:lang w:val="es-AR" w:eastAsia="en-GB"/>
              </w:rPr>
              <w:t xml:space="preserve"> </w:t>
            </w:r>
            <w:r w:rsidRPr="00CA0A60">
              <w:rPr>
                <w:rFonts w:ascii="Garamond" w:eastAsia="Times New Roman" w:hAnsi="Garamond" w:cs="Times New Roman"/>
                <w:kern w:val="20"/>
                <w:sz w:val="20"/>
                <w:lang w:val="es-AR" w:eastAsia="en-GB"/>
              </w:rPr>
              <w:t>como se define más adelante en el presente Suplemento).</w:t>
            </w:r>
          </w:p>
        </w:tc>
      </w:tr>
      <w:tr w:rsidR="00157F53" w:rsidRPr="00CA0A60" w14:paraId="1A1EAC56" w14:textId="77777777" w:rsidTr="00B441B1">
        <w:tc>
          <w:tcPr>
            <w:tcW w:w="1654" w:type="dxa"/>
          </w:tcPr>
          <w:p w14:paraId="6C7C6EA9" w14:textId="77777777" w:rsidR="00157F53" w:rsidRPr="00CA0A60" w:rsidRDefault="00157F53" w:rsidP="00B53742">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Denominaciones Mínimas</w:t>
            </w:r>
          </w:p>
        </w:tc>
        <w:tc>
          <w:tcPr>
            <w:tcW w:w="6851" w:type="dxa"/>
          </w:tcPr>
          <w:p w14:paraId="2886D778" w14:textId="40223307" w:rsidR="00157F53" w:rsidRPr="00CA0A60" w:rsidRDefault="00157F53" w:rsidP="00F838EA">
            <w:pPr>
              <w:pStyle w:val="CellBody"/>
              <w:widowControl w:val="0"/>
              <w:spacing w:before="120" w:after="120" w:line="240" w:lineRule="auto"/>
              <w:jc w:val="both"/>
              <w:rPr>
                <w:rFonts w:ascii="Garamond" w:hAnsi="Garamond"/>
                <w:lang w:val="es-AR"/>
              </w:rPr>
            </w:pPr>
            <w:r w:rsidRPr="00CA0A60">
              <w:rPr>
                <w:rFonts w:ascii="Garamond" w:hAnsi="Garamond"/>
                <w:szCs w:val="22"/>
                <w:lang w:val="es-AR"/>
              </w:rPr>
              <w:t>Las Obligaciones Negociables se emitirán en denominaciones mínimas de U$S </w:t>
            </w:r>
            <w:r w:rsidR="0070602E">
              <w:rPr>
                <w:rFonts w:ascii="Garamond" w:hAnsi="Garamond"/>
                <w:szCs w:val="22"/>
                <w:lang w:val="es-AR"/>
              </w:rPr>
              <w:t>5</w:t>
            </w:r>
            <w:r w:rsidRPr="00CA0A60">
              <w:rPr>
                <w:rFonts w:ascii="Garamond" w:hAnsi="Garamond"/>
                <w:szCs w:val="22"/>
                <w:lang w:val="es-AR"/>
              </w:rPr>
              <w:t>0.000 y en múltiplos enteros de U$S 1.000 por encima de esa suma.</w:t>
            </w:r>
          </w:p>
        </w:tc>
      </w:tr>
      <w:tr w:rsidR="001D5C14" w:rsidRPr="00CA0A60" w14:paraId="5AD513D4" w14:textId="77777777" w:rsidTr="00B441B1">
        <w:tc>
          <w:tcPr>
            <w:tcW w:w="1654" w:type="dxa"/>
          </w:tcPr>
          <w:p w14:paraId="0514F37C" w14:textId="77777777" w:rsidR="001D5C14" w:rsidRPr="00CA0A60" w:rsidRDefault="001D5C14" w:rsidP="00B53742">
            <w:pPr>
              <w:pStyle w:val="CellBody"/>
              <w:widowControl w:val="0"/>
              <w:spacing w:before="120" w:after="120" w:line="240" w:lineRule="auto"/>
              <w:rPr>
                <w:rFonts w:ascii="Garamond" w:hAnsi="Garamond"/>
                <w:b/>
                <w:bCs/>
                <w:szCs w:val="22"/>
                <w:lang w:val="es-AR"/>
              </w:rPr>
            </w:pPr>
            <w:r w:rsidRPr="00CA0A60">
              <w:rPr>
                <w:rFonts w:ascii="Garamond" w:hAnsi="Garamond"/>
                <w:b/>
                <w:bCs/>
                <w:lang w:val="es-AR"/>
              </w:rPr>
              <w:t>Monto Mínimo de Suscripción</w:t>
            </w:r>
          </w:p>
        </w:tc>
        <w:tc>
          <w:tcPr>
            <w:tcW w:w="6851" w:type="dxa"/>
          </w:tcPr>
          <w:p w14:paraId="1AD3CDB9" w14:textId="256E6A0E" w:rsidR="001D5C14" w:rsidRPr="00CA0A60" w:rsidRDefault="001D5C14" w:rsidP="00DF6632">
            <w:pPr>
              <w:pStyle w:val="CellBody"/>
              <w:widowControl w:val="0"/>
              <w:spacing w:before="120" w:after="120" w:line="240" w:lineRule="auto"/>
              <w:jc w:val="both"/>
              <w:rPr>
                <w:rFonts w:ascii="Garamond" w:hAnsi="Garamond"/>
                <w:szCs w:val="22"/>
                <w:lang w:val="es-AR"/>
              </w:rPr>
            </w:pPr>
            <w:r w:rsidRPr="00CA0A60">
              <w:rPr>
                <w:rFonts w:ascii="Garamond" w:hAnsi="Garamond"/>
                <w:lang w:val="es-AR"/>
              </w:rPr>
              <w:t>U$S </w:t>
            </w:r>
            <w:r w:rsidR="0070602E">
              <w:rPr>
                <w:rFonts w:ascii="Garamond" w:hAnsi="Garamond"/>
                <w:lang w:val="es-AR"/>
              </w:rPr>
              <w:t>5</w:t>
            </w:r>
            <w:r w:rsidRPr="00CA0A60">
              <w:rPr>
                <w:rFonts w:ascii="Garamond" w:hAnsi="Garamond"/>
                <w:lang w:val="es-AR"/>
              </w:rPr>
              <w:t>0.000 y múltiplos enteros de U$S 1.000 por encima de esa suma.</w:t>
            </w:r>
          </w:p>
          <w:p w14:paraId="44FB30F8" w14:textId="77777777" w:rsidR="001D5C14" w:rsidRPr="00CA0A60" w:rsidRDefault="001D5C14" w:rsidP="000568EB">
            <w:pPr>
              <w:pStyle w:val="CellBody"/>
              <w:widowControl w:val="0"/>
              <w:spacing w:before="120" w:after="120" w:line="240" w:lineRule="auto"/>
              <w:jc w:val="both"/>
              <w:rPr>
                <w:rFonts w:ascii="Garamond" w:hAnsi="Garamond"/>
                <w:szCs w:val="22"/>
                <w:lang w:val="es-AR"/>
              </w:rPr>
            </w:pPr>
          </w:p>
        </w:tc>
      </w:tr>
      <w:tr w:rsidR="001D5C14" w:rsidRPr="00CA0A60" w14:paraId="52543F36" w14:textId="77777777" w:rsidTr="00B441B1">
        <w:tc>
          <w:tcPr>
            <w:tcW w:w="1654" w:type="dxa"/>
          </w:tcPr>
          <w:p w14:paraId="708974E4"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lastRenderedPageBreak/>
              <w:t>Forma</w:t>
            </w:r>
          </w:p>
        </w:tc>
        <w:tc>
          <w:tcPr>
            <w:tcW w:w="6851" w:type="dxa"/>
          </w:tcPr>
          <w:p w14:paraId="3FDBDADA" w14:textId="57CE233A" w:rsidR="001D5C14" w:rsidRPr="00CA0A60" w:rsidRDefault="001D5C14" w:rsidP="0037156A">
            <w:pPr>
              <w:pStyle w:val="CellBody"/>
              <w:widowControl w:val="0"/>
              <w:spacing w:before="120" w:after="120" w:line="240" w:lineRule="auto"/>
              <w:jc w:val="both"/>
              <w:rPr>
                <w:rFonts w:ascii="Garamond" w:hAnsi="Garamond"/>
                <w:szCs w:val="22"/>
                <w:lang w:val="es-AR"/>
              </w:rPr>
            </w:pPr>
            <w:r w:rsidRPr="00CA0A60">
              <w:rPr>
                <w:rFonts w:ascii="Garamond" w:hAnsi="Garamond"/>
                <w:lang w:val="es-AR"/>
              </w:rPr>
              <w:t xml:space="preserve">Las </w:t>
            </w:r>
            <w:r w:rsidRPr="00CA0A60">
              <w:rPr>
                <w:rFonts w:ascii="Garamond" w:hAnsi="Garamond"/>
                <w:szCs w:val="22"/>
                <w:lang w:val="es-AR"/>
              </w:rPr>
              <w:t xml:space="preserve">Obligaciones Negociables </w:t>
            </w:r>
            <w:r w:rsidRPr="00CA0A60">
              <w:rPr>
                <w:rFonts w:ascii="Garamond" w:hAnsi="Garamond"/>
                <w:lang w:val="es-AR"/>
              </w:rPr>
              <w:t>serán inicialmente emitidas en forma cartular y estarán representadas por uno o varios certificados globales, sin cupones</w:t>
            </w:r>
            <w:r w:rsidRPr="00CA0A60">
              <w:rPr>
                <w:rFonts w:ascii="Garamond" w:hAnsi="Garamond"/>
                <w:szCs w:val="22"/>
                <w:lang w:val="es-AR"/>
              </w:rPr>
              <w:t xml:space="preserve"> de </w:t>
            </w:r>
            <w:r w:rsidRPr="00CA0A60">
              <w:rPr>
                <w:rFonts w:ascii="Garamond" w:hAnsi="Garamond"/>
                <w:lang w:val="es-AR"/>
              </w:rPr>
              <w:t>interés.</w:t>
            </w:r>
          </w:p>
        </w:tc>
      </w:tr>
      <w:tr w:rsidR="001D5C14" w:rsidRPr="00CA0A60" w14:paraId="175A7119" w14:textId="77777777" w:rsidTr="00B441B1">
        <w:tc>
          <w:tcPr>
            <w:tcW w:w="1654" w:type="dxa"/>
          </w:tcPr>
          <w:p w14:paraId="50C914B0" w14:textId="7458EB75" w:rsidR="001D5C14" w:rsidRPr="00CA0A60" w:rsidRDefault="001D5C14" w:rsidP="001D5C14">
            <w:pPr>
              <w:pStyle w:val="CellBody"/>
              <w:widowControl w:val="0"/>
              <w:spacing w:before="120" w:after="120" w:line="240" w:lineRule="auto"/>
              <w:rPr>
                <w:rFonts w:ascii="Garamond" w:hAnsi="Garamond"/>
                <w:b/>
                <w:bCs/>
                <w:szCs w:val="22"/>
                <w:lang w:val="es-AR"/>
              </w:rPr>
            </w:pPr>
          </w:p>
        </w:tc>
        <w:tc>
          <w:tcPr>
            <w:tcW w:w="6851" w:type="dxa"/>
          </w:tcPr>
          <w:p w14:paraId="6EE63191" w14:textId="2EBEC4A8" w:rsidR="001D5C14" w:rsidRPr="00CA0A60" w:rsidRDefault="001D5C14" w:rsidP="006D6E60">
            <w:pPr>
              <w:pStyle w:val="CellBody"/>
              <w:widowControl w:val="0"/>
              <w:spacing w:before="120" w:after="120" w:line="240" w:lineRule="auto"/>
              <w:jc w:val="both"/>
              <w:rPr>
                <w:rFonts w:ascii="Garamond" w:hAnsi="Garamond"/>
                <w:szCs w:val="22"/>
                <w:lang w:val="es-AR"/>
              </w:rPr>
            </w:pPr>
          </w:p>
        </w:tc>
      </w:tr>
      <w:tr w:rsidR="001D5C14" w:rsidRPr="00CA0A60" w14:paraId="4FAD8871" w14:textId="77777777" w:rsidTr="001D5C14">
        <w:tc>
          <w:tcPr>
            <w:tcW w:w="1654" w:type="dxa"/>
          </w:tcPr>
          <w:p w14:paraId="49E85CF4"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Fecha de Emisión</w:t>
            </w:r>
          </w:p>
        </w:tc>
        <w:tc>
          <w:tcPr>
            <w:tcW w:w="6851" w:type="dxa"/>
          </w:tcPr>
          <w:p w14:paraId="1F166F4D" w14:textId="6204465E" w:rsidR="001D5C14" w:rsidRPr="00CA0A60" w:rsidRDefault="001D5C14" w:rsidP="003B31A6">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Será</w:t>
            </w:r>
            <w:r w:rsidR="00E56663" w:rsidRPr="00CA0A60">
              <w:rPr>
                <w:rFonts w:ascii="Garamond" w:hAnsi="Garamond"/>
                <w:szCs w:val="22"/>
                <w:lang w:val="es-AR"/>
              </w:rPr>
              <w:t xml:space="preserve"> </w:t>
            </w:r>
            <w:r w:rsidR="0049203C" w:rsidRPr="00CA0A60">
              <w:rPr>
                <w:rFonts w:ascii="Garamond" w:hAnsi="Garamond"/>
                <w:szCs w:val="22"/>
                <w:lang w:val="es-AR"/>
              </w:rPr>
              <w:t>posterior a</w:t>
            </w:r>
            <w:r w:rsidR="00D279D9" w:rsidRPr="00CA0A60">
              <w:rPr>
                <w:rFonts w:ascii="Garamond" w:hAnsi="Garamond"/>
                <w:szCs w:val="22"/>
                <w:lang w:val="es-AR"/>
              </w:rPr>
              <w:t xml:space="preserve"> la Fecha de Adjudicación </w:t>
            </w:r>
            <w:r w:rsidR="00D279D9" w:rsidRPr="00CA0A60">
              <w:rPr>
                <w:rFonts w:ascii="Garamond" w:hAnsi="Garamond"/>
                <w:lang w:val="es-AR"/>
              </w:rPr>
              <w:t>(tal como dicho término se define más adelante en el presente Suplemento)</w:t>
            </w:r>
            <w:r w:rsidR="00D279D9" w:rsidRPr="00CA0A60">
              <w:rPr>
                <w:rFonts w:ascii="Garamond" w:hAnsi="Garamond"/>
                <w:szCs w:val="22"/>
                <w:lang w:val="es-AR"/>
              </w:rPr>
              <w:t xml:space="preserve"> </w:t>
            </w:r>
            <w:r w:rsidR="0049203C" w:rsidRPr="00CA0A60">
              <w:rPr>
                <w:rFonts w:ascii="Garamond" w:hAnsi="Garamond"/>
                <w:szCs w:val="22"/>
                <w:lang w:val="es-AR"/>
              </w:rPr>
              <w:t>y será informada</w:t>
            </w:r>
            <w:r w:rsidRPr="00CA0A60">
              <w:rPr>
                <w:rFonts w:ascii="Garamond" w:hAnsi="Garamond"/>
                <w:szCs w:val="22"/>
                <w:lang w:val="es-AR"/>
              </w:rPr>
              <w:t xml:space="preserve"> </w:t>
            </w:r>
            <w:r w:rsidR="00B26DE4">
              <w:rPr>
                <w:rFonts w:ascii="Garamond" w:hAnsi="Garamond"/>
                <w:szCs w:val="22"/>
                <w:lang w:val="es-AR"/>
              </w:rPr>
              <w:t xml:space="preserve">oportunamente </w:t>
            </w:r>
            <w:r w:rsidRPr="00CA0A60">
              <w:rPr>
                <w:rFonts w:ascii="Garamond" w:hAnsi="Garamond"/>
                <w:szCs w:val="22"/>
                <w:lang w:val="es-AR"/>
              </w:rPr>
              <w:t>en el Aviso de Resultados.</w:t>
            </w:r>
          </w:p>
        </w:tc>
      </w:tr>
      <w:tr w:rsidR="001D5C14" w:rsidRPr="00CA0A60" w14:paraId="564AA798" w14:textId="77777777" w:rsidTr="001D5C14">
        <w:tc>
          <w:tcPr>
            <w:tcW w:w="1654" w:type="dxa"/>
          </w:tcPr>
          <w:p w14:paraId="3F645A3A"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Precio de Emisión</w:t>
            </w:r>
          </w:p>
        </w:tc>
        <w:tc>
          <w:tcPr>
            <w:tcW w:w="6851" w:type="dxa"/>
          </w:tcPr>
          <w:p w14:paraId="0AB23C5F" w14:textId="0ADC504B" w:rsidR="001D5C14" w:rsidRPr="00CA0A60" w:rsidRDefault="001D5C14" w:rsidP="003B31A6">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 xml:space="preserve">100% </w:t>
            </w:r>
            <w:r w:rsidR="00E56663" w:rsidRPr="00CA0A60">
              <w:rPr>
                <w:rFonts w:ascii="Garamond" w:hAnsi="Garamond"/>
                <w:szCs w:val="22"/>
                <w:lang w:val="es-AR"/>
              </w:rPr>
              <w:t>del valor nominal.</w:t>
            </w:r>
            <w:r w:rsidR="00AF25EE" w:rsidRPr="00CA0A60">
              <w:rPr>
                <w:rFonts w:ascii="Garamond" w:hAnsi="Garamond"/>
                <w:szCs w:val="22"/>
                <w:lang w:val="es-AR"/>
              </w:rPr>
              <w:t xml:space="preserve"> </w:t>
            </w:r>
            <w:r w:rsidR="00DD61F9" w:rsidRPr="00CA0A60">
              <w:rPr>
                <w:rFonts w:ascii="Garamond" w:hAnsi="Garamond"/>
                <w:szCs w:val="22"/>
                <w:lang w:val="es-AR"/>
              </w:rPr>
              <w:t>Las Obligaciones Negociables se emitirán a la par.</w:t>
            </w:r>
          </w:p>
        </w:tc>
      </w:tr>
      <w:tr w:rsidR="001D5C14" w:rsidRPr="00CA0A60" w14:paraId="352BE92D" w14:textId="77777777" w:rsidTr="001D5C14">
        <w:tc>
          <w:tcPr>
            <w:tcW w:w="1654" w:type="dxa"/>
          </w:tcPr>
          <w:p w14:paraId="59BEE0D9" w14:textId="77777777" w:rsidR="001D5C14" w:rsidRPr="00CA0A60" w:rsidRDefault="001D5C14" w:rsidP="002B1E31">
            <w:pPr>
              <w:pStyle w:val="CellBody"/>
              <w:keepNext/>
              <w:keepLines/>
              <w:spacing w:before="120" w:after="120" w:line="240" w:lineRule="auto"/>
              <w:rPr>
                <w:rFonts w:ascii="Garamond" w:hAnsi="Garamond"/>
                <w:b/>
                <w:bCs/>
                <w:szCs w:val="22"/>
                <w:lang w:val="es-AR"/>
              </w:rPr>
            </w:pPr>
            <w:r w:rsidRPr="00CA0A60">
              <w:rPr>
                <w:rFonts w:ascii="Garamond" w:hAnsi="Garamond"/>
                <w:b/>
                <w:bCs/>
                <w:szCs w:val="22"/>
                <w:lang w:val="es-AR"/>
              </w:rPr>
              <w:t>Fecha de Vencimiento</w:t>
            </w:r>
          </w:p>
        </w:tc>
        <w:tc>
          <w:tcPr>
            <w:tcW w:w="6851" w:type="dxa"/>
          </w:tcPr>
          <w:p w14:paraId="6F8C8610" w14:textId="2047B5C7" w:rsidR="001D5C14" w:rsidRPr="00CA0A60" w:rsidRDefault="001D5C14" w:rsidP="0039074A">
            <w:pPr>
              <w:pStyle w:val="CellBody"/>
              <w:keepNext/>
              <w:keepLines/>
              <w:spacing w:before="120" w:after="120" w:line="240" w:lineRule="auto"/>
              <w:jc w:val="both"/>
              <w:rPr>
                <w:rFonts w:ascii="Garamond" w:hAnsi="Garamond"/>
                <w:szCs w:val="22"/>
                <w:lang w:val="es-AR"/>
              </w:rPr>
            </w:pPr>
            <w:r w:rsidRPr="00CA0A60">
              <w:rPr>
                <w:rFonts w:ascii="Garamond" w:hAnsi="Garamond"/>
                <w:szCs w:val="22"/>
                <w:lang w:val="es-AR"/>
              </w:rPr>
              <w:t xml:space="preserve">A los </w:t>
            </w:r>
            <w:r w:rsidR="006D6E60" w:rsidRPr="00CA0A60">
              <w:rPr>
                <w:rFonts w:ascii="Garamond" w:hAnsi="Garamond"/>
                <w:szCs w:val="22"/>
                <w:lang w:val="es-AR"/>
              </w:rPr>
              <w:t>4</w:t>
            </w:r>
            <w:r w:rsidR="0039074A">
              <w:rPr>
                <w:rFonts w:ascii="Garamond" w:hAnsi="Garamond"/>
                <w:szCs w:val="22"/>
                <w:lang w:val="es-AR"/>
              </w:rPr>
              <w:t>5</w:t>
            </w:r>
            <w:r w:rsidRPr="00CA0A60">
              <w:rPr>
                <w:rFonts w:ascii="Garamond" w:hAnsi="Garamond"/>
                <w:szCs w:val="22"/>
                <w:lang w:val="es-AR"/>
              </w:rPr>
              <w:t xml:space="preserve"> meses </w:t>
            </w:r>
            <w:r w:rsidR="0049203C" w:rsidRPr="00CA0A60">
              <w:rPr>
                <w:rFonts w:ascii="Garamond" w:hAnsi="Garamond"/>
                <w:szCs w:val="22"/>
                <w:lang w:val="es-AR"/>
              </w:rPr>
              <w:t>contados</w:t>
            </w:r>
            <w:r w:rsidRPr="00CA0A60">
              <w:rPr>
                <w:rFonts w:ascii="Garamond" w:hAnsi="Garamond"/>
                <w:szCs w:val="22"/>
                <w:lang w:val="es-AR"/>
              </w:rPr>
              <w:t xml:space="preserve"> desde la Fecha de Emisión y será informada oportunamente en el Aviso de Resultados.</w:t>
            </w:r>
          </w:p>
        </w:tc>
      </w:tr>
      <w:tr w:rsidR="001D5C14" w:rsidRPr="00CA0A60" w14:paraId="7194EBF7" w14:textId="77777777" w:rsidTr="001D5C14">
        <w:tc>
          <w:tcPr>
            <w:tcW w:w="1654" w:type="dxa"/>
          </w:tcPr>
          <w:p w14:paraId="528AA494"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Tasa de Interés</w:t>
            </w:r>
          </w:p>
        </w:tc>
        <w:tc>
          <w:tcPr>
            <w:tcW w:w="6851" w:type="dxa"/>
          </w:tcPr>
          <w:p w14:paraId="58BB402E" w14:textId="214CDE44" w:rsidR="001D5C14" w:rsidRPr="00CA3A3D" w:rsidRDefault="001D5C14" w:rsidP="00F838EA">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Las Obligaciones Negociables devengarán intereses a</w:t>
            </w:r>
            <w:r w:rsidR="00CE0124">
              <w:rPr>
                <w:rFonts w:ascii="Garamond" w:hAnsi="Garamond"/>
                <w:szCs w:val="22"/>
                <w:lang w:val="es-AR"/>
              </w:rPr>
              <w:t xml:space="preserve"> una</w:t>
            </w:r>
            <w:r w:rsidRPr="00CA0A60">
              <w:rPr>
                <w:rFonts w:ascii="Garamond" w:hAnsi="Garamond"/>
                <w:szCs w:val="22"/>
                <w:lang w:val="es-AR"/>
              </w:rPr>
              <w:t xml:space="preserve"> </w:t>
            </w:r>
            <w:r w:rsidR="00A75C69" w:rsidRPr="00A438F1">
              <w:rPr>
                <w:rFonts w:ascii="Garamond" w:hAnsi="Garamond"/>
                <w:szCs w:val="22"/>
                <w:lang w:val="es-AR"/>
              </w:rPr>
              <w:t>tasa fija</w:t>
            </w:r>
            <w:r w:rsidR="00933DAD" w:rsidRPr="00A438F1">
              <w:rPr>
                <w:rFonts w:ascii="Garamond" w:hAnsi="Garamond"/>
                <w:szCs w:val="22"/>
                <w:lang w:val="es-AR"/>
              </w:rPr>
              <w:t>,</w:t>
            </w:r>
            <w:r w:rsidR="00A75C69" w:rsidRPr="00CA0A60" w:rsidDel="00A75C69">
              <w:rPr>
                <w:rFonts w:ascii="Garamond" w:hAnsi="Garamond"/>
                <w:szCs w:val="22"/>
                <w:lang w:val="es-AR"/>
              </w:rPr>
              <w:t xml:space="preserve"> </w:t>
            </w:r>
            <w:r w:rsidR="001B304C">
              <w:rPr>
                <w:rFonts w:ascii="Garamond" w:hAnsi="Garamond"/>
                <w:szCs w:val="22"/>
                <w:lang w:val="es-AR"/>
              </w:rPr>
              <w:t xml:space="preserve">que será determinada de conformidad con el procedimiento previsto en la sección </w:t>
            </w:r>
            <w:r w:rsidR="001B304C">
              <w:rPr>
                <w:rFonts w:ascii="Garamond" w:hAnsi="Garamond"/>
                <w:i/>
                <w:szCs w:val="22"/>
                <w:lang w:val="es-AR"/>
              </w:rPr>
              <w:t>“Plan de Distribución”</w:t>
            </w:r>
            <w:r w:rsidR="001B304C">
              <w:rPr>
                <w:rFonts w:ascii="Garamond" w:hAnsi="Garamond"/>
                <w:szCs w:val="22"/>
                <w:lang w:val="es-AR"/>
              </w:rPr>
              <w:t xml:space="preserve"> y será informada mediante el Aviso de Resultados</w:t>
            </w:r>
            <w:r w:rsidRPr="00CA0A60">
              <w:rPr>
                <w:rFonts w:ascii="Garamond" w:hAnsi="Garamond"/>
                <w:szCs w:val="22"/>
                <w:lang w:val="es-AR"/>
              </w:rPr>
              <w:t>. Véase “</w:t>
            </w:r>
            <w:r w:rsidRPr="00CA0A60">
              <w:rPr>
                <w:rFonts w:ascii="Garamond" w:hAnsi="Garamond"/>
                <w:i/>
                <w:szCs w:val="22"/>
                <w:lang w:val="es-AR"/>
              </w:rPr>
              <w:t>Descripción de la Oferta y la Negociación</w:t>
            </w:r>
            <w:r w:rsidRPr="00CA3A3D">
              <w:rPr>
                <w:rFonts w:ascii="Garamond" w:hAnsi="Garamond"/>
                <w:szCs w:val="22"/>
                <w:lang w:val="es-AR"/>
              </w:rPr>
              <w:t>—</w:t>
            </w:r>
            <w:r w:rsidRPr="00CA0A60">
              <w:rPr>
                <w:rFonts w:ascii="Garamond" w:hAnsi="Garamond"/>
                <w:i/>
                <w:szCs w:val="22"/>
                <w:lang w:val="es-AR"/>
              </w:rPr>
              <w:t>Descripción de las Obligaciones Negociables</w:t>
            </w:r>
            <w:r w:rsidR="00A644A6" w:rsidRPr="00CA0A60">
              <w:rPr>
                <w:rFonts w:ascii="Garamond" w:hAnsi="Garamond"/>
                <w:i/>
                <w:szCs w:val="22"/>
                <w:lang w:val="es-AR"/>
              </w:rPr>
              <w:t xml:space="preserve"> </w:t>
            </w:r>
            <w:r w:rsidR="00A644A6" w:rsidRPr="00CA3A3D">
              <w:rPr>
                <w:rFonts w:ascii="Garamond" w:hAnsi="Garamond"/>
                <w:szCs w:val="22"/>
                <w:lang w:val="es-AR"/>
              </w:rPr>
              <w:t>—</w:t>
            </w:r>
            <w:r w:rsidR="00A644A6" w:rsidRPr="00CA0A60">
              <w:rPr>
                <w:rFonts w:ascii="Garamond" w:hAnsi="Garamond"/>
                <w:i/>
                <w:szCs w:val="22"/>
                <w:lang w:val="es-AR"/>
              </w:rPr>
              <w:t>Intereses</w:t>
            </w:r>
            <w:r w:rsidRPr="00CA0A60">
              <w:rPr>
                <w:rFonts w:ascii="Garamond" w:hAnsi="Garamond"/>
                <w:szCs w:val="22"/>
                <w:lang w:val="es-AR"/>
              </w:rPr>
              <w:t>”.</w:t>
            </w:r>
          </w:p>
        </w:tc>
      </w:tr>
      <w:tr w:rsidR="001D5C14" w:rsidRPr="00CA0A60" w14:paraId="734FF35A" w14:textId="77777777" w:rsidTr="001D5C14">
        <w:tc>
          <w:tcPr>
            <w:tcW w:w="1654" w:type="dxa"/>
          </w:tcPr>
          <w:p w14:paraId="310338FF"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Período de Intereses</w:t>
            </w:r>
          </w:p>
        </w:tc>
        <w:tc>
          <w:tcPr>
            <w:tcW w:w="6851" w:type="dxa"/>
          </w:tcPr>
          <w:p w14:paraId="045D8A8B" w14:textId="175744B0" w:rsidR="001D5C14" w:rsidRPr="00CA0A60" w:rsidRDefault="001D5C14" w:rsidP="003516AF">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Los intereses se devengarán desde la última fecha en que se pagaron intereses (inclusive), y si no se han pagado intereses, desde la Fecha de Emisión (inclusive), hasta la Fecha de Pago de Intereses subsiguiente o la Fecha de Vencimiento (exclusive), según corresponda. Véase “</w:t>
            </w:r>
            <w:r w:rsidRPr="00CA0A60">
              <w:rPr>
                <w:rFonts w:ascii="Garamond" w:hAnsi="Garamond"/>
                <w:i/>
                <w:szCs w:val="22"/>
                <w:lang w:val="es-AR"/>
              </w:rPr>
              <w:t>Descripción de la Oferta y la Negociación</w:t>
            </w:r>
            <w:r w:rsidRPr="00CA3A3D">
              <w:rPr>
                <w:rFonts w:ascii="Garamond" w:hAnsi="Garamond"/>
                <w:szCs w:val="22"/>
                <w:lang w:val="es-AR"/>
              </w:rPr>
              <w:t>—</w:t>
            </w:r>
            <w:r w:rsidRPr="00CA0A60">
              <w:rPr>
                <w:rFonts w:ascii="Garamond" w:hAnsi="Garamond"/>
                <w:i/>
                <w:szCs w:val="22"/>
                <w:lang w:val="es-AR"/>
              </w:rPr>
              <w:t>Descripción de las Obligaciones Negociables</w:t>
            </w:r>
            <w:r w:rsidR="00A644A6" w:rsidRPr="00CA3A3D">
              <w:rPr>
                <w:rFonts w:ascii="Garamond" w:hAnsi="Garamond"/>
                <w:szCs w:val="22"/>
                <w:lang w:val="es-AR"/>
              </w:rPr>
              <w:t>—</w:t>
            </w:r>
            <w:r w:rsidR="00A644A6" w:rsidRPr="00CA0A60">
              <w:rPr>
                <w:rFonts w:ascii="Garamond" w:hAnsi="Garamond"/>
                <w:i/>
                <w:szCs w:val="22"/>
                <w:lang w:val="es-AR"/>
              </w:rPr>
              <w:t>Intereses</w:t>
            </w:r>
            <w:r w:rsidRPr="00CA0A60">
              <w:rPr>
                <w:rFonts w:ascii="Garamond" w:hAnsi="Garamond"/>
                <w:szCs w:val="22"/>
                <w:lang w:val="es-AR"/>
              </w:rPr>
              <w:t>”.</w:t>
            </w:r>
          </w:p>
        </w:tc>
      </w:tr>
      <w:tr w:rsidR="0049203C" w:rsidRPr="00CA0A60" w14:paraId="1BCB7730" w14:textId="77777777" w:rsidTr="001D5C14">
        <w:tc>
          <w:tcPr>
            <w:tcW w:w="1654" w:type="dxa"/>
          </w:tcPr>
          <w:p w14:paraId="1221CB33" w14:textId="7EE836B2" w:rsidR="0049203C" w:rsidRPr="00CA0A60" w:rsidRDefault="0049203C"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Base del Cálculo de Intereses</w:t>
            </w:r>
          </w:p>
        </w:tc>
        <w:tc>
          <w:tcPr>
            <w:tcW w:w="6851" w:type="dxa"/>
          </w:tcPr>
          <w:p w14:paraId="357D1CED" w14:textId="634B4C8A" w:rsidR="0049203C" w:rsidRPr="00CA0A60" w:rsidRDefault="0049203C" w:rsidP="003B31A6">
            <w:pPr>
              <w:pStyle w:val="CellBody"/>
              <w:widowControl w:val="0"/>
              <w:spacing w:before="120" w:after="120" w:line="240" w:lineRule="auto"/>
              <w:jc w:val="both"/>
              <w:rPr>
                <w:rFonts w:ascii="Garamond" w:hAnsi="Garamond"/>
                <w:szCs w:val="22"/>
                <w:lang w:val="es-AR"/>
              </w:rPr>
            </w:pPr>
            <w:r w:rsidRPr="00111ED6">
              <w:rPr>
                <w:rFonts w:ascii="Garamond" w:hAnsi="Garamond"/>
                <w:szCs w:val="22"/>
                <w:lang w:val="es-AR"/>
              </w:rPr>
              <w:t>Los intereses serán calculados en base a un año de 360 días</w:t>
            </w:r>
            <w:r w:rsidR="002868A6">
              <w:rPr>
                <w:rFonts w:ascii="Garamond" w:hAnsi="Garamond"/>
                <w:lang w:val="es-AR"/>
              </w:rPr>
              <w:t xml:space="preserve"> (</w:t>
            </w:r>
            <w:r w:rsidR="00111ED6" w:rsidRPr="00111ED6">
              <w:rPr>
                <w:rFonts w:ascii="Garamond" w:hAnsi="Garamond"/>
                <w:lang w:val="es-AR"/>
              </w:rPr>
              <w:t>12 meses de 30 días cada uno</w:t>
            </w:r>
            <w:r w:rsidR="002868A6">
              <w:rPr>
                <w:rFonts w:ascii="Garamond" w:hAnsi="Garamond"/>
                <w:lang w:val="es-AR"/>
              </w:rPr>
              <w:t>)</w:t>
            </w:r>
            <w:r w:rsidRPr="00111ED6">
              <w:rPr>
                <w:rFonts w:ascii="Garamond" w:hAnsi="Garamond"/>
                <w:szCs w:val="22"/>
                <w:lang w:val="es-AR"/>
              </w:rPr>
              <w:t>.</w:t>
            </w:r>
          </w:p>
        </w:tc>
      </w:tr>
      <w:tr w:rsidR="001D5C14" w:rsidRPr="00CA0A60" w14:paraId="7BCF5961" w14:textId="77777777" w:rsidTr="001D5C14">
        <w:tc>
          <w:tcPr>
            <w:tcW w:w="1654" w:type="dxa"/>
          </w:tcPr>
          <w:p w14:paraId="74F3F188" w14:textId="6A1E970F" w:rsidR="001D5C14" w:rsidRPr="00CA0A60" w:rsidRDefault="001D5C14" w:rsidP="005E14F3">
            <w:pPr>
              <w:pStyle w:val="CellBody"/>
              <w:widowControl w:val="0"/>
              <w:spacing w:before="120" w:after="120" w:line="240" w:lineRule="auto"/>
              <w:jc w:val="both"/>
              <w:rPr>
                <w:rFonts w:ascii="Garamond" w:hAnsi="Garamond"/>
                <w:b/>
                <w:bCs/>
                <w:szCs w:val="22"/>
                <w:lang w:val="es-AR"/>
              </w:rPr>
            </w:pPr>
            <w:r w:rsidRPr="00CA0A60">
              <w:rPr>
                <w:rFonts w:ascii="Garamond" w:hAnsi="Garamond"/>
                <w:b/>
                <w:bCs/>
                <w:szCs w:val="22"/>
                <w:lang w:val="es-AR"/>
              </w:rPr>
              <w:t>Fecha</w:t>
            </w:r>
            <w:r w:rsidR="00EC28F5" w:rsidRPr="00CA0A60">
              <w:rPr>
                <w:rFonts w:ascii="Garamond" w:hAnsi="Garamond"/>
                <w:b/>
                <w:bCs/>
                <w:szCs w:val="22"/>
                <w:lang w:val="es-AR"/>
              </w:rPr>
              <w:t>s</w:t>
            </w:r>
            <w:r w:rsidRPr="00713D6E">
              <w:rPr>
                <w:rFonts w:ascii="Garamond" w:hAnsi="Garamond"/>
                <w:b/>
                <w:bCs/>
                <w:szCs w:val="22"/>
                <w:lang w:val="es-AR"/>
              </w:rPr>
              <w:t xml:space="preserve"> de </w:t>
            </w:r>
            <w:r w:rsidRPr="00CA0A60">
              <w:rPr>
                <w:rFonts w:ascii="Garamond" w:hAnsi="Garamond"/>
                <w:b/>
                <w:bCs/>
                <w:szCs w:val="22"/>
                <w:lang w:val="es-AR"/>
              </w:rPr>
              <w:t>Pago de Intereses</w:t>
            </w:r>
          </w:p>
        </w:tc>
        <w:tc>
          <w:tcPr>
            <w:tcW w:w="6851" w:type="dxa"/>
          </w:tcPr>
          <w:p w14:paraId="2DB6D6BF" w14:textId="6A784D1E" w:rsidR="001A3B05" w:rsidRPr="00CA3A3D" w:rsidRDefault="001D5C14" w:rsidP="0037156A">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Los intereses serán pagados trimestralmente, en forma vencida, comenzando su pago en la fecha en que se cumplan tres meses desde la Fecha de Emisión (cada una, una “</w:t>
            </w:r>
            <w:r w:rsidRPr="00CA0A60">
              <w:rPr>
                <w:rFonts w:ascii="Garamond" w:hAnsi="Garamond"/>
                <w:szCs w:val="22"/>
                <w:u w:val="single"/>
                <w:lang w:val="es-AR"/>
              </w:rPr>
              <w:t>Fecha de Pago de Intereses</w:t>
            </w:r>
            <w:r w:rsidRPr="00CA0A60">
              <w:rPr>
                <w:rFonts w:ascii="Garamond" w:hAnsi="Garamond"/>
                <w:szCs w:val="22"/>
                <w:lang w:val="es-AR"/>
              </w:rPr>
              <w:t>”). Las Fechas de Pago de Intereses serán informadas en el Aviso de Resultados. Si cualquier día de pago de cualquier monto bajo las Obligaciones Negociables no fuera un Día Hábil (tal como dicho término se define más adelante), dicho pago será efectuado en el Día Hábil inmediatamente posterior.</w:t>
            </w:r>
          </w:p>
        </w:tc>
      </w:tr>
      <w:tr w:rsidR="00EC28F5" w:rsidRPr="00CA0A60" w14:paraId="7F82AAFC" w14:textId="77777777" w:rsidTr="001D5C14">
        <w:tc>
          <w:tcPr>
            <w:tcW w:w="1654" w:type="dxa"/>
          </w:tcPr>
          <w:p w14:paraId="69B9BA90" w14:textId="6906DCBD" w:rsidR="00EC28F5" w:rsidRPr="00CA0A60" w:rsidRDefault="00EC28F5" w:rsidP="005E14F3">
            <w:pPr>
              <w:pStyle w:val="CellBody"/>
              <w:widowControl w:val="0"/>
              <w:spacing w:before="120" w:after="120" w:line="240" w:lineRule="auto"/>
              <w:jc w:val="both"/>
              <w:rPr>
                <w:rFonts w:ascii="Garamond" w:hAnsi="Garamond"/>
                <w:b/>
                <w:bCs/>
                <w:szCs w:val="22"/>
                <w:lang w:val="es-AR"/>
              </w:rPr>
            </w:pPr>
            <w:r w:rsidRPr="00CA0A60">
              <w:rPr>
                <w:rFonts w:ascii="Garamond" w:hAnsi="Garamond"/>
                <w:b/>
                <w:bCs/>
                <w:szCs w:val="22"/>
                <w:lang w:val="es-AR"/>
              </w:rPr>
              <w:t>Mecanismo de Colocación</w:t>
            </w:r>
          </w:p>
        </w:tc>
        <w:tc>
          <w:tcPr>
            <w:tcW w:w="6851" w:type="dxa"/>
          </w:tcPr>
          <w:p w14:paraId="15372492" w14:textId="07742AE4" w:rsidR="00EC28F5" w:rsidRPr="00CA0A60" w:rsidRDefault="00EC28F5" w:rsidP="0052186D">
            <w:pPr>
              <w:pStyle w:val="CellBody"/>
              <w:widowControl w:val="0"/>
              <w:spacing w:before="120" w:after="120" w:line="240" w:lineRule="auto"/>
              <w:jc w:val="both"/>
              <w:rPr>
                <w:rFonts w:ascii="Garamond" w:hAnsi="Garamond"/>
                <w:szCs w:val="22"/>
                <w:lang w:val="es-AR"/>
              </w:rPr>
            </w:pPr>
            <w:r w:rsidRPr="00CA0A60">
              <w:rPr>
                <w:rFonts w:ascii="Garamond" w:hAnsi="Garamond"/>
                <w:i/>
                <w:szCs w:val="22"/>
                <w:lang w:val="es-AR"/>
              </w:rPr>
              <w:t>Book Building</w:t>
            </w:r>
            <w:r w:rsidRPr="00CA0A60">
              <w:rPr>
                <w:rFonts w:ascii="Garamond" w:hAnsi="Garamond"/>
                <w:szCs w:val="22"/>
                <w:lang w:val="es-AR"/>
              </w:rPr>
              <w:t xml:space="preserve"> o formación de libro, de acuerdo a lo indicado en la Sección </w:t>
            </w:r>
            <w:r w:rsidRPr="00CA0A60">
              <w:rPr>
                <w:rFonts w:ascii="Garamond" w:hAnsi="Garamond"/>
                <w:i/>
                <w:szCs w:val="22"/>
                <w:lang w:val="es-AR"/>
              </w:rPr>
              <w:t>“Plan de Distribución”</w:t>
            </w:r>
            <w:r w:rsidRPr="00CA0A60">
              <w:rPr>
                <w:rFonts w:ascii="Garamond" w:hAnsi="Garamond"/>
                <w:szCs w:val="22"/>
                <w:lang w:val="es-AR"/>
              </w:rPr>
              <w:t xml:space="preserve"> del presente Suplemento. </w:t>
            </w:r>
          </w:p>
        </w:tc>
      </w:tr>
      <w:tr w:rsidR="001D5C14" w:rsidRPr="00CA0A60" w14:paraId="003AE274" w14:textId="77777777" w:rsidTr="001D5C14">
        <w:tc>
          <w:tcPr>
            <w:tcW w:w="1654" w:type="dxa"/>
          </w:tcPr>
          <w:p w14:paraId="742DDC01" w14:textId="77777777" w:rsidR="001D5C14" w:rsidRPr="00CA0A60" w:rsidRDefault="001D5C14" w:rsidP="005E14F3">
            <w:pPr>
              <w:pStyle w:val="CellBody"/>
              <w:widowControl w:val="0"/>
              <w:spacing w:before="120" w:after="120" w:line="240" w:lineRule="auto"/>
              <w:jc w:val="both"/>
              <w:rPr>
                <w:rFonts w:ascii="Garamond" w:hAnsi="Garamond"/>
                <w:b/>
                <w:bCs/>
                <w:szCs w:val="22"/>
                <w:lang w:val="es-AR"/>
              </w:rPr>
            </w:pPr>
            <w:r w:rsidRPr="00CA0A60">
              <w:rPr>
                <w:rFonts w:ascii="Garamond" w:hAnsi="Garamond"/>
                <w:b/>
                <w:bCs/>
                <w:szCs w:val="22"/>
                <w:lang w:val="es-AR"/>
              </w:rPr>
              <w:t>Amortización de Capital</w:t>
            </w:r>
          </w:p>
        </w:tc>
        <w:tc>
          <w:tcPr>
            <w:tcW w:w="6851" w:type="dxa"/>
          </w:tcPr>
          <w:p w14:paraId="0B7E1B90" w14:textId="77777777" w:rsidR="00365C8A" w:rsidRPr="00CA0A60" w:rsidRDefault="00365C8A" w:rsidP="00365C8A">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capital de las Obligaciones Negociables se pagará en diez (10) cuotas trimestrales iguales, cada una de esas cuotas a ser abonada en una Fecha de Pago de Intereses, a partir de la Fecha de Pago de Intereses en que se cumplan 18 meses de la Fecha de Emisión hasta la Fecha de Vencimiento.</w:t>
            </w:r>
          </w:p>
          <w:p w14:paraId="722B00AE" w14:textId="4BF4CA12" w:rsidR="001D5C14" w:rsidRPr="00CA0A60" w:rsidRDefault="001D5C14" w:rsidP="00EC28F5">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 xml:space="preserve">Los pagos de capital sobre las Obligaciones Negociables se realizarán en cada </w:t>
            </w:r>
            <w:r w:rsidR="00E57D5E" w:rsidRPr="00CA0A60">
              <w:rPr>
                <w:rFonts w:ascii="Garamond" w:hAnsi="Garamond"/>
                <w:szCs w:val="22"/>
                <w:lang w:val="es-AR"/>
              </w:rPr>
              <w:t>F</w:t>
            </w:r>
            <w:r w:rsidRPr="00CA0A60">
              <w:rPr>
                <w:rFonts w:ascii="Garamond" w:hAnsi="Garamond"/>
                <w:szCs w:val="22"/>
                <w:lang w:val="es-AR"/>
              </w:rPr>
              <w:t xml:space="preserve">echa de </w:t>
            </w:r>
            <w:r w:rsidR="00E57D5E" w:rsidRPr="00CA0A60">
              <w:rPr>
                <w:rFonts w:ascii="Garamond" w:hAnsi="Garamond"/>
                <w:szCs w:val="22"/>
                <w:lang w:val="es-AR"/>
              </w:rPr>
              <w:t>P</w:t>
            </w:r>
            <w:r w:rsidRPr="00CA0A60">
              <w:rPr>
                <w:rFonts w:ascii="Garamond" w:hAnsi="Garamond"/>
                <w:szCs w:val="22"/>
                <w:lang w:val="es-AR"/>
              </w:rPr>
              <w:t xml:space="preserve">ago de </w:t>
            </w:r>
            <w:r w:rsidR="00E57D5E" w:rsidRPr="00CA0A60">
              <w:rPr>
                <w:rFonts w:ascii="Garamond" w:hAnsi="Garamond"/>
                <w:szCs w:val="22"/>
                <w:lang w:val="es-AR"/>
              </w:rPr>
              <w:t>I</w:t>
            </w:r>
            <w:r w:rsidRPr="00CA0A60">
              <w:rPr>
                <w:rFonts w:ascii="Garamond" w:hAnsi="Garamond"/>
                <w:szCs w:val="22"/>
                <w:lang w:val="es-AR"/>
              </w:rPr>
              <w:t xml:space="preserve">ntereses </w:t>
            </w:r>
            <w:r w:rsidR="00275175" w:rsidRPr="00CA0A60">
              <w:rPr>
                <w:rFonts w:ascii="Garamond" w:hAnsi="Garamond"/>
                <w:szCs w:val="22"/>
                <w:lang w:val="es-AR"/>
              </w:rPr>
              <w:t>a ser informadas en el Aviso de Resultados</w:t>
            </w:r>
            <w:r w:rsidR="00EC28F5" w:rsidRPr="00CA0A60">
              <w:rPr>
                <w:rFonts w:ascii="Garamond" w:hAnsi="Garamond"/>
                <w:szCs w:val="22"/>
                <w:lang w:val="es-AR"/>
              </w:rPr>
              <w:t>.</w:t>
            </w:r>
          </w:p>
        </w:tc>
      </w:tr>
      <w:tr w:rsidR="001D5C14" w:rsidRPr="00CA0A60" w14:paraId="07CC811D" w14:textId="77777777" w:rsidTr="001D5C14">
        <w:tc>
          <w:tcPr>
            <w:tcW w:w="1654" w:type="dxa"/>
          </w:tcPr>
          <w:p w14:paraId="38422C73"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Rango</w:t>
            </w:r>
          </w:p>
        </w:tc>
        <w:tc>
          <w:tcPr>
            <w:tcW w:w="6851" w:type="dxa"/>
          </w:tcPr>
          <w:p w14:paraId="31126E5D" w14:textId="52C1D257" w:rsidR="000E692E" w:rsidRPr="00CA3A3D" w:rsidRDefault="00143849" w:rsidP="003B31A6">
            <w:pPr>
              <w:pStyle w:val="CellBody"/>
              <w:widowControl w:val="0"/>
              <w:spacing w:before="120" w:after="120" w:line="240" w:lineRule="auto"/>
              <w:jc w:val="both"/>
              <w:rPr>
                <w:rFonts w:ascii="Garamond" w:hAnsi="Garamond"/>
                <w:lang w:val="es-AR"/>
              </w:rPr>
            </w:pPr>
            <w:r w:rsidRPr="00CA0A60">
              <w:rPr>
                <w:rFonts w:ascii="Garamond" w:hAnsi="Garamond"/>
                <w:lang w:val="es-AR"/>
              </w:rPr>
              <w:t xml:space="preserve">Las Obligaciones Negociables (i) serán obligaciones solidarias de las Co-Emisoras; (ii) constituirán obligaciones directas, incondicionales y no subordinadas de las Co-Emisoras, (iii) estarán incondicional, irrevocable y solidariamente afianzadas por el Garante en forma no subordinada; (iv) en relación a los Derechos de Garantía estarán garantizadas por un </w:t>
            </w:r>
            <w:r w:rsidR="00E01024" w:rsidRPr="00CA0A60">
              <w:rPr>
                <w:rFonts w:ascii="Garamond" w:hAnsi="Garamond"/>
                <w:lang w:val="es-AR"/>
              </w:rPr>
              <w:t>Gravamen</w:t>
            </w:r>
            <w:r w:rsidRPr="00CA0A60">
              <w:rPr>
                <w:rFonts w:ascii="Garamond" w:hAnsi="Garamond"/>
                <w:lang w:val="es-AR"/>
              </w:rPr>
              <w:t xml:space="preserve"> en primer grado de privilegio sobre los Derechos de Garantía, hasta el monto del valor de dichos Derechos de Garantía,</w:t>
            </w:r>
            <w:r w:rsidR="00DF6632" w:rsidRPr="00CA0A60">
              <w:rPr>
                <w:rFonts w:ascii="Garamond" w:hAnsi="Garamond"/>
                <w:lang w:val="es-AR"/>
              </w:rPr>
              <w:t xml:space="preserve"> </w:t>
            </w:r>
            <w:r w:rsidRPr="00CA0A60">
              <w:rPr>
                <w:rFonts w:ascii="Garamond" w:hAnsi="Garamond"/>
                <w:lang w:val="es-AR"/>
              </w:rPr>
              <w:t xml:space="preserve">con la excepción de que, sobre los </w:t>
            </w:r>
            <w:r w:rsidR="009109A7" w:rsidRPr="00CA0A60">
              <w:rPr>
                <w:rFonts w:ascii="Garamond" w:hAnsi="Garamond"/>
                <w:lang w:val="es-AR"/>
              </w:rPr>
              <w:t>Equipos de Siemens</w:t>
            </w:r>
            <w:r w:rsidRPr="00CA0A60">
              <w:rPr>
                <w:rFonts w:ascii="Garamond" w:hAnsi="Garamond"/>
                <w:lang w:val="es-AR"/>
              </w:rPr>
              <w:t xml:space="preserve">, inicialmente el </w:t>
            </w:r>
            <w:r w:rsidR="00E01024" w:rsidRPr="00CA0A60">
              <w:rPr>
                <w:rFonts w:ascii="Garamond" w:hAnsi="Garamond"/>
                <w:lang w:val="es-AR"/>
              </w:rPr>
              <w:t>Gravamen</w:t>
            </w:r>
            <w:r w:rsidRPr="00CA0A60">
              <w:rPr>
                <w:rFonts w:ascii="Garamond" w:hAnsi="Garamond"/>
                <w:lang w:val="es-AR"/>
              </w:rPr>
              <w:t xml:space="preserve"> será en segundo grado de privilegio hasta la cancelación de la </w:t>
            </w:r>
            <w:r w:rsidR="00B816E3" w:rsidRPr="00CA0A60">
              <w:rPr>
                <w:rFonts w:ascii="Garamond" w:hAnsi="Garamond"/>
                <w:lang w:val="es-AR"/>
              </w:rPr>
              <w:t>Deuda de Siemens</w:t>
            </w:r>
            <w:r w:rsidRPr="00CA0A60">
              <w:rPr>
                <w:rFonts w:ascii="Garamond" w:hAnsi="Garamond"/>
                <w:lang w:val="es-AR"/>
              </w:rPr>
              <w:t xml:space="preserve">, y el </w:t>
            </w:r>
            <w:r w:rsidR="00E01024" w:rsidRPr="00CA0A60">
              <w:rPr>
                <w:rFonts w:ascii="Garamond" w:hAnsi="Garamond"/>
                <w:lang w:val="es-AR"/>
              </w:rPr>
              <w:t>Gravamen</w:t>
            </w:r>
            <w:r w:rsidRPr="00CA0A60">
              <w:rPr>
                <w:rFonts w:ascii="Garamond" w:hAnsi="Garamond"/>
                <w:lang w:val="es-AR"/>
              </w:rPr>
              <w:t xml:space="preserve"> sobre los </w:t>
            </w:r>
            <w:r w:rsidR="00B816E3" w:rsidRPr="00CA0A60">
              <w:rPr>
                <w:rFonts w:ascii="Garamond" w:hAnsi="Garamond"/>
                <w:lang w:val="es-AR"/>
              </w:rPr>
              <w:t>CCEE de Siemens</w:t>
            </w:r>
            <w:r w:rsidRPr="00CA0A60">
              <w:rPr>
                <w:rFonts w:ascii="Garamond" w:hAnsi="Garamond"/>
                <w:lang w:val="es-AR"/>
              </w:rPr>
              <w:t xml:space="preserve"> se constituirá luego de la cancelación de la </w:t>
            </w:r>
            <w:r w:rsidR="00B816E3" w:rsidRPr="00CA0A60">
              <w:rPr>
                <w:rFonts w:ascii="Garamond" w:hAnsi="Garamond"/>
                <w:lang w:val="es-AR"/>
              </w:rPr>
              <w:t>Deuda de Siemens</w:t>
            </w:r>
            <w:r w:rsidRPr="00CA0A60">
              <w:rPr>
                <w:rFonts w:ascii="Garamond" w:hAnsi="Garamond"/>
                <w:lang w:val="es-AR"/>
              </w:rPr>
              <w:t xml:space="preserve"> con los fondos obtenidos de la colocación en la Fecha de Emisión (tal como dichos términos se definen más adelante en el presente Suplemento); (v) en la medida que no estén garantizadas por los Derechos de Garantía, tendrán el mismo grado de privilegio de pago que todas las deudas no subordinadas de las Co-Emisoras actuales y futuras, salvo por ciertas obligaciones que gozan de tratamiento preferente por disposiciones </w:t>
            </w:r>
            <w:r w:rsidRPr="00CA0A60">
              <w:rPr>
                <w:rFonts w:ascii="Garamond" w:hAnsi="Garamond"/>
                <w:lang w:val="es-AR"/>
              </w:rPr>
              <w:lastRenderedPageBreak/>
              <w:t xml:space="preserve">legales o por imperio de la ley; (vi) tendrán grado de privilegio de pago mayor que todas las deudas subordinadas de las Co-Emisoras, actuales y futuras, si las hubiera, (vii) tendrán grado de privilegio mayor que todas las deudas no garantizadas de las Co-Emisoras, actuales y futuras, por hasta un monto igual al Monto de Garantía Máximo (según se define más adelante en el presente Suplemento), (viii) estarán efectivamente subordinadas a todas las deudas de las Co-Emisoras, actuales y futuras, garantizadas por activos que no garanticen las Obligaciones Negociables o garantizadas por un </w:t>
            </w:r>
            <w:r w:rsidR="00E01024" w:rsidRPr="00CA0A60">
              <w:rPr>
                <w:rFonts w:ascii="Garamond" w:hAnsi="Garamond"/>
                <w:lang w:val="es-AR"/>
              </w:rPr>
              <w:t>Gravamen</w:t>
            </w:r>
            <w:r w:rsidRPr="00CA0A60">
              <w:rPr>
                <w:rFonts w:ascii="Garamond" w:hAnsi="Garamond"/>
                <w:lang w:val="es-AR"/>
              </w:rPr>
              <w:t xml:space="preserve"> en primer grado de privilegio sobre los </w:t>
            </w:r>
            <w:r w:rsidR="002A04E0">
              <w:rPr>
                <w:rFonts w:ascii="Garamond" w:hAnsi="Garamond"/>
                <w:lang w:val="es-AR"/>
              </w:rPr>
              <w:t>Derechos de Garantía</w:t>
            </w:r>
            <w:r w:rsidRPr="00CA0A60">
              <w:rPr>
                <w:rFonts w:ascii="Garamond" w:hAnsi="Garamond"/>
                <w:lang w:val="es-AR"/>
              </w:rPr>
              <w:t>, si los hubiera, hasta la concurrencia del valor de los activos que garantizan dicha deuda; y (ix) estarán estructuralmente subordinadas a las deudas actuales y futuras y otras obligaciones (incluidas las deudas comerciales) de las Subsidiarias (tal como se define más adelante en el presente Suplemento) de cada una de las Co-Emisoras que no constituyan garantía de las Obligaciones Negociables.</w:t>
            </w:r>
          </w:p>
        </w:tc>
      </w:tr>
      <w:tr w:rsidR="001D5C14" w:rsidRPr="00CA0A60" w14:paraId="0934F406" w14:textId="77777777" w:rsidTr="001D5C14">
        <w:tc>
          <w:tcPr>
            <w:tcW w:w="1654" w:type="dxa"/>
          </w:tcPr>
          <w:p w14:paraId="3EEDA2F5"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lastRenderedPageBreak/>
              <w:t>Rescate por Motivos Impositivos</w:t>
            </w:r>
          </w:p>
        </w:tc>
        <w:tc>
          <w:tcPr>
            <w:tcW w:w="6851" w:type="dxa"/>
          </w:tcPr>
          <w:p w14:paraId="3E2C8169" w14:textId="10620024" w:rsidR="001D5C14" w:rsidRPr="00713D6E" w:rsidRDefault="001D5C14" w:rsidP="003516AF">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Las Co-Emisoras podrán rescatar las Obligaciones Negociables en cualquier momento en su totalidad, pero no parcialmente, a un precio de rescate equivalente al 100% del monto de capital en circulación de las Obligaciones Negociables, junto con los Montos Adicionales</w:t>
            </w:r>
            <w:r w:rsidR="008D5A29" w:rsidRPr="00CA0A60">
              <w:rPr>
                <w:rFonts w:ascii="Garamond" w:hAnsi="Garamond"/>
                <w:szCs w:val="22"/>
                <w:lang w:val="es-AR"/>
              </w:rPr>
              <w:t xml:space="preserve"> (tal como se define más adelante en el presente Suplemento)</w:t>
            </w:r>
            <w:r w:rsidRPr="00CA0A60">
              <w:rPr>
                <w:rFonts w:ascii="Garamond" w:hAnsi="Garamond"/>
                <w:szCs w:val="22"/>
                <w:lang w:val="es-AR"/>
              </w:rPr>
              <w:t xml:space="preserve"> y los intereses devengados e impagos, si, como consecuencia de (i) una modificación o cambio en las leyes o tratados de la jurisdicción fiscal pertinente, o (ii) un cambio o modificación en la aplicación, administración o interpretación oficial de dichas leyes o tratados, el pagador se vería obligado, luego de tomar medidas razonables para evitar este requisito, a pagar Montos Adicionales después de la fecha en que tal cambio o modificación se efectiviza. </w:t>
            </w:r>
            <w:r w:rsidR="00983D58" w:rsidRPr="00CA0A60">
              <w:rPr>
                <w:rFonts w:ascii="Garamond" w:hAnsi="Garamond"/>
                <w:szCs w:val="22"/>
                <w:lang w:val="es-AR"/>
              </w:rPr>
              <w:t>Para más información véase “</w:t>
            </w:r>
            <w:r w:rsidR="00983D58" w:rsidRPr="00CA0A60">
              <w:rPr>
                <w:rFonts w:ascii="Garamond" w:hAnsi="Garamond"/>
                <w:i/>
                <w:lang w:val="es-AR"/>
              </w:rPr>
              <w:t>Descripción de la Oferta y la Negociación</w:t>
            </w:r>
            <w:r w:rsidR="00983D58" w:rsidRPr="00CA3A3D">
              <w:rPr>
                <w:rFonts w:ascii="Garamond" w:hAnsi="Garamond"/>
                <w:lang w:val="es-AR"/>
              </w:rPr>
              <w:t>—</w:t>
            </w:r>
            <w:r w:rsidR="00983D58" w:rsidRPr="00CA0A60">
              <w:rPr>
                <w:rFonts w:ascii="Garamond" w:hAnsi="Garamond"/>
                <w:i/>
                <w:lang w:val="es-AR"/>
              </w:rPr>
              <w:t>Descripción de las Obligaciones Negociables</w:t>
            </w:r>
            <w:r w:rsidR="00983D58" w:rsidRPr="00CA3A3D">
              <w:rPr>
                <w:rStyle w:val="Cuerpodeltexto2Cursiva"/>
                <w:rFonts w:ascii="Garamond" w:eastAsia="Batang" w:hAnsi="Garamond"/>
                <w:sz w:val="20"/>
                <w:szCs w:val="20"/>
                <w:lang w:val="es-AR"/>
              </w:rPr>
              <w:t xml:space="preserve"> </w:t>
            </w:r>
            <w:r w:rsidR="00983D58" w:rsidRPr="00CA3A3D">
              <w:rPr>
                <w:rFonts w:ascii="Garamond" w:hAnsi="Garamond"/>
                <w:lang w:val="es-AR"/>
              </w:rPr>
              <w:t>—</w:t>
            </w:r>
            <w:r w:rsidR="00983D58" w:rsidRPr="00CA3A3D">
              <w:rPr>
                <w:rStyle w:val="Cuerpodeltexto2Cursiva"/>
                <w:rFonts w:ascii="Garamond" w:eastAsia="Batang" w:hAnsi="Garamond"/>
                <w:sz w:val="20"/>
                <w:szCs w:val="20"/>
                <w:lang w:val="es-AR"/>
              </w:rPr>
              <w:t xml:space="preserve"> Rescate Opcional por Motivos Impositivos</w:t>
            </w:r>
            <w:r w:rsidR="00983D58" w:rsidRPr="00CA0A60">
              <w:rPr>
                <w:rFonts w:ascii="Garamond" w:hAnsi="Garamond"/>
                <w:szCs w:val="22"/>
                <w:lang w:val="es-AR"/>
              </w:rPr>
              <w:t>”.</w:t>
            </w:r>
          </w:p>
        </w:tc>
      </w:tr>
      <w:tr w:rsidR="001D5C14" w:rsidRPr="00CA0A60" w14:paraId="35BDFE3B" w14:textId="77777777" w:rsidTr="001D5C14">
        <w:tc>
          <w:tcPr>
            <w:tcW w:w="1654" w:type="dxa"/>
          </w:tcPr>
          <w:p w14:paraId="5B892F72"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Oferta Obligatoria de Recompra</w:t>
            </w:r>
          </w:p>
        </w:tc>
        <w:tc>
          <w:tcPr>
            <w:tcW w:w="6851" w:type="dxa"/>
          </w:tcPr>
          <w:p w14:paraId="3AFE7F9B" w14:textId="22114E26" w:rsidR="001D5C14" w:rsidRPr="009F17C8" w:rsidRDefault="001D5C14" w:rsidP="001D5C14">
            <w:pPr>
              <w:pStyle w:val="CellBody"/>
              <w:widowControl w:val="0"/>
              <w:spacing w:before="120" w:after="120" w:line="240" w:lineRule="auto"/>
              <w:jc w:val="both"/>
              <w:rPr>
                <w:rFonts w:ascii="Garamond" w:hAnsi="Garamond"/>
                <w:szCs w:val="22"/>
                <w:lang w:val="es-AR"/>
              </w:rPr>
            </w:pPr>
            <w:r w:rsidRPr="009F17C8">
              <w:rPr>
                <w:rFonts w:ascii="Garamond" w:hAnsi="Garamond"/>
                <w:szCs w:val="22"/>
                <w:lang w:val="es-AR"/>
              </w:rPr>
              <w:t xml:space="preserve">Las Co-Emisoras deberán realizar ofertas obligatorias de recompra de Obligaciones Negociables (cuyos tenedores tendrán derecho a rechazar) ante la recepción de fondos netos en efectivo </w:t>
            </w:r>
            <w:r w:rsidR="00983D58" w:rsidRPr="009F17C8">
              <w:rPr>
                <w:rFonts w:ascii="Garamond" w:hAnsi="Garamond"/>
                <w:szCs w:val="22"/>
                <w:lang w:val="es-AR"/>
              </w:rPr>
              <w:t>por un monto</w:t>
            </w:r>
            <w:r w:rsidR="008D5A29" w:rsidRPr="009F17C8">
              <w:rPr>
                <w:rFonts w:ascii="Garamond" w:hAnsi="Garamond"/>
                <w:lang w:val="es-AR" w:eastAsia="zh-CN" w:bidi="he-IL"/>
              </w:rPr>
              <w:t xml:space="preserve"> igual o mayor </w:t>
            </w:r>
            <w:r w:rsidR="001F4075" w:rsidRPr="009F17C8">
              <w:rPr>
                <w:rFonts w:ascii="Garamond" w:hAnsi="Garamond"/>
                <w:szCs w:val="22"/>
                <w:lang w:val="es-AR"/>
              </w:rPr>
              <w:t xml:space="preserve">a </w:t>
            </w:r>
            <w:r w:rsidR="009F17C8" w:rsidRPr="00582114">
              <w:rPr>
                <w:rFonts w:ascii="Garamond" w:hAnsi="Garamond"/>
                <w:szCs w:val="22"/>
                <w:lang w:val="es-AR"/>
              </w:rPr>
              <w:t xml:space="preserve">los indicados en la sección </w:t>
            </w:r>
            <w:r w:rsidR="006B0328" w:rsidRPr="00A457B8">
              <w:rPr>
                <w:rFonts w:ascii="Garamond" w:hAnsi="Garamond"/>
                <w:lang w:val="es-AR" w:eastAsia="zh-CN" w:bidi="he-IL"/>
              </w:rPr>
              <w:t>“</w:t>
            </w:r>
            <w:r w:rsidR="006B0328" w:rsidRPr="00A457B8">
              <w:rPr>
                <w:rFonts w:ascii="Garamond" w:hAnsi="Garamond"/>
                <w:i/>
                <w:lang w:val="es-AR"/>
              </w:rPr>
              <w:t>Descripción de la Oferta y la Negociación</w:t>
            </w:r>
            <w:r w:rsidR="006B0328" w:rsidRPr="00A457B8">
              <w:rPr>
                <w:rFonts w:ascii="Garamond" w:hAnsi="Garamond"/>
                <w:lang w:val="es-AR"/>
              </w:rPr>
              <w:t>—</w:t>
            </w:r>
            <w:r w:rsidR="006B0328" w:rsidRPr="00A457B8">
              <w:rPr>
                <w:rFonts w:ascii="Garamond" w:hAnsi="Garamond"/>
                <w:i/>
                <w:lang w:val="es-AR"/>
              </w:rPr>
              <w:t>Descripción de las Obligaciones Negociables</w:t>
            </w:r>
            <w:r w:rsidR="006B0328" w:rsidRPr="00A457B8">
              <w:rPr>
                <w:rStyle w:val="Cuerpodeltexto2Cursiva"/>
                <w:rFonts w:ascii="Garamond" w:eastAsia="Batang" w:hAnsi="Garamond"/>
                <w:sz w:val="20"/>
                <w:szCs w:val="20"/>
                <w:lang w:val="es-AR"/>
              </w:rPr>
              <w:t xml:space="preserve"> </w:t>
            </w:r>
            <w:r w:rsidR="006B0328" w:rsidRPr="00A457B8">
              <w:rPr>
                <w:rFonts w:ascii="Garamond" w:hAnsi="Garamond"/>
                <w:lang w:val="es-AR"/>
              </w:rPr>
              <w:t>—</w:t>
            </w:r>
            <w:r w:rsidR="006B0328" w:rsidRPr="00A457B8">
              <w:rPr>
                <w:rStyle w:val="Cuerpodeltexto2Cursiva"/>
                <w:rFonts w:ascii="Garamond" w:eastAsia="Batang" w:hAnsi="Garamond"/>
                <w:sz w:val="20"/>
                <w:szCs w:val="20"/>
                <w:lang w:val="es-AR"/>
              </w:rPr>
              <w:t xml:space="preserve"> </w:t>
            </w:r>
            <w:r w:rsidR="006B0328" w:rsidRPr="00A457B8">
              <w:rPr>
                <w:rFonts w:ascii="Garamond" w:hAnsi="Garamond"/>
                <w:i/>
                <w:lang w:val="es-AR"/>
              </w:rPr>
              <w:t>Supuesto de Pérdida, Expropiación o Venta de Activos</w:t>
            </w:r>
            <w:r w:rsidR="006B0328" w:rsidRPr="00A457B8">
              <w:rPr>
                <w:rFonts w:ascii="Garamond" w:hAnsi="Garamond"/>
                <w:lang w:val="es-AR"/>
              </w:rPr>
              <w:t>”</w:t>
            </w:r>
            <w:r w:rsidR="006B0328">
              <w:rPr>
                <w:rFonts w:ascii="Garamond" w:hAnsi="Garamond"/>
                <w:szCs w:val="22"/>
                <w:lang w:val="es-AR"/>
              </w:rPr>
              <w:t xml:space="preserve">, </w:t>
            </w:r>
            <w:r w:rsidRPr="006B0328">
              <w:rPr>
                <w:rFonts w:ascii="Garamond" w:hAnsi="Garamond"/>
                <w:szCs w:val="22"/>
                <w:lang w:val="es-AR"/>
              </w:rPr>
              <w:t>derivados de un supuesto de pérdida, expropiación</w:t>
            </w:r>
            <w:r w:rsidR="008D3CFF" w:rsidRPr="006B0328">
              <w:rPr>
                <w:rFonts w:ascii="Garamond" w:hAnsi="Garamond"/>
                <w:szCs w:val="22"/>
                <w:lang w:val="es-AR"/>
              </w:rPr>
              <w:t xml:space="preserve"> o</w:t>
            </w:r>
            <w:r w:rsidRPr="006B0328">
              <w:rPr>
                <w:rFonts w:ascii="Garamond" w:hAnsi="Garamond"/>
                <w:szCs w:val="22"/>
                <w:lang w:val="es-AR"/>
              </w:rPr>
              <w:t xml:space="preserve"> venta de activos, en cada caso, sujeto a derechos de reinversión</w:t>
            </w:r>
            <w:r w:rsidR="00E3145E" w:rsidRPr="006B0328">
              <w:rPr>
                <w:rFonts w:ascii="Garamond" w:hAnsi="Garamond"/>
                <w:szCs w:val="22"/>
                <w:lang w:val="es-AR"/>
              </w:rPr>
              <w:t xml:space="preserve"> </w:t>
            </w:r>
            <w:r w:rsidR="00581B11" w:rsidRPr="006B0328">
              <w:rPr>
                <w:rFonts w:ascii="Garamond" w:hAnsi="Garamond"/>
                <w:lang w:val="es-AR" w:eastAsia="zh-CN" w:bidi="he-IL"/>
              </w:rPr>
              <w:t xml:space="preserve">previstos en la </w:t>
            </w:r>
            <w:r w:rsidR="006B0328">
              <w:rPr>
                <w:rFonts w:ascii="Garamond" w:hAnsi="Garamond"/>
                <w:lang w:val="es-AR" w:eastAsia="zh-CN" w:bidi="he-IL"/>
              </w:rPr>
              <w:t xml:space="preserve">referida </w:t>
            </w:r>
            <w:r w:rsidR="00581B11" w:rsidRPr="006B0328">
              <w:rPr>
                <w:rFonts w:ascii="Garamond" w:hAnsi="Garamond"/>
                <w:lang w:val="es-AR" w:eastAsia="zh-CN" w:bidi="he-IL"/>
              </w:rPr>
              <w:t>sección</w:t>
            </w:r>
            <w:r w:rsidR="006B0328">
              <w:rPr>
                <w:rFonts w:ascii="Garamond" w:hAnsi="Garamond"/>
                <w:lang w:val="es-AR" w:eastAsia="zh-CN" w:bidi="he-IL"/>
              </w:rPr>
              <w:t>.</w:t>
            </w:r>
            <w:r w:rsidR="00581B11" w:rsidRPr="006B0328">
              <w:rPr>
                <w:rFonts w:ascii="Garamond" w:hAnsi="Garamond"/>
                <w:lang w:val="es-AR" w:eastAsia="zh-CN" w:bidi="he-IL"/>
              </w:rPr>
              <w:t xml:space="preserve"> </w:t>
            </w:r>
            <w:r w:rsidRPr="006B0328">
              <w:rPr>
                <w:rFonts w:ascii="Garamond" w:hAnsi="Garamond"/>
                <w:szCs w:val="22"/>
                <w:lang w:val="es-AR"/>
              </w:rPr>
              <w:t>Las Co-Emisoras no estarán obligadas a rescatar las Obligaciones Negociables</w:t>
            </w:r>
            <w:r w:rsidR="008D5A29" w:rsidRPr="00E173AE">
              <w:rPr>
                <w:rFonts w:ascii="Garamond" w:hAnsi="Garamond"/>
                <w:szCs w:val="22"/>
                <w:lang w:val="es-AR"/>
              </w:rPr>
              <w:t>, entre otras,</w:t>
            </w:r>
            <w:r w:rsidRPr="00056047">
              <w:rPr>
                <w:rFonts w:ascii="Garamond" w:hAnsi="Garamond"/>
                <w:szCs w:val="22"/>
                <w:lang w:val="es-AR"/>
              </w:rPr>
              <w:t xml:space="preserve"> si ese accionar fuera co</w:t>
            </w:r>
            <w:r w:rsidRPr="009F17C8">
              <w:rPr>
                <w:rFonts w:ascii="Garamond" w:hAnsi="Garamond"/>
                <w:szCs w:val="22"/>
                <w:lang w:val="es-AR"/>
              </w:rPr>
              <w:t>ntrario a la ley aplicable o a cualquier instrumento de deuda vigente a la Fecha de Emisión.</w:t>
            </w:r>
          </w:p>
          <w:p w14:paraId="04895FC9" w14:textId="0CEFC3FA" w:rsidR="0052186D" w:rsidRPr="00CA0A60" w:rsidRDefault="001D5C14" w:rsidP="009F17C8">
            <w:pPr>
              <w:pStyle w:val="CellBody"/>
              <w:widowControl w:val="0"/>
              <w:spacing w:before="120" w:after="120" w:line="240" w:lineRule="auto"/>
              <w:jc w:val="both"/>
              <w:rPr>
                <w:rFonts w:ascii="Garamond" w:hAnsi="Garamond"/>
                <w:szCs w:val="22"/>
                <w:highlight w:val="yellow"/>
                <w:lang w:val="es-AR"/>
              </w:rPr>
            </w:pPr>
            <w:r w:rsidRPr="009F17C8">
              <w:rPr>
                <w:rFonts w:ascii="Garamond" w:hAnsi="Garamond"/>
                <w:szCs w:val="22"/>
                <w:lang w:val="es-AR"/>
              </w:rPr>
              <w:t>La recompra obligatoria de las Obligaciones Negociables será por su valor nominal, a excepción de los rescates de Obligaciones Negociables que sean consecuencia de ventas de activos, los cuales serán por el precio de compra</w:t>
            </w:r>
            <w:r w:rsidR="0052186D" w:rsidRPr="009F17C8">
              <w:rPr>
                <w:rFonts w:ascii="Garamond" w:hAnsi="Garamond"/>
                <w:lang w:val="es-AR"/>
              </w:rPr>
              <w:t xml:space="preserve"> </w:t>
            </w:r>
            <w:r w:rsidR="005C231A" w:rsidRPr="009F17C8">
              <w:rPr>
                <w:rFonts w:ascii="Garamond" w:hAnsi="Garamond"/>
                <w:lang w:val="es-AR"/>
              </w:rPr>
              <w:t>previstos en la sección</w:t>
            </w:r>
            <w:r w:rsidR="000D4B32" w:rsidRPr="009F17C8">
              <w:rPr>
                <w:rFonts w:ascii="Garamond" w:hAnsi="Garamond"/>
                <w:lang w:val="es-AR"/>
              </w:rPr>
              <w:t xml:space="preserve"> </w:t>
            </w:r>
            <w:r w:rsidR="003E20FF" w:rsidRPr="009F17C8">
              <w:rPr>
                <w:rFonts w:ascii="Garamond" w:hAnsi="Garamond"/>
                <w:i/>
                <w:color w:val="000000"/>
                <w:kern w:val="0"/>
                <w:szCs w:val="24"/>
                <w:lang w:val="es-AR" w:eastAsia="zh-CN"/>
              </w:rPr>
              <w:t>Descripción de la Oferta y la Negociación</w:t>
            </w:r>
            <w:r w:rsidR="003E20FF" w:rsidRPr="009F17C8">
              <w:rPr>
                <w:rFonts w:ascii="Garamond" w:hAnsi="Garamond"/>
                <w:color w:val="000000"/>
                <w:kern w:val="0"/>
                <w:szCs w:val="24"/>
                <w:lang w:val="es-AR" w:eastAsia="zh-CN"/>
              </w:rPr>
              <w:t>—</w:t>
            </w:r>
            <w:r w:rsidR="003E20FF" w:rsidRPr="009F17C8">
              <w:rPr>
                <w:rFonts w:ascii="Garamond" w:hAnsi="Garamond"/>
                <w:i/>
                <w:color w:val="000000"/>
                <w:kern w:val="0"/>
                <w:szCs w:val="24"/>
                <w:lang w:val="es-AR" w:eastAsia="zh-CN"/>
              </w:rPr>
              <w:t>Descripción de las Obligaciones Negociables</w:t>
            </w:r>
            <w:r w:rsidR="003E20FF" w:rsidRPr="009F17C8">
              <w:rPr>
                <w:rFonts w:ascii="Garamond" w:hAnsi="Garamond"/>
                <w:i/>
                <w:color w:val="000000"/>
                <w:kern w:val="0"/>
                <w:szCs w:val="22"/>
                <w:lang w:val="es-AR" w:eastAsia="zh-CN"/>
              </w:rPr>
              <w:t xml:space="preserve"> ―</w:t>
            </w:r>
            <w:r w:rsidR="003E20FF" w:rsidRPr="009F17C8">
              <w:rPr>
                <w:rFonts w:ascii="Garamond" w:hAnsi="Garamond"/>
                <w:i/>
                <w:lang w:val="es-AR"/>
              </w:rPr>
              <w:t xml:space="preserve"> Supuesto de Pérdida, Expropiación</w:t>
            </w:r>
            <w:r w:rsidR="008D3CFF" w:rsidRPr="009F17C8">
              <w:rPr>
                <w:rFonts w:ascii="Garamond" w:hAnsi="Garamond"/>
                <w:i/>
                <w:lang w:val="es-AR"/>
              </w:rPr>
              <w:t xml:space="preserve"> o</w:t>
            </w:r>
            <w:r w:rsidR="003E20FF" w:rsidRPr="009F17C8">
              <w:rPr>
                <w:rFonts w:ascii="Garamond" w:hAnsi="Garamond"/>
                <w:i/>
                <w:lang w:val="es-AR"/>
              </w:rPr>
              <w:t xml:space="preserve"> Venta de Activos</w:t>
            </w:r>
            <w:r w:rsidR="003E20FF" w:rsidRPr="009F17C8">
              <w:rPr>
                <w:rFonts w:ascii="Garamond" w:hAnsi="Garamond"/>
                <w:color w:val="000000"/>
                <w:kern w:val="0"/>
                <w:szCs w:val="22"/>
                <w:lang w:val="es-AR" w:eastAsia="zh-CN"/>
              </w:rPr>
              <w:t xml:space="preserve">”, </w:t>
            </w:r>
            <w:r w:rsidR="0052186D" w:rsidRPr="009F17C8">
              <w:rPr>
                <w:rFonts w:ascii="Garamond" w:hAnsi="Garamond"/>
                <w:lang w:val="es-AR"/>
              </w:rPr>
              <w:t>que se hubiera aplicado al momento de la recepción de los fondos netos en efectivo derivados de dicha venta de activos, en cada caso</w:t>
            </w:r>
            <w:r w:rsidRPr="009F17C8">
              <w:rPr>
                <w:rFonts w:ascii="Garamond" w:hAnsi="Garamond"/>
                <w:szCs w:val="22"/>
                <w:lang w:val="es-AR"/>
              </w:rPr>
              <w:t>, más los intereses devengados y montos adicionales a la fecha de rescate, si hubiera.</w:t>
            </w:r>
          </w:p>
        </w:tc>
      </w:tr>
      <w:tr w:rsidR="001D5C14" w:rsidRPr="00CA0A60" w14:paraId="6E772672" w14:textId="77777777" w:rsidTr="001D5C14">
        <w:tc>
          <w:tcPr>
            <w:tcW w:w="1654" w:type="dxa"/>
          </w:tcPr>
          <w:p w14:paraId="76AE3E40" w14:textId="77777777" w:rsidR="001D5C14" w:rsidRPr="00CA0A60" w:rsidRDefault="001D5C14" w:rsidP="001D5C14">
            <w:pPr>
              <w:pStyle w:val="CellBody"/>
              <w:widowControl w:val="0"/>
              <w:spacing w:before="120" w:after="120" w:line="240" w:lineRule="auto"/>
              <w:jc w:val="both"/>
              <w:rPr>
                <w:rFonts w:ascii="Garamond" w:hAnsi="Garamond"/>
                <w:b/>
                <w:bCs/>
                <w:szCs w:val="22"/>
                <w:lang w:val="es-AR"/>
              </w:rPr>
            </w:pPr>
            <w:r w:rsidRPr="00CA0A60">
              <w:rPr>
                <w:rFonts w:ascii="Garamond" w:hAnsi="Garamond"/>
                <w:b/>
                <w:bCs/>
                <w:szCs w:val="22"/>
                <w:lang w:val="es-AR"/>
              </w:rPr>
              <w:t>Rescate Opcional</w:t>
            </w:r>
          </w:p>
        </w:tc>
        <w:tc>
          <w:tcPr>
            <w:tcW w:w="6851" w:type="dxa"/>
          </w:tcPr>
          <w:p w14:paraId="3EF4896B" w14:textId="56A437DA" w:rsidR="001D5C14" w:rsidRPr="00CA0A60" w:rsidRDefault="001D5C14" w:rsidP="00F412E2">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 xml:space="preserve">En cualquier momento, y periódicamente, las Co-Emisoras podrán rescatar las Obligaciones Negociables (más los intereses devengados y montos adicionales hasta la fecha de rescate, si hubiera), total o parcialmente, </w:t>
            </w:r>
            <w:r w:rsidRPr="00CA0A60">
              <w:rPr>
                <w:rFonts w:ascii="Garamond" w:hAnsi="Garamond"/>
                <w:color w:val="000000"/>
                <w:kern w:val="0"/>
                <w:szCs w:val="22"/>
                <w:lang w:val="es-AR" w:eastAsia="zh-CN"/>
              </w:rPr>
              <w:t>en las fechas y en los porcentajes que se inform</w:t>
            </w:r>
            <w:r w:rsidR="00F243B9" w:rsidRPr="00CA0A60">
              <w:rPr>
                <w:rFonts w:ascii="Garamond" w:hAnsi="Garamond"/>
                <w:color w:val="000000"/>
                <w:kern w:val="0"/>
                <w:szCs w:val="22"/>
                <w:lang w:val="es-AR" w:eastAsia="zh-CN"/>
              </w:rPr>
              <w:t>a</w:t>
            </w:r>
            <w:r w:rsidRPr="00CA0A60">
              <w:rPr>
                <w:rFonts w:ascii="Garamond" w:hAnsi="Garamond"/>
                <w:color w:val="000000"/>
                <w:kern w:val="0"/>
                <w:szCs w:val="22"/>
                <w:lang w:val="es-AR" w:eastAsia="zh-CN"/>
              </w:rPr>
              <w:t xml:space="preserve">n en </w:t>
            </w:r>
            <w:r w:rsidR="00F243B9" w:rsidRPr="00CA0A60">
              <w:rPr>
                <w:rFonts w:ascii="Garamond" w:hAnsi="Garamond"/>
                <w:color w:val="000000"/>
                <w:kern w:val="0"/>
                <w:szCs w:val="22"/>
                <w:lang w:val="es-AR" w:eastAsia="zh-CN"/>
              </w:rPr>
              <w:t>la secci</w:t>
            </w:r>
            <w:r w:rsidR="00EE18AE" w:rsidRPr="00CA0A60">
              <w:rPr>
                <w:rFonts w:ascii="Garamond" w:hAnsi="Garamond"/>
                <w:color w:val="000000"/>
                <w:kern w:val="0"/>
                <w:szCs w:val="22"/>
                <w:lang w:val="es-AR" w:eastAsia="zh-CN"/>
              </w:rPr>
              <w:t>ón</w:t>
            </w:r>
            <w:r w:rsidRPr="00CA0A60">
              <w:rPr>
                <w:rFonts w:ascii="Garamond" w:hAnsi="Garamond"/>
                <w:color w:val="000000"/>
                <w:kern w:val="0"/>
                <w:szCs w:val="22"/>
                <w:lang w:val="es-AR" w:eastAsia="zh-CN"/>
              </w:rPr>
              <w:t xml:space="preserve"> “</w:t>
            </w:r>
            <w:r w:rsidRPr="00CA0A60">
              <w:rPr>
                <w:rFonts w:ascii="Garamond" w:hAnsi="Garamond"/>
                <w:i/>
                <w:color w:val="000000"/>
                <w:kern w:val="0"/>
                <w:szCs w:val="24"/>
                <w:lang w:val="es-AR" w:eastAsia="zh-CN"/>
              </w:rPr>
              <w:t>Descripción de la Oferta y la Negociación</w:t>
            </w:r>
            <w:r w:rsidRPr="00CA3A3D">
              <w:rPr>
                <w:rFonts w:ascii="Garamond" w:hAnsi="Garamond"/>
                <w:color w:val="000000"/>
                <w:kern w:val="0"/>
                <w:szCs w:val="24"/>
                <w:lang w:val="es-AR" w:eastAsia="zh-CN"/>
              </w:rPr>
              <w:t>—</w:t>
            </w:r>
            <w:r w:rsidRPr="00CA0A60">
              <w:rPr>
                <w:rFonts w:ascii="Garamond" w:hAnsi="Garamond"/>
                <w:i/>
                <w:color w:val="000000"/>
                <w:kern w:val="0"/>
                <w:szCs w:val="24"/>
                <w:lang w:val="es-AR" w:eastAsia="zh-CN"/>
              </w:rPr>
              <w:t>Descripción de las Obligaciones Negociables</w:t>
            </w:r>
            <w:r w:rsidRPr="00CA0A60">
              <w:rPr>
                <w:rFonts w:ascii="Garamond" w:hAnsi="Garamond"/>
                <w:i/>
                <w:color w:val="000000"/>
                <w:kern w:val="0"/>
                <w:szCs w:val="22"/>
                <w:lang w:val="es-AR" w:eastAsia="zh-CN"/>
              </w:rPr>
              <w:t xml:space="preserve"> ―</w:t>
            </w:r>
            <w:r w:rsidR="00EE18AE" w:rsidRPr="00CA0A60">
              <w:rPr>
                <w:rFonts w:ascii="Garamond" w:hAnsi="Garamond"/>
                <w:i/>
                <w:color w:val="000000"/>
                <w:kern w:val="0"/>
                <w:szCs w:val="22"/>
                <w:lang w:val="es-AR" w:eastAsia="zh-CN"/>
              </w:rPr>
              <w:t>Rescate Opcional</w:t>
            </w:r>
            <w:r w:rsidRPr="00CA0A60">
              <w:rPr>
                <w:rFonts w:ascii="Garamond" w:hAnsi="Garamond"/>
                <w:color w:val="000000"/>
                <w:kern w:val="0"/>
                <w:szCs w:val="22"/>
                <w:lang w:val="es-AR" w:eastAsia="zh-CN"/>
              </w:rPr>
              <w:t>”.</w:t>
            </w:r>
          </w:p>
        </w:tc>
      </w:tr>
      <w:tr w:rsidR="001D5C14" w:rsidRPr="00CA0A60" w14:paraId="1CD1AFC9" w14:textId="77777777" w:rsidTr="001D5C14">
        <w:tc>
          <w:tcPr>
            <w:tcW w:w="1654" w:type="dxa"/>
          </w:tcPr>
          <w:p w14:paraId="327A8191" w14:textId="77777777" w:rsidR="001D5C14" w:rsidRPr="00CA0A60" w:rsidRDefault="001D5C14" w:rsidP="001D5C14">
            <w:pPr>
              <w:pStyle w:val="CellBody"/>
              <w:widowControl w:val="0"/>
              <w:spacing w:before="120" w:after="120" w:line="240" w:lineRule="auto"/>
              <w:jc w:val="both"/>
              <w:rPr>
                <w:rFonts w:ascii="Garamond" w:hAnsi="Garamond"/>
                <w:b/>
                <w:bCs/>
                <w:szCs w:val="22"/>
                <w:lang w:val="es-AR"/>
              </w:rPr>
            </w:pPr>
            <w:r w:rsidRPr="00CA0A60">
              <w:rPr>
                <w:rFonts w:ascii="Garamond" w:hAnsi="Garamond"/>
                <w:b/>
                <w:bCs/>
                <w:szCs w:val="22"/>
                <w:lang w:val="es-AR"/>
              </w:rPr>
              <w:t>Ausencia de Registro en virtud de la Ley de Títulos Valores y Restricciones a la Transferencia</w:t>
            </w:r>
          </w:p>
        </w:tc>
        <w:tc>
          <w:tcPr>
            <w:tcW w:w="0" w:type="auto"/>
          </w:tcPr>
          <w:p w14:paraId="16B81FB0" w14:textId="77777777" w:rsidR="001D5C14" w:rsidRPr="00CA3A3D" w:rsidRDefault="001D5C14" w:rsidP="006A1ECE">
            <w:pPr>
              <w:jc w:val="both"/>
              <w:rPr>
                <w:sz w:val="20"/>
                <w:lang w:val="es-AR"/>
              </w:rPr>
            </w:pPr>
            <w:r w:rsidRPr="00CA0A60">
              <w:rPr>
                <w:rFonts w:ascii="Garamond" w:hAnsi="Garamond"/>
                <w:sz w:val="20"/>
                <w:lang w:val="es-AR"/>
              </w:rPr>
              <w:t>Las Obligaciones Negociables no han sido ni serán registradas bajo la Ley de Títulos Valores Estadounidense ni bajo ninguna otra ley estadual en material de títulos valores</w:t>
            </w:r>
            <w:r w:rsidR="009E1627" w:rsidRPr="00CA0A60">
              <w:rPr>
                <w:rFonts w:ascii="Garamond" w:hAnsi="Garamond"/>
                <w:sz w:val="20"/>
                <w:lang w:val="es-AR"/>
              </w:rPr>
              <w:t xml:space="preserve"> de los Estados Unidos</w:t>
            </w:r>
            <w:r w:rsidRPr="00CA0A60">
              <w:rPr>
                <w:rFonts w:ascii="Garamond" w:hAnsi="Garamond"/>
                <w:sz w:val="20"/>
                <w:lang w:val="es-AR"/>
              </w:rPr>
              <w:t xml:space="preserve">, y solamente podrán ser ofrecidas, vendidas o prendadas en operaciones exentas o no sujetas a los requisitos de registro de la Ley de Títulos Valores Estadounidense o de las leyes en materia de títulos valores de otras jurisdicciones. Las Obligaciones Negociables inicialmente </w:t>
            </w:r>
            <w:r w:rsidR="009E1627" w:rsidRPr="00CA0A60">
              <w:rPr>
                <w:rFonts w:ascii="Garamond" w:hAnsi="Garamond"/>
                <w:sz w:val="20"/>
                <w:lang w:val="es-AR"/>
              </w:rPr>
              <w:t xml:space="preserve">serán </w:t>
            </w:r>
            <w:r w:rsidRPr="00CA0A60">
              <w:rPr>
                <w:rFonts w:ascii="Garamond" w:hAnsi="Garamond"/>
                <w:sz w:val="20"/>
                <w:lang w:val="es-AR"/>
              </w:rPr>
              <w:t xml:space="preserve">vendidas en base a la exención de los requisitos de registro de la Ley de Títulos Valores Estadounidense prevista en la Regla 4(a)(2) </w:t>
            </w:r>
            <w:r w:rsidR="009E1627" w:rsidRPr="00CA0A60">
              <w:rPr>
                <w:rFonts w:ascii="Garamond" w:hAnsi="Garamond"/>
                <w:sz w:val="20"/>
                <w:lang w:val="es-AR"/>
              </w:rPr>
              <w:t xml:space="preserve">y </w:t>
            </w:r>
            <w:r w:rsidRPr="00CA0A60">
              <w:rPr>
                <w:rFonts w:ascii="Garamond" w:hAnsi="Garamond"/>
                <w:sz w:val="20"/>
                <w:lang w:val="es-AR"/>
              </w:rPr>
              <w:t>serán consideradas “</w:t>
            </w:r>
            <w:r w:rsidRPr="00CA0A60">
              <w:rPr>
                <w:rFonts w:ascii="Garamond" w:hAnsi="Garamond"/>
                <w:i/>
                <w:sz w:val="20"/>
                <w:lang w:val="es-AR"/>
              </w:rPr>
              <w:t>títulos restringidos</w:t>
            </w:r>
            <w:r w:rsidRPr="00CA0A60">
              <w:rPr>
                <w:rFonts w:ascii="Garamond" w:hAnsi="Garamond"/>
                <w:sz w:val="20"/>
                <w:lang w:val="es-AR"/>
              </w:rPr>
              <w:t>”</w:t>
            </w:r>
            <w:r w:rsidR="009E1627" w:rsidRPr="00CA0A60">
              <w:rPr>
                <w:rFonts w:ascii="Garamond" w:hAnsi="Garamond"/>
                <w:sz w:val="20"/>
                <w:lang w:val="es-AR"/>
              </w:rPr>
              <w:t xml:space="preserve"> (</w:t>
            </w:r>
            <w:r w:rsidR="009E1627" w:rsidRPr="00CA0A60">
              <w:rPr>
                <w:rFonts w:ascii="Garamond" w:hAnsi="Garamond"/>
                <w:i/>
                <w:sz w:val="20"/>
                <w:lang w:val="es-AR"/>
              </w:rPr>
              <w:t>restricted securities</w:t>
            </w:r>
            <w:r w:rsidR="009E1627" w:rsidRPr="00CA0A60">
              <w:rPr>
                <w:rFonts w:ascii="Garamond" w:hAnsi="Garamond"/>
                <w:sz w:val="20"/>
                <w:lang w:val="es-AR"/>
              </w:rPr>
              <w:t>, en inglés)</w:t>
            </w:r>
            <w:r w:rsidRPr="00CA0A60">
              <w:rPr>
                <w:rFonts w:ascii="Garamond" w:hAnsi="Garamond"/>
                <w:sz w:val="20"/>
                <w:lang w:val="es-AR"/>
              </w:rPr>
              <w:t xml:space="preserve"> a los fines de la Regla 144 bajo la Ley de Títulos Valores Estadounidense.</w:t>
            </w:r>
          </w:p>
        </w:tc>
      </w:tr>
      <w:tr w:rsidR="001D5C14" w:rsidRPr="00CA0A60" w14:paraId="35BC8C79" w14:textId="77777777" w:rsidTr="001D5C14">
        <w:tc>
          <w:tcPr>
            <w:tcW w:w="1654" w:type="dxa"/>
          </w:tcPr>
          <w:p w14:paraId="27A825EB" w14:textId="77777777" w:rsidR="001D5C14" w:rsidRPr="00CA0A60" w:rsidRDefault="001D5C14" w:rsidP="00F412E2">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 xml:space="preserve">Forma </w:t>
            </w:r>
            <w:r w:rsidRPr="00CA0A60">
              <w:rPr>
                <w:rFonts w:ascii="Garamond" w:hAnsi="Garamond"/>
                <w:b/>
                <w:bCs/>
                <w:szCs w:val="22"/>
                <w:lang w:val="es-AR"/>
              </w:rPr>
              <w:lastRenderedPageBreak/>
              <w:t>Escritural, Compensación y Liquidación</w:t>
            </w:r>
          </w:p>
        </w:tc>
        <w:tc>
          <w:tcPr>
            <w:tcW w:w="6851" w:type="dxa"/>
          </w:tcPr>
          <w:p w14:paraId="7C623EA8" w14:textId="7D2C979C" w:rsidR="001D5C14" w:rsidRPr="00CA0A60" w:rsidRDefault="003D32F5" w:rsidP="00866FDA">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lastRenderedPageBreak/>
              <w:t xml:space="preserve">Las Obligaciones Negociables se emitirán en la forma de una o más Obligaciones </w:t>
            </w:r>
            <w:r w:rsidRPr="00CA0A60">
              <w:rPr>
                <w:rFonts w:ascii="Garamond" w:hAnsi="Garamond"/>
                <w:szCs w:val="22"/>
                <w:lang w:val="es-AR"/>
              </w:rPr>
              <w:lastRenderedPageBreak/>
              <w:t xml:space="preserve">Negociables globales sin cupones, registradas a nombre de una persona designada </w:t>
            </w:r>
            <w:r w:rsidR="001D5C14" w:rsidRPr="00CA0A60">
              <w:rPr>
                <w:rFonts w:ascii="Garamond" w:hAnsi="Garamond"/>
                <w:szCs w:val="22"/>
                <w:lang w:val="es-AR"/>
              </w:rPr>
              <w:t xml:space="preserve">de DTC, </w:t>
            </w:r>
            <w:r w:rsidRPr="00CA0A60">
              <w:rPr>
                <w:rFonts w:ascii="Garamond" w:hAnsi="Garamond"/>
                <w:szCs w:val="22"/>
                <w:lang w:val="es-AR"/>
              </w:rPr>
              <w:t xml:space="preserve">en carácter de depositario, </w:t>
            </w:r>
            <w:r w:rsidR="001D5C14" w:rsidRPr="00CA0A60">
              <w:rPr>
                <w:rFonts w:ascii="Garamond" w:hAnsi="Garamond"/>
                <w:szCs w:val="22"/>
                <w:lang w:val="es-AR"/>
              </w:rPr>
              <w:t>en las cuentas de sus participantes directos e indirectos, incluyendo Euroclear y Clearstream, y se negociarán a través del sistema de liquidación de fondos en el día de DTC. Las participaciones no podrán canjearse por títulos cartulares, salvo en limitadas circunstancias.</w:t>
            </w:r>
          </w:p>
        </w:tc>
      </w:tr>
      <w:tr w:rsidR="001D5C14" w:rsidRPr="00CA0A60" w14:paraId="11E609BA" w14:textId="77777777" w:rsidTr="002B1E31">
        <w:tc>
          <w:tcPr>
            <w:tcW w:w="1654" w:type="dxa"/>
          </w:tcPr>
          <w:p w14:paraId="030791D4" w14:textId="77777777" w:rsidR="001D5C14" w:rsidRPr="00CA0A60" w:rsidRDefault="00EE76CA"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lastRenderedPageBreak/>
              <w:t>Retenci</w:t>
            </w:r>
            <w:r w:rsidR="003E20FF" w:rsidRPr="00CA0A60">
              <w:rPr>
                <w:rFonts w:ascii="Garamond" w:hAnsi="Garamond"/>
                <w:b/>
                <w:bCs/>
                <w:szCs w:val="22"/>
                <w:lang w:val="es-AR"/>
              </w:rPr>
              <w:t>ones Impositivas</w:t>
            </w:r>
            <w:r w:rsidRPr="00713D6E">
              <w:rPr>
                <w:rFonts w:ascii="Garamond" w:hAnsi="Garamond"/>
                <w:b/>
                <w:bCs/>
                <w:szCs w:val="22"/>
                <w:lang w:val="es-AR"/>
              </w:rPr>
              <w:t xml:space="preserve"> </w:t>
            </w:r>
            <w:r w:rsidR="001D5C14" w:rsidRPr="00CA0A60">
              <w:rPr>
                <w:rFonts w:ascii="Garamond" w:hAnsi="Garamond"/>
                <w:b/>
                <w:bCs/>
                <w:szCs w:val="22"/>
                <w:lang w:val="es-AR"/>
              </w:rPr>
              <w:t xml:space="preserve">Montos Adicionales </w:t>
            </w:r>
          </w:p>
        </w:tc>
        <w:tc>
          <w:tcPr>
            <w:tcW w:w="6851" w:type="dxa"/>
            <w:shd w:val="clear" w:color="auto" w:fill="auto"/>
          </w:tcPr>
          <w:p w14:paraId="1159B652" w14:textId="77777777" w:rsidR="001D5C14" w:rsidRPr="00CA0A60" w:rsidRDefault="001D5C14" w:rsidP="00F412E2">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Todos los pagos con respecto a las Obligaciones Negociables, sean de capital (incluyendo, de corresponder, cualquier precio de rescate o precio de recompra) o intereses, se efectuarán sin mediar retención o deducción alguna por o a cuenta de impuestos, a menos que así fuera requerido por ley. Si esa retención o deducción fuera requerida por ley, las Co-Emisoras, con sujeción a ciertas excepciones, abonarán los montos adicionales necesarios a fin de que los importes netos que reciban los tenedores luego de esa retención y/o deducción respecto de dichos impuestos sean iguales a los montos respectivos que hubieran debido recibir con respecto a las Obligaciones Negociables si esa retención o deducción no hubiera existido. Véase “</w:t>
            </w:r>
            <w:r w:rsidRPr="00CA0A60">
              <w:rPr>
                <w:rFonts w:ascii="Garamond" w:hAnsi="Garamond"/>
                <w:i/>
                <w:lang w:val="es-AR"/>
              </w:rPr>
              <w:t>Descripción de la Oferta</w:t>
            </w:r>
            <w:r w:rsidRPr="00CA3A3D">
              <w:rPr>
                <w:rFonts w:ascii="Garamond" w:hAnsi="Garamond"/>
                <w:lang w:val="es-AR"/>
              </w:rPr>
              <w:t>—</w:t>
            </w:r>
            <w:r w:rsidRPr="00CA0A60">
              <w:rPr>
                <w:rFonts w:ascii="Garamond" w:hAnsi="Garamond"/>
                <w:i/>
                <w:lang w:val="es-AR"/>
              </w:rPr>
              <w:t>Descripción de las Obligaciones Negociables</w:t>
            </w:r>
            <w:r w:rsidRPr="00CA0A60">
              <w:rPr>
                <w:rFonts w:ascii="Garamond" w:hAnsi="Garamond"/>
                <w:i/>
                <w:szCs w:val="22"/>
                <w:lang w:val="es-AR"/>
              </w:rPr>
              <w:t xml:space="preserve"> ―</w:t>
            </w:r>
            <w:r w:rsidR="00F412E2" w:rsidRPr="00713D6E">
              <w:rPr>
                <w:rFonts w:ascii="Garamond" w:hAnsi="Garamond"/>
                <w:i/>
                <w:szCs w:val="22"/>
                <w:lang w:val="es-AR"/>
              </w:rPr>
              <w:t>Montos Adicionales</w:t>
            </w:r>
            <w:r w:rsidRPr="00CA0A60">
              <w:rPr>
                <w:rFonts w:ascii="Garamond" w:hAnsi="Garamond"/>
                <w:i/>
                <w:szCs w:val="22"/>
                <w:lang w:val="es-AR"/>
              </w:rPr>
              <w:t>”</w:t>
            </w:r>
            <w:r w:rsidRPr="00CA0A60">
              <w:rPr>
                <w:rFonts w:ascii="Garamond" w:hAnsi="Garamond"/>
                <w:szCs w:val="22"/>
                <w:lang w:val="es-AR"/>
              </w:rPr>
              <w:t>.</w:t>
            </w:r>
          </w:p>
        </w:tc>
      </w:tr>
      <w:tr w:rsidR="001D5C14" w:rsidRPr="00CA0A60" w14:paraId="066A625A" w14:textId="77777777" w:rsidTr="002B1E31">
        <w:tc>
          <w:tcPr>
            <w:tcW w:w="1654" w:type="dxa"/>
            <w:shd w:val="clear" w:color="auto" w:fill="auto"/>
          </w:tcPr>
          <w:p w14:paraId="092EEC42"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Destino de los Fondos</w:t>
            </w:r>
          </w:p>
        </w:tc>
        <w:tc>
          <w:tcPr>
            <w:tcW w:w="6851" w:type="dxa"/>
            <w:shd w:val="clear" w:color="auto" w:fill="auto"/>
          </w:tcPr>
          <w:p w14:paraId="3C3E8ECC" w14:textId="74FF91F0" w:rsidR="001D5C14" w:rsidRPr="00CA0A60" w:rsidRDefault="001D5C14" w:rsidP="002503D9">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Las Co-Emisoras aplicarán los fondos netos procedentes de la colocación</w:t>
            </w:r>
            <w:r w:rsidR="000D4B32" w:rsidRPr="00CA0A60">
              <w:rPr>
                <w:rFonts w:ascii="Garamond" w:hAnsi="Garamond"/>
                <w:szCs w:val="22"/>
                <w:lang w:val="es-AR"/>
              </w:rPr>
              <w:t xml:space="preserve"> </w:t>
            </w:r>
            <w:r w:rsidR="00CA1433" w:rsidRPr="00CA0A60">
              <w:rPr>
                <w:rFonts w:ascii="Garamond" w:hAnsi="Garamond"/>
                <w:szCs w:val="22"/>
                <w:lang w:val="es-AR"/>
              </w:rPr>
              <w:t>para los destinos permitidos por el Artículo 36 de la Ley de Obligaciones Negociables</w:t>
            </w:r>
            <w:r w:rsidRPr="00CA0A60">
              <w:rPr>
                <w:rFonts w:ascii="Garamond" w:hAnsi="Garamond"/>
                <w:szCs w:val="22"/>
                <w:lang w:val="es-AR"/>
              </w:rPr>
              <w:t>. Véase</w:t>
            </w:r>
            <w:r w:rsidR="008429D0" w:rsidRPr="00CA0A60">
              <w:rPr>
                <w:rFonts w:ascii="Garamond" w:hAnsi="Garamond"/>
                <w:szCs w:val="22"/>
                <w:lang w:val="es-AR"/>
              </w:rPr>
              <w:t xml:space="preserve"> la sección</w:t>
            </w:r>
            <w:r w:rsidRPr="00CA0A60">
              <w:rPr>
                <w:rFonts w:ascii="Garamond" w:hAnsi="Garamond"/>
                <w:szCs w:val="22"/>
                <w:lang w:val="es-AR"/>
              </w:rPr>
              <w:t xml:space="preserve"> “</w:t>
            </w:r>
            <w:r w:rsidRPr="00CA0A60">
              <w:rPr>
                <w:rFonts w:ascii="Garamond" w:hAnsi="Garamond"/>
                <w:i/>
                <w:szCs w:val="22"/>
                <w:lang w:val="es-AR"/>
              </w:rPr>
              <w:t>Destino de los Fondos”</w:t>
            </w:r>
            <w:r w:rsidR="008429D0" w:rsidRPr="00CA0A60">
              <w:rPr>
                <w:rFonts w:ascii="Garamond" w:hAnsi="Garamond"/>
                <w:szCs w:val="22"/>
                <w:lang w:val="es-AR"/>
              </w:rPr>
              <w:t xml:space="preserve"> del presente Suplemento. </w:t>
            </w:r>
          </w:p>
        </w:tc>
      </w:tr>
      <w:tr w:rsidR="001D5C14" w:rsidRPr="00CA0A60" w14:paraId="72247F07" w14:textId="77777777" w:rsidTr="001D5C14">
        <w:tc>
          <w:tcPr>
            <w:tcW w:w="1654" w:type="dxa"/>
          </w:tcPr>
          <w:p w14:paraId="478B79E3" w14:textId="604356A3" w:rsidR="001D5C14" w:rsidRPr="00713D6E"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Listado</w:t>
            </w:r>
            <w:r w:rsidR="00EC28F5" w:rsidRPr="00CA0A60">
              <w:rPr>
                <w:rFonts w:ascii="Garamond" w:hAnsi="Garamond"/>
                <w:b/>
                <w:bCs/>
                <w:szCs w:val="22"/>
                <w:lang w:val="es-AR"/>
              </w:rPr>
              <w:t xml:space="preserve"> y Negociación</w:t>
            </w:r>
          </w:p>
        </w:tc>
        <w:tc>
          <w:tcPr>
            <w:tcW w:w="6851" w:type="dxa"/>
          </w:tcPr>
          <w:p w14:paraId="1C1526E8" w14:textId="77777777" w:rsidR="001D5C14" w:rsidRPr="00CA0A60" w:rsidRDefault="001D5C14" w:rsidP="000C067C">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 xml:space="preserve">Las </w:t>
            </w:r>
            <w:r w:rsidR="000C067C" w:rsidRPr="00CA0A60">
              <w:rPr>
                <w:rFonts w:ascii="Garamond" w:hAnsi="Garamond"/>
                <w:szCs w:val="22"/>
                <w:lang w:val="es-AR"/>
              </w:rPr>
              <w:t xml:space="preserve">Sociedades solicitaron autorización para el listado de las </w:t>
            </w:r>
            <w:r w:rsidRPr="00CA0A60">
              <w:rPr>
                <w:rFonts w:ascii="Garamond" w:hAnsi="Garamond"/>
                <w:szCs w:val="22"/>
                <w:lang w:val="es-AR"/>
              </w:rPr>
              <w:t>Obligaciones Negociables en BYMA y para su negociación en el MAE.</w:t>
            </w:r>
          </w:p>
        </w:tc>
      </w:tr>
      <w:tr w:rsidR="001D5C14" w:rsidRPr="00CA0A60" w14:paraId="13D1AB0F" w14:textId="77777777" w:rsidTr="001D5C14">
        <w:tc>
          <w:tcPr>
            <w:tcW w:w="1654" w:type="dxa"/>
          </w:tcPr>
          <w:p w14:paraId="051E3019"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 xml:space="preserve">Ciertos Compromisos </w:t>
            </w:r>
          </w:p>
          <w:p w14:paraId="2DE403A5" w14:textId="77777777" w:rsidR="001D5C14" w:rsidRPr="00CA0A60" w:rsidRDefault="001D5C14" w:rsidP="001D5C14">
            <w:pPr>
              <w:pStyle w:val="CellBody"/>
              <w:widowControl w:val="0"/>
              <w:spacing w:before="120" w:after="120" w:line="240" w:lineRule="auto"/>
              <w:rPr>
                <w:rFonts w:ascii="Garamond" w:hAnsi="Garamond"/>
                <w:b/>
                <w:bCs/>
                <w:szCs w:val="22"/>
                <w:lang w:val="es-AR"/>
              </w:rPr>
            </w:pPr>
          </w:p>
        </w:tc>
        <w:tc>
          <w:tcPr>
            <w:tcW w:w="6851" w:type="dxa"/>
          </w:tcPr>
          <w:p w14:paraId="6A4A03F3" w14:textId="0B8EAC09" w:rsidR="001D5C14" w:rsidRPr="00CA0A60" w:rsidRDefault="001D5C14" w:rsidP="001D5C14">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El Contrato de Fideicomiso contendrá compromisos que, entre otras cuestiones, limitarán la capacidad de las Co-Emisoras para</w:t>
            </w:r>
            <w:r w:rsidR="00AF2570" w:rsidRPr="00CA0A60">
              <w:rPr>
                <w:rFonts w:ascii="Garamond" w:hAnsi="Garamond"/>
                <w:szCs w:val="22"/>
                <w:lang w:val="es-AR"/>
              </w:rPr>
              <w:t>:</w:t>
            </w:r>
          </w:p>
          <w:p w14:paraId="511C3E6F" w14:textId="3E80149D" w:rsidR="001D5C14" w:rsidRPr="00CA0A60" w:rsidRDefault="001D5C14" w:rsidP="002830AF">
            <w:pPr>
              <w:pStyle w:val="CellBody"/>
              <w:widowControl w:val="0"/>
              <w:numPr>
                <w:ilvl w:val="0"/>
                <w:numId w:val="141"/>
              </w:numPr>
              <w:spacing w:before="120" w:after="120" w:line="240" w:lineRule="auto"/>
              <w:ind w:left="822"/>
              <w:jc w:val="both"/>
              <w:rPr>
                <w:rFonts w:ascii="Garamond" w:hAnsi="Garamond"/>
                <w:szCs w:val="22"/>
                <w:lang w:val="es-AR"/>
              </w:rPr>
            </w:pPr>
            <w:r w:rsidRPr="00CA0A60">
              <w:rPr>
                <w:rFonts w:ascii="Garamond" w:hAnsi="Garamond"/>
                <w:lang w:val="es-AR"/>
              </w:rPr>
              <w:t>incurrir en endeudamiento adiciona</w:t>
            </w:r>
            <w:r w:rsidR="009C35B9" w:rsidRPr="00CA0A60">
              <w:rPr>
                <w:rFonts w:ascii="Garamond" w:hAnsi="Garamond"/>
                <w:lang w:val="es-AR"/>
              </w:rPr>
              <w:t>l</w:t>
            </w:r>
            <w:r w:rsidRPr="00CA0A60">
              <w:rPr>
                <w:rFonts w:ascii="Garamond" w:hAnsi="Garamond"/>
                <w:lang w:val="es-AR"/>
              </w:rPr>
              <w:t>;</w:t>
            </w:r>
          </w:p>
          <w:p w14:paraId="6797232A" w14:textId="77777777" w:rsidR="001D5C14" w:rsidRPr="00CA0A60" w:rsidRDefault="001D5C14" w:rsidP="002830AF">
            <w:pPr>
              <w:pStyle w:val="CellBody"/>
              <w:widowControl w:val="0"/>
              <w:numPr>
                <w:ilvl w:val="0"/>
                <w:numId w:val="141"/>
              </w:numPr>
              <w:spacing w:before="120" w:after="120" w:line="240" w:lineRule="auto"/>
              <w:ind w:left="822"/>
              <w:jc w:val="both"/>
              <w:rPr>
                <w:rFonts w:ascii="Garamond" w:hAnsi="Garamond"/>
                <w:lang w:val="es-AR"/>
              </w:rPr>
            </w:pPr>
            <w:r w:rsidRPr="00CA0A60">
              <w:rPr>
                <w:rFonts w:ascii="Garamond" w:hAnsi="Garamond"/>
                <w:lang w:val="es-AR"/>
              </w:rPr>
              <w:t>incurrir en gravámenes;</w:t>
            </w:r>
          </w:p>
          <w:p w14:paraId="7E6FEE81" w14:textId="77777777" w:rsidR="001D5C14" w:rsidRPr="00CA0A60" w:rsidRDefault="001D5C14" w:rsidP="002830AF">
            <w:pPr>
              <w:pStyle w:val="CellBody"/>
              <w:widowControl w:val="0"/>
              <w:numPr>
                <w:ilvl w:val="0"/>
                <w:numId w:val="141"/>
              </w:numPr>
              <w:spacing w:before="120" w:after="120" w:line="240" w:lineRule="auto"/>
              <w:ind w:left="822"/>
              <w:jc w:val="both"/>
              <w:rPr>
                <w:rFonts w:ascii="Garamond" w:hAnsi="Garamond"/>
                <w:lang w:val="es-AR"/>
              </w:rPr>
            </w:pPr>
            <w:r w:rsidRPr="00CA0A60">
              <w:rPr>
                <w:rFonts w:ascii="Garamond" w:hAnsi="Garamond"/>
                <w:lang w:val="es-AR"/>
              </w:rPr>
              <w:t>realizar ciertas inversiones;</w:t>
            </w:r>
          </w:p>
          <w:p w14:paraId="19CB508B" w14:textId="77777777" w:rsidR="001D5C14" w:rsidRPr="00CA0A60" w:rsidRDefault="001D5C14" w:rsidP="002830AF">
            <w:pPr>
              <w:pStyle w:val="CellBody"/>
              <w:widowControl w:val="0"/>
              <w:numPr>
                <w:ilvl w:val="0"/>
                <w:numId w:val="141"/>
              </w:numPr>
              <w:spacing w:before="120" w:after="120" w:line="240" w:lineRule="auto"/>
              <w:ind w:left="822"/>
              <w:jc w:val="both"/>
              <w:rPr>
                <w:rFonts w:ascii="Garamond" w:hAnsi="Garamond"/>
                <w:lang w:val="es-AR"/>
              </w:rPr>
            </w:pPr>
            <w:r w:rsidRPr="00CA0A60">
              <w:rPr>
                <w:rFonts w:ascii="Garamond" w:hAnsi="Garamond"/>
                <w:lang w:val="es-AR"/>
              </w:rPr>
              <w:t>incurrir en gastos de capital;</w:t>
            </w:r>
          </w:p>
          <w:p w14:paraId="5797E79E" w14:textId="77777777" w:rsidR="001D5C14" w:rsidRPr="00CA0A60" w:rsidRDefault="001D5C14" w:rsidP="002830AF">
            <w:pPr>
              <w:pStyle w:val="CellBody"/>
              <w:widowControl w:val="0"/>
              <w:numPr>
                <w:ilvl w:val="0"/>
                <w:numId w:val="141"/>
              </w:numPr>
              <w:spacing w:before="120" w:after="120" w:line="240" w:lineRule="auto"/>
              <w:ind w:left="822"/>
              <w:jc w:val="both"/>
              <w:rPr>
                <w:rFonts w:ascii="Garamond" w:hAnsi="Garamond"/>
                <w:lang w:val="es-AR"/>
              </w:rPr>
            </w:pPr>
            <w:r w:rsidRPr="00CA0A60">
              <w:rPr>
                <w:rFonts w:ascii="Garamond" w:hAnsi="Garamond"/>
                <w:lang w:val="es-AR"/>
              </w:rPr>
              <w:t xml:space="preserve">efectuar pagos restringidos bajo ciertas condiciones limitadas; </w:t>
            </w:r>
          </w:p>
          <w:p w14:paraId="56A05E10" w14:textId="77777777" w:rsidR="001D5C14" w:rsidRPr="00CA0A60" w:rsidRDefault="001D5C14" w:rsidP="002830AF">
            <w:pPr>
              <w:pStyle w:val="CellBody"/>
              <w:widowControl w:val="0"/>
              <w:numPr>
                <w:ilvl w:val="0"/>
                <w:numId w:val="141"/>
              </w:numPr>
              <w:spacing w:before="120" w:after="120" w:line="240" w:lineRule="auto"/>
              <w:ind w:left="822"/>
              <w:jc w:val="both"/>
              <w:rPr>
                <w:rFonts w:ascii="Garamond" w:hAnsi="Garamond"/>
                <w:lang w:val="es-AR"/>
              </w:rPr>
            </w:pPr>
            <w:r w:rsidRPr="00CA0A60">
              <w:rPr>
                <w:rFonts w:ascii="Garamond" w:hAnsi="Garamond"/>
                <w:lang w:val="es-AR"/>
              </w:rPr>
              <w:t>designación de subsidiarias no restringidas;</w:t>
            </w:r>
          </w:p>
          <w:p w14:paraId="50B3F87F" w14:textId="77777777" w:rsidR="001D5C14" w:rsidRPr="00CA0A60" w:rsidRDefault="001D5C14" w:rsidP="002830AF">
            <w:pPr>
              <w:pStyle w:val="CellBody"/>
              <w:widowControl w:val="0"/>
              <w:numPr>
                <w:ilvl w:val="0"/>
                <w:numId w:val="141"/>
              </w:numPr>
              <w:spacing w:before="120" w:after="120" w:line="240" w:lineRule="auto"/>
              <w:ind w:left="822"/>
              <w:jc w:val="both"/>
              <w:rPr>
                <w:rFonts w:ascii="Garamond" w:hAnsi="Garamond"/>
                <w:lang w:val="es-AR"/>
              </w:rPr>
            </w:pPr>
            <w:r w:rsidRPr="00CA0A60">
              <w:rPr>
                <w:rFonts w:ascii="Garamond" w:hAnsi="Garamond"/>
                <w:lang w:val="es-AR"/>
              </w:rPr>
              <w:t>celebrar transacciones con afiliadas; y</w:t>
            </w:r>
          </w:p>
          <w:p w14:paraId="506E5982" w14:textId="77777777" w:rsidR="001D5C14" w:rsidRPr="00CA0A60" w:rsidRDefault="001D5C14" w:rsidP="002830AF">
            <w:pPr>
              <w:pStyle w:val="CellBody"/>
              <w:numPr>
                <w:ilvl w:val="0"/>
                <w:numId w:val="141"/>
              </w:numPr>
              <w:spacing w:before="120" w:after="120" w:line="240" w:lineRule="auto"/>
              <w:ind w:left="822"/>
              <w:contextualSpacing/>
              <w:jc w:val="both"/>
              <w:rPr>
                <w:rFonts w:ascii="Garamond" w:hAnsi="Garamond"/>
                <w:lang w:val="es-AR"/>
              </w:rPr>
            </w:pPr>
            <w:r w:rsidRPr="00CA0A60">
              <w:rPr>
                <w:rFonts w:ascii="Garamond" w:hAnsi="Garamond"/>
                <w:lang w:val="es-AR"/>
              </w:rPr>
              <w:t>realizar una fusión, consolidación y venta de activos.</w:t>
            </w:r>
          </w:p>
          <w:p w14:paraId="62431CDC" w14:textId="77777777" w:rsidR="001D5C14" w:rsidRPr="00CA0A60" w:rsidRDefault="001D5C14" w:rsidP="005E14F3">
            <w:pPr>
              <w:pStyle w:val="CellBody"/>
              <w:widowControl w:val="0"/>
              <w:spacing w:before="120" w:after="120" w:line="240" w:lineRule="auto"/>
              <w:contextualSpacing/>
              <w:jc w:val="both"/>
              <w:rPr>
                <w:rFonts w:ascii="Garamond" w:hAnsi="Garamond"/>
                <w:szCs w:val="22"/>
                <w:lang w:val="es-AR"/>
              </w:rPr>
            </w:pPr>
          </w:p>
          <w:p w14:paraId="5B65288B" w14:textId="7B6A94E1" w:rsidR="001D5C14" w:rsidRPr="00CA0A60" w:rsidRDefault="001D5C14" w:rsidP="005E14F3">
            <w:pPr>
              <w:pStyle w:val="CellBody"/>
              <w:widowControl w:val="0"/>
              <w:spacing w:before="120" w:after="120" w:line="240" w:lineRule="auto"/>
              <w:contextualSpacing/>
              <w:jc w:val="both"/>
              <w:rPr>
                <w:rFonts w:ascii="Garamond" w:hAnsi="Garamond"/>
                <w:szCs w:val="22"/>
                <w:lang w:val="es-AR"/>
              </w:rPr>
            </w:pPr>
            <w:r w:rsidRPr="00CA0A60">
              <w:rPr>
                <w:rFonts w:ascii="Garamond" w:hAnsi="Garamond"/>
                <w:szCs w:val="22"/>
                <w:lang w:val="es-AR"/>
              </w:rPr>
              <w:t>Estos compromisos estarán sujetos a ciertas excepciones y salvedades. Para más información, véase “</w:t>
            </w:r>
            <w:r w:rsidRPr="00CA0A60">
              <w:rPr>
                <w:rFonts w:ascii="Garamond" w:hAnsi="Garamond"/>
                <w:i/>
                <w:lang w:val="es-AR"/>
              </w:rPr>
              <w:t>Descripción de la Oferta</w:t>
            </w:r>
            <w:r w:rsidRPr="00CA3A3D">
              <w:rPr>
                <w:rFonts w:ascii="Garamond" w:hAnsi="Garamond"/>
                <w:lang w:val="es-AR"/>
              </w:rPr>
              <w:t>—</w:t>
            </w:r>
            <w:r w:rsidRPr="00CA0A60">
              <w:rPr>
                <w:rFonts w:ascii="Garamond" w:hAnsi="Garamond"/>
                <w:i/>
                <w:lang w:val="es-AR"/>
              </w:rPr>
              <w:t>Descripción de las Obligaciones Negociables</w:t>
            </w:r>
            <w:r w:rsidRPr="00CA0A60">
              <w:rPr>
                <w:rFonts w:ascii="Garamond" w:hAnsi="Garamond"/>
                <w:szCs w:val="22"/>
                <w:lang w:val="es-AR"/>
              </w:rPr>
              <w:t xml:space="preserve">”. </w:t>
            </w:r>
          </w:p>
        </w:tc>
      </w:tr>
      <w:tr w:rsidR="001D5C14" w:rsidRPr="00CA0A60" w14:paraId="47F50D66" w14:textId="77777777" w:rsidTr="001D5C14">
        <w:tc>
          <w:tcPr>
            <w:tcW w:w="1654" w:type="dxa"/>
          </w:tcPr>
          <w:p w14:paraId="16AB0A21" w14:textId="1C31A4BD" w:rsidR="001D5C14" w:rsidRPr="00CA0A60" w:rsidRDefault="00E85A42" w:rsidP="001D5C14">
            <w:pPr>
              <w:pStyle w:val="CellBody"/>
              <w:widowControl w:val="0"/>
              <w:spacing w:before="120" w:after="120" w:line="240" w:lineRule="auto"/>
              <w:rPr>
                <w:rFonts w:ascii="Garamond" w:hAnsi="Garamond"/>
                <w:b/>
                <w:bCs/>
                <w:szCs w:val="22"/>
                <w:lang w:val="es-AR"/>
              </w:rPr>
            </w:pPr>
            <w:r w:rsidRPr="00CA0A60">
              <w:rPr>
                <w:rFonts w:ascii="Garamond" w:hAnsi="Garamond"/>
                <w:b/>
                <w:bCs/>
                <w:szCs w:val="22"/>
                <w:lang w:val="es-AR"/>
              </w:rPr>
              <w:t>Derechos de Garantía</w:t>
            </w:r>
          </w:p>
        </w:tc>
        <w:tc>
          <w:tcPr>
            <w:tcW w:w="6851" w:type="dxa"/>
          </w:tcPr>
          <w:p w14:paraId="10A75792" w14:textId="42D2A3A1" w:rsidR="001D5C14" w:rsidRPr="00CA0A60" w:rsidRDefault="001D5C14" w:rsidP="00B136D5">
            <w:pPr>
              <w:pStyle w:val="CellBody"/>
              <w:widowControl w:val="0"/>
              <w:spacing w:before="120" w:after="120" w:line="240" w:lineRule="auto"/>
              <w:jc w:val="both"/>
              <w:rPr>
                <w:rFonts w:ascii="Garamond" w:hAnsi="Garamond"/>
                <w:szCs w:val="22"/>
                <w:lang w:val="es-AR"/>
              </w:rPr>
            </w:pPr>
            <w:r w:rsidRPr="00CA0A60">
              <w:rPr>
                <w:rFonts w:ascii="Garamond" w:hAnsi="Garamond"/>
                <w:szCs w:val="22"/>
                <w:lang w:val="es-AR"/>
              </w:rPr>
              <w:t xml:space="preserve">Las </w:t>
            </w:r>
            <w:r w:rsidR="003D47CF" w:rsidRPr="00CA0A60">
              <w:rPr>
                <w:rFonts w:ascii="Garamond" w:hAnsi="Garamond"/>
                <w:szCs w:val="22"/>
                <w:lang w:val="es-AR"/>
              </w:rPr>
              <w:t>O</w:t>
            </w:r>
            <w:r w:rsidRPr="00CA0A60">
              <w:rPr>
                <w:rFonts w:ascii="Garamond" w:hAnsi="Garamond"/>
                <w:szCs w:val="22"/>
                <w:lang w:val="es-AR"/>
              </w:rPr>
              <w:t>bligaciones</w:t>
            </w:r>
            <w:r w:rsidR="003D47CF" w:rsidRPr="00CA0A60">
              <w:rPr>
                <w:rFonts w:ascii="Garamond" w:hAnsi="Garamond"/>
                <w:szCs w:val="22"/>
                <w:lang w:val="es-AR"/>
              </w:rPr>
              <w:t xml:space="preserve"> Negociables </w:t>
            </w:r>
            <w:r w:rsidRPr="00CA0A60">
              <w:rPr>
                <w:rFonts w:ascii="Garamond" w:hAnsi="Garamond"/>
                <w:szCs w:val="22"/>
                <w:lang w:val="es-AR"/>
              </w:rPr>
              <w:t>estarán garantizadas</w:t>
            </w:r>
            <w:r w:rsidR="00B136D5">
              <w:rPr>
                <w:rFonts w:ascii="Garamond" w:hAnsi="Garamond"/>
                <w:szCs w:val="22"/>
                <w:lang w:val="es-AR"/>
              </w:rPr>
              <w:t xml:space="preserve"> </w:t>
            </w:r>
            <w:r w:rsidR="007A1D75" w:rsidRPr="00CA0A60">
              <w:rPr>
                <w:rFonts w:ascii="Garamond" w:hAnsi="Garamond"/>
                <w:szCs w:val="22"/>
                <w:lang w:val="es-AR"/>
              </w:rPr>
              <w:t xml:space="preserve">con </w:t>
            </w:r>
            <w:r w:rsidRPr="00CA0A60">
              <w:rPr>
                <w:rFonts w:ascii="Garamond" w:hAnsi="Garamond"/>
                <w:szCs w:val="22"/>
                <w:lang w:val="es-AR"/>
              </w:rPr>
              <w:t>l</w:t>
            </w:r>
            <w:r w:rsidR="00E85A42" w:rsidRPr="00CA0A60">
              <w:rPr>
                <w:rFonts w:ascii="Garamond" w:hAnsi="Garamond"/>
                <w:szCs w:val="22"/>
                <w:lang w:val="es-AR"/>
              </w:rPr>
              <w:t>o</w:t>
            </w:r>
            <w:r w:rsidRPr="00CA0A60">
              <w:rPr>
                <w:rFonts w:ascii="Garamond" w:hAnsi="Garamond"/>
                <w:szCs w:val="22"/>
                <w:lang w:val="es-AR"/>
              </w:rPr>
              <w:t xml:space="preserve">s siguientes </w:t>
            </w:r>
            <w:r w:rsidR="00E85A42" w:rsidRPr="00CA0A60">
              <w:rPr>
                <w:rFonts w:ascii="Garamond" w:hAnsi="Garamond"/>
                <w:szCs w:val="22"/>
                <w:lang w:val="es-AR"/>
              </w:rPr>
              <w:t>Derechos de Garantía</w:t>
            </w:r>
            <w:r w:rsidRPr="00CA0A60">
              <w:rPr>
                <w:rFonts w:ascii="Garamond" w:hAnsi="Garamond"/>
                <w:szCs w:val="22"/>
                <w:lang w:val="es-AR"/>
              </w:rPr>
              <w:t xml:space="preserve"> a ser otorgad</w:t>
            </w:r>
            <w:r w:rsidR="00F00242" w:rsidRPr="00CA0A60">
              <w:rPr>
                <w:rFonts w:ascii="Garamond" w:hAnsi="Garamond"/>
                <w:szCs w:val="22"/>
                <w:lang w:val="es-AR"/>
              </w:rPr>
              <w:t>o</w:t>
            </w:r>
            <w:r w:rsidRPr="00CA0A60">
              <w:rPr>
                <w:rFonts w:ascii="Garamond" w:hAnsi="Garamond"/>
                <w:szCs w:val="22"/>
                <w:lang w:val="es-AR"/>
              </w:rPr>
              <w:t xml:space="preserve">s por GEMSA o </w:t>
            </w:r>
            <w:r w:rsidR="00D63449" w:rsidRPr="00CA0A60">
              <w:rPr>
                <w:rFonts w:ascii="Garamond" w:hAnsi="Garamond"/>
                <w:szCs w:val="22"/>
                <w:lang w:val="es-AR"/>
              </w:rPr>
              <w:t xml:space="preserve">por </w:t>
            </w:r>
            <w:r w:rsidR="0069007F" w:rsidRPr="00CA0A60">
              <w:rPr>
                <w:rFonts w:ascii="Garamond" w:hAnsi="Garamond"/>
                <w:szCs w:val="22"/>
                <w:lang w:val="es-AR"/>
              </w:rPr>
              <w:t>las Co-</w:t>
            </w:r>
            <w:r w:rsidRPr="00CA0A60">
              <w:rPr>
                <w:rFonts w:ascii="Garamond" w:hAnsi="Garamond"/>
                <w:szCs w:val="22"/>
                <w:lang w:val="es-AR"/>
              </w:rPr>
              <w:t>Emisoras</w:t>
            </w:r>
            <w:r w:rsidR="0069007F" w:rsidRPr="00CA0A60">
              <w:rPr>
                <w:rFonts w:ascii="Garamond" w:hAnsi="Garamond"/>
                <w:szCs w:val="22"/>
                <w:lang w:val="es-AR"/>
              </w:rPr>
              <w:t xml:space="preserve"> en conjunto</w:t>
            </w:r>
            <w:r w:rsidR="00DC0D1D" w:rsidRPr="00CA0A60">
              <w:rPr>
                <w:rFonts w:ascii="Garamond" w:hAnsi="Garamond"/>
                <w:szCs w:val="22"/>
                <w:lang w:val="es-AR"/>
              </w:rPr>
              <w:t>, según corresponda,</w:t>
            </w:r>
            <w:r w:rsidR="00942FF3" w:rsidRPr="00CA0A60">
              <w:rPr>
                <w:rFonts w:ascii="Garamond" w:hAnsi="Garamond"/>
                <w:szCs w:val="22"/>
                <w:lang w:val="es-AR"/>
              </w:rPr>
              <w:t xml:space="preserve"> </w:t>
            </w:r>
            <w:r w:rsidR="007A1D75" w:rsidRPr="00CA0A60">
              <w:rPr>
                <w:rFonts w:ascii="Garamond" w:hAnsi="Garamond"/>
                <w:szCs w:val="22"/>
                <w:lang w:val="es-AR"/>
              </w:rPr>
              <w:t xml:space="preserve">de </w:t>
            </w:r>
            <w:r w:rsidR="00443AC9" w:rsidRPr="00CA0A60">
              <w:rPr>
                <w:rFonts w:ascii="Garamond" w:hAnsi="Garamond"/>
                <w:szCs w:val="22"/>
                <w:lang w:val="es-AR"/>
              </w:rPr>
              <w:t>conformidad con e</w:t>
            </w:r>
            <w:r w:rsidR="007A1D75" w:rsidRPr="00CA0A60">
              <w:rPr>
                <w:rFonts w:ascii="Garamond" w:hAnsi="Garamond"/>
                <w:szCs w:val="22"/>
                <w:lang w:val="es-AR"/>
              </w:rPr>
              <w:t>l art. 3 de la L</w:t>
            </w:r>
            <w:r w:rsidR="005C139D" w:rsidRPr="00CA0A60">
              <w:rPr>
                <w:rFonts w:ascii="Garamond" w:hAnsi="Garamond"/>
                <w:szCs w:val="22"/>
                <w:lang w:val="es-AR"/>
              </w:rPr>
              <w:t>e</w:t>
            </w:r>
            <w:r w:rsidR="007A1D75" w:rsidRPr="00CA0A60">
              <w:rPr>
                <w:rFonts w:ascii="Garamond" w:hAnsi="Garamond"/>
                <w:szCs w:val="22"/>
                <w:lang w:val="es-AR"/>
              </w:rPr>
              <w:t>y de Obligaciones Negociables</w:t>
            </w:r>
            <w:r w:rsidRPr="00CA0A60">
              <w:rPr>
                <w:rFonts w:ascii="Garamond" w:hAnsi="Garamond"/>
                <w:szCs w:val="22"/>
                <w:lang w:val="es-AR"/>
              </w:rPr>
              <w:t xml:space="preserve">, a saber: </w:t>
            </w:r>
          </w:p>
          <w:p w14:paraId="1A4B9994" w14:textId="6D7EF020" w:rsidR="001D5C14" w:rsidRPr="00CA0A60" w:rsidRDefault="00DC2A03" w:rsidP="00557592">
            <w:pPr>
              <w:pStyle w:val="SimpleLists8"/>
              <w:widowControl w:val="0"/>
              <w:numPr>
                <w:ilvl w:val="0"/>
                <w:numId w:val="146"/>
              </w:numPr>
              <w:spacing w:before="120" w:after="120"/>
              <w:jc w:val="both"/>
              <w:rPr>
                <w:rFonts w:ascii="Garamond" w:hAnsi="Garamond"/>
                <w:color w:val="auto"/>
                <w:kern w:val="20"/>
                <w:szCs w:val="22"/>
                <w:lang w:val="es-AR" w:eastAsia="en-GB"/>
              </w:rPr>
            </w:pPr>
            <w:r w:rsidRPr="00CA0A60">
              <w:rPr>
                <w:rFonts w:ascii="Garamond" w:hAnsi="Garamond"/>
                <w:szCs w:val="20"/>
                <w:lang w:val="es-AR"/>
              </w:rPr>
              <w:t>por una cesión fiduciaria en garantía de (i) la totalidad de los derechos, actuales y futuros, de GEMSA de recibir cualquier monto y crédito en virtud de, con respecto a y/o en relación con los CCEE</w:t>
            </w:r>
            <w:r w:rsidR="00AC72CE" w:rsidRPr="00CA0A60">
              <w:rPr>
                <w:rFonts w:ascii="Garamond" w:hAnsi="Garamond"/>
                <w:szCs w:val="20"/>
                <w:lang w:val="es-AR"/>
              </w:rPr>
              <w:t xml:space="preserve"> de Siemens y los CCEE 220 Cedidos</w:t>
            </w:r>
            <w:r w:rsidRPr="00CA0A60">
              <w:rPr>
                <w:rFonts w:ascii="Garamond" w:hAnsi="Garamond"/>
                <w:szCs w:val="20"/>
                <w:lang w:val="es-AR"/>
              </w:rPr>
              <w:t xml:space="preserve"> (tal como se define</w:t>
            </w:r>
            <w:r w:rsidR="00AC72CE" w:rsidRPr="00CA0A60">
              <w:rPr>
                <w:rFonts w:ascii="Garamond" w:hAnsi="Garamond"/>
                <w:szCs w:val="20"/>
                <w:lang w:val="es-AR"/>
              </w:rPr>
              <w:t>n</w:t>
            </w:r>
            <w:r w:rsidRPr="00CA0A60">
              <w:rPr>
                <w:rFonts w:ascii="Garamond" w:hAnsi="Garamond"/>
                <w:szCs w:val="20"/>
                <w:lang w:val="es-AR"/>
              </w:rPr>
              <w:t xml:space="preserve"> más adelante) y (ii) cie</w:t>
            </w:r>
            <w:r w:rsidR="00DF6632" w:rsidRPr="00CA0A60">
              <w:rPr>
                <w:rFonts w:ascii="Garamond" w:hAnsi="Garamond"/>
                <w:szCs w:val="20"/>
                <w:lang w:val="es-AR"/>
              </w:rPr>
              <w:t>r</w:t>
            </w:r>
            <w:r w:rsidRPr="00CA0A60">
              <w:rPr>
                <w:rFonts w:ascii="Garamond" w:hAnsi="Garamond"/>
                <w:szCs w:val="20"/>
                <w:lang w:val="es-AR"/>
              </w:rPr>
              <w:t>tos derechos y fondos pagaderos en virtud de pólizas de seguro relacionadas con los Equipos y el Inmueble Independencia (según estos términos se definen más adelante); quedando establecido que</w:t>
            </w:r>
            <w:r w:rsidR="00AC72CE" w:rsidRPr="00CA0A60">
              <w:rPr>
                <w:rFonts w:ascii="Garamond" w:hAnsi="Garamond"/>
                <w:szCs w:val="20"/>
                <w:lang w:val="es-AR"/>
              </w:rPr>
              <w:t xml:space="preserve"> (a)</w:t>
            </w:r>
            <w:r w:rsidRPr="00CA0A60">
              <w:rPr>
                <w:rFonts w:ascii="Garamond" w:hAnsi="Garamond"/>
                <w:szCs w:val="20"/>
                <w:lang w:val="es-AR"/>
              </w:rPr>
              <w:t xml:space="preserve"> en lo que respecta a los CCEE de Siemens esa cesión fiduciaria en garantía se perfeccionará ante la entrega de una notificación de cesión escrita a ser cursada a CAMMESA ante escribano público después de la cancelación total de la Deuda de Siemens en la Fecha de Emisión con los fondos obtenidos de las Obligaciones Negociables y luego del cumplimiento por parte del Garante y las Co-Emisoras de los compromisos descriptos bajo el título “</w:t>
            </w:r>
            <w:r w:rsidRPr="00CA0A60">
              <w:rPr>
                <w:rFonts w:ascii="Garamond" w:hAnsi="Garamond"/>
                <w:i/>
                <w:szCs w:val="20"/>
                <w:lang w:val="es-AR"/>
              </w:rPr>
              <w:t>Ciertos Compromisos – Preservación de Derechos bajo los Documentos de Garantía</w:t>
            </w:r>
            <w:r w:rsidRPr="00CA0A60">
              <w:rPr>
                <w:rFonts w:ascii="Garamond" w:hAnsi="Garamond"/>
                <w:szCs w:val="20"/>
                <w:lang w:val="es-AR"/>
              </w:rPr>
              <w:t>”</w:t>
            </w:r>
            <w:r w:rsidR="00AC72CE" w:rsidRPr="00CA0A60">
              <w:rPr>
                <w:rFonts w:ascii="Garamond" w:hAnsi="Garamond"/>
                <w:szCs w:val="20"/>
                <w:lang w:val="es-AR"/>
              </w:rPr>
              <w:t xml:space="preserve">, y (b) </w:t>
            </w:r>
            <w:r w:rsidR="00AC72CE" w:rsidRPr="00CA3A3D">
              <w:rPr>
                <w:rFonts w:ascii="Garamond" w:hAnsi="Garamond"/>
                <w:szCs w:val="20"/>
                <w:lang w:val="es-AR" w:bidi="he-IL"/>
              </w:rPr>
              <w:t xml:space="preserve">con respecto a los CCEE 220 Cedidos, en virtud de sus </w:t>
            </w:r>
            <w:r w:rsidR="00AC72CE" w:rsidRPr="00CA3A3D">
              <w:rPr>
                <w:rFonts w:ascii="Garamond" w:hAnsi="Garamond"/>
                <w:szCs w:val="20"/>
                <w:lang w:val="es-AR" w:bidi="he-IL"/>
              </w:rPr>
              <w:lastRenderedPageBreak/>
              <w:t>términos, las Partes Garantizadas tendrán el beneficio de aquellos componentes de los Derechos de Garantía por un monto de capital total de Deuda bajo los Documentos de Financiación que no supere (</w:t>
            </w:r>
            <w:r w:rsidR="002825BA" w:rsidRPr="00CA3A3D">
              <w:rPr>
                <w:rFonts w:ascii="Garamond" w:hAnsi="Garamond"/>
                <w:szCs w:val="20"/>
                <w:lang w:val="es-AR" w:bidi="he-IL"/>
              </w:rPr>
              <w:t>1</w:t>
            </w:r>
            <w:r w:rsidR="00AC72CE" w:rsidRPr="00CA3A3D">
              <w:rPr>
                <w:rFonts w:ascii="Garamond" w:hAnsi="Garamond"/>
                <w:szCs w:val="20"/>
                <w:lang w:val="es-AR" w:bidi="he-IL"/>
              </w:rPr>
              <w:t>) U$S </w:t>
            </w:r>
            <w:r w:rsidR="0070602E">
              <w:rPr>
                <w:rFonts w:ascii="Garamond" w:hAnsi="Garamond"/>
                <w:szCs w:val="20"/>
                <w:lang w:val="es-AR" w:bidi="he-IL"/>
              </w:rPr>
              <w:t>9,400,000</w:t>
            </w:r>
            <w:r w:rsidR="00AC72CE" w:rsidRPr="00CA3A3D">
              <w:rPr>
                <w:rFonts w:ascii="Garamond" w:hAnsi="Garamond"/>
                <w:szCs w:val="20"/>
                <w:lang w:val="es-AR" w:bidi="he-IL"/>
              </w:rPr>
              <w:t xml:space="preserve"> millones con respecto al CCEE 220 Independencia Cedido, que, en cada caso, corresponde a la porción de los fondos derivados de las Obligaciones Negociables a ser aplicados por GEMSA a la realización de inversiones en su planta de generación de energía denominada “Independencia” y (</w:t>
            </w:r>
            <w:r w:rsidR="002825BA" w:rsidRPr="00CA3A3D">
              <w:rPr>
                <w:rFonts w:ascii="Garamond" w:hAnsi="Garamond"/>
                <w:szCs w:val="20"/>
                <w:lang w:val="es-AR" w:bidi="he-IL"/>
              </w:rPr>
              <w:t>2</w:t>
            </w:r>
            <w:r w:rsidR="00AC72CE" w:rsidRPr="00CA3A3D">
              <w:rPr>
                <w:rFonts w:ascii="Garamond" w:hAnsi="Garamond"/>
                <w:szCs w:val="20"/>
                <w:lang w:val="es-AR" w:bidi="he-IL"/>
              </w:rPr>
              <w:t>) U$S </w:t>
            </w:r>
            <w:r w:rsidR="0070602E">
              <w:rPr>
                <w:rFonts w:ascii="Garamond" w:hAnsi="Garamond"/>
                <w:szCs w:val="20"/>
                <w:lang w:val="es-AR" w:bidi="he-IL"/>
              </w:rPr>
              <w:t>15,000,000</w:t>
            </w:r>
            <w:r w:rsidR="00AC72CE" w:rsidRPr="00CA3A3D">
              <w:rPr>
                <w:rFonts w:ascii="Garamond" w:hAnsi="Garamond"/>
                <w:szCs w:val="20"/>
                <w:lang w:val="es-AR" w:bidi="he-IL"/>
              </w:rPr>
              <w:t xml:space="preserve"> millones con respecto al CCEE 220 Maranzana Cedido, que, en cada caso, corresponde a la porción de los fondos derivados de las Obligaciones Negociables a ser aplicados por GEMSA a la realización de inversiones en su planta de generación de energía denominada “Maranzana”</w:t>
            </w:r>
            <w:r w:rsidR="009C7402" w:rsidRPr="00CA3A3D">
              <w:rPr>
                <w:rFonts w:ascii="Garamond" w:hAnsi="Garamond"/>
                <w:szCs w:val="20"/>
                <w:lang w:val="es-AR" w:bidi="he-IL"/>
              </w:rPr>
              <w:t xml:space="preserve"> (según estos términos se definen más adelante)</w:t>
            </w:r>
            <w:r w:rsidR="001D5C14" w:rsidRPr="00CA0A60">
              <w:rPr>
                <w:rFonts w:ascii="Garamond" w:hAnsi="Garamond"/>
                <w:color w:val="auto"/>
                <w:kern w:val="20"/>
                <w:szCs w:val="22"/>
                <w:lang w:val="es-AR" w:eastAsia="en-GB"/>
              </w:rPr>
              <w:t xml:space="preserve">; </w:t>
            </w:r>
          </w:p>
          <w:p w14:paraId="31C9E07E" w14:textId="2234C075" w:rsidR="001D5C14" w:rsidRPr="00CA0A60" w:rsidRDefault="00DC2A03" w:rsidP="00047228">
            <w:pPr>
              <w:pStyle w:val="SimpleLists8"/>
              <w:widowControl w:val="0"/>
              <w:numPr>
                <w:ilvl w:val="0"/>
                <w:numId w:val="146"/>
              </w:numPr>
              <w:spacing w:before="120" w:after="120"/>
              <w:jc w:val="both"/>
              <w:rPr>
                <w:rFonts w:ascii="Garamond" w:hAnsi="Garamond"/>
                <w:color w:val="auto"/>
                <w:kern w:val="20"/>
                <w:szCs w:val="22"/>
                <w:lang w:val="es-AR" w:eastAsia="en-GB"/>
              </w:rPr>
            </w:pPr>
            <w:r w:rsidRPr="00CA0A60">
              <w:rPr>
                <w:rFonts w:ascii="Garamond" w:hAnsi="Garamond"/>
                <w:szCs w:val="20"/>
                <w:lang w:val="es-AR"/>
              </w:rPr>
              <w:t xml:space="preserve">por una prenda en primer grado de privilegio sobre el derecho real de dominio y todos los demás derechos de GEMSA sobre los Equipos y los demás derechos de GEMSA relacionados (incluyendo la indemnización en caso de Expropiación, en cada caso, respecto de dichos Equipos); </w:t>
            </w:r>
            <w:r w:rsidRPr="00CA0A60">
              <w:rPr>
                <w:rFonts w:ascii="Garamond" w:hAnsi="Garamond"/>
                <w:i/>
                <w:szCs w:val="20"/>
                <w:lang w:val="es-AR"/>
              </w:rPr>
              <w:t>quedando establecido</w:t>
            </w:r>
            <w:r w:rsidRPr="00CA0A60">
              <w:rPr>
                <w:rFonts w:ascii="Garamond" w:hAnsi="Garamond"/>
                <w:szCs w:val="20"/>
                <w:lang w:val="es-AR"/>
              </w:rPr>
              <w:t xml:space="preserve"> que, con respecto a los Equipos de Siemens que garantizan la Deuda de Siemens antes de la Fecha de Emisión, la prenda constituida sobre los mismos constituirá, inicialmente, una prenda en segundo grado de privilegio y, luego de la cancelación total de la Deuda de Siemens en la Fecha de Emisión con los fondos obtenidos de las Obligaciones Negociables y luego del cumplimiento por parte del Garante y las Co-Emisoras de los compromisos descriptos bajo el título “</w:t>
            </w:r>
            <w:r w:rsidRPr="00CA0A60">
              <w:rPr>
                <w:rFonts w:ascii="Garamond" w:hAnsi="Garamond"/>
                <w:i/>
                <w:szCs w:val="20"/>
                <w:lang w:val="es-AR"/>
              </w:rPr>
              <w:t>Ciertos Compromisos – Preservación de Derechos bajo los Documentos de Garantía</w:t>
            </w:r>
            <w:r w:rsidRPr="00CA0A60">
              <w:rPr>
                <w:rFonts w:ascii="Garamond" w:hAnsi="Garamond"/>
                <w:szCs w:val="20"/>
                <w:lang w:val="es-AR"/>
              </w:rPr>
              <w:t>”, dicha prenda en segundo grado de privilegio se convertirá automáticamente en una prenda en primer grado de privilegio</w:t>
            </w:r>
            <w:r w:rsidR="001D5C14" w:rsidRPr="00CA0A60">
              <w:rPr>
                <w:rFonts w:ascii="Garamond" w:hAnsi="Garamond"/>
                <w:kern w:val="20"/>
                <w:lang w:val="es-AR" w:eastAsia="en-GB"/>
              </w:rPr>
              <w:t>;</w:t>
            </w:r>
          </w:p>
          <w:p w14:paraId="726870C1" w14:textId="116FB632" w:rsidR="00DC2A03" w:rsidRPr="00CA0A60" w:rsidRDefault="00DC2A03" w:rsidP="00B73F3E">
            <w:pPr>
              <w:pStyle w:val="SimpleLists8"/>
              <w:widowControl w:val="0"/>
              <w:numPr>
                <w:ilvl w:val="0"/>
                <w:numId w:val="146"/>
              </w:numPr>
              <w:spacing w:before="120" w:after="120"/>
              <w:jc w:val="both"/>
              <w:rPr>
                <w:rFonts w:ascii="Garamond" w:hAnsi="Garamond"/>
                <w:color w:val="auto"/>
                <w:kern w:val="20"/>
                <w:szCs w:val="22"/>
                <w:lang w:val="es-AR" w:eastAsia="en-GB"/>
              </w:rPr>
            </w:pPr>
            <w:r w:rsidRPr="00CA0A60">
              <w:rPr>
                <w:rFonts w:ascii="Garamond" w:hAnsi="Garamond"/>
                <w:szCs w:val="20"/>
                <w:lang w:val="es-AR"/>
              </w:rPr>
              <w:t>por una hipoteca en primer grado de privilegio sobre el derecho real de dominio y todos los demás derechos de GEMSA sobre el Inmueble Independencia y ciertos otros derechos de GEMSA en relación con ellos (incluyendo la indemnización en caso de expropiación, en cada caso, respecto de dicho Inmueble Independencia)</w:t>
            </w:r>
            <w:r w:rsidR="001D5C14" w:rsidRPr="00CA0A60">
              <w:rPr>
                <w:rFonts w:ascii="Garamond" w:hAnsi="Garamond"/>
                <w:color w:val="auto"/>
                <w:kern w:val="20"/>
                <w:szCs w:val="22"/>
                <w:lang w:val="es-AR" w:eastAsia="en-GB"/>
              </w:rPr>
              <w:t>;</w:t>
            </w:r>
          </w:p>
          <w:p w14:paraId="0D1FD742" w14:textId="1DAA23B6" w:rsidR="00DC2A03" w:rsidRPr="00CA0A60" w:rsidRDefault="00CC334C" w:rsidP="00B73F3E">
            <w:pPr>
              <w:pStyle w:val="SimpleLists8"/>
              <w:widowControl w:val="0"/>
              <w:numPr>
                <w:ilvl w:val="0"/>
                <w:numId w:val="146"/>
              </w:numPr>
              <w:spacing w:before="120" w:after="120"/>
              <w:jc w:val="both"/>
              <w:rPr>
                <w:rFonts w:ascii="Garamond" w:hAnsi="Garamond"/>
                <w:color w:val="auto"/>
                <w:kern w:val="20"/>
                <w:szCs w:val="22"/>
                <w:lang w:val="es-AR" w:eastAsia="en-GB"/>
              </w:rPr>
            </w:pPr>
            <w:r w:rsidRPr="00CA0A60">
              <w:rPr>
                <w:rFonts w:ascii="Garamond" w:hAnsi="Garamond"/>
                <w:szCs w:val="20"/>
                <w:lang w:val="es-AR"/>
              </w:rPr>
              <w:t xml:space="preserve">por </w:t>
            </w:r>
            <w:r w:rsidR="00DC2A03" w:rsidRPr="00CA0A60">
              <w:rPr>
                <w:rFonts w:ascii="Garamond" w:hAnsi="Garamond"/>
                <w:szCs w:val="20"/>
                <w:lang w:val="es-AR"/>
              </w:rPr>
              <w:t>la Cuenta de Reserva para Servicio de Deuda (según se define más adelante) y cualquier fondo depositado en dicha cuenta;</w:t>
            </w:r>
          </w:p>
          <w:p w14:paraId="2779F7B0" w14:textId="2328C187" w:rsidR="00DC2A03" w:rsidRPr="00CA0A60" w:rsidRDefault="00CC334C" w:rsidP="00557592">
            <w:pPr>
              <w:pStyle w:val="SimpleLists8"/>
              <w:widowControl w:val="0"/>
              <w:numPr>
                <w:ilvl w:val="0"/>
                <w:numId w:val="146"/>
              </w:numPr>
              <w:spacing w:before="120" w:after="120"/>
              <w:jc w:val="both"/>
              <w:rPr>
                <w:rFonts w:ascii="Garamond" w:hAnsi="Garamond"/>
                <w:color w:val="auto"/>
                <w:kern w:val="20"/>
                <w:szCs w:val="22"/>
                <w:lang w:val="es-AR" w:eastAsia="en-GB"/>
              </w:rPr>
            </w:pPr>
            <w:r w:rsidRPr="00CA0A60">
              <w:rPr>
                <w:rFonts w:ascii="Garamond" w:hAnsi="Garamond"/>
                <w:szCs w:val="20"/>
                <w:lang w:val="es-AR"/>
              </w:rPr>
              <w:t xml:space="preserve">por </w:t>
            </w:r>
            <w:r w:rsidR="00DC2A03" w:rsidRPr="00CA0A60">
              <w:rPr>
                <w:rFonts w:ascii="Garamond" w:hAnsi="Garamond"/>
                <w:szCs w:val="20"/>
                <w:lang w:val="es-AR"/>
              </w:rPr>
              <w:t>la Cuenta Recaudadora (según se define más adelante) y los fondos depositados en la misma</w:t>
            </w:r>
          </w:p>
          <w:p w14:paraId="3C46E2D3" w14:textId="45C81A97" w:rsidR="00DC2A03" w:rsidRPr="00CA0A60" w:rsidRDefault="00CC334C" w:rsidP="00047228">
            <w:pPr>
              <w:pStyle w:val="SimpleLists8"/>
              <w:widowControl w:val="0"/>
              <w:numPr>
                <w:ilvl w:val="0"/>
                <w:numId w:val="146"/>
              </w:numPr>
              <w:spacing w:before="120" w:after="120"/>
              <w:jc w:val="both"/>
              <w:rPr>
                <w:rFonts w:ascii="Garamond" w:hAnsi="Garamond"/>
                <w:color w:val="auto"/>
                <w:kern w:val="20"/>
                <w:szCs w:val="22"/>
                <w:lang w:val="es-AR" w:eastAsia="en-GB"/>
              </w:rPr>
            </w:pPr>
            <w:r w:rsidRPr="00CA0A60">
              <w:rPr>
                <w:rFonts w:ascii="Garamond" w:hAnsi="Garamond"/>
                <w:color w:val="auto"/>
                <w:kern w:val="20"/>
                <w:szCs w:val="22"/>
                <w:lang w:val="es-AR" w:eastAsia="en-GB"/>
              </w:rPr>
              <w:t xml:space="preserve">por </w:t>
            </w:r>
            <w:r w:rsidR="001D5C14" w:rsidRPr="00CA0A60">
              <w:rPr>
                <w:rFonts w:ascii="Garamond" w:hAnsi="Garamond"/>
                <w:color w:val="auto"/>
                <w:kern w:val="20"/>
                <w:szCs w:val="22"/>
                <w:lang w:val="es-AR" w:eastAsia="en-GB"/>
              </w:rPr>
              <w:t xml:space="preserve">todo otro bien mueble e inmueble sobre el que se constituyan, periódicamente, derechos </w:t>
            </w:r>
            <w:r w:rsidR="00D10FE6" w:rsidRPr="00CA0A60">
              <w:rPr>
                <w:rFonts w:ascii="Garamond" w:hAnsi="Garamond"/>
                <w:color w:val="auto"/>
                <w:kern w:val="20"/>
                <w:szCs w:val="22"/>
                <w:lang w:val="es-AR" w:eastAsia="en-GB"/>
              </w:rPr>
              <w:t xml:space="preserve">reales </w:t>
            </w:r>
            <w:r w:rsidR="001D5C14" w:rsidRPr="00CA0A60">
              <w:rPr>
                <w:rFonts w:ascii="Garamond" w:hAnsi="Garamond"/>
                <w:color w:val="auto"/>
                <w:kern w:val="20"/>
                <w:szCs w:val="22"/>
                <w:lang w:val="es-AR" w:eastAsia="en-GB"/>
              </w:rPr>
              <w:t xml:space="preserve">de garantía o </w:t>
            </w:r>
            <w:r w:rsidR="00DC2A03" w:rsidRPr="00CA0A60">
              <w:rPr>
                <w:rFonts w:ascii="Garamond" w:hAnsi="Garamond"/>
                <w:color w:val="auto"/>
                <w:kern w:val="20"/>
                <w:szCs w:val="22"/>
                <w:lang w:val="es-AR" w:eastAsia="en-GB"/>
              </w:rPr>
              <w:t>g</w:t>
            </w:r>
            <w:r w:rsidR="001D5C14" w:rsidRPr="00CA0A60">
              <w:rPr>
                <w:rFonts w:ascii="Garamond" w:hAnsi="Garamond"/>
                <w:color w:val="auto"/>
                <w:kern w:val="20"/>
                <w:szCs w:val="22"/>
                <w:lang w:val="es-AR" w:eastAsia="en-GB"/>
              </w:rPr>
              <w:t>ravámenes otorgados en virtud de los Documentos de Garantía (tal como se describen más adelante</w:t>
            </w:r>
            <w:r w:rsidR="003064F3" w:rsidRPr="00CA0A60">
              <w:rPr>
                <w:rFonts w:ascii="Garamond" w:hAnsi="Garamond"/>
                <w:color w:val="auto"/>
                <w:kern w:val="20"/>
                <w:szCs w:val="22"/>
                <w:lang w:val="es-AR" w:eastAsia="en-GB"/>
              </w:rPr>
              <w:t xml:space="preserve"> en el presente Suplemento</w:t>
            </w:r>
            <w:r w:rsidR="001D5C14" w:rsidRPr="00CA0A60">
              <w:rPr>
                <w:rFonts w:ascii="Garamond" w:hAnsi="Garamond"/>
                <w:color w:val="auto"/>
                <w:kern w:val="20"/>
                <w:szCs w:val="22"/>
                <w:lang w:val="es-AR" w:eastAsia="en-GB"/>
              </w:rPr>
              <w:t>).</w:t>
            </w:r>
            <w:r w:rsidR="00C83998" w:rsidRPr="00CA0A60">
              <w:rPr>
                <w:rFonts w:ascii="Garamond" w:hAnsi="Garamond"/>
                <w:lang w:val="es-AR"/>
              </w:rPr>
              <w:t xml:space="preserve"> </w:t>
            </w:r>
          </w:p>
          <w:p w14:paraId="63400B76" w14:textId="5F04E1FD" w:rsidR="001D5C14" w:rsidRPr="00CA0A60" w:rsidRDefault="00C83998" w:rsidP="00056047">
            <w:pPr>
              <w:pStyle w:val="SimpleLists8"/>
              <w:widowControl w:val="0"/>
              <w:numPr>
                <w:ilvl w:val="0"/>
                <w:numId w:val="0"/>
              </w:numPr>
              <w:spacing w:before="120" w:after="120"/>
              <w:jc w:val="both"/>
              <w:rPr>
                <w:rFonts w:ascii="Garamond" w:hAnsi="Garamond"/>
                <w:color w:val="auto"/>
                <w:kern w:val="20"/>
                <w:szCs w:val="22"/>
                <w:lang w:val="es-AR" w:eastAsia="en-GB"/>
              </w:rPr>
            </w:pPr>
            <w:r w:rsidRPr="00CA0A60">
              <w:rPr>
                <w:rFonts w:ascii="Garamond" w:hAnsi="Garamond"/>
                <w:lang w:val="es-AR"/>
              </w:rPr>
              <w:t>Lo</w:t>
            </w:r>
            <w:r w:rsidR="00887A64" w:rsidRPr="00CA0A60">
              <w:rPr>
                <w:rFonts w:ascii="Garamond" w:hAnsi="Garamond"/>
                <w:lang w:val="es-AR"/>
              </w:rPr>
              <w:t xml:space="preserve">s </w:t>
            </w:r>
            <w:r w:rsidRPr="00CA0A60">
              <w:rPr>
                <w:rFonts w:ascii="Garamond" w:hAnsi="Garamond"/>
                <w:lang w:val="es-AR"/>
              </w:rPr>
              <w:t xml:space="preserve">Derechos de Garantía </w:t>
            </w:r>
            <w:r w:rsidR="00887A64" w:rsidRPr="00CA0A60">
              <w:rPr>
                <w:rFonts w:ascii="Garamond" w:hAnsi="Garamond"/>
                <w:lang w:val="es-AR"/>
              </w:rPr>
              <w:t>serán, en caso de corresponder, registrados de acuerdo a los pasos y procesos que se describen en la sección</w:t>
            </w:r>
            <w:r w:rsidR="000D4B32" w:rsidRPr="00CA0A60">
              <w:rPr>
                <w:rFonts w:ascii="Garamond" w:hAnsi="Garamond"/>
                <w:lang w:val="es-AR"/>
              </w:rPr>
              <w:t xml:space="preserve"> </w:t>
            </w:r>
            <w:r w:rsidR="00887A64" w:rsidRPr="00CA0A60">
              <w:rPr>
                <w:rFonts w:ascii="Garamond" w:hAnsi="Garamond"/>
                <w:i/>
                <w:lang w:val="es-AR"/>
              </w:rPr>
              <w:t>Descripción de la Oferta</w:t>
            </w:r>
            <w:r w:rsidR="00887A64" w:rsidRPr="00CA3A3D">
              <w:rPr>
                <w:rFonts w:ascii="Garamond" w:hAnsi="Garamond"/>
                <w:lang w:val="es-AR"/>
              </w:rPr>
              <w:t>—</w:t>
            </w:r>
            <w:r w:rsidR="00887A64" w:rsidRPr="00CA0A60">
              <w:rPr>
                <w:rFonts w:ascii="Garamond" w:hAnsi="Garamond"/>
                <w:i/>
                <w:lang w:val="es-AR"/>
              </w:rPr>
              <w:t>Descripción de las Obligaciones Negociables – l</w:t>
            </w:r>
            <w:r w:rsidRPr="00CA0A60">
              <w:rPr>
                <w:rFonts w:ascii="Garamond" w:hAnsi="Garamond"/>
                <w:i/>
                <w:lang w:val="es-AR"/>
              </w:rPr>
              <w:t>o</w:t>
            </w:r>
            <w:r w:rsidR="00887A64" w:rsidRPr="00CA0A60">
              <w:rPr>
                <w:rFonts w:ascii="Garamond" w:hAnsi="Garamond"/>
                <w:i/>
                <w:lang w:val="es-AR"/>
              </w:rPr>
              <w:t xml:space="preserve">s </w:t>
            </w:r>
            <w:r w:rsidRPr="00CA0A60">
              <w:rPr>
                <w:rFonts w:ascii="Garamond" w:hAnsi="Garamond"/>
                <w:i/>
                <w:lang w:val="es-AR"/>
              </w:rPr>
              <w:t>Derechos de Garantía</w:t>
            </w:r>
            <w:r w:rsidR="00887A64" w:rsidRPr="00CA0A60">
              <w:rPr>
                <w:rFonts w:ascii="Garamond" w:hAnsi="Garamond"/>
                <w:lang w:val="es-AR"/>
              </w:rPr>
              <w:t xml:space="preserve">” y contarán </w:t>
            </w:r>
            <w:r w:rsidR="00056047">
              <w:rPr>
                <w:rFonts w:ascii="Garamond" w:hAnsi="Garamond"/>
                <w:lang w:val="es-AR"/>
              </w:rPr>
              <w:t xml:space="preserve">con </w:t>
            </w:r>
            <w:r w:rsidR="00D22074" w:rsidRPr="00CA0A60">
              <w:rPr>
                <w:rFonts w:ascii="Garamond" w:hAnsi="Garamond"/>
                <w:lang w:val="es-AR"/>
              </w:rPr>
              <w:t xml:space="preserve">los límites </w:t>
            </w:r>
            <w:r w:rsidR="00D22074">
              <w:rPr>
                <w:rFonts w:ascii="Garamond" w:hAnsi="Garamond"/>
                <w:lang w:val="es-AR"/>
              </w:rPr>
              <w:t>d</w:t>
            </w:r>
            <w:r w:rsidR="00D22074" w:rsidRPr="00D22074">
              <w:rPr>
                <w:rFonts w:ascii="Garamond" w:hAnsi="Garamond"/>
                <w:lang w:val="es-AR"/>
              </w:rPr>
              <w:t>el Monto de Garantía Máximo y los límites individuales de cada Derecho de Garantía (</w:t>
            </w:r>
            <w:r w:rsidR="00056047">
              <w:rPr>
                <w:rFonts w:ascii="Garamond" w:hAnsi="Garamond"/>
                <w:lang w:val="es-AR"/>
              </w:rPr>
              <w:t>según esto</w:t>
            </w:r>
            <w:r w:rsidR="00D22074" w:rsidRPr="00D22074">
              <w:rPr>
                <w:rFonts w:ascii="Garamond" w:hAnsi="Garamond"/>
                <w:lang w:val="es-AR"/>
              </w:rPr>
              <w:t>s términos se definen más adelante)</w:t>
            </w:r>
            <w:r w:rsidR="00887A64" w:rsidRPr="00CA0A60">
              <w:rPr>
                <w:rFonts w:ascii="Garamond" w:hAnsi="Garamond"/>
                <w:lang w:val="es-AR"/>
              </w:rPr>
              <w:t xml:space="preserve"> tal como se describen en la sección </w:t>
            </w:r>
            <w:r w:rsidR="00887A64" w:rsidRPr="00CA0A60">
              <w:rPr>
                <w:lang w:val="es-AR"/>
              </w:rPr>
              <w:t>“</w:t>
            </w:r>
            <w:r w:rsidR="00887A64" w:rsidRPr="00CA0A60">
              <w:rPr>
                <w:rFonts w:ascii="Garamond" w:hAnsi="Garamond"/>
                <w:i/>
                <w:lang w:val="es-AR"/>
              </w:rPr>
              <w:t>Limitaciones a l</w:t>
            </w:r>
            <w:r w:rsidRPr="00CA0A60">
              <w:rPr>
                <w:rFonts w:ascii="Garamond" w:hAnsi="Garamond"/>
                <w:i/>
                <w:lang w:val="es-AR"/>
              </w:rPr>
              <w:t>o</w:t>
            </w:r>
            <w:r w:rsidR="00887A64" w:rsidRPr="00CA0A60">
              <w:rPr>
                <w:rFonts w:ascii="Garamond" w:hAnsi="Garamond"/>
                <w:i/>
                <w:lang w:val="es-AR"/>
              </w:rPr>
              <w:t>s</w:t>
            </w:r>
            <w:r w:rsidR="000D4B32" w:rsidRPr="00CA0A60">
              <w:rPr>
                <w:rFonts w:ascii="Garamond" w:hAnsi="Garamond"/>
                <w:i/>
                <w:lang w:val="es-AR"/>
              </w:rPr>
              <w:t xml:space="preserve"> </w:t>
            </w:r>
            <w:r w:rsidRPr="00CA0A60">
              <w:rPr>
                <w:rFonts w:ascii="Garamond" w:hAnsi="Garamond"/>
                <w:i/>
                <w:lang w:val="es-AR"/>
              </w:rPr>
              <w:t>Derechos de Garantía</w:t>
            </w:r>
            <w:r w:rsidR="00887A64" w:rsidRPr="00CA3A3D">
              <w:rPr>
                <w:rFonts w:ascii="Garamond" w:hAnsi="Garamond"/>
                <w:i/>
                <w:lang w:val="es-AR"/>
              </w:rPr>
              <w:t>—</w:t>
            </w:r>
            <w:r w:rsidR="00887A64" w:rsidRPr="00CA0A60">
              <w:rPr>
                <w:rFonts w:ascii="Garamond" w:hAnsi="Garamond"/>
                <w:i/>
                <w:lang w:val="es-AR"/>
              </w:rPr>
              <w:t>Descripción de las Obligaciones Negociables – l</w:t>
            </w:r>
            <w:r w:rsidRPr="00CA0A60">
              <w:rPr>
                <w:rFonts w:ascii="Garamond" w:hAnsi="Garamond"/>
                <w:i/>
                <w:lang w:val="es-AR"/>
              </w:rPr>
              <w:t>o</w:t>
            </w:r>
            <w:r w:rsidR="00887A64" w:rsidRPr="00CA0A60">
              <w:rPr>
                <w:rFonts w:ascii="Garamond" w:hAnsi="Garamond"/>
                <w:i/>
                <w:lang w:val="es-AR"/>
              </w:rPr>
              <w:t xml:space="preserve">s </w:t>
            </w:r>
            <w:r w:rsidRPr="00CA0A60">
              <w:rPr>
                <w:rFonts w:ascii="Garamond" w:hAnsi="Garamond"/>
                <w:i/>
                <w:lang w:val="es-AR"/>
              </w:rPr>
              <w:t>Derechos de Garantía</w:t>
            </w:r>
            <w:r w:rsidR="00887A64" w:rsidRPr="00CA0A60">
              <w:rPr>
                <w:rFonts w:ascii="Garamond" w:hAnsi="Garamond"/>
                <w:szCs w:val="22"/>
                <w:lang w:val="es-AR"/>
              </w:rPr>
              <w:t>”.</w:t>
            </w:r>
          </w:p>
        </w:tc>
      </w:tr>
      <w:tr w:rsidR="00053E9A" w:rsidRPr="00CA0A60" w14:paraId="6926E801" w14:textId="77777777" w:rsidTr="00557592">
        <w:tc>
          <w:tcPr>
            <w:tcW w:w="1654" w:type="dxa"/>
          </w:tcPr>
          <w:p w14:paraId="02E32251" w14:textId="77777777" w:rsidR="00053E9A" w:rsidRPr="00CA0A60" w:rsidRDefault="00053E9A" w:rsidP="002B1E31">
            <w:pPr>
              <w:pStyle w:val="CellBody"/>
              <w:keepNext/>
              <w:keepLines/>
              <w:spacing w:before="120" w:after="120" w:line="240" w:lineRule="auto"/>
              <w:rPr>
                <w:rFonts w:ascii="Garamond" w:hAnsi="Garamond"/>
                <w:b/>
                <w:bCs/>
                <w:szCs w:val="22"/>
                <w:lang w:val="es-AR"/>
              </w:rPr>
            </w:pPr>
            <w:r w:rsidRPr="00CA0A60">
              <w:rPr>
                <w:rFonts w:ascii="Garamond" w:hAnsi="Garamond"/>
                <w:b/>
                <w:bCs/>
                <w:szCs w:val="22"/>
                <w:lang w:val="es-AR"/>
              </w:rPr>
              <w:lastRenderedPageBreak/>
              <w:t xml:space="preserve">Cuenta de Reserva </w:t>
            </w:r>
          </w:p>
        </w:tc>
        <w:tc>
          <w:tcPr>
            <w:tcW w:w="6851" w:type="dxa"/>
          </w:tcPr>
          <w:p w14:paraId="6B4B2FAA" w14:textId="77777777" w:rsidR="00053E9A" w:rsidRPr="00CA0A60" w:rsidRDefault="00053E9A" w:rsidP="002B1E31">
            <w:pPr>
              <w:pStyle w:val="CellBody"/>
              <w:keepNext/>
              <w:keepLines/>
              <w:spacing w:before="120" w:after="120" w:line="240" w:lineRule="auto"/>
              <w:jc w:val="both"/>
              <w:rPr>
                <w:rFonts w:ascii="Garamond" w:hAnsi="Garamond"/>
                <w:szCs w:val="22"/>
                <w:lang w:val="es-AR"/>
              </w:rPr>
            </w:pPr>
            <w:r w:rsidRPr="00CA0A60">
              <w:rPr>
                <w:rFonts w:ascii="Garamond" w:hAnsi="Garamond"/>
                <w:szCs w:val="22"/>
                <w:lang w:val="es-AR"/>
              </w:rPr>
              <w:t>La cuenta de reserva para servicio de deuda deberá ser fondeada en la Fecha de Emisión con un monto equivalente a los próximos dos pagos de intereses (la “</w:t>
            </w:r>
            <w:r w:rsidRPr="00CA0A60">
              <w:rPr>
                <w:rFonts w:ascii="Garamond" w:hAnsi="Garamond"/>
                <w:szCs w:val="22"/>
                <w:u w:val="single"/>
                <w:lang w:val="es-AR"/>
              </w:rPr>
              <w:t>Cuenta de Reserva</w:t>
            </w:r>
            <w:r w:rsidRPr="00CA0A60">
              <w:rPr>
                <w:rFonts w:ascii="Garamond" w:hAnsi="Garamond"/>
                <w:szCs w:val="22"/>
                <w:lang w:val="es-AR"/>
              </w:rPr>
              <w:t>”).</w:t>
            </w:r>
          </w:p>
          <w:p w14:paraId="3AAC62EA" w14:textId="0380790F" w:rsidR="00053E9A" w:rsidRPr="00CA0A60" w:rsidRDefault="00053E9A" w:rsidP="002B1E31">
            <w:pPr>
              <w:pStyle w:val="CellBody"/>
              <w:keepNext/>
              <w:keepLines/>
              <w:spacing w:before="120" w:after="120" w:line="240" w:lineRule="auto"/>
              <w:jc w:val="both"/>
              <w:rPr>
                <w:rFonts w:ascii="Garamond" w:hAnsi="Garamond"/>
                <w:szCs w:val="22"/>
                <w:lang w:val="es-AR"/>
              </w:rPr>
            </w:pPr>
            <w:r w:rsidRPr="00CA0A60">
              <w:rPr>
                <w:rFonts w:ascii="Garamond" w:hAnsi="Garamond"/>
                <w:szCs w:val="22"/>
                <w:lang w:val="es-AR"/>
              </w:rPr>
              <w:t xml:space="preserve">En la medida que (i) la Cuenta de Reserva se encuentre totalmente fondeada y (ii) no se haya producido ni subsista un supuesto de incumplimiento, los fondos depositados en la Cuenta de Reserva podrán ser invertidos y reinvertidos según las instrucciones escritas de las Co-Emisoras. De no mediar tales instrucciones escritas, los fondos en efectivo depositados en la Cuenta de Reserva permanecerán sin ser invertidos. Véase </w:t>
            </w:r>
            <w:r w:rsidRPr="00CA0A60">
              <w:rPr>
                <w:rFonts w:ascii="Garamond" w:hAnsi="Garamond"/>
                <w:szCs w:val="22"/>
                <w:lang w:val="es-AR"/>
              </w:rPr>
              <w:lastRenderedPageBreak/>
              <w:t>“</w:t>
            </w:r>
            <w:r w:rsidRPr="00CA0A60">
              <w:rPr>
                <w:rFonts w:ascii="Garamond" w:hAnsi="Garamond"/>
                <w:i/>
                <w:lang w:val="es-AR"/>
              </w:rPr>
              <w:t>Descripción de la Oferta</w:t>
            </w:r>
            <w:r w:rsidRPr="00CA3A3D">
              <w:rPr>
                <w:rFonts w:ascii="Garamond" w:hAnsi="Garamond"/>
                <w:lang w:val="es-AR"/>
              </w:rPr>
              <w:t>—</w:t>
            </w:r>
            <w:r w:rsidRPr="00CA0A60">
              <w:rPr>
                <w:rFonts w:ascii="Garamond" w:hAnsi="Garamond"/>
                <w:i/>
                <w:lang w:val="es-AR"/>
              </w:rPr>
              <w:t>Descripción de las Obligaciones Negociables</w:t>
            </w:r>
            <w:r w:rsidRPr="00CA0A60">
              <w:rPr>
                <w:rFonts w:ascii="Garamond" w:hAnsi="Garamond"/>
                <w:i/>
                <w:szCs w:val="22"/>
                <w:lang w:val="es-AR"/>
              </w:rPr>
              <w:t xml:space="preserve"> ―</w:t>
            </w:r>
            <w:r w:rsidRPr="00CA3A3D">
              <w:rPr>
                <w:lang w:val="es-AR"/>
              </w:rPr>
              <w:t xml:space="preserve"> </w:t>
            </w:r>
            <w:r w:rsidR="00E65F9D" w:rsidRPr="00CA0A60">
              <w:rPr>
                <w:rFonts w:ascii="Garamond" w:hAnsi="Garamond"/>
                <w:i/>
                <w:szCs w:val="22"/>
                <w:lang w:val="es-AR"/>
              </w:rPr>
              <w:t>l</w:t>
            </w:r>
            <w:r w:rsidR="00147586" w:rsidRPr="00CA0A60">
              <w:rPr>
                <w:rFonts w:ascii="Garamond" w:hAnsi="Garamond"/>
                <w:i/>
                <w:szCs w:val="22"/>
                <w:lang w:val="es-AR"/>
              </w:rPr>
              <w:t>o</w:t>
            </w:r>
            <w:r w:rsidR="00E65F9D" w:rsidRPr="00CA0A60">
              <w:rPr>
                <w:rFonts w:ascii="Garamond" w:hAnsi="Garamond"/>
                <w:i/>
                <w:szCs w:val="22"/>
                <w:lang w:val="es-AR"/>
              </w:rPr>
              <w:t xml:space="preserve">s </w:t>
            </w:r>
            <w:r w:rsidR="00147586" w:rsidRPr="00CA0A60">
              <w:rPr>
                <w:rFonts w:ascii="Garamond" w:hAnsi="Garamond"/>
                <w:i/>
                <w:szCs w:val="22"/>
                <w:lang w:val="es-AR"/>
              </w:rPr>
              <w:t>Derechos de Garantía</w:t>
            </w:r>
            <w:r w:rsidRPr="00CA0A60">
              <w:rPr>
                <w:rFonts w:ascii="Garamond" w:hAnsi="Garamond"/>
                <w:i/>
                <w:szCs w:val="22"/>
                <w:lang w:val="es-AR"/>
              </w:rPr>
              <w:t>― Cuenta de Reserva”</w:t>
            </w:r>
            <w:r w:rsidRPr="00CA0A60">
              <w:rPr>
                <w:rFonts w:ascii="Garamond" w:hAnsi="Garamond"/>
                <w:szCs w:val="22"/>
                <w:lang w:val="es-AR"/>
              </w:rPr>
              <w:t>.</w:t>
            </w:r>
          </w:p>
        </w:tc>
      </w:tr>
      <w:tr w:rsidR="001D5C14" w:rsidRPr="00CA0A60" w14:paraId="72649229" w14:textId="77777777" w:rsidTr="00557592">
        <w:tc>
          <w:tcPr>
            <w:tcW w:w="1654" w:type="dxa"/>
          </w:tcPr>
          <w:p w14:paraId="7F691A27" w14:textId="77777777" w:rsidR="001D5C14" w:rsidRPr="00CA0A60" w:rsidRDefault="001D5C14" w:rsidP="001D5C14">
            <w:pPr>
              <w:pStyle w:val="CellBody"/>
              <w:widowControl w:val="0"/>
              <w:spacing w:before="120" w:after="120" w:line="240" w:lineRule="auto"/>
              <w:rPr>
                <w:rFonts w:ascii="Garamond" w:hAnsi="Garamond"/>
                <w:b/>
                <w:bCs/>
                <w:szCs w:val="22"/>
                <w:lang w:val="es-AR"/>
              </w:rPr>
            </w:pPr>
            <w:r w:rsidRPr="00CA0A60">
              <w:rPr>
                <w:rFonts w:ascii="Garamond" w:hAnsi="Garamond"/>
                <w:b/>
                <w:bCs/>
                <w:lang w:val="es-AR"/>
              </w:rPr>
              <w:lastRenderedPageBreak/>
              <w:t>Ley Aplicable</w:t>
            </w:r>
          </w:p>
        </w:tc>
        <w:tc>
          <w:tcPr>
            <w:tcW w:w="6851" w:type="dxa"/>
          </w:tcPr>
          <w:p w14:paraId="008B6660" w14:textId="6FE8A508" w:rsidR="001D5C14" w:rsidRPr="00CA0A60" w:rsidRDefault="008301D3" w:rsidP="00B8572A">
            <w:pPr>
              <w:pStyle w:val="SimpleLists8"/>
              <w:widowControl w:val="0"/>
              <w:numPr>
                <w:ilvl w:val="0"/>
                <w:numId w:val="0"/>
              </w:numPr>
              <w:spacing w:before="120" w:after="120"/>
              <w:jc w:val="both"/>
              <w:rPr>
                <w:rFonts w:ascii="Garamond" w:hAnsi="Garamond"/>
                <w:color w:val="auto"/>
                <w:kern w:val="20"/>
                <w:szCs w:val="22"/>
                <w:lang w:val="es-AR" w:eastAsia="en-GB"/>
              </w:rPr>
            </w:pPr>
            <w:r w:rsidRPr="00CA0A60">
              <w:rPr>
                <w:rFonts w:ascii="Garamond" w:hAnsi="Garamond"/>
                <w:szCs w:val="20"/>
                <w:lang w:val="es-AR"/>
              </w:rPr>
              <w:t>Las Obligaciones Negociables, e</w:t>
            </w:r>
            <w:r w:rsidR="001D5C14" w:rsidRPr="00CA0A60">
              <w:rPr>
                <w:rFonts w:ascii="Garamond" w:hAnsi="Garamond"/>
                <w:szCs w:val="20"/>
                <w:lang w:val="es-AR"/>
              </w:rPr>
              <w:t>l Contrato de Fideicomiso (conforme dicho término se define más adelante</w:t>
            </w:r>
            <w:r w:rsidRPr="00CA0A60">
              <w:rPr>
                <w:rFonts w:ascii="Garamond" w:hAnsi="Garamond"/>
                <w:szCs w:val="20"/>
                <w:lang w:val="es-AR"/>
              </w:rPr>
              <w:t xml:space="preserve"> en el presente Suplemento</w:t>
            </w:r>
            <w:r w:rsidR="001D5C14" w:rsidRPr="00CA0A60">
              <w:rPr>
                <w:rFonts w:ascii="Garamond" w:hAnsi="Garamond"/>
                <w:szCs w:val="20"/>
                <w:lang w:val="es-AR"/>
              </w:rPr>
              <w:t>)</w:t>
            </w:r>
            <w:r w:rsidRPr="00CA0A60">
              <w:rPr>
                <w:rFonts w:ascii="Garamond" w:hAnsi="Garamond"/>
                <w:szCs w:val="20"/>
                <w:lang w:val="es-AR"/>
              </w:rPr>
              <w:t>, y ciertas</w:t>
            </w:r>
            <w:r w:rsidRPr="00CA3A3D">
              <w:rPr>
                <w:lang w:val="es-AR"/>
              </w:rPr>
              <w:t xml:space="preserve"> </w:t>
            </w:r>
            <w:r w:rsidR="007D751C" w:rsidRPr="00CA0A60">
              <w:rPr>
                <w:rFonts w:ascii="Garamond" w:hAnsi="Garamond"/>
                <w:szCs w:val="20"/>
                <w:lang w:val="es-AR"/>
              </w:rPr>
              <w:t>g</w:t>
            </w:r>
            <w:r w:rsidRPr="00CA0A60">
              <w:rPr>
                <w:rFonts w:ascii="Garamond" w:hAnsi="Garamond"/>
                <w:szCs w:val="20"/>
                <w:lang w:val="es-AR"/>
              </w:rPr>
              <w:t>arantías de las Obligaciones Negociables (que expresamente lo establezcan)</w:t>
            </w:r>
            <w:r w:rsidRPr="00CA0A60" w:rsidDel="008301D3">
              <w:rPr>
                <w:rFonts w:ascii="Garamond" w:hAnsi="Garamond"/>
                <w:szCs w:val="20"/>
                <w:lang w:val="es-AR"/>
              </w:rPr>
              <w:t xml:space="preserve"> </w:t>
            </w:r>
            <w:r w:rsidRPr="00CA0A60">
              <w:rPr>
                <w:rFonts w:ascii="Garamond" w:hAnsi="Garamond"/>
                <w:szCs w:val="20"/>
                <w:lang w:val="es-AR"/>
              </w:rPr>
              <w:t>s</w:t>
            </w:r>
            <w:r w:rsidR="001D5C14" w:rsidRPr="00CA0A60">
              <w:rPr>
                <w:rFonts w:ascii="Garamond" w:hAnsi="Garamond"/>
                <w:szCs w:val="20"/>
                <w:lang w:val="es-AR"/>
              </w:rPr>
              <w:t xml:space="preserve">e regirán </w:t>
            </w:r>
            <w:r w:rsidRPr="00CA0A60">
              <w:rPr>
                <w:rFonts w:ascii="Garamond" w:hAnsi="Garamond"/>
                <w:szCs w:val="20"/>
                <w:lang w:val="es-AR"/>
              </w:rPr>
              <w:t xml:space="preserve">e interpretarán </w:t>
            </w:r>
            <w:r w:rsidR="001D5C14" w:rsidRPr="00CA0A60">
              <w:rPr>
                <w:rFonts w:ascii="Garamond" w:hAnsi="Garamond"/>
                <w:szCs w:val="20"/>
                <w:lang w:val="es-AR"/>
              </w:rPr>
              <w:t xml:space="preserve">por las leyes del Estado de Nueva York, quedando establecido que todos los asuntos relacionados con la debida autorización, incluyendo la autorización de la CNV para la oferta pública de las Obligaciones Negociables en la Argentina, la </w:t>
            </w:r>
            <w:r w:rsidRPr="00CA0A60">
              <w:rPr>
                <w:rFonts w:ascii="Garamond" w:hAnsi="Garamond"/>
                <w:szCs w:val="20"/>
                <w:lang w:val="es-AR"/>
              </w:rPr>
              <w:t>autorización</w:t>
            </w:r>
            <w:r w:rsidR="001D5C14" w:rsidRPr="00CA0A60">
              <w:rPr>
                <w:rFonts w:ascii="Garamond" w:hAnsi="Garamond"/>
                <w:szCs w:val="20"/>
                <w:lang w:val="es-AR"/>
              </w:rPr>
              <w:t xml:space="preserve">, otorgamiento, emisión y entrega de las Obligaciones Negociables y los asuntos relacionados con la oferta pública en la Argentina y los requisitos legales necesarios para que las Obligaciones Negociables revistan el carácter de “obligaciones negociables” bajo la ley argentina, así como las asambleas de tenedores de Obligaciones Negociables se regirán por la Ley de Obligaciones Negociables, la Ley General de Sociedades, la Ley de Mercado de Capitales, las Normas de la CNV y demás leyes y reglamentaciones argentinas aplicables. </w:t>
            </w:r>
          </w:p>
        </w:tc>
      </w:tr>
      <w:tr w:rsidR="00243CF5" w:rsidRPr="00CA0A60" w14:paraId="524715EE" w14:textId="77777777" w:rsidTr="00557592">
        <w:tc>
          <w:tcPr>
            <w:tcW w:w="1654" w:type="dxa"/>
          </w:tcPr>
          <w:p w14:paraId="28E70F07" w14:textId="77777777" w:rsidR="00243CF5" w:rsidRPr="00CA3A3D" w:rsidRDefault="00243CF5" w:rsidP="00243CF5">
            <w:pPr>
              <w:spacing w:before="120" w:after="120" w:line="240" w:lineRule="auto"/>
              <w:rPr>
                <w:sz w:val="20"/>
                <w:szCs w:val="20"/>
                <w:highlight w:val="yellow"/>
                <w:lang w:val="es-AR"/>
              </w:rPr>
            </w:pPr>
            <w:r w:rsidRPr="00CA0A60">
              <w:rPr>
                <w:rFonts w:ascii="Garamond" w:hAnsi="Garamond"/>
                <w:b/>
                <w:bCs/>
                <w:sz w:val="20"/>
                <w:szCs w:val="20"/>
                <w:lang w:val="es-AR"/>
              </w:rPr>
              <w:t>Acción Ejecutiva</w:t>
            </w:r>
          </w:p>
        </w:tc>
        <w:tc>
          <w:tcPr>
            <w:tcW w:w="6851" w:type="dxa"/>
          </w:tcPr>
          <w:p w14:paraId="37BCC352" w14:textId="77777777" w:rsidR="00243CF5" w:rsidRPr="00CA3A3D" w:rsidRDefault="000977F1" w:rsidP="00DE0516">
            <w:pPr>
              <w:spacing w:before="120" w:after="120" w:line="240" w:lineRule="auto"/>
              <w:jc w:val="both"/>
              <w:rPr>
                <w:sz w:val="20"/>
                <w:szCs w:val="20"/>
                <w:highlight w:val="yellow"/>
                <w:lang w:val="es-AR"/>
              </w:rPr>
            </w:pPr>
            <w:r w:rsidRPr="00CA0A60">
              <w:rPr>
                <w:rFonts w:ascii="Garamond" w:hAnsi="Garamond"/>
                <w:sz w:val="20"/>
                <w:szCs w:val="20"/>
                <w:lang w:val="es-AR"/>
              </w:rPr>
              <w:t>Las Obligaciones Negociables, bajo los términos del artículo 29 de la Ley de Obligaciones Negociables confieren a sus tenedores el derecho de iniciar una acción ejecutiva a fin de perseguir el cobro del capital e intereses vencidos bajo las Obligaciones Negociables (incluyendo Montos Adicionales), derecho éste que no podrá ser restringido ni afectado sin el previo consentimiento de dicho tenedor.</w:t>
            </w:r>
          </w:p>
        </w:tc>
      </w:tr>
      <w:tr w:rsidR="00243CF5" w:rsidRPr="00CA0A60" w14:paraId="2350A3A8" w14:textId="77777777" w:rsidTr="00557592">
        <w:tc>
          <w:tcPr>
            <w:tcW w:w="1654" w:type="dxa"/>
          </w:tcPr>
          <w:p w14:paraId="5DE84F31" w14:textId="77777777" w:rsidR="00243CF5" w:rsidRPr="00CA3A3D" w:rsidRDefault="00243CF5" w:rsidP="00243CF5">
            <w:pPr>
              <w:spacing w:before="120" w:after="120" w:line="240" w:lineRule="auto"/>
              <w:rPr>
                <w:sz w:val="20"/>
                <w:szCs w:val="20"/>
                <w:highlight w:val="yellow"/>
                <w:lang w:val="es-AR"/>
              </w:rPr>
            </w:pPr>
            <w:r w:rsidRPr="00CA0A60">
              <w:rPr>
                <w:rFonts w:ascii="Garamond" w:hAnsi="Garamond"/>
                <w:b/>
                <w:bCs/>
                <w:lang w:val="es-AR"/>
              </w:rPr>
              <w:t>Jurisdicción</w:t>
            </w:r>
          </w:p>
        </w:tc>
        <w:tc>
          <w:tcPr>
            <w:tcW w:w="6851" w:type="dxa"/>
          </w:tcPr>
          <w:p w14:paraId="69721C82" w14:textId="77777777" w:rsidR="00243CF5" w:rsidRPr="00CA0A60" w:rsidRDefault="00243CF5" w:rsidP="00243CF5">
            <w:pPr>
              <w:pStyle w:val="CellBody"/>
              <w:widowControl w:val="0"/>
              <w:spacing w:before="120" w:after="120" w:line="240" w:lineRule="auto"/>
              <w:jc w:val="both"/>
              <w:rPr>
                <w:rFonts w:ascii="Garamond" w:hAnsi="Garamond"/>
                <w:lang w:val="es-AR"/>
              </w:rPr>
            </w:pPr>
            <w:r w:rsidRPr="00CA0A60">
              <w:rPr>
                <w:rFonts w:ascii="Garamond" w:hAnsi="Garamond"/>
                <w:lang w:val="es-AR"/>
              </w:rPr>
              <w:t xml:space="preserve">Las Co-Emisoras se someterán irrevocablemente a la jurisdicción no exclusiva de los tribunales estaduales o federales con sede en Manhattan, Ciudad de Nueva York, Estados Unidos, y de los tribunales argentinos con asiento en la Ciudad Autónoma de Buenos Aires, Argentina. </w:t>
            </w:r>
          </w:p>
          <w:p w14:paraId="5DAC85C4" w14:textId="77777777" w:rsidR="00243CF5" w:rsidRPr="00CA3A3D" w:rsidRDefault="00243CF5" w:rsidP="00243CF5">
            <w:pPr>
              <w:spacing w:before="120" w:after="120" w:line="240" w:lineRule="auto"/>
              <w:jc w:val="both"/>
              <w:rPr>
                <w:sz w:val="20"/>
                <w:szCs w:val="20"/>
                <w:lang w:val="es-AR"/>
              </w:rPr>
            </w:pPr>
            <w:r w:rsidRPr="00CA0A60">
              <w:rPr>
                <w:rFonts w:ascii="Garamond" w:hAnsi="Garamond"/>
                <w:sz w:val="20"/>
                <w:szCs w:val="20"/>
                <w:lang w:val="es-AR"/>
              </w:rPr>
              <w:t>Sin perjuicio de lo anterior, de acuerdo con el Artículo 46 de la Ley de Mercado de Capitales, los tenedores de Obligaciones Negociables podrán someter controversias relacionadas con las Obligaciones Negociables a la jurisdicción no exclusiva del Tribunal de Arbitraje General de la BCBA, en virtud del ejercicio de la facultad delegada por BYMA a la BCBA conforme lo dispuesto por la Resolución N°18.629 de la CNV, o el tribunal arbitral del mercado de valores que lo reemplace, todo ello, de acuerdo con el artículo 46 de la Ley de Mercado de Capitales.</w:t>
            </w:r>
          </w:p>
        </w:tc>
      </w:tr>
      <w:tr w:rsidR="00243CF5" w:rsidRPr="00CA0A60" w14:paraId="10B1E8A5" w14:textId="77777777" w:rsidTr="00557592">
        <w:tc>
          <w:tcPr>
            <w:tcW w:w="1654" w:type="dxa"/>
          </w:tcPr>
          <w:p w14:paraId="6A99E76B" w14:textId="77777777" w:rsidR="00243CF5" w:rsidRPr="00CA0A60" w:rsidRDefault="00243CF5" w:rsidP="00243CF5">
            <w:pPr>
              <w:pStyle w:val="CellBody"/>
              <w:widowControl w:val="0"/>
              <w:spacing w:before="120" w:after="120" w:line="240" w:lineRule="auto"/>
              <w:rPr>
                <w:rFonts w:ascii="Garamond" w:hAnsi="Garamond"/>
                <w:b/>
                <w:bCs/>
                <w:lang w:val="es-AR"/>
              </w:rPr>
            </w:pPr>
            <w:r w:rsidRPr="00CA0A60">
              <w:rPr>
                <w:rFonts w:ascii="Garamond" w:hAnsi="Garamond"/>
                <w:b/>
                <w:bCs/>
                <w:lang w:val="es-AR"/>
              </w:rPr>
              <w:t>Código ISIN y CUSIP</w:t>
            </w:r>
          </w:p>
        </w:tc>
        <w:tc>
          <w:tcPr>
            <w:tcW w:w="6851" w:type="dxa"/>
          </w:tcPr>
          <w:p w14:paraId="7E6F921F" w14:textId="77777777" w:rsidR="00243CF5" w:rsidRPr="00CA0A60" w:rsidRDefault="00243CF5" w:rsidP="00243CF5">
            <w:pPr>
              <w:pStyle w:val="CellBody"/>
              <w:widowControl w:val="0"/>
              <w:spacing w:before="120" w:after="120" w:line="240" w:lineRule="auto"/>
              <w:jc w:val="both"/>
              <w:rPr>
                <w:rFonts w:ascii="Garamond" w:hAnsi="Garamond"/>
                <w:lang w:val="es-AR"/>
              </w:rPr>
            </w:pPr>
            <w:r w:rsidRPr="00CA0A60">
              <w:rPr>
                <w:rFonts w:ascii="Garamond" w:hAnsi="Garamond"/>
                <w:lang w:val="es-AR"/>
              </w:rPr>
              <w:t>Serán informados en el Aviso de Resultados.</w:t>
            </w:r>
          </w:p>
        </w:tc>
      </w:tr>
      <w:tr w:rsidR="00243CF5" w:rsidRPr="00CA0A60" w14:paraId="7388BABC" w14:textId="77777777" w:rsidTr="00557592">
        <w:tc>
          <w:tcPr>
            <w:tcW w:w="1654" w:type="dxa"/>
          </w:tcPr>
          <w:p w14:paraId="44CC1F9F" w14:textId="77777777" w:rsidR="00243CF5" w:rsidRPr="00CA0A60" w:rsidRDefault="00243CF5" w:rsidP="00243CF5">
            <w:pPr>
              <w:pStyle w:val="CellBody"/>
              <w:widowControl w:val="0"/>
              <w:spacing w:before="120" w:after="120" w:line="240" w:lineRule="auto"/>
              <w:rPr>
                <w:rFonts w:ascii="Garamond" w:hAnsi="Garamond"/>
                <w:b/>
                <w:bCs/>
                <w:lang w:val="es-AR"/>
              </w:rPr>
            </w:pPr>
            <w:r w:rsidRPr="00CA0A60">
              <w:rPr>
                <w:rFonts w:ascii="Garamond" w:hAnsi="Garamond"/>
                <w:b/>
                <w:bCs/>
                <w:lang w:val="es-AR"/>
              </w:rPr>
              <w:t>Calificación de Riesgo</w:t>
            </w:r>
          </w:p>
        </w:tc>
        <w:tc>
          <w:tcPr>
            <w:tcW w:w="6851" w:type="dxa"/>
          </w:tcPr>
          <w:p w14:paraId="71C179DD" w14:textId="44C8C5A0" w:rsidR="00243CF5" w:rsidRPr="00CA0A60" w:rsidRDefault="00FA36BE" w:rsidP="00F838EA">
            <w:pPr>
              <w:pStyle w:val="CellBody"/>
              <w:widowControl w:val="0"/>
              <w:spacing w:before="120" w:after="120" w:line="240" w:lineRule="auto"/>
              <w:jc w:val="both"/>
              <w:rPr>
                <w:rFonts w:ascii="Garamond" w:hAnsi="Garamond"/>
                <w:lang w:val="es-AR"/>
              </w:rPr>
            </w:pPr>
            <w:r w:rsidRPr="00FA36BE">
              <w:rPr>
                <w:rFonts w:ascii="Garamond" w:hAnsi="Garamond"/>
                <w:lang w:val="es-AR"/>
              </w:rPr>
              <w:t>El Programa no cuenta con calificación de riesgo. A nivel local, las Obligaciones Negociables únicamente c</w:t>
            </w:r>
            <w:r>
              <w:rPr>
                <w:rFonts w:ascii="Garamond" w:hAnsi="Garamond"/>
                <w:lang w:val="es-AR"/>
              </w:rPr>
              <w:t>uentan</w:t>
            </w:r>
            <w:r w:rsidRPr="00FA36BE">
              <w:rPr>
                <w:rFonts w:ascii="Garamond" w:hAnsi="Garamond"/>
                <w:lang w:val="es-AR"/>
              </w:rPr>
              <w:t xml:space="preserve"> con una calificación de riesgo. Fix Scr S.A. (afiliada de Fitch Ratings), Agente de Calificación de Riesgo – Reg. CNV N° 9 – ha asignado a las Obligaciones Negociables la calificación “BBB”</w:t>
            </w:r>
            <w:r>
              <w:rPr>
                <w:rFonts w:ascii="Garamond" w:hAnsi="Garamond"/>
                <w:lang w:val="es-AR"/>
              </w:rPr>
              <w:t>, en su informe de fecha 24 de julio de 2019.</w:t>
            </w:r>
          </w:p>
        </w:tc>
      </w:tr>
      <w:tr w:rsidR="00243CF5" w:rsidRPr="00CA0A60" w14:paraId="1379B0AF" w14:textId="77777777" w:rsidTr="00557592">
        <w:tc>
          <w:tcPr>
            <w:tcW w:w="1654" w:type="dxa"/>
          </w:tcPr>
          <w:p w14:paraId="48C1E09A" w14:textId="77777777" w:rsidR="00243CF5" w:rsidRPr="00CA0A60" w:rsidRDefault="00243CF5" w:rsidP="00243CF5">
            <w:pPr>
              <w:pStyle w:val="CellBody"/>
              <w:widowControl w:val="0"/>
              <w:spacing w:before="120" w:after="120" w:line="240" w:lineRule="auto"/>
              <w:rPr>
                <w:rFonts w:ascii="Garamond" w:hAnsi="Garamond"/>
                <w:b/>
                <w:bCs/>
                <w:lang w:val="es-AR"/>
              </w:rPr>
            </w:pPr>
            <w:r w:rsidRPr="00CA0A60">
              <w:rPr>
                <w:rFonts w:ascii="Garamond" w:hAnsi="Garamond"/>
                <w:b/>
                <w:bCs/>
                <w:lang w:val="es-AR"/>
              </w:rPr>
              <w:t>Colocadores Internacionales</w:t>
            </w:r>
          </w:p>
        </w:tc>
        <w:tc>
          <w:tcPr>
            <w:tcW w:w="6851" w:type="dxa"/>
          </w:tcPr>
          <w:p w14:paraId="67B5B160" w14:textId="77777777" w:rsidR="00243CF5" w:rsidRPr="00CA0A60" w:rsidRDefault="00243CF5" w:rsidP="00243CF5">
            <w:pPr>
              <w:pStyle w:val="CellBody"/>
              <w:widowControl w:val="0"/>
              <w:spacing w:before="120" w:after="120" w:line="240" w:lineRule="auto"/>
              <w:jc w:val="both"/>
              <w:rPr>
                <w:rFonts w:ascii="Garamond" w:hAnsi="Garamond"/>
                <w:lang w:val="es-AR"/>
              </w:rPr>
            </w:pPr>
            <w:r w:rsidRPr="00CA3A3D">
              <w:rPr>
                <w:rFonts w:ascii="Garamond" w:hAnsi="Garamond"/>
                <w:lang w:val="es-AR"/>
              </w:rPr>
              <w:t>Serán las entidades que actuarán en la Oferta Internacional (conforme se define más adelante) como agentes colocadores internacionales (“</w:t>
            </w:r>
            <w:r w:rsidRPr="00CA3A3D">
              <w:rPr>
                <w:rFonts w:ascii="Garamond" w:hAnsi="Garamond"/>
                <w:i/>
                <w:lang w:val="es-AR"/>
              </w:rPr>
              <w:t>placement agents</w:t>
            </w:r>
            <w:r w:rsidRPr="00CA3A3D">
              <w:rPr>
                <w:rFonts w:ascii="Garamond" w:hAnsi="Garamond"/>
                <w:lang w:val="es-AR"/>
              </w:rPr>
              <w:t>”) de dicha oferta. Véase “</w:t>
            </w:r>
            <w:r w:rsidRPr="00CA3A3D">
              <w:rPr>
                <w:rFonts w:ascii="Garamond" w:hAnsi="Garamond"/>
                <w:i/>
                <w:lang w:val="es-AR"/>
              </w:rPr>
              <w:t>Plan de Distribución</w:t>
            </w:r>
            <w:r w:rsidRPr="00CA3A3D">
              <w:rPr>
                <w:rFonts w:ascii="Garamond" w:hAnsi="Garamond"/>
                <w:lang w:val="es-AR"/>
              </w:rPr>
              <w:t>”.</w:t>
            </w:r>
          </w:p>
        </w:tc>
      </w:tr>
      <w:tr w:rsidR="00243CF5" w:rsidRPr="00CA0A60" w14:paraId="580429AA" w14:textId="77777777" w:rsidTr="00557592">
        <w:tc>
          <w:tcPr>
            <w:tcW w:w="1654" w:type="dxa"/>
          </w:tcPr>
          <w:p w14:paraId="3CE6AE0C" w14:textId="77777777" w:rsidR="00243CF5" w:rsidRPr="00CA0A60" w:rsidRDefault="00243CF5" w:rsidP="00243CF5">
            <w:pPr>
              <w:pStyle w:val="CellBody"/>
              <w:widowControl w:val="0"/>
              <w:spacing w:before="120" w:after="120" w:line="240" w:lineRule="auto"/>
              <w:rPr>
                <w:rFonts w:ascii="Garamond" w:hAnsi="Garamond"/>
                <w:b/>
                <w:bCs/>
                <w:lang w:val="es-AR"/>
              </w:rPr>
            </w:pPr>
            <w:r w:rsidRPr="00CA0A60">
              <w:rPr>
                <w:rFonts w:ascii="Garamond" w:hAnsi="Garamond"/>
                <w:b/>
                <w:bCs/>
                <w:lang w:val="es-AR"/>
              </w:rPr>
              <w:t>Agentes Colocadores Locales</w:t>
            </w:r>
          </w:p>
        </w:tc>
        <w:tc>
          <w:tcPr>
            <w:tcW w:w="6851" w:type="dxa"/>
          </w:tcPr>
          <w:p w14:paraId="7B39C4AF" w14:textId="15F2BBBA" w:rsidR="00243CF5" w:rsidRPr="00CA3A3D" w:rsidRDefault="00EC28F5" w:rsidP="00CA6CA4">
            <w:pPr>
              <w:pStyle w:val="CellBody"/>
              <w:widowControl w:val="0"/>
              <w:spacing w:before="120" w:after="120" w:line="240" w:lineRule="auto"/>
              <w:jc w:val="both"/>
              <w:rPr>
                <w:rFonts w:ascii="Garamond" w:hAnsi="Garamond"/>
                <w:lang w:val="es-AR"/>
              </w:rPr>
            </w:pPr>
            <w:r w:rsidRPr="00CA0A60">
              <w:rPr>
                <w:rFonts w:ascii="Garamond" w:hAnsi="Garamond"/>
                <w:lang w:val="es-AR"/>
              </w:rPr>
              <w:t>AR Partners S.A., Balanz Capital Valores S.A.U., BACS Banco de Crédito y Securitización S.A., Banco Hipotecario S.A., Banco de Servicios y Transacciones</w:t>
            </w:r>
            <w:r w:rsidR="006F1734" w:rsidRPr="00CA0A60">
              <w:rPr>
                <w:rFonts w:ascii="Garamond" w:hAnsi="Garamond"/>
                <w:lang w:val="es-AR"/>
              </w:rPr>
              <w:t xml:space="preserve"> </w:t>
            </w:r>
            <w:r w:rsidRPr="00CA0A60">
              <w:rPr>
                <w:rFonts w:ascii="Garamond" w:hAnsi="Garamond"/>
                <w:lang w:val="es-AR"/>
              </w:rPr>
              <w:t>S.A., INTL Cibsa S.A. y SBS Trading S.A.</w:t>
            </w:r>
            <w:r w:rsidRPr="00CA3A3D" w:rsidDel="00EC28F5">
              <w:rPr>
                <w:rFonts w:ascii="Garamond" w:hAnsi="Garamond"/>
                <w:lang w:val="es-AR"/>
              </w:rPr>
              <w:t xml:space="preserve"> </w:t>
            </w:r>
          </w:p>
        </w:tc>
      </w:tr>
      <w:tr w:rsidR="00243CF5" w:rsidRPr="00B81D9F" w14:paraId="42ECD273" w14:textId="77777777" w:rsidTr="00557592">
        <w:tc>
          <w:tcPr>
            <w:tcW w:w="1654" w:type="dxa"/>
          </w:tcPr>
          <w:p w14:paraId="4F2CBE9A" w14:textId="209CF940" w:rsidR="00243CF5" w:rsidRPr="00CA0A60" w:rsidRDefault="00243CF5" w:rsidP="0032687B">
            <w:pPr>
              <w:pStyle w:val="CellBody"/>
              <w:widowControl w:val="0"/>
              <w:spacing w:before="120" w:after="120" w:line="240" w:lineRule="auto"/>
              <w:rPr>
                <w:rFonts w:ascii="Garamond" w:hAnsi="Garamond"/>
                <w:b/>
                <w:bCs/>
                <w:lang w:val="es-AR"/>
              </w:rPr>
            </w:pPr>
            <w:r w:rsidRPr="00CA0A60">
              <w:rPr>
                <w:rFonts w:ascii="Garamond" w:hAnsi="Garamond"/>
                <w:b/>
                <w:bCs/>
                <w:lang w:val="es-AR"/>
              </w:rPr>
              <w:t xml:space="preserve">Fiduciario, Agente de Pago, Agente de Transferencia, Agente de Registro, Agente de la Garantía Internacional y </w:t>
            </w:r>
          </w:p>
        </w:tc>
        <w:tc>
          <w:tcPr>
            <w:tcW w:w="6851" w:type="dxa"/>
          </w:tcPr>
          <w:p w14:paraId="2F30B104" w14:textId="77777777" w:rsidR="00243CF5" w:rsidRPr="00A438F1" w:rsidRDefault="000B5BF8" w:rsidP="00DE0516">
            <w:pPr>
              <w:pStyle w:val="CellBody"/>
              <w:widowControl w:val="0"/>
              <w:spacing w:before="120" w:after="120" w:line="240" w:lineRule="auto"/>
              <w:jc w:val="both"/>
              <w:rPr>
                <w:rFonts w:ascii="Garamond" w:hAnsi="Garamond"/>
              </w:rPr>
            </w:pPr>
            <w:r w:rsidRPr="00A438F1">
              <w:rPr>
                <w:rFonts w:ascii="Garamond" w:hAnsi="Garamond"/>
              </w:rPr>
              <w:t>The Bank of New York Mellon</w:t>
            </w:r>
            <w:r w:rsidR="00243CF5" w:rsidRPr="00A438F1">
              <w:rPr>
                <w:rFonts w:ascii="Garamond" w:hAnsi="Garamond"/>
              </w:rPr>
              <w:t>.</w:t>
            </w:r>
          </w:p>
        </w:tc>
      </w:tr>
      <w:tr w:rsidR="00243CF5" w:rsidRPr="00B81D9F" w14:paraId="11501BDE" w14:textId="77777777" w:rsidTr="00557592">
        <w:tc>
          <w:tcPr>
            <w:tcW w:w="1654" w:type="dxa"/>
          </w:tcPr>
          <w:p w14:paraId="785B7F5D" w14:textId="77777777" w:rsidR="00243CF5" w:rsidRPr="00CA0A60" w:rsidRDefault="00243CF5" w:rsidP="00243CF5">
            <w:pPr>
              <w:pStyle w:val="CellBody"/>
              <w:widowControl w:val="0"/>
              <w:spacing w:before="120" w:after="120" w:line="240" w:lineRule="auto"/>
              <w:rPr>
                <w:rFonts w:ascii="Garamond" w:hAnsi="Garamond"/>
                <w:b/>
                <w:bCs/>
                <w:lang w:val="es-AR"/>
              </w:rPr>
            </w:pPr>
            <w:r w:rsidRPr="00CA0A60">
              <w:rPr>
                <w:rFonts w:ascii="Garamond" w:hAnsi="Garamond"/>
                <w:b/>
                <w:bCs/>
                <w:lang w:val="es-AR"/>
              </w:rPr>
              <w:lastRenderedPageBreak/>
              <w:t>Representante del Fiduciario en Argentina</w:t>
            </w:r>
            <w:r w:rsidR="00490F01" w:rsidRPr="00CA0A60">
              <w:rPr>
                <w:rFonts w:ascii="Garamond" w:hAnsi="Garamond"/>
                <w:b/>
                <w:bCs/>
                <w:lang w:val="es-AR"/>
              </w:rPr>
              <w:t>, Co-Agente de Registro, Agente de Pago en Argentina y Agente de Transferencia en Argentina.</w:t>
            </w:r>
            <w:r w:rsidRPr="00CA0A60">
              <w:rPr>
                <w:rFonts w:ascii="Garamond" w:hAnsi="Garamond"/>
                <w:b/>
                <w:bCs/>
                <w:lang w:val="es-AR"/>
              </w:rPr>
              <w:t xml:space="preserve"> </w:t>
            </w:r>
          </w:p>
        </w:tc>
        <w:tc>
          <w:tcPr>
            <w:tcW w:w="6851" w:type="dxa"/>
          </w:tcPr>
          <w:p w14:paraId="3D137D18" w14:textId="77777777" w:rsidR="00243CF5" w:rsidRPr="00A438F1" w:rsidRDefault="000B5BF8" w:rsidP="00243CF5">
            <w:pPr>
              <w:pStyle w:val="CellBody"/>
              <w:widowControl w:val="0"/>
              <w:spacing w:before="120" w:after="120" w:line="240" w:lineRule="auto"/>
              <w:jc w:val="both"/>
              <w:rPr>
                <w:rFonts w:ascii="Garamond" w:hAnsi="Garamond"/>
              </w:rPr>
            </w:pPr>
            <w:r w:rsidRPr="00A438F1">
              <w:rPr>
                <w:rFonts w:ascii="Garamond" w:hAnsi="Garamond"/>
              </w:rPr>
              <w:t>TMF Trust Company (Argentina) S.A.</w:t>
            </w:r>
          </w:p>
        </w:tc>
      </w:tr>
      <w:tr w:rsidR="00243CF5" w:rsidRPr="00B81D9F" w14:paraId="31F99408" w14:textId="77777777" w:rsidTr="00557592">
        <w:tc>
          <w:tcPr>
            <w:tcW w:w="1654" w:type="dxa"/>
          </w:tcPr>
          <w:p w14:paraId="791EF4EA" w14:textId="77777777" w:rsidR="00243CF5" w:rsidRPr="00CA0A60" w:rsidRDefault="00243CF5" w:rsidP="00CA6CA4">
            <w:pPr>
              <w:pStyle w:val="CellBody"/>
              <w:widowControl w:val="0"/>
              <w:spacing w:before="120" w:after="120" w:line="240" w:lineRule="auto"/>
              <w:rPr>
                <w:rFonts w:ascii="Garamond" w:hAnsi="Garamond"/>
                <w:b/>
                <w:bCs/>
                <w:lang w:val="es-AR"/>
              </w:rPr>
            </w:pPr>
            <w:r w:rsidRPr="00CA0A60">
              <w:rPr>
                <w:rFonts w:ascii="Garamond" w:hAnsi="Garamond"/>
                <w:b/>
                <w:bCs/>
                <w:lang w:val="es-AR"/>
              </w:rPr>
              <w:t>Agente de la Garantía Local</w:t>
            </w:r>
            <w:r w:rsidR="00490F01" w:rsidRPr="00CA0A60">
              <w:rPr>
                <w:rFonts w:ascii="Garamond" w:hAnsi="Garamond"/>
                <w:b/>
                <w:bCs/>
                <w:lang w:val="es-AR"/>
              </w:rPr>
              <w:t xml:space="preserve"> y Fiduciario Argentino</w:t>
            </w:r>
          </w:p>
        </w:tc>
        <w:tc>
          <w:tcPr>
            <w:tcW w:w="6851" w:type="dxa"/>
          </w:tcPr>
          <w:p w14:paraId="338077B7" w14:textId="77777777" w:rsidR="00243CF5" w:rsidRPr="00A438F1" w:rsidRDefault="000B5BF8" w:rsidP="00243CF5">
            <w:pPr>
              <w:pStyle w:val="CellBody"/>
              <w:widowControl w:val="0"/>
              <w:spacing w:before="120" w:after="120" w:line="240" w:lineRule="auto"/>
              <w:jc w:val="both"/>
              <w:rPr>
                <w:rFonts w:ascii="Garamond" w:hAnsi="Garamond"/>
              </w:rPr>
            </w:pPr>
            <w:r w:rsidRPr="00A438F1">
              <w:rPr>
                <w:rFonts w:ascii="Garamond" w:hAnsi="Garamond"/>
              </w:rPr>
              <w:t>TMF Trust Company (Argentina) S.A.</w:t>
            </w:r>
          </w:p>
        </w:tc>
      </w:tr>
    </w:tbl>
    <w:p w14:paraId="49E398E2" w14:textId="77777777" w:rsidR="00A539D1" w:rsidRPr="00A438F1" w:rsidRDefault="00A539D1" w:rsidP="005E14F3">
      <w:pPr>
        <w:spacing w:after="0" w:line="240" w:lineRule="auto"/>
        <w:ind w:left="720"/>
        <w:contextualSpacing/>
        <w:rPr>
          <w:rFonts w:ascii="Garamond" w:eastAsia="MS Mincho" w:hAnsi="Garamond" w:cs="Times New Roman"/>
          <w:b/>
          <w:sz w:val="24"/>
          <w:szCs w:val="20"/>
          <w:lang w:val="en-US" w:eastAsia="es-ES"/>
        </w:rPr>
      </w:pPr>
      <w:r w:rsidRPr="00A438F1">
        <w:rPr>
          <w:rFonts w:ascii="Garamond" w:eastAsia="MS Mincho" w:hAnsi="Garamond" w:cs="Times New Roman"/>
          <w:b/>
          <w:sz w:val="20"/>
          <w:szCs w:val="20"/>
          <w:lang w:val="en-US" w:eastAsia="es-ES"/>
        </w:rPr>
        <w:br w:type="page"/>
      </w:r>
    </w:p>
    <w:p w14:paraId="7945C41C" w14:textId="424C5A44" w:rsidR="00354069" w:rsidRPr="00CA0A60" w:rsidRDefault="007C3E5C" w:rsidP="002C15E0">
      <w:pPr>
        <w:widowControl w:val="0"/>
        <w:spacing w:after="0" w:line="240" w:lineRule="auto"/>
        <w:jc w:val="center"/>
        <w:outlineLvl w:val="0"/>
        <w:rPr>
          <w:rFonts w:ascii="Garamond" w:eastAsia="MS Mincho" w:hAnsi="Garamond" w:cs="Times New Roman"/>
          <w:b/>
          <w:sz w:val="24"/>
          <w:szCs w:val="20"/>
          <w:lang w:val="es-AR" w:eastAsia="es-ES"/>
        </w:rPr>
      </w:pPr>
      <w:bookmarkStart w:id="68" w:name="_Toc14922244"/>
      <w:r w:rsidRPr="00CA0A60">
        <w:rPr>
          <w:rFonts w:ascii="Garamond" w:eastAsia="MS Mincho" w:hAnsi="Garamond" w:cs="Times New Roman"/>
          <w:b/>
          <w:sz w:val="24"/>
          <w:szCs w:val="20"/>
          <w:lang w:val="es-AR" w:eastAsia="es-ES"/>
        </w:rPr>
        <w:lastRenderedPageBreak/>
        <w:t>DESCRIPCIÓN DE LA OFERTA Y LA NEGOCIACIÓN</w:t>
      </w:r>
      <w:bookmarkEnd w:id="68"/>
    </w:p>
    <w:p w14:paraId="16287F21" w14:textId="77777777" w:rsidR="00354069" w:rsidRPr="00CA0A60" w:rsidRDefault="00354069" w:rsidP="00354069">
      <w:pPr>
        <w:spacing w:after="0" w:line="240" w:lineRule="auto"/>
        <w:contextualSpacing/>
        <w:rPr>
          <w:rFonts w:ascii="Garamond" w:eastAsia="MS Mincho" w:hAnsi="Garamond" w:cs="Times New Roman"/>
          <w:sz w:val="24"/>
          <w:szCs w:val="20"/>
          <w:lang w:val="es-AR" w:eastAsia="es-ES"/>
        </w:rPr>
      </w:pPr>
    </w:p>
    <w:p w14:paraId="29E370B8" w14:textId="77777777" w:rsidR="00F9294C" w:rsidRPr="00CA0A60" w:rsidRDefault="00F9294C" w:rsidP="00F9294C">
      <w:pPr>
        <w:spacing w:after="0" w:line="240" w:lineRule="auto"/>
        <w:contextualSpacing/>
        <w:rPr>
          <w:rFonts w:ascii="Garamond" w:eastAsia="MS Mincho" w:hAnsi="Garamond" w:cs="Times New Roman"/>
          <w:b/>
          <w:i/>
          <w:szCs w:val="20"/>
          <w:lang w:val="es-AR" w:eastAsia="es-ES"/>
        </w:rPr>
      </w:pPr>
      <w:r w:rsidRPr="00CA0A60">
        <w:rPr>
          <w:rFonts w:ascii="Garamond" w:eastAsia="MS Mincho" w:hAnsi="Garamond" w:cs="Times New Roman"/>
          <w:b/>
          <w:i/>
          <w:szCs w:val="20"/>
          <w:lang w:val="es-AR" w:eastAsia="es-ES"/>
        </w:rPr>
        <w:t>Descripción de las Obligaciones Negociables</w:t>
      </w:r>
    </w:p>
    <w:p w14:paraId="15680336" w14:textId="1C187B88" w:rsidR="00F9294C" w:rsidRPr="00CA0A60" w:rsidRDefault="00F9294C" w:rsidP="00F9294C">
      <w:pPr>
        <w:widowControl w:val="0"/>
        <w:tabs>
          <w:tab w:val="left" w:pos="284"/>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 presente sección describe a las Obligaciones Negociables Clase II, a ser emitidas de conformidad con un contrato de fideicomiso marco a ser celebrado el </w:t>
      </w:r>
      <w:r w:rsidR="00CA6CA4" w:rsidRPr="00CA0A60">
        <w:rPr>
          <w:rFonts w:ascii="Garamond" w:hAnsi="Garamond" w:cs="Times New Roman"/>
          <w:sz w:val="20"/>
          <w:szCs w:val="20"/>
          <w:lang w:val="es-AR"/>
        </w:rPr>
        <w:t>16 de julio</w:t>
      </w:r>
      <w:r w:rsidRPr="00CA0A60">
        <w:rPr>
          <w:rFonts w:ascii="Garamond" w:hAnsi="Garamond" w:cs="Times New Roman"/>
          <w:sz w:val="20"/>
          <w:szCs w:val="20"/>
          <w:lang w:val="es-AR"/>
        </w:rPr>
        <w:t xml:space="preserve"> de 2019, con sus respectivas modificatorias y reordenamientos a la Fecha de Emisión (el “</w:t>
      </w:r>
      <w:r w:rsidRPr="00CA0A60">
        <w:rPr>
          <w:rFonts w:ascii="Garamond" w:hAnsi="Garamond" w:cs="Times New Roman"/>
          <w:sz w:val="20"/>
          <w:szCs w:val="20"/>
          <w:u w:val="single"/>
          <w:lang w:val="es-AR"/>
        </w:rPr>
        <w:t>Contrato de Fideicomiso</w:t>
      </w:r>
      <w:r w:rsidRPr="00CA0A60">
        <w:rPr>
          <w:rFonts w:ascii="Garamond" w:hAnsi="Garamond" w:cs="Times New Roman"/>
          <w:sz w:val="20"/>
          <w:szCs w:val="20"/>
          <w:lang w:val="es-AR"/>
        </w:rPr>
        <w:t>”), entre GEMSA y CTR, en carácter de co-emisoras, ASA, en carácter de garante; The Bank of New York Mellon, en carácter de fiduciario (el “</w:t>
      </w:r>
      <w:r w:rsidRPr="00CA0A60">
        <w:rPr>
          <w:rFonts w:ascii="Garamond" w:hAnsi="Garamond" w:cs="Times New Roman"/>
          <w:sz w:val="20"/>
          <w:szCs w:val="20"/>
          <w:u w:val="single"/>
          <w:lang w:val="es-AR"/>
        </w:rPr>
        <w:t>Fiduciario</w:t>
      </w:r>
      <w:r w:rsidRPr="00CA0A60">
        <w:rPr>
          <w:rFonts w:ascii="Garamond" w:hAnsi="Garamond" w:cs="Times New Roman"/>
          <w:sz w:val="20"/>
          <w:szCs w:val="20"/>
          <w:lang w:val="es-AR"/>
        </w:rPr>
        <w:t>”), agente de registro, agente de pago, agente de transferencia y Agente de Garantía Internacional y TMF Trust Company (Argentina) S.A., en carácter de co-agente de registro</w:t>
      </w:r>
      <w:r w:rsidR="00CA6CA4" w:rsidRPr="00CA0A60">
        <w:rPr>
          <w:rFonts w:ascii="Garamond" w:hAnsi="Garamond" w:cs="Times New Roman"/>
          <w:sz w:val="20"/>
          <w:szCs w:val="20"/>
          <w:lang w:val="es-AR"/>
        </w:rPr>
        <w:t xml:space="preserve"> argentino</w:t>
      </w:r>
      <w:r w:rsidRPr="00CA0A60">
        <w:rPr>
          <w:rFonts w:ascii="Garamond" w:hAnsi="Garamond" w:cs="Times New Roman"/>
          <w:sz w:val="20"/>
          <w:szCs w:val="20"/>
          <w:lang w:val="es-AR"/>
        </w:rPr>
        <w:t xml:space="preserve">, agente de pago argentino, agente de transferencia argentino y representante del </w:t>
      </w:r>
      <w:r w:rsidR="00385BC3">
        <w:rPr>
          <w:rFonts w:ascii="Garamond" w:hAnsi="Garamond" w:cs="Times New Roman"/>
          <w:sz w:val="20"/>
          <w:szCs w:val="20"/>
          <w:lang w:val="es-AR"/>
        </w:rPr>
        <w:t>F</w:t>
      </w:r>
      <w:r w:rsidRPr="00CA0A60">
        <w:rPr>
          <w:rFonts w:ascii="Garamond" w:hAnsi="Garamond" w:cs="Times New Roman"/>
          <w:sz w:val="20"/>
          <w:szCs w:val="20"/>
          <w:lang w:val="es-AR"/>
        </w:rPr>
        <w:t>iduciario, fiduciario argentino y agente de garantía en Argentina (en tal carácter, el “</w:t>
      </w:r>
      <w:r w:rsidRPr="00CA0A60">
        <w:rPr>
          <w:rFonts w:ascii="Garamond" w:hAnsi="Garamond" w:cs="Times New Roman"/>
          <w:sz w:val="20"/>
          <w:szCs w:val="20"/>
          <w:u w:val="single"/>
          <w:lang w:val="es-AR"/>
        </w:rPr>
        <w:t>Agente de Garantía Local</w:t>
      </w:r>
      <w:r w:rsidRPr="00CA0A60">
        <w:rPr>
          <w:rFonts w:ascii="Garamond" w:hAnsi="Garamond" w:cs="Times New Roman"/>
          <w:sz w:val="20"/>
          <w:szCs w:val="20"/>
          <w:lang w:val="es-AR"/>
        </w:rPr>
        <w:t xml:space="preserve">”). Las Co-Emisoras y cada Garante (conforme se define más adelante), serán solidariamente responsables por todas las obligaciones bajo las Obligaciones Negociables Clase II y el Contrato de Fideicomiso. Las Obligaciones Negociables Clase II están sujetas a las disposiciones del Contrato de Fideicomiso. Las Obligaciones Negociables Clase II también tendrán el beneficio de los </w:t>
      </w:r>
      <w:r w:rsidR="00385BC3">
        <w:rPr>
          <w:rFonts w:ascii="Garamond" w:hAnsi="Garamond" w:cs="Times New Roman"/>
          <w:sz w:val="20"/>
          <w:szCs w:val="20"/>
          <w:lang w:val="es-AR"/>
        </w:rPr>
        <w:t xml:space="preserve">Derechos de Garantía, de acuerdo a los </w:t>
      </w:r>
      <w:r w:rsidRPr="00CA0A60">
        <w:rPr>
          <w:rFonts w:ascii="Garamond" w:hAnsi="Garamond" w:cs="Times New Roman"/>
          <w:sz w:val="20"/>
          <w:szCs w:val="20"/>
          <w:lang w:val="es-AR"/>
        </w:rPr>
        <w:t>Documentos de Garantía</w:t>
      </w:r>
      <w:r w:rsidR="00385BC3">
        <w:rPr>
          <w:rFonts w:ascii="Garamond" w:hAnsi="Garamond" w:cs="Times New Roman"/>
          <w:sz w:val="20"/>
          <w:szCs w:val="20"/>
          <w:lang w:val="es-AR"/>
        </w:rPr>
        <w:t>,</w:t>
      </w:r>
      <w:r w:rsidRPr="00CA0A60">
        <w:rPr>
          <w:rFonts w:ascii="Garamond" w:hAnsi="Garamond" w:cs="Times New Roman"/>
          <w:sz w:val="20"/>
          <w:szCs w:val="20"/>
          <w:lang w:val="es-AR"/>
        </w:rPr>
        <w:t xml:space="preserve"> y estarán sujetos a ellos. Los Documentos de Garantía establecen los términos de los acuerdos relativos a los Derechos de Garantía (tal como se definen a continuación) que garantizarán las Obligaciones Negociables.</w:t>
      </w:r>
    </w:p>
    <w:p w14:paraId="524FE337" w14:textId="7247C348" w:rsidR="00F9294C" w:rsidRPr="00CA0A60" w:rsidRDefault="00F9294C" w:rsidP="00F9294C">
      <w:pPr>
        <w:widowControl w:val="0"/>
        <w:tabs>
          <w:tab w:val="left" w:pos="284"/>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esta sección, cuando se hace referencia a las “Co-Emisoras” se entenderá que se hace referencia a GEMSA y CTR, en su calidad de Co-Emisoras en forma individual, y no a sus respectivas subsidiarias. Cuando se haga referencia al “Garante” se entenderá que se hace referencia a Albanesi S.A., en su calidad de garante en forma individual, y no a sus </w:t>
      </w:r>
      <w:r w:rsidR="00385BC3">
        <w:rPr>
          <w:rFonts w:ascii="Garamond" w:hAnsi="Garamond" w:cs="Times New Roman"/>
          <w:sz w:val="20"/>
          <w:szCs w:val="20"/>
          <w:lang w:val="es-AR"/>
        </w:rPr>
        <w:t>S</w:t>
      </w:r>
      <w:r w:rsidRPr="00CA0A60">
        <w:rPr>
          <w:rFonts w:ascii="Garamond" w:hAnsi="Garamond" w:cs="Times New Roman"/>
          <w:sz w:val="20"/>
          <w:szCs w:val="20"/>
          <w:lang w:val="es-AR"/>
        </w:rPr>
        <w:t>ubsidiarias. Cuando se haga referencia a las “Obligaciones Negociables” se entenderá que se hace referencia a las obligaciones negociables emitidas originalmente en la Fecha de Emisión y a las Obligaciones Negociables Adicionales (tal como se definen a continuación), si hubiera, a menos que el contexto requiera lo contrario.</w:t>
      </w:r>
    </w:p>
    <w:p w14:paraId="5DCCA273" w14:textId="6860E026" w:rsidR="00F9294C" w:rsidRPr="00CA0A60" w:rsidRDefault="00F9294C" w:rsidP="00F9294C">
      <w:pPr>
        <w:widowControl w:val="0"/>
        <w:tabs>
          <w:tab w:val="left" w:pos="284"/>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Negociables se emitirán en una transacción que no está sujeta a los requisitos de registro establecidos por la Ley de Títulos Valores Estadounidense o las leyes estaduales en materia de títulos valores de los Estados Unidos. Las Co-Emisoras no serán requeridas, ni éstas tienen actualmente la intención de realizar, canje de las Obligaciones Negociables por obligaciones negociables registradas conforme la Ley de Títulos Valores Estadounidense o registrarlas para su reventa según la Ley de Títulos Valores Estadounidense. El Contrato de Fideicomiso no reunirá los requisitos según la Ley de Contratos de Fideicomiso de 1939 de los Estados Unidos, y sus modificatorias, y no estará sujeto a los términos de dicha Ley de Contratos de Fideicomiso de 1939 de los Estados Unidos, y sus modificatorias. Por lo tanto, los términos de las obligaciones negociables sólo incluyen aquellos establecidos en el Contrato de Fideicomiso y los Documentos de Garantía.</w:t>
      </w:r>
    </w:p>
    <w:p w14:paraId="0E80FE15" w14:textId="77777777" w:rsidR="00F9294C" w:rsidRPr="00CA0A60" w:rsidRDefault="00F9294C" w:rsidP="00F9294C">
      <w:pPr>
        <w:widowControl w:val="0"/>
        <w:tabs>
          <w:tab w:val="left" w:pos="284"/>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oferta de las Obligaciones Negociables se compondrá de: (a) una oferta al público en Argentina; y (b) una oferta fuera de Argentina no sujeta a los requisitos de registro de la Ley de Títulos Valores Estadounidense (i) en los Estados Unidos, a ciertos “inversores acreditados” institucionales (según se definen en la Regla 501(a) bajo la Regulación D (“</w:t>
      </w:r>
      <w:r w:rsidRPr="00CA0A60">
        <w:rPr>
          <w:rFonts w:ascii="Garamond" w:hAnsi="Garamond" w:cs="Times New Roman"/>
          <w:sz w:val="20"/>
          <w:szCs w:val="20"/>
          <w:u w:val="single"/>
          <w:lang w:val="es-AR"/>
        </w:rPr>
        <w:t>Regulación D</w:t>
      </w:r>
      <w:r w:rsidRPr="00CA0A60">
        <w:rPr>
          <w:rFonts w:ascii="Garamond" w:hAnsi="Garamond" w:cs="Times New Roman"/>
          <w:sz w:val="20"/>
          <w:szCs w:val="20"/>
          <w:lang w:val="es-AR"/>
        </w:rPr>
        <w:t>”) bajo la Ley de Títulos Valores Estadounidense) que también sean inversores institucionales calificados (“</w:t>
      </w:r>
      <w:r w:rsidRPr="00CA0A60">
        <w:rPr>
          <w:rFonts w:ascii="Garamond" w:hAnsi="Garamond" w:cs="Times New Roman"/>
          <w:i/>
          <w:sz w:val="20"/>
          <w:szCs w:val="20"/>
          <w:lang w:val="es-AR"/>
        </w:rPr>
        <w:t>qualified institutional buyers”</w:t>
      </w:r>
      <w:r w:rsidRPr="00CA0A60">
        <w:rPr>
          <w:rFonts w:ascii="Garamond" w:hAnsi="Garamond" w:cs="Times New Roman"/>
          <w:sz w:val="20"/>
          <w:szCs w:val="20"/>
          <w:lang w:val="es-AR"/>
        </w:rPr>
        <w:t>), conforme se define en la Regla 144A de la Ley de Títulos Valores Estadounidense, en base a la excepción de los requisitos de registro de la Ley de Títulos Valores Estadounidense establecida por el Artículo 4(a)(2); y (ii) fuera de Estados Unidos y Argentina, a personas no estadounidenses conforme a la Regulación S (“</w:t>
      </w:r>
      <w:r w:rsidRPr="00CA0A60">
        <w:rPr>
          <w:rFonts w:ascii="Garamond" w:hAnsi="Garamond" w:cs="Times New Roman"/>
          <w:sz w:val="20"/>
          <w:szCs w:val="20"/>
          <w:u w:val="single"/>
          <w:lang w:val="es-AR"/>
        </w:rPr>
        <w:t>Regulación S</w:t>
      </w:r>
      <w:r w:rsidRPr="00CA0A60">
        <w:rPr>
          <w:rFonts w:ascii="Garamond" w:hAnsi="Garamond" w:cs="Times New Roman"/>
          <w:sz w:val="20"/>
          <w:szCs w:val="20"/>
          <w:lang w:val="es-AR"/>
        </w:rPr>
        <w:t>”) de la Ley de Títulos Valores Estadounidense.</w:t>
      </w:r>
    </w:p>
    <w:p w14:paraId="05A0191D" w14:textId="31E8F46C" w:rsidR="00F9294C" w:rsidRPr="00CA0A60" w:rsidRDefault="00F9294C" w:rsidP="00F9294C">
      <w:pPr>
        <w:widowControl w:val="0"/>
        <w:tabs>
          <w:tab w:val="left" w:pos="284"/>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Se ha presentado una solicitud para que las Obligaciones Negociables se listen en BYMA y sean admitidas para negociación en MAE. Las Obligaciones Negociables serán obligaciones negociables simples no convertibles en acciones según la Ley de Obligaciones Negociables, se emitirán y colocarán de conformidad con dicha ley, la Ley de Financiamiento Productivo de Argentina N° 27.440, con sus modificatorias (la “</w:t>
      </w:r>
      <w:r w:rsidRPr="00CA0A60">
        <w:rPr>
          <w:rFonts w:ascii="Garamond" w:hAnsi="Garamond" w:cs="Times New Roman"/>
          <w:sz w:val="20"/>
          <w:szCs w:val="20"/>
          <w:u w:val="single"/>
          <w:lang w:val="es-AR"/>
        </w:rPr>
        <w:t>Ley de Financiamiento Productivo de Argentina</w:t>
      </w:r>
      <w:r w:rsidRPr="00CA0A60">
        <w:rPr>
          <w:rFonts w:ascii="Garamond" w:hAnsi="Garamond" w:cs="Times New Roman"/>
          <w:sz w:val="20"/>
          <w:szCs w:val="20"/>
          <w:lang w:val="es-AR"/>
        </w:rPr>
        <w:t>”), la Ley de Mercado de Capitales, el Decreto N° 1023/2013 que reglamenta la Ley de Mercado de Capitales, con sus modificatorias y complementarias, y las normas y reglamentaciones aplicables emitidas por la CNV, entre ellas la Resolución General N°622/0213, con sus modificatorias y complementarias, gozarán de los beneficios y estarán sujetas a los requisitos procesales establecidos en dichas normas.</w:t>
      </w:r>
    </w:p>
    <w:p w14:paraId="69F02AD3" w14:textId="6783FD8D" w:rsidR="00F9294C" w:rsidRPr="00CA0A60" w:rsidRDefault="00F9294C" w:rsidP="00F9294C">
      <w:pPr>
        <w:widowControl w:val="0"/>
        <w:tabs>
          <w:tab w:val="left" w:pos="284"/>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Obligaciones Negociables se emitirán como la Clase II bajo el Programa. La creación del Programa fue autorizada por resoluciones de las asambleas de accionistas de cada una de las Co-Emisoras de fechas 8 de agosto de 2017, y aprobada por la CNV de acuerdo con la Resolución N°RESFC-2017-18947-APN-DIR#CNV de fecha 26 de septiembre de 2017. La ampliación del Programa fue autorizada por resoluciones de las asambleas de accionistas de cada una de las Co-Emisoras de fechas 4 de febrero de 2019, y aprobada por la CNV de acuerdo con la Resolución N° RESFC-2019-20111-APN-DIR#CNV de fecha 8 de marzo de 2019. La emisión de las Obligaciones Negociables fue aprobada por resolución del directorio de cada una de las Co-Emisoras de fechas </w:t>
      </w:r>
      <w:r w:rsidR="00CA6CA4" w:rsidRPr="00CA0A60">
        <w:rPr>
          <w:rFonts w:ascii="Garamond" w:hAnsi="Garamond" w:cs="Times New Roman"/>
          <w:sz w:val="20"/>
          <w:szCs w:val="20"/>
          <w:lang w:val="es-AR"/>
        </w:rPr>
        <w:t>16</w:t>
      </w:r>
      <w:r w:rsidRPr="00CA0A60">
        <w:rPr>
          <w:rFonts w:ascii="Garamond" w:hAnsi="Garamond" w:cs="Times New Roman"/>
          <w:sz w:val="20"/>
          <w:szCs w:val="20"/>
          <w:lang w:val="es-AR"/>
        </w:rPr>
        <w:t xml:space="preserve"> de </w:t>
      </w:r>
      <w:r w:rsidR="00FB1CE5" w:rsidRPr="00CA0A60">
        <w:rPr>
          <w:rFonts w:ascii="Garamond" w:hAnsi="Garamond" w:cs="Times New Roman"/>
          <w:sz w:val="20"/>
          <w:szCs w:val="20"/>
          <w:lang w:val="es-AR"/>
        </w:rPr>
        <w:t>julio</w:t>
      </w:r>
      <w:r w:rsidRPr="00CA0A60">
        <w:rPr>
          <w:rFonts w:ascii="Garamond" w:hAnsi="Garamond" w:cs="Times New Roman"/>
          <w:sz w:val="20"/>
          <w:szCs w:val="20"/>
          <w:lang w:val="es-AR"/>
        </w:rPr>
        <w:t xml:space="preserve"> de 2019, de acuerdo con las facultades delegadas a los directorios de las Co-</w:t>
      </w:r>
      <w:r w:rsidRPr="00CA0A60">
        <w:rPr>
          <w:rFonts w:ascii="Garamond" w:hAnsi="Garamond" w:cs="Times New Roman"/>
          <w:sz w:val="20"/>
          <w:szCs w:val="20"/>
          <w:lang w:val="es-AR"/>
        </w:rPr>
        <w:lastRenderedPageBreak/>
        <w:t xml:space="preserve">Emisoras en la respectiva asamblea de accionistas de cada una de las Co-Emisoras celebrada el </w:t>
      </w:r>
      <w:r w:rsidR="00CA6CA4" w:rsidRPr="00CA0A60">
        <w:rPr>
          <w:rFonts w:ascii="Garamond" w:hAnsi="Garamond" w:cs="Times New Roman"/>
          <w:sz w:val="20"/>
          <w:szCs w:val="20"/>
          <w:lang w:val="es-AR"/>
        </w:rPr>
        <w:t>4</w:t>
      </w:r>
      <w:r w:rsidRPr="00CA0A60">
        <w:rPr>
          <w:rFonts w:ascii="Garamond" w:hAnsi="Garamond" w:cs="Times New Roman"/>
          <w:sz w:val="20"/>
          <w:szCs w:val="20"/>
          <w:lang w:val="es-AR"/>
        </w:rPr>
        <w:t xml:space="preserve"> de </w:t>
      </w:r>
      <w:r w:rsidR="00CA6CA4" w:rsidRPr="00CA0A60">
        <w:rPr>
          <w:rFonts w:ascii="Garamond" w:hAnsi="Garamond" w:cs="Times New Roman"/>
          <w:sz w:val="20"/>
          <w:szCs w:val="20"/>
          <w:lang w:val="es-AR"/>
        </w:rPr>
        <w:t>febrero</w:t>
      </w:r>
      <w:r w:rsidRPr="00CA0A60">
        <w:rPr>
          <w:rFonts w:ascii="Garamond" w:hAnsi="Garamond" w:cs="Times New Roman"/>
          <w:sz w:val="20"/>
          <w:szCs w:val="20"/>
          <w:lang w:val="es-AR"/>
        </w:rPr>
        <w:t xml:space="preserve"> de 2019. La Garantía de ASA fue aprobada por reunión de Directorio del Garante celebrada el </w:t>
      </w:r>
      <w:r w:rsidR="00D26420" w:rsidRPr="00CA0A60">
        <w:rPr>
          <w:rFonts w:ascii="Garamond" w:hAnsi="Garamond" w:cs="Times New Roman"/>
          <w:sz w:val="20"/>
          <w:szCs w:val="20"/>
          <w:lang w:val="es-AR"/>
        </w:rPr>
        <w:t>16</w:t>
      </w:r>
      <w:r w:rsidRPr="00CA0A60">
        <w:rPr>
          <w:rFonts w:ascii="Garamond" w:hAnsi="Garamond" w:cs="Times New Roman"/>
          <w:sz w:val="20"/>
          <w:szCs w:val="20"/>
          <w:lang w:val="es-AR"/>
        </w:rPr>
        <w:t xml:space="preserve"> de </w:t>
      </w:r>
      <w:r w:rsidR="00FB1CE5" w:rsidRPr="00CA0A60">
        <w:rPr>
          <w:rFonts w:ascii="Garamond" w:hAnsi="Garamond" w:cs="Times New Roman"/>
          <w:sz w:val="20"/>
          <w:szCs w:val="20"/>
          <w:lang w:val="es-AR"/>
        </w:rPr>
        <w:t xml:space="preserve">julio </w:t>
      </w:r>
      <w:r w:rsidRPr="00CA0A60">
        <w:rPr>
          <w:rFonts w:ascii="Garamond" w:hAnsi="Garamond" w:cs="Times New Roman"/>
          <w:sz w:val="20"/>
          <w:szCs w:val="20"/>
          <w:lang w:val="es-AR"/>
        </w:rPr>
        <w:t>de 2019.</w:t>
      </w:r>
    </w:p>
    <w:p w14:paraId="3DA7D0D2" w14:textId="77777777" w:rsidR="00F9294C" w:rsidRPr="00CA0A60" w:rsidRDefault="00F9294C" w:rsidP="00F9294C">
      <w:pPr>
        <w:widowControl w:val="0"/>
        <w:tabs>
          <w:tab w:val="left" w:pos="284"/>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tenedor registrado de una Obligación Negociable (un “</w:t>
      </w:r>
      <w:r w:rsidRPr="00CA0A60">
        <w:rPr>
          <w:rFonts w:ascii="Garamond" w:hAnsi="Garamond" w:cs="Times New Roman"/>
          <w:sz w:val="20"/>
          <w:szCs w:val="20"/>
          <w:u w:val="single"/>
          <w:lang w:val="es-AR"/>
        </w:rPr>
        <w:t>Tenedor</w:t>
      </w:r>
      <w:r w:rsidRPr="00CA0A60">
        <w:rPr>
          <w:rFonts w:ascii="Garamond" w:hAnsi="Garamond" w:cs="Times New Roman"/>
          <w:sz w:val="20"/>
          <w:szCs w:val="20"/>
          <w:lang w:val="es-AR"/>
        </w:rPr>
        <w:t>”) será considerado el titular de las Obligaciones Negociables a todos los fines. Sólo los Tenedores registrados tendrán derechos en virtud del Contrato de Fideicomiso. Según se describe en la sección “</w:t>
      </w:r>
      <w:r w:rsidRPr="00CA0A60">
        <w:rPr>
          <w:rFonts w:ascii="Garamond" w:hAnsi="Garamond" w:cs="Times New Roman"/>
          <w:i/>
          <w:sz w:val="20"/>
          <w:szCs w:val="20"/>
          <w:lang w:val="es-AR"/>
        </w:rPr>
        <w:t>Forma de las Obligaciones Negociables, Denominación y Registro</w:t>
      </w:r>
      <w:r w:rsidRPr="00CA0A60">
        <w:rPr>
          <w:rFonts w:ascii="Garamond" w:hAnsi="Garamond" w:cs="Times New Roman"/>
          <w:sz w:val="20"/>
          <w:szCs w:val="20"/>
          <w:lang w:val="es-AR"/>
        </w:rPr>
        <w:t>”, las Obligaciones Negociables se emitirán inicialmente en formato global y, excepto en los casos descriptos en esa sección, DTC o su representante designado, será el único Tenedor registrado de las Obligaciones Negociables.</w:t>
      </w:r>
    </w:p>
    <w:p w14:paraId="6A02DEE7" w14:textId="0B366EA3" w:rsidR="00F9294C" w:rsidRPr="00CA0A60" w:rsidRDefault="00F9294C" w:rsidP="00F9294C">
      <w:pPr>
        <w:widowControl w:val="0"/>
        <w:tabs>
          <w:tab w:val="left" w:pos="284"/>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Tenedores tendrán derecho a los beneficios de todas las disposiciones del Contrato de Fideicomiso y los Documentos de Garantía, estarán obligados por ellos y se entenderá que han sido notificados de todas sus disposiciones. Lo que sigue es un resumen de las disposiciones esenciales del Contrato de Fideicomiso y los Documentos de Garantía, y no pretende ser completo y califica en su totalidad por referencia a las disposiciones del Contrato de Fideicomiso y los Documentos de Garantía. Al ser un resumen, es posible que no contenga toda la información de importancia para los inversores. Los inversores deberán leer el Contrato de Fideicomiso y los Documentos de Garantía en su totalidad ya que es allí, y no en esta “</w:t>
      </w:r>
      <w:r w:rsidRPr="00CA0A60">
        <w:rPr>
          <w:rFonts w:ascii="Garamond" w:hAnsi="Garamond" w:cs="Times New Roman"/>
          <w:i/>
          <w:sz w:val="20"/>
          <w:szCs w:val="20"/>
          <w:lang w:val="es-AR"/>
        </w:rPr>
        <w:t>Descripción de las Obligaciones Negociables</w:t>
      </w:r>
      <w:r w:rsidRPr="00CA0A60">
        <w:rPr>
          <w:rFonts w:ascii="Garamond" w:hAnsi="Garamond" w:cs="Times New Roman"/>
          <w:sz w:val="20"/>
          <w:szCs w:val="20"/>
          <w:lang w:val="es-AR"/>
        </w:rPr>
        <w:t xml:space="preserve">”, </w:t>
      </w:r>
      <w:r w:rsidR="00385BC3">
        <w:rPr>
          <w:rFonts w:ascii="Garamond" w:hAnsi="Garamond" w:cs="Times New Roman"/>
          <w:sz w:val="20"/>
          <w:szCs w:val="20"/>
          <w:lang w:val="es-AR"/>
        </w:rPr>
        <w:t xml:space="preserve">es </w:t>
      </w:r>
      <w:r w:rsidRPr="00CA0A60">
        <w:rPr>
          <w:rFonts w:ascii="Garamond" w:hAnsi="Garamond" w:cs="Times New Roman"/>
          <w:sz w:val="20"/>
          <w:szCs w:val="20"/>
          <w:lang w:val="es-AR"/>
        </w:rPr>
        <w:t>donde se definen sus derechos como Tenedor de las Obligaciones Negociables</w:t>
      </w:r>
      <w:r w:rsidR="00385BC3">
        <w:rPr>
          <w:rFonts w:ascii="Garamond" w:hAnsi="Garamond" w:cs="Times New Roman"/>
          <w:sz w:val="20"/>
          <w:szCs w:val="20"/>
          <w:lang w:val="es-AR"/>
        </w:rPr>
        <w:t xml:space="preserve"> y beneficiarios de los Derechos de Garantía</w:t>
      </w:r>
      <w:r w:rsidRPr="00CA0A60">
        <w:rPr>
          <w:rFonts w:ascii="Garamond" w:hAnsi="Garamond" w:cs="Times New Roman"/>
          <w:sz w:val="20"/>
          <w:szCs w:val="20"/>
          <w:lang w:val="es-AR"/>
        </w:rPr>
        <w:t xml:space="preserve">. </w:t>
      </w:r>
    </w:p>
    <w:p w14:paraId="0B2E433A" w14:textId="77777777" w:rsidR="00F9294C" w:rsidRPr="00CA0A60" w:rsidRDefault="00F9294C" w:rsidP="00F9294C">
      <w:pPr>
        <w:widowControl w:val="0"/>
        <w:tabs>
          <w:tab w:val="left" w:pos="284"/>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definiciones de ciertos términos que se utilizan en esta “</w:t>
      </w:r>
      <w:r w:rsidRPr="00CA0A60">
        <w:rPr>
          <w:rFonts w:ascii="Garamond" w:hAnsi="Garamond" w:cs="Times New Roman"/>
          <w:i/>
          <w:sz w:val="20"/>
          <w:szCs w:val="20"/>
          <w:lang w:val="es-AR"/>
        </w:rPr>
        <w:t>Descripción de las Obligaciones Negociables</w:t>
      </w:r>
      <w:r w:rsidRPr="00CA0A60">
        <w:rPr>
          <w:rFonts w:ascii="Garamond" w:hAnsi="Garamond" w:cs="Times New Roman"/>
          <w:sz w:val="20"/>
          <w:szCs w:val="20"/>
          <w:lang w:val="es-AR"/>
        </w:rPr>
        <w:t>” se pueden encontrar en “</w:t>
      </w:r>
      <w:r w:rsidRPr="00CA0A60">
        <w:rPr>
          <w:rFonts w:ascii="Garamond" w:hAnsi="Garamond" w:cs="Times New Roman"/>
          <w:i/>
          <w:sz w:val="20"/>
          <w:szCs w:val="20"/>
          <w:lang w:val="es-AR"/>
        </w:rPr>
        <w:t>Ciertas Definiciones</w:t>
      </w:r>
      <w:r w:rsidRPr="00CA0A60">
        <w:rPr>
          <w:rFonts w:ascii="Garamond" w:hAnsi="Garamond" w:cs="Times New Roman"/>
          <w:sz w:val="20"/>
          <w:szCs w:val="20"/>
          <w:lang w:val="es-AR"/>
        </w:rPr>
        <w:t>”. Los términos en mayúscula definidos a continuación en “</w:t>
      </w:r>
      <w:r w:rsidRPr="00CA0A60">
        <w:rPr>
          <w:rFonts w:ascii="Garamond" w:hAnsi="Garamond" w:cs="Times New Roman"/>
          <w:i/>
          <w:sz w:val="20"/>
          <w:szCs w:val="20"/>
          <w:lang w:val="es-AR"/>
        </w:rPr>
        <w:t>Ciertas Definiciones</w:t>
      </w:r>
      <w:r w:rsidRPr="00CA0A60">
        <w:rPr>
          <w:rFonts w:ascii="Garamond" w:hAnsi="Garamond" w:cs="Times New Roman"/>
          <w:sz w:val="20"/>
          <w:szCs w:val="20"/>
          <w:lang w:val="es-AR"/>
        </w:rPr>
        <w:t>” se utilizan en esta “</w:t>
      </w:r>
      <w:r w:rsidRPr="00CA0A60">
        <w:rPr>
          <w:rFonts w:ascii="Garamond" w:hAnsi="Garamond" w:cs="Times New Roman"/>
          <w:i/>
          <w:sz w:val="20"/>
          <w:szCs w:val="20"/>
          <w:lang w:val="es-AR"/>
        </w:rPr>
        <w:t>Descripción de las Obligaciones Negociables</w:t>
      </w:r>
      <w:r w:rsidRPr="00CA0A60">
        <w:rPr>
          <w:rFonts w:ascii="Garamond" w:hAnsi="Garamond" w:cs="Times New Roman"/>
          <w:sz w:val="20"/>
          <w:szCs w:val="20"/>
          <w:lang w:val="es-AR"/>
        </w:rPr>
        <w:t>” del modo en que allí se definen.</w:t>
      </w:r>
    </w:p>
    <w:p w14:paraId="1882B3EA" w14:textId="77777777" w:rsidR="00FB1CE5" w:rsidRPr="00CA0A60" w:rsidRDefault="00FB1CE5" w:rsidP="00FB1CE5">
      <w:pPr>
        <w:tabs>
          <w:tab w:val="left" w:pos="284"/>
          <w:tab w:val="left" w:pos="8789"/>
        </w:tabs>
        <w:spacing w:before="120" w:after="120" w:line="240" w:lineRule="auto"/>
        <w:jc w:val="both"/>
        <w:rPr>
          <w:rFonts w:ascii="Garamond" w:hAnsi="Garamond" w:cs="Times New Roman"/>
          <w:b/>
          <w:i/>
          <w:sz w:val="20"/>
          <w:szCs w:val="20"/>
          <w:lang w:val="es-AR"/>
        </w:rPr>
      </w:pPr>
      <w:bookmarkStart w:id="69" w:name="bookmark151"/>
      <w:r w:rsidRPr="00CA0A60">
        <w:rPr>
          <w:rFonts w:ascii="Garamond" w:hAnsi="Garamond" w:cs="Times New Roman"/>
          <w:b/>
          <w:i/>
          <w:sz w:val="20"/>
          <w:szCs w:val="20"/>
          <w:lang w:val="es-AR"/>
        </w:rPr>
        <w:t>Consideraciones G</w:t>
      </w:r>
      <w:r w:rsidRPr="00CA0A60">
        <w:rPr>
          <w:rFonts w:ascii="Garamond" w:hAnsi="Garamond" w:cs="Times New Roman"/>
          <w:b/>
          <w:bCs/>
          <w:i/>
          <w:iCs/>
          <w:color w:val="000000"/>
          <w:sz w:val="20"/>
          <w:szCs w:val="20"/>
          <w:lang w:val="es-AR" w:eastAsia="es-ES" w:bidi="es-ES"/>
        </w:rPr>
        <w:t>e</w:t>
      </w:r>
      <w:r w:rsidRPr="00CA0A60">
        <w:rPr>
          <w:rFonts w:ascii="Garamond" w:hAnsi="Garamond" w:cs="Times New Roman"/>
          <w:b/>
          <w:i/>
          <w:sz w:val="20"/>
          <w:szCs w:val="20"/>
          <w:lang w:val="es-AR"/>
        </w:rPr>
        <w:t>nerales</w:t>
      </w:r>
      <w:bookmarkEnd w:id="69"/>
    </w:p>
    <w:p w14:paraId="693CE961" w14:textId="77777777" w:rsidR="00FB1CE5" w:rsidRPr="00CA0A60" w:rsidRDefault="00FB1CE5" w:rsidP="00FB1CE5">
      <w:pPr>
        <w:widowControl w:val="0"/>
        <w:tabs>
          <w:tab w:val="left" w:pos="284"/>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Negociables:</w:t>
      </w:r>
    </w:p>
    <w:p w14:paraId="60D2121E" w14:textId="77777777" w:rsidR="00FB1CE5" w:rsidRPr="00CA0A60" w:rsidRDefault="00FB1CE5" w:rsidP="00FB1CE5">
      <w:pPr>
        <w:widowControl w:val="0"/>
        <w:numPr>
          <w:ilvl w:val="0"/>
          <w:numId w:val="70"/>
        </w:numPr>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serán obligaciones solidarias de las Co-Emisoras,</w:t>
      </w:r>
    </w:p>
    <w:p w14:paraId="760DE79B" w14:textId="77777777" w:rsidR="00FB1CE5" w:rsidRPr="00CA0A60" w:rsidRDefault="00FB1CE5" w:rsidP="00FB1CE5">
      <w:pPr>
        <w:widowControl w:val="0"/>
        <w:numPr>
          <w:ilvl w:val="0"/>
          <w:numId w:val="70"/>
        </w:numPr>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constituirán obligaciones directas, incondicionales y no subordinadas de las Co-Emisoras;</w:t>
      </w:r>
    </w:p>
    <w:p w14:paraId="0E7B15EE" w14:textId="02817F1D" w:rsidR="00FB1CE5" w:rsidRPr="00CA0A60" w:rsidRDefault="00FB1CE5" w:rsidP="00FB1CE5">
      <w:pPr>
        <w:widowControl w:val="0"/>
        <w:numPr>
          <w:ilvl w:val="0"/>
          <w:numId w:val="70"/>
        </w:numPr>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estarán solidariamente </w:t>
      </w:r>
      <w:r w:rsidR="00D26420" w:rsidRPr="00CA0A60">
        <w:rPr>
          <w:rFonts w:ascii="Garamond" w:hAnsi="Garamond" w:cs="Times New Roman"/>
          <w:sz w:val="20"/>
          <w:szCs w:val="20"/>
          <w:lang w:val="es-AR"/>
        </w:rPr>
        <w:t xml:space="preserve">afianzadas </w:t>
      </w:r>
      <w:r w:rsidRPr="00CA0A60">
        <w:rPr>
          <w:rFonts w:ascii="Garamond" w:hAnsi="Garamond" w:cs="Times New Roman"/>
          <w:sz w:val="20"/>
          <w:szCs w:val="20"/>
          <w:lang w:val="es-AR"/>
        </w:rPr>
        <w:t>por el Garante en forma no subordinada,</w:t>
      </w:r>
    </w:p>
    <w:p w14:paraId="2304FF3D" w14:textId="4DA2FA17" w:rsidR="00FB1CE5" w:rsidRPr="00CA0A60" w:rsidRDefault="00FB1CE5" w:rsidP="00FB1CE5">
      <w:pPr>
        <w:widowControl w:val="0"/>
        <w:numPr>
          <w:ilvl w:val="0"/>
          <w:numId w:val="70"/>
        </w:numPr>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con respecto a los Derechos de Garantía (según se definen más adelante), estarán garantizados por un </w:t>
      </w:r>
      <w:r w:rsidR="00E01024" w:rsidRPr="00CA0A60">
        <w:rPr>
          <w:rFonts w:ascii="Garamond" w:hAnsi="Garamond" w:cs="Times New Roman"/>
          <w:sz w:val="20"/>
          <w:szCs w:val="20"/>
          <w:lang w:val="es-AR"/>
        </w:rPr>
        <w:t>Gravamen</w:t>
      </w:r>
      <w:r w:rsidRPr="00CA0A60">
        <w:rPr>
          <w:rFonts w:ascii="Garamond" w:hAnsi="Garamond" w:cs="Times New Roman"/>
          <w:sz w:val="20"/>
          <w:szCs w:val="20"/>
          <w:lang w:val="es-AR"/>
        </w:rPr>
        <w:t xml:space="preserve"> en primer grado de privilegio constituido sobre esos Derechos de Garantía por hasta un monto igual al valor de esos Derechos de Garantía (sujeto a las disposiciones descriptas bajo el título “</w:t>
      </w:r>
      <w:r w:rsidRPr="00CA0A60">
        <w:rPr>
          <w:rFonts w:ascii="Garamond" w:hAnsi="Garamond" w:cs="Times New Roman"/>
          <w:i/>
          <w:sz w:val="20"/>
          <w:szCs w:val="20"/>
          <w:lang w:val="es-AR"/>
        </w:rPr>
        <w:t>Derechos de Garantía—Limitaciones a los Derechos de Garantía</w:t>
      </w:r>
      <w:r w:rsidRPr="00CA0A60">
        <w:rPr>
          <w:rFonts w:ascii="Garamond" w:hAnsi="Garamond" w:cs="Times New Roman"/>
          <w:sz w:val="20"/>
          <w:szCs w:val="20"/>
          <w:lang w:val="es-AR"/>
        </w:rPr>
        <w:t xml:space="preserve">”); quedando establecido que (i) con respecto a los Equipos de Siemens (tal como se definen más adelante) el </w:t>
      </w:r>
      <w:r w:rsidR="00E01024" w:rsidRPr="00CA0A60">
        <w:rPr>
          <w:rFonts w:ascii="Garamond" w:hAnsi="Garamond" w:cs="Times New Roman"/>
          <w:sz w:val="20"/>
          <w:szCs w:val="20"/>
          <w:lang w:val="es-AR"/>
        </w:rPr>
        <w:t>Gravamen</w:t>
      </w:r>
      <w:r w:rsidRPr="00CA0A60">
        <w:rPr>
          <w:rFonts w:ascii="Garamond" w:hAnsi="Garamond" w:cs="Times New Roman"/>
          <w:sz w:val="20"/>
          <w:szCs w:val="20"/>
          <w:lang w:val="es-AR"/>
        </w:rPr>
        <w:t xml:space="preserve"> sobre los mismos será inicialmente un </w:t>
      </w:r>
      <w:r w:rsidR="00E01024" w:rsidRPr="00CA0A60">
        <w:rPr>
          <w:rFonts w:ascii="Garamond" w:hAnsi="Garamond" w:cs="Times New Roman"/>
          <w:sz w:val="20"/>
          <w:szCs w:val="20"/>
          <w:lang w:val="es-AR"/>
        </w:rPr>
        <w:t>Gravamen</w:t>
      </w:r>
      <w:r w:rsidRPr="00CA0A60">
        <w:rPr>
          <w:rFonts w:ascii="Garamond" w:hAnsi="Garamond" w:cs="Times New Roman"/>
          <w:sz w:val="20"/>
          <w:szCs w:val="20"/>
          <w:lang w:val="es-AR"/>
        </w:rPr>
        <w:t xml:space="preserve"> en segundo grado de privilegio y se convertirá </w:t>
      </w:r>
      <w:r w:rsidR="00995278" w:rsidRPr="00CA0A60">
        <w:rPr>
          <w:rFonts w:ascii="Garamond" w:hAnsi="Garamond" w:cs="Times New Roman"/>
          <w:sz w:val="20"/>
          <w:szCs w:val="20"/>
          <w:lang w:val="es-AR"/>
        </w:rPr>
        <w:t xml:space="preserve">automáticamente </w:t>
      </w:r>
      <w:r w:rsidRPr="00CA0A60">
        <w:rPr>
          <w:rFonts w:ascii="Garamond" w:hAnsi="Garamond" w:cs="Times New Roman"/>
          <w:sz w:val="20"/>
          <w:szCs w:val="20"/>
          <w:lang w:val="es-AR"/>
        </w:rPr>
        <w:t>en un Gravamen en primer grado de privilegio</w:t>
      </w:r>
      <w:r w:rsidR="00995278" w:rsidRPr="00CA0A60">
        <w:rPr>
          <w:rFonts w:ascii="Garamond" w:hAnsi="Garamond" w:cs="Times New Roman"/>
          <w:sz w:val="20"/>
          <w:szCs w:val="20"/>
          <w:lang w:val="es-AR"/>
        </w:rPr>
        <w:t xml:space="preserve"> después de la cancelación total de la Deuda de Siemens en la Fecha de Emisión con los fondos obtenidos de las Obligaciones Negociables</w:t>
      </w:r>
      <w:r w:rsidRPr="00CA0A60">
        <w:rPr>
          <w:rFonts w:ascii="Garamond" w:hAnsi="Garamond" w:cs="Times New Roman"/>
          <w:sz w:val="20"/>
          <w:szCs w:val="20"/>
          <w:lang w:val="es-AR"/>
        </w:rPr>
        <w:t xml:space="preserve">, y (ii) con respecto a los CCEE de Siemens (tal como se definen más adelante) </w:t>
      </w:r>
      <w:r w:rsidR="00995278" w:rsidRPr="00CA0A60">
        <w:rPr>
          <w:rFonts w:ascii="Garamond" w:hAnsi="Garamond" w:cs="Times New Roman"/>
          <w:sz w:val="20"/>
          <w:szCs w:val="20"/>
          <w:lang w:val="es-AR"/>
        </w:rPr>
        <w:t>la cesión</w:t>
      </w:r>
      <w:r w:rsidRPr="00CA0A60">
        <w:rPr>
          <w:rFonts w:ascii="Garamond" w:hAnsi="Garamond" w:cs="Times New Roman"/>
          <w:sz w:val="20"/>
          <w:szCs w:val="20"/>
          <w:lang w:val="es-AR"/>
        </w:rPr>
        <w:t xml:space="preserve"> se perfeccionará </w:t>
      </w:r>
      <w:r w:rsidR="00995278" w:rsidRPr="00CA0A60">
        <w:rPr>
          <w:rFonts w:ascii="Garamond" w:hAnsi="Garamond" w:cs="Times New Roman"/>
          <w:sz w:val="20"/>
          <w:szCs w:val="20"/>
          <w:lang w:val="es-AR"/>
        </w:rPr>
        <w:t xml:space="preserve">ante la entrega </w:t>
      </w:r>
      <w:r w:rsidRPr="00CA0A60">
        <w:rPr>
          <w:rFonts w:ascii="Garamond" w:hAnsi="Garamond" w:cs="Times New Roman"/>
          <w:sz w:val="20"/>
          <w:szCs w:val="20"/>
          <w:lang w:val="es-AR"/>
        </w:rPr>
        <w:t xml:space="preserve">de una notificación de cesión escrita a ser cursada a CAMMESA ante un escribano público, después de la cancelación total de la </w:t>
      </w:r>
      <w:r w:rsidR="00B816E3" w:rsidRPr="00CA0A60">
        <w:rPr>
          <w:rFonts w:ascii="Garamond" w:hAnsi="Garamond" w:cs="Times New Roman"/>
          <w:sz w:val="20"/>
          <w:szCs w:val="20"/>
          <w:lang w:val="es-AR"/>
        </w:rPr>
        <w:t>Deuda de Siemens</w:t>
      </w:r>
      <w:r w:rsidRPr="00CA0A60">
        <w:rPr>
          <w:rFonts w:ascii="Garamond" w:hAnsi="Garamond" w:cs="Times New Roman"/>
          <w:sz w:val="20"/>
          <w:szCs w:val="20"/>
          <w:lang w:val="es-AR"/>
        </w:rPr>
        <w:t xml:space="preserve"> en la Fecha de Emisión con los fondos derivados de las Obligaciones Negociables y luego del cumplimiento por parte del Garante y las Co-Emisoras de los compromisos </w:t>
      </w:r>
      <w:r w:rsidR="001B0D0C">
        <w:rPr>
          <w:rFonts w:ascii="Garamond" w:hAnsi="Garamond" w:cs="Times New Roman"/>
          <w:sz w:val="20"/>
          <w:szCs w:val="20"/>
          <w:lang w:val="es-AR"/>
        </w:rPr>
        <w:t xml:space="preserve">del Contrato de Fideicomiso </w:t>
      </w:r>
      <w:r w:rsidRPr="00CA0A60">
        <w:rPr>
          <w:rFonts w:ascii="Garamond" w:hAnsi="Garamond" w:cs="Times New Roman"/>
          <w:sz w:val="20"/>
          <w:szCs w:val="20"/>
          <w:lang w:val="es-AR"/>
        </w:rPr>
        <w:t>descriptos en “</w:t>
      </w:r>
      <w:r w:rsidRPr="00CA0A60">
        <w:rPr>
          <w:rFonts w:ascii="Garamond" w:hAnsi="Garamond" w:cs="Times New Roman"/>
          <w:i/>
          <w:sz w:val="20"/>
          <w:szCs w:val="20"/>
          <w:lang w:val="es-AR"/>
        </w:rPr>
        <w:t>Ciertos Compromisos – Preservación de Derechos bajo los Documentos de Garantía</w:t>
      </w:r>
      <w:r w:rsidRPr="00CA0A60">
        <w:rPr>
          <w:rFonts w:ascii="Garamond" w:hAnsi="Garamond" w:cs="Times New Roman"/>
          <w:sz w:val="20"/>
          <w:szCs w:val="20"/>
          <w:lang w:val="es-AR"/>
        </w:rPr>
        <w:t>”;</w:t>
      </w:r>
    </w:p>
    <w:p w14:paraId="11C08E58" w14:textId="7A7F79DC" w:rsidR="00FB1CE5" w:rsidRPr="00CA0A60" w:rsidRDefault="00FB1CE5" w:rsidP="00FB1CE5">
      <w:pPr>
        <w:widowControl w:val="0"/>
        <w:numPr>
          <w:ilvl w:val="0"/>
          <w:numId w:val="70"/>
        </w:numPr>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la medida que no estén garantizadas por los Derechos de Garantía, tendrán el mismo </w:t>
      </w:r>
      <w:r w:rsidR="00D26420" w:rsidRPr="00CA0A60">
        <w:rPr>
          <w:rFonts w:ascii="Garamond" w:hAnsi="Garamond" w:cs="Times New Roman"/>
          <w:sz w:val="20"/>
          <w:szCs w:val="20"/>
          <w:lang w:val="es-AR"/>
        </w:rPr>
        <w:t>grado</w:t>
      </w:r>
      <w:r w:rsidRPr="00CA0A60">
        <w:rPr>
          <w:rFonts w:ascii="Garamond" w:hAnsi="Garamond" w:cs="Times New Roman"/>
          <w:sz w:val="20"/>
          <w:szCs w:val="20"/>
          <w:lang w:val="es-AR"/>
        </w:rPr>
        <w:t xml:space="preserve"> de privilegio de pago que todas las obligaciones no subordinadas de las Co-Emisoras actuales y futuras, salvo por ciertas obligaciones que gozan de tratamiento preferente por disposiciones legales o por imperio de la ley;</w:t>
      </w:r>
    </w:p>
    <w:p w14:paraId="23218EE0" w14:textId="0772E4F6" w:rsidR="00FB1CE5" w:rsidRPr="00CA0A60" w:rsidRDefault="00FB1CE5" w:rsidP="00FB1CE5">
      <w:pPr>
        <w:widowControl w:val="0"/>
        <w:numPr>
          <w:ilvl w:val="0"/>
          <w:numId w:val="70"/>
        </w:numPr>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tendrán </w:t>
      </w:r>
      <w:r w:rsidR="00D26420" w:rsidRPr="00CA0A60">
        <w:rPr>
          <w:rFonts w:ascii="Garamond" w:hAnsi="Garamond" w:cs="Times New Roman"/>
          <w:sz w:val="20"/>
          <w:szCs w:val="20"/>
          <w:lang w:val="es-AR"/>
        </w:rPr>
        <w:t>grado</w:t>
      </w:r>
      <w:r w:rsidRPr="00CA0A60">
        <w:rPr>
          <w:rFonts w:ascii="Garamond" w:hAnsi="Garamond" w:cs="Times New Roman"/>
          <w:sz w:val="20"/>
          <w:szCs w:val="20"/>
          <w:lang w:val="es-AR"/>
        </w:rPr>
        <w:t xml:space="preserve"> de privilegio de pago mayor que todas las deudas subordinadas de las Co-Emisoras, actuales y futuras, si las hubiera,</w:t>
      </w:r>
    </w:p>
    <w:p w14:paraId="5972F719" w14:textId="5DC6648B" w:rsidR="00FB1CE5" w:rsidRPr="00CA0A60" w:rsidRDefault="00FB1CE5" w:rsidP="00FB1CE5">
      <w:pPr>
        <w:widowControl w:val="0"/>
        <w:numPr>
          <w:ilvl w:val="0"/>
          <w:numId w:val="70"/>
        </w:numPr>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tendrán </w:t>
      </w:r>
      <w:r w:rsidR="00D26420" w:rsidRPr="00CA0A60">
        <w:rPr>
          <w:rFonts w:ascii="Garamond" w:hAnsi="Garamond" w:cs="Times New Roman"/>
          <w:sz w:val="20"/>
          <w:szCs w:val="20"/>
          <w:lang w:val="es-AR"/>
        </w:rPr>
        <w:t>grado</w:t>
      </w:r>
      <w:r w:rsidRPr="00CA0A60">
        <w:rPr>
          <w:rFonts w:ascii="Garamond" w:hAnsi="Garamond" w:cs="Times New Roman"/>
          <w:sz w:val="20"/>
          <w:szCs w:val="20"/>
          <w:lang w:val="es-AR"/>
        </w:rPr>
        <w:t xml:space="preserve"> de privilegio mayor que todas las deudas no garantizadas de las Co-Emisoras, actuales y futuras, por hasta un monto igual al Monto de Garantía Máximo (según se define más abajo),</w:t>
      </w:r>
    </w:p>
    <w:p w14:paraId="2A7E5E1D" w14:textId="77777777" w:rsidR="00FB1CE5" w:rsidRPr="00CA0A60" w:rsidRDefault="00FB1CE5" w:rsidP="00FB1CE5">
      <w:pPr>
        <w:widowControl w:val="0"/>
        <w:numPr>
          <w:ilvl w:val="0"/>
          <w:numId w:val="70"/>
        </w:numPr>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estarán efectivamente subordinadas a todas las deudas de las Co-Emisoras, actuales y futuras, garantizadas por activos que no garanticen las Obligaciones Negociables o garantizadas por un Gravamen en primer grado de privilegio sobre los Derechos de Garantía, si las hubiera, hasta la concurrencia del valor de los activos que garantizan dicha deuda, y</w:t>
      </w:r>
    </w:p>
    <w:p w14:paraId="4CED44D1" w14:textId="77777777" w:rsidR="00FB1CE5" w:rsidRPr="00CA0A60" w:rsidRDefault="00FB1CE5" w:rsidP="00FB1CE5">
      <w:pPr>
        <w:widowControl w:val="0"/>
        <w:numPr>
          <w:ilvl w:val="0"/>
          <w:numId w:val="70"/>
        </w:numPr>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estarán estructuralmente subordinadas a las deudas actuales y futuras y otras obligaciones (incluidas las deudas comerciales a pagar) de las Subsidiarias del Garante y de las Subsidiarias de cada una de las Co-Emisoras que no constituyan garantía de las Obligaciones Negociables.</w:t>
      </w:r>
    </w:p>
    <w:p w14:paraId="4575EE4D" w14:textId="1181410A" w:rsidR="00FB1CE5" w:rsidRPr="00CA0A60" w:rsidRDefault="00FB1CE5" w:rsidP="00FB1CE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Al 30 de junio de 2019, sobre una base ajustada para reflejar la oferta de las obligaciones negociables </w:t>
      </w:r>
      <w:r w:rsidR="00360F06">
        <w:rPr>
          <w:rFonts w:ascii="Garamond" w:hAnsi="Garamond" w:cs="Times New Roman"/>
          <w:sz w:val="20"/>
          <w:szCs w:val="20"/>
          <w:lang w:val="es-AR"/>
        </w:rPr>
        <w:t>pero no</w:t>
      </w:r>
      <w:r w:rsidRPr="00CA0A60">
        <w:rPr>
          <w:rFonts w:ascii="Garamond" w:hAnsi="Garamond" w:cs="Times New Roman"/>
          <w:sz w:val="20"/>
          <w:szCs w:val="20"/>
          <w:lang w:val="es-AR"/>
        </w:rPr>
        <w:t xml:space="preserve"> al destino de los fondos derivados de ellas de acuerdo con lo descripto en “</w:t>
      </w:r>
      <w:r w:rsidR="00995278" w:rsidRPr="00CA0A60">
        <w:rPr>
          <w:rFonts w:ascii="Garamond" w:hAnsi="Garamond" w:cs="Times New Roman"/>
          <w:i/>
          <w:sz w:val="20"/>
          <w:szCs w:val="20"/>
          <w:lang w:val="es-AR"/>
        </w:rPr>
        <w:t>Ciertos Compromisos</w:t>
      </w:r>
      <w:r w:rsidRPr="00CA0A60">
        <w:rPr>
          <w:rFonts w:ascii="Garamond" w:hAnsi="Garamond" w:cs="Times New Roman"/>
          <w:sz w:val="20"/>
          <w:szCs w:val="20"/>
          <w:lang w:val="es-AR"/>
        </w:rPr>
        <w:t>—</w:t>
      </w:r>
      <w:r w:rsidRPr="00CA0A60">
        <w:rPr>
          <w:rFonts w:ascii="Garamond" w:hAnsi="Garamond" w:cs="Times New Roman"/>
          <w:i/>
          <w:sz w:val="20"/>
          <w:szCs w:val="20"/>
          <w:lang w:val="es-AR"/>
        </w:rPr>
        <w:t xml:space="preserve">Destino de los </w:t>
      </w:r>
      <w:r w:rsidRPr="00CA0A60">
        <w:rPr>
          <w:rFonts w:ascii="Garamond" w:hAnsi="Garamond" w:cs="Times New Roman"/>
          <w:i/>
          <w:sz w:val="20"/>
          <w:szCs w:val="20"/>
          <w:lang w:val="es-AR"/>
        </w:rPr>
        <w:lastRenderedPageBreak/>
        <w:t>Fondos</w:t>
      </w:r>
      <w:r w:rsidRPr="00CA0A60">
        <w:rPr>
          <w:rFonts w:ascii="Garamond" w:hAnsi="Garamond" w:cs="Times New Roman"/>
          <w:sz w:val="20"/>
          <w:szCs w:val="20"/>
          <w:lang w:val="es-AR"/>
        </w:rPr>
        <w:t>”, el Garante y sus Subsidiarias Restringidas (incluyendo GEMSA y CTR pero excluyendo Generación Centro S.A. (“</w:t>
      </w:r>
      <w:r w:rsidRPr="00CA0A60">
        <w:rPr>
          <w:rFonts w:ascii="Garamond" w:hAnsi="Garamond" w:cs="Times New Roman"/>
          <w:sz w:val="20"/>
          <w:szCs w:val="20"/>
          <w:u w:val="single"/>
          <w:lang w:val="es-AR"/>
        </w:rPr>
        <w:t>GECE</w:t>
      </w:r>
      <w:r w:rsidRPr="00CA0A60">
        <w:rPr>
          <w:rFonts w:ascii="Garamond" w:hAnsi="Garamond" w:cs="Times New Roman"/>
          <w:sz w:val="20"/>
          <w:szCs w:val="20"/>
          <w:lang w:val="es-AR"/>
        </w:rPr>
        <w:t xml:space="preserve">”)), habrían tenido, en forma consolidada, aproximadamente </w:t>
      </w:r>
      <w:r w:rsidRPr="00CA0A60">
        <w:rPr>
          <w:rFonts w:ascii="Garamond" w:hAnsi="Garamond" w:cs="Times New Roman" w:hint="eastAsia"/>
          <w:sz w:val="20"/>
          <w:szCs w:val="20"/>
          <w:lang w:val="es-AR"/>
        </w:rPr>
        <w:t>U$S</w:t>
      </w:r>
      <w:r w:rsidR="00360F06">
        <w:rPr>
          <w:rFonts w:ascii="Garamond" w:hAnsi="Garamond" w:cs="Times New Roman"/>
          <w:sz w:val="20"/>
          <w:szCs w:val="20"/>
          <w:lang w:val="es-AR"/>
        </w:rPr>
        <w:t xml:space="preserve"> 605</w:t>
      </w:r>
      <w:r w:rsidRPr="00CA0A60">
        <w:rPr>
          <w:rFonts w:ascii="Garamond" w:hAnsi="Garamond" w:cs="Times New Roman"/>
          <w:sz w:val="20"/>
          <w:szCs w:val="20"/>
          <w:lang w:val="es-AR"/>
        </w:rPr>
        <w:t xml:space="preserve"> millones de deuda pendiente de pago, de la cual:</w:t>
      </w:r>
    </w:p>
    <w:p w14:paraId="19876ED2" w14:textId="172D7D4E" w:rsidR="00F60655" w:rsidRPr="00CA0A60" w:rsidRDefault="00FB1CE5" w:rsidP="002B1E31">
      <w:pPr>
        <w:pStyle w:val="Prrafodelista"/>
        <w:keepNext/>
        <w:keepLines/>
        <w:numPr>
          <w:ilvl w:val="0"/>
          <w:numId w:val="308"/>
        </w:numPr>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aproximadamente Ps. </w:t>
      </w:r>
      <w:r w:rsidR="00360F06">
        <w:rPr>
          <w:rFonts w:ascii="Garamond" w:hAnsi="Garamond" w:cs="Times New Roman"/>
          <w:sz w:val="20"/>
          <w:szCs w:val="20"/>
          <w:lang w:val="es-AR"/>
        </w:rPr>
        <w:t>3.398</w:t>
      </w:r>
      <w:r w:rsidRPr="00CA0A60">
        <w:rPr>
          <w:rFonts w:ascii="Garamond" w:hAnsi="Garamond" w:cs="Times New Roman"/>
          <w:sz w:val="20"/>
          <w:szCs w:val="20"/>
          <w:lang w:val="es-AR"/>
        </w:rPr>
        <w:t xml:space="preserve"> millones </w:t>
      </w:r>
      <w:r w:rsidRPr="00CA0A60">
        <w:rPr>
          <w:rFonts w:ascii="Garamond" w:hAnsi="Garamond" w:cs="Times New Roman" w:hint="eastAsia"/>
          <w:sz w:val="20"/>
          <w:szCs w:val="20"/>
          <w:lang w:val="es-AR"/>
        </w:rPr>
        <w:t>(U$S</w:t>
      </w:r>
      <w:r w:rsidR="00360F06">
        <w:rPr>
          <w:rFonts w:ascii="Garamond" w:hAnsi="Garamond" w:cs="Times New Roman"/>
          <w:sz w:val="20"/>
          <w:szCs w:val="20"/>
          <w:lang w:val="es-AR"/>
        </w:rPr>
        <w:t xml:space="preserve"> 80</w:t>
      </w:r>
      <w:r w:rsidRPr="00CA0A60">
        <w:rPr>
          <w:rFonts w:ascii="Garamond" w:hAnsi="Garamond" w:cs="Times New Roman"/>
          <w:sz w:val="20"/>
          <w:szCs w:val="20"/>
          <w:lang w:val="es-AR"/>
        </w:rPr>
        <w:t xml:space="preserve"> millones) sería deuda garantizada, y </w:t>
      </w:r>
      <w:r w:rsidRPr="00CA0A60">
        <w:rPr>
          <w:rFonts w:ascii="Garamond" w:hAnsi="Garamond" w:cs="Times New Roman" w:hint="eastAsia"/>
          <w:sz w:val="20"/>
          <w:szCs w:val="20"/>
          <w:lang w:val="es-AR"/>
        </w:rPr>
        <w:t>Ps.</w:t>
      </w:r>
      <w:r w:rsidR="00360F06">
        <w:rPr>
          <w:rFonts w:ascii="Garamond" w:hAnsi="Garamond" w:cs="Times New Roman"/>
          <w:sz w:val="20"/>
          <w:szCs w:val="20"/>
          <w:lang w:val="es-AR"/>
        </w:rPr>
        <w:t xml:space="preserve"> 22.293</w:t>
      </w:r>
      <w:r w:rsidRPr="00CA0A60">
        <w:rPr>
          <w:rFonts w:ascii="Garamond" w:hAnsi="Garamond" w:cs="Times New Roman"/>
          <w:sz w:val="20"/>
          <w:szCs w:val="20"/>
          <w:lang w:val="es-AR"/>
        </w:rPr>
        <w:t xml:space="preserve"> millones </w:t>
      </w:r>
      <w:r w:rsidRPr="00CA0A60">
        <w:rPr>
          <w:rFonts w:ascii="Garamond" w:hAnsi="Garamond" w:cs="Times New Roman" w:hint="eastAsia"/>
          <w:sz w:val="20"/>
          <w:szCs w:val="20"/>
          <w:lang w:val="es-AR"/>
        </w:rPr>
        <w:t>(U$S</w:t>
      </w:r>
      <w:r w:rsidR="00360F06">
        <w:rPr>
          <w:rFonts w:ascii="Garamond" w:hAnsi="Garamond" w:cs="Times New Roman"/>
          <w:sz w:val="20"/>
          <w:szCs w:val="20"/>
          <w:lang w:val="es-AR"/>
        </w:rPr>
        <w:t xml:space="preserve"> 525</w:t>
      </w:r>
      <w:r w:rsidRPr="00CA0A60">
        <w:rPr>
          <w:rFonts w:ascii="Garamond" w:hAnsi="Garamond" w:cs="Times New Roman"/>
          <w:sz w:val="20"/>
          <w:szCs w:val="20"/>
          <w:lang w:val="es-AR"/>
        </w:rPr>
        <w:t xml:space="preserve"> millones) sería deuda no garantizada; y</w:t>
      </w:r>
      <w:r w:rsidR="00F60655" w:rsidRPr="00CA0A60">
        <w:rPr>
          <w:rFonts w:ascii="Garamond" w:hAnsi="Garamond" w:cs="Times New Roman"/>
          <w:sz w:val="20"/>
          <w:szCs w:val="20"/>
          <w:lang w:val="es-AR"/>
        </w:rPr>
        <w:t xml:space="preserve"> </w:t>
      </w:r>
    </w:p>
    <w:p w14:paraId="02F20A38" w14:textId="4CF7A324" w:rsidR="00F60655" w:rsidRPr="00CA3A3D" w:rsidRDefault="00995278" w:rsidP="00995278">
      <w:pPr>
        <w:keepNext/>
        <w:keepLines/>
        <w:tabs>
          <w:tab w:val="left" w:pos="284"/>
          <w:tab w:val="left" w:pos="709"/>
          <w:tab w:val="left" w:pos="8789"/>
        </w:tabs>
        <w:spacing w:before="120" w:after="120" w:line="240" w:lineRule="auto"/>
        <w:jc w:val="both"/>
        <w:rPr>
          <w:rFonts w:ascii="Garamond" w:hAnsi="Garamond" w:cs="Calibri"/>
          <w:sz w:val="20"/>
          <w:szCs w:val="20"/>
          <w:lang w:val="es-AR"/>
        </w:rPr>
      </w:pPr>
      <w:r w:rsidRPr="00CA3A3D">
        <w:rPr>
          <w:rFonts w:ascii="Garamond" w:hAnsi="Garamond" w:cs="Calibri"/>
          <w:sz w:val="20"/>
          <w:szCs w:val="20"/>
          <w:lang w:val="es-AR"/>
        </w:rPr>
        <w:t xml:space="preserve">Los montos establecidos precedentemente no incluyen ciertos pasivos relativos a Deuda por la Financiación de Compras (según se define más adelante) del Garante y sus Subsidiarias Restringidas, los cuales, al 30 de junio de 2019, en forma ajustada con el fin de reflejar la oferta de las Obligaciones Negociables y el destino de los fondos obtenidos de la misma según se describe en </w:t>
      </w:r>
      <w:r w:rsidRPr="00CA3A3D">
        <w:rPr>
          <w:rFonts w:ascii="Garamond" w:hAnsi="Garamond" w:cs="Calibri"/>
          <w:i/>
          <w:sz w:val="20"/>
          <w:szCs w:val="20"/>
          <w:lang w:val="es-AR"/>
        </w:rPr>
        <w:t>“Ciertos Compromisos—Destino de los Fondos”</w:t>
      </w:r>
      <w:r w:rsidRPr="00CA3A3D">
        <w:rPr>
          <w:rFonts w:ascii="Garamond" w:hAnsi="Garamond" w:cs="Calibri"/>
          <w:sz w:val="20"/>
          <w:szCs w:val="20"/>
          <w:lang w:val="es-AR"/>
        </w:rPr>
        <w:t xml:space="preserve">, habrían alcanzado un total de, aproximadamente, Ps. </w:t>
      </w:r>
      <w:r w:rsidR="00360F06">
        <w:rPr>
          <w:rFonts w:ascii="Garamond" w:hAnsi="Garamond" w:cs="Calibri"/>
          <w:sz w:val="20"/>
          <w:szCs w:val="20"/>
          <w:lang w:val="es-AR"/>
        </w:rPr>
        <w:t>3.421</w:t>
      </w:r>
      <w:r w:rsidRPr="00CA3A3D">
        <w:rPr>
          <w:rFonts w:ascii="Garamond" w:hAnsi="Garamond" w:cs="Calibri"/>
          <w:sz w:val="20"/>
          <w:szCs w:val="20"/>
          <w:lang w:val="es-AR"/>
        </w:rPr>
        <w:t xml:space="preserve"> millones (U$S </w:t>
      </w:r>
      <w:r w:rsidR="00360F06">
        <w:rPr>
          <w:rFonts w:ascii="Garamond" w:hAnsi="Garamond" w:cs="Calibri"/>
          <w:sz w:val="20"/>
          <w:szCs w:val="20"/>
          <w:lang w:val="es-AR"/>
        </w:rPr>
        <w:t>81</w:t>
      </w:r>
      <w:r w:rsidRPr="00CA3A3D">
        <w:rPr>
          <w:rFonts w:ascii="Garamond" w:hAnsi="Garamond" w:cs="Calibri"/>
          <w:sz w:val="20"/>
          <w:szCs w:val="20"/>
          <w:lang w:val="es-AR"/>
        </w:rPr>
        <w:t xml:space="preserve"> millones).</w:t>
      </w:r>
      <w:r w:rsidR="00E74325">
        <w:rPr>
          <w:rFonts w:ascii="Garamond" w:hAnsi="Garamond" w:cs="Calibri"/>
          <w:sz w:val="20"/>
          <w:szCs w:val="20"/>
          <w:lang w:val="es-AR"/>
        </w:rPr>
        <w:t xml:space="preserve"> </w:t>
      </w:r>
      <w:r w:rsidR="00E74325" w:rsidRPr="0034558A">
        <w:rPr>
          <w:rFonts w:ascii="Garamond" w:hAnsi="Garamond" w:cs="Calibri"/>
          <w:sz w:val="20"/>
          <w:szCs w:val="20"/>
          <w:highlight w:val="magenta"/>
          <w:lang w:val="es-AR"/>
        </w:rPr>
        <w:t>Los montos detallados más arriba no incluyen la Garantía condicional relacionada a las Garantías de GECE</w:t>
      </w:r>
      <w:r w:rsidR="00E74325">
        <w:rPr>
          <w:rFonts w:ascii="Garamond" w:hAnsi="Garamond" w:cs="Calibri"/>
          <w:sz w:val="20"/>
          <w:szCs w:val="20"/>
          <w:lang w:val="es-AR"/>
        </w:rPr>
        <w:t>.</w:t>
      </w:r>
    </w:p>
    <w:p w14:paraId="7327E78E" w14:textId="77777777" w:rsidR="00F60655" w:rsidRPr="00CA0A60" w:rsidRDefault="00F60655" w:rsidP="00F60655">
      <w:pPr>
        <w:keepNext/>
        <w:keepLines/>
        <w:tabs>
          <w:tab w:val="left" w:pos="284"/>
          <w:tab w:val="left" w:pos="709"/>
          <w:tab w:val="left" w:pos="8789"/>
        </w:tabs>
        <w:spacing w:before="120" w:after="120" w:line="240" w:lineRule="auto"/>
        <w:jc w:val="both"/>
        <w:rPr>
          <w:rFonts w:ascii="Garamond" w:hAnsi="Garamond" w:cs="Times New Roman"/>
          <w:b/>
          <w:sz w:val="20"/>
          <w:szCs w:val="20"/>
          <w:lang w:val="es-AR"/>
        </w:rPr>
      </w:pPr>
      <w:bookmarkStart w:id="70" w:name="bookmark152"/>
      <w:r w:rsidRPr="00CA0A60">
        <w:rPr>
          <w:rFonts w:ascii="Garamond" w:hAnsi="Garamond" w:cs="Times New Roman"/>
          <w:b/>
          <w:sz w:val="20"/>
          <w:szCs w:val="20"/>
          <w:lang w:val="es-AR"/>
        </w:rPr>
        <w:t>Obligaciones Negociables Adicionales</w:t>
      </w:r>
      <w:bookmarkEnd w:id="70"/>
    </w:p>
    <w:p w14:paraId="5CEB16EA" w14:textId="77777777" w:rsidR="00F60655" w:rsidRPr="00CA0A60" w:rsidRDefault="00F60655" w:rsidP="00F6065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Con sujeción a las limitaciones que se establecen en la sección “—</w:t>
      </w:r>
      <w:r w:rsidRPr="00CA0A60">
        <w:rPr>
          <w:rFonts w:ascii="Garamond" w:hAnsi="Garamond" w:cs="Times New Roman"/>
          <w:i/>
          <w:sz w:val="20"/>
          <w:szCs w:val="20"/>
          <w:lang w:val="es-AR"/>
        </w:rPr>
        <w:t>Ciertos Compromisos—Limitación de Deuda Adicional</w:t>
      </w:r>
      <w:r w:rsidRPr="00CA0A60">
        <w:rPr>
          <w:rFonts w:ascii="Garamond" w:hAnsi="Garamond" w:cs="Times New Roman"/>
          <w:sz w:val="20"/>
          <w:szCs w:val="20"/>
          <w:lang w:val="es-AR"/>
        </w:rPr>
        <w:t>” y “—</w:t>
      </w:r>
      <w:r w:rsidRPr="00CA0A60">
        <w:rPr>
          <w:rFonts w:ascii="Garamond" w:hAnsi="Garamond" w:cs="Times New Roman"/>
          <w:i/>
          <w:sz w:val="20"/>
          <w:szCs w:val="20"/>
          <w:lang w:val="es-AR"/>
        </w:rPr>
        <w:t>Ciertos Compromisos—Limitación a Gravámenes”</w:t>
      </w:r>
      <w:r w:rsidRPr="00CA0A60">
        <w:rPr>
          <w:rFonts w:ascii="Garamond" w:hAnsi="Garamond" w:cs="Times New Roman"/>
          <w:sz w:val="20"/>
          <w:szCs w:val="20"/>
          <w:lang w:val="es-AR"/>
        </w:rPr>
        <w:t>, y la previa autorización de la CNV y sin necesidad de notificar a los Tenedores o de obtener su consentimiento, las Co-Emisoras podrán contraer Deudas adicionales. A opción de las Co-Emisoras, estas Deudas adicionales pueden consistir en obligaciones negociables adicionales (las “</w:t>
      </w:r>
      <w:r w:rsidRPr="00CA0A60">
        <w:rPr>
          <w:rFonts w:ascii="Garamond" w:hAnsi="Garamond" w:cs="Times New Roman"/>
          <w:sz w:val="20"/>
          <w:szCs w:val="20"/>
          <w:u w:val="single"/>
          <w:lang w:val="es-AR"/>
        </w:rPr>
        <w:t>Obligaciones Negociables Adicionales</w:t>
      </w:r>
      <w:r w:rsidRPr="00CA0A60">
        <w:rPr>
          <w:rFonts w:ascii="Garamond" w:hAnsi="Garamond" w:cs="Times New Roman"/>
          <w:sz w:val="20"/>
          <w:szCs w:val="20"/>
          <w:lang w:val="es-AR"/>
        </w:rPr>
        <w:t xml:space="preserve">”), emitidas en una o más transacciones, que tendrán en lo esencial, términos similares (excepto el precio de emisión, la fecha de emisión y la fecha de pago del primer interés) a los de las Obligaciones Negociables emitidas en la Fecha de Emisión; </w:t>
      </w:r>
      <w:r w:rsidRPr="00CA0A60">
        <w:rPr>
          <w:rFonts w:ascii="Garamond" w:hAnsi="Garamond" w:cs="Times New Roman"/>
          <w:sz w:val="20"/>
          <w:szCs w:val="20"/>
          <w:u w:val="single"/>
          <w:lang w:val="es-AR"/>
        </w:rPr>
        <w:t>no obstante</w:t>
      </w:r>
      <w:r w:rsidRPr="00CA0A60">
        <w:rPr>
          <w:rFonts w:ascii="Garamond" w:hAnsi="Garamond" w:cs="Times New Roman"/>
          <w:sz w:val="20"/>
          <w:szCs w:val="20"/>
          <w:lang w:val="es-AR"/>
        </w:rPr>
        <w:t>, las Obligaciones Negociables Adicionales tendrán un Código CUSIP diferente del de las obligaciones negociables, a menos que tales Obligaciones Negociables Adicionales sean fungibles con las obligaciones negociables a los fines del impuesto federal a las ganancias de los Estados Unidos. Las Obligaciones Negociables emitidas en la Fecha de Emisión y las Obligaciones Negociables Adicionales estarán garantizadas por los Derechos de Garantía en forma igual y proporcional. Las Obligaciones Negociables y las Obligaciones Negociables Adicionales, si las hubiera, serán tratadas como una serie única a todos los fines del Contrato de Fideicomiso y los tenedores de Obligaciones Negociables Adicionales tendrán el derecho a votar junto con los Tenedores de las Obligaciones Negociables emitidas en la Fecha de Emisión como una misma clase según el Contrato de Fideicomiso a todos los fines, incluso renuncias y modificaciones.</w:t>
      </w:r>
    </w:p>
    <w:p w14:paraId="53432AAA" w14:textId="233B2C9F" w:rsidR="00F60655" w:rsidRPr="00CA0A60" w:rsidRDefault="00F60655" w:rsidP="00F60655">
      <w:pPr>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71" w:name="bookmark153"/>
      <w:r w:rsidRPr="00CA0A60">
        <w:rPr>
          <w:rFonts w:ascii="Garamond" w:hAnsi="Garamond" w:cs="Times New Roman"/>
          <w:b/>
          <w:i/>
          <w:sz w:val="20"/>
          <w:szCs w:val="20"/>
          <w:lang w:val="es-AR"/>
        </w:rPr>
        <w:t>Capital y Vencimiento</w:t>
      </w:r>
      <w:bookmarkEnd w:id="71"/>
    </w:p>
    <w:p w14:paraId="52C8973F" w14:textId="77777777" w:rsidR="00F60655" w:rsidRPr="00CA0A60" w:rsidRDefault="00F60655" w:rsidP="00F6065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Co-Emisoras inicialmente emitirán el monto de capital total de Obligaciones Negociables en la Fecha de Emisión que se informe en el Aviso de Resultados.</w:t>
      </w:r>
    </w:p>
    <w:p w14:paraId="745F1D68" w14:textId="77777777" w:rsidR="00F60655" w:rsidRPr="00CA0A60" w:rsidRDefault="00F60655" w:rsidP="00F6065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Negociables vencerán en la fecha que se informe en el Aviso de Resultados, salvo que se rescaten anticipadamente o sean recompradas conforme a los términos del Contrato de Fideicomiso. Ver “</w:t>
      </w:r>
      <w:r w:rsidRPr="00CA0A60">
        <w:rPr>
          <w:rFonts w:ascii="Garamond" w:hAnsi="Garamond" w:cs="Times New Roman"/>
          <w:sz w:val="20"/>
          <w:szCs w:val="20"/>
          <w:lang w:val="es-AR"/>
        </w:rPr>
        <w:noBreakHyphen/>
      </w:r>
      <w:r w:rsidRPr="00CA0A60">
        <w:rPr>
          <w:rFonts w:ascii="Garamond" w:hAnsi="Garamond" w:cs="Times New Roman"/>
          <w:sz w:val="20"/>
          <w:szCs w:val="20"/>
          <w:lang w:val="es-AR"/>
        </w:rPr>
        <w:noBreakHyphen/>
      </w:r>
      <w:r w:rsidRPr="00CA0A60">
        <w:rPr>
          <w:rFonts w:ascii="Garamond" w:hAnsi="Garamond" w:cs="Times New Roman"/>
          <w:i/>
          <w:sz w:val="20"/>
          <w:szCs w:val="20"/>
          <w:lang w:val="es-AR"/>
        </w:rPr>
        <w:t>Rescate Opcional</w:t>
      </w:r>
      <w:r w:rsidRPr="00CA0A60">
        <w:rPr>
          <w:rFonts w:ascii="Garamond" w:hAnsi="Garamond" w:cs="Times New Roman"/>
          <w:sz w:val="20"/>
          <w:szCs w:val="20"/>
          <w:lang w:val="es-AR"/>
        </w:rPr>
        <w:t>” y “—</w:t>
      </w:r>
      <w:r w:rsidRPr="00CA0A60">
        <w:rPr>
          <w:rFonts w:ascii="Garamond" w:hAnsi="Garamond" w:cs="Times New Roman"/>
          <w:i/>
          <w:sz w:val="20"/>
          <w:szCs w:val="20"/>
          <w:lang w:val="es-AR"/>
        </w:rPr>
        <w:t>Ofertas de Compra de Obligaciones Negociables Obligatorias</w:t>
      </w:r>
      <w:r w:rsidRPr="00CA0A60">
        <w:rPr>
          <w:rFonts w:ascii="Garamond" w:hAnsi="Garamond" w:cs="Times New Roman"/>
          <w:sz w:val="20"/>
          <w:szCs w:val="20"/>
          <w:lang w:val="es-AR"/>
        </w:rPr>
        <w:t>”. Las Obligaciones Negociables no tendrán derecho al beneficio del fondo de amortización obligatorio.</w:t>
      </w:r>
    </w:p>
    <w:p w14:paraId="06F19F71" w14:textId="77777777" w:rsidR="00687E2F" w:rsidRPr="00CA0A60" w:rsidRDefault="00687E2F" w:rsidP="00687E2F">
      <w:pPr>
        <w:widowControl w:val="0"/>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Intereses sobre las Obligaciones Negociables</w:t>
      </w:r>
    </w:p>
    <w:p w14:paraId="7E7E5916" w14:textId="07FA9C54" w:rsidR="00687E2F" w:rsidRPr="00CA0A60" w:rsidRDefault="00687E2F" w:rsidP="00687E2F">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Obligaciones Negociables devengarán </w:t>
      </w:r>
      <w:r w:rsidR="00892038" w:rsidRPr="00CA0A60">
        <w:rPr>
          <w:rFonts w:ascii="Garamond" w:hAnsi="Garamond" w:cs="Times New Roman"/>
          <w:sz w:val="20"/>
          <w:szCs w:val="20"/>
          <w:lang w:val="es-AR"/>
        </w:rPr>
        <w:t>interes</w:t>
      </w:r>
      <w:r w:rsidR="00892038">
        <w:rPr>
          <w:rFonts w:ascii="Garamond" w:hAnsi="Garamond" w:cs="Times New Roman"/>
          <w:sz w:val="20"/>
          <w:szCs w:val="20"/>
          <w:lang w:val="es-AR"/>
        </w:rPr>
        <w:t>es</w:t>
      </w:r>
      <w:r w:rsidRPr="00CA0A60">
        <w:rPr>
          <w:rFonts w:ascii="Garamond" w:hAnsi="Garamond" w:cs="Times New Roman"/>
          <w:sz w:val="20"/>
          <w:szCs w:val="20"/>
          <w:lang w:val="es-AR"/>
        </w:rPr>
        <w:t xml:space="preserve"> a</w:t>
      </w:r>
      <w:r w:rsidR="00CE0124">
        <w:rPr>
          <w:rFonts w:ascii="Garamond" w:hAnsi="Garamond" w:cs="Times New Roman"/>
          <w:sz w:val="20"/>
          <w:szCs w:val="20"/>
          <w:lang w:val="es-AR"/>
        </w:rPr>
        <w:t xml:space="preserve"> una</w:t>
      </w:r>
      <w:r w:rsidRPr="00CA0A60">
        <w:rPr>
          <w:rFonts w:ascii="Garamond" w:hAnsi="Garamond" w:cs="Times New Roman"/>
          <w:sz w:val="20"/>
          <w:szCs w:val="20"/>
          <w:lang w:val="es-AR"/>
        </w:rPr>
        <w:t xml:space="preserve"> </w:t>
      </w:r>
      <w:r w:rsidR="00A724E4" w:rsidRPr="00A23B59">
        <w:rPr>
          <w:rFonts w:ascii="Garamond" w:hAnsi="Garamond"/>
          <w:sz w:val="20"/>
          <w:szCs w:val="20"/>
          <w:lang w:val="es-AR"/>
        </w:rPr>
        <w:t>tasa fija</w:t>
      </w:r>
      <w:r w:rsidR="00A75C69" w:rsidRPr="00A23B59">
        <w:rPr>
          <w:rFonts w:ascii="Garamond" w:hAnsi="Garamond"/>
          <w:sz w:val="20"/>
          <w:szCs w:val="20"/>
          <w:lang w:val="es-AR"/>
        </w:rPr>
        <w:t xml:space="preserve"> </w:t>
      </w:r>
      <w:r w:rsidR="00CE0124" w:rsidRPr="00A23B59">
        <w:rPr>
          <w:rFonts w:ascii="Garamond" w:hAnsi="Garamond"/>
          <w:sz w:val="20"/>
          <w:szCs w:val="20"/>
          <w:lang w:val="es-AR"/>
        </w:rPr>
        <w:t xml:space="preserve">que será determinada de conformidad con el procedimiento previsto en la sección </w:t>
      </w:r>
      <w:r w:rsidR="00CE0124" w:rsidRPr="00A23B59">
        <w:rPr>
          <w:rFonts w:ascii="Garamond" w:hAnsi="Garamond"/>
          <w:i/>
          <w:sz w:val="20"/>
          <w:szCs w:val="20"/>
          <w:lang w:val="es-AR"/>
        </w:rPr>
        <w:t>“Plan de Distribución”</w:t>
      </w:r>
      <w:r w:rsidR="00CE0124" w:rsidRPr="00A23B59">
        <w:rPr>
          <w:rFonts w:ascii="Garamond" w:hAnsi="Garamond"/>
          <w:sz w:val="20"/>
          <w:szCs w:val="20"/>
          <w:lang w:val="es-AR"/>
        </w:rPr>
        <w:t xml:space="preserve"> y será informada mediante el Aviso de Resultados</w:t>
      </w:r>
      <w:r w:rsidR="00CE0124">
        <w:rPr>
          <w:rFonts w:ascii="Garamond" w:hAnsi="Garamond"/>
          <w:sz w:val="20"/>
          <w:szCs w:val="20"/>
          <w:lang w:val="es-AR"/>
        </w:rPr>
        <w:t>,</w:t>
      </w:r>
      <w:r w:rsidR="00CE0124" w:rsidRPr="00A23B59" w:rsidDel="001B0D0C">
        <w:rPr>
          <w:rFonts w:ascii="Garamond" w:hAnsi="Garamond"/>
          <w:sz w:val="20"/>
          <w:szCs w:val="20"/>
          <w:lang w:val="es-AR"/>
        </w:rPr>
        <w:t xml:space="preserve"> </w:t>
      </w:r>
      <w:r w:rsidRPr="00CE0124">
        <w:rPr>
          <w:rFonts w:ascii="Garamond" w:hAnsi="Garamond" w:cs="Times New Roman"/>
          <w:sz w:val="20"/>
          <w:szCs w:val="20"/>
          <w:lang w:val="es-AR"/>
        </w:rPr>
        <w:t>y será</w:t>
      </w:r>
      <w:r w:rsidR="00CE0124">
        <w:rPr>
          <w:rFonts w:ascii="Garamond" w:hAnsi="Garamond" w:cs="Times New Roman"/>
          <w:sz w:val="20"/>
          <w:szCs w:val="20"/>
          <w:lang w:val="es-AR"/>
        </w:rPr>
        <w:t>n</w:t>
      </w:r>
      <w:r w:rsidRPr="00CE0124">
        <w:rPr>
          <w:rFonts w:ascii="Garamond" w:hAnsi="Garamond" w:cs="Times New Roman"/>
          <w:sz w:val="20"/>
          <w:szCs w:val="20"/>
          <w:lang w:val="es-AR"/>
        </w:rPr>
        <w:t xml:space="preserve"> pagadero</w:t>
      </w:r>
      <w:r w:rsidR="00CE0124">
        <w:rPr>
          <w:rFonts w:ascii="Garamond" w:hAnsi="Garamond" w:cs="Times New Roman"/>
          <w:sz w:val="20"/>
          <w:szCs w:val="20"/>
          <w:lang w:val="es-AR"/>
        </w:rPr>
        <w:t>s</w:t>
      </w:r>
      <w:r w:rsidRPr="00CE0124">
        <w:rPr>
          <w:rFonts w:ascii="Garamond" w:hAnsi="Garamond" w:cs="Times New Roman"/>
          <w:sz w:val="20"/>
          <w:szCs w:val="20"/>
          <w:lang w:val="es-AR"/>
        </w:rPr>
        <w:t xml:space="preserve"> trimestralm</w:t>
      </w:r>
      <w:r w:rsidRPr="00CA0A60">
        <w:rPr>
          <w:rFonts w:ascii="Garamond" w:hAnsi="Garamond" w:cs="Times New Roman"/>
          <w:sz w:val="20"/>
          <w:szCs w:val="20"/>
          <w:lang w:val="es-AR"/>
        </w:rPr>
        <w:t>ente por plazo vencido en las fechas que se informen en el Aviso de Resultados de cada año, a partir de la Fecha de Emisión (cada una de dichas fechas, conforme sean ajustadas de acuerdo con lo previsto a continuación, una “</w:t>
      </w:r>
      <w:r w:rsidRPr="00CA0A60">
        <w:rPr>
          <w:rFonts w:ascii="Garamond" w:hAnsi="Garamond" w:cs="Times New Roman"/>
          <w:sz w:val="20"/>
          <w:szCs w:val="20"/>
          <w:u w:val="single"/>
          <w:lang w:val="es-AR"/>
        </w:rPr>
        <w:t>Fecha de Pago de Intereses</w:t>
      </w:r>
      <w:r w:rsidRPr="00CA0A60">
        <w:rPr>
          <w:rFonts w:ascii="Garamond" w:hAnsi="Garamond" w:cs="Times New Roman"/>
          <w:sz w:val="20"/>
          <w:szCs w:val="20"/>
          <w:lang w:val="es-AR"/>
        </w:rPr>
        <w:t>”). Los pagos serán realizados a las personas que sean Tenedores registrados al cierre de los negocios el Día Hábil inmediatamente anterior a la Fecha de Pago de Intereses correspondiente.</w:t>
      </w:r>
    </w:p>
    <w:p w14:paraId="67966692" w14:textId="77DADE73" w:rsidR="00687E2F" w:rsidRPr="00CA0A60" w:rsidRDefault="00687E2F" w:rsidP="00687E2F">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intereses se devengarán desde la última fecha en que se pagaron intereses inclusive, y si no se han pagado intereses, desde la Fecha de Emisión de dichas Obligaciones Negociables inclusive hasta la Fecha de Pago de Intereses subsiguiente, la Fecha de Vencimiento o la fecha en que se rescaten las Obligaciones Negociables de otro modo, exclusive, según corresponda (cada uno de dichos períodos, un “</w:t>
      </w:r>
      <w:r w:rsidRPr="00CA0A60">
        <w:rPr>
          <w:rFonts w:ascii="Garamond" w:hAnsi="Garamond" w:cs="Times New Roman"/>
          <w:sz w:val="20"/>
          <w:szCs w:val="20"/>
          <w:u w:val="single"/>
          <w:lang w:val="es-AR"/>
        </w:rPr>
        <w:t>Período de Intereses</w:t>
      </w:r>
      <w:r w:rsidRPr="00CA0A60">
        <w:rPr>
          <w:rFonts w:ascii="Garamond" w:hAnsi="Garamond" w:cs="Times New Roman"/>
          <w:sz w:val="20"/>
          <w:szCs w:val="20"/>
          <w:lang w:val="es-AR"/>
        </w:rPr>
        <w:t>”). Los intereses se computarán en base a un año de 360 días</w:t>
      </w:r>
      <w:r w:rsidR="0028340E">
        <w:rPr>
          <w:rFonts w:ascii="Garamond" w:hAnsi="Garamond" w:cs="Times New Roman"/>
          <w:sz w:val="20"/>
          <w:szCs w:val="20"/>
          <w:lang w:val="es-AR"/>
        </w:rPr>
        <w:t xml:space="preserve"> y</w:t>
      </w:r>
      <w:r w:rsidR="008F686E">
        <w:rPr>
          <w:rFonts w:ascii="Garamond" w:hAnsi="Garamond" w:cs="Times New Roman"/>
          <w:sz w:val="20"/>
          <w:szCs w:val="20"/>
          <w:lang w:val="es-AR"/>
        </w:rPr>
        <w:t xml:space="preserve"> 12 meses de 30 días cada uno</w:t>
      </w:r>
      <w:r w:rsidRPr="00CA0A60">
        <w:rPr>
          <w:rFonts w:ascii="Garamond" w:hAnsi="Garamond" w:cs="Times New Roman"/>
          <w:sz w:val="20"/>
          <w:szCs w:val="20"/>
          <w:lang w:val="es-AR"/>
        </w:rPr>
        <w:t>. El rescate o la recompra de las Obligaciones Negociables con los intereses devengados impagos hasta la fecha de rescate o recompra no afectará el derecho del Tenedor registrado en la fecha de registro a recibir el interés impago a la Fecha de Pago de Intereses.</w:t>
      </w:r>
    </w:p>
    <w:p w14:paraId="1B32FEB8" w14:textId="77777777" w:rsidR="00687E2F" w:rsidRPr="00CA0A60" w:rsidRDefault="00687E2F" w:rsidP="00687E2F">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b/>
          <w:i/>
          <w:sz w:val="20"/>
          <w:szCs w:val="20"/>
          <w:lang w:val="es-AR"/>
        </w:rPr>
        <w:t>Intereses Moratorios</w:t>
      </w:r>
    </w:p>
    <w:p w14:paraId="0E6287AD" w14:textId="171D957C" w:rsidR="00687E2F" w:rsidRPr="00CA0A60" w:rsidRDefault="00687E2F" w:rsidP="00687E2F">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Co-Emisoras pagarán intereses (incluidos aquellos que se devenguen posteriormente al inicio de un procedimiento al amparo de las leyes concursales o leyes similares, sujeto a las limitaciones establecidas en el artículo 19 de la </w:t>
      </w:r>
      <w:r w:rsidRPr="00CA0A60">
        <w:rPr>
          <w:rFonts w:ascii="Garamond" w:eastAsia="Calibri" w:hAnsi="Garamond" w:cs="Times New Roman"/>
          <w:color w:val="000000"/>
          <w:sz w:val="20"/>
          <w:szCs w:val="20"/>
          <w:lang w:val="es-AR" w:eastAsia="x-none"/>
        </w:rPr>
        <w:t>Ley N° 24.522 de Concursos y Quiebras de Argentina, y sus modificatorias</w:t>
      </w:r>
      <w:r w:rsidRPr="00CA0A60">
        <w:rPr>
          <w:rFonts w:ascii="Garamond" w:hAnsi="Garamond" w:cs="Times New Roman"/>
          <w:sz w:val="20"/>
          <w:szCs w:val="20"/>
          <w:lang w:val="es-AR"/>
        </w:rPr>
        <w:t xml:space="preserve">) por pagos vencidos </w:t>
      </w:r>
      <w:r w:rsidRPr="00CA0A60">
        <w:rPr>
          <w:rFonts w:ascii="Garamond" w:hAnsi="Garamond" w:cs="Times New Roman"/>
          <w:sz w:val="20"/>
          <w:szCs w:val="20"/>
          <w:lang w:val="es-AR"/>
        </w:rPr>
        <w:lastRenderedPageBreak/>
        <w:t xml:space="preserve">en virtud de las Obligaciones Negociables, desde sus respectivas fechas de vencimiento sin considerar los períodos de gracia que pudieran corresponder, a una tasa anual equivalente a la tasa de interés aplicable en ese entonces a las Obligaciones Negociables, </w:t>
      </w:r>
      <w:r w:rsidRPr="00CA0A60">
        <w:rPr>
          <w:rFonts w:ascii="Garamond" w:hAnsi="Garamond" w:cs="Times New Roman"/>
          <w:i/>
          <w:sz w:val="20"/>
          <w:szCs w:val="20"/>
          <w:lang w:val="es-AR"/>
        </w:rPr>
        <w:t>más</w:t>
      </w:r>
      <w:r w:rsidRPr="00CA0A60">
        <w:rPr>
          <w:rFonts w:ascii="Garamond" w:hAnsi="Garamond" w:cs="Times New Roman"/>
          <w:sz w:val="20"/>
          <w:szCs w:val="20"/>
          <w:lang w:val="es-AR"/>
        </w:rPr>
        <w:t xml:space="preserve"> un </w:t>
      </w:r>
      <w:r w:rsidR="001B0D0C">
        <w:rPr>
          <w:rFonts w:ascii="Garamond" w:hAnsi="Garamond" w:cs="Times New Roman"/>
          <w:sz w:val="20"/>
          <w:szCs w:val="20"/>
          <w:lang w:val="es-AR"/>
        </w:rPr>
        <w:t>5</w:t>
      </w:r>
      <w:r w:rsidRPr="00CA0A60">
        <w:rPr>
          <w:rFonts w:ascii="Garamond" w:hAnsi="Garamond" w:cs="Times New Roman"/>
          <w:sz w:val="20"/>
          <w:szCs w:val="20"/>
          <w:lang w:val="es-AR"/>
        </w:rPr>
        <w:t>,0%. Los intereses moratorios serán inmediatamente pagaderos y exigibles desde el momento en que comiencen a devengarse.</w:t>
      </w:r>
    </w:p>
    <w:p w14:paraId="74FBBF7A" w14:textId="77777777" w:rsidR="00687E2F" w:rsidRPr="00CA0A60" w:rsidRDefault="00687E2F" w:rsidP="00687E2F">
      <w:pPr>
        <w:widowControl w:val="0"/>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Amortización del Capital de las Obligaciones Negociables</w:t>
      </w:r>
    </w:p>
    <w:p w14:paraId="78ED9E08" w14:textId="6869CD66" w:rsidR="00687E2F" w:rsidRPr="00CA0A60" w:rsidRDefault="00687E2F" w:rsidP="00687E2F">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capital de las Obligaciones Negociables se pagará en diez (10) cuotas trimestrales iguales</w:t>
      </w:r>
      <w:r w:rsidR="00E74325">
        <w:rPr>
          <w:rFonts w:ascii="Garamond" w:hAnsi="Garamond" w:cs="Times New Roman"/>
          <w:sz w:val="20"/>
          <w:szCs w:val="20"/>
          <w:lang w:val="es-AR"/>
        </w:rPr>
        <w:t xml:space="preserve"> (conforme estos montos pudieran ser ajustados debido a la emisión de Obligaciones Negociables Adicionales, recompras o rescates, antes del vencimiento)</w:t>
      </w:r>
      <w:r w:rsidRPr="00CA0A60">
        <w:rPr>
          <w:rFonts w:ascii="Garamond" w:hAnsi="Garamond" w:cs="Times New Roman"/>
          <w:sz w:val="20"/>
          <w:szCs w:val="20"/>
          <w:lang w:val="es-AR"/>
        </w:rPr>
        <w:t>, cada una de esas cuotas a ser abonada en una Fecha de Pago de Intereses, a partir de la Fecha de Pago de Intereses en que se cumplan 18 meses de la Fecha de Emisión hasta la Fecha de Vencimiento.</w:t>
      </w:r>
      <w:r w:rsidR="00E74325">
        <w:rPr>
          <w:rFonts w:ascii="Garamond" w:hAnsi="Garamond" w:cs="Times New Roman"/>
          <w:sz w:val="20"/>
          <w:szCs w:val="20"/>
          <w:lang w:val="es-AR"/>
        </w:rPr>
        <w:t xml:space="preserve"> Los pagos de amortización del </w:t>
      </w:r>
      <w:r w:rsidR="00447C72">
        <w:rPr>
          <w:rFonts w:ascii="Garamond" w:hAnsi="Garamond" w:cs="Times New Roman"/>
          <w:sz w:val="20"/>
          <w:szCs w:val="20"/>
          <w:lang w:val="es-AR"/>
        </w:rPr>
        <w:t>c</w:t>
      </w:r>
      <w:r w:rsidR="00E74325">
        <w:rPr>
          <w:rFonts w:ascii="Garamond" w:hAnsi="Garamond" w:cs="Times New Roman"/>
          <w:sz w:val="20"/>
          <w:szCs w:val="20"/>
          <w:lang w:val="es-AR"/>
        </w:rPr>
        <w:t>apital de las Obligaciones Negociables serán hechos a los Tenedores registrados al cierre del Día Hábil inmediatamente anterior</w:t>
      </w:r>
      <w:r w:rsidR="00447C72">
        <w:rPr>
          <w:rFonts w:ascii="Garamond" w:hAnsi="Garamond" w:cs="Times New Roman"/>
          <w:sz w:val="20"/>
          <w:szCs w:val="20"/>
          <w:lang w:val="es-AR"/>
        </w:rPr>
        <w:t xml:space="preserve"> al día de la fecha de pago, de forma proporcional entre los Tenedores de Obligaciones Negociables pendientes de pago.</w:t>
      </w:r>
    </w:p>
    <w:p w14:paraId="4ED49CB4" w14:textId="77777777" w:rsidR="00687E2F" w:rsidRPr="00CA0A60" w:rsidRDefault="00687E2F" w:rsidP="00687E2F">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b/>
          <w:i/>
          <w:sz w:val="20"/>
          <w:szCs w:val="20"/>
          <w:lang w:val="es-AR"/>
        </w:rPr>
        <w:t>Pagos en General</w:t>
      </w:r>
    </w:p>
    <w:p w14:paraId="4D8C92B6" w14:textId="20EFFFC7" w:rsidR="00687E2F" w:rsidRPr="00CA0A60" w:rsidRDefault="00687E2F" w:rsidP="00687E2F">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Los pagos de capital, intereses, prima, si la hubiera, y Montos Adicionales, si los hubiera, sobre las Obligaciones Negociables serán efectuados en las oficinas o agencia que las Co-Emisoras designen a tal fin o, a opción del agente de pago que corresponda, el pago de intereses </w:t>
      </w:r>
      <w:r w:rsidR="00830740">
        <w:rPr>
          <w:rFonts w:ascii="Garamond" w:hAnsi="Garamond" w:cs="Times New Roman"/>
          <w:sz w:val="20"/>
          <w:szCs w:val="20"/>
          <w:lang w:val="es-AR"/>
        </w:rPr>
        <w:t xml:space="preserve">a los Tenedores </w:t>
      </w:r>
      <w:r w:rsidR="00D415A4">
        <w:rPr>
          <w:rFonts w:ascii="Garamond" w:hAnsi="Garamond" w:cs="Times New Roman"/>
          <w:sz w:val="20"/>
          <w:szCs w:val="20"/>
          <w:lang w:val="es-AR"/>
        </w:rPr>
        <w:t xml:space="preserve">de obligaciones negociables </w:t>
      </w:r>
      <w:r w:rsidRPr="00CA0A60">
        <w:rPr>
          <w:rFonts w:ascii="Garamond" w:hAnsi="Garamond" w:cs="Times New Roman"/>
          <w:sz w:val="20"/>
          <w:szCs w:val="20"/>
          <w:lang w:val="es-AR"/>
        </w:rPr>
        <w:t>podrá efectuarse mediante cheque enviado a los Tenedores al domicilio que conste en el registro de Tenedores; todos los pagos de capital, interese</w:t>
      </w:r>
      <w:r w:rsidR="00C40481" w:rsidRPr="00CA0A60">
        <w:rPr>
          <w:rFonts w:ascii="Garamond" w:hAnsi="Garamond" w:cs="Times New Roman"/>
          <w:sz w:val="20"/>
          <w:szCs w:val="20"/>
          <w:lang w:val="es-AR"/>
        </w:rPr>
        <w:t>s</w:t>
      </w:r>
      <w:r w:rsidRPr="00CA0A60">
        <w:rPr>
          <w:rFonts w:ascii="Garamond" w:hAnsi="Garamond" w:cs="Times New Roman"/>
          <w:sz w:val="20"/>
          <w:szCs w:val="20"/>
          <w:lang w:val="es-AR"/>
        </w:rPr>
        <w:t xml:space="preserve">, prima, si la hubiera, y Montos Adicionales, si los hubiera, correspondientes a Obligaciones Negociables representadas en uno o más Certificados Globales (tal como se definen a continuación) registradas en nombre de o mantenidas por DTC o en su nombre o por su representante designado se realizará por transferencia electrónica de fondos de disponibilidad inmediata a DTC. Las oficinas o agencia de las Co-Emisoras será la oficina del </w:t>
      </w:r>
      <w:r w:rsidR="00830740">
        <w:rPr>
          <w:rFonts w:ascii="Garamond" w:hAnsi="Garamond" w:cs="Times New Roman"/>
          <w:sz w:val="20"/>
          <w:szCs w:val="20"/>
          <w:lang w:val="es-AR"/>
        </w:rPr>
        <w:t>agente de pago</w:t>
      </w:r>
      <w:r w:rsidRPr="00CA0A60">
        <w:rPr>
          <w:rFonts w:ascii="Garamond" w:hAnsi="Garamond" w:cs="Times New Roman"/>
          <w:sz w:val="20"/>
          <w:szCs w:val="20"/>
          <w:lang w:val="es-AR"/>
        </w:rPr>
        <w:t xml:space="preserve"> designada a tal fin, salvo que las Co-Emisoras designen otras.</w:t>
      </w:r>
    </w:p>
    <w:p w14:paraId="24E52A7C" w14:textId="77777777" w:rsidR="00687E2F" w:rsidRPr="00CA0A60" w:rsidRDefault="00687E2F" w:rsidP="00687E2F">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 cualquier Fecha de Pago de Intereses distinta de la Fecha de Vencimiento de las Obligaciones Negociables tuviera lugar en un día que no fuera un Día Hábil, la Fecha de Pago de Intereses se pospondrá al Día Hábil próximo subsiguiente, con la excepción de que si el Día Hábil cayera en el mes calendario próximo siguiente, la Fecha de Pago de Intereses será el Día Hábil inmediatamente anterior. Si una Fecha de Pago de Intereses fuera pospuesta o adelantada, el monto de intereses para el Período de Intereses correspondiente se ajustará en consecuencia. Si la Fecha de Vencimiento de las Obligaciones Negociables cayera en un día que no fuera un Día Hábil, el pago requerido de capital, prima, si hubiera, y/o intereses se realizará el Día Hábil inmediatamente anterior.</w:t>
      </w:r>
    </w:p>
    <w:p w14:paraId="3BF134B1" w14:textId="77777777" w:rsidR="00C13A25" w:rsidRPr="00CA0A60" w:rsidRDefault="00C13A25" w:rsidP="00C13A25">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72" w:name="bookmark154"/>
      <w:r w:rsidRPr="00CA0A60">
        <w:rPr>
          <w:rFonts w:ascii="Garamond" w:hAnsi="Garamond" w:cs="Times New Roman"/>
          <w:b/>
          <w:i/>
          <w:sz w:val="20"/>
          <w:szCs w:val="20"/>
          <w:lang w:val="es-AR"/>
        </w:rPr>
        <w:t xml:space="preserve">Garantías de ASA </w:t>
      </w:r>
      <w:bookmarkEnd w:id="72"/>
    </w:p>
    <w:p w14:paraId="2F7F3E5F" w14:textId="3C0D6E78" w:rsidR="00C13A25" w:rsidRPr="00CA0A60" w:rsidRDefault="00C13A25" w:rsidP="00C13A2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 conformidad con el Contrato de Fideicomiso, las obligaciones de las Co-Emisoras</w:t>
      </w:r>
      <w:r w:rsidR="00526F0C">
        <w:rPr>
          <w:rFonts w:ascii="Garamond" w:hAnsi="Garamond" w:cs="Times New Roman"/>
          <w:sz w:val="20"/>
          <w:szCs w:val="20"/>
          <w:lang w:val="es-AR"/>
        </w:rPr>
        <w:t>, bajo los términos del Contrato de Fideicomiso y de las Obligaciones Negociables,</w:t>
      </w:r>
      <w:r w:rsidRPr="00CA0A60">
        <w:rPr>
          <w:rFonts w:ascii="Garamond" w:hAnsi="Garamond" w:cs="Times New Roman"/>
          <w:sz w:val="20"/>
          <w:szCs w:val="20"/>
          <w:lang w:val="es-AR"/>
        </w:rPr>
        <w:t xml:space="preserve"> estarán incondicionalmente </w:t>
      </w:r>
      <w:r w:rsidR="00D26420" w:rsidRPr="00CA0A60">
        <w:rPr>
          <w:rFonts w:ascii="Garamond" w:hAnsi="Garamond" w:cs="Times New Roman"/>
          <w:sz w:val="20"/>
          <w:szCs w:val="20"/>
          <w:lang w:val="es-AR"/>
        </w:rPr>
        <w:t xml:space="preserve">afianzadas </w:t>
      </w:r>
      <w:r w:rsidRPr="00CA0A60">
        <w:rPr>
          <w:rFonts w:ascii="Garamond" w:hAnsi="Garamond" w:cs="Times New Roman"/>
          <w:sz w:val="20"/>
          <w:szCs w:val="20"/>
          <w:lang w:val="es-AR"/>
        </w:rPr>
        <w:t xml:space="preserve">en su totalidad, en forma solidaria, con garantía común sobre su patrimonio, (i) inicialmente, por el Garante; y (ii) posteriormente, por (i) cualquier Subsidiaria Restringida del Garante que deba brindar una Garantía con respecto a las Obligaciones Negociables de acuerdo con el compromiso del Contrato de Fideicomiso descripto bajo </w:t>
      </w:r>
      <w:r w:rsidRPr="00CA3A3D">
        <w:rPr>
          <w:rFonts w:ascii="Garamond" w:hAnsi="Garamond" w:cs="Times New Roman"/>
          <w:i/>
          <w:iCs/>
          <w:sz w:val="20"/>
          <w:szCs w:val="20"/>
          <w:lang w:val="es-AR"/>
        </w:rPr>
        <w:t>“—Garantías de Obligaciones Negociables Futuras”.</w:t>
      </w:r>
    </w:p>
    <w:p w14:paraId="3F8894B5" w14:textId="77777777" w:rsidR="00C13A25" w:rsidRPr="00CA0A60" w:rsidRDefault="00C13A25" w:rsidP="00C13A2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Garantías de ASA:</w:t>
      </w:r>
    </w:p>
    <w:p w14:paraId="75BDC78E" w14:textId="77777777"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serán una obligación directa, incondicional, y no subordinada de cada Garante;</w:t>
      </w:r>
    </w:p>
    <w:p w14:paraId="0C9D90B2" w14:textId="77777777"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dispondrán que cada Garante será solidariamente responsable con las Co-Emisoras por todas las sumas adeudadas en relación con las Obligaciones Negociables, incluidas las sumas adeudadas en concepto de capital, intereses, primas, o Montos Adicionales, si los hubiera, u otros conceptos;</w:t>
      </w:r>
    </w:p>
    <w:p w14:paraId="13C4A4C1" w14:textId="1B272C33"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tendrán el mismo </w:t>
      </w:r>
      <w:r w:rsidR="00D26420" w:rsidRPr="00CA0A60">
        <w:rPr>
          <w:rFonts w:ascii="Garamond" w:hAnsi="Garamond" w:cs="Times New Roman"/>
          <w:sz w:val="20"/>
          <w:szCs w:val="20"/>
          <w:lang w:val="es-AR"/>
        </w:rPr>
        <w:t xml:space="preserve">grado </w:t>
      </w:r>
      <w:r w:rsidRPr="00CA0A60">
        <w:rPr>
          <w:rFonts w:ascii="Garamond" w:hAnsi="Garamond" w:cs="Times New Roman"/>
          <w:sz w:val="20"/>
          <w:szCs w:val="20"/>
          <w:lang w:val="es-AR"/>
        </w:rPr>
        <w:t>de privilegio de pago de todas las demás obligaciones no subordinadas de cada Garante, actuales y futuras, salvo por ciertas obligaciones que gozan de tratamiento preferente por disposiciones legales o por imperio de la ley;</w:t>
      </w:r>
    </w:p>
    <w:p w14:paraId="79F13A67" w14:textId="77777777"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tendrán privilegio de pago en relación con todas las deudas subordinadas, si hubiera, de cada Garante, actuales y futuras,</w:t>
      </w:r>
    </w:p>
    <w:p w14:paraId="365A8DC2" w14:textId="77777777"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estarán efectivamente subordinadas a todas las deudas garantizadas, si hubiera, de cada Garante, actuales o futuras hasta la concurrencia del valor de los activos que garantizan dichas deudas, y</w:t>
      </w:r>
    </w:p>
    <w:p w14:paraId="4AFD2D8F" w14:textId="77777777"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estarán estructuralmente subordinadas a todas las deudas u otras obligaciones (con inclusión de las cuentas comerciales a pagar), actuales y futuras, si hubiera, de las Subsidiarias de cada Garante que no Garanticen las Obligaciones Negociables.</w:t>
      </w:r>
    </w:p>
    <w:p w14:paraId="6DC997DF" w14:textId="3CCA1DDB" w:rsidR="00C13A25" w:rsidRPr="00CA0A60" w:rsidRDefault="00C13A25" w:rsidP="00C13A2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la Fecha de Emisión, con la excepción de GECE, todas las Subsidiarias del Garante (incluidas GEMSA y </w:t>
      </w:r>
      <w:r w:rsidRPr="00CA0A60">
        <w:rPr>
          <w:rFonts w:ascii="Garamond" w:hAnsi="Garamond" w:cs="Times New Roman"/>
          <w:sz w:val="20"/>
          <w:szCs w:val="20"/>
          <w:lang w:val="es-AR"/>
        </w:rPr>
        <w:lastRenderedPageBreak/>
        <w:t xml:space="preserve">CTR) serán Subsidiarias Restringidas según el Contrato de Fideicomiso. No obstante, a la Fecha de Emisión, sólo el Garante será </w:t>
      </w:r>
      <w:r w:rsidR="007178F4" w:rsidRPr="00CA0A60">
        <w:rPr>
          <w:rFonts w:ascii="Garamond" w:hAnsi="Garamond" w:cs="Times New Roman"/>
          <w:sz w:val="20"/>
          <w:szCs w:val="20"/>
          <w:lang w:val="es-AR"/>
        </w:rPr>
        <w:t>g</w:t>
      </w:r>
      <w:r w:rsidRPr="00CA0A60">
        <w:rPr>
          <w:rFonts w:ascii="Garamond" w:hAnsi="Garamond" w:cs="Times New Roman"/>
          <w:sz w:val="20"/>
          <w:szCs w:val="20"/>
          <w:lang w:val="es-AR"/>
        </w:rPr>
        <w:t>arante de las Obligaciones Negociables. Generación Rosario S.A., la única Subsidiaria Restringida del Garante a la Fecha de Emisión, no garantizará las Obligaciones Negociables. Solalban Energía S.A. no es una Subsidiaria del Garante y como tal no está sujeta a las restricciones de los compromisos asumidos en virtud del Contrato de Fideicomiso. Ni GEMSA ni CTR tienen Subsidiarias a la Fecha de Emisión.</w:t>
      </w:r>
    </w:p>
    <w:p w14:paraId="69D42671" w14:textId="06F54517" w:rsidR="00C13A25" w:rsidRPr="00CA0A60" w:rsidRDefault="00C13A25" w:rsidP="00C13A2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Cada Subsidiaria Restringida que brinde una Garantía de las Obligaciones Negociables después de la Fecha de Emisión y suscriba el respectivo contrato de fideicomiso suplementario al Contrato de Fideicomiso pasará a ser un Garante a todos los fines del Contrato de Fideicomiso.</w:t>
      </w:r>
    </w:p>
    <w:p w14:paraId="0AD3B491" w14:textId="77777777" w:rsidR="00C13A25" w:rsidRPr="00CA0A60" w:rsidRDefault="00C13A25" w:rsidP="00C13A2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Garantías de ASA se limitarán en lo necesario al monto máximo que no torne las obligaciones de cualquier Garante pasibles de ser invalidadas según las disposiciones sobre transferencias ilícitas de la Ley Aplicable o leyes similares que afecten los derechos de los acreedores en general. En virtud de esta limitación, las obligaciones de los Garantes en virtud de las Garantías de ASA aplicables podrían ser significativamente menores que las sumas pagaderas respecto de las Obligaciones Negociables. </w:t>
      </w:r>
    </w:p>
    <w:p w14:paraId="76C2C749" w14:textId="77777777" w:rsidR="00C13A25" w:rsidRPr="00CA0A60" w:rsidRDefault="00C13A25" w:rsidP="00C13A25">
      <w:pPr>
        <w:widowControl w:val="0"/>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Garantías sobre Obligaciones Negociables Futuras</w:t>
      </w:r>
    </w:p>
    <w:p w14:paraId="29642698" w14:textId="05F38189" w:rsidR="00C13A25" w:rsidRPr="00CA0A60" w:rsidRDefault="00C13A25" w:rsidP="00C13A2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 el Garante ni las Co-Emisoras permitirán que ninguna de sus Subsidiarias Restringidas Garantice, directa o indirectamente, Deuda del Garante, de una Co-Emisora o de otro Garante a menos que dicha Subsidiaria Restringida se convierta en Garante dentro de los 30 días de dicha Garantía, mediante la suscripción y otorgamiento al Fiduciario de un contrato de fideicomiso suplementario que prevea su Garantía de las Obligaciones Negociables (y entregue al Fiduciario un Dictamen Legal con respecto a ella), cuya Garantía de las Obligaciones Negociables tendrá un privilegio mayor en cuanto a derecho de pago, o estará en un pie de igualdad en cuanto a su derecho de pago, que la otra Garantía de dicha otra Deuda constituida por dicha compañía, según corresponda.</w:t>
      </w:r>
    </w:p>
    <w:p w14:paraId="46205521" w14:textId="30E82FD4" w:rsidR="00C13A25" w:rsidRPr="00CA0A60" w:rsidRDefault="00C13A25" w:rsidP="00C13A25">
      <w:pPr>
        <w:keepNext/>
        <w:widowControl w:val="0"/>
        <w:tabs>
          <w:tab w:val="left" w:pos="284"/>
          <w:tab w:val="left" w:pos="709"/>
          <w:tab w:val="left" w:pos="8789"/>
        </w:tabs>
        <w:spacing w:before="120" w:after="120" w:line="240" w:lineRule="auto"/>
        <w:jc w:val="both"/>
        <w:rPr>
          <w:rFonts w:ascii="Garamond" w:eastAsia="Times New Roman" w:hAnsi="Garamond" w:cs="Times New Roman"/>
          <w:b/>
          <w:bCs/>
          <w:iCs/>
          <w:sz w:val="20"/>
          <w:szCs w:val="20"/>
          <w:lang w:val="es-AR"/>
        </w:rPr>
      </w:pPr>
      <w:r w:rsidRPr="00CA0A60">
        <w:rPr>
          <w:rFonts w:ascii="Garamond" w:eastAsia="Times New Roman" w:hAnsi="Garamond" w:cs="Times New Roman"/>
          <w:b/>
          <w:bCs/>
          <w:iCs/>
          <w:sz w:val="20"/>
          <w:szCs w:val="20"/>
          <w:lang w:val="es-AR"/>
        </w:rPr>
        <w:t>Liberación de las Garantías de ASA</w:t>
      </w:r>
    </w:p>
    <w:p w14:paraId="616E9C0B" w14:textId="77777777" w:rsidR="00C13A25" w:rsidRPr="00CA0A60" w:rsidRDefault="00C13A25" w:rsidP="00C13A25">
      <w:pPr>
        <w:widowControl w:val="0"/>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Garantías de ASA quedarán automática e incondicionalmente liberadas (y por consiguiente se extinguirán y carecerán de efectos):</w:t>
      </w:r>
    </w:p>
    <w:p w14:paraId="6B652FA7" w14:textId="77777777"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ante la venta, cesión, transferencia, transmisión o disposición de otro tipo (incluso mediante fusión propiamente dicha o fusión por absorción) del Garante pertinente (distinto del Garante) o ante la venta o disposición de la totalidad o sustancialmente la totalidad de los activos del Garante pertinente (distinto del Garante) a favor de una Persona distinta del Garante, las Co-Emisoras o una Subsidiaria Restringida de ellas, en la medida que dicha venta o disposición estuviera permitida por el Contrato de Fideicomiso;</w:t>
      </w:r>
    </w:p>
    <w:p w14:paraId="23E21BD2" w14:textId="77777777"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ante la venta, cesión, transferencia, transmisión o disposición de otro tipo (incluso mediante fusión propiamente dicha o fusión por absorción) de la totalidad o una parte de las participaciones de capital del Garante pertinente (distinto del Garante) a favor de una Persona distinta del Garante, las Co-Emisoras u otra Subsidiaria Restringida de ellas si, como consecuencia de dicha venta, cesión, transferencia, transmisión o disposición de otro tipo dicho Garante (distinto del Garante) dejara de ser una Subsidiaria del Garante, de una de las Co-Emisoras (o de una de sus Subsidiarias Restringidas), en la medida que dicha venta o disposición estuviera permitida por el Contrato de Fideicomiso;</w:t>
      </w:r>
    </w:p>
    <w:p w14:paraId="34520E66" w14:textId="771208BE"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caso de </w:t>
      </w:r>
      <w:r w:rsidR="004E5941" w:rsidRPr="004E5941">
        <w:rPr>
          <w:rFonts w:ascii="Garamond" w:hAnsi="Garamond" w:cs="Times New Roman"/>
          <w:sz w:val="20"/>
          <w:szCs w:val="20"/>
          <w:lang w:val="es-AR"/>
        </w:rPr>
        <w:t>C</w:t>
      </w:r>
      <w:r w:rsidRPr="004E5941">
        <w:rPr>
          <w:rFonts w:ascii="Garamond" w:hAnsi="Garamond" w:cs="Times New Roman"/>
          <w:sz w:val="20"/>
          <w:szCs w:val="20"/>
          <w:lang w:val="es-AR"/>
        </w:rPr>
        <w:t xml:space="preserve">ancelación </w:t>
      </w:r>
      <w:r w:rsidR="004E5941" w:rsidRPr="004E5941">
        <w:rPr>
          <w:rFonts w:ascii="Garamond" w:hAnsi="Garamond" w:cs="Times New Roman"/>
          <w:sz w:val="20"/>
          <w:szCs w:val="20"/>
          <w:lang w:val="es-AR"/>
        </w:rPr>
        <w:t>L</w:t>
      </w:r>
      <w:r w:rsidRPr="004E5941">
        <w:rPr>
          <w:rFonts w:ascii="Garamond" w:hAnsi="Garamond" w:cs="Times New Roman"/>
          <w:sz w:val="20"/>
          <w:szCs w:val="20"/>
          <w:lang w:val="es-AR"/>
        </w:rPr>
        <w:t>egal</w:t>
      </w:r>
      <w:r w:rsidRPr="00CA0A60">
        <w:rPr>
          <w:rFonts w:ascii="Garamond" w:hAnsi="Garamond" w:cs="Times New Roman"/>
          <w:sz w:val="20"/>
          <w:szCs w:val="20"/>
          <w:lang w:val="es-AR"/>
        </w:rPr>
        <w:t xml:space="preserve"> de las Obligaciones Negociables o cumplimiento y liberación del Contrato de Fideicomiso, según lo dispuesto en “</w:t>
      </w:r>
      <w:r w:rsidRPr="00CA0A60">
        <w:rPr>
          <w:rFonts w:ascii="Garamond" w:hAnsi="Garamond" w:cs="Times New Roman"/>
          <w:sz w:val="20"/>
          <w:szCs w:val="20"/>
          <w:lang w:val="es-AR"/>
        </w:rPr>
        <w:noBreakHyphen/>
      </w:r>
      <w:r w:rsidRPr="00CA0A60">
        <w:rPr>
          <w:rFonts w:ascii="Garamond" w:hAnsi="Garamond" w:cs="Times New Roman"/>
          <w:sz w:val="20"/>
          <w:szCs w:val="20"/>
          <w:lang w:val="es-AR"/>
        </w:rPr>
        <w:noBreakHyphen/>
      </w:r>
      <w:r w:rsidRPr="00CA0A60">
        <w:rPr>
          <w:rFonts w:ascii="Garamond" w:hAnsi="Garamond" w:cs="Times New Roman"/>
          <w:i/>
          <w:sz w:val="20"/>
          <w:szCs w:val="20"/>
          <w:lang w:val="es-AR"/>
        </w:rPr>
        <w:t>Cancelación Legal y Cancelación de Compromisos</w:t>
      </w:r>
      <w:r w:rsidRPr="00CA0A60">
        <w:rPr>
          <w:rFonts w:ascii="Garamond" w:hAnsi="Garamond" w:cs="Times New Roman"/>
          <w:sz w:val="20"/>
          <w:szCs w:val="20"/>
          <w:lang w:val="es-AR"/>
        </w:rPr>
        <w:t>” y “</w:t>
      </w:r>
      <w:r w:rsidRPr="00CA0A60">
        <w:rPr>
          <w:rFonts w:ascii="Garamond" w:hAnsi="Garamond" w:cs="Times New Roman"/>
          <w:i/>
          <w:sz w:val="20"/>
          <w:szCs w:val="20"/>
          <w:lang w:val="es-AR"/>
        </w:rPr>
        <w:t>Cumplimiento y Liberación</w:t>
      </w:r>
      <w:r w:rsidRPr="00CA0A60">
        <w:rPr>
          <w:rFonts w:ascii="Garamond" w:hAnsi="Garamond" w:cs="Times New Roman"/>
          <w:sz w:val="20"/>
          <w:szCs w:val="20"/>
          <w:lang w:val="es-AR"/>
        </w:rPr>
        <w:t>”;</w:t>
      </w:r>
    </w:p>
    <w:p w14:paraId="4AFF20FE" w14:textId="45C64C62"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únicamente en el caso de una Garantía de las Obligaciones Negociables constituida en virtud del compromiso del Contrato de Fideicomiso descripto bajo el título “—</w:t>
      </w:r>
      <w:r w:rsidRPr="00CA0A60">
        <w:rPr>
          <w:rFonts w:ascii="Garamond" w:hAnsi="Garamond" w:cs="Times New Roman"/>
          <w:i/>
          <w:sz w:val="20"/>
          <w:szCs w:val="20"/>
          <w:lang w:val="es-AR"/>
        </w:rPr>
        <w:t>Garantías de Obligaciones Negociables Futuras</w:t>
      </w:r>
      <w:r w:rsidRPr="00CA0A60">
        <w:rPr>
          <w:rFonts w:ascii="Garamond" w:hAnsi="Garamond" w:cs="Times New Roman"/>
          <w:sz w:val="20"/>
          <w:szCs w:val="20"/>
          <w:lang w:val="es-AR"/>
        </w:rPr>
        <w:t>”, ante la liberación o el descargo de la Garantía que derivó en la constitución de dicha Garantía de las Obligaciones Negociables en virtud del Contrato de Fideicomiso, a excepción de una liberación o descargo por el pago de esa Garantía de las Obligaciones Negociables o como consecuencia del mismo; o</w:t>
      </w:r>
    </w:p>
    <w:p w14:paraId="38A1841E" w14:textId="77777777" w:rsidR="00C13A25" w:rsidRPr="00CA0A60" w:rsidRDefault="00C13A25" w:rsidP="00C13A25">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caso de pago total del capital de todas las Obligaciones Negociables en circulación y de toda otra obligación según el Contrato de Fideicomiso y de las Obligaciones Negociables pagaderas y exigibles.</w:t>
      </w:r>
    </w:p>
    <w:p w14:paraId="2756568E" w14:textId="6B35A7B2" w:rsidR="00C13A25" w:rsidRPr="00CA0A60" w:rsidRDefault="00C13A25" w:rsidP="00C13A25">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Al ocurrir alguno de los hechos que den origen a la liberación de una Garantía de ASA según lo especificado, el Fiduciario, una vez recibido el Certificado de Directivos del Garante y una Opinión Legal en los cuales se declara que todas las condiciones suspensivas para producir dicha liberación se han cumplido, celebrará los documentos que razonablemente soliciten las Co-Emisoras a fin de evidenciar y hacer efectivos la liberación, descargo o vencimiento de esa Garantía de ASA. El Garante, las Co-Emisoras, los demás Garantes y el Fiduciario no estarán obligados a incluir comentarios en las Obligaciones Negociables con el fin de reflejar una Garantía de las Obligaciones Negociables ni su liberación, vencimiento o descargo.</w:t>
      </w:r>
    </w:p>
    <w:p w14:paraId="4609EBD3" w14:textId="77777777" w:rsidR="00C13A25" w:rsidRPr="00CA0A60" w:rsidRDefault="00C13A25" w:rsidP="00A438F1">
      <w:pPr>
        <w:keepNext/>
        <w:keepLines/>
        <w:tabs>
          <w:tab w:val="left" w:pos="284"/>
          <w:tab w:val="left" w:pos="709"/>
          <w:tab w:val="left" w:pos="8789"/>
        </w:tabs>
        <w:spacing w:before="120" w:after="120" w:line="240" w:lineRule="auto"/>
        <w:jc w:val="both"/>
        <w:rPr>
          <w:rFonts w:ascii="Garamond" w:eastAsia="Times New Roman" w:hAnsi="Garamond" w:cs="Times New Roman"/>
          <w:b/>
          <w:bCs/>
          <w:sz w:val="20"/>
          <w:szCs w:val="20"/>
          <w:lang w:val="es-AR" w:eastAsia="zh-CN"/>
        </w:rPr>
      </w:pPr>
      <w:r w:rsidRPr="00CA0A60">
        <w:rPr>
          <w:rFonts w:ascii="Garamond" w:eastAsia="Times New Roman" w:hAnsi="Garamond" w:cs="Times New Roman"/>
          <w:b/>
          <w:bCs/>
          <w:sz w:val="20"/>
          <w:szCs w:val="20"/>
          <w:lang w:val="es-AR" w:eastAsia="zh-CN"/>
        </w:rPr>
        <w:lastRenderedPageBreak/>
        <w:t>Derechos de Garantía</w:t>
      </w:r>
    </w:p>
    <w:p w14:paraId="05A8DA58" w14:textId="1926BA82" w:rsidR="00C13A25" w:rsidRPr="00CA0A60" w:rsidRDefault="00C13A25" w:rsidP="00A438F1">
      <w:pPr>
        <w:keepNext/>
        <w:keepLines/>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Sujeto a las limitaciones previstas en la sección titulada “—</w:t>
      </w:r>
      <w:r w:rsidRPr="00CA0A60">
        <w:rPr>
          <w:rFonts w:ascii="Garamond" w:hAnsi="Garamond" w:cs="Times New Roman"/>
          <w:i/>
          <w:sz w:val="20"/>
          <w:szCs w:val="20"/>
          <w:lang w:val="es-AR"/>
        </w:rPr>
        <w:t>Limitaciones a los Derechos de Garantía</w:t>
      </w:r>
      <w:r w:rsidRPr="00CA0A60">
        <w:rPr>
          <w:rFonts w:ascii="Garamond" w:hAnsi="Garamond" w:cs="Times New Roman"/>
          <w:sz w:val="20"/>
          <w:szCs w:val="20"/>
          <w:lang w:val="es-AR"/>
        </w:rPr>
        <w:t xml:space="preserve">”, el pago debido y puntual de los montos de capital, intereses, prima, si hubiera, y Montos Adicionales, si hubiera, respecto de las Obligaciones Negociables, cuando y según éstas se tornen exigibles y pagaderas, ya sea en una Fecha de Pago de Intereses, a su vencimiento, por motivo de caducidad de plazos, recompra, rescate o de otra forma, estarán garantizados por un Gravamen </w:t>
      </w:r>
      <w:r w:rsidR="004E5941">
        <w:rPr>
          <w:rFonts w:ascii="Garamond" w:hAnsi="Garamond" w:cs="Times New Roman"/>
          <w:sz w:val="20"/>
          <w:szCs w:val="20"/>
          <w:lang w:val="es-AR"/>
        </w:rPr>
        <w:t xml:space="preserve">en primer o segundo grado de privilegio </w:t>
      </w:r>
      <w:r w:rsidRPr="00CA0A60">
        <w:rPr>
          <w:rFonts w:ascii="Garamond" w:hAnsi="Garamond" w:cs="Times New Roman"/>
          <w:sz w:val="20"/>
          <w:szCs w:val="20"/>
          <w:lang w:val="es-AR"/>
        </w:rPr>
        <w:t>(según se define más adelante) sobre los siguientes bienes (en conjunto, los "</w:t>
      </w:r>
      <w:r w:rsidRPr="00CA0A60">
        <w:rPr>
          <w:rFonts w:ascii="Garamond" w:hAnsi="Garamond" w:cs="Times New Roman"/>
          <w:sz w:val="20"/>
          <w:szCs w:val="20"/>
          <w:u w:val="single"/>
          <w:lang w:val="es-AR"/>
        </w:rPr>
        <w:t>Derechos de Garantía</w:t>
      </w:r>
      <w:r w:rsidRPr="00CA0A60">
        <w:rPr>
          <w:rFonts w:ascii="Garamond" w:hAnsi="Garamond" w:cs="Times New Roman"/>
          <w:sz w:val="20"/>
          <w:szCs w:val="20"/>
          <w:lang w:val="es-AR"/>
        </w:rPr>
        <w:t>"), conforme a los términos del Artículo 3 de la Ley de Obligaciones Negociables de Argentina:</w:t>
      </w:r>
    </w:p>
    <w:p w14:paraId="39CD0988" w14:textId="46023ABB" w:rsidR="00C13A25" w:rsidRPr="00CA0A60" w:rsidRDefault="00C13A25" w:rsidP="00C13A25">
      <w:pPr>
        <w:widowControl w:val="0"/>
        <w:numPr>
          <w:ilvl w:val="0"/>
          <w:numId w:val="131"/>
        </w:numPr>
        <w:tabs>
          <w:tab w:val="left" w:pos="284"/>
          <w:tab w:val="left" w:pos="709"/>
        </w:tabs>
        <w:spacing w:before="120" w:after="120" w:line="240" w:lineRule="auto"/>
        <w:ind w:left="720"/>
        <w:jc w:val="both"/>
        <w:outlineLvl w:val="7"/>
        <w:rPr>
          <w:rFonts w:ascii="Garamond" w:eastAsia="Times New Roman" w:hAnsi="Garamond" w:cs="Times New Roman"/>
          <w:sz w:val="20"/>
          <w:szCs w:val="20"/>
          <w:lang w:val="es-AR" w:eastAsia="zh-CN"/>
        </w:rPr>
      </w:pPr>
      <w:r w:rsidRPr="00CA0A60">
        <w:rPr>
          <w:rFonts w:ascii="Garamond" w:eastAsia="Times New Roman" w:hAnsi="Garamond" w:cs="Times New Roman"/>
          <w:sz w:val="20"/>
          <w:szCs w:val="20"/>
          <w:lang w:val="es-AR" w:eastAsia="zh-CN"/>
        </w:rPr>
        <w:t>por una cesión fiduciaria en garantía de</w:t>
      </w:r>
      <w:r w:rsidR="004F7CE2" w:rsidRPr="00CA0A60">
        <w:rPr>
          <w:rFonts w:ascii="Garamond" w:eastAsia="Times New Roman" w:hAnsi="Garamond" w:cs="Times New Roman"/>
          <w:sz w:val="20"/>
          <w:szCs w:val="20"/>
          <w:lang w:val="es-AR" w:eastAsia="zh-CN"/>
        </w:rPr>
        <w:t xml:space="preserve"> (i)</w:t>
      </w:r>
      <w:r w:rsidRPr="00CA0A60">
        <w:rPr>
          <w:rFonts w:ascii="Garamond" w:eastAsia="Times New Roman" w:hAnsi="Garamond" w:cs="Times New Roman"/>
          <w:sz w:val="20"/>
          <w:szCs w:val="20"/>
          <w:lang w:val="es-AR" w:eastAsia="zh-CN"/>
        </w:rPr>
        <w:t xml:space="preserve"> la totalidad de los derechos, actuales y futuros, de GEMSA de recibir cualquier monto y crédito en virtud de, con respecto a y/o en relación con los CCEE (los “</w:t>
      </w:r>
      <w:r w:rsidRPr="00CA0A60">
        <w:rPr>
          <w:rFonts w:ascii="Garamond" w:eastAsia="Times New Roman" w:hAnsi="Garamond" w:cs="Times New Roman"/>
          <w:sz w:val="20"/>
          <w:szCs w:val="20"/>
          <w:u w:val="single"/>
          <w:lang w:val="es-AR" w:eastAsia="zh-CN"/>
        </w:rPr>
        <w:t>Derechos de Garantía sobre los CCEE</w:t>
      </w:r>
      <w:r w:rsidRPr="00CA0A60">
        <w:rPr>
          <w:rFonts w:ascii="Garamond" w:eastAsia="Times New Roman" w:hAnsi="Garamond" w:cs="Times New Roman"/>
          <w:sz w:val="20"/>
          <w:szCs w:val="20"/>
          <w:lang w:val="es-AR" w:eastAsia="zh-CN"/>
        </w:rPr>
        <w:t xml:space="preserve">”) </w:t>
      </w:r>
      <w:r w:rsidR="004F7CE2" w:rsidRPr="00CA0A60">
        <w:rPr>
          <w:rFonts w:ascii="Garamond" w:eastAsia="Times New Roman" w:hAnsi="Garamond" w:cs="Times New Roman"/>
          <w:sz w:val="20"/>
          <w:szCs w:val="20"/>
          <w:lang w:val="es-AR" w:eastAsia="zh-CN"/>
        </w:rPr>
        <w:t>y (ii) cie</w:t>
      </w:r>
      <w:r w:rsidR="00DF6632" w:rsidRPr="00CA0A60">
        <w:rPr>
          <w:rFonts w:ascii="Garamond" w:eastAsia="Times New Roman" w:hAnsi="Garamond" w:cs="Times New Roman"/>
          <w:sz w:val="20"/>
          <w:szCs w:val="20"/>
          <w:lang w:val="es-AR" w:eastAsia="zh-CN"/>
        </w:rPr>
        <w:t>r</w:t>
      </w:r>
      <w:r w:rsidR="004F7CE2" w:rsidRPr="00CA0A60">
        <w:rPr>
          <w:rFonts w:ascii="Garamond" w:eastAsia="Times New Roman" w:hAnsi="Garamond" w:cs="Times New Roman"/>
          <w:sz w:val="20"/>
          <w:szCs w:val="20"/>
          <w:lang w:val="es-AR" w:eastAsia="zh-CN"/>
        </w:rPr>
        <w:t xml:space="preserve">tos derechos y fondos pagaderos en virtud de pólizas de seguro relacionadas con los Equipos y el Inmueble Independencia, </w:t>
      </w:r>
      <w:r w:rsidRPr="00CA0A60">
        <w:rPr>
          <w:rFonts w:ascii="Garamond" w:eastAsia="Times New Roman" w:hAnsi="Garamond" w:cs="Times New Roman"/>
          <w:sz w:val="20"/>
          <w:szCs w:val="20"/>
          <w:lang w:val="es-AR" w:eastAsia="zh-CN"/>
        </w:rPr>
        <w:t xml:space="preserve">de conformidad con el Contrato de Fideicomiso con Fines de Garantía Argentino (según se define más adelante); quedando establecido que </w:t>
      </w:r>
      <w:r w:rsidR="002E369C" w:rsidRPr="00CA0A60">
        <w:rPr>
          <w:rFonts w:ascii="Garamond" w:eastAsia="Times New Roman" w:hAnsi="Garamond" w:cs="Times New Roman"/>
          <w:sz w:val="20"/>
          <w:szCs w:val="20"/>
          <w:lang w:val="es-AR" w:eastAsia="zh-CN"/>
        </w:rPr>
        <w:t xml:space="preserve">en </w:t>
      </w:r>
      <w:r w:rsidR="004F7CE2" w:rsidRPr="00CA0A60">
        <w:rPr>
          <w:rFonts w:ascii="Garamond" w:eastAsia="Times New Roman" w:hAnsi="Garamond" w:cs="Times New Roman"/>
          <w:sz w:val="20"/>
          <w:szCs w:val="20"/>
          <w:lang w:val="es-AR" w:eastAsia="zh-CN"/>
        </w:rPr>
        <w:t xml:space="preserve">lo que respecta </w:t>
      </w:r>
      <w:r w:rsidR="002E369C" w:rsidRPr="00CA0A60">
        <w:rPr>
          <w:rFonts w:ascii="Garamond" w:eastAsia="Times New Roman" w:hAnsi="Garamond" w:cs="Times New Roman"/>
          <w:sz w:val="20"/>
          <w:szCs w:val="20"/>
          <w:lang w:val="es-AR" w:eastAsia="zh-CN"/>
        </w:rPr>
        <w:t xml:space="preserve">a los CCEE de Siemens </w:t>
      </w:r>
      <w:r w:rsidRPr="00CA0A60">
        <w:rPr>
          <w:rFonts w:ascii="Garamond" w:eastAsia="Times New Roman" w:hAnsi="Garamond" w:cs="Times New Roman"/>
          <w:sz w:val="20"/>
          <w:szCs w:val="20"/>
          <w:lang w:val="es-AR" w:eastAsia="zh-CN"/>
        </w:rPr>
        <w:t xml:space="preserve">esa cesión fiduciaria en garantía </w:t>
      </w:r>
      <w:r w:rsidR="004F7CE2" w:rsidRPr="00CA0A60">
        <w:rPr>
          <w:rFonts w:ascii="Garamond" w:eastAsia="Times New Roman" w:hAnsi="Garamond" w:cs="Times New Roman"/>
          <w:sz w:val="20"/>
          <w:szCs w:val="20"/>
          <w:lang w:val="es-AR" w:eastAsia="zh-CN"/>
        </w:rPr>
        <w:t>se</w:t>
      </w:r>
      <w:r w:rsidRPr="00CA0A60">
        <w:rPr>
          <w:rFonts w:ascii="Garamond" w:eastAsia="Times New Roman" w:hAnsi="Garamond" w:cs="Times New Roman"/>
          <w:sz w:val="20"/>
          <w:szCs w:val="20"/>
          <w:lang w:val="es-AR" w:eastAsia="zh-CN"/>
        </w:rPr>
        <w:t xml:space="preserve"> perfeccionar</w:t>
      </w:r>
      <w:r w:rsidR="004F7CE2" w:rsidRPr="00CA0A60">
        <w:rPr>
          <w:rFonts w:ascii="Garamond" w:eastAsia="Times New Roman" w:hAnsi="Garamond" w:cs="Times New Roman"/>
          <w:sz w:val="20"/>
          <w:szCs w:val="20"/>
          <w:lang w:val="es-AR" w:eastAsia="zh-CN"/>
        </w:rPr>
        <w:t>á</w:t>
      </w:r>
      <w:r w:rsidRPr="00CA0A60">
        <w:rPr>
          <w:rFonts w:ascii="Garamond" w:eastAsia="Times New Roman" w:hAnsi="Garamond" w:cs="Times New Roman"/>
          <w:sz w:val="20"/>
          <w:szCs w:val="20"/>
          <w:lang w:val="es-AR" w:eastAsia="zh-CN"/>
        </w:rPr>
        <w:t xml:space="preserve"> </w:t>
      </w:r>
      <w:r w:rsidR="004F7CE2" w:rsidRPr="00CA0A60">
        <w:rPr>
          <w:rFonts w:ascii="Garamond" w:eastAsia="Times New Roman" w:hAnsi="Garamond" w:cs="Times New Roman"/>
          <w:sz w:val="20"/>
          <w:szCs w:val="20"/>
          <w:lang w:val="es-AR" w:eastAsia="zh-CN"/>
        </w:rPr>
        <w:t xml:space="preserve">ante la entrega </w:t>
      </w:r>
      <w:r w:rsidRPr="00CA0A60">
        <w:rPr>
          <w:rFonts w:ascii="Garamond" w:eastAsia="Times New Roman" w:hAnsi="Garamond" w:cs="Times New Roman"/>
          <w:sz w:val="20"/>
          <w:szCs w:val="20"/>
          <w:lang w:val="es-AR" w:eastAsia="zh-CN"/>
        </w:rPr>
        <w:t xml:space="preserve">de una notificación de cesión escrita </w:t>
      </w:r>
      <w:r w:rsidR="004F7CE2" w:rsidRPr="00CA0A60">
        <w:rPr>
          <w:rFonts w:ascii="Garamond" w:eastAsia="Times New Roman" w:hAnsi="Garamond" w:cs="Times New Roman"/>
          <w:sz w:val="20"/>
          <w:szCs w:val="20"/>
          <w:lang w:val="es-AR" w:eastAsia="zh-CN"/>
        </w:rPr>
        <w:t xml:space="preserve">a ser </w:t>
      </w:r>
      <w:r w:rsidRPr="00CA0A60">
        <w:rPr>
          <w:rFonts w:ascii="Garamond" w:eastAsia="Times New Roman" w:hAnsi="Garamond" w:cs="Times New Roman"/>
          <w:sz w:val="20"/>
          <w:szCs w:val="20"/>
          <w:lang w:val="es-AR" w:eastAsia="zh-CN"/>
        </w:rPr>
        <w:t xml:space="preserve">cursada a CAMMESA ante escribano público después de la cancelación total de la </w:t>
      </w:r>
      <w:r w:rsidR="00B816E3" w:rsidRPr="00CA0A60">
        <w:rPr>
          <w:rFonts w:ascii="Garamond" w:eastAsia="Times New Roman" w:hAnsi="Garamond" w:cs="Times New Roman"/>
          <w:sz w:val="20"/>
          <w:szCs w:val="20"/>
          <w:lang w:val="es-AR" w:eastAsia="zh-CN"/>
        </w:rPr>
        <w:t>Deuda de Siemens</w:t>
      </w:r>
      <w:r w:rsidRPr="00CA0A60">
        <w:rPr>
          <w:rFonts w:ascii="Garamond" w:eastAsia="Times New Roman" w:hAnsi="Garamond" w:cs="Times New Roman"/>
          <w:sz w:val="20"/>
          <w:szCs w:val="20"/>
          <w:lang w:val="es-AR" w:eastAsia="zh-CN"/>
        </w:rPr>
        <w:t xml:space="preserve"> en la Fecha de Emisión con los fondos obtenidos de las Obligaciones Negociables y luego del cumplimiento por parte del Garante y las Co-Emisoras de los compromisos </w:t>
      </w:r>
      <w:r w:rsidR="001B0D0C">
        <w:rPr>
          <w:rFonts w:ascii="Garamond" w:eastAsia="Times New Roman" w:hAnsi="Garamond" w:cs="Times New Roman"/>
          <w:sz w:val="20"/>
          <w:szCs w:val="20"/>
          <w:lang w:val="es-AR" w:eastAsia="zh-CN"/>
        </w:rPr>
        <w:t xml:space="preserve">del Contrato de Fideicomiso </w:t>
      </w:r>
      <w:r w:rsidRPr="00CA0A60">
        <w:rPr>
          <w:rFonts w:ascii="Garamond" w:eastAsia="Times New Roman" w:hAnsi="Garamond" w:cs="Times New Roman"/>
          <w:sz w:val="20"/>
          <w:szCs w:val="20"/>
          <w:lang w:val="es-AR" w:eastAsia="zh-CN"/>
        </w:rPr>
        <w:t>descriptos bajo el título “</w:t>
      </w:r>
      <w:r w:rsidRPr="00CA0A60">
        <w:rPr>
          <w:rFonts w:ascii="Garamond" w:eastAsia="Times New Roman" w:hAnsi="Garamond" w:cs="Times New Roman"/>
          <w:i/>
          <w:sz w:val="20"/>
          <w:szCs w:val="20"/>
          <w:lang w:val="es-AR" w:eastAsia="zh-CN"/>
        </w:rPr>
        <w:t>Ciertos Compromisos – Preservación de Derechos bajo los Documentos de Garantía</w:t>
      </w:r>
      <w:r w:rsidRPr="00CA0A60">
        <w:rPr>
          <w:rFonts w:ascii="Garamond" w:eastAsia="Times New Roman" w:hAnsi="Garamond" w:cs="Times New Roman"/>
          <w:sz w:val="20"/>
          <w:szCs w:val="20"/>
          <w:lang w:val="es-AR" w:eastAsia="zh-CN"/>
        </w:rPr>
        <w:t>”;</w:t>
      </w:r>
    </w:p>
    <w:p w14:paraId="09F37CA7" w14:textId="53A675CB" w:rsidR="00C13A25" w:rsidRPr="00CA0A60" w:rsidRDefault="00C13A25" w:rsidP="00C13A25">
      <w:pPr>
        <w:widowControl w:val="0"/>
        <w:numPr>
          <w:ilvl w:val="0"/>
          <w:numId w:val="131"/>
        </w:numPr>
        <w:tabs>
          <w:tab w:val="left" w:pos="284"/>
          <w:tab w:val="left" w:pos="709"/>
        </w:tabs>
        <w:spacing w:before="120" w:after="120" w:line="240" w:lineRule="auto"/>
        <w:ind w:left="720"/>
        <w:jc w:val="both"/>
        <w:outlineLvl w:val="7"/>
        <w:rPr>
          <w:rFonts w:ascii="Garamond" w:eastAsia="Times New Roman" w:hAnsi="Garamond" w:cs="Times New Roman"/>
          <w:sz w:val="20"/>
          <w:szCs w:val="20"/>
          <w:lang w:val="es-AR" w:eastAsia="zh-CN"/>
        </w:rPr>
      </w:pPr>
      <w:r w:rsidRPr="00CA0A60">
        <w:rPr>
          <w:rFonts w:ascii="Garamond" w:eastAsia="Times New Roman" w:hAnsi="Garamond" w:cs="Times New Roman"/>
          <w:sz w:val="20"/>
          <w:szCs w:val="20"/>
          <w:lang w:val="es-AR" w:eastAsia="zh-CN"/>
        </w:rPr>
        <w:t>por un Gravamen en primer grado de privilegio sobre el derecho real de dominio y todos los demás derechos de GEMSA sobre los Equipos y los demás derechos de GEMSA relacionados (incluyendo la indemnización en caso de Expropiación, en cada caso, respecto de dichos Equipos) (los “</w:t>
      </w:r>
      <w:r w:rsidRPr="00CA0A60">
        <w:rPr>
          <w:rFonts w:ascii="Garamond" w:eastAsia="Times New Roman" w:hAnsi="Garamond" w:cs="Times New Roman"/>
          <w:sz w:val="20"/>
          <w:szCs w:val="20"/>
          <w:u w:val="single"/>
          <w:lang w:val="es-AR" w:eastAsia="zh-CN"/>
        </w:rPr>
        <w:t>Derechos de Garantía sobre los Equipos</w:t>
      </w:r>
      <w:r w:rsidRPr="00CA0A60">
        <w:rPr>
          <w:rFonts w:ascii="Garamond" w:eastAsia="Times New Roman" w:hAnsi="Garamond" w:cs="Times New Roman"/>
          <w:sz w:val="20"/>
          <w:szCs w:val="20"/>
          <w:lang w:val="es-AR" w:eastAsia="zh-CN"/>
        </w:rPr>
        <w:t xml:space="preserve">”), en virtud de los Contratos de Prenda en Primer Grado de Privilegio Argentinos (según se definen más adelante); </w:t>
      </w:r>
      <w:r w:rsidRPr="00CA0A60">
        <w:rPr>
          <w:rFonts w:ascii="Garamond" w:eastAsia="Times New Roman" w:hAnsi="Garamond" w:cs="Times New Roman"/>
          <w:i/>
          <w:sz w:val="20"/>
          <w:szCs w:val="20"/>
          <w:lang w:val="es-AR" w:eastAsia="zh-CN"/>
        </w:rPr>
        <w:t>quedando establecido</w:t>
      </w:r>
      <w:r w:rsidRPr="00CA0A60">
        <w:rPr>
          <w:rFonts w:ascii="Garamond" w:eastAsia="Times New Roman" w:hAnsi="Garamond" w:cs="Times New Roman"/>
          <w:sz w:val="20"/>
          <w:szCs w:val="20"/>
          <w:lang w:val="es-AR" w:eastAsia="zh-CN"/>
        </w:rPr>
        <w:t xml:space="preserve"> que, con respecto a los Equipos de Siemens que garantizan </w:t>
      </w:r>
      <w:r w:rsidR="00107479" w:rsidRPr="00CA0A60">
        <w:rPr>
          <w:rFonts w:ascii="Garamond" w:eastAsia="Times New Roman" w:hAnsi="Garamond" w:cs="Times New Roman"/>
          <w:sz w:val="20"/>
          <w:szCs w:val="20"/>
          <w:lang w:val="es-AR" w:eastAsia="zh-CN"/>
        </w:rPr>
        <w:t>la</w:t>
      </w:r>
      <w:r w:rsidRPr="00CA0A60">
        <w:rPr>
          <w:rFonts w:ascii="Garamond" w:eastAsia="Times New Roman" w:hAnsi="Garamond" w:cs="Times New Roman"/>
          <w:sz w:val="20"/>
          <w:szCs w:val="20"/>
          <w:lang w:val="es-AR" w:eastAsia="zh-CN"/>
        </w:rPr>
        <w:t xml:space="preserve"> </w:t>
      </w:r>
      <w:r w:rsidR="00107479" w:rsidRPr="00CA0A60">
        <w:rPr>
          <w:rFonts w:ascii="Garamond" w:eastAsia="Times New Roman" w:hAnsi="Garamond" w:cs="Times New Roman"/>
          <w:sz w:val="20"/>
          <w:szCs w:val="20"/>
          <w:lang w:val="es-AR" w:eastAsia="zh-CN"/>
        </w:rPr>
        <w:t xml:space="preserve">Deuda </w:t>
      </w:r>
      <w:r w:rsidRPr="00CA0A60">
        <w:rPr>
          <w:rFonts w:ascii="Garamond" w:eastAsia="Times New Roman" w:hAnsi="Garamond" w:cs="Times New Roman"/>
          <w:sz w:val="20"/>
          <w:szCs w:val="20"/>
          <w:lang w:val="es-AR" w:eastAsia="zh-CN"/>
        </w:rPr>
        <w:t>de Siemens antes de la Fecha de Emisión, el Gravamen constituido sobre los mismos constituirá, inicialmente, un Gravamen en segundo grado de privilegio en virtud de</w:t>
      </w:r>
      <w:r w:rsidR="00411600" w:rsidRPr="00CA0A60">
        <w:rPr>
          <w:rFonts w:ascii="Garamond" w:eastAsia="Times New Roman" w:hAnsi="Garamond" w:cs="Times New Roman"/>
          <w:sz w:val="20"/>
          <w:szCs w:val="20"/>
          <w:lang w:val="es-AR" w:eastAsia="zh-CN"/>
        </w:rPr>
        <w:t>l</w:t>
      </w:r>
      <w:r w:rsidRPr="00CA0A60">
        <w:rPr>
          <w:rFonts w:ascii="Garamond" w:eastAsia="Times New Roman" w:hAnsi="Garamond" w:cs="Times New Roman"/>
          <w:sz w:val="20"/>
          <w:szCs w:val="20"/>
          <w:lang w:val="es-AR" w:eastAsia="zh-CN"/>
        </w:rPr>
        <w:t xml:space="preserve"> Contrato de Prenda en Segundo Grado de Privilegio </w:t>
      </w:r>
      <w:r w:rsidR="00B70CAF" w:rsidRPr="00CA0A60">
        <w:rPr>
          <w:rFonts w:ascii="Garamond" w:eastAsia="Times New Roman" w:hAnsi="Garamond" w:cs="Times New Roman"/>
          <w:sz w:val="20"/>
          <w:szCs w:val="20"/>
          <w:lang w:val="es-AR" w:eastAsia="zh-CN"/>
        </w:rPr>
        <w:t xml:space="preserve">Argentino </w:t>
      </w:r>
      <w:r w:rsidRPr="00CA0A60">
        <w:rPr>
          <w:rFonts w:ascii="Garamond" w:eastAsia="Times New Roman" w:hAnsi="Garamond" w:cs="Times New Roman"/>
          <w:sz w:val="20"/>
          <w:szCs w:val="20"/>
          <w:lang w:val="es-AR" w:eastAsia="zh-CN"/>
        </w:rPr>
        <w:t xml:space="preserve">(según se definen más adelante) y, luego de la cancelación total de la </w:t>
      </w:r>
      <w:r w:rsidR="00B816E3" w:rsidRPr="00CA0A60">
        <w:rPr>
          <w:rFonts w:ascii="Garamond" w:eastAsia="Times New Roman" w:hAnsi="Garamond" w:cs="Times New Roman"/>
          <w:sz w:val="20"/>
          <w:szCs w:val="20"/>
          <w:lang w:val="es-AR" w:eastAsia="zh-CN"/>
        </w:rPr>
        <w:t>Deuda de Siemens</w:t>
      </w:r>
      <w:r w:rsidRPr="00CA0A60">
        <w:rPr>
          <w:rFonts w:ascii="Garamond" w:eastAsia="Times New Roman" w:hAnsi="Garamond" w:cs="Times New Roman"/>
          <w:sz w:val="20"/>
          <w:szCs w:val="20"/>
          <w:lang w:val="es-AR" w:eastAsia="zh-CN"/>
        </w:rPr>
        <w:t xml:space="preserve"> en la Fecha de Emisión con los fondos obtenidos de las Obligaciones Negociables y luego del cumplimiento por parte del Garante y las Co-Emisoras de los compromisos </w:t>
      </w:r>
      <w:r w:rsidR="001B0D0C">
        <w:rPr>
          <w:rFonts w:ascii="Garamond" w:eastAsia="Times New Roman" w:hAnsi="Garamond" w:cs="Times New Roman"/>
          <w:sz w:val="20"/>
          <w:szCs w:val="20"/>
          <w:lang w:val="es-AR" w:eastAsia="zh-CN"/>
        </w:rPr>
        <w:t>del Contrato de Fideicomiso</w:t>
      </w:r>
      <w:r w:rsidR="001B0D0C" w:rsidRPr="00CA0A60">
        <w:rPr>
          <w:rFonts w:ascii="Garamond" w:eastAsia="Times New Roman" w:hAnsi="Garamond" w:cs="Times New Roman"/>
          <w:sz w:val="20"/>
          <w:szCs w:val="20"/>
          <w:lang w:val="es-AR" w:eastAsia="zh-CN"/>
        </w:rPr>
        <w:t xml:space="preserve"> </w:t>
      </w:r>
      <w:r w:rsidRPr="00CA0A60">
        <w:rPr>
          <w:rFonts w:ascii="Garamond" w:eastAsia="Times New Roman" w:hAnsi="Garamond" w:cs="Times New Roman"/>
          <w:sz w:val="20"/>
          <w:szCs w:val="20"/>
          <w:lang w:val="es-AR" w:eastAsia="zh-CN"/>
        </w:rPr>
        <w:t>descriptos bajo el título “</w:t>
      </w:r>
      <w:r w:rsidRPr="00CA0A60">
        <w:rPr>
          <w:rFonts w:ascii="Garamond" w:eastAsia="Times New Roman" w:hAnsi="Garamond" w:cs="Times New Roman"/>
          <w:i/>
          <w:sz w:val="20"/>
          <w:szCs w:val="20"/>
          <w:lang w:val="es-AR" w:eastAsia="zh-CN"/>
        </w:rPr>
        <w:t>Ciertos Compromisos – Preservación de Derechos bajo los Documentos de Garantía</w:t>
      </w:r>
      <w:r w:rsidRPr="00CA0A60">
        <w:rPr>
          <w:rFonts w:ascii="Garamond" w:eastAsia="Times New Roman" w:hAnsi="Garamond" w:cs="Times New Roman"/>
          <w:sz w:val="20"/>
          <w:szCs w:val="20"/>
          <w:lang w:val="es-AR" w:eastAsia="zh-CN"/>
        </w:rPr>
        <w:t xml:space="preserve">”, dicho Gravamen en segundo grado de privilegio se convertirá </w:t>
      </w:r>
      <w:r w:rsidR="004F7CE2" w:rsidRPr="00CA0A60">
        <w:rPr>
          <w:rFonts w:ascii="Garamond" w:eastAsia="Times New Roman" w:hAnsi="Garamond" w:cs="Times New Roman"/>
          <w:sz w:val="20"/>
          <w:szCs w:val="20"/>
          <w:lang w:val="es-AR" w:eastAsia="zh-CN"/>
        </w:rPr>
        <w:t xml:space="preserve">automáticamente </w:t>
      </w:r>
      <w:r w:rsidRPr="00CA0A60">
        <w:rPr>
          <w:rFonts w:ascii="Garamond" w:eastAsia="Times New Roman" w:hAnsi="Garamond" w:cs="Times New Roman"/>
          <w:sz w:val="20"/>
          <w:szCs w:val="20"/>
          <w:lang w:val="es-AR" w:eastAsia="zh-CN"/>
        </w:rPr>
        <w:t>en un Gravamen en primer grado de privilegio;</w:t>
      </w:r>
    </w:p>
    <w:p w14:paraId="5D01C8C4" w14:textId="567FA69D" w:rsidR="00C13A25" w:rsidRPr="006D6FF5" w:rsidRDefault="00C13A25" w:rsidP="00C13A25">
      <w:pPr>
        <w:widowControl w:val="0"/>
        <w:numPr>
          <w:ilvl w:val="0"/>
          <w:numId w:val="131"/>
        </w:numPr>
        <w:tabs>
          <w:tab w:val="left" w:pos="284"/>
          <w:tab w:val="left" w:pos="709"/>
        </w:tabs>
        <w:spacing w:before="120" w:after="120" w:line="240" w:lineRule="auto"/>
        <w:ind w:left="720"/>
        <w:jc w:val="both"/>
        <w:outlineLvl w:val="7"/>
        <w:rPr>
          <w:rFonts w:ascii="Garamond" w:eastAsia="Times New Roman" w:hAnsi="Garamond" w:cs="Times New Roman"/>
          <w:sz w:val="20"/>
          <w:szCs w:val="20"/>
          <w:lang w:val="es-AR" w:eastAsia="zh-CN"/>
        </w:rPr>
      </w:pPr>
      <w:r w:rsidRPr="00CA0A60">
        <w:rPr>
          <w:rFonts w:ascii="Garamond" w:eastAsia="Times New Roman" w:hAnsi="Garamond" w:cs="Times New Roman"/>
          <w:sz w:val="20"/>
          <w:szCs w:val="20"/>
          <w:lang w:val="es-AR" w:eastAsia="zh-CN"/>
        </w:rPr>
        <w:t xml:space="preserve">por </w:t>
      </w:r>
      <w:r w:rsidR="00A734AA" w:rsidRPr="00CA0A60">
        <w:rPr>
          <w:rFonts w:ascii="Garamond" w:eastAsia="Times New Roman" w:hAnsi="Garamond" w:cs="Times New Roman"/>
          <w:sz w:val="20"/>
          <w:szCs w:val="20"/>
          <w:lang w:val="es-AR" w:eastAsia="zh-CN"/>
        </w:rPr>
        <w:t>un Gravamen</w:t>
      </w:r>
      <w:r w:rsidRPr="00CA0A60">
        <w:rPr>
          <w:rFonts w:ascii="Garamond" w:eastAsia="Times New Roman" w:hAnsi="Garamond" w:cs="Times New Roman"/>
          <w:sz w:val="20"/>
          <w:szCs w:val="20"/>
          <w:lang w:val="es-AR" w:eastAsia="zh-CN"/>
        </w:rPr>
        <w:t xml:space="preserve"> en primer grado de privilegio sobre el derecho real de dominio y todos los demás derechos de GEMSA sobre </w:t>
      </w:r>
      <w:r w:rsidR="00107479" w:rsidRPr="00CA0A60">
        <w:rPr>
          <w:rFonts w:ascii="Garamond" w:eastAsia="Times New Roman" w:hAnsi="Garamond" w:cs="Times New Roman"/>
          <w:sz w:val="20"/>
          <w:szCs w:val="20"/>
          <w:lang w:val="es-AR" w:eastAsia="zh-CN"/>
        </w:rPr>
        <w:t>el</w:t>
      </w:r>
      <w:r w:rsidRPr="00CA0A60">
        <w:rPr>
          <w:rFonts w:ascii="Garamond" w:eastAsia="Times New Roman" w:hAnsi="Garamond" w:cs="Times New Roman"/>
          <w:sz w:val="20"/>
          <w:szCs w:val="20"/>
          <w:lang w:val="es-AR" w:eastAsia="zh-CN"/>
        </w:rPr>
        <w:t xml:space="preserve"> Inmueble Independencia y ciertos otros derechos de GEMSA en relación con ellos (incluyendo la indemnización en caso de </w:t>
      </w:r>
      <w:r w:rsidR="00522B6D" w:rsidRPr="00CA0A60">
        <w:rPr>
          <w:rFonts w:ascii="Garamond" w:eastAsia="Times New Roman" w:hAnsi="Garamond" w:cs="Times New Roman"/>
          <w:sz w:val="20"/>
          <w:szCs w:val="20"/>
          <w:lang w:val="es-AR" w:eastAsia="zh-CN"/>
        </w:rPr>
        <w:t>E</w:t>
      </w:r>
      <w:r w:rsidRPr="00CA0A60">
        <w:rPr>
          <w:rFonts w:ascii="Garamond" w:eastAsia="Times New Roman" w:hAnsi="Garamond" w:cs="Times New Roman"/>
          <w:sz w:val="20"/>
          <w:szCs w:val="20"/>
          <w:lang w:val="es-AR" w:eastAsia="zh-CN"/>
        </w:rPr>
        <w:t>xpropiación, en cada caso, respecto de dicho Inmueble Independencia) (los “</w:t>
      </w:r>
      <w:r w:rsidRPr="00CA0A60">
        <w:rPr>
          <w:rFonts w:ascii="Garamond" w:eastAsia="Times New Roman" w:hAnsi="Garamond" w:cs="Times New Roman"/>
          <w:sz w:val="20"/>
          <w:szCs w:val="20"/>
          <w:u w:val="single"/>
          <w:lang w:val="es-AR" w:eastAsia="zh-CN"/>
        </w:rPr>
        <w:t xml:space="preserve">Derechos de Garantía sobre </w:t>
      </w:r>
      <w:r w:rsidR="00A734AA" w:rsidRPr="00CA0A60">
        <w:rPr>
          <w:rFonts w:ascii="Garamond" w:eastAsia="Times New Roman" w:hAnsi="Garamond" w:cs="Times New Roman"/>
          <w:sz w:val="20"/>
          <w:szCs w:val="20"/>
          <w:u w:val="single"/>
          <w:lang w:val="es-AR" w:eastAsia="zh-CN"/>
        </w:rPr>
        <w:t>el</w:t>
      </w:r>
      <w:r w:rsidRPr="00CA0A60">
        <w:rPr>
          <w:rFonts w:ascii="Garamond" w:eastAsia="Times New Roman" w:hAnsi="Garamond" w:cs="Times New Roman"/>
          <w:sz w:val="20"/>
          <w:szCs w:val="20"/>
          <w:u w:val="single"/>
          <w:lang w:val="es-AR" w:eastAsia="zh-CN"/>
        </w:rPr>
        <w:t xml:space="preserve"> Inmueble Independencia</w:t>
      </w:r>
      <w:r w:rsidRPr="00CA0A60">
        <w:rPr>
          <w:rFonts w:ascii="Garamond" w:eastAsia="Times New Roman" w:hAnsi="Garamond" w:cs="Times New Roman"/>
          <w:sz w:val="20"/>
          <w:szCs w:val="20"/>
          <w:lang w:val="es-AR" w:eastAsia="zh-CN"/>
        </w:rPr>
        <w:t xml:space="preserve">”) de </w:t>
      </w:r>
      <w:r w:rsidRPr="006D6FF5">
        <w:rPr>
          <w:rFonts w:ascii="Garamond" w:eastAsia="Times New Roman" w:hAnsi="Garamond" w:cs="Times New Roman"/>
          <w:sz w:val="20"/>
          <w:szCs w:val="20"/>
          <w:lang w:val="es-AR" w:eastAsia="zh-CN"/>
        </w:rPr>
        <w:t>conformidad con la Escritura Hipotecaria Argentina (según se define más adelante);</w:t>
      </w:r>
    </w:p>
    <w:p w14:paraId="428C8C82" w14:textId="3703155E" w:rsidR="00F8596F" w:rsidRPr="00CA0A60" w:rsidRDefault="006D6FF5" w:rsidP="00C13A25">
      <w:pPr>
        <w:widowControl w:val="0"/>
        <w:numPr>
          <w:ilvl w:val="0"/>
          <w:numId w:val="131"/>
        </w:numPr>
        <w:tabs>
          <w:tab w:val="left" w:pos="284"/>
          <w:tab w:val="left" w:pos="709"/>
        </w:tabs>
        <w:spacing w:before="120" w:after="120" w:line="240" w:lineRule="auto"/>
        <w:ind w:left="720"/>
        <w:jc w:val="both"/>
        <w:outlineLvl w:val="7"/>
        <w:rPr>
          <w:rFonts w:ascii="Garamond" w:eastAsia="Times New Roman" w:hAnsi="Garamond" w:cs="Times New Roman"/>
          <w:sz w:val="20"/>
          <w:szCs w:val="20"/>
          <w:lang w:val="es-AR" w:eastAsia="zh-CN"/>
        </w:rPr>
      </w:pPr>
      <w:r w:rsidRPr="006D6FF5">
        <w:rPr>
          <w:rFonts w:ascii="Garamond" w:eastAsia="Times New Roman" w:hAnsi="Garamond" w:cs="Times New Roman"/>
          <w:sz w:val="20"/>
          <w:szCs w:val="20"/>
          <w:lang w:val="es-AR" w:eastAsia="zh-CN"/>
        </w:rPr>
        <w:t xml:space="preserve">por un Gravamen en primer grado de privilegio sobre todo derecho o título de las Co-Emisoras sobre </w:t>
      </w:r>
      <w:r w:rsidR="00C13A25" w:rsidRPr="006D6FF5">
        <w:rPr>
          <w:rFonts w:ascii="Garamond" w:eastAsia="Times New Roman" w:hAnsi="Garamond" w:cs="Times New Roman"/>
          <w:sz w:val="20"/>
          <w:szCs w:val="20"/>
          <w:lang w:val="es-AR" w:eastAsia="zh-CN"/>
        </w:rPr>
        <w:t>la Cuenta de</w:t>
      </w:r>
      <w:r w:rsidR="00C13A25" w:rsidRPr="00CA0A60">
        <w:rPr>
          <w:rFonts w:ascii="Garamond" w:eastAsia="Times New Roman" w:hAnsi="Garamond" w:cs="Times New Roman"/>
          <w:sz w:val="20"/>
          <w:szCs w:val="20"/>
          <w:lang w:val="es-AR" w:eastAsia="zh-CN"/>
        </w:rPr>
        <w:t xml:space="preserve"> Reserva para Servicio de Deuda (según se define más adelante) y cualquier fondo </w:t>
      </w:r>
      <w:r>
        <w:rPr>
          <w:rFonts w:ascii="Garamond" w:eastAsia="Times New Roman" w:hAnsi="Garamond" w:cs="Times New Roman"/>
          <w:sz w:val="20"/>
          <w:szCs w:val="20"/>
          <w:lang w:val="es-AR" w:eastAsia="zh-CN"/>
        </w:rPr>
        <w:t xml:space="preserve">o Equivalente de Efectivo, </w:t>
      </w:r>
      <w:r w:rsidR="00C13A25" w:rsidRPr="00CA0A60">
        <w:rPr>
          <w:rFonts w:ascii="Garamond" w:eastAsia="Times New Roman" w:hAnsi="Garamond" w:cs="Times New Roman"/>
          <w:sz w:val="20"/>
          <w:szCs w:val="20"/>
          <w:lang w:val="es-AR" w:eastAsia="zh-CN"/>
        </w:rPr>
        <w:t>depositado en dicha cuenta, de conformidad con el Contrato</w:t>
      </w:r>
      <w:r>
        <w:rPr>
          <w:rFonts w:ascii="Garamond" w:eastAsia="Times New Roman" w:hAnsi="Garamond" w:cs="Times New Roman"/>
          <w:sz w:val="20"/>
          <w:szCs w:val="20"/>
          <w:lang w:val="es-AR" w:eastAsia="zh-CN"/>
        </w:rPr>
        <w:t xml:space="preserve"> de Fideicomiso</w:t>
      </w:r>
      <w:r w:rsidR="00C13A25" w:rsidRPr="00CA0A60">
        <w:rPr>
          <w:rFonts w:ascii="Garamond" w:eastAsia="Times New Roman" w:hAnsi="Garamond" w:cs="Times New Roman"/>
          <w:sz w:val="20"/>
          <w:szCs w:val="20"/>
          <w:lang w:val="es-AR" w:eastAsia="zh-CN"/>
        </w:rPr>
        <w:t xml:space="preserve">; </w:t>
      </w:r>
    </w:p>
    <w:p w14:paraId="287FE697" w14:textId="75F7A5FE" w:rsidR="00C13A25" w:rsidRPr="00CA0A60" w:rsidRDefault="00197FE5" w:rsidP="00C13A25">
      <w:pPr>
        <w:widowControl w:val="0"/>
        <w:numPr>
          <w:ilvl w:val="0"/>
          <w:numId w:val="131"/>
        </w:numPr>
        <w:tabs>
          <w:tab w:val="left" w:pos="284"/>
          <w:tab w:val="left" w:pos="709"/>
        </w:tabs>
        <w:spacing w:before="120" w:after="120" w:line="240" w:lineRule="auto"/>
        <w:ind w:left="720"/>
        <w:jc w:val="both"/>
        <w:outlineLvl w:val="7"/>
        <w:rPr>
          <w:rFonts w:ascii="Garamond" w:eastAsia="Times New Roman" w:hAnsi="Garamond" w:cs="Times New Roman"/>
          <w:sz w:val="20"/>
          <w:szCs w:val="20"/>
          <w:lang w:val="es-AR" w:eastAsia="zh-CN"/>
        </w:rPr>
      </w:pPr>
      <w:r w:rsidRPr="005419AD">
        <w:rPr>
          <w:rFonts w:ascii="Garamond" w:eastAsia="Times New Roman" w:hAnsi="Garamond" w:cs="Times New Roman"/>
          <w:sz w:val="20"/>
          <w:szCs w:val="20"/>
          <w:lang w:val="es-AR" w:eastAsia="zh-CN"/>
        </w:rPr>
        <w:t xml:space="preserve">por un Gravamen en primer grado de privilegio sobre todo derecho o título de las Co-Emisoras sobre </w:t>
      </w:r>
      <w:r w:rsidR="00F8596F" w:rsidRPr="00CA0A60">
        <w:rPr>
          <w:rFonts w:ascii="Garamond" w:eastAsia="Times New Roman" w:hAnsi="Garamond" w:cs="Times New Roman"/>
          <w:sz w:val="20"/>
          <w:szCs w:val="20"/>
          <w:lang w:val="es-AR" w:eastAsia="zh-CN"/>
        </w:rPr>
        <w:t xml:space="preserve">la Cuenta Recaudadora (según se define más adelante) </w:t>
      </w:r>
      <w:r w:rsidR="00C13A25" w:rsidRPr="00CA0A60">
        <w:rPr>
          <w:rFonts w:ascii="Garamond" w:eastAsia="Times New Roman" w:hAnsi="Garamond" w:cs="Times New Roman"/>
          <w:sz w:val="20"/>
          <w:szCs w:val="20"/>
          <w:lang w:val="es-AR" w:eastAsia="zh-CN"/>
        </w:rPr>
        <w:t>y</w:t>
      </w:r>
      <w:r w:rsidR="00F8596F" w:rsidRPr="00CA0A60">
        <w:rPr>
          <w:rFonts w:ascii="Garamond" w:eastAsia="Times New Roman" w:hAnsi="Garamond" w:cs="Times New Roman"/>
          <w:sz w:val="20"/>
          <w:szCs w:val="20"/>
          <w:lang w:val="es-AR" w:eastAsia="zh-CN"/>
        </w:rPr>
        <w:t xml:space="preserve"> los fondos depositados en la misma en virtud del Contrato de Fideicomiso con Fines de Garantía Argentino; y</w:t>
      </w:r>
    </w:p>
    <w:p w14:paraId="4DBDEB19" w14:textId="0C5778B7" w:rsidR="00C13A25" w:rsidRPr="00CA0A60" w:rsidRDefault="00F548A4" w:rsidP="00C13A25">
      <w:pPr>
        <w:widowControl w:val="0"/>
        <w:numPr>
          <w:ilvl w:val="0"/>
          <w:numId w:val="131"/>
        </w:numPr>
        <w:tabs>
          <w:tab w:val="left" w:pos="284"/>
          <w:tab w:val="left" w:pos="709"/>
        </w:tabs>
        <w:spacing w:before="120" w:after="120" w:line="240" w:lineRule="auto"/>
        <w:ind w:left="720"/>
        <w:jc w:val="both"/>
        <w:outlineLvl w:val="7"/>
        <w:rPr>
          <w:rFonts w:ascii="Garamond" w:eastAsia="Times New Roman" w:hAnsi="Garamond" w:cs="Times New Roman"/>
          <w:sz w:val="20"/>
          <w:szCs w:val="20"/>
          <w:lang w:val="es-AR" w:eastAsia="zh-CN"/>
        </w:rPr>
      </w:pPr>
      <w:r>
        <w:rPr>
          <w:rFonts w:ascii="Garamond" w:eastAsia="Times New Roman" w:hAnsi="Garamond" w:cs="Times New Roman"/>
          <w:sz w:val="20"/>
          <w:szCs w:val="20"/>
          <w:lang w:val="es-AR" w:eastAsia="zh-CN"/>
        </w:rPr>
        <w:t xml:space="preserve">por un Gravamen en primer grado de privilegio sobre todo derecho o título de </w:t>
      </w:r>
      <w:r w:rsidR="00C13A25" w:rsidRPr="00CA0A60">
        <w:rPr>
          <w:rFonts w:ascii="Garamond" w:eastAsia="Times New Roman" w:hAnsi="Garamond" w:cs="Times New Roman"/>
          <w:sz w:val="20"/>
          <w:szCs w:val="20"/>
          <w:lang w:val="es-AR" w:eastAsia="zh-CN"/>
        </w:rPr>
        <w:t>tod</w:t>
      </w:r>
      <w:r w:rsidR="00814233">
        <w:rPr>
          <w:rFonts w:ascii="Garamond" w:eastAsia="Times New Roman" w:hAnsi="Garamond" w:cs="Times New Roman"/>
          <w:sz w:val="20"/>
          <w:szCs w:val="20"/>
          <w:lang w:val="es-AR" w:eastAsia="zh-CN"/>
        </w:rPr>
        <w:t>a Persona sobre</w:t>
      </w:r>
      <w:r w:rsidR="00C13A25" w:rsidRPr="00CA0A60">
        <w:rPr>
          <w:rFonts w:ascii="Garamond" w:eastAsia="Times New Roman" w:hAnsi="Garamond" w:cs="Times New Roman"/>
          <w:sz w:val="20"/>
          <w:szCs w:val="20"/>
          <w:lang w:val="es-AR" w:eastAsia="zh-CN"/>
        </w:rPr>
        <w:t xml:space="preserve"> otro bien mueble e inmueble sobre el que se constituyan, periódicamente, derechos de garantía real o Gravámenes otorgados en virtud de los Documentos de Garantía</w:t>
      </w:r>
      <w:r w:rsidR="00B9347C">
        <w:rPr>
          <w:rFonts w:ascii="Garamond" w:eastAsia="Times New Roman" w:hAnsi="Garamond" w:cs="Times New Roman"/>
          <w:sz w:val="20"/>
          <w:szCs w:val="20"/>
          <w:lang w:val="es-AR" w:eastAsia="zh-CN"/>
        </w:rPr>
        <w:t xml:space="preserve"> en beneficio de las Partes Garantizadas</w:t>
      </w:r>
      <w:r w:rsidR="00C13A25" w:rsidRPr="00CA0A60">
        <w:rPr>
          <w:rFonts w:ascii="Garamond" w:eastAsia="Times New Roman" w:hAnsi="Garamond" w:cs="Times New Roman"/>
          <w:sz w:val="20"/>
          <w:szCs w:val="20"/>
          <w:lang w:val="es-AR" w:eastAsia="zh-CN"/>
        </w:rPr>
        <w:t>.</w:t>
      </w:r>
    </w:p>
    <w:p w14:paraId="09F0F96C" w14:textId="1E668E2E" w:rsidR="00C13A25" w:rsidRPr="00CA0A60" w:rsidRDefault="00C13A25" w:rsidP="00C13A25">
      <w:pPr>
        <w:widowControl w:val="0"/>
        <w:tabs>
          <w:tab w:val="left" w:pos="284"/>
          <w:tab w:val="left" w:pos="709"/>
        </w:tabs>
        <w:spacing w:before="120" w:after="120"/>
        <w:jc w:val="both"/>
        <w:rPr>
          <w:rFonts w:ascii="Garamond" w:eastAsia="Times New Roman" w:hAnsi="Garamond" w:cs="Times New Roman"/>
          <w:sz w:val="20"/>
          <w:szCs w:val="20"/>
          <w:lang w:val="es-AR" w:bidi="he-IL"/>
        </w:rPr>
      </w:pPr>
      <w:r w:rsidRPr="00CA0A60">
        <w:rPr>
          <w:rFonts w:ascii="Garamond" w:eastAsia="Times New Roman" w:hAnsi="Garamond" w:cs="Times New Roman"/>
          <w:sz w:val="20"/>
          <w:szCs w:val="20"/>
          <w:lang w:val="es-AR"/>
        </w:rPr>
        <w:t xml:space="preserve">Se hará referencia en conjunto al (i) Contrato de Fideicomiso con Fines de Garantía Argentino (incluyendo todas las instrucciones irrevocables bajo los CCEE y los consentimientos respecto de cesiones formalizadas en relación con él), (ii) los Contratos de Prenda Argentinos, (iii) la Escritura Hipotecaria Argentina, </w:t>
      </w:r>
      <w:r w:rsidR="00033631">
        <w:rPr>
          <w:rFonts w:ascii="Garamond" w:eastAsia="Times New Roman" w:hAnsi="Garamond" w:cs="Times New Roman"/>
          <w:sz w:val="20"/>
          <w:szCs w:val="20"/>
          <w:lang w:val="es-AR"/>
        </w:rPr>
        <w:t xml:space="preserve">y </w:t>
      </w:r>
      <w:r w:rsidRPr="00CA0A60">
        <w:rPr>
          <w:rFonts w:ascii="Garamond" w:eastAsia="Times New Roman" w:hAnsi="Garamond" w:cs="Times New Roman"/>
          <w:sz w:val="20"/>
          <w:szCs w:val="20"/>
          <w:lang w:val="es-AR"/>
        </w:rPr>
        <w:t>(iv) cualquier otro documento en virtud del cual se pretenda constituir un Gravamen sobre algún activo de cualquier Persona con el propósito de garantizar las Obligaciones Negociables, en todos los casos referidos en las cláusulas (i) a (vi) precedentes, incluyendo sus modificatorios y complementarios, como los "Documentos de Garantía</w:t>
      </w:r>
      <w:r w:rsidRPr="00CA0A60">
        <w:rPr>
          <w:rFonts w:ascii="Garamond" w:eastAsia="Times New Roman" w:hAnsi="Garamond" w:cs="Times New Roman"/>
          <w:sz w:val="20"/>
          <w:szCs w:val="20"/>
          <w:lang w:val="es-AR" w:bidi="he-IL"/>
        </w:rPr>
        <w:t>”.</w:t>
      </w:r>
    </w:p>
    <w:p w14:paraId="5DE9756D" w14:textId="77777777" w:rsidR="001358C1" w:rsidRPr="00CA0A60" w:rsidRDefault="001358C1" w:rsidP="001358C1">
      <w:pPr>
        <w:widowControl w:val="0"/>
        <w:tabs>
          <w:tab w:val="left" w:pos="284"/>
          <w:tab w:val="left" w:pos="709"/>
        </w:tabs>
        <w:spacing w:before="120" w:after="120"/>
        <w:jc w:val="both"/>
        <w:rPr>
          <w:rFonts w:ascii="Garamond" w:eastAsia="Times New Roman" w:hAnsi="Garamond" w:cs="Times New Roman"/>
          <w:b/>
          <w:i/>
          <w:sz w:val="20"/>
          <w:szCs w:val="20"/>
          <w:lang w:val="es-AR" w:eastAsia="zh-CN"/>
        </w:rPr>
      </w:pPr>
      <w:r w:rsidRPr="00CA0A60">
        <w:rPr>
          <w:rFonts w:ascii="Garamond" w:eastAsia="Times New Roman" w:hAnsi="Garamond" w:cs="Times New Roman"/>
          <w:b/>
          <w:i/>
          <w:sz w:val="20"/>
          <w:szCs w:val="20"/>
          <w:lang w:val="es-AR" w:eastAsia="zh-CN"/>
        </w:rPr>
        <w:t>Contrato de Fideicomiso con Fines de Garantía Argentino</w:t>
      </w:r>
    </w:p>
    <w:p w14:paraId="604ABD8C" w14:textId="1C1F0778" w:rsidR="001358C1" w:rsidRPr="00CA0A60" w:rsidRDefault="001358C1" w:rsidP="001358C1">
      <w:pPr>
        <w:widowControl w:val="0"/>
        <w:tabs>
          <w:tab w:val="left" w:pos="284"/>
          <w:tab w:val="left" w:pos="709"/>
        </w:tabs>
        <w:spacing w:before="120" w:after="120"/>
        <w:jc w:val="both"/>
        <w:rPr>
          <w:rFonts w:ascii="Garamond" w:eastAsia="Times New Roman" w:hAnsi="Garamond" w:cs="Times New Roman"/>
          <w:iCs/>
          <w:sz w:val="20"/>
          <w:szCs w:val="20"/>
          <w:lang w:val="es-AR" w:eastAsia="zh-CN"/>
        </w:rPr>
      </w:pPr>
      <w:r w:rsidRPr="00CA0A60">
        <w:rPr>
          <w:rFonts w:ascii="Garamond" w:eastAsia="Times New Roman" w:hAnsi="Garamond" w:cs="Times New Roman"/>
          <w:sz w:val="20"/>
          <w:szCs w:val="20"/>
          <w:lang w:val="es-AR" w:eastAsia="zh-CN" w:bidi="he-IL"/>
        </w:rPr>
        <w:t xml:space="preserve">Con fecha </w:t>
      </w:r>
      <w:r w:rsidR="00F73A08" w:rsidRPr="00CA0A60">
        <w:rPr>
          <w:rFonts w:ascii="Garamond" w:eastAsia="Times New Roman" w:hAnsi="Garamond" w:cs="Times New Roman"/>
          <w:sz w:val="20"/>
          <w:szCs w:val="20"/>
          <w:lang w:val="es-AR" w:eastAsia="zh-CN" w:bidi="he-IL"/>
        </w:rPr>
        <w:t>19</w:t>
      </w:r>
      <w:r w:rsidRPr="00CA0A60">
        <w:rPr>
          <w:rFonts w:ascii="Garamond" w:eastAsia="Times New Roman" w:hAnsi="Garamond" w:cs="Times New Roman"/>
          <w:sz w:val="20"/>
          <w:szCs w:val="20"/>
          <w:lang w:val="es-AR" w:eastAsia="zh-CN" w:bidi="he-IL"/>
        </w:rPr>
        <w:t xml:space="preserve"> de</w:t>
      </w:r>
      <w:r w:rsidR="00F73A08" w:rsidRPr="00CA0A60">
        <w:rPr>
          <w:rFonts w:ascii="Garamond" w:eastAsia="Times New Roman" w:hAnsi="Garamond" w:cs="Times New Roman"/>
          <w:sz w:val="20"/>
          <w:szCs w:val="20"/>
          <w:lang w:val="es-AR" w:eastAsia="zh-CN" w:bidi="he-IL"/>
        </w:rPr>
        <w:t xml:space="preserve"> julio de</w:t>
      </w:r>
      <w:r w:rsidRPr="00CA0A60">
        <w:rPr>
          <w:rFonts w:ascii="Garamond" w:eastAsia="Times New Roman" w:hAnsi="Garamond" w:cs="Times New Roman"/>
          <w:sz w:val="20"/>
          <w:szCs w:val="20"/>
          <w:lang w:val="es-AR" w:eastAsia="zh-CN" w:bidi="he-IL"/>
        </w:rPr>
        <w:t xml:space="preserve"> 2019, GEMSA</w:t>
      </w:r>
      <w:r w:rsidR="00F73A08" w:rsidRPr="00CA0A60">
        <w:rPr>
          <w:rFonts w:ascii="Garamond" w:eastAsia="Times New Roman" w:hAnsi="Garamond" w:cs="Times New Roman"/>
          <w:sz w:val="20"/>
          <w:szCs w:val="20"/>
          <w:lang w:val="es-AR" w:eastAsia="zh-CN" w:bidi="he-IL"/>
        </w:rPr>
        <w:t xml:space="preserve"> y</w:t>
      </w:r>
      <w:r w:rsidRPr="00CA0A60">
        <w:rPr>
          <w:rFonts w:ascii="Garamond" w:eastAsia="Times New Roman" w:hAnsi="Garamond" w:cs="Times New Roman"/>
          <w:sz w:val="20"/>
          <w:szCs w:val="20"/>
          <w:lang w:val="es-AR" w:eastAsia="zh-CN" w:bidi="he-IL"/>
        </w:rPr>
        <w:t xml:space="preserve"> TMF Trust Company (Argentina) S.A., en su carácter de fiduciario </w:t>
      </w:r>
      <w:r w:rsidRPr="00CA0A60">
        <w:rPr>
          <w:rFonts w:ascii="Garamond" w:eastAsia="Times New Roman" w:hAnsi="Garamond" w:cs="Times New Roman"/>
          <w:sz w:val="20"/>
          <w:szCs w:val="20"/>
          <w:lang w:val="es-AR" w:eastAsia="zh-CN" w:bidi="he-IL"/>
        </w:rPr>
        <w:lastRenderedPageBreak/>
        <w:t>argentino actuando en representación y en beneficio de las Partes Garantizadas</w:t>
      </w:r>
      <w:r w:rsidR="00F73A08" w:rsidRPr="00CA0A60">
        <w:rPr>
          <w:rFonts w:ascii="Garamond" w:eastAsia="Times New Roman" w:hAnsi="Garamond" w:cs="Times New Roman"/>
          <w:sz w:val="20"/>
          <w:szCs w:val="20"/>
          <w:lang w:val="es-AR" w:eastAsia="zh-CN" w:bidi="he-IL"/>
        </w:rPr>
        <w:t xml:space="preserve"> en virtud del artículo 1.681 del Código Civil y Comercial de Argentina</w:t>
      </w:r>
      <w:r w:rsidRPr="00CA0A60">
        <w:rPr>
          <w:rFonts w:ascii="Garamond" w:eastAsia="Times New Roman" w:hAnsi="Garamond" w:cs="Times New Roman"/>
          <w:sz w:val="20"/>
          <w:szCs w:val="20"/>
          <w:lang w:val="es-AR" w:eastAsia="zh-CN" w:bidi="he-IL"/>
        </w:rPr>
        <w:t xml:space="preserve"> (en tal carácter, el “Fiduciario Argentino”), celebraron un Contrato de Fideicomiso con Fines de Garantía Argentino (con sus enmiendas, suplementos o modificaciones periódicas, el “</w:t>
      </w:r>
      <w:r w:rsidRPr="00CA0A60">
        <w:rPr>
          <w:rFonts w:ascii="Garamond" w:eastAsia="Times New Roman" w:hAnsi="Garamond" w:cs="Times New Roman"/>
          <w:sz w:val="20"/>
          <w:szCs w:val="20"/>
          <w:u w:val="single"/>
          <w:lang w:val="es-AR" w:eastAsia="zh-CN" w:bidi="he-IL"/>
        </w:rPr>
        <w:t>Contrato de Fideicomiso con Fines de Garantía Argentino</w:t>
      </w:r>
      <w:r w:rsidRPr="00CA0A60">
        <w:rPr>
          <w:rFonts w:ascii="Garamond" w:eastAsia="Times New Roman" w:hAnsi="Garamond" w:cs="Times New Roman"/>
          <w:sz w:val="20"/>
          <w:szCs w:val="20"/>
          <w:lang w:val="es-AR" w:eastAsia="zh-CN" w:bidi="he-IL"/>
        </w:rPr>
        <w:t>”) con arreglo al Artículo 3 de la Ley de Obligaciones Negociables de Argentina. El Contrato de Fideicomiso con Fines de Garantía Argentino fue celebrado conforme al Contrato de Fideicomiso y su entrada en vigencia está supeditada a la emisión de las Obligaciones Negociables en la Fecha de Emisión.</w:t>
      </w:r>
    </w:p>
    <w:p w14:paraId="2E5693BB" w14:textId="6453D41F" w:rsidR="001358C1" w:rsidRPr="00CA0A60" w:rsidRDefault="001358C1" w:rsidP="001358C1">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De conformidad con el Contrato de Fideicomiso con Fines de Garantía Argentino, todo derecho</w:t>
      </w:r>
      <w:r w:rsidR="00F73A08" w:rsidRPr="00CA0A60">
        <w:rPr>
          <w:rFonts w:ascii="Garamond" w:eastAsia="Times New Roman" w:hAnsi="Garamond" w:cs="Times New Roman"/>
          <w:sz w:val="20"/>
          <w:szCs w:val="20"/>
          <w:lang w:val="es-AR" w:eastAsia="zh-CN" w:bidi="he-IL"/>
        </w:rPr>
        <w:t xml:space="preserve"> actual o futuro</w:t>
      </w:r>
      <w:r w:rsidRPr="00CA0A60">
        <w:rPr>
          <w:rFonts w:ascii="Garamond" w:eastAsia="Times New Roman" w:hAnsi="Garamond" w:cs="Times New Roman"/>
          <w:sz w:val="20"/>
          <w:szCs w:val="20"/>
          <w:lang w:val="es-AR" w:eastAsia="zh-CN" w:bidi="he-IL"/>
        </w:rPr>
        <w:t xml:space="preserve"> de GEMSA de recibir cualquier monto y crédito en virtud de, con respecto a y/o en relación con los CCEE es dado en cesión fiduciaria con fines de garantía a favor del Fiduciario Argentino, conforme al Artículo 1666 y subsiguientes del Código Civil y Comercial de Argentina (en particular, el Artículo 1680 del Código Civil y Comercial de Argentina). El Fiduciario Argentino, inmediatamente después de recibir notificación escrita del Fiduciario</w:t>
      </w:r>
      <w:r w:rsidR="004B53A6">
        <w:rPr>
          <w:rFonts w:ascii="Garamond" w:eastAsia="Times New Roman" w:hAnsi="Garamond" w:cs="Times New Roman"/>
          <w:sz w:val="20"/>
          <w:szCs w:val="20"/>
          <w:lang w:val="es-AR" w:eastAsia="zh-CN" w:bidi="he-IL"/>
        </w:rPr>
        <w:t>, de acuerdo al Contrato de Fideicomiso,</w:t>
      </w:r>
      <w:r w:rsidRPr="00CA0A60">
        <w:rPr>
          <w:rFonts w:ascii="Garamond" w:eastAsia="Times New Roman" w:hAnsi="Garamond" w:cs="Times New Roman"/>
          <w:sz w:val="20"/>
          <w:szCs w:val="20"/>
          <w:lang w:val="es-AR" w:eastAsia="zh-CN" w:bidi="he-IL"/>
        </w:rPr>
        <w:t xml:space="preserve"> confirmando que ha ocurrido y subsiste un Supuesto de Incumplimiento, deberá instruir a CAMMESA, con carácter irrevocable e incondicional (conforme a instrucciones por escrito impartidas ante un escribano público), a transferir todos los fondos pagaderos a GEMSA en virtud de los CCEE a la Cuenta Recaudadora, de conformidad con los términos del Contrato de Fideicomiso con Fines de Garantía Argentino.</w:t>
      </w:r>
      <w:r w:rsidR="00F73A08" w:rsidRPr="00CA0A60">
        <w:rPr>
          <w:rFonts w:ascii="Garamond" w:eastAsia="Times New Roman" w:hAnsi="Garamond" w:cs="Times New Roman"/>
          <w:sz w:val="20"/>
          <w:szCs w:val="20"/>
          <w:lang w:val="es-AR" w:eastAsia="zh-CN" w:bidi="he-IL"/>
        </w:rPr>
        <w:t xml:space="preserve"> El Fiduciario Argentino deberá mantener la Cuenta Recaudadora y mantener y </w:t>
      </w:r>
      <w:r w:rsidR="004B53A6">
        <w:rPr>
          <w:rFonts w:ascii="Garamond" w:eastAsia="Times New Roman" w:hAnsi="Garamond" w:cs="Times New Roman"/>
          <w:sz w:val="20"/>
          <w:szCs w:val="20"/>
          <w:lang w:val="es-AR" w:eastAsia="zh-CN" w:bidi="he-IL"/>
        </w:rPr>
        <w:t>transferir</w:t>
      </w:r>
      <w:r w:rsidR="00F73A08" w:rsidRPr="00CA0A60">
        <w:rPr>
          <w:rFonts w:ascii="Garamond" w:eastAsia="Times New Roman" w:hAnsi="Garamond" w:cs="Times New Roman"/>
          <w:sz w:val="20"/>
          <w:szCs w:val="20"/>
          <w:lang w:val="es-AR" w:eastAsia="zh-CN" w:bidi="he-IL"/>
        </w:rPr>
        <w:t xml:space="preserve"> los fondos depositados en la misma </w:t>
      </w:r>
      <w:r w:rsidR="004B53A6">
        <w:rPr>
          <w:rFonts w:ascii="Garamond" w:eastAsia="Times New Roman" w:hAnsi="Garamond" w:cs="Times New Roman"/>
          <w:sz w:val="20"/>
          <w:szCs w:val="20"/>
          <w:lang w:val="es-AR" w:eastAsia="zh-CN" w:bidi="he-IL"/>
        </w:rPr>
        <w:t xml:space="preserve">al Fiduciario para su aplicación </w:t>
      </w:r>
      <w:r w:rsidR="00F73A08" w:rsidRPr="00CA0A60">
        <w:rPr>
          <w:rFonts w:ascii="Garamond" w:eastAsia="Times New Roman" w:hAnsi="Garamond" w:cs="Times New Roman"/>
          <w:sz w:val="20"/>
          <w:szCs w:val="20"/>
          <w:lang w:val="es-AR" w:eastAsia="zh-CN" w:bidi="he-IL"/>
        </w:rPr>
        <w:t xml:space="preserve">en beneficio de los </w:t>
      </w:r>
      <w:r w:rsidR="004B53A6">
        <w:rPr>
          <w:rFonts w:ascii="Garamond" w:eastAsia="Times New Roman" w:hAnsi="Garamond" w:cs="Times New Roman"/>
          <w:sz w:val="20"/>
          <w:szCs w:val="20"/>
          <w:lang w:val="es-AR" w:eastAsia="zh-CN" w:bidi="he-IL"/>
        </w:rPr>
        <w:t>T</w:t>
      </w:r>
      <w:r w:rsidR="00F73A08" w:rsidRPr="00CA0A60">
        <w:rPr>
          <w:rFonts w:ascii="Garamond" w:eastAsia="Times New Roman" w:hAnsi="Garamond" w:cs="Times New Roman"/>
          <w:sz w:val="20"/>
          <w:szCs w:val="20"/>
          <w:lang w:val="es-AR" w:eastAsia="zh-CN" w:bidi="he-IL"/>
        </w:rPr>
        <w:t>enedores de Obligaciones Negociables de conformidad con el Contrato de Fideicomiso con Fines de Garantía Argentino</w:t>
      </w:r>
      <w:r w:rsidR="004B53A6">
        <w:rPr>
          <w:rFonts w:ascii="Garamond" w:eastAsia="Times New Roman" w:hAnsi="Garamond" w:cs="Times New Roman"/>
          <w:sz w:val="20"/>
          <w:szCs w:val="20"/>
          <w:lang w:val="es-AR" w:eastAsia="zh-CN" w:bidi="he-IL"/>
        </w:rPr>
        <w:t xml:space="preserve"> y al Contrato de Fideicomiso</w:t>
      </w:r>
      <w:r w:rsidR="00F73A08" w:rsidRPr="00CA0A60">
        <w:rPr>
          <w:rFonts w:ascii="Garamond" w:eastAsia="Times New Roman" w:hAnsi="Garamond" w:cs="Times New Roman"/>
          <w:sz w:val="20"/>
          <w:szCs w:val="20"/>
          <w:lang w:val="es-AR" w:eastAsia="zh-CN" w:bidi="he-IL"/>
        </w:rPr>
        <w:t xml:space="preserve">. </w:t>
      </w:r>
      <w:r w:rsidRPr="00CA0A60">
        <w:rPr>
          <w:rFonts w:ascii="Garamond" w:eastAsia="Times New Roman" w:hAnsi="Garamond" w:cs="Times New Roman"/>
          <w:sz w:val="20"/>
          <w:szCs w:val="20"/>
          <w:lang w:val="es-AR" w:eastAsia="zh-CN" w:bidi="he-IL"/>
        </w:rPr>
        <w:t xml:space="preserve"> </w:t>
      </w:r>
    </w:p>
    <w:p w14:paraId="4A6E27AD" w14:textId="51E3B987" w:rsidR="001358C1" w:rsidRPr="00CA0A60" w:rsidRDefault="001B0D0C" w:rsidP="001358C1">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Pr>
          <w:rFonts w:ascii="Garamond" w:eastAsia="Times New Roman" w:hAnsi="Garamond" w:cs="Times New Roman"/>
          <w:sz w:val="20"/>
          <w:szCs w:val="20"/>
          <w:lang w:val="es-AR" w:eastAsia="zh-CN" w:bidi="he-IL"/>
        </w:rPr>
        <w:t>En virtud del contrato de prend</w:t>
      </w:r>
      <w:r w:rsidR="008F686E">
        <w:rPr>
          <w:rFonts w:ascii="Garamond" w:eastAsia="Times New Roman" w:hAnsi="Garamond" w:cs="Times New Roman"/>
          <w:sz w:val="20"/>
          <w:szCs w:val="20"/>
          <w:lang w:val="es-AR" w:eastAsia="zh-CN" w:bidi="he-IL"/>
        </w:rPr>
        <w:t>a</w:t>
      </w:r>
      <w:r>
        <w:rPr>
          <w:rFonts w:ascii="Garamond" w:eastAsia="Times New Roman" w:hAnsi="Garamond" w:cs="Times New Roman"/>
          <w:sz w:val="20"/>
          <w:szCs w:val="20"/>
          <w:lang w:val="es-AR" w:eastAsia="zh-CN" w:bidi="he-IL"/>
        </w:rPr>
        <w:t xml:space="preserve"> de fecha</w:t>
      </w:r>
      <w:r w:rsidR="001358C1" w:rsidRPr="00CA0A60">
        <w:rPr>
          <w:rFonts w:ascii="Garamond" w:eastAsia="Times New Roman" w:hAnsi="Garamond" w:cs="Times New Roman"/>
          <w:sz w:val="20"/>
          <w:szCs w:val="20"/>
          <w:lang w:val="es-AR" w:eastAsia="zh-CN" w:bidi="he-IL"/>
        </w:rPr>
        <w:t xml:space="preserve"> </w:t>
      </w:r>
      <w:r w:rsidR="00F73A08" w:rsidRPr="00CA0A60">
        <w:rPr>
          <w:rFonts w:ascii="Garamond" w:eastAsia="Times New Roman" w:hAnsi="Garamond" w:cs="Times New Roman"/>
          <w:sz w:val="20"/>
          <w:szCs w:val="20"/>
          <w:lang w:val="es-AR" w:eastAsia="zh-CN" w:bidi="he-IL"/>
        </w:rPr>
        <w:t>19 de septiembre</w:t>
      </w:r>
      <w:r w:rsidR="001358C1" w:rsidRPr="00CA0A60">
        <w:rPr>
          <w:rFonts w:ascii="Garamond" w:eastAsia="Times New Roman" w:hAnsi="Garamond" w:cs="Times New Roman"/>
          <w:sz w:val="20"/>
          <w:szCs w:val="20"/>
          <w:lang w:val="es-AR" w:eastAsia="zh-CN" w:bidi="he-IL"/>
        </w:rPr>
        <w:t xml:space="preserve"> de 20</w:t>
      </w:r>
      <w:r w:rsidR="00F73A08" w:rsidRPr="00CA0A60">
        <w:rPr>
          <w:rFonts w:ascii="Garamond" w:eastAsia="Times New Roman" w:hAnsi="Garamond" w:cs="Times New Roman"/>
          <w:sz w:val="20"/>
          <w:szCs w:val="20"/>
          <w:lang w:val="es-AR" w:eastAsia="zh-CN" w:bidi="he-IL"/>
        </w:rPr>
        <w:t>16</w:t>
      </w:r>
      <w:r w:rsidR="001358C1" w:rsidRPr="00CA0A60">
        <w:rPr>
          <w:rFonts w:ascii="Garamond" w:eastAsia="Times New Roman" w:hAnsi="Garamond" w:cs="Times New Roman"/>
          <w:sz w:val="20"/>
          <w:szCs w:val="20"/>
          <w:lang w:val="es-AR" w:eastAsia="zh-CN" w:bidi="he-IL"/>
        </w:rPr>
        <w:t xml:space="preserve">, GEMSA </w:t>
      </w:r>
      <w:r w:rsidR="00F73A08" w:rsidRPr="00CA0A60">
        <w:rPr>
          <w:rFonts w:ascii="Garamond" w:eastAsia="Times New Roman" w:hAnsi="Garamond" w:cs="Times New Roman"/>
          <w:sz w:val="20"/>
          <w:szCs w:val="20"/>
          <w:lang w:val="es-AR" w:eastAsia="zh-CN" w:bidi="he-IL"/>
        </w:rPr>
        <w:t>otorgó una prenda de créditos</w:t>
      </w:r>
      <w:r w:rsidR="001358C1" w:rsidRPr="00CA0A60">
        <w:rPr>
          <w:rFonts w:ascii="Garamond" w:eastAsia="Times New Roman" w:hAnsi="Garamond" w:cs="Times New Roman"/>
          <w:sz w:val="20"/>
          <w:szCs w:val="20"/>
          <w:lang w:val="es-AR" w:eastAsia="zh-CN" w:bidi="he-IL"/>
        </w:rPr>
        <w:t xml:space="preserve"> a </w:t>
      </w:r>
      <w:r w:rsidR="00F73A08" w:rsidRPr="00CA0A60">
        <w:rPr>
          <w:rFonts w:ascii="Garamond" w:eastAsia="Times New Roman" w:hAnsi="Garamond" w:cs="Times New Roman"/>
          <w:sz w:val="20"/>
          <w:szCs w:val="20"/>
          <w:lang w:val="es-AR" w:eastAsia="zh-CN" w:bidi="he-IL"/>
        </w:rPr>
        <w:t>favor de TMF Trust Company</w:t>
      </w:r>
      <w:r w:rsidR="00345C07" w:rsidRPr="00CA0A60">
        <w:rPr>
          <w:rFonts w:ascii="Garamond" w:eastAsia="Times New Roman" w:hAnsi="Garamond" w:cs="Times New Roman"/>
          <w:sz w:val="20"/>
          <w:szCs w:val="20"/>
          <w:lang w:val="es-AR" w:eastAsia="zh-CN" w:bidi="he-IL"/>
        </w:rPr>
        <w:t xml:space="preserve"> (Argentina)</w:t>
      </w:r>
      <w:r w:rsidR="00F73A08" w:rsidRPr="00CA0A60">
        <w:rPr>
          <w:rFonts w:ascii="Garamond" w:eastAsia="Times New Roman" w:hAnsi="Garamond" w:cs="Times New Roman"/>
          <w:sz w:val="20"/>
          <w:szCs w:val="20"/>
          <w:lang w:val="es-AR" w:eastAsia="zh-CN" w:bidi="he-IL"/>
        </w:rPr>
        <w:t xml:space="preserve"> S.A., </w:t>
      </w:r>
      <w:r w:rsidR="001358C1" w:rsidRPr="00CA0A60">
        <w:rPr>
          <w:rFonts w:ascii="Garamond" w:eastAsia="Times New Roman" w:hAnsi="Garamond" w:cs="Times New Roman"/>
          <w:sz w:val="20"/>
          <w:szCs w:val="20"/>
          <w:lang w:val="es-AR" w:eastAsia="zh-CN" w:bidi="he-IL"/>
        </w:rPr>
        <w:t xml:space="preserve">en carácter de agente de garantía, en beneficio de Siemens, </w:t>
      </w:r>
      <w:r w:rsidR="00F73A08" w:rsidRPr="00CA0A60">
        <w:rPr>
          <w:rFonts w:ascii="Garamond" w:eastAsia="Times New Roman" w:hAnsi="Garamond" w:cs="Times New Roman"/>
          <w:sz w:val="20"/>
          <w:szCs w:val="20"/>
          <w:lang w:val="es-AR" w:eastAsia="zh-CN" w:bidi="he-IL"/>
        </w:rPr>
        <w:t>sobre el 50% de sus</w:t>
      </w:r>
      <w:r w:rsidR="001358C1" w:rsidRPr="00CA0A60">
        <w:rPr>
          <w:rFonts w:ascii="Garamond" w:eastAsia="Times New Roman" w:hAnsi="Garamond" w:cs="Times New Roman"/>
          <w:sz w:val="20"/>
          <w:szCs w:val="20"/>
          <w:lang w:val="es-AR" w:eastAsia="zh-CN" w:bidi="he-IL"/>
        </w:rPr>
        <w:t xml:space="preserve"> derechos </w:t>
      </w:r>
      <w:r w:rsidR="00F73A08" w:rsidRPr="00CA0A60">
        <w:rPr>
          <w:rFonts w:ascii="Garamond" w:eastAsia="Times New Roman" w:hAnsi="Garamond" w:cs="Times New Roman"/>
          <w:sz w:val="20"/>
          <w:szCs w:val="20"/>
          <w:lang w:val="es-AR" w:eastAsia="zh-CN" w:bidi="he-IL"/>
        </w:rPr>
        <w:t xml:space="preserve">actuales y futuros </w:t>
      </w:r>
      <w:r w:rsidR="001358C1" w:rsidRPr="00CA0A60">
        <w:rPr>
          <w:rFonts w:ascii="Garamond" w:eastAsia="Times New Roman" w:hAnsi="Garamond" w:cs="Times New Roman"/>
          <w:sz w:val="20"/>
          <w:szCs w:val="20"/>
          <w:lang w:val="es-AR" w:eastAsia="zh-CN" w:bidi="he-IL"/>
        </w:rPr>
        <w:t>a recibir montos y créditos en virtud de, y/o con respecto a, los CCEE</w:t>
      </w:r>
      <w:r w:rsidR="00F73A08" w:rsidRPr="00CA0A60">
        <w:rPr>
          <w:rFonts w:ascii="Garamond" w:eastAsia="Times New Roman" w:hAnsi="Garamond" w:cs="Times New Roman"/>
          <w:sz w:val="20"/>
          <w:szCs w:val="20"/>
          <w:lang w:val="es-AR" w:eastAsia="zh-CN" w:bidi="he-IL"/>
        </w:rPr>
        <w:t xml:space="preserve"> de Siemens</w:t>
      </w:r>
      <w:r>
        <w:rPr>
          <w:rFonts w:ascii="Garamond" w:eastAsia="Times New Roman" w:hAnsi="Garamond" w:cs="Times New Roman"/>
          <w:sz w:val="20"/>
          <w:szCs w:val="20"/>
          <w:lang w:val="es-AR" w:eastAsia="zh-CN" w:bidi="he-IL"/>
        </w:rPr>
        <w:t xml:space="preserve"> (“</w:t>
      </w:r>
      <w:r>
        <w:rPr>
          <w:rFonts w:ascii="Garamond" w:eastAsia="Times New Roman" w:hAnsi="Garamond" w:cs="Times New Roman"/>
          <w:sz w:val="20"/>
          <w:szCs w:val="20"/>
          <w:u w:val="single"/>
          <w:lang w:val="es-AR" w:eastAsia="zh-CN" w:bidi="he-IL"/>
        </w:rPr>
        <w:t>Contrato de Prenda de CCEE de Siemens</w:t>
      </w:r>
      <w:r>
        <w:rPr>
          <w:rFonts w:ascii="Garamond" w:eastAsia="Times New Roman" w:hAnsi="Garamond" w:cs="Times New Roman"/>
          <w:sz w:val="20"/>
          <w:szCs w:val="20"/>
          <w:lang w:val="es-AR" w:eastAsia="zh-CN" w:bidi="he-IL"/>
        </w:rPr>
        <w:t>”)</w:t>
      </w:r>
      <w:r w:rsidR="001358C1" w:rsidRPr="00CA0A60">
        <w:rPr>
          <w:rFonts w:ascii="Garamond" w:eastAsia="Times New Roman" w:hAnsi="Garamond" w:cs="Times New Roman"/>
          <w:sz w:val="20"/>
          <w:szCs w:val="20"/>
          <w:lang w:val="es-AR" w:eastAsia="zh-CN" w:bidi="he-IL"/>
        </w:rPr>
        <w:t xml:space="preserve">. </w:t>
      </w:r>
      <w:r w:rsidR="00F73A08" w:rsidRPr="00CA0A60">
        <w:rPr>
          <w:rFonts w:ascii="Garamond" w:eastAsia="Times New Roman" w:hAnsi="Garamond" w:cs="Times New Roman"/>
          <w:sz w:val="20"/>
          <w:szCs w:val="20"/>
          <w:lang w:val="es-AR" w:eastAsia="zh-CN" w:bidi="he-IL"/>
        </w:rPr>
        <w:t>Todos los</w:t>
      </w:r>
      <w:r w:rsidR="001358C1" w:rsidRPr="00CA0A60">
        <w:rPr>
          <w:rFonts w:ascii="Garamond" w:eastAsia="Times New Roman" w:hAnsi="Garamond" w:cs="Times New Roman"/>
          <w:sz w:val="20"/>
          <w:szCs w:val="20"/>
          <w:lang w:val="es-AR" w:eastAsia="zh-CN" w:bidi="he-IL"/>
        </w:rPr>
        <w:t xml:space="preserve"> derechos </w:t>
      </w:r>
      <w:r w:rsidR="00F73A08" w:rsidRPr="00CA0A60">
        <w:rPr>
          <w:rFonts w:ascii="Garamond" w:eastAsia="Times New Roman" w:hAnsi="Garamond" w:cs="Times New Roman"/>
          <w:sz w:val="20"/>
          <w:szCs w:val="20"/>
          <w:lang w:val="es-AR" w:eastAsia="zh-CN" w:bidi="he-IL"/>
        </w:rPr>
        <w:t xml:space="preserve">actuales y futuros a recibir montos y créditos en virtud de, y/o con respecto a, los CCEE de Siemens </w:t>
      </w:r>
      <w:r w:rsidR="001358C1" w:rsidRPr="00CA0A60">
        <w:rPr>
          <w:rFonts w:ascii="Garamond" w:eastAsia="Times New Roman" w:hAnsi="Garamond" w:cs="Times New Roman"/>
          <w:sz w:val="20"/>
          <w:szCs w:val="20"/>
          <w:lang w:val="es-AR" w:eastAsia="zh-CN" w:bidi="he-IL"/>
        </w:rPr>
        <w:t xml:space="preserve">serán cedidos </w:t>
      </w:r>
      <w:r w:rsidR="00F73A08" w:rsidRPr="00CA0A60">
        <w:rPr>
          <w:rFonts w:ascii="Garamond" w:eastAsia="Times New Roman" w:hAnsi="Garamond" w:cs="Times New Roman"/>
          <w:sz w:val="20"/>
          <w:szCs w:val="20"/>
          <w:lang w:val="es-AR" w:eastAsia="zh-CN" w:bidi="he-IL"/>
        </w:rPr>
        <w:t>en virtud del</w:t>
      </w:r>
      <w:r w:rsidR="001358C1" w:rsidRPr="00CA0A60">
        <w:rPr>
          <w:rFonts w:ascii="Garamond" w:eastAsia="Times New Roman" w:hAnsi="Garamond" w:cs="Times New Roman"/>
          <w:sz w:val="20"/>
          <w:szCs w:val="20"/>
          <w:lang w:val="es-AR" w:eastAsia="zh-CN" w:bidi="he-IL"/>
        </w:rPr>
        <w:t xml:space="preserve"> Contrato de Fideicomiso con Fines de Garantía Argentino</w:t>
      </w:r>
      <w:r w:rsidR="00F73A08" w:rsidRPr="00CA0A60">
        <w:rPr>
          <w:rFonts w:ascii="Garamond" w:eastAsia="Times New Roman" w:hAnsi="Garamond" w:cs="Times New Roman"/>
          <w:sz w:val="20"/>
          <w:szCs w:val="20"/>
          <w:lang w:val="es-AR" w:eastAsia="zh-CN" w:bidi="he-IL"/>
        </w:rPr>
        <w:t>, y esa cesión se perfeccionará</w:t>
      </w:r>
      <w:r w:rsidR="001358C1" w:rsidRPr="00CA0A60">
        <w:rPr>
          <w:rFonts w:ascii="Garamond" w:eastAsia="Times New Roman" w:hAnsi="Garamond" w:cs="Times New Roman"/>
          <w:sz w:val="20"/>
          <w:szCs w:val="20"/>
          <w:lang w:val="es-AR" w:eastAsia="zh-CN" w:bidi="he-IL"/>
        </w:rPr>
        <w:t xml:space="preserve"> </w:t>
      </w:r>
      <w:r w:rsidR="00F73A08" w:rsidRPr="00CA0A60">
        <w:rPr>
          <w:rFonts w:ascii="Garamond" w:eastAsia="Times New Roman" w:hAnsi="Garamond" w:cs="Times New Roman"/>
          <w:sz w:val="20"/>
          <w:szCs w:val="20"/>
          <w:lang w:val="es-AR" w:eastAsia="zh-CN" w:bidi="he-IL"/>
        </w:rPr>
        <w:t>mediante la entrega</w:t>
      </w:r>
      <w:r w:rsidR="001358C1" w:rsidRPr="00CA0A60">
        <w:rPr>
          <w:rFonts w:ascii="Garamond" w:eastAsia="Times New Roman" w:hAnsi="Garamond" w:cs="Times New Roman"/>
          <w:sz w:val="20"/>
          <w:szCs w:val="20"/>
          <w:lang w:val="es-AR" w:eastAsia="zh-CN" w:bidi="he-IL"/>
        </w:rPr>
        <w:t xml:space="preserve"> de una notificación de cesión escrita a ser cursada a CAMMESA ante un escribano público luego de la cancelación total de la </w:t>
      </w:r>
      <w:r w:rsidR="00B816E3" w:rsidRPr="00CA0A60">
        <w:rPr>
          <w:rFonts w:ascii="Garamond" w:eastAsia="Times New Roman" w:hAnsi="Garamond" w:cs="Times New Roman"/>
          <w:sz w:val="20"/>
          <w:szCs w:val="20"/>
          <w:lang w:val="es-AR" w:eastAsia="zh-CN" w:bidi="he-IL"/>
        </w:rPr>
        <w:t>Deuda de Siemens</w:t>
      </w:r>
      <w:r w:rsidR="001358C1" w:rsidRPr="00CA0A60">
        <w:rPr>
          <w:rFonts w:ascii="Garamond" w:eastAsia="Times New Roman" w:hAnsi="Garamond" w:cs="Times New Roman"/>
          <w:sz w:val="20"/>
          <w:szCs w:val="20"/>
          <w:lang w:val="es-AR" w:eastAsia="zh-CN" w:bidi="he-IL"/>
        </w:rPr>
        <w:t xml:space="preserve"> en la Fecha de Emisión con los fondos obtenidos de las Obligaciones Negociables y luego del cumplimiento por parte del Garante y las Co-Emisoras de los compromisos</w:t>
      </w:r>
      <w:r>
        <w:rPr>
          <w:rFonts w:ascii="Garamond" w:eastAsia="Times New Roman" w:hAnsi="Garamond" w:cs="Times New Roman"/>
          <w:sz w:val="20"/>
          <w:szCs w:val="20"/>
          <w:lang w:val="es-AR" w:eastAsia="zh-CN" w:bidi="he-IL"/>
        </w:rPr>
        <w:t xml:space="preserve"> del Contrato de Fideicomiso</w:t>
      </w:r>
      <w:r w:rsidR="001358C1" w:rsidRPr="00CA0A60">
        <w:rPr>
          <w:rFonts w:ascii="Garamond" w:eastAsia="Times New Roman" w:hAnsi="Garamond" w:cs="Times New Roman"/>
          <w:sz w:val="20"/>
          <w:szCs w:val="20"/>
          <w:lang w:val="es-AR" w:eastAsia="zh-CN" w:bidi="he-IL"/>
        </w:rPr>
        <w:t xml:space="preserve"> descriptos bajo el título “</w:t>
      </w:r>
      <w:r w:rsidR="001358C1" w:rsidRPr="00CA0A60">
        <w:rPr>
          <w:rFonts w:ascii="Garamond" w:eastAsia="Times New Roman" w:hAnsi="Garamond" w:cs="Times New Roman"/>
          <w:i/>
          <w:sz w:val="20"/>
          <w:szCs w:val="20"/>
          <w:lang w:val="es-AR" w:eastAsia="zh-CN" w:bidi="he-IL"/>
        </w:rPr>
        <w:t>Ciertos Compromisos – Preservación de Derechos bajo los Documentos de Garantía</w:t>
      </w:r>
      <w:r w:rsidR="001358C1" w:rsidRPr="00CA0A60">
        <w:rPr>
          <w:rFonts w:ascii="Garamond" w:eastAsia="Times New Roman" w:hAnsi="Garamond" w:cs="Times New Roman"/>
          <w:sz w:val="20"/>
          <w:szCs w:val="20"/>
          <w:lang w:val="es-AR" w:eastAsia="zh-CN" w:bidi="he-IL"/>
        </w:rPr>
        <w:t xml:space="preserve">”. </w:t>
      </w:r>
    </w:p>
    <w:p w14:paraId="0021E372" w14:textId="47B0156D" w:rsidR="00965048" w:rsidRPr="00CA0A60" w:rsidRDefault="00965048" w:rsidP="00965048">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Con fecha </w:t>
      </w:r>
      <w:r w:rsidR="008F686E">
        <w:rPr>
          <w:rFonts w:ascii="Garamond" w:eastAsia="Times New Roman" w:hAnsi="Garamond" w:cs="Times New Roman"/>
          <w:sz w:val="20"/>
          <w:szCs w:val="20"/>
          <w:lang w:val="es-AR" w:eastAsia="zh-CN" w:bidi="he-IL"/>
        </w:rPr>
        <w:t>22</w:t>
      </w:r>
      <w:r w:rsidRPr="00CA0A60">
        <w:rPr>
          <w:rFonts w:ascii="Garamond" w:eastAsia="Times New Roman" w:hAnsi="Garamond" w:cs="Times New Roman"/>
          <w:sz w:val="20"/>
          <w:szCs w:val="20"/>
          <w:lang w:val="es-AR" w:eastAsia="zh-CN" w:bidi="he-IL"/>
        </w:rPr>
        <w:t xml:space="preserve"> de julio de 2019, GEMSA constituyó y perfeccionó el Gravamen sobre todos sus derechos actuales y futuros a recibir montos y créditos en virtud de, y/o con respecto a, los CCEE (distintos de los CCEE de Siemens).</w:t>
      </w:r>
    </w:p>
    <w:p w14:paraId="3D893943" w14:textId="4932DD53" w:rsidR="00965048" w:rsidRPr="00CA0A60" w:rsidRDefault="00965048" w:rsidP="00965048">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Con sujeción a las condiciones detalladas en la carta de consentimiento de fecha 1</w:t>
      </w:r>
      <w:r w:rsidR="008F686E">
        <w:rPr>
          <w:rFonts w:ascii="Garamond" w:eastAsia="Times New Roman" w:hAnsi="Garamond" w:cs="Times New Roman"/>
          <w:sz w:val="20"/>
          <w:szCs w:val="20"/>
          <w:lang w:val="es-AR" w:eastAsia="zh-CN" w:bidi="he-IL"/>
        </w:rPr>
        <w:t>2</w:t>
      </w:r>
      <w:r w:rsidRPr="00CA0A60">
        <w:rPr>
          <w:rFonts w:ascii="Garamond" w:eastAsia="Times New Roman" w:hAnsi="Garamond" w:cs="Times New Roman"/>
          <w:sz w:val="20"/>
          <w:szCs w:val="20"/>
          <w:lang w:val="es-AR" w:eastAsia="zh-CN" w:bidi="he-IL"/>
        </w:rPr>
        <w:t xml:space="preserve"> de julio de 2019, </w:t>
      </w:r>
      <w:r w:rsidR="008F686E">
        <w:rPr>
          <w:rFonts w:ascii="Garamond" w:eastAsia="Times New Roman" w:hAnsi="Garamond" w:cs="Times New Roman"/>
          <w:sz w:val="20"/>
          <w:szCs w:val="20"/>
          <w:lang w:val="es-AR" w:eastAsia="zh-CN" w:bidi="he-IL"/>
        </w:rPr>
        <w:t xml:space="preserve">el 15 de julio de 2019 </w:t>
      </w:r>
      <w:r w:rsidRPr="00CA0A60">
        <w:rPr>
          <w:rFonts w:ascii="Garamond" w:eastAsia="Times New Roman" w:hAnsi="Garamond" w:cs="Times New Roman"/>
          <w:sz w:val="20"/>
          <w:szCs w:val="20"/>
          <w:lang w:val="es-AR" w:eastAsia="zh-CN" w:bidi="he-IL"/>
        </w:rPr>
        <w:t>Siemens prestó su consentimiento a la cesión por parte de GEMSA de todos sus derechos actuales y futuros a recibir montos y créditos en virtud de, y/o con respecto a, los CCEE de Siemens, al Contrato de Fideicomiso con Fines de Garantía Argentino.</w:t>
      </w:r>
    </w:p>
    <w:p w14:paraId="57C0511D" w14:textId="626DE935" w:rsidR="002C2444" w:rsidRPr="00CA3A3D" w:rsidRDefault="001358C1" w:rsidP="002C2444">
      <w:pPr>
        <w:widowControl w:val="0"/>
        <w:tabs>
          <w:tab w:val="left" w:pos="284"/>
          <w:tab w:val="left" w:pos="709"/>
        </w:tabs>
        <w:spacing w:before="120" w:after="120" w:line="256" w:lineRule="auto"/>
        <w:jc w:val="both"/>
        <w:rPr>
          <w:rFonts w:ascii="Garamond" w:eastAsia="Times New Roman" w:hAnsi="Garamond" w:cs="Calibri"/>
          <w:sz w:val="20"/>
          <w:szCs w:val="20"/>
          <w:lang w:val="es-AR" w:eastAsia="zh-CN" w:bidi="he-IL"/>
        </w:rPr>
      </w:pPr>
      <w:r w:rsidRPr="00CA0A60">
        <w:rPr>
          <w:rFonts w:ascii="Garamond" w:eastAsia="Times New Roman" w:hAnsi="Garamond" w:cs="Times New Roman"/>
          <w:sz w:val="20"/>
          <w:szCs w:val="20"/>
          <w:lang w:val="es-AR" w:eastAsia="zh-CN" w:bidi="he-IL"/>
        </w:rPr>
        <w:t>El Contrato de Fideicomiso con Fines de Garantía Argentino se rige por las leyes de Argentina. El Gravamen en primer grado de privilegio constituido en virtud del Contrato de Fideicomiso con Fines de Garantía Argentino estará sujeto a las limitaciones descriptas en “—</w:t>
      </w:r>
      <w:r w:rsidRPr="00CA0A60">
        <w:rPr>
          <w:rFonts w:ascii="Garamond" w:eastAsia="Times New Roman" w:hAnsi="Garamond" w:cs="Times New Roman"/>
          <w:i/>
          <w:sz w:val="20"/>
          <w:szCs w:val="20"/>
          <w:lang w:val="es-AR" w:eastAsia="zh-CN" w:bidi="he-IL"/>
        </w:rPr>
        <w:t>Limitaciones a los Derechos de Garantía</w:t>
      </w:r>
      <w:r w:rsidRPr="00CA0A60">
        <w:rPr>
          <w:rFonts w:ascii="Garamond" w:eastAsia="Times New Roman" w:hAnsi="Garamond" w:cs="Times New Roman"/>
          <w:sz w:val="20"/>
          <w:szCs w:val="20"/>
          <w:lang w:val="es-AR" w:eastAsia="zh-CN" w:bidi="he-IL"/>
        </w:rPr>
        <w:t>”.</w:t>
      </w:r>
    </w:p>
    <w:p w14:paraId="08786A6F" w14:textId="77777777" w:rsidR="00064E6E" w:rsidRPr="00CA0A60" w:rsidRDefault="00064E6E" w:rsidP="00A438F1">
      <w:pPr>
        <w:keepNext/>
        <w:widowControl w:val="0"/>
        <w:tabs>
          <w:tab w:val="left" w:pos="284"/>
          <w:tab w:val="left" w:pos="709"/>
        </w:tabs>
        <w:spacing w:before="120" w:after="120"/>
        <w:jc w:val="both"/>
        <w:rPr>
          <w:rFonts w:ascii="Garamond" w:eastAsia="Times New Roman" w:hAnsi="Garamond" w:cs="Times New Roman"/>
          <w:b/>
          <w:i/>
          <w:iCs/>
          <w:sz w:val="20"/>
          <w:szCs w:val="20"/>
          <w:lang w:val="es-AR" w:eastAsia="zh-CN"/>
        </w:rPr>
      </w:pPr>
      <w:r w:rsidRPr="00CA0A60">
        <w:rPr>
          <w:rFonts w:ascii="Garamond" w:eastAsia="Times New Roman" w:hAnsi="Garamond" w:cs="Times New Roman"/>
          <w:b/>
          <w:i/>
          <w:iCs/>
          <w:sz w:val="20"/>
          <w:szCs w:val="20"/>
          <w:lang w:val="es-AR" w:eastAsia="zh-CN"/>
        </w:rPr>
        <w:t>Contratos de Prenda Argentinos</w:t>
      </w:r>
    </w:p>
    <w:p w14:paraId="0E97D4A8" w14:textId="77777777" w:rsidR="00064E6E" w:rsidRPr="00CA0A60" w:rsidRDefault="00064E6E" w:rsidP="00A438F1">
      <w:pPr>
        <w:keepNext/>
        <w:widowControl w:val="0"/>
        <w:tabs>
          <w:tab w:val="left" w:pos="284"/>
          <w:tab w:val="left" w:pos="709"/>
        </w:tabs>
        <w:spacing w:before="120" w:after="120"/>
        <w:jc w:val="both"/>
        <w:rPr>
          <w:rFonts w:ascii="Garamond" w:eastAsia="Times New Roman" w:hAnsi="Garamond" w:cs="Times New Roman"/>
          <w:i/>
          <w:sz w:val="20"/>
          <w:szCs w:val="20"/>
          <w:lang w:val="es-AR" w:eastAsia="zh-CN" w:bidi="he-IL"/>
        </w:rPr>
      </w:pPr>
      <w:r w:rsidRPr="00CA0A60">
        <w:rPr>
          <w:rFonts w:ascii="Garamond" w:eastAsia="Times New Roman" w:hAnsi="Garamond" w:cs="Times New Roman"/>
          <w:b/>
          <w:i/>
          <w:iCs/>
          <w:sz w:val="20"/>
          <w:szCs w:val="20"/>
          <w:lang w:val="es-AR" w:eastAsia="zh-CN"/>
        </w:rPr>
        <w:t>Contratos de Prenda en Primer Grado de Privilegio</w:t>
      </w:r>
    </w:p>
    <w:p w14:paraId="71C5EA93" w14:textId="3123FCED" w:rsidR="00064E6E" w:rsidRPr="00CA0A60" w:rsidRDefault="00064E6E" w:rsidP="00A438F1">
      <w:pPr>
        <w:keepNext/>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El </w:t>
      </w:r>
      <w:r w:rsidR="00441FF9" w:rsidRPr="00CA0A60">
        <w:rPr>
          <w:rFonts w:ascii="Garamond" w:eastAsia="Times New Roman" w:hAnsi="Garamond" w:cs="Times New Roman"/>
          <w:sz w:val="20"/>
          <w:szCs w:val="20"/>
          <w:lang w:val="es-AR" w:eastAsia="zh-CN" w:bidi="he-IL"/>
        </w:rPr>
        <w:t>16 de julio</w:t>
      </w:r>
      <w:r w:rsidRPr="00CA0A60">
        <w:rPr>
          <w:rFonts w:ascii="Garamond" w:eastAsia="Times New Roman" w:hAnsi="Garamond" w:cs="Times New Roman"/>
          <w:sz w:val="20"/>
          <w:szCs w:val="20"/>
          <w:lang w:val="es-AR" w:eastAsia="zh-CN" w:bidi="he-IL"/>
        </w:rPr>
        <w:t xml:space="preserve"> de 2019, GEMSA y el Agente de Garantía Local, actuando en representación y beneficio de las Partes Garantizadas, celebraron contratos de prenda con registro en primer grado de privilegio argentinos (cada uno, con sus enmiendas, suplementos o modificaciones periódicas, un “</w:t>
      </w:r>
      <w:r w:rsidRPr="00CA0A60">
        <w:rPr>
          <w:rFonts w:ascii="Garamond" w:eastAsia="Times New Roman" w:hAnsi="Garamond" w:cs="Times New Roman"/>
          <w:sz w:val="20"/>
          <w:szCs w:val="20"/>
          <w:u w:val="single"/>
          <w:lang w:val="es-AR" w:eastAsia="zh-CN" w:bidi="he-IL"/>
        </w:rPr>
        <w:t>Contrato de Prenda en Primer Grado de Privilegio Argentino</w:t>
      </w:r>
      <w:r w:rsidRPr="00CA0A60">
        <w:rPr>
          <w:rFonts w:ascii="Garamond" w:eastAsia="Times New Roman" w:hAnsi="Garamond" w:cs="Times New Roman"/>
          <w:sz w:val="20"/>
          <w:szCs w:val="20"/>
          <w:lang w:val="es-AR" w:eastAsia="zh-CN" w:bidi="he-IL"/>
        </w:rPr>
        <w:t>” y, en conjunto, los “</w:t>
      </w:r>
      <w:r w:rsidRPr="00CA0A60">
        <w:rPr>
          <w:rFonts w:ascii="Garamond" w:eastAsia="Times New Roman" w:hAnsi="Garamond" w:cs="Times New Roman"/>
          <w:sz w:val="20"/>
          <w:szCs w:val="20"/>
          <w:u w:val="single"/>
          <w:lang w:val="es-AR" w:eastAsia="zh-CN" w:bidi="he-IL"/>
        </w:rPr>
        <w:t>Contratos de Prenda en Primer Grado de Privilegio Argentinos</w:t>
      </w:r>
      <w:r w:rsidRPr="00CA0A60">
        <w:rPr>
          <w:rFonts w:ascii="Garamond" w:eastAsia="Times New Roman" w:hAnsi="Garamond" w:cs="Times New Roman"/>
          <w:sz w:val="20"/>
          <w:szCs w:val="20"/>
          <w:lang w:val="es-AR" w:eastAsia="zh-CN" w:bidi="he-IL"/>
        </w:rPr>
        <w:t>”) con respecto a los Equipos (a excepción de los Equipos de Siemens) en virtud del artículo 3 de la Ley de Obligaciones Negociables de Argentina. Los Contratos de Prenda en Primer Grado de Privilegio Argentinos fueron suscriptos en virtud del Contrato de Fideicomiso y su validez está sujeta a la emisión de las Obligaciones Negociables en la Fecha de Emisión.</w:t>
      </w:r>
    </w:p>
    <w:p w14:paraId="50C4F66C" w14:textId="1840C2E0" w:rsidR="00064E6E" w:rsidRPr="00CA0A60" w:rsidRDefault="00441FF9" w:rsidP="00441FF9">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Conforme a los Contratos de Prenda en Primer Grado de Privilegio Argentinos, GEMSA otorgó un Gravamen en primer grado de privilegio al Agente de Garantía Local sobre todos los Equipos (a excepción de los Equipos </w:t>
      </w:r>
      <w:r w:rsidRPr="00CA0A60">
        <w:rPr>
          <w:rFonts w:ascii="Garamond" w:eastAsia="Times New Roman" w:hAnsi="Garamond" w:cs="Times New Roman"/>
          <w:sz w:val="20"/>
          <w:szCs w:val="20"/>
          <w:lang w:val="es-AR" w:eastAsia="zh-CN" w:bidi="he-IL"/>
        </w:rPr>
        <w:lastRenderedPageBreak/>
        <w:t xml:space="preserve">de Siemens). </w:t>
      </w:r>
      <w:r w:rsidR="00064E6E" w:rsidRPr="00CA0A60">
        <w:rPr>
          <w:rFonts w:ascii="Garamond" w:eastAsia="Times New Roman" w:hAnsi="Garamond" w:cs="Times New Roman"/>
          <w:sz w:val="20"/>
          <w:szCs w:val="20"/>
          <w:lang w:val="es-AR" w:eastAsia="zh-CN" w:bidi="he-IL"/>
        </w:rPr>
        <w:t>En o antes de la Fecha de Emisión, GEMSA y el Agente de Garantía Local celebrarán una enmienda a cada uno de los Contratos de Prenda en Primer Grado de Privilegio Argentinos para reflejar la emisión</w:t>
      </w:r>
      <w:r w:rsidR="0032687B">
        <w:rPr>
          <w:rFonts w:ascii="Garamond" w:eastAsia="Times New Roman" w:hAnsi="Garamond" w:cs="Times New Roman"/>
          <w:sz w:val="20"/>
          <w:szCs w:val="20"/>
          <w:lang w:val="es-AR" w:eastAsia="zh-CN" w:bidi="he-IL"/>
        </w:rPr>
        <w:t>,</w:t>
      </w:r>
      <w:r w:rsidR="00064E6E" w:rsidRPr="00CA0A60">
        <w:rPr>
          <w:rFonts w:ascii="Garamond" w:eastAsia="Times New Roman" w:hAnsi="Garamond" w:cs="Times New Roman"/>
          <w:sz w:val="20"/>
          <w:szCs w:val="20"/>
          <w:lang w:val="es-AR" w:eastAsia="zh-CN" w:bidi="he-IL"/>
        </w:rPr>
        <w:t xml:space="preserve"> los términos definitivos de las Obligaciones Negociables</w:t>
      </w:r>
      <w:r w:rsidR="0032687B">
        <w:rPr>
          <w:rFonts w:ascii="Garamond" w:eastAsia="Times New Roman" w:hAnsi="Garamond" w:cs="Times New Roman"/>
          <w:sz w:val="20"/>
          <w:szCs w:val="20"/>
          <w:lang w:val="es-AR" w:eastAsia="zh-CN" w:bidi="he-IL"/>
        </w:rPr>
        <w:t xml:space="preserve"> y los montos máximos a ser garantizados </w:t>
      </w:r>
      <w:r w:rsidR="003E0F1F">
        <w:rPr>
          <w:rFonts w:ascii="Garamond" w:eastAsia="Times New Roman" w:hAnsi="Garamond" w:cs="Times New Roman"/>
          <w:sz w:val="20"/>
          <w:szCs w:val="20"/>
          <w:lang w:val="es-AR" w:eastAsia="zh-CN" w:bidi="he-IL"/>
        </w:rPr>
        <w:t xml:space="preserve">por dichos contratos </w:t>
      </w:r>
      <w:r w:rsidR="0032687B">
        <w:rPr>
          <w:rFonts w:ascii="Garamond" w:eastAsia="Times New Roman" w:hAnsi="Garamond" w:cs="Times New Roman"/>
          <w:sz w:val="20"/>
          <w:szCs w:val="20"/>
          <w:lang w:val="es-AR" w:eastAsia="zh-CN" w:bidi="he-IL"/>
        </w:rPr>
        <w:t xml:space="preserve">que, en relación a los Equipos ubicados en las centrales térmicas </w:t>
      </w:r>
      <w:r w:rsidR="003E0F1F">
        <w:rPr>
          <w:rFonts w:ascii="Garamond" w:eastAsia="Times New Roman" w:hAnsi="Garamond" w:cs="Times New Roman"/>
          <w:sz w:val="20"/>
          <w:szCs w:val="20"/>
          <w:lang w:val="es-AR" w:eastAsia="zh-CN" w:bidi="he-IL"/>
        </w:rPr>
        <w:t xml:space="preserve">denominadas </w:t>
      </w:r>
      <w:r w:rsidR="0032687B">
        <w:rPr>
          <w:rFonts w:ascii="Garamond" w:eastAsia="Times New Roman" w:hAnsi="Garamond" w:cs="Times New Roman"/>
          <w:sz w:val="20"/>
          <w:szCs w:val="20"/>
          <w:lang w:val="es-AR" w:eastAsia="zh-CN" w:bidi="he-IL"/>
        </w:rPr>
        <w:t>Independencia, Modesto Maranzana y Riojana</w:t>
      </w:r>
      <w:r w:rsidR="003E0F1F">
        <w:rPr>
          <w:rFonts w:ascii="Garamond" w:eastAsia="Times New Roman" w:hAnsi="Garamond" w:cs="Times New Roman"/>
          <w:sz w:val="20"/>
          <w:szCs w:val="20"/>
          <w:lang w:val="es-AR" w:eastAsia="zh-CN" w:bidi="he-IL"/>
        </w:rPr>
        <w:t>,</w:t>
      </w:r>
      <w:r w:rsidR="0032687B">
        <w:rPr>
          <w:rFonts w:ascii="Garamond" w:eastAsia="Times New Roman" w:hAnsi="Garamond" w:cs="Times New Roman"/>
          <w:sz w:val="20"/>
          <w:szCs w:val="20"/>
          <w:lang w:val="es-AR" w:eastAsia="zh-CN" w:bidi="he-IL"/>
        </w:rPr>
        <w:t xml:space="preserve"> no superará</w:t>
      </w:r>
      <w:r w:rsidR="003E0F1F">
        <w:rPr>
          <w:rFonts w:ascii="Garamond" w:eastAsia="Times New Roman" w:hAnsi="Garamond" w:cs="Times New Roman"/>
          <w:sz w:val="20"/>
          <w:szCs w:val="20"/>
          <w:lang w:val="es-AR" w:eastAsia="zh-CN" w:bidi="he-IL"/>
        </w:rPr>
        <w:t>n</w:t>
      </w:r>
      <w:r w:rsidR="0032687B">
        <w:rPr>
          <w:rFonts w:ascii="Garamond" w:eastAsia="Times New Roman" w:hAnsi="Garamond" w:cs="Times New Roman"/>
          <w:sz w:val="20"/>
          <w:szCs w:val="20"/>
          <w:lang w:val="es-AR" w:eastAsia="zh-CN" w:bidi="he-IL"/>
        </w:rPr>
        <w:t xml:space="preserve"> los </w:t>
      </w:r>
      <w:r w:rsidR="00FE1781">
        <w:rPr>
          <w:rFonts w:ascii="Garamond" w:eastAsia="Times New Roman" w:hAnsi="Garamond" w:cs="Times New Roman"/>
          <w:sz w:val="20"/>
          <w:szCs w:val="20"/>
          <w:lang w:val="es-AR" w:eastAsia="zh-CN" w:bidi="he-IL"/>
        </w:rPr>
        <w:t>montos que se informarán en el Aviso de Resultados.</w:t>
      </w:r>
      <w:r w:rsidR="0032687B">
        <w:rPr>
          <w:rFonts w:ascii="Garamond" w:eastAsia="Times New Roman" w:hAnsi="Garamond" w:cs="Times New Roman"/>
          <w:sz w:val="20"/>
          <w:szCs w:val="20"/>
          <w:lang w:val="es-AR" w:eastAsia="zh-CN" w:bidi="he-IL"/>
        </w:rPr>
        <w:t xml:space="preserve"> </w:t>
      </w:r>
    </w:p>
    <w:p w14:paraId="2F2E722A" w14:textId="65526BEE" w:rsidR="00064E6E" w:rsidRPr="00CA0A60" w:rsidRDefault="00064E6E" w:rsidP="00064E6E">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Los Contratos de Prenda en Primer Grado de Privilegio Argentinos se rigen por las leyes de Argentina. El </w:t>
      </w:r>
      <w:r w:rsidR="0028340E">
        <w:rPr>
          <w:rFonts w:ascii="Garamond" w:eastAsia="Times New Roman" w:hAnsi="Garamond" w:cs="Times New Roman"/>
          <w:sz w:val="20"/>
          <w:szCs w:val="20"/>
          <w:lang w:val="es-AR" w:eastAsia="zh-CN" w:bidi="he-IL"/>
        </w:rPr>
        <w:t xml:space="preserve">18 y el 19 de julio </w:t>
      </w:r>
      <w:r w:rsidRPr="00CA0A60">
        <w:rPr>
          <w:rFonts w:ascii="Garamond" w:eastAsia="Times New Roman" w:hAnsi="Garamond" w:cs="Times New Roman"/>
          <w:sz w:val="20"/>
          <w:szCs w:val="20"/>
          <w:lang w:val="es-AR" w:eastAsia="zh-CN" w:bidi="he-IL"/>
        </w:rPr>
        <w:t>de 2019, los Contratos de Prenda en Primer Grado de Privilegio Argentinos fue</w:t>
      </w:r>
      <w:r w:rsidR="0028340E">
        <w:rPr>
          <w:rFonts w:ascii="Garamond" w:eastAsia="Times New Roman" w:hAnsi="Garamond" w:cs="Times New Roman"/>
          <w:sz w:val="20"/>
          <w:szCs w:val="20"/>
          <w:lang w:val="es-AR" w:eastAsia="zh-CN" w:bidi="he-IL"/>
        </w:rPr>
        <w:t>ron</w:t>
      </w:r>
      <w:r w:rsidRPr="00CA0A60">
        <w:rPr>
          <w:rFonts w:ascii="Garamond" w:eastAsia="Times New Roman" w:hAnsi="Garamond" w:cs="Times New Roman"/>
          <w:sz w:val="20"/>
          <w:szCs w:val="20"/>
          <w:lang w:val="es-AR" w:eastAsia="zh-CN" w:bidi="he-IL"/>
        </w:rPr>
        <w:t xml:space="preserve"> </w:t>
      </w:r>
      <w:r w:rsidR="0028340E">
        <w:rPr>
          <w:rFonts w:ascii="Garamond" w:eastAsia="Times New Roman" w:hAnsi="Garamond" w:cs="Times New Roman"/>
          <w:sz w:val="20"/>
          <w:szCs w:val="20"/>
          <w:lang w:val="es-AR" w:eastAsia="zh-CN" w:bidi="he-IL"/>
        </w:rPr>
        <w:t>registrados</w:t>
      </w:r>
      <w:r w:rsidRPr="00CA0A60">
        <w:rPr>
          <w:rFonts w:ascii="Garamond" w:eastAsia="Times New Roman" w:hAnsi="Garamond" w:cs="Times New Roman"/>
          <w:sz w:val="20"/>
          <w:szCs w:val="20"/>
          <w:lang w:val="es-AR" w:eastAsia="zh-CN" w:bidi="he-IL"/>
        </w:rPr>
        <w:t xml:space="preserve"> ante los registros de créditos prendarios pertinentes de las jurisdicciones relevantes en Argentina. Las enmiendas a los Contratos de Prenda en Primer Grado de Privilegio Argentinos serán presentadas para su registro dentro de los cinco días siguientes a la Fecha de Emisión. Los Gravámenes constituidos por los Contratos de Prenda en Primer Grado de Privilegio Argentinos estarán sujetos a las limitaciones descriptas en “—</w:t>
      </w:r>
      <w:r w:rsidRPr="00CA0A60">
        <w:rPr>
          <w:rFonts w:ascii="Garamond" w:eastAsia="Times New Roman" w:hAnsi="Garamond" w:cs="Times New Roman"/>
          <w:i/>
          <w:sz w:val="20"/>
          <w:szCs w:val="20"/>
          <w:lang w:val="es-AR" w:eastAsia="zh-CN" w:bidi="he-IL"/>
        </w:rPr>
        <w:t>Limitaciones a los Derechos de Garantía”</w:t>
      </w:r>
      <w:r w:rsidRPr="00CA0A60">
        <w:rPr>
          <w:rFonts w:ascii="Garamond" w:eastAsia="Times New Roman" w:hAnsi="Garamond" w:cs="Times New Roman"/>
          <w:sz w:val="20"/>
          <w:szCs w:val="20"/>
          <w:lang w:val="es-AR" w:eastAsia="zh-CN" w:bidi="he-IL"/>
        </w:rPr>
        <w:t>.</w:t>
      </w:r>
    </w:p>
    <w:p w14:paraId="23DE8270" w14:textId="3E951AEB" w:rsidR="00064E6E" w:rsidRPr="00CA0A60" w:rsidRDefault="00411600" w:rsidP="002B1E31">
      <w:pPr>
        <w:keepNext/>
        <w:keepLines/>
        <w:tabs>
          <w:tab w:val="left" w:pos="284"/>
          <w:tab w:val="left" w:pos="709"/>
        </w:tabs>
        <w:spacing w:before="120" w:after="120"/>
        <w:jc w:val="both"/>
        <w:rPr>
          <w:rFonts w:ascii="Garamond" w:eastAsia="Times New Roman" w:hAnsi="Garamond" w:cs="Times New Roman"/>
          <w:b/>
          <w:i/>
          <w:iCs/>
          <w:sz w:val="20"/>
          <w:szCs w:val="20"/>
          <w:lang w:val="es-AR" w:eastAsia="zh-CN"/>
        </w:rPr>
      </w:pPr>
      <w:r w:rsidRPr="00CA0A60">
        <w:rPr>
          <w:rFonts w:ascii="Garamond" w:eastAsia="Times New Roman" w:hAnsi="Garamond" w:cs="Times New Roman"/>
          <w:b/>
          <w:i/>
          <w:iCs/>
          <w:sz w:val="20"/>
          <w:szCs w:val="20"/>
          <w:lang w:val="es-AR" w:eastAsia="zh-CN"/>
        </w:rPr>
        <w:t>Contrato de Prenda en Segundo Grado de Privilegio</w:t>
      </w:r>
      <w:r w:rsidR="00B70CAF" w:rsidRPr="00CA0A60">
        <w:rPr>
          <w:rFonts w:ascii="Garamond" w:eastAsia="Times New Roman" w:hAnsi="Garamond" w:cs="Times New Roman"/>
          <w:b/>
          <w:i/>
          <w:iCs/>
          <w:sz w:val="20"/>
          <w:szCs w:val="20"/>
          <w:lang w:val="es-AR" w:eastAsia="zh-CN"/>
        </w:rPr>
        <w:t xml:space="preserve"> Argentino</w:t>
      </w:r>
    </w:p>
    <w:p w14:paraId="2A3EB99D" w14:textId="49F3D624" w:rsidR="00064E6E" w:rsidRPr="00CA0A60" w:rsidRDefault="00064E6E" w:rsidP="002B1E31">
      <w:pPr>
        <w:keepNext/>
        <w:keepLines/>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El </w:t>
      </w:r>
      <w:r w:rsidR="00345C07" w:rsidRPr="00CA0A60">
        <w:rPr>
          <w:rFonts w:ascii="Garamond" w:eastAsia="Times New Roman" w:hAnsi="Garamond" w:cs="Times New Roman"/>
          <w:sz w:val="20"/>
          <w:szCs w:val="20"/>
          <w:lang w:val="es-AR" w:eastAsia="zh-CN" w:bidi="he-IL"/>
        </w:rPr>
        <w:t>11</w:t>
      </w:r>
      <w:r w:rsidRPr="00CA0A60">
        <w:rPr>
          <w:rFonts w:ascii="Garamond" w:eastAsia="Times New Roman" w:hAnsi="Garamond" w:cs="Times New Roman"/>
          <w:sz w:val="20"/>
          <w:szCs w:val="20"/>
          <w:lang w:val="es-AR" w:eastAsia="zh-CN" w:bidi="he-IL"/>
        </w:rPr>
        <w:t xml:space="preserve"> de</w:t>
      </w:r>
      <w:r w:rsidR="00345C07" w:rsidRPr="00CA0A60">
        <w:rPr>
          <w:rFonts w:ascii="Garamond" w:eastAsia="Times New Roman" w:hAnsi="Garamond" w:cs="Times New Roman"/>
          <w:sz w:val="20"/>
          <w:szCs w:val="20"/>
          <w:lang w:val="es-AR" w:eastAsia="zh-CN" w:bidi="he-IL"/>
        </w:rPr>
        <w:t xml:space="preserve"> enero</w:t>
      </w:r>
      <w:r w:rsidRPr="00CA0A60">
        <w:rPr>
          <w:rFonts w:ascii="Garamond" w:eastAsia="Times New Roman" w:hAnsi="Garamond" w:cs="Times New Roman"/>
          <w:sz w:val="20"/>
          <w:szCs w:val="20"/>
          <w:lang w:val="es-AR" w:eastAsia="zh-CN" w:bidi="he-IL"/>
        </w:rPr>
        <w:t xml:space="preserve"> </w:t>
      </w:r>
      <w:r w:rsidR="00345C07" w:rsidRPr="00CA0A60">
        <w:rPr>
          <w:rFonts w:ascii="Garamond" w:eastAsia="Times New Roman" w:hAnsi="Garamond" w:cs="Times New Roman"/>
          <w:sz w:val="20"/>
          <w:szCs w:val="20"/>
          <w:lang w:val="es-AR" w:eastAsia="zh-CN" w:bidi="he-IL"/>
        </w:rPr>
        <w:t xml:space="preserve">de </w:t>
      </w:r>
      <w:r w:rsidRPr="00CA0A60">
        <w:rPr>
          <w:rFonts w:ascii="Garamond" w:eastAsia="Times New Roman" w:hAnsi="Garamond" w:cs="Times New Roman"/>
          <w:sz w:val="20"/>
          <w:szCs w:val="20"/>
          <w:lang w:val="es-AR" w:eastAsia="zh-CN" w:bidi="he-IL"/>
        </w:rPr>
        <w:t>20</w:t>
      </w:r>
      <w:r w:rsidR="00345C07" w:rsidRPr="00CA0A60">
        <w:rPr>
          <w:rFonts w:ascii="Garamond" w:eastAsia="Times New Roman" w:hAnsi="Garamond" w:cs="Times New Roman"/>
          <w:sz w:val="20"/>
          <w:szCs w:val="20"/>
          <w:lang w:val="es-AR" w:eastAsia="zh-CN" w:bidi="he-IL"/>
        </w:rPr>
        <w:t>17 y el 2 de junio de 2017</w:t>
      </w:r>
      <w:r w:rsidRPr="00CA0A60">
        <w:rPr>
          <w:rFonts w:ascii="Garamond" w:eastAsia="Times New Roman" w:hAnsi="Garamond" w:cs="Times New Roman"/>
          <w:sz w:val="20"/>
          <w:szCs w:val="20"/>
          <w:lang w:val="es-AR" w:eastAsia="zh-CN" w:bidi="he-IL"/>
        </w:rPr>
        <w:t>, GEMSA</w:t>
      </w:r>
      <w:r w:rsidR="00345C07" w:rsidRPr="00CA0A60">
        <w:rPr>
          <w:rFonts w:ascii="Garamond" w:eastAsia="Times New Roman" w:hAnsi="Garamond" w:cs="Times New Roman"/>
          <w:sz w:val="20"/>
          <w:szCs w:val="20"/>
          <w:lang w:val="es-AR" w:eastAsia="zh-CN" w:bidi="he-IL"/>
        </w:rPr>
        <w:t>, como deudor prendario,</w:t>
      </w:r>
      <w:r w:rsidRPr="00CA0A60">
        <w:rPr>
          <w:rFonts w:ascii="Garamond" w:eastAsia="Times New Roman" w:hAnsi="Garamond" w:cs="Times New Roman"/>
          <w:sz w:val="20"/>
          <w:szCs w:val="20"/>
          <w:lang w:val="es-AR" w:eastAsia="zh-CN" w:bidi="he-IL"/>
        </w:rPr>
        <w:t xml:space="preserve"> </w:t>
      </w:r>
      <w:r w:rsidR="00345C07" w:rsidRPr="00CA0A60">
        <w:rPr>
          <w:rFonts w:ascii="Garamond" w:eastAsia="Times New Roman" w:hAnsi="Garamond" w:cs="Times New Roman"/>
          <w:sz w:val="20"/>
          <w:szCs w:val="20"/>
          <w:lang w:val="es-AR" w:eastAsia="zh-CN" w:bidi="he-IL"/>
        </w:rPr>
        <w:t>Siemens, como acreedor prendario y TMF Trust Company (Argentina) S.A.</w:t>
      </w:r>
      <w:r w:rsidRPr="00CA0A60">
        <w:rPr>
          <w:rFonts w:ascii="Garamond" w:eastAsia="Times New Roman" w:hAnsi="Garamond" w:cs="Times New Roman"/>
          <w:sz w:val="20"/>
          <w:szCs w:val="20"/>
          <w:lang w:val="es-AR" w:eastAsia="zh-CN" w:bidi="he-IL"/>
        </w:rPr>
        <w:t>, en carácter de agente de garantía</w:t>
      </w:r>
      <w:r w:rsidR="00345C07" w:rsidRPr="00CA0A60">
        <w:rPr>
          <w:rFonts w:ascii="Garamond" w:eastAsia="Times New Roman" w:hAnsi="Garamond" w:cs="Times New Roman"/>
          <w:sz w:val="20"/>
          <w:szCs w:val="20"/>
          <w:lang w:val="es-AR" w:eastAsia="zh-CN" w:bidi="he-IL"/>
        </w:rPr>
        <w:t xml:space="preserve"> y</w:t>
      </w:r>
      <w:r w:rsidRPr="00CA0A60">
        <w:rPr>
          <w:rFonts w:ascii="Garamond" w:eastAsia="Times New Roman" w:hAnsi="Garamond" w:cs="Times New Roman"/>
          <w:sz w:val="20"/>
          <w:szCs w:val="20"/>
          <w:lang w:val="es-AR" w:eastAsia="zh-CN" w:bidi="he-IL"/>
        </w:rPr>
        <w:t xml:space="preserve"> en beneficio de Siemens, celebraron contratos de prenda con registro en primer grado de privilegio argentinos (cada uno, con sus enmiendas, suplementos o modificaciones periódicas, un “</w:t>
      </w:r>
      <w:r w:rsidRPr="00CA0A60">
        <w:rPr>
          <w:rFonts w:ascii="Garamond" w:eastAsia="Times New Roman" w:hAnsi="Garamond" w:cs="Times New Roman"/>
          <w:sz w:val="20"/>
          <w:szCs w:val="20"/>
          <w:u w:val="single"/>
          <w:lang w:val="es-AR" w:eastAsia="zh-CN" w:bidi="he-IL"/>
        </w:rPr>
        <w:t>Contrato de Prenda de Siemens</w:t>
      </w:r>
      <w:r w:rsidRPr="00CA0A60">
        <w:rPr>
          <w:rFonts w:ascii="Garamond" w:eastAsia="Times New Roman" w:hAnsi="Garamond" w:cs="Times New Roman"/>
          <w:sz w:val="20"/>
          <w:szCs w:val="20"/>
          <w:lang w:val="es-AR" w:eastAsia="zh-CN" w:bidi="he-IL"/>
        </w:rPr>
        <w:t>” y, en conjunto, los “</w:t>
      </w:r>
      <w:r w:rsidRPr="00CA0A60">
        <w:rPr>
          <w:rFonts w:ascii="Garamond" w:eastAsia="Times New Roman" w:hAnsi="Garamond" w:cs="Times New Roman"/>
          <w:sz w:val="20"/>
          <w:szCs w:val="20"/>
          <w:u w:val="single"/>
          <w:lang w:val="es-AR" w:eastAsia="zh-CN" w:bidi="he-IL"/>
        </w:rPr>
        <w:t>Contratos de Prenda de Siemens</w:t>
      </w:r>
      <w:r w:rsidRPr="00CA0A60">
        <w:rPr>
          <w:rFonts w:ascii="Garamond" w:eastAsia="Times New Roman" w:hAnsi="Garamond" w:cs="Times New Roman"/>
          <w:sz w:val="20"/>
          <w:szCs w:val="20"/>
          <w:lang w:val="es-AR" w:eastAsia="zh-CN" w:bidi="he-IL"/>
        </w:rPr>
        <w:t xml:space="preserve">”) con respecto a los Equipos de Siemens. De conformidad con los Contratos de Prenda de Siemens, GEMSA constituyó un Gravamen en primer grado de privilegio a favor de </w:t>
      </w:r>
      <w:r w:rsidR="00345C07" w:rsidRPr="00CA0A60">
        <w:rPr>
          <w:rFonts w:ascii="Garamond" w:eastAsia="Times New Roman" w:hAnsi="Garamond" w:cs="Times New Roman"/>
          <w:sz w:val="20"/>
          <w:szCs w:val="20"/>
          <w:lang w:val="es-AR" w:eastAsia="zh-CN" w:bidi="he-IL"/>
        </w:rPr>
        <w:t>Siemens</w:t>
      </w:r>
      <w:r w:rsidR="00345C07" w:rsidRPr="00CA0A60" w:rsidDel="00345C07">
        <w:rPr>
          <w:rFonts w:ascii="Garamond" w:eastAsia="Times New Roman" w:hAnsi="Garamond" w:cs="Times New Roman"/>
          <w:sz w:val="20"/>
          <w:szCs w:val="20"/>
          <w:lang w:val="es-AR" w:eastAsia="zh-CN" w:bidi="he-IL"/>
        </w:rPr>
        <w:t xml:space="preserve"> </w:t>
      </w:r>
      <w:r w:rsidR="00345C07" w:rsidRPr="00CA0A60">
        <w:rPr>
          <w:rFonts w:ascii="Garamond" w:eastAsia="Times New Roman" w:hAnsi="Garamond" w:cs="Times New Roman"/>
          <w:sz w:val="20"/>
          <w:szCs w:val="20"/>
          <w:lang w:val="es-AR" w:eastAsia="zh-CN" w:bidi="he-IL"/>
        </w:rPr>
        <w:t xml:space="preserve">y TMF Trust Company (Argentina) S.A., </w:t>
      </w:r>
      <w:r w:rsidRPr="00CA0A60">
        <w:rPr>
          <w:rFonts w:ascii="Garamond" w:eastAsia="Times New Roman" w:hAnsi="Garamond" w:cs="Times New Roman"/>
          <w:sz w:val="20"/>
          <w:szCs w:val="20"/>
          <w:lang w:val="es-AR" w:eastAsia="zh-CN" w:bidi="he-IL"/>
        </w:rPr>
        <w:t>en carácter de agente de garantía</w:t>
      </w:r>
      <w:r w:rsidR="00345C07" w:rsidRPr="00CA0A60">
        <w:rPr>
          <w:rFonts w:ascii="Garamond" w:eastAsia="Times New Roman" w:hAnsi="Garamond" w:cs="Times New Roman"/>
          <w:sz w:val="20"/>
          <w:szCs w:val="20"/>
          <w:lang w:val="es-AR" w:eastAsia="zh-CN" w:bidi="he-IL"/>
        </w:rPr>
        <w:t xml:space="preserve"> y</w:t>
      </w:r>
      <w:r w:rsidRPr="00CA0A60">
        <w:rPr>
          <w:rFonts w:ascii="Garamond" w:eastAsia="Times New Roman" w:hAnsi="Garamond" w:cs="Times New Roman"/>
          <w:sz w:val="20"/>
          <w:szCs w:val="20"/>
          <w:lang w:val="es-AR" w:eastAsia="zh-CN" w:bidi="he-IL"/>
        </w:rPr>
        <w:t xml:space="preserve"> en beneficio de Siemens</w:t>
      </w:r>
      <w:r w:rsidR="00345C07" w:rsidRPr="00CA0A60">
        <w:rPr>
          <w:rFonts w:ascii="Garamond" w:eastAsia="Times New Roman" w:hAnsi="Garamond" w:cs="Times New Roman"/>
          <w:sz w:val="20"/>
          <w:szCs w:val="20"/>
          <w:lang w:val="es-AR" w:eastAsia="zh-CN" w:bidi="he-IL"/>
        </w:rPr>
        <w:t>,</w:t>
      </w:r>
      <w:r w:rsidRPr="00CA0A60">
        <w:rPr>
          <w:rFonts w:ascii="Garamond" w:eastAsia="Times New Roman" w:hAnsi="Garamond" w:cs="Times New Roman"/>
          <w:sz w:val="20"/>
          <w:szCs w:val="20"/>
          <w:lang w:val="es-AR" w:eastAsia="zh-CN" w:bidi="he-IL"/>
        </w:rPr>
        <w:t xml:space="preserve"> sobre todos los Equipos de Siemens.</w:t>
      </w:r>
    </w:p>
    <w:p w14:paraId="436374FB" w14:textId="7133DE1C" w:rsidR="00064E6E" w:rsidRPr="00CA0A60" w:rsidRDefault="00064E6E" w:rsidP="00064E6E">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El </w:t>
      </w:r>
      <w:r w:rsidR="00345C07" w:rsidRPr="00CA0A60">
        <w:rPr>
          <w:rFonts w:ascii="Garamond" w:eastAsia="Times New Roman" w:hAnsi="Garamond" w:cs="Times New Roman"/>
          <w:sz w:val="20"/>
          <w:szCs w:val="20"/>
          <w:lang w:val="es-AR" w:eastAsia="zh-CN" w:bidi="he-IL"/>
        </w:rPr>
        <w:t>10 de febrero de 2017</w:t>
      </w:r>
      <w:r w:rsidRPr="00CA0A60">
        <w:rPr>
          <w:rFonts w:ascii="Garamond" w:eastAsia="Times New Roman" w:hAnsi="Garamond" w:cs="Times New Roman"/>
          <w:sz w:val="20"/>
          <w:szCs w:val="20"/>
          <w:lang w:val="es-AR" w:eastAsia="zh-CN" w:bidi="he-IL"/>
        </w:rPr>
        <w:t xml:space="preserve"> y el </w:t>
      </w:r>
      <w:r w:rsidR="00345C07" w:rsidRPr="00CA0A60">
        <w:rPr>
          <w:rFonts w:ascii="Garamond" w:eastAsia="Times New Roman" w:hAnsi="Garamond" w:cs="Times New Roman"/>
          <w:sz w:val="20"/>
          <w:szCs w:val="20"/>
          <w:lang w:val="es-AR" w:eastAsia="zh-CN" w:bidi="he-IL"/>
        </w:rPr>
        <w:t>12</w:t>
      </w:r>
      <w:r w:rsidRPr="00CA0A60">
        <w:rPr>
          <w:rFonts w:ascii="Garamond" w:eastAsia="Times New Roman" w:hAnsi="Garamond" w:cs="Times New Roman"/>
          <w:sz w:val="20"/>
          <w:szCs w:val="20"/>
          <w:lang w:val="es-AR" w:eastAsia="zh-CN" w:bidi="he-IL"/>
        </w:rPr>
        <w:t xml:space="preserve"> de</w:t>
      </w:r>
      <w:r w:rsidR="00345C07" w:rsidRPr="00CA0A60">
        <w:rPr>
          <w:rFonts w:ascii="Garamond" w:eastAsia="Times New Roman" w:hAnsi="Garamond" w:cs="Times New Roman"/>
          <w:sz w:val="20"/>
          <w:szCs w:val="20"/>
          <w:lang w:val="es-AR" w:eastAsia="zh-CN" w:bidi="he-IL"/>
        </w:rPr>
        <w:t xml:space="preserve"> junio</w:t>
      </w:r>
      <w:r w:rsidRPr="00CA0A60">
        <w:rPr>
          <w:rFonts w:ascii="Garamond" w:eastAsia="Times New Roman" w:hAnsi="Garamond" w:cs="Times New Roman"/>
          <w:sz w:val="20"/>
          <w:szCs w:val="20"/>
          <w:lang w:val="es-AR" w:eastAsia="zh-CN" w:bidi="he-IL"/>
        </w:rPr>
        <w:t xml:space="preserve"> 20</w:t>
      </w:r>
      <w:r w:rsidR="00345C07" w:rsidRPr="00CA0A60">
        <w:rPr>
          <w:rFonts w:ascii="Garamond" w:eastAsia="Times New Roman" w:hAnsi="Garamond" w:cs="Times New Roman"/>
          <w:sz w:val="20"/>
          <w:szCs w:val="20"/>
          <w:lang w:val="es-AR" w:eastAsia="zh-CN" w:bidi="he-IL"/>
        </w:rPr>
        <w:t>17</w:t>
      </w:r>
      <w:r w:rsidRPr="00CA0A60">
        <w:rPr>
          <w:rFonts w:ascii="Garamond" w:eastAsia="Times New Roman" w:hAnsi="Garamond" w:cs="Times New Roman"/>
          <w:sz w:val="20"/>
          <w:szCs w:val="20"/>
          <w:lang w:val="es-AR" w:eastAsia="zh-CN" w:bidi="he-IL"/>
        </w:rPr>
        <w:t>, los Contratos de Prenda de Siemens fueron registrados ante los registros de créditos prendarios pertinentes de las jurisdicciones relevantes en Argentina.</w:t>
      </w:r>
    </w:p>
    <w:p w14:paraId="598B9CD2" w14:textId="7428E034" w:rsidR="00064E6E" w:rsidRPr="00CA0A60" w:rsidRDefault="00064E6E" w:rsidP="00064E6E">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El </w:t>
      </w:r>
      <w:r w:rsidR="00345C07" w:rsidRPr="00CA0A60">
        <w:rPr>
          <w:rFonts w:ascii="Garamond" w:eastAsia="Times New Roman" w:hAnsi="Garamond" w:cs="Times New Roman"/>
          <w:sz w:val="20"/>
          <w:szCs w:val="20"/>
          <w:lang w:val="es-AR" w:eastAsia="zh-CN" w:bidi="he-IL"/>
        </w:rPr>
        <w:t>16</w:t>
      </w:r>
      <w:r w:rsidRPr="00CA0A60">
        <w:rPr>
          <w:rFonts w:ascii="Garamond" w:eastAsia="Times New Roman" w:hAnsi="Garamond" w:cs="Times New Roman"/>
          <w:sz w:val="20"/>
          <w:szCs w:val="20"/>
          <w:lang w:val="es-AR" w:eastAsia="zh-CN" w:bidi="he-IL"/>
        </w:rPr>
        <w:t xml:space="preserve"> de julio de 2019, (i) GEMSA y el Agente de Garantía Local, en tal carácter, celebraron </w:t>
      </w:r>
      <w:r w:rsidR="00505D9E" w:rsidRPr="00CA0A60">
        <w:rPr>
          <w:rFonts w:ascii="Garamond" w:eastAsia="Times New Roman" w:hAnsi="Garamond" w:cs="Times New Roman"/>
          <w:sz w:val="20"/>
          <w:szCs w:val="20"/>
          <w:lang w:val="es-AR" w:eastAsia="zh-CN" w:bidi="he-IL"/>
        </w:rPr>
        <w:t xml:space="preserve">un nuevo </w:t>
      </w:r>
      <w:r w:rsidRPr="00CA0A60">
        <w:rPr>
          <w:rFonts w:ascii="Garamond" w:eastAsia="Times New Roman" w:hAnsi="Garamond" w:cs="Times New Roman"/>
          <w:sz w:val="20"/>
          <w:szCs w:val="20"/>
          <w:lang w:val="es-AR" w:eastAsia="zh-CN" w:bidi="he-IL"/>
        </w:rPr>
        <w:t>contrato de prenda con registro ( “</w:t>
      </w:r>
      <w:r w:rsidRPr="00CA0A60">
        <w:rPr>
          <w:rFonts w:ascii="Garamond" w:eastAsia="Times New Roman" w:hAnsi="Garamond" w:cs="Times New Roman"/>
          <w:sz w:val="20"/>
          <w:szCs w:val="20"/>
          <w:u w:val="single"/>
          <w:lang w:val="es-AR" w:eastAsia="zh-CN" w:bidi="he-IL"/>
        </w:rPr>
        <w:t>Contrato de Prenda en Segundo Grado de Privilegio</w:t>
      </w:r>
      <w:r w:rsidR="00B70CAF" w:rsidRPr="00CA0A60">
        <w:rPr>
          <w:rFonts w:ascii="Garamond" w:eastAsia="Times New Roman" w:hAnsi="Garamond" w:cs="Times New Roman"/>
          <w:sz w:val="20"/>
          <w:szCs w:val="20"/>
          <w:u w:val="single"/>
          <w:lang w:val="es-AR" w:eastAsia="zh-CN" w:bidi="he-IL"/>
        </w:rPr>
        <w:t xml:space="preserve"> Argentino</w:t>
      </w:r>
      <w:r w:rsidRPr="00CA0A60">
        <w:rPr>
          <w:rFonts w:ascii="Garamond" w:eastAsia="Times New Roman" w:hAnsi="Garamond" w:cs="Times New Roman"/>
          <w:sz w:val="20"/>
          <w:szCs w:val="20"/>
          <w:lang w:val="es-AR" w:eastAsia="zh-CN" w:bidi="he-IL"/>
        </w:rPr>
        <w:t>”), en virtud de</w:t>
      </w:r>
      <w:r w:rsidR="00505D9E" w:rsidRPr="00CA0A60">
        <w:rPr>
          <w:rFonts w:ascii="Garamond" w:eastAsia="Times New Roman" w:hAnsi="Garamond" w:cs="Times New Roman"/>
          <w:sz w:val="20"/>
          <w:szCs w:val="20"/>
          <w:lang w:val="es-AR" w:eastAsia="zh-CN" w:bidi="he-IL"/>
        </w:rPr>
        <w:t>l</w:t>
      </w:r>
      <w:r w:rsidRPr="00CA0A60">
        <w:rPr>
          <w:rFonts w:ascii="Garamond" w:eastAsia="Times New Roman" w:hAnsi="Garamond" w:cs="Times New Roman"/>
          <w:sz w:val="20"/>
          <w:szCs w:val="20"/>
          <w:lang w:val="es-AR" w:eastAsia="zh-CN" w:bidi="he-IL"/>
        </w:rPr>
        <w:t xml:space="preserve"> cual </w:t>
      </w:r>
      <w:r w:rsidR="00345C07" w:rsidRPr="00CA0A60">
        <w:rPr>
          <w:rFonts w:ascii="Garamond" w:eastAsia="Times New Roman" w:hAnsi="Garamond" w:cs="Times New Roman"/>
          <w:sz w:val="20"/>
          <w:szCs w:val="20"/>
          <w:lang w:val="es-AR" w:eastAsia="zh-CN" w:bidi="he-IL"/>
        </w:rPr>
        <w:t xml:space="preserve">conforme el artículo 3 de la Ley de Obligaciones Negociables, </w:t>
      </w:r>
      <w:r w:rsidRPr="00CA0A60">
        <w:rPr>
          <w:rFonts w:ascii="Garamond" w:eastAsia="Times New Roman" w:hAnsi="Garamond" w:cs="Times New Roman"/>
          <w:sz w:val="20"/>
          <w:szCs w:val="20"/>
          <w:lang w:val="es-AR" w:eastAsia="zh-CN" w:bidi="he-IL"/>
        </w:rPr>
        <w:t>GEMSA constituyó un Gravamen en segundo grado de privilegio sobre los Equipos de Siemens a favor del Agente de Garantía Local, en tal carácter, en beneficio de l</w:t>
      </w:r>
      <w:r w:rsidR="005B6575">
        <w:rPr>
          <w:rFonts w:ascii="Garamond" w:eastAsia="Times New Roman" w:hAnsi="Garamond" w:cs="Times New Roman"/>
          <w:sz w:val="20"/>
          <w:szCs w:val="20"/>
          <w:lang w:val="es-AR" w:eastAsia="zh-CN" w:bidi="he-IL"/>
        </w:rPr>
        <w:t>a</w:t>
      </w:r>
      <w:r w:rsidRPr="00CA0A60">
        <w:rPr>
          <w:rFonts w:ascii="Garamond" w:eastAsia="Times New Roman" w:hAnsi="Garamond" w:cs="Times New Roman"/>
          <w:sz w:val="20"/>
          <w:szCs w:val="20"/>
          <w:lang w:val="es-AR" w:eastAsia="zh-CN" w:bidi="he-IL"/>
        </w:rPr>
        <w:t xml:space="preserve">s </w:t>
      </w:r>
      <w:r w:rsidR="005B6575">
        <w:rPr>
          <w:rFonts w:ascii="Garamond" w:eastAsia="Times New Roman" w:hAnsi="Garamond" w:cs="Times New Roman"/>
          <w:sz w:val="20"/>
          <w:szCs w:val="20"/>
          <w:lang w:val="es-AR" w:eastAsia="zh-CN" w:bidi="he-IL"/>
        </w:rPr>
        <w:t>Partes Garantizadas</w:t>
      </w:r>
      <w:r w:rsidR="005B6575" w:rsidRPr="00CA0A60">
        <w:rPr>
          <w:rFonts w:ascii="Garamond" w:eastAsia="Times New Roman" w:hAnsi="Garamond" w:cs="Times New Roman"/>
          <w:sz w:val="20"/>
          <w:szCs w:val="20"/>
          <w:lang w:val="es-AR" w:eastAsia="zh-CN" w:bidi="he-IL"/>
        </w:rPr>
        <w:t xml:space="preserve"> </w:t>
      </w:r>
      <w:r w:rsidRPr="00CA0A60">
        <w:rPr>
          <w:rFonts w:ascii="Garamond" w:eastAsia="Times New Roman" w:hAnsi="Garamond" w:cs="Times New Roman"/>
          <w:sz w:val="20"/>
          <w:szCs w:val="20"/>
          <w:lang w:val="es-AR" w:eastAsia="zh-CN" w:bidi="he-IL"/>
        </w:rPr>
        <w:t xml:space="preserve">(el cual se convertirá automáticamente en un Gravamen en primer grado de privilegio ante la cancelación total de la </w:t>
      </w:r>
      <w:r w:rsidR="00B816E3" w:rsidRPr="00CA0A60">
        <w:rPr>
          <w:rFonts w:ascii="Garamond" w:eastAsia="Times New Roman" w:hAnsi="Garamond" w:cs="Times New Roman"/>
          <w:sz w:val="20"/>
          <w:szCs w:val="20"/>
          <w:lang w:val="es-AR" w:eastAsia="zh-CN" w:bidi="he-IL"/>
        </w:rPr>
        <w:t>Deuda de Siemens</w:t>
      </w:r>
      <w:r w:rsidRPr="00CA0A60">
        <w:rPr>
          <w:rFonts w:ascii="Garamond" w:eastAsia="Times New Roman" w:hAnsi="Garamond" w:cs="Times New Roman"/>
          <w:sz w:val="20"/>
          <w:szCs w:val="20"/>
          <w:lang w:val="es-AR" w:eastAsia="zh-CN" w:bidi="he-IL"/>
        </w:rPr>
        <w:t xml:space="preserve"> en la Fecha de Emisión con los fondos obtenidos de las Obligaciones Negociables y la cancelación del Gravamen en primer grado de privilegio constituido sobre los Equipos de Siemens </w:t>
      </w:r>
      <w:r w:rsidR="00A66B1D" w:rsidRPr="00CA0A60">
        <w:rPr>
          <w:rFonts w:ascii="Garamond" w:eastAsia="Times New Roman" w:hAnsi="Garamond" w:cs="Times New Roman"/>
          <w:sz w:val="20"/>
          <w:szCs w:val="20"/>
          <w:lang w:val="es-AR" w:eastAsia="zh-CN" w:bidi="he-IL"/>
        </w:rPr>
        <w:t>en favor de Siemens y de TMF Trust Company (Argentina) S.A.</w:t>
      </w:r>
      <w:r w:rsidRPr="00CA0A60">
        <w:rPr>
          <w:rFonts w:ascii="Garamond" w:eastAsia="Times New Roman" w:hAnsi="Garamond" w:cs="Times New Roman"/>
          <w:sz w:val="20"/>
          <w:szCs w:val="20"/>
          <w:lang w:val="es-AR" w:eastAsia="zh-CN" w:bidi="he-IL"/>
        </w:rPr>
        <w:t>, en carácter de agente de garantía</w:t>
      </w:r>
      <w:r w:rsidR="00A66B1D" w:rsidRPr="00CA0A60">
        <w:rPr>
          <w:rFonts w:ascii="Garamond" w:eastAsia="Times New Roman" w:hAnsi="Garamond" w:cs="Times New Roman"/>
          <w:sz w:val="20"/>
          <w:szCs w:val="20"/>
          <w:lang w:val="es-AR" w:eastAsia="zh-CN" w:bidi="he-IL"/>
        </w:rPr>
        <w:t xml:space="preserve"> y</w:t>
      </w:r>
      <w:r w:rsidRPr="00CA0A60">
        <w:rPr>
          <w:rFonts w:ascii="Garamond" w:eastAsia="Times New Roman" w:hAnsi="Garamond" w:cs="Times New Roman"/>
          <w:sz w:val="20"/>
          <w:szCs w:val="20"/>
          <w:lang w:val="es-AR" w:eastAsia="zh-CN" w:bidi="he-IL"/>
        </w:rPr>
        <w:t xml:space="preserve"> en beneficio de Siemens, según se describe bajo el título “</w:t>
      </w:r>
      <w:r w:rsidR="001B0D0C">
        <w:rPr>
          <w:rFonts w:ascii="Garamond" w:eastAsia="Times New Roman" w:hAnsi="Garamond" w:cs="Times New Roman"/>
          <w:i/>
          <w:sz w:val="20"/>
          <w:szCs w:val="20"/>
          <w:lang w:val="es-AR" w:eastAsia="zh-CN" w:bidi="he-IL"/>
        </w:rPr>
        <w:t>Ciertos Compromisos</w:t>
      </w:r>
      <w:r w:rsidRPr="00CA0A60">
        <w:rPr>
          <w:rFonts w:ascii="Garamond" w:eastAsia="Times New Roman" w:hAnsi="Garamond" w:cs="Times New Roman"/>
          <w:sz w:val="20"/>
          <w:szCs w:val="20"/>
          <w:lang w:val="es-AR" w:eastAsia="zh-CN" w:bidi="he-IL"/>
        </w:rPr>
        <w:t>—</w:t>
      </w:r>
      <w:r w:rsidRPr="00CA0A60">
        <w:rPr>
          <w:rFonts w:ascii="Garamond" w:eastAsia="Times New Roman" w:hAnsi="Garamond" w:cs="Times New Roman"/>
          <w:i/>
          <w:sz w:val="20"/>
          <w:szCs w:val="20"/>
          <w:lang w:val="es-AR" w:eastAsia="zh-CN" w:bidi="he-IL"/>
        </w:rPr>
        <w:t>Preservación de Derechos bajo los Documentos de Garantía</w:t>
      </w:r>
      <w:r w:rsidRPr="00CA0A60">
        <w:rPr>
          <w:rFonts w:ascii="Garamond" w:eastAsia="Times New Roman" w:hAnsi="Garamond" w:cs="Times New Roman"/>
          <w:sz w:val="20"/>
          <w:szCs w:val="20"/>
          <w:lang w:val="es-AR" w:eastAsia="zh-CN" w:bidi="he-IL"/>
        </w:rPr>
        <w:t xml:space="preserve">”). </w:t>
      </w:r>
      <w:r w:rsidR="00A66B1D" w:rsidRPr="00CA0A60">
        <w:rPr>
          <w:rFonts w:ascii="Garamond" w:eastAsia="Times New Roman" w:hAnsi="Garamond" w:cs="Times New Roman"/>
          <w:sz w:val="20"/>
          <w:szCs w:val="20"/>
          <w:lang w:val="es-AR" w:eastAsia="zh-CN" w:bidi="he-IL"/>
        </w:rPr>
        <w:t xml:space="preserve">Con sujeción a las condiciones detalladas en la carta de consentimiento de fecha 15 de julio de 2019, </w:t>
      </w:r>
      <w:r w:rsidRPr="00CA0A60">
        <w:rPr>
          <w:rFonts w:ascii="Garamond" w:eastAsia="Times New Roman" w:hAnsi="Garamond" w:cs="Times New Roman"/>
          <w:sz w:val="20"/>
          <w:szCs w:val="20"/>
          <w:lang w:val="es-AR" w:eastAsia="zh-CN" w:bidi="he-IL"/>
        </w:rPr>
        <w:t xml:space="preserve">Siemens prestó su consentimiento a la suscripción del </w:t>
      </w:r>
      <w:r w:rsidR="00411600" w:rsidRPr="00CA0A60">
        <w:rPr>
          <w:rFonts w:ascii="Garamond" w:eastAsia="Times New Roman" w:hAnsi="Garamond" w:cs="Times New Roman"/>
          <w:sz w:val="20"/>
          <w:szCs w:val="20"/>
          <w:lang w:val="es-AR" w:eastAsia="zh-CN" w:bidi="he-IL"/>
        </w:rPr>
        <w:t>Contrato de Prenda en Segundo Grado de Privilegio</w:t>
      </w:r>
      <w:r w:rsidRPr="00CA0A60">
        <w:rPr>
          <w:rFonts w:ascii="Garamond" w:eastAsia="Times New Roman" w:hAnsi="Garamond" w:cs="Times New Roman"/>
          <w:sz w:val="20"/>
          <w:szCs w:val="20"/>
          <w:lang w:val="es-AR" w:eastAsia="zh-CN" w:bidi="he-IL"/>
        </w:rPr>
        <w:t xml:space="preserve"> </w:t>
      </w:r>
      <w:r w:rsidR="00B70CAF" w:rsidRPr="00CA0A60">
        <w:rPr>
          <w:rFonts w:ascii="Garamond" w:eastAsia="Times New Roman" w:hAnsi="Garamond" w:cs="Times New Roman"/>
          <w:sz w:val="20"/>
          <w:szCs w:val="20"/>
          <w:lang w:val="es-AR" w:eastAsia="zh-CN" w:bidi="he-IL"/>
        </w:rPr>
        <w:t>Argentino</w:t>
      </w:r>
      <w:r w:rsidRPr="00CA0A60">
        <w:rPr>
          <w:rFonts w:ascii="Garamond" w:eastAsia="Times New Roman" w:hAnsi="Garamond" w:cs="Times New Roman"/>
          <w:sz w:val="20"/>
          <w:szCs w:val="20"/>
          <w:lang w:val="es-AR" w:eastAsia="zh-CN" w:bidi="he-IL"/>
        </w:rPr>
        <w:t>.</w:t>
      </w:r>
    </w:p>
    <w:p w14:paraId="5C0C03BF" w14:textId="5F2E32BC" w:rsidR="00064E6E" w:rsidRPr="00CA0A60" w:rsidRDefault="00064E6E" w:rsidP="00064E6E">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En o antes de la Fecha de Emisión, GEMSA y el Agente de Garantía Local celebrarán una enmienda a</w:t>
      </w:r>
      <w:r w:rsidR="00A66B1D" w:rsidRPr="00CA0A60">
        <w:rPr>
          <w:rFonts w:ascii="Garamond" w:eastAsia="Times New Roman" w:hAnsi="Garamond" w:cs="Times New Roman"/>
          <w:sz w:val="20"/>
          <w:szCs w:val="20"/>
          <w:lang w:val="es-AR" w:eastAsia="zh-CN" w:bidi="he-IL"/>
        </w:rPr>
        <w:t>l</w:t>
      </w:r>
      <w:r w:rsidRPr="00CA0A60">
        <w:rPr>
          <w:rFonts w:ascii="Garamond" w:eastAsia="Times New Roman" w:hAnsi="Garamond" w:cs="Times New Roman"/>
          <w:sz w:val="20"/>
          <w:szCs w:val="20"/>
          <w:lang w:val="es-AR" w:eastAsia="zh-CN" w:bidi="he-IL"/>
        </w:rPr>
        <w:t xml:space="preserve"> </w:t>
      </w:r>
      <w:r w:rsidR="00411600" w:rsidRPr="00CA0A60">
        <w:rPr>
          <w:rFonts w:ascii="Garamond" w:eastAsia="Times New Roman" w:hAnsi="Garamond" w:cs="Times New Roman"/>
          <w:sz w:val="20"/>
          <w:szCs w:val="20"/>
          <w:lang w:val="es-AR" w:eastAsia="zh-CN" w:bidi="he-IL"/>
        </w:rPr>
        <w:t>Contrato de Prenda en Segundo Grado de Privilegio</w:t>
      </w:r>
      <w:r w:rsidRPr="00CA0A60">
        <w:rPr>
          <w:rFonts w:ascii="Garamond" w:eastAsia="Times New Roman" w:hAnsi="Garamond" w:cs="Times New Roman"/>
          <w:sz w:val="20"/>
          <w:szCs w:val="20"/>
          <w:lang w:val="es-AR" w:eastAsia="zh-CN" w:bidi="he-IL"/>
        </w:rPr>
        <w:t xml:space="preserve"> </w:t>
      </w:r>
      <w:r w:rsidR="00B70CAF" w:rsidRPr="00CA0A60">
        <w:rPr>
          <w:rFonts w:ascii="Garamond" w:eastAsia="Times New Roman" w:hAnsi="Garamond" w:cs="Times New Roman"/>
          <w:sz w:val="20"/>
          <w:szCs w:val="20"/>
          <w:lang w:val="es-AR" w:eastAsia="zh-CN" w:bidi="he-IL"/>
        </w:rPr>
        <w:t xml:space="preserve">Argentino </w:t>
      </w:r>
      <w:r w:rsidRPr="00CA0A60">
        <w:rPr>
          <w:rFonts w:ascii="Garamond" w:eastAsia="Times New Roman" w:hAnsi="Garamond" w:cs="Times New Roman"/>
          <w:sz w:val="20"/>
          <w:szCs w:val="20"/>
          <w:lang w:val="es-AR" w:eastAsia="zh-CN" w:bidi="he-IL"/>
        </w:rPr>
        <w:t>para reflejar la emisión</w:t>
      </w:r>
      <w:r w:rsidR="003E0F1F">
        <w:rPr>
          <w:rFonts w:ascii="Garamond" w:eastAsia="Times New Roman" w:hAnsi="Garamond" w:cs="Times New Roman"/>
          <w:sz w:val="20"/>
          <w:szCs w:val="20"/>
          <w:lang w:val="es-AR" w:eastAsia="zh-CN" w:bidi="he-IL"/>
        </w:rPr>
        <w:t>,</w:t>
      </w:r>
      <w:r w:rsidRPr="00CA0A60">
        <w:rPr>
          <w:rFonts w:ascii="Garamond" w:eastAsia="Times New Roman" w:hAnsi="Garamond" w:cs="Times New Roman"/>
          <w:sz w:val="20"/>
          <w:szCs w:val="20"/>
          <w:lang w:val="es-AR" w:eastAsia="zh-CN" w:bidi="he-IL"/>
        </w:rPr>
        <w:t xml:space="preserve"> los términos definitivos de las Obligaciones Negociables</w:t>
      </w:r>
      <w:r w:rsidR="003E0F1F" w:rsidRPr="003E0F1F">
        <w:rPr>
          <w:rFonts w:ascii="Garamond" w:eastAsia="Times New Roman" w:hAnsi="Garamond" w:cs="Times New Roman"/>
          <w:sz w:val="20"/>
          <w:szCs w:val="20"/>
          <w:lang w:val="es-AR" w:eastAsia="zh-CN" w:bidi="he-IL"/>
        </w:rPr>
        <w:t xml:space="preserve"> </w:t>
      </w:r>
      <w:r w:rsidR="003E0F1F">
        <w:rPr>
          <w:rFonts w:ascii="Garamond" w:eastAsia="Times New Roman" w:hAnsi="Garamond" w:cs="Times New Roman"/>
          <w:sz w:val="20"/>
          <w:szCs w:val="20"/>
          <w:lang w:val="es-AR" w:eastAsia="zh-CN" w:bidi="he-IL"/>
        </w:rPr>
        <w:t xml:space="preserve">y el monto máximo a ser garantizado por dicho contrato que, no superará </w:t>
      </w:r>
      <w:r w:rsidR="00FE1781">
        <w:rPr>
          <w:rFonts w:ascii="Garamond" w:eastAsia="Times New Roman" w:hAnsi="Garamond" w:cs="Times New Roman"/>
          <w:sz w:val="20"/>
          <w:szCs w:val="20"/>
          <w:lang w:val="es-AR" w:eastAsia="zh-CN" w:bidi="he-IL"/>
        </w:rPr>
        <w:t>el monto que se informará en el Aviso de Resultados</w:t>
      </w:r>
      <w:r w:rsidR="003E0F1F">
        <w:rPr>
          <w:rFonts w:ascii="Garamond" w:eastAsia="Times New Roman" w:hAnsi="Garamond" w:cs="Times New Roman"/>
          <w:sz w:val="20"/>
          <w:szCs w:val="20"/>
          <w:lang w:val="es-AR" w:eastAsia="zh-CN" w:bidi="he-IL"/>
        </w:rPr>
        <w:t>.</w:t>
      </w:r>
    </w:p>
    <w:p w14:paraId="53F89FF6" w14:textId="3A98B0AA" w:rsidR="00064E6E" w:rsidRPr="00CA0A60" w:rsidRDefault="00A66B1D" w:rsidP="00064E6E">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El</w:t>
      </w:r>
      <w:r w:rsidR="00064E6E" w:rsidRPr="00CA0A60">
        <w:rPr>
          <w:rFonts w:ascii="Garamond" w:eastAsia="Times New Roman" w:hAnsi="Garamond" w:cs="Times New Roman"/>
          <w:sz w:val="20"/>
          <w:szCs w:val="20"/>
          <w:lang w:val="es-AR" w:eastAsia="zh-CN" w:bidi="he-IL"/>
        </w:rPr>
        <w:t xml:space="preserve"> </w:t>
      </w:r>
      <w:r w:rsidR="00411600" w:rsidRPr="00CA0A60">
        <w:rPr>
          <w:rFonts w:ascii="Garamond" w:eastAsia="Times New Roman" w:hAnsi="Garamond" w:cs="Times New Roman"/>
          <w:sz w:val="20"/>
          <w:szCs w:val="20"/>
          <w:lang w:val="es-AR" w:eastAsia="zh-CN" w:bidi="he-IL"/>
        </w:rPr>
        <w:t>Contrato de Prenda en Segundo Grado de Privilegio</w:t>
      </w:r>
      <w:r w:rsidR="00064E6E" w:rsidRPr="00CA0A60">
        <w:rPr>
          <w:rFonts w:ascii="Garamond" w:eastAsia="Times New Roman" w:hAnsi="Garamond" w:cs="Times New Roman"/>
          <w:sz w:val="20"/>
          <w:szCs w:val="20"/>
          <w:lang w:val="es-AR" w:eastAsia="zh-CN" w:bidi="he-IL"/>
        </w:rPr>
        <w:t xml:space="preserve"> Argentino se rige por las leyes de Argentina. El </w:t>
      </w:r>
      <w:r w:rsidRPr="00CA0A60">
        <w:rPr>
          <w:rFonts w:ascii="Garamond" w:eastAsia="Times New Roman" w:hAnsi="Garamond" w:cs="Times New Roman"/>
          <w:sz w:val="20"/>
          <w:szCs w:val="20"/>
          <w:lang w:val="es-AR" w:eastAsia="zh-CN" w:bidi="he-IL"/>
        </w:rPr>
        <w:t>19</w:t>
      </w:r>
      <w:r w:rsidR="00064E6E" w:rsidRPr="00CA0A60">
        <w:rPr>
          <w:rFonts w:ascii="Garamond" w:eastAsia="Times New Roman" w:hAnsi="Garamond" w:cs="Times New Roman"/>
          <w:sz w:val="20"/>
          <w:szCs w:val="20"/>
          <w:lang w:val="es-AR" w:eastAsia="zh-CN" w:bidi="he-IL"/>
        </w:rPr>
        <w:t xml:space="preserve"> de</w:t>
      </w:r>
      <w:r w:rsidRPr="00CA0A60">
        <w:rPr>
          <w:rFonts w:ascii="Garamond" w:eastAsia="Times New Roman" w:hAnsi="Garamond" w:cs="Times New Roman"/>
          <w:sz w:val="20"/>
          <w:szCs w:val="20"/>
          <w:lang w:val="es-AR" w:eastAsia="zh-CN" w:bidi="he-IL"/>
        </w:rPr>
        <w:t xml:space="preserve"> </w:t>
      </w:r>
      <w:r w:rsidR="00064E6E" w:rsidRPr="00CA0A60">
        <w:rPr>
          <w:rFonts w:ascii="Garamond" w:eastAsia="Times New Roman" w:hAnsi="Garamond" w:cs="Times New Roman"/>
          <w:sz w:val="20"/>
          <w:szCs w:val="20"/>
          <w:lang w:val="es-AR" w:eastAsia="zh-CN" w:bidi="he-IL"/>
        </w:rPr>
        <w:t xml:space="preserve"> julio de 2019, </w:t>
      </w:r>
      <w:r w:rsidRPr="00CA0A60">
        <w:rPr>
          <w:rFonts w:ascii="Garamond" w:eastAsia="Times New Roman" w:hAnsi="Garamond" w:cs="Times New Roman"/>
          <w:sz w:val="20"/>
          <w:szCs w:val="20"/>
          <w:lang w:val="es-AR" w:eastAsia="zh-CN" w:bidi="he-IL"/>
        </w:rPr>
        <w:t>el</w:t>
      </w:r>
      <w:r w:rsidR="00064E6E" w:rsidRPr="00CA0A60">
        <w:rPr>
          <w:rFonts w:ascii="Garamond" w:eastAsia="Times New Roman" w:hAnsi="Garamond" w:cs="Times New Roman"/>
          <w:sz w:val="20"/>
          <w:szCs w:val="20"/>
          <w:lang w:val="es-AR" w:eastAsia="zh-CN" w:bidi="he-IL"/>
        </w:rPr>
        <w:t xml:space="preserve"> </w:t>
      </w:r>
      <w:r w:rsidR="00411600" w:rsidRPr="00CA0A60">
        <w:rPr>
          <w:rFonts w:ascii="Garamond" w:eastAsia="Times New Roman" w:hAnsi="Garamond" w:cs="Times New Roman"/>
          <w:sz w:val="20"/>
          <w:szCs w:val="20"/>
          <w:lang w:val="es-AR" w:eastAsia="zh-CN" w:bidi="he-IL"/>
        </w:rPr>
        <w:t>Contrato de Prenda en Segundo Grado de Privilegio</w:t>
      </w:r>
      <w:r w:rsidR="00B70CAF" w:rsidRPr="00CA0A60">
        <w:rPr>
          <w:rFonts w:ascii="Garamond" w:eastAsia="Times New Roman" w:hAnsi="Garamond" w:cs="Times New Roman"/>
          <w:sz w:val="20"/>
          <w:szCs w:val="20"/>
          <w:lang w:val="es-AR" w:eastAsia="zh-CN" w:bidi="he-IL"/>
        </w:rPr>
        <w:t xml:space="preserve"> Argentino</w:t>
      </w:r>
      <w:r w:rsidR="00064E6E" w:rsidRPr="00CA0A60">
        <w:rPr>
          <w:rFonts w:ascii="Garamond" w:eastAsia="Times New Roman" w:hAnsi="Garamond" w:cs="Times New Roman"/>
          <w:sz w:val="20"/>
          <w:szCs w:val="20"/>
          <w:lang w:val="es-AR" w:eastAsia="zh-CN" w:bidi="he-IL"/>
        </w:rPr>
        <w:t xml:space="preserve"> fue registrado ante </w:t>
      </w:r>
      <w:r w:rsidRPr="00CA0A60">
        <w:rPr>
          <w:rFonts w:ascii="Garamond" w:eastAsia="Times New Roman" w:hAnsi="Garamond" w:cs="Times New Roman"/>
          <w:sz w:val="20"/>
          <w:szCs w:val="20"/>
          <w:lang w:val="es-AR" w:eastAsia="zh-CN" w:bidi="he-IL"/>
        </w:rPr>
        <w:t>el</w:t>
      </w:r>
      <w:r w:rsidR="00064E6E" w:rsidRPr="00CA0A60">
        <w:rPr>
          <w:rFonts w:ascii="Garamond" w:eastAsia="Times New Roman" w:hAnsi="Garamond" w:cs="Times New Roman"/>
          <w:sz w:val="20"/>
          <w:szCs w:val="20"/>
          <w:lang w:val="es-AR" w:eastAsia="zh-CN" w:bidi="he-IL"/>
        </w:rPr>
        <w:t xml:space="preserve"> registro de créditos prendarios pertinente de la jurisdicci</w:t>
      </w:r>
      <w:r w:rsidRPr="00CA0A60">
        <w:rPr>
          <w:rFonts w:ascii="Garamond" w:eastAsia="Times New Roman" w:hAnsi="Garamond" w:cs="Times New Roman"/>
          <w:sz w:val="20"/>
          <w:szCs w:val="20"/>
          <w:lang w:val="es-AR" w:eastAsia="zh-CN" w:bidi="he-IL"/>
        </w:rPr>
        <w:t>ó</w:t>
      </w:r>
      <w:r w:rsidR="00064E6E" w:rsidRPr="00CA0A60">
        <w:rPr>
          <w:rFonts w:ascii="Garamond" w:eastAsia="Times New Roman" w:hAnsi="Garamond" w:cs="Times New Roman"/>
          <w:sz w:val="20"/>
          <w:szCs w:val="20"/>
          <w:lang w:val="es-AR" w:eastAsia="zh-CN" w:bidi="he-IL"/>
        </w:rPr>
        <w:t>n relevante en Argentina. La enmienda a</w:t>
      </w:r>
      <w:r w:rsidRPr="00CA0A60">
        <w:rPr>
          <w:rFonts w:ascii="Garamond" w:eastAsia="Times New Roman" w:hAnsi="Garamond" w:cs="Times New Roman"/>
          <w:sz w:val="20"/>
          <w:szCs w:val="20"/>
          <w:lang w:val="es-AR" w:eastAsia="zh-CN" w:bidi="he-IL"/>
        </w:rPr>
        <w:t>l</w:t>
      </w:r>
      <w:r w:rsidR="00064E6E" w:rsidRPr="00CA0A60">
        <w:rPr>
          <w:rFonts w:ascii="Garamond" w:eastAsia="Times New Roman" w:hAnsi="Garamond" w:cs="Times New Roman"/>
          <w:sz w:val="20"/>
          <w:szCs w:val="20"/>
          <w:lang w:val="es-AR" w:eastAsia="zh-CN" w:bidi="he-IL"/>
        </w:rPr>
        <w:t xml:space="preserve"> </w:t>
      </w:r>
      <w:r w:rsidR="00411600" w:rsidRPr="00CA0A60">
        <w:rPr>
          <w:rFonts w:ascii="Garamond" w:eastAsia="Times New Roman" w:hAnsi="Garamond" w:cs="Times New Roman"/>
          <w:sz w:val="20"/>
          <w:szCs w:val="20"/>
          <w:lang w:val="es-AR" w:eastAsia="zh-CN" w:bidi="he-IL"/>
        </w:rPr>
        <w:t>Contrato de Prenda en Segundo Grado de Privilegio</w:t>
      </w:r>
      <w:r w:rsidR="00064E6E" w:rsidRPr="00CA0A60">
        <w:rPr>
          <w:rFonts w:ascii="Garamond" w:eastAsia="Times New Roman" w:hAnsi="Garamond" w:cs="Times New Roman"/>
          <w:sz w:val="20"/>
          <w:szCs w:val="20"/>
          <w:lang w:val="es-AR" w:eastAsia="zh-CN" w:bidi="he-IL"/>
        </w:rPr>
        <w:t xml:space="preserve"> </w:t>
      </w:r>
      <w:r w:rsidR="00B70CAF" w:rsidRPr="00CA0A60">
        <w:rPr>
          <w:rFonts w:ascii="Garamond" w:eastAsia="Times New Roman" w:hAnsi="Garamond" w:cs="Times New Roman"/>
          <w:sz w:val="20"/>
          <w:szCs w:val="20"/>
          <w:lang w:val="es-AR" w:eastAsia="zh-CN" w:bidi="he-IL"/>
        </w:rPr>
        <w:t xml:space="preserve">Argentino </w:t>
      </w:r>
      <w:r w:rsidR="00064E6E" w:rsidRPr="00CA0A60">
        <w:rPr>
          <w:rFonts w:ascii="Garamond" w:eastAsia="Times New Roman" w:hAnsi="Garamond" w:cs="Times New Roman"/>
          <w:iCs/>
          <w:sz w:val="20"/>
          <w:szCs w:val="20"/>
          <w:lang w:val="es-AR" w:eastAsia="zh-CN"/>
        </w:rPr>
        <w:t>será presentad</w:t>
      </w:r>
      <w:r w:rsidRPr="00CA0A60">
        <w:rPr>
          <w:rFonts w:ascii="Garamond" w:eastAsia="Times New Roman" w:hAnsi="Garamond" w:cs="Times New Roman"/>
          <w:iCs/>
          <w:sz w:val="20"/>
          <w:szCs w:val="20"/>
          <w:lang w:val="es-AR" w:eastAsia="zh-CN"/>
        </w:rPr>
        <w:t>a</w:t>
      </w:r>
      <w:r w:rsidR="00064E6E" w:rsidRPr="00CA0A60">
        <w:rPr>
          <w:rFonts w:ascii="Garamond" w:eastAsia="Times New Roman" w:hAnsi="Garamond" w:cs="Times New Roman"/>
          <w:iCs/>
          <w:sz w:val="20"/>
          <w:szCs w:val="20"/>
          <w:lang w:val="es-AR" w:eastAsia="zh-CN"/>
        </w:rPr>
        <w:t xml:space="preserve"> para su registro dentro de los cinco días siguientes a la Fecha de Emisión. </w:t>
      </w:r>
      <w:r w:rsidRPr="00CA0A60">
        <w:rPr>
          <w:rFonts w:ascii="Garamond" w:eastAsia="Times New Roman" w:hAnsi="Garamond" w:cs="Times New Roman"/>
          <w:iCs/>
          <w:sz w:val="20"/>
          <w:szCs w:val="20"/>
          <w:lang w:val="es-AR" w:eastAsia="zh-CN"/>
        </w:rPr>
        <w:t xml:space="preserve">El </w:t>
      </w:r>
      <w:r w:rsidR="00DF6632" w:rsidRPr="00CA0A60">
        <w:rPr>
          <w:rFonts w:ascii="Garamond" w:eastAsia="Times New Roman" w:hAnsi="Garamond" w:cs="Times New Roman"/>
          <w:iCs/>
          <w:sz w:val="20"/>
          <w:szCs w:val="20"/>
          <w:lang w:val="es-AR" w:eastAsia="zh-CN"/>
        </w:rPr>
        <w:t>Gravamen</w:t>
      </w:r>
      <w:r w:rsidR="00064E6E" w:rsidRPr="00CA0A60">
        <w:rPr>
          <w:rFonts w:ascii="Garamond" w:eastAsia="Times New Roman" w:hAnsi="Garamond" w:cs="Times New Roman"/>
          <w:iCs/>
          <w:sz w:val="20"/>
          <w:szCs w:val="20"/>
          <w:lang w:val="es-AR" w:eastAsia="zh-CN"/>
        </w:rPr>
        <w:t xml:space="preserve"> constituido por </w:t>
      </w:r>
      <w:r w:rsidRPr="00CA0A60">
        <w:rPr>
          <w:rFonts w:ascii="Garamond" w:eastAsia="Times New Roman" w:hAnsi="Garamond" w:cs="Times New Roman"/>
          <w:iCs/>
          <w:sz w:val="20"/>
          <w:szCs w:val="20"/>
          <w:lang w:val="es-AR" w:eastAsia="zh-CN"/>
        </w:rPr>
        <w:t>el</w:t>
      </w:r>
      <w:r w:rsidR="00064E6E" w:rsidRPr="00CA0A60">
        <w:rPr>
          <w:rFonts w:ascii="Garamond" w:eastAsia="Times New Roman" w:hAnsi="Garamond" w:cs="Times New Roman"/>
          <w:iCs/>
          <w:sz w:val="20"/>
          <w:szCs w:val="20"/>
          <w:lang w:val="es-AR" w:eastAsia="zh-CN"/>
        </w:rPr>
        <w:t xml:space="preserve"> </w:t>
      </w:r>
      <w:r w:rsidR="00411600" w:rsidRPr="00CA0A60">
        <w:rPr>
          <w:rFonts w:ascii="Garamond" w:eastAsia="Times New Roman" w:hAnsi="Garamond" w:cs="Times New Roman"/>
          <w:iCs/>
          <w:sz w:val="20"/>
          <w:szCs w:val="20"/>
          <w:lang w:val="es-AR" w:eastAsia="zh-CN"/>
        </w:rPr>
        <w:t>Contrato de Prenda en Segundo Grado de Privilegio</w:t>
      </w:r>
      <w:r w:rsidR="00064E6E" w:rsidRPr="00CA0A60">
        <w:rPr>
          <w:rFonts w:ascii="Garamond" w:eastAsia="Times New Roman" w:hAnsi="Garamond" w:cs="Times New Roman"/>
          <w:iCs/>
          <w:sz w:val="20"/>
          <w:szCs w:val="20"/>
          <w:lang w:val="es-AR" w:eastAsia="zh-CN"/>
        </w:rPr>
        <w:t xml:space="preserve"> </w:t>
      </w:r>
      <w:r w:rsidR="00B70CAF" w:rsidRPr="00CA0A60">
        <w:rPr>
          <w:rFonts w:ascii="Garamond" w:eastAsia="Times New Roman" w:hAnsi="Garamond" w:cs="Times New Roman"/>
          <w:iCs/>
          <w:sz w:val="20"/>
          <w:szCs w:val="20"/>
          <w:lang w:val="es-AR" w:eastAsia="zh-CN"/>
        </w:rPr>
        <w:t xml:space="preserve">Argentino </w:t>
      </w:r>
      <w:r w:rsidR="00064E6E" w:rsidRPr="00CA0A60">
        <w:rPr>
          <w:rFonts w:ascii="Garamond" w:eastAsia="Times New Roman" w:hAnsi="Garamond" w:cs="Times New Roman"/>
          <w:iCs/>
          <w:sz w:val="20"/>
          <w:szCs w:val="20"/>
          <w:lang w:val="es-AR" w:eastAsia="zh-CN"/>
        </w:rPr>
        <w:t>estará sujeto a las limitaciones descriptas en “—</w:t>
      </w:r>
      <w:r w:rsidR="00064E6E" w:rsidRPr="00CA0A60">
        <w:rPr>
          <w:rFonts w:ascii="Garamond" w:eastAsia="Times New Roman" w:hAnsi="Garamond" w:cs="Times New Roman"/>
          <w:i/>
          <w:iCs/>
          <w:sz w:val="20"/>
          <w:szCs w:val="20"/>
          <w:lang w:val="es-AR" w:eastAsia="zh-CN"/>
        </w:rPr>
        <w:t>Limitaciones a los Derechos de Garantía</w:t>
      </w:r>
      <w:r w:rsidR="00064E6E" w:rsidRPr="00CA0A60">
        <w:rPr>
          <w:rFonts w:ascii="Garamond" w:eastAsia="Times New Roman" w:hAnsi="Garamond" w:cs="Times New Roman"/>
          <w:iCs/>
          <w:sz w:val="20"/>
          <w:szCs w:val="20"/>
          <w:lang w:val="es-AR" w:eastAsia="zh-CN"/>
        </w:rPr>
        <w:t xml:space="preserve">”. </w:t>
      </w:r>
    </w:p>
    <w:p w14:paraId="1020D300" w14:textId="77777777" w:rsidR="00064E6E" w:rsidRPr="00CA0A60" w:rsidRDefault="00064E6E" w:rsidP="00064E6E">
      <w:pPr>
        <w:keepNext/>
        <w:widowControl w:val="0"/>
        <w:tabs>
          <w:tab w:val="left" w:pos="284"/>
          <w:tab w:val="left" w:pos="709"/>
        </w:tabs>
        <w:spacing w:before="120" w:after="120"/>
        <w:jc w:val="both"/>
        <w:rPr>
          <w:rFonts w:ascii="Garamond" w:eastAsia="Times New Roman" w:hAnsi="Garamond" w:cs="Times New Roman"/>
          <w:b/>
          <w:i/>
          <w:iCs/>
          <w:sz w:val="20"/>
          <w:szCs w:val="20"/>
          <w:lang w:val="es-AR" w:eastAsia="zh-CN"/>
        </w:rPr>
      </w:pPr>
      <w:r w:rsidRPr="00CA0A60">
        <w:rPr>
          <w:rFonts w:ascii="Garamond" w:eastAsia="Times New Roman" w:hAnsi="Garamond" w:cs="Times New Roman"/>
          <w:b/>
          <w:i/>
          <w:iCs/>
          <w:sz w:val="20"/>
          <w:szCs w:val="20"/>
          <w:lang w:val="es-AR" w:eastAsia="zh-CN"/>
        </w:rPr>
        <w:t>Escritura Hipotecaria Argentina</w:t>
      </w:r>
    </w:p>
    <w:p w14:paraId="564B50E2" w14:textId="3865A6AD" w:rsidR="00064E6E" w:rsidRPr="00CA0A60" w:rsidRDefault="00064E6E" w:rsidP="00064E6E">
      <w:pPr>
        <w:keepNext/>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En fecha </w:t>
      </w:r>
      <w:r w:rsidR="002168FA" w:rsidRPr="00CA0A60">
        <w:rPr>
          <w:rFonts w:ascii="Garamond" w:eastAsia="Times New Roman" w:hAnsi="Garamond" w:cs="Times New Roman"/>
          <w:sz w:val="20"/>
          <w:szCs w:val="20"/>
          <w:lang w:val="es-AR" w:eastAsia="zh-CN" w:bidi="he-IL"/>
        </w:rPr>
        <w:t>16 de julio</w:t>
      </w:r>
      <w:r w:rsidRPr="00CA0A60">
        <w:rPr>
          <w:rFonts w:ascii="Garamond" w:eastAsia="Times New Roman" w:hAnsi="Garamond" w:cs="Times New Roman"/>
          <w:sz w:val="20"/>
          <w:szCs w:val="20"/>
          <w:lang w:val="es-AR" w:eastAsia="zh-CN" w:bidi="he-IL"/>
        </w:rPr>
        <w:t xml:space="preserve"> de 2019, GEMSA y el Agente de Garantía Local </w:t>
      </w:r>
      <w:r w:rsidR="006A076B" w:rsidRPr="00CA0A60">
        <w:rPr>
          <w:rFonts w:ascii="Garamond" w:eastAsia="Times New Roman" w:hAnsi="Garamond" w:cs="Times New Roman"/>
          <w:sz w:val="20"/>
          <w:szCs w:val="20"/>
          <w:lang w:val="es-AR" w:eastAsia="zh-CN" w:bidi="he-IL"/>
        </w:rPr>
        <w:t>(</w:t>
      </w:r>
      <w:r w:rsidRPr="00CA0A60">
        <w:rPr>
          <w:rFonts w:ascii="Garamond" w:eastAsia="Times New Roman" w:hAnsi="Garamond" w:cs="Times New Roman"/>
          <w:sz w:val="20"/>
          <w:szCs w:val="20"/>
          <w:lang w:val="es-AR" w:eastAsia="zh-CN" w:bidi="he-IL"/>
        </w:rPr>
        <w:t>actuando en representación y beneficio de las Partes Garantizadas) celebraron una escritura hipotecaria argentina (con sus enmiendas, suplementos y modificaciones periódicas, la “</w:t>
      </w:r>
      <w:r w:rsidRPr="00CA0A60">
        <w:rPr>
          <w:rFonts w:ascii="Garamond" w:eastAsia="Times New Roman" w:hAnsi="Garamond" w:cs="Times New Roman"/>
          <w:sz w:val="20"/>
          <w:szCs w:val="20"/>
          <w:u w:val="single"/>
          <w:lang w:val="es-AR" w:eastAsia="zh-CN" w:bidi="he-IL"/>
        </w:rPr>
        <w:t>Escritura Hipotecaria Argentina</w:t>
      </w:r>
      <w:r w:rsidRPr="00CA0A60">
        <w:rPr>
          <w:rFonts w:ascii="Garamond" w:eastAsia="Times New Roman" w:hAnsi="Garamond" w:cs="Times New Roman"/>
          <w:sz w:val="20"/>
          <w:szCs w:val="20"/>
          <w:lang w:val="es-AR" w:eastAsia="zh-CN" w:bidi="he-IL"/>
        </w:rPr>
        <w:t xml:space="preserve">”) con respecto a los Derechos de Garantía sobre el Inmueble Independencia, en virtud del artículo 3 de la Ley de Obligaciones Negociables Argentina. La Escritura Hipotecaria Argentina fue celebrada en virtud del Contrato de Fideicomiso y su entrada en vigencia </w:t>
      </w:r>
      <w:r w:rsidRPr="00CA0A60">
        <w:rPr>
          <w:rFonts w:ascii="Garamond" w:eastAsia="Times New Roman" w:hAnsi="Garamond" w:cs="Times New Roman"/>
          <w:sz w:val="20"/>
          <w:szCs w:val="20"/>
          <w:lang w:val="es-AR" w:eastAsia="zh-CN" w:bidi="he-IL"/>
        </w:rPr>
        <w:lastRenderedPageBreak/>
        <w:t>está supeditada a la emisión de las Obligaciones Negociables en la Fecha de Emisión.</w:t>
      </w:r>
    </w:p>
    <w:p w14:paraId="226ADC8C" w14:textId="0A5D3C47" w:rsidR="00064E6E" w:rsidRPr="00CA0A60" w:rsidRDefault="00064E6E" w:rsidP="00064E6E">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A27AC7">
        <w:rPr>
          <w:rFonts w:ascii="Garamond" w:eastAsia="Times New Roman" w:hAnsi="Garamond" w:cs="Times New Roman"/>
          <w:sz w:val="20"/>
          <w:szCs w:val="20"/>
          <w:lang w:val="es-AR" w:eastAsia="zh-CN" w:bidi="he-IL"/>
        </w:rPr>
        <w:t>De conformidad con la Escritura Hipotecaria Argentina, GEMSA constituyó un Gravamen en primer grado de privilegio a favor de</w:t>
      </w:r>
      <w:r w:rsidR="00964FFD">
        <w:rPr>
          <w:rFonts w:ascii="Garamond" w:eastAsia="Times New Roman" w:hAnsi="Garamond" w:cs="Times New Roman"/>
          <w:sz w:val="20"/>
          <w:szCs w:val="20"/>
          <w:lang w:val="es-AR" w:eastAsia="zh-CN" w:bidi="he-IL"/>
        </w:rPr>
        <w:t xml:space="preserve"> las Partes Garantizadas </w:t>
      </w:r>
      <w:r w:rsidRPr="00A27AC7">
        <w:rPr>
          <w:rFonts w:ascii="Garamond" w:eastAsia="Times New Roman" w:hAnsi="Garamond" w:cs="Times New Roman"/>
          <w:sz w:val="20"/>
          <w:szCs w:val="20"/>
          <w:lang w:val="es-AR" w:eastAsia="zh-CN" w:bidi="he-IL"/>
        </w:rPr>
        <w:t xml:space="preserve">sobre </w:t>
      </w:r>
      <w:r w:rsidR="00B816E3" w:rsidRPr="00A27AC7">
        <w:rPr>
          <w:rFonts w:ascii="Garamond" w:eastAsia="Times New Roman" w:hAnsi="Garamond" w:cs="Times New Roman"/>
          <w:sz w:val="20"/>
          <w:szCs w:val="20"/>
          <w:lang w:val="es-AR" w:eastAsia="zh-CN" w:bidi="he-IL"/>
        </w:rPr>
        <w:t>el</w:t>
      </w:r>
      <w:r w:rsidRPr="00A27AC7">
        <w:rPr>
          <w:rFonts w:ascii="Garamond" w:eastAsia="Times New Roman" w:hAnsi="Garamond" w:cs="Times New Roman"/>
          <w:sz w:val="20"/>
          <w:szCs w:val="20"/>
          <w:lang w:val="es-AR" w:eastAsia="zh-CN" w:bidi="he-IL"/>
        </w:rPr>
        <w:t xml:space="preserve"> Inmueble Independencia. En o antes de la Fecha de Emisión, GEMSA y el Agente de Garantía Local suscribirán una enmienda a la Escritura Hipotecaria Argentina para reflejar la emisión</w:t>
      </w:r>
      <w:r w:rsidR="00CA63CB" w:rsidRPr="00A27AC7">
        <w:rPr>
          <w:rFonts w:ascii="Garamond" w:eastAsia="Times New Roman" w:hAnsi="Garamond" w:cs="Times New Roman"/>
          <w:sz w:val="20"/>
          <w:szCs w:val="20"/>
          <w:lang w:val="es-AR" w:eastAsia="zh-CN" w:bidi="he-IL"/>
        </w:rPr>
        <w:t>,</w:t>
      </w:r>
      <w:r w:rsidRPr="00A27AC7">
        <w:rPr>
          <w:rFonts w:ascii="Garamond" w:eastAsia="Times New Roman" w:hAnsi="Garamond" w:cs="Times New Roman"/>
          <w:sz w:val="20"/>
          <w:szCs w:val="20"/>
          <w:lang w:val="es-AR" w:eastAsia="zh-CN" w:bidi="he-IL"/>
        </w:rPr>
        <w:t xml:space="preserve"> los términos definitivos de las Obligaciones Negociables</w:t>
      </w:r>
      <w:r w:rsidR="00CA63CB" w:rsidRPr="00A27AC7">
        <w:rPr>
          <w:rFonts w:ascii="Garamond" w:eastAsia="Times New Roman" w:hAnsi="Garamond" w:cs="Times New Roman"/>
          <w:sz w:val="20"/>
          <w:szCs w:val="20"/>
          <w:lang w:val="es-AR" w:eastAsia="zh-CN" w:bidi="he-IL"/>
        </w:rPr>
        <w:t xml:space="preserve"> y el monto máximo a ser garantizado por dicha escritura que, no superará </w:t>
      </w:r>
      <w:r w:rsidR="006B061F">
        <w:rPr>
          <w:rFonts w:ascii="Garamond" w:eastAsia="Times New Roman" w:hAnsi="Garamond" w:cs="Times New Roman"/>
          <w:sz w:val="20"/>
          <w:szCs w:val="20"/>
          <w:lang w:val="es-AR" w:eastAsia="zh-CN" w:bidi="he-IL"/>
        </w:rPr>
        <w:t>el monto que se informará en el Aviso de Resultados</w:t>
      </w:r>
      <w:r w:rsidR="00CA63CB" w:rsidRPr="00A27AC7">
        <w:rPr>
          <w:rFonts w:ascii="Garamond" w:eastAsia="Times New Roman" w:hAnsi="Garamond" w:cs="Times New Roman"/>
          <w:sz w:val="20"/>
          <w:szCs w:val="20"/>
          <w:lang w:val="es-AR" w:eastAsia="zh-CN" w:bidi="he-IL"/>
        </w:rPr>
        <w:t>.</w:t>
      </w:r>
    </w:p>
    <w:p w14:paraId="7F16289C" w14:textId="1FF6055F" w:rsidR="00064E6E" w:rsidRPr="00CA3A3D" w:rsidRDefault="00064E6E" w:rsidP="002C2444">
      <w:pPr>
        <w:widowControl w:val="0"/>
        <w:tabs>
          <w:tab w:val="left" w:pos="284"/>
          <w:tab w:val="left" w:pos="709"/>
        </w:tabs>
        <w:spacing w:before="120" w:after="120" w:line="240" w:lineRule="auto"/>
        <w:jc w:val="both"/>
        <w:rPr>
          <w:rFonts w:ascii="Garamond" w:eastAsia="Times New Roman" w:hAnsi="Garamond" w:cs="Calibri"/>
          <w:b/>
          <w:i/>
          <w:iCs/>
          <w:sz w:val="20"/>
          <w:szCs w:val="20"/>
          <w:lang w:val="es-AR" w:eastAsia="zh-CN"/>
        </w:rPr>
      </w:pPr>
      <w:r w:rsidRPr="00CA0A60">
        <w:rPr>
          <w:rFonts w:ascii="Garamond" w:eastAsia="Times New Roman" w:hAnsi="Garamond" w:cs="Times New Roman"/>
          <w:sz w:val="20"/>
          <w:szCs w:val="20"/>
          <w:lang w:val="es-AR" w:eastAsia="zh-CN" w:bidi="he-IL"/>
        </w:rPr>
        <w:t xml:space="preserve">La Escritura Hipotecaria Argentina se rige por las leyes de Argentina. El </w:t>
      </w:r>
      <w:r w:rsidR="005A0E42" w:rsidRPr="00CA0A60">
        <w:rPr>
          <w:rFonts w:ascii="Garamond" w:eastAsia="Times New Roman" w:hAnsi="Garamond" w:cs="Times New Roman"/>
          <w:sz w:val="20"/>
          <w:szCs w:val="20"/>
          <w:lang w:val="es-AR" w:eastAsia="zh-CN" w:bidi="he-IL"/>
        </w:rPr>
        <w:t>1</w:t>
      </w:r>
      <w:r w:rsidR="0028340E">
        <w:rPr>
          <w:rFonts w:ascii="Garamond" w:eastAsia="Times New Roman" w:hAnsi="Garamond" w:cs="Times New Roman"/>
          <w:sz w:val="20"/>
          <w:szCs w:val="20"/>
          <w:lang w:val="es-AR" w:eastAsia="zh-CN" w:bidi="he-IL"/>
        </w:rPr>
        <w:t>9</w:t>
      </w:r>
      <w:r w:rsidR="005A0E42" w:rsidRPr="00CA0A60">
        <w:rPr>
          <w:rFonts w:ascii="Garamond" w:eastAsia="Times New Roman" w:hAnsi="Garamond" w:cs="Times New Roman"/>
          <w:sz w:val="20"/>
          <w:szCs w:val="20"/>
          <w:lang w:val="es-AR" w:eastAsia="zh-CN" w:bidi="he-IL"/>
        </w:rPr>
        <w:t xml:space="preserve"> de julio</w:t>
      </w:r>
      <w:r w:rsidRPr="00CA0A60">
        <w:rPr>
          <w:rFonts w:ascii="Garamond" w:eastAsia="Times New Roman" w:hAnsi="Garamond" w:cs="Times New Roman"/>
          <w:sz w:val="20"/>
          <w:szCs w:val="20"/>
          <w:lang w:val="es-AR" w:eastAsia="zh-CN" w:bidi="he-IL"/>
        </w:rPr>
        <w:t xml:space="preserve"> de 2019, la Escritura Hipotecaria Argentina vigente a esa fecha fue presentada para su registro ante el registro público pertinente de la jurisdicción relevante en Argentina. La enmienda a la Escritura Hipotecaria Argentina será presentada para su registro dentro de los cinco Días Hábiles siguientes a la Fecha de Emisión. El Gravamen en primer grado de privilegio creado por la Escritura Hipotecaria Argentina estará sujeto a las limitaciones descriptas en “—</w:t>
      </w:r>
      <w:r w:rsidRPr="00CA0A60">
        <w:rPr>
          <w:rFonts w:ascii="Garamond" w:eastAsia="Times New Roman" w:hAnsi="Garamond" w:cs="Times New Roman"/>
          <w:i/>
          <w:sz w:val="20"/>
          <w:szCs w:val="20"/>
          <w:lang w:val="es-AR" w:eastAsia="zh-CN" w:bidi="he-IL"/>
        </w:rPr>
        <w:t>Limitaciones a los Derechos de Garantía”</w:t>
      </w:r>
      <w:r w:rsidRPr="00CA0A60">
        <w:rPr>
          <w:rFonts w:ascii="Garamond" w:eastAsia="Times New Roman" w:hAnsi="Garamond" w:cs="Times New Roman"/>
          <w:sz w:val="20"/>
          <w:szCs w:val="20"/>
          <w:lang w:val="es-AR" w:eastAsia="zh-CN" w:bidi="he-IL"/>
        </w:rPr>
        <w:t>.</w:t>
      </w:r>
    </w:p>
    <w:p w14:paraId="10CBF20F" w14:textId="77777777" w:rsidR="00064E6E" w:rsidRPr="00CA0A60" w:rsidRDefault="00064E6E" w:rsidP="00064E6E">
      <w:pPr>
        <w:widowControl w:val="0"/>
        <w:tabs>
          <w:tab w:val="left" w:pos="284"/>
          <w:tab w:val="left" w:pos="709"/>
        </w:tabs>
        <w:spacing w:before="120" w:after="120" w:line="240" w:lineRule="auto"/>
        <w:jc w:val="both"/>
        <w:rPr>
          <w:rFonts w:ascii="Garamond" w:eastAsia="Times New Roman" w:hAnsi="Garamond" w:cs="Times New Roman"/>
          <w:b/>
          <w:i/>
          <w:iCs/>
          <w:sz w:val="20"/>
          <w:szCs w:val="20"/>
          <w:lang w:val="es-AR" w:eastAsia="zh-CN"/>
        </w:rPr>
      </w:pPr>
      <w:r w:rsidRPr="00CA0A60">
        <w:rPr>
          <w:rFonts w:ascii="Garamond" w:eastAsia="Times New Roman" w:hAnsi="Garamond" w:cs="Times New Roman"/>
          <w:b/>
          <w:i/>
          <w:iCs/>
          <w:sz w:val="20"/>
          <w:szCs w:val="20"/>
          <w:lang w:val="es-AR" w:eastAsia="zh-CN"/>
        </w:rPr>
        <w:t>Cuenta de Reserva para Servicio de Deuda</w:t>
      </w:r>
    </w:p>
    <w:p w14:paraId="7B11F114" w14:textId="7D0C741D" w:rsidR="00064E6E" w:rsidRPr="00CA0A60" w:rsidRDefault="00064E6E" w:rsidP="00064E6E">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En forma simultánea a la emisión de las Obligaciones Negociables, las Co-Emisoras constituirán </w:t>
      </w:r>
      <w:bookmarkStart w:id="73" w:name="_Hlk14761423"/>
      <w:r w:rsidRPr="00CA0A60">
        <w:rPr>
          <w:rFonts w:ascii="Garamond" w:eastAsia="Times New Roman" w:hAnsi="Garamond" w:cs="Times New Roman"/>
          <w:sz w:val="20"/>
          <w:szCs w:val="20"/>
          <w:lang w:val="es-AR" w:eastAsia="zh-CN" w:bidi="he-IL"/>
        </w:rPr>
        <w:t xml:space="preserve">la Cuenta de Reserva para Servicio de </w:t>
      </w:r>
      <w:r w:rsidRPr="008D171D">
        <w:rPr>
          <w:rFonts w:ascii="Garamond" w:eastAsia="Times New Roman" w:hAnsi="Garamond" w:cs="Times New Roman"/>
          <w:sz w:val="20"/>
          <w:szCs w:val="20"/>
          <w:lang w:val="es-AR" w:eastAsia="zh-CN" w:bidi="he-IL"/>
        </w:rPr>
        <w:t>Deuda</w:t>
      </w:r>
      <w:bookmarkEnd w:id="73"/>
      <w:r w:rsidR="008D171D" w:rsidRPr="008D171D">
        <w:rPr>
          <w:rFonts w:ascii="Garamond" w:eastAsia="Times New Roman" w:hAnsi="Garamond" w:cs="Times New Roman"/>
          <w:sz w:val="20"/>
          <w:szCs w:val="20"/>
          <w:lang w:val="es-AR" w:eastAsia="zh-CN" w:bidi="he-IL"/>
        </w:rPr>
        <w:t xml:space="preserve"> en el Banco Depositario</w:t>
      </w:r>
      <w:r w:rsidR="008D171D">
        <w:rPr>
          <w:rFonts w:ascii="Garamond" w:eastAsia="Times New Roman" w:hAnsi="Garamond" w:cs="Times New Roman"/>
          <w:sz w:val="20"/>
          <w:szCs w:val="20"/>
          <w:lang w:val="es-AR" w:eastAsia="zh-CN" w:bidi="he-IL"/>
        </w:rPr>
        <w:t>.</w:t>
      </w:r>
      <w:r w:rsidRPr="00CA0A60">
        <w:rPr>
          <w:rFonts w:ascii="Garamond" w:eastAsia="Times New Roman" w:hAnsi="Garamond" w:cs="Times New Roman"/>
          <w:sz w:val="20"/>
          <w:szCs w:val="20"/>
          <w:lang w:val="es-AR" w:eastAsia="zh-CN" w:bidi="he-IL"/>
        </w:rPr>
        <w:t xml:space="preserve"> La Cuenta de Reserva para Servicio de Deuda y todos los montos que periódicamente se encuentren depositados en ésta se conservarán (i) a nombre de las Co-Emisoras y estarán gravados a favor del Agente de Garantía Internacional en beneficio de las Partes Garantizadas; y (ii) bajo el dominio y control exclusivo del Agente de Garantía Internacional. Salvo por lo previsto expresamente en el Contrato de Fideicomiso, ninguna Persona gozará del derecho de retirar fondos de la Cuenta de Reserva para Servicio de Deuda. Todos los montos depositados en la Cuenta de Reserva para Servicio de Deuda y todas las inversiones mantenidas en ésta constituirán Derechos de Garantía </w:t>
      </w:r>
      <w:r w:rsidR="008D171D">
        <w:rPr>
          <w:rFonts w:ascii="Garamond" w:eastAsia="Times New Roman" w:hAnsi="Garamond" w:cs="Times New Roman"/>
          <w:sz w:val="20"/>
          <w:szCs w:val="20"/>
          <w:lang w:val="es-AR" w:eastAsia="zh-CN" w:bidi="he-IL"/>
        </w:rPr>
        <w:t xml:space="preserve">en garantía de </w:t>
      </w:r>
      <w:r w:rsidRPr="00CA0A60">
        <w:rPr>
          <w:rFonts w:ascii="Garamond" w:eastAsia="Times New Roman" w:hAnsi="Garamond" w:cs="Times New Roman"/>
          <w:sz w:val="20"/>
          <w:szCs w:val="20"/>
          <w:lang w:val="es-AR" w:eastAsia="zh-CN" w:bidi="he-IL"/>
        </w:rPr>
        <w:t xml:space="preserve"> las Obligaciones Negociables y no constituirán un pago de ninguna obligación negociable hasta que sean destinados a tal concepto según lo establecido en el Contrato de Fideicomiso. Las Co-Emisoras autorizarán irrevocablemente al Agente de Garantía Internacional, de acuerdo con las instrucciones impartidas por el Fiduciario, a retirar fondos de la Cuenta de Reserva para Servicio de Deuda con la finalidad de abonar cualquier suma adeudada en virtud de las Obligaciones Negociables y el Contrato de Fideicomiso</w:t>
      </w:r>
      <w:r w:rsidR="008D171D">
        <w:rPr>
          <w:rFonts w:ascii="Garamond" w:eastAsia="Times New Roman" w:hAnsi="Garamond" w:cs="Times New Roman"/>
          <w:sz w:val="20"/>
          <w:szCs w:val="20"/>
          <w:lang w:val="es-AR" w:eastAsia="zh-CN" w:bidi="he-IL"/>
        </w:rPr>
        <w:t>, según se describe más abajo</w:t>
      </w:r>
      <w:r w:rsidRPr="00CA0A60">
        <w:rPr>
          <w:rFonts w:ascii="Garamond" w:eastAsia="Times New Roman" w:hAnsi="Garamond" w:cs="Times New Roman"/>
          <w:sz w:val="20"/>
          <w:szCs w:val="20"/>
          <w:lang w:val="es-AR" w:eastAsia="zh-CN" w:bidi="he-IL"/>
        </w:rPr>
        <w:t>.</w:t>
      </w:r>
    </w:p>
    <w:p w14:paraId="7A5A7EFA" w14:textId="61CF6BF4" w:rsidR="00064E6E" w:rsidRPr="00CA0A60" w:rsidRDefault="00064E6E" w:rsidP="00064E6E">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La Cuenta de Reserva para Servicio de Deuda deberá encontrarse, en todo momento, Totalmente Fondeada. Se considerará que la Cuenta de Reserva para el Servicio de Deuda se encuentra “Totalmente Fondeada” en la medida que, en cualquier momento, los fondos en Dólares Estadounidense allí depositados (incluyendo el Equivalente de Efectivo del tipo indicado en el párrafo inmediatamente siguiente existente en la Cuenta de Reserva para Servicio de Deuda en dicho momento</w:t>
      </w:r>
      <w:r w:rsidRPr="00CA0A60">
        <w:rPr>
          <w:rFonts w:ascii="Garamond" w:eastAsia="Times New Roman" w:hAnsi="Garamond" w:cs="Times New Roman"/>
          <w:sz w:val="20"/>
          <w:szCs w:val="20"/>
          <w:lang w:val="es-AR"/>
        </w:rPr>
        <w:t>) sean equivalentes o superiores al Monto de Reserva para Servicio de Deuda</w:t>
      </w:r>
      <w:r w:rsidRPr="00CA0A60">
        <w:rPr>
          <w:rFonts w:ascii="Garamond" w:eastAsia="Times New Roman" w:hAnsi="Garamond" w:cs="Times New Roman"/>
          <w:sz w:val="20"/>
          <w:szCs w:val="20"/>
          <w:lang w:val="es-AR" w:eastAsia="zh-CN" w:bidi="he-IL"/>
        </w:rPr>
        <w:t xml:space="preserve">. La expresión “Fondear Totalmente”, utilizada como verbo, tiene un significado correlativo. Los montos depositados en la Cuenta de Reserva para Servicio de Deuda serán destinados al pago de cualquier suma adeudada en virtud de </w:t>
      </w:r>
      <w:r w:rsidR="00AC07E8">
        <w:rPr>
          <w:rFonts w:ascii="Garamond" w:eastAsia="Times New Roman" w:hAnsi="Garamond" w:cs="Times New Roman"/>
          <w:sz w:val="20"/>
          <w:szCs w:val="20"/>
          <w:lang w:val="es-AR" w:eastAsia="zh-CN" w:bidi="he-IL"/>
        </w:rPr>
        <w:t xml:space="preserve">los </w:t>
      </w:r>
      <w:r w:rsidR="00AC07E8" w:rsidRPr="00AC07E8">
        <w:rPr>
          <w:rFonts w:ascii="Garamond" w:eastAsia="Times New Roman" w:hAnsi="Garamond" w:cs="Times New Roman"/>
          <w:sz w:val="20"/>
          <w:szCs w:val="20"/>
          <w:lang w:val="es-AR" w:eastAsia="zh-CN" w:bidi="he-IL"/>
        </w:rPr>
        <w:t xml:space="preserve">Documentos de </w:t>
      </w:r>
      <w:r w:rsidR="00AC07E8" w:rsidRPr="0034558A">
        <w:rPr>
          <w:rFonts w:ascii="Garamond" w:eastAsia="Times New Roman" w:hAnsi="Garamond" w:cs="Times New Roman"/>
          <w:sz w:val="20"/>
          <w:szCs w:val="20"/>
          <w:lang w:val="es-AR" w:eastAsia="zh-CN" w:bidi="he-IL"/>
        </w:rPr>
        <w:t>Financiación</w:t>
      </w:r>
      <w:r w:rsidRPr="00AC07E8">
        <w:rPr>
          <w:rFonts w:ascii="Garamond" w:eastAsia="Times New Roman" w:hAnsi="Garamond" w:cs="Times New Roman"/>
          <w:sz w:val="20"/>
          <w:szCs w:val="20"/>
          <w:lang w:val="es-AR" w:eastAsia="zh-CN" w:bidi="he-IL"/>
        </w:rPr>
        <w:t>.</w:t>
      </w:r>
    </w:p>
    <w:p w14:paraId="7CC6409E" w14:textId="77777777" w:rsidR="00064E6E" w:rsidRPr="00CA0A60" w:rsidRDefault="00064E6E" w:rsidP="00064E6E">
      <w:pPr>
        <w:widowControl w:val="0"/>
        <w:tabs>
          <w:tab w:val="left" w:pos="284"/>
          <w:tab w:val="left" w:pos="709"/>
        </w:tabs>
        <w:spacing w:before="120" w:after="120"/>
        <w:jc w:val="both"/>
        <w:rPr>
          <w:rFonts w:ascii="Garamond" w:eastAsia="Times New Roman" w:hAnsi="Garamond" w:cs="Times New Roman"/>
          <w:sz w:val="20"/>
          <w:szCs w:val="20"/>
          <w:lang w:val="es-AR"/>
        </w:rPr>
      </w:pPr>
      <w:r w:rsidRPr="00CA0A60">
        <w:rPr>
          <w:rFonts w:ascii="Garamond" w:eastAsia="Times New Roman" w:hAnsi="Garamond" w:cs="Times New Roman"/>
          <w:sz w:val="20"/>
          <w:szCs w:val="20"/>
          <w:lang w:val="es-AR"/>
        </w:rPr>
        <w:t>En la medida que (i) la Cuenta de Reserva para Servicio de Deuda se encuentre Totalmente Fondeada; y (ii) no se haya producido o subsista un Supuesto de Incumplimiento:</w:t>
      </w:r>
    </w:p>
    <w:p w14:paraId="5CA9DAB8" w14:textId="6D6D4D60" w:rsidR="00064E6E" w:rsidRPr="00CA0A60" w:rsidRDefault="00064E6E" w:rsidP="00064E6E">
      <w:pPr>
        <w:widowControl w:val="0"/>
        <w:tabs>
          <w:tab w:val="left" w:pos="284"/>
          <w:tab w:val="left" w:pos="709"/>
        </w:tabs>
        <w:spacing w:before="120" w:after="120"/>
        <w:ind w:left="709" w:hanging="425"/>
        <w:jc w:val="both"/>
        <w:rPr>
          <w:rFonts w:ascii="Garamond" w:eastAsia="Times New Roman" w:hAnsi="Garamond" w:cs="Times New Roman"/>
          <w:sz w:val="20"/>
          <w:szCs w:val="20"/>
          <w:lang w:val="es-AR"/>
        </w:rPr>
      </w:pPr>
      <w:r w:rsidRPr="00CA0A60">
        <w:rPr>
          <w:rFonts w:ascii="Garamond" w:eastAsia="Times New Roman" w:hAnsi="Garamond" w:cs="Times New Roman"/>
          <w:sz w:val="20"/>
          <w:szCs w:val="20"/>
          <w:lang w:val="es-AR"/>
        </w:rPr>
        <w:t>(a)</w:t>
      </w:r>
      <w:r w:rsidRPr="00CA0A60">
        <w:rPr>
          <w:rFonts w:ascii="Garamond" w:eastAsia="Times New Roman" w:hAnsi="Garamond" w:cs="Times New Roman"/>
          <w:sz w:val="20"/>
          <w:szCs w:val="20"/>
          <w:lang w:val="es-AR"/>
        </w:rPr>
        <w:tab/>
        <w:t xml:space="preserve">las Co-Emisoras tendrán derecho a retirar los montos depositados en la Cuenta de Reserva para Servicio de Deuda que excedan el Monto de Reserva </w:t>
      </w:r>
      <w:r w:rsidRPr="00046C39">
        <w:rPr>
          <w:rFonts w:ascii="Garamond" w:eastAsia="Times New Roman" w:hAnsi="Garamond" w:cs="Times New Roman"/>
          <w:sz w:val="20"/>
          <w:szCs w:val="20"/>
          <w:lang w:val="es-AR"/>
        </w:rPr>
        <w:t>para Servicio de Deuda</w:t>
      </w:r>
      <w:r w:rsidR="00046C39" w:rsidRPr="00046C39">
        <w:rPr>
          <w:rFonts w:ascii="Garamond" w:eastAsia="Times New Roman" w:hAnsi="Garamond" w:cs="Times New Roman"/>
          <w:sz w:val="20"/>
          <w:szCs w:val="20"/>
          <w:lang w:val="es-AR"/>
        </w:rPr>
        <w:t xml:space="preserve"> desde el momento de la confirmación</w:t>
      </w:r>
      <w:r w:rsidR="00046C39">
        <w:rPr>
          <w:rFonts w:ascii="Garamond" w:eastAsia="Times New Roman" w:hAnsi="Garamond" w:cs="Times New Roman"/>
          <w:sz w:val="20"/>
          <w:szCs w:val="20"/>
          <w:lang w:val="es-AR"/>
        </w:rPr>
        <w:t>,</w:t>
      </w:r>
      <w:r w:rsidR="00046C39" w:rsidRPr="00046C39">
        <w:rPr>
          <w:rFonts w:ascii="Garamond" w:eastAsia="Times New Roman" w:hAnsi="Garamond" w:cs="Times New Roman"/>
          <w:sz w:val="20"/>
          <w:szCs w:val="20"/>
          <w:lang w:val="es-AR"/>
        </w:rPr>
        <w:t xml:space="preserve"> al Agente de Garantía Internacional y al Banco</w:t>
      </w:r>
      <w:r w:rsidR="00046C39">
        <w:rPr>
          <w:rFonts w:ascii="Garamond" w:eastAsia="Times New Roman" w:hAnsi="Garamond" w:cs="Times New Roman"/>
          <w:sz w:val="20"/>
          <w:szCs w:val="20"/>
          <w:lang w:val="es-AR"/>
        </w:rPr>
        <w:t xml:space="preserve"> Depositario a través de un Certificado de Directivos, que el monto en efectivo o Equivalentes de Efectivo depositados en la Cuenta de Reserva para Servicio de Deuda supera los montos requeridos para que la Cuenta de Reserva para Servicio de Deuda esté completamente integrada; y </w:t>
      </w:r>
    </w:p>
    <w:p w14:paraId="7B389F47" w14:textId="6592DC06" w:rsidR="00064E6E" w:rsidRPr="00CA0A60" w:rsidRDefault="00064E6E" w:rsidP="00064E6E">
      <w:pPr>
        <w:widowControl w:val="0"/>
        <w:tabs>
          <w:tab w:val="left" w:pos="284"/>
          <w:tab w:val="left" w:pos="709"/>
        </w:tabs>
        <w:spacing w:before="120" w:after="120"/>
        <w:ind w:left="709" w:hanging="425"/>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rPr>
        <w:t>(b)</w:t>
      </w:r>
      <w:r w:rsidRPr="00CA0A60">
        <w:rPr>
          <w:rFonts w:ascii="Garamond" w:eastAsia="Times New Roman" w:hAnsi="Garamond" w:cs="Times New Roman"/>
          <w:sz w:val="20"/>
          <w:szCs w:val="20"/>
          <w:lang w:val="es-AR"/>
        </w:rPr>
        <w:tab/>
        <w:t xml:space="preserve">los fondos depositados en la Cuenta de Reserva para Servicio de Deuda podrán ser invertidos y reinvertidos, según las instrucciones escritas de las Co-Emisoras, en Equivalentes de Efectivo denominados en dólares estadounidenses del tipo indicado en el Contrato de </w:t>
      </w:r>
      <w:r w:rsidR="00046C39">
        <w:rPr>
          <w:rFonts w:ascii="Garamond" w:eastAsia="Times New Roman" w:hAnsi="Garamond" w:cs="Times New Roman"/>
          <w:sz w:val="20"/>
          <w:szCs w:val="20"/>
          <w:lang w:val="es-AR"/>
        </w:rPr>
        <w:t>Fideicomiso</w:t>
      </w:r>
      <w:r w:rsidRPr="00CA0A60">
        <w:rPr>
          <w:rFonts w:ascii="Garamond" w:eastAsia="Times New Roman" w:hAnsi="Garamond" w:cs="Times New Roman"/>
          <w:sz w:val="20"/>
          <w:szCs w:val="20"/>
          <w:lang w:val="es-AR"/>
        </w:rPr>
        <w:t xml:space="preserve"> que, a cualquier fecha de determinación (x) con respecto a un monto al menos igual a los intereses (más cualquier Monto Adicional, si hubiera) a pagar respecto de las Obligaciones Negociables en la Fecha de Pago de Intereses programada inmediatamente siguiente a dicha fecha de determinación, tengan vencimiento en o antes de los 15 días anteriores a dicha Fecha de Pago de Intereses programada próxima subsiguiente, e (y) con respecto a un monto al menos igual a los intereses (más cualquier Monto Adicional, si hubiera) a pagar respecto de las obligaciones negociables en la segunda Fecha de Pago de Intereses programada inmediatamente siguiente a dicha fecha de determinación, tengan vencimiento en o antes de los 15 días anteriores a dicha segunda Fecha de Pago de Intereses </w:t>
      </w:r>
      <w:r w:rsidRPr="00CA0A60">
        <w:rPr>
          <w:rFonts w:ascii="Garamond" w:eastAsia="Times New Roman" w:hAnsi="Garamond" w:cs="Times New Roman"/>
          <w:sz w:val="20"/>
          <w:szCs w:val="20"/>
          <w:lang w:val="es-AR"/>
        </w:rPr>
        <w:lastRenderedPageBreak/>
        <w:t>programada</w:t>
      </w:r>
      <w:r w:rsidRPr="00CA0A60">
        <w:rPr>
          <w:rFonts w:ascii="Garamond" w:eastAsia="Times New Roman" w:hAnsi="Garamond" w:cs="Times New Roman"/>
          <w:sz w:val="20"/>
          <w:szCs w:val="20"/>
          <w:lang w:val="es-AR" w:eastAsia="zh-CN" w:bidi="he-IL"/>
        </w:rPr>
        <w:t>. En caso que no se impartan instrucciones escritas</w:t>
      </w:r>
      <w:r w:rsidR="00900EFF">
        <w:rPr>
          <w:rFonts w:ascii="Garamond" w:eastAsia="Times New Roman" w:hAnsi="Garamond" w:cs="Times New Roman"/>
          <w:sz w:val="20"/>
          <w:szCs w:val="20"/>
          <w:lang w:val="es-AR" w:eastAsia="zh-CN" w:bidi="he-IL"/>
        </w:rPr>
        <w:t xml:space="preserve"> (o luego de acaecido un Supuesto de Incumplimiento)</w:t>
      </w:r>
      <w:r w:rsidRPr="00CA0A60">
        <w:rPr>
          <w:rFonts w:ascii="Garamond" w:eastAsia="Times New Roman" w:hAnsi="Garamond" w:cs="Times New Roman"/>
          <w:sz w:val="20"/>
          <w:szCs w:val="20"/>
          <w:lang w:val="es-AR" w:eastAsia="zh-CN" w:bidi="he-IL"/>
        </w:rPr>
        <w:t xml:space="preserve">, los fondos en la Cuenta de Reserva para Servicio de Deuda no serán invertidos. Las utilidades derivadas de las inversiones de sumas de dinero depositadas en la Cuenta de Reserva para Servicio de Deuda serán </w:t>
      </w:r>
      <w:r w:rsidR="00900EFF">
        <w:rPr>
          <w:rFonts w:ascii="Garamond" w:eastAsia="Times New Roman" w:hAnsi="Garamond" w:cs="Times New Roman"/>
          <w:sz w:val="20"/>
          <w:szCs w:val="20"/>
          <w:lang w:val="es-AR" w:eastAsia="zh-CN" w:bidi="he-IL"/>
        </w:rPr>
        <w:t>acreditadas en la Cuenta de Reserva para Servicio de Deuda.</w:t>
      </w:r>
    </w:p>
    <w:p w14:paraId="46437036" w14:textId="77777777" w:rsidR="00064E6E" w:rsidRPr="00CA0A60" w:rsidRDefault="00064E6E" w:rsidP="00064E6E">
      <w:pPr>
        <w:widowControl w:val="0"/>
        <w:tabs>
          <w:tab w:val="left" w:pos="0"/>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En el supuesto que las Co-Emisoras optaran por emitir Obligaciones Negociables Adicionales de conformidad con el Contrato de Fideicomiso, las Co-Emisoras depositarán, en o antes de la fecha de emisión de éstas, fondos en efectivo o Equivalentes de Efectivo en la Cuenta de Reserva para Servicio de Deuda por un monto que resulte suficiente para garantizar que la Cuenta de Reserva para Servicio de Deuda se encuentre Totalmente Fondeada con respecto a la totalidad de las Obligaciones Negociables, incluyendo cualesquiera Obligaciones Negociables Adicionales.</w:t>
      </w:r>
    </w:p>
    <w:p w14:paraId="2434A68E" w14:textId="30660F34" w:rsidR="00064E6E" w:rsidRDefault="00064E6E" w:rsidP="00064E6E">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El Agente de Garantía Internacional, según las directivas del Fiduciario, </w:t>
      </w:r>
      <w:r w:rsidR="003F6EEB">
        <w:rPr>
          <w:rFonts w:ascii="Garamond" w:eastAsia="Times New Roman" w:hAnsi="Garamond" w:cs="Times New Roman"/>
          <w:sz w:val="20"/>
          <w:szCs w:val="20"/>
          <w:lang w:val="es-AR" w:eastAsia="zh-CN" w:bidi="he-IL"/>
        </w:rPr>
        <w:t>deber</w:t>
      </w:r>
      <w:r w:rsidRPr="00CA0A60">
        <w:rPr>
          <w:rFonts w:ascii="Garamond" w:eastAsia="Times New Roman" w:hAnsi="Garamond" w:cs="Times New Roman"/>
          <w:sz w:val="20"/>
          <w:szCs w:val="20"/>
          <w:lang w:val="es-AR" w:eastAsia="zh-CN" w:bidi="he-IL"/>
        </w:rPr>
        <w:t xml:space="preserve">á impartir instrucciones </w:t>
      </w:r>
      <w:r w:rsidR="003F6EEB">
        <w:rPr>
          <w:rFonts w:ascii="Garamond" w:eastAsia="Times New Roman" w:hAnsi="Garamond" w:cs="Times New Roman"/>
          <w:sz w:val="20"/>
          <w:szCs w:val="20"/>
          <w:lang w:val="es-AR" w:eastAsia="zh-CN" w:bidi="he-IL"/>
        </w:rPr>
        <w:t xml:space="preserve">al Banco Depositario </w:t>
      </w:r>
      <w:r w:rsidRPr="00CA0A60">
        <w:rPr>
          <w:rFonts w:ascii="Garamond" w:eastAsia="Times New Roman" w:hAnsi="Garamond" w:cs="Times New Roman"/>
          <w:sz w:val="20"/>
          <w:szCs w:val="20"/>
          <w:lang w:val="es-AR" w:eastAsia="zh-CN" w:bidi="he-IL"/>
        </w:rPr>
        <w:t xml:space="preserve">para </w:t>
      </w:r>
      <w:r w:rsidR="003F6EEB">
        <w:rPr>
          <w:rFonts w:ascii="Garamond" w:eastAsia="Times New Roman" w:hAnsi="Garamond" w:cs="Times New Roman"/>
          <w:sz w:val="20"/>
          <w:szCs w:val="20"/>
          <w:lang w:val="es-AR" w:eastAsia="zh-CN" w:bidi="he-IL"/>
        </w:rPr>
        <w:t xml:space="preserve">efectuar </w:t>
      </w:r>
      <w:r w:rsidRPr="00CA0A60">
        <w:rPr>
          <w:rFonts w:ascii="Garamond" w:eastAsia="Times New Roman" w:hAnsi="Garamond" w:cs="Times New Roman"/>
          <w:sz w:val="20"/>
          <w:szCs w:val="20"/>
          <w:lang w:val="es-AR" w:eastAsia="zh-CN" w:bidi="he-IL"/>
        </w:rPr>
        <w:t>retiros de la Cuenta de Reserva para Servicio de Deuda</w:t>
      </w:r>
      <w:r w:rsidR="003F6EEB">
        <w:rPr>
          <w:rFonts w:ascii="Garamond" w:eastAsia="Times New Roman" w:hAnsi="Garamond" w:cs="Times New Roman"/>
          <w:sz w:val="20"/>
          <w:szCs w:val="20"/>
          <w:lang w:val="es-AR" w:eastAsia="zh-CN" w:bidi="he-IL"/>
        </w:rPr>
        <w:t xml:space="preserve"> y transferir al Fiduciario los fondos especificados por el Fiduciario</w:t>
      </w:r>
      <w:r w:rsidRPr="00CA0A60">
        <w:rPr>
          <w:rFonts w:ascii="Garamond" w:eastAsia="Times New Roman" w:hAnsi="Garamond" w:cs="Times New Roman"/>
          <w:sz w:val="20"/>
          <w:szCs w:val="20"/>
          <w:lang w:val="es-AR" w:eastAsia="zh-CN" w:bidi="he-IL"/>
        </w:rPr>
        <w:t xml:space="preserve">, (i) en la medida que </w:t>
      </w:r>
      <w:r w:rsidR="003F6EEB">
        <w:rPr>
          <w:rFonts w:ascii="Garamond" w:eastAsia="Times New Roman" w:hAnsi="Garamond" w:cs="Times New Roman"/>
          <w:sz w:val="20"/>
          <w:szCs w:val="20"/>
          <w:lang w:val="es-AR" w:eastAsia="zh-CN" w:bidi="he-IL"/>
        </w:rPr>
        <w:t xml:space="preserve">el Fiduciario </w:t>
      </w:r>
      <w:r w:rsidRPr="00CA0A60">
        <w:rPr>
          <w:rFonts w:ascii="Garamond" w:eastAsia="Times New Roman" w:hAnsi="Garamond" w:cs="Times New Roman"/>
          <w:sz w:val="20"/>
          <w:szCs w:val="20"/>
          <w:lang w:val="es-AR" w:eastAsia="zh-CN" w:bidi="he-IL"/>
        </w:rPr>
        <w:t xml:space="preserve">no </w:t>
      </w:r>
      <w:r w:rsidR="003F6EEB">
        <w:rPr>
          <w:rFonts w:ascii="Garamond" w:eastAsia="Times New Roman" w:hAnsi="Garamond" w:cs="Times New Roman"/>
          <w:sz w:val="20"/>
          <w:szCs w:val="20"/>
          <w:lang w:val="es-AR" w:eastAsia="zh-CN" w:bidi="he-IL"/>
        </w:rPr>
        <w:t>tuviera</w:t>
      </w:r>
      <w:r w:rsidRPr="00CA0A60">
        <w:rPr>
          <w:rFonts w:ascii="Garamond" w:eastAsia="Times New Roman" w:hAnsi="Garamond" w:cs="Times New Roman"/>
          <w:sz w:val="20"/>
          <w:szCs w:val="20"/>
          <w:lang w:val="es-AR" w:eastAsia="zh-CN" w:bidi="he-IL"/>
        </w:rPr>
        <w:t xml:space="preserve"> fondos disponibles para pagar el monto de capital de o prima, si hubiera, intereses o Montos Adicionales, si hubiera, respecto de las Obligaciones Negociables con vencimiento en la fecha de dichos retiros y (ii) si, en cualquier Fecha de Pago de Intereses programada (o en la Fecha de Vencimiento), el Fiduciario hubiera recibido fondos de las Co-Emisoras en cantidad insuficiente para el pago del monto total de capital, prima, si hubiera, intereses y Montos Adicionales, si hubiera, debidos en ese momento.</w:t>
      </w:r>
    </w:p>
    <w:p w14:paraId="7D5680D2" w14:textId="1ADC2DEC" w:rsidR="003F6EEB" w:rsidRDefault="003F6EEB" w:rsidP="00064E6E">
      <w:pPr>
        <w:widowControl w:val="0"/>
        <w:tabs>
          <w:tab w:val="left" w:pos="284"/>
          <w:tab w:val="left" w:pos="709"/>
        </w:tabs>
        <w:spacing w:before="120" w:after="120"/>
        <w:jc w:val="both"/>
        <w:rPr>
          <w:rFonts w:ascii="Garamond" w:eastAsia="Times New Roman" w:hAnsi="Garamond" w:cs="Times New Roman"/>
          <w:i/>
          <w:sz w:val="20"/>
          <w:szCs w:val="20"/>
          <w:lang w:val="es-AR" w:eastAsia="zh-CN" w:bidi="he-IL"/>
        </w:rPr>
      </w:pPr>
      <w:r>
        <w:rPr>
          <w:rFonts w:ascii="Garamond" w:eastAsia="Times New Roman" w:hAnsi="Garamond" w:cs="Times New Roman"/>
          <w:sz w:val="20"/>
          <w:szCs w:val="20"/>
          <w:lang w:val="es-AR" w:eastAsia="zh-CN" w:bidi="he-IL"/>
        </w:rPr>
        <w:t xml:space="preserve">El Gravamen en primer grado de privilegio a ser creado en virtud del Contrato de Fideicomiso sobre la Cuenta de Reserva para Servicio de Deuda estará sujeto a las limitaciones descriptas en </w:t>
      </w:r>
      <w:r>
        <w:rPr>
          <w:rFonts w:ascii="Garamond" w:eastAsia="Times New Roman" w:hAnsi="Garamond" w:cs="Times New Roman"/>
          <w:i/>
          <w:sz w:val="20"/>
          <w:szCs w:val="20"/>
          <w:lang w:val="es-AR" w:eastAsia="zh-CN" w:bidi="he-IL"/>
        </w:rPr>
        <w:t>“Derechos de Garantía—Limitaciones a los Derechos de Garantía”.</w:t>
      </w:r>
    </w:p>
    <w:p w14:paraId="1D4637FF" w14:textId="26878826" w:rsidR="003F6EEB" w:rsidRPr="003F6EEB" w:rsidRDefault="003F6EEB" w:rsidP="00064E6E">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Pr>
          <w:rFonts w:ascii="Garamond" w:eastAsia="Times New Roman" w:hAnsi="Garamond" w:cs="Times New Roman"/>
          <w:sz w:val="20"/>
          <w:szCs w:val="20"/>
          <w:lang w:val="es-AR" w:eastAsia="zh-CN" w:bidi="he-IL"/>
        </w:rPr>
        <w:t xml:space="preserve">Bajo ninguna circunstancia el Fiduciario, el Agente de Garantía Internacional o el Banco Depositario deberán ser responsables u obligados </w:t>
      </w:r>
      <w:r w:rsidR="00D616D1">
        <w:rPr>
          <w:rFonts w:ascii="Garamond" w:eastAsia="Times New Roman" w:hAnsi="Garamond" w:cs="Times New Roman"/>
          <w:sz w:val="20"/>
          <w:szCs w:val="20"/>
          <w:lang w:val="es-AR" w:eastAsia="zh-CN" w:bidi="he-IL"/>
        </w:rPr>
        <w:t>a</w:t>
      </w:r>
      <w:r>
        <w:rPr>
          <w:rFonts w:ascii="Garamond" w:eastAsia="Times New Roman" w:hAnsi="Garamond" w:cs="Times New Roman"/>
          <w:sz w:val="20"/>
          <w:szCs w:val="20"/>
          <w:lang w:val="es-AR" w:eastAsia="zh-CN" w:bidi="he-IL"/>
        </w:rPr>
        <w:t xml:space="preserve"> calcular o determinar (i) </w:t>
      </w:r>
      <w:r w:rsidR="00D616D1">
        <w:rPr>
          <w:rFonts w:ascii="Garamond" w:eastAsia="Times New Roman" w:hAnsi="Garamond" w:cs="Times New Roman"/>
          <w:sz w:val="20"/>
          <w:szCs w:val="20"/>
          <w:lang w:val="es-AR" w:eastAsia="zh-CN" w:bidi="he-IL"/>
        </w:rPr>
        <w:t xml:space="preserve">el </w:t>
      </w:r>
      <w:r w:rsidR="00D616D1" w:rsidRPr="00D616D1">
        <w:rPr>
          <w:rFonts w:ascii="Garamond" w:eastAsia="Times New Roman" w:hAnsi="Garamond" w:cs="Times New Roman"/>
          <w:sz w:val="20"/>
          <w:szCs w:val="20"/>
          <w:lang w:val="es-AR" w:eastAsia="zh-CN" w:bidi="he-IL"/>
        </w:rPr>
        <w:t>Monto de Reserva para Servicio de Deuda</w:t>
      </w:r>
      <w:r>
        <w:rPr>
          <w:rFonts w:ascii="Garamond" w:eastAsia="Times New Roman" w:hAnsi="Garamond" w:cs="Times New Roman"/>
          <w:sz w:val="20"/>
          <w:szCs w:val="20"/>
          <w:lang w:val="es-AR" w:eastAsia="zh-CN" w:bidi="he-IL"/>
        </w:rPr>
        <w:t xml:space="preserve"> y/o</w:t>
      </w:r>
      <w:r w:rsidR="00D616D1">
        <w:rPr>
          <w:rFonts w:ascii="Garamond" w:eastAsia="Times New Roman" w:hAnsi="Garamond" w:cs="Times New Roman"/>
          <w:sz w:val="20"/>
          <w:szCs w:val="20"/>
          <w:lang w:val="es-AR" w:eastAsia="zh-CN" w:bidi="he-IL"/>
        </w:rPr>
        <w:t xml:space="preserve"> (ii) corroborar que la Cuenta de Reserva para Servicio de Deuda esté completamente fondeada.</w:t>
      </w:r>
      <w:r>
        <w:rPr>
          <w:rFonts w:ascii="Garamond" w:eastAsia="Times New Roman" w:hAnsi="Garamond" w:cs="Times New Roman"/>
          <w:sz w:val="20"/>
          <w:szCs w:val="20"/>
          <w:lang w:val="es-AR" w:eastAsia="zh-CN" w:bidi="he-IL"/>
        </w:rPr>
        <w:t xml:space="preserve"> </w:t>
      </w:r>
    </w:p>
    <w:p w14:paraId="42D73F1F" w14:textId="77777777" w:rsidR="0085610A" w:rsidRPr="00CA0A60" w:rsidRDefault="0085610A" w:rsidP="0034558A">
      <w:pPr>
        <w:widowControl w:val="0"/>
        <w:tabs>
          <w:tab w:val="left" w:pos="284"/>
          <w:tab w:val="left" w:pos="709"/>
        </w:tabs>
        <w:spacing w:before="120" w:after="120" w:line="256" w:lineRule="auto"/>
        <w:jc w:val="both"/>
        <w:rPr>
          <w:rFonts w:ascii="Garamond" w:eastAsia="Times New Roman" w:hAnsi="Garamond" w:cs="Times New Roman"/>
          <w:b/>
          <w:i/>
          <w:sz w:val="20"/>
          <w:szCs w:val="20"/>
          <w:lang w:val="es-AR" w:eastAsia="zh-CN"/>
        </w:rPr>
      </w:pPr>
      <w:r w:rsidRPr="00CA0A60">
        <w:rPr>
          <w:rFonts w:ascii="Garamond" w:eastAsia="Times New Roman" w:hAnsi="Garamond" w:cs="Times New Roman"/>
          <w:b/>
          <w:i/>
          <w:sz w:val="20"/>
          <w:szCs w:val="20"/>
          <w:lang w:val="es-AR" w:eastAsia="zh-CN"/>
        </w:rPr>
        <w:t xml:space="preserve">Limitaciones a los Derechos de Garantía </w:t>
      </w:r>
    </w:p>
    <w:p w14:paraId="569D592F" w14:textId="77777777" w:rsidR="0085610A" w:rsidRPr="00CA0A60" w:rsidRDefault="0085610A" w:rsidP="0085610A">
      <w:pPr>
        <w:keepNext/>
        <w:keepLines/>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Los Derechos de Garantía:</w:t>
      </w:r>
    </w:p>
    <w:p w14:paraId="6D734081" w14:textId="454AB396" w:rsidR="0085610A" w:rsidRPr="00CA0A60" w:rsidRDefault="0085610A" w:rsidP="0085610A">
      <w:pPr>
        <w:keepNext/>
        <w:keepLines/>
        <w:widowControl w:val="0"/>
        <w:numPr>
          <w:ilvl w:val="0"/>
          <w:numId w:val="131"/>
        </w:numPr>
        <w:tabs>
          <w:tab w:val="left" w:pos="284"/>
          <w:tab w:val="left" w:pos="709"/>
        </w:tabs>
        <w:spacing w:before="120" w:after="120" w:line="240" w:lineRule="auto"/>
        <w:ind w:left="720"/>
        <w:jc w:val="both"/>
        <w:outlineLvl w:val="7"/>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excluirán ciertos activos específicos, incluyendo, sin limitación, cualquier bien en la medida que la constitución de un derecho de garantía real sobre dicho bien (i) se encuentre prohibida por la Ley Aplicable, (ii) requiera un consentimiento no obtenido de alguna Autoridad Gubernamental de conformidad con la Ley Aplicable, (iii) constituya o diera lugar a la renuncia, nulidad o inexigibilidad de cualquier derecho o título sobre ellos de la Co-Emisora pertinente, o (iv) requiera algún consentimiento no obtenido en virtud de cualquier contrato de arrendamiento, convenio, Aprobación Gubernamental, licencia, acuerdo, instrumento u otro documento que acredite o diera lugar a dicha propiedad, excepto en la medida que el término en dicho contrato de arrendamiento, convenio, Aprobación Gubernamental, licencia, acuerdo, instrumento u otro documento que dispusiera dicha prohibición, violación, incumplimiento o extinción o que requiera dicho consentimiento carezca de validez en virtud de la Ley Aplicable;</w:t>
      </w:r>
    </w:p>
    <w:p w14:paraId="797E8C4C" w14:textId="6FEDA0B0" w:rsidR="0085610A" w:rsidRPr="00CA0A60" w:rsidRDefault="0085610A" w:rsidP="0085610A">
      <w:pPr>
        <w:widowControl w:val="0"/>
        <w:numPr>
          <w:ilvl w:val="0"/>
          <w:numId w:val="131"/>
        </w:numPr>
        <w:tabs>
          <w:tab w:val="left" w:pos="284"/>
          <w:tab w:val="left" w:pos="709"/>
        </w:tabs>
        <w:spacing w:before="120" w:after="120" w:line="240" w:lineRule="auto"/>
        <w:ind w:left="720"/>
        <w:jc w:val="both"/>
        <w:outlineLvl w:val="7"/>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con respecto a los Equipos de Siemens, las Partes Garantizadas tendrán el beneficio del derecho real de garantía sobre los Equipos de Siemens constituido en virtud de</w:t>
      </w:r>
      <w:r w:rsidR="00102EA6" w:rsidRPr="00CA0A60">
        <w:rPr>
          <w:rFonts w:ascii="Garamond" w:eastAsia="Times New Roman" w:hAnsi="Garamond" w:cs="Times New Roman"/>
          <w:sz w:val="20"/>
          <w:szCs w:val="20"/>
          <w:lang w:val="es-AR" w:eastAsia="zh-CN" w:bidi="he-IL"/>
        </w:rPr>
        <w:t>l</w:t>
      </w:r>
      <w:r w:rsidRPr="00CA0A60">
        <w:rPr>
          <w:rFonts w:ascii="Garamond" w:eastAsia="Times New Roman" w:hAnsi="Garamond" w:cs="Times New Roman"/>
          <w:sz w:val="20"/>
          <w:szCs w:val="20"/>
          <w:lang w:val="es-AR" w:eastAsia="zh-CN" w:bidi="he-IL"/>
        </w:rPr>
        <w:t xml:space="preserve"> </w:t>
      </w:r>
      <w:r w:rsidR="00411600" w:rsidRPr="00CA0A60">
        <w:rPr>
          <w:rFonts w:ascii="Garamond" w:eastAsia="Times New Roman" w:hAnsi="Garamond" w:cs="Times New Roman"/>
          <w:sz w:val="20"/>
          <w:szCs w:val="20"/>
          <w:lang w:val="es-AR" w:eastAsia="zh-CN" w:bidi="he-IL"/>
        </w:rPr>
        <w:t>Contrato de Prenda en Segundo Grado de Privilegio</w:t>
      </w:r>
      <w:r w:rsidRPr="00CA0A60">
        <w:rPr>
          <w:rFonts w:ascii="Garamond" w:eastAsia="Times New Roman" w:hAnsi="Garamond" w:cs="Times New Roman"/>
          <w:sz w:val="20"/>
          <w:szCs w:val="20"/>
          <w:lang w:val="es-AR" w:eastAsia="zh-CN" w:bidi="he-IL"/>
        </w:rPr>
        <w:t xml:space="preserve"> Argentino por hasta un monto equivalente al valor de dichos Equipos de Siemens (o el valor real recibido como resultado de la ejecución de los mismos) neto del pago de la </w:t>
      </w:r>
      <w:r w:rsidR="00B816E3" w:rsidRPr="00CA0A60">
        <w:rPr>
          <w:rFonts w:ascii="Garamond" w:eastAsia="Times New Roman" w:hAnsi="Garamond" w:cs="Times New Roman"/>
          <w:sz w:val="20"/>
          <w:szCs w:val="20"/>
          <w:lang w:val="es-AR" w:eastAsia="zh-CN" w:bidi="he-IL"/>
        </w:rPr>
        <w:t>Deuda de Siemens</w:t>
      </w:r>
      <w:r w:rsidRPr="00CA0A60">
        <w:rPr>
          <w:rFonts w:ascii="Garamond" w:eastAsia="Times New Roman" w:hAnsi="Garamond" w:cs="Times New Roman"/>
          <w:sz w:val="20"/>
          <w:szCs w:val="20"/>
          <w:lang w:val="es-AR" w:eastAsia="zh-CN" w:bidi="he-IL"/>
        </w:rPr>
        <w:t xml:space="preserve"> a dicha fecha de determinación; a la Fecha de Emisión, la </w:t>
      </w:r>
      <w:r w:rsidR="00B816E3" w:rsidRPr="00CA0A60">
        <w:rPr>
          <w:rFonts w:ascii="Garamond" w:eastAsia="Times New Roman" w:hAnsi="Garamond" w:cs="Times New Roman"/>
          <w:sz w:val="20"/>
          <w:szCs w:val="20"/>
          <w:lang w:val="es-AR" w:eastAsia="zh-CN" w:bidi="he-IL"/>
        </w:rPr>
        <w:t>Deuda de Siemens</w:t>
      </w:r>
      <w:r w:rsidRPr="00CA0A60">
        <w:rPr>
          <w:rFonts w:ascii="Garamond" w:eastAsia="Times New Roman" w:hAnsi="Garamond" w:cs="Times New Roman"/>
          <w:sz w:val="20"/>
          <w:szCs w:val="20"/>
          <w:lang w:val="es-AR" w:eastAsia="zh-CN" w:bidi="he-IL"/>
        </w:rPr>
        <w:t xml:space="preserve"> era de aproximadamente U$S </w:t>
      </w:r>
      <w:r w:rsidR="00901A85">
        <w:rPr>
          <w:rFonts w:ascii="Garamond" w:eastAsia="Times New Roman" w:hAnsi="Garamond" w:cs="Times New Roman"/>
          <w:sz w:val="20"/>
          <w:szCs w:val="20"/>
          <w:lang w:val="es-AR" w:eastAsia="zh-CN" w:bidi="he-IL"/>
        </w:rPr>
        <w:t>23</w:t>
      </w:r>
      <w:r w:rsidRPr="00CA0A60">
        <w:rPr>
          <w:rFonts w:ascii="Garamond" w:eastAsia="Times New Roman" w:hAnsi="Garamond" w:cs="Times New Roman"/>
          <w:sz w:val="20"/>
          <w:szCs w:val="20"/>
          <w:lang w:val="es-AR" w:eastAsia="zh-CN" w:bidi="he-IL"/>
        </w:rPr>
        <w:t xml:space="preserve"> millones, monto éste que deberá ser cancelado </w:t>
      </w:r>
      <w:r w:rsidR="00843721">
        <w:rPr>
          <w:rFonts w:ascii="Garamond" w:eastAsia="Times New Roman" w:hAnsi="Garamond" w:cs="Times New Roman"/>
          <w:sz w:val="20"/>
          <w:szCs w:val="20"/>
          <w:lang w:val="es-AR" w:eastAsia="zh-CN" w:bidi="he-IL"/>
        </w:rPr>
        <w:t>parcialmente</w:t>
      </w:r>
      <w:r w:rsidRPr="00CA0A60">
        <w:rPr>
          <w:rFonts w:ascii="Garamond" w:eastAsia="Times New Roman" w:hAnsi="Garamond" w:cs="Times New Roman"/>
          <w:sz w:val="20"/>
          <w:szCs w:val="20"/>
          <w:lang w:val="es-AR" w:eastAsia="zh-CN" w:bidi="he-IL"/>
        </w:rPr>
        <w:t xml:space="preserve"> en dicha fecha con los fondos obtenidos de las Obligaciones Negociables;</w:t>
      </w:r>
    </w:p>
    <w:p w14:paraId="480FB90C" w14:textId="0A3A8563" w:rsidR="00206F74" w:rsidRPr="00CA0A60" w:rsidRDefault="0085610A" w:rsidP="0085610A">
      <w:pPr>
        <w:widowControl w:val="0"/>
        <w:numPr>
          <w:ilvl w:val="0"/>
          <w:numId w:val="131"/>
        </w:numPr>
        <w:tabs>
          <w:tab w:val="left" w:pos="284"/>
          <w:tab w:val="left" w:pos="709"/>
        </w:tabs>
        <w:spacing w:before="120" w:after="120" w:line="240" w:lineRule="auto"/>
        <w:ind w:left="720"/>
        <w:jc w:val="both"/>
        <w:outlineLvl w:val="7"/>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con respecto a los CCEE 220 Cedidos, en virtud de sus términos, las Partes Garantizadas tendrán el beneficio de aquellos componentes de los Derechos de Garantía por un monto de capital total de Deuda bajo los Documentos de Financiación que no supere (i) U$S </w:t>
      </w:r>
      <w:r w:rsidR="0028340E">
        <w:rPr>
          <w:rFonts w:ascii="Garamond" w:eastAsia="Times New Roman" w:hAnsi="Garamond" w:cs="Times New Roman"/>
          <w:sz w:val="20"/>
          <w:szCs w:val="20"/>
          <w:lang w:val="es-AR" w:eastAsia="zh-CN" w:bidi="he-IL"/>
        </w:rPr>
        <w:t>9</w:t>
      </w:r>
      <w:r w:rsidR="00B05152">
        <w:rPr>
          <w:rFonts w:ascii="Garamond" w:eastAsia="Times New Roman" w:hAnsi="Garamond" w:cs="Times New Roman"/>
          <w:sz w:val="20"/>
          <w:szCs w:val="20"/>
          <w:lang w:val="es-AR" w:eastAsia="zh-CN" w:bidi="he-IL"/>
        </w:rPr>
        <w:t>,</w:t>
      </w:r>
      <w:r w:rsidR="0028340E">
        <w:rPr>
          <w:rFonts w:ascii="Garamond" w:eastAsia="Times New Roman" w:hAnsi="Garamond" w:cs="Times New Roman"/>
          <w:sz w:val="20"/>
          <w:szCs w:val="20"/>
          <w:lang w:val="es-AR" w:eastAsia="zh-CN" w:bidi="he-IL"/>
        </w:rPr>
        <w:t>4</w:t>
      </w:r>
      <w:r w:rsidR="00B05152">
        <w:rPr>
          <w:rFonts w:ascii="Garamond" w:eastAsia="Times New Roman" w:hAnsi="Garamond" w:cs="Times New Roman"/>
          <w:sz w:val="20"/>
          <w:szCs w:val="20"/>
          <w:lang w:val="es-AR" w:eastAsia="zh-CN" w:bidi="he-IL"/>
        </w:rPr>
        <w:t xml:space="preserve"> </w:t>
      </w:r>
      <w:r w:rsidRPr="00CA0A60">
        <w:rPr>
          <w:rFonts w:ascii="Garamond" w:eastAsia="Times New Roman" w:hAnsi="Garamond" w:cs="Times New Roman"/>
          <w:sz w:val="20"/>
          <w:szCs w:val="20"/>
          <w:lang w:val="es-AR" w:eastAsia="zh-CN" w:bidi="he-IL"/>
        </w:rPr>
        <w:t>millones con respecto al CCEE 220 Independencia Cedido, que, en cada caso, corresponde a la porción de los fondos derivados de las Obligaciones Negociables a ser aplicados por GEMSA a la realización de inversiones en su planta de generación de energía denominada “Independencia” y (ii) U$S </w:t>
      </w:r>
      <w:r w:rsidR="0028340E">
        <w:rPr>
          <w:rFonts w:ascii="Garamond" w:eastAsia="Times New Roman" w:hAnsi="Garamond" w:cs="Times New Roman"/>
          <w:sz w:val="20"/>
          <w:szCs w:val="20"/>
          <w:lang w:val="es-AR" w:eastAsia="zh-CN" w:bidi="he-IL"/>
        </w:rPr>
        <w:t>1</w:t>
      </w:r>
      <w:r w:rsidR="004032D6">
        <w:rPr>
          <w:rFonts w:ascii="Garamond" w:eastAsia="Times New Roman" w:hAnsi="Garamond" w:cs="Times New Roman"/>
          <w:sz w:val="20"/>
          <w:szCs w:val="20"/>
          <w:lang w:val="es-AR" w:eastAsia="zh-CN" w:bidi="he-IL"/>
        </w:rPr>
        <w:t>7</w:t>
      </w:r>
      <w:r w:rsidRPr="00CA0A60">
        <w:rPr>
          <w:rFonts w:ascii="Garamond" w:eastAsia="Times New Roman" w:hAnsi="Garamond" w:cs="Times New Roman"/>
          <w:sz w:val="20"/>
          <w:szCs w:val="20"/>
          <w:lang w:val="es-AR" w:eastAsia="zh-CN" w:bidi="he-IL"/>
        </w:rPr>
        <w:t xml:space="preserve"> millones con respecto al CCEE 220 Maranzana Cedido, que, en cada caso, corresponde a la porción de los fondos derivados de las Obligaciones Negociables a ser aplicados por GEMSA a la realización de inversiones en su planta de generación de energía denominada “Maranzana”; y </w:t>
      </w:r>
    </w:p>
    <w:p w14:paraId="0197424F" w14:textId="047D915C" w:rsidR="0085610A" w:rsidRDefault="0085610A" w:rsidP="00B73F3E">
      <w:pPr>
        <w:widowControl w:val="0"/>
        <w:numPr>
          <w:ilvl w:val="0"/>
          <w:numId w:val="131"/>
        </w:numPr>
        <w:tabs>
          <w:tab w:val="left" w:pos="284"/>
          <w:tab w:val="left" w:pos="709"/>
        </w:tabs>
        <w:spacing w:before="120" w:after="120" w:line="240" w:lineRule="auto"/>
        <w:ind w:left="720"/>
        <w:jc w:val="both"/>
        <w:outlineLvl w:val="7"/>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con respecto a un Derecho de Garantía específico, a cualquier fecha de determinación, se encontrará </w:t>
      </w:r>
      <w:r w:rsidRPr="00CA0A60">
        <w:rPr>
          <w:rFonts w:ascii="Garamond" w:eastAsia="Times New Roman" w:hAnsi="Garamond" w:cs="Times New Roman"/>
          <w:sz w:val="20"/>
          <w:szCs w:val="20"/>
          <w:lang w:val="es-AR" w:eastAsia="zh-CN" w:bidi="he-IL"/>
        </w:rPr>
        <w:lastRenderedPageBreak/>
        <w:t>limitado al monto máximo que no pudiera dar lugar a un incumplimiento o violación por parte de las Co-Emisoras o el Garante pertinente de cualquier disposición del Contrato de Fideicomiso de las Obligaciones Negociables al 9,625% a dicha fecha de determinación (se hará referencia a dicho monto máximo a cualquier fecha de determinación como el “</w:t>
      </w:r>
      <w:r w:rsidRPr="00CA0A60">
        <w:rPr>
          <w:rFonts w:ascii="Garamond" w:eastAsia="Times New Roman" w:hAnsi="Garamond" w:cs="Times New Roman"/>
          <w:sz w:val="20"/>
          <w:szCs w:val="20"/>
          <w:u w:val="single"/>
          <w:lang w:val="es-AR" w:eastAsia="zh-CN" w:bidi="he-IL"/>
        </w:rPr>
        <w:t>Monto de Garantía Máximo</w:t>
      </w:r>
      <w:r w:rsidRPr="00CA0A60">
        <w:rPr>
          <w:rFonts w:ascii="Garamond" w:eastAsia="Times New Roman" w:hAnsi="Garamond" w:cs="Times New Roman"/>
          <w:sz w:val="20"/>
          <w:szCs w:val="20"/>
          <w:lang w:val="es-AR" w:eastAsia="zh-CN" w:bidi="he-IL"/>
        </w:rPr>
        <w:t xml:space="preserve">”), en particular, todos los componentes de los Derechos de Garantía garantizarán una suma de capital total de las Deudas en virtud de los Documentos de Financiación no superior a </w:t>
      </w:r>
      <w:r w:rsidR="004032D6">
        <w:rPr>
          <w:rFonts w:ascii="Garamond" w:eastAsia="Times New Roman" w:hAnsi="Garamond" w:cs="Times New Roman"/>
          <w:sz w:val="20"/>
          <w:szCs w:val="20"/>
          <w:lang w:val="es-AR" w:eastAsia="zh-CN" w:bidi="he-IL"/>
        </w:rPr>
        <w:t xml:space="preserve">aproximadamente </w:t>
      </w:r>
      <w:r w:rsidRPr="00CA0A60">
        <w:rPr>
          <w:rFonts w:ascii="Garamond" w:eastAsia="Times New Roman" w:hAnsi="Garamond" w:cs="Times New Roman"/>
          <w:sz w:val="20"/>
          <w:szCs w:val="20"/>
          <w:lang w:val="es-AR" w:eastAsia="zh-CN" w:bidi="he-IL"/>
        </w:rPr>
        <w:t>U$S</w:t>
      </w:r>
      <w:r w:rsidR="004032D6">
        <w:rPr>
          <w:rFonts w:ascii="Garamond" w:eastAsia="Times New Roman" w:hAnsi="Garamond" w:cs="Times New Roman"/>
          <w:sz w:val="20"/>
          <w:szCs w:val="20"/>
          <w:lang w:val="es-AR" w:eastAsia="zh-CN" w:bidi="he-IL"/>
        </w:rPr>
        <w:t>77</w:t>
      </w:r>
      <w:r w:rsidRPr="00CA0A60">
        <w:rPr>
          <w:rFonts w:ascii="Garamond" w:eastAsia="Times New Roman" w:hAnsi="Garamond" w:cs="Times New Roman"/>
          <w:sz w:val="20"/>
          <w:szCs w:val="20"/>
          <w:lang w:val="es-AR" w:eastAsia="zh-CN" w:bidi="he-IL"/>
        </w:rPr>
        <w:t xml:space="preserve"> millones (o 7,5% del Activo Total Consolidado del Garante y sus Subsidiarias Restringidas al 30 de junio de 2019, que ascendían a</w:t>
      </w:r>
      <w:r w:rsidR="00206F74" w:rsidRPr="00CA0A60">
        <w:rPr>
          <w:rFonts w:ascii="Garamond" w:eastAsia="Times New Roman" w:hAnsi="Garamond" w:cs="Times New Roman"/>
          <w:sz w:val="20"/>
          <w:szCs w:val="20"/>
          <w:lang w:val="es-AR" w:eastAsia="zh-CN" w:bidi="he-IL"/>
        </w:rPr>
        <w:t>, aproximadamente,</w:t>
      </w:r>
      <w:r w:rsidRPr="00CA0A60">
        <w:rPr>
          <w:rFonts w:ascii="Garamond" w:eastAsia="Times New Roman" w:hAnsi="Garamond" w:cs="Times New Roman"/>
          <w:sz w:val="20"/>
          <w:szCs w:val="20"/>
          <w:lang w:val="es-AR" w:eastAsia="zh-CN" w:bidi="he-IL"/>
        </w:rPr>
        <w:t xml:space="preserve"> U$S</w:t>
      </w:r>
      <w:r w:rsidR="004032D6">
        <w:rPr>
          <w:rFonts w:ascii="Garamond" w:eastAsia="Times New Roman" w:hAnsi="Garamond" w:cs="Times New Roman"/>
          <w:sz w:val="20"/>
          <w:szCs w:val="20"/>
          <w:lang w:val="es-AR" w:eastAsia="zh-CN" w:bidi="he-IL"/>
        </w:rPr>
        <w:t>1.027</w:t>
      </w:r>
      <w:r w:rsidRPr="00CA0A60">
        <w:rPr>
          <w:rFonts w:ascii="Garamond" w:eastAsia="Times New Roman" w:hAnsi="Garamond" w:cs="Times New Roman"/>
          <w:sz w:val="20"/>
          <w:szCs w:val="20"/>
          <w:lang w:val="es-AR" w:eastAsia="zh-CN" w:bidi="he-IL"/>
        </w:rPr>
        <w:t xml:space="preserve"> millones a esa fecha); </w:t>
      </w:r>
      <w:r w:rsidRPr="00CA0A60">
        <w:rPr>
          <w:rFonts w:ascii="Garamond" w:eastAsia="Times New Roman" w:hAnsi="Garamond" w:cs="Times New Roman"/>
          <w:sz w:val="20"/>
          <w:szCs w:val="20"/>
          <w:u w:val="single"/>
          <w:lang w:val="es-AR" w:eastAsia="zh-CN" w:bidi="he-IL"/>
        </w:rPr>
        <w:t>quedando establecido</w:t>
      </w:r>
      <w:r w:rsidRPr="00CA0A60">
        <w:rPr>
          <w:rFonts w:ascii="Garamond" w:eastAsia="Times New Roman" w:hAnsi="Garamond" w:cs="Times New Roman"/>
          <w:sz w:val="20"/>
          <w:szCs w:val="20"/>
          <w:lang w:val="es-AR" w:eastAsia="zh-CN" w:bidi="he-IL"/>
        </w:rPr>
        <w:t xml:space="preserve"> que</w:t>
      </w:r>
      <w:r w:rsidR="00206F74" w:rsidRPr="00CA0A60">
        <w:rPr>
          <w:rFonts w:ascii="Garamond" w:eastAsia="Times New Roman" w:hAnsi="Garamond" w:cs="Times New Roman"/>
          <w:sz w:val="20"/>
          <w:szCs w:val="20"/>
          <w:lang w:val="es-AR" w:eastAsia="zh-CN" w:bidi="he-IL"/>
        </w:rPr>
        <w:t>, en la medida que el valor contable de los Derechos de Garantía en cualquier fecha de determinación que tenga lugar en cada aniversario de la Fecha de Emisión fuera inferior al</w:t>
      </w:r>
      <w:r w:rsidR="00FC107E">
        <w:rPr>
          <w:rFonts w:ascii="Garamond" w:eastAsia="Times New Roman" w:hAnsi="Garamond" w:cs="Times New Roman"/>
          <w:sz w:val="20"/>
          <w:szCs w:val="20"/>
          <w:lang w:val="es-AR" w:eastAsia="zh-CN" w:bidi="he-IL"/>
        </w:rPr>
        <w:t xml:space="preserve"> </w:t>
      </w:r>
      <w:r w:rsidR="0028340E">
        <w:rPr>
          <w:rFonts w:ascii="Garamond" w:eastAsia="Times New Roman" w:hAnsi="Garamond" w:cs="Times New Roman"/>
          <w:sz w:val="20"/>
          <w:szCs w:val="20"/>
          <w:lang w:val="es-AR" w:eastAsia="zh-CN" w:bidi="he-IL"/>
        </w:rPr>
        <w:t>importe de Obligaciones pendientes de pago</w:t>
      </w:r>
      <w:r w:rsidR="00206F74" w:rsidRPr="00CA0A60">
        <w:rPr>
          <w:rFonts w:ascii="Garamond" w:eastAsia="Times New Roman" w:hAnsi="Garamond" w:cs="Times New Roman"/>
          <w:sz w:val="20"/>
          <w:szCs w:val="20"/>
          <w:lang w:val="es-AR" w:eastAsia="zh-CN" w:bidi="he-IL"/>
        </w:rPr>
        <w:t>,</w:t>
      </w:r>
      <w:r w:rsidRPr="00CA0A60">
        <w:rPr>
          <w:rFonts w:ascii="Garamond" w:eastAsia="Times New Roman" w:hAnsi="Garamond" w:cs="Times New Roman"/>
          <w:sz w:val="20"/>
          <w:szCs w:val="20"/>
          <w:lang w:val="es-AR" w:eastAsia="zh-CN" w:bidi="he-IL"/>
        </w:rPr>
        <w:t xml:space="preserve"> el monto de Deuda bajo los Documentos de Financiación garantizada por dichos componentes de los Derechos de Garantía podrá incrementarse (en una o varias oportunidades) a partir de la Fecha de Emisión, por hasta el monto total de las Obligaciones </w:t>
      </w:r>
      <w:r w:rsidR="00206F74" w:rsidRPr="00CA0A60">
        <w:rPr>
          <w:rFonts w:ascii="Garamond" w:eastAsia="Times New Roman" w:hAnsi="Garamond" w:cs="Times New Roman"/>
          <w:sz w:val="20"/>
          <w:szCs w:val="20"/>
          <w:lang w:val="es-AR" w:eastAsia="zh-CN" w:bidi="he-IL"/>
        </w:rPr>
        <w:t xml:space="preserve">pendientes de pago en ese momento </w:t>
      </w:r>
      <w:r w:rsidRPr="00CA0A60">
        <w:rPr>
          <w:rFonts w:ascii="Garamond" w:eastAsia="Times New Roman" w:hAnsi="Garamond" w:cs="Times New Roman"/>
          <w:sz w:val="20"/>
          <w:szCs w:val="20"/>
          <w:lang w:val="es-AR" w:eastAsia="zh-CN" w:bidi="he-IL"/>
        </w:rPr>
        <w:t xml:space="preserve">en virtud de los Documentos de Financiación únicamente (x) si en </w:t>
      </w:r>
      <w:r w:rsidR="00206F74" w:rsidRPr="00CA0A60">
        <w:rPr>
          <w:rFonts w:ascii="Garamond" w:eastAsia="Times New Roman" w:hAnsi="Garamond" w:cs="Times New Roman"/>
          <w:sz w:val="20"/>
          <w:szCs w:val="20"/>
          <w:lang w:val="es-AR" w:eastAsia="zh-CN" w:bidi="he-IL"/>
        </w:rPr>
        <w:t xml:space="preserve">esa </w:t>
      </w:r>
      <w:r w:rsidRPr="00CA0A60">
        <w:rPr>
          <w:rFonts w:ascii="Garamond" w:eastAsia="Times New Roman" w:hAnsi="Garamond" w:cs="Times New Roman"/>
          <w:sz w:val="20"/>
          <w:szCs w:val="20"/>
          <w:lang w:val="es-AR" w:eastAsia="zh-CN" w:bidi="he-IL"/>
        </w:rPr>
        <w:t xml:space="preserve">fecha de determinación el </w:t>
      </w:r>
      <w:r w:rsidR="00206F74" w:rsidRPr="00CA0A60">
        <w:rPr>
          <w:rFonts w:ascii="Garamond" w:eastAsia="Times New Roman" w:hAnsi="Garamond" w:cs="Times New Roman"/>
          <w:sz w:val="20"/>
          <w:szCs w:val="20"/>
          <w:lang w:val="es-AR" w:eastAsia="zh-CN" w:bidi="he-IL"/>
        </w:rPr>
        <w:t>7,5</w:t>
      </w:r>
      <w:r w:rsidR="00FC107E">
        <w:rPr>
          <w:rFonts w:ascii="Garamond" w:eastAsia="Times New Roman" w:hAnsi="Garamond" w:cs="Times New Roman"/>
          <w:sz w:val="20"/>
          <w:szCs w:val="20"/>
          <w:lang w:val="es-AR" w:eastAsia="zh-CN" w:bidi="he-IL"/>
        </w:rPr>
        <w:t>%</w:t>
      </w:r>
      <w:r w:rsidR="00206F74" w:rsidRPr="00CA0A60">
        <w:rPr>
          <w:rFonts w:ascii="Garamond" w:eastAsia="Times New Roman" w:hAnsi="Garamond" w:cs="Times New Roman"/>
          <w:sz w:val="20"/>
          <w:szCs w:val="20"/>
          <w:lang w:val="es-AR" w:eastAsia="zh-CN" w:bidi="he-IL"/>
        </w:rPr>
        <w:t xml:space="preserve"> del </w:t>
      </w:r>
      <w:r w:rsidRPr="00CA0A60">
        <w:rPr>
          <w:rFonts w:ascii="Garamond" w:eastAsia="Times New Roman" w:hAnsi="Garamond" w:cs="Times New Roman"/>
          <w:sz w:val="20"/>
          <w:szCs w:val="20"/>
          <w:lang w:val="es-AR" w:eastAsia="zh-CN" w:bidi="he-IL"/>
        </w:rPr>
        <w:t xml:space="preserve">Activo Total Consolidado del Garante </w:t>
      </w:r>
      <w:r w:rsidR="0094434F" w:rsidRPr="00CA0A60">
        <w:rPr>
          <w:rFonts w:ascii="Garamond" w:eastAsia="Times New Roman" w:hAnsi="Garamond" w:cs="Times New Roman"/>
          <w:sz w:val="20"/>
          <w:szCs w:val="20"/>
          <w:lang w:val="es-AR" w:eastAsia="zh-CN" w:bidi="he-IL"/>
        </w:rPr>
        <w:t>hubiera aumentado en comparación con la</w:t>
      </w:r>
      <w:r w:rsidRPr="00CA0A60">
        <w:rPr>
          <w:rFonts w:ascii="Garamond" w:eastAsia="Times New Roman" w:hAnsi="Garamond" w:cs="Times New Roman"/>
          <w:sz w:val="20"/>
          <w:szCs w:val="20"/>
          <w:lang w:val="es-AR" w:eastAsia="zh-CN" w:bidi="he-IL"/>
        </w:rPr>
        <w:t xml:space="preserve"> fecha de determinación</w:t>
      </w:r>
      <w:r w:rsidR="0094434F" w:rsidRPr="00CA0A60">
        <w:rPr>
          <w:rFonts w:ascii="Garamond" w:eastAsia="Times New Roman" w:hAnsi="Garamond" w:cs="Times New Roman"/>
          <w:sz w:val="20"/>
          <w:szCs w:val="20"/>
          <w:lang w:val="es-AR" w:eastAsia="zh-CN" w:bidi="he-IL"/>
        </w:rPr>
        <w:t xml:space="preserve"> inmediatamente anterior</w:t>
      </w:r>
      <w:r w:rsidRPr="00CA0A60">
        <w:rPr>
          <w:rFonts w:ascii="Garamond" w:eastAsia="Times New Roman" w:hAnsi="Garamond" w:cs="Times New Roman"/>
          <w:sz w:val="20"/>
          <w:szCs w:val="20"/>
          <w:lang w:val="es-AR" w:eastAsia="zh-CN" w:bidi="he-IL"/>
        </w:rPr>
        <w:t xml:space="preserve">, e (y) luego del cumplimiento por el Garante y las Co-Emisoras de los compromisos </w:t>
      </w:r>
      <w:r w:rsidR="00FC107E">
        <w:rPr>
          <w:rFonts w:ascii="Garamond" w:eastAsia="Times New Roman" w:hAnsi="Garamond" w:cs="Times New Roman"/>
          <w:sz w:val="20"/>
          <w:szCs w:val="20"/>
          <w:lang w:val="es-AR" w:eastAsia="zh-CN" w:bidi="he-IL"/>
        </w:rPr>
        <w:t xml:space="preserve">del Contrato de Fideicomiso </w:t>
      </w:r>
      <w:r w:rsidRPr="00CA0A60">
        <w:rPr>
          <w:rFonts w:ascii="Garamond" w:eastAsia="Times New Roman" w:hAnsi="Garamond" w:cs="Times New Roman"/>
          <w:sz w:val="20"/>
          <w:szCs w:val="20"/>
          <w:lang w:val="es-AR" w:eastAsia="zh-CN" w:bidi="he-IL"/>
        </w:rPr>
        <w:t>descriptos en “</w:t>
      </w:r>
      <w:r w:rsidRPr="00CA0A60">
        <w:rPr>
          <w:rFonts w:ascii="Garamond" w:eastAsia="Times New Roman" w:hAnsi="Garamond" w:cs="Times New Roman"/>
          <w:i/>
          <w:sz w:val="20"/>
          <w:szCs w:val="20"/>
          <w:lang w:val="es-AR" w:eastAsia="zh-CN" w:bidi="he-IL"/>
        </w:rPr>
        <w:t>Ciertos Compromisos—Monto de Garantía Máximo”</w:t>
      </w:r>
      <w:r w:rsidRPr="00CA0A60">
        <w:rPr>
          <w:rFonts w:ascii="Garamond" w:eastAsia="Times New Roman" w:hAnsi="Garamond" w:cs="Times New Roman"/>
          <w:sz w:val="20"/>
          <w:szCs w:val="20"/>
          <w:lang w:val="es-AR" w:eastAsia="zh-CN" w:bidi="he-IL"/>
        </w:rPr>
        <w:t xml:space="preserve"> y </w:t>
      </w:r>
      <w:r w:rsidRPr="00CA0A60">
        <w:rPr>
          <w:rFonts w:ascii="Garamond" w:eastAsia="Times New Roman" w:hAnsi="Garamond" w:cs="Times New Roman"/>
          <w:i/>
          <w:sz w:val="20"/>
          <w:szCs w:val="20"/>
          <w:lang w:val="es-AR" w:eastAsia="zh-CN" w:bidi="he-IL"/>
        </w:rPr>
        <w:t xml:space="preserve">“Ciertos Compromisos—Preservación de Derechos bajo los Documentos de Garantía”. </w:t>
      </w:r>
      <w:r w:rsidRPr="00CA0A60">
        <w:rPr>
          <w:rFonts w:ascii="Garamond" w:eastAsia="Times New Roman" w:hAnsi="Garamond" w:cs="Times New Roman"/>
          <w:sz w:val="20"/>
          <w:szCs w:val="20"/>
          <w:lang w:val="es-AR" w:eastAsia="zh-CN" w:bidi="he-IL"/>
        </w:rPr>
        <w:t>Ni las Co-Emisoras, ni el Garante ni el Fiduciario estarán obligados a hacer una anotación en los certificados que representan las Obligaciones Negociables para reflejar cualquier ajuste en el Monto de Garantía Máximo.</w:t>
      </w:r>
    </w:p>
    <w:p w14:paraId="7F7C0311" w14:textId="731CBD94" w:rsidR="004032D6" w:rsidRPr="00CA0A60" w:rsidRDefault="004032D6" w:rsidP="0034558A">
      <w:pPr>
        <w:widowControl w:val="0"/>
        <w:tabs>
          <w:tab w:val="left" w:pos="284"/>
          <w:tab w:val="left" w:pos="709"/>
        </w:tabs>
        <w:spacing w:before="120" w:after="120" w:line="240" w:lineRule="auto"/>
        <w:jc w:val="both"/>
        <w:outlineLvl w:val="7"/>
        <w:rPr>
          <w:rFonts w:ascii="Garamond" w:eastAsia="Times New Roman" w:hAnsi="Garamond" w:cs="Times New Roman"/>
          <w:sz w:val="20"/>
          <w:szCs w:val="20"/>
          <w:lang w:val="es-AR" w:eastAsia="zh-CN" w:bidi="he-IL"/>
        </w:rPr>
      </w:pPr>
      <w:r>
        <w:rPr>
          <w:rFonts w:ascii="Garamond" w:eastAsia="Times New Roman" w:hAnsi="Garamond" w:cs="Times New Roman"/>
          <w:sz w:val="20"/>
          <w:szCs w:val="20"/>
          <w:lang w:val="es-AR" w:eastAsia="zh-CN" w:bidi="he-IL"/>
        </w:rPr>
        <w:t>Sin perjuicio</w:t>
      </w:r>
      <w:r w:rsidR="00253C0A">
        <w:rPr>
          <w:rFonts w:ascii="Garamond" w:eastAsia="Times New Roman" w:hAnsi="Garamond" w:cs="Times New Roman"/>
          <w:sz w:val="20"/>
          <w:szCs w:val="20"/>
          <w:lang w:val="es-AR" w:eastAsia="zh-CN" w:bidi="he-IL"/>
        </w:rPr>
        <w:t xml:space="preserve"> de cualquier disposición en contrario aquí establecida, bajo ninguna circunstancia el Fiduciario, el Agente de Garantía Internacional o el Banco Depositario serán responsables u obligados a calcular o determinar el Monto de Garantía Máximo o tomar algún curso de acción en relación al Monto de Garantía Máximo.</w:t>
      </w:r>
    </w:p>
    <w:p w14:paraId="407809B6" w14:textId="77777777" w:rsidR="0085610A" w:rsidRPr="00CA0A60" w:rsidRDefault="0085610A" w:rsidP="0085610A">
      <w:pPr>
        <w:keepNext/>
        <w:tabs>
          <w:tab w:val="left" w:pos="284"/>
          <w:tab w:val="left" w:pos="709"/>
        </w:tabs>
        <w:spacing w:before="120" w:after="120"/>
        <w:jc w:val="both"/>
        <w:rPr>
          <w:rFonts w:ascii="Garamond" w:eastAsia="Times New Roman" w:hAnsi="Garamond" w:cs="Times New Roman"/>
          <w:b/>
          <w:sz w:val="20"/>
          <w:szCs w:val="20"/>
          <w:lang w:val="es-AR" w:eastAsia="zh-CN" w:bidi="he-IL"/>
        </w:rPr>
      </w:pPr>
      <w:r w:rsidRPr="00CA0A60">
        <w:rPr>
          <w:rFonts w:ascii="Garamond" w:eastAsia="Times New Roman" w:hAnsi="Garamond" w:cs="Times New Roman"/>
          <w:b/>
          <w:iCs/>
          <w:sz w:val="20"/>
          <w:szCs w:val="20"/>
          <w:lang w:val="es-AR" w:eastAsia="zh-CN"/>
        </w:rPr>
        <w:t>Ejercicio de Recursos y Destino de los Fondos</w:t>
      </w:r>
    </w:p>
    <w:p w14:paraId="58196584" w14:textId="1714B4BA" w:rsidR="0085610A" w:rsidRPr="00CA0A60" w:rsidRDefault="0085610A" w:rsidP="0085610A">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De conformidad con los Documentos de Garantía, en caso que se hubieran producido y subsistan ciertos supuestos de ejecución según se describe con mayor detalle en los Documentos de Garantía (una “</w:t>
      </w:r>
      <w:r w:rsidRPr="00CA0A60">
        <w:rPr>
          <w:rFonts w:ascii="Garamond" w:eastAsia="Times New Roman" w:hAnsi="Garamond" w:cs="Times New Roman"/>
          <w:sz w:val="20"/>
          <w:szCs w:val="20"/>
          <w:u w:val="single"/>
          <w:lang w:val="es-AR" w:eastAsia="zh-CN" w:bidi="he-IL"/>
        </w:rPr>
        <w:t>Acción Ejecutoria</w:t>
      </w:r>
      <w:r w:rsidRPr="00CA0A60">
        <w:rPr>
          <w:rFonts w:ascii="Garamond" w:eastAsia="Times New Roman" w:hAnsi="Garamond" w:cs="Times New Roman"/>
          <w:sz w:val="20"/>
          <w:szCs w:val="20"/>
          <w:lang w:val="es-AR" w:eastAsia="zh-CN" w:bidi="he-IL"/>
        </w:rPr>
        <w:t xml:space="preserve">”), (i) el Agente de Garantía Internacional, según las directivas del Fiduciario (actuando a indicación de los Tenedores requeridos bajo el Contrato de Fideicomiso) ejercerá recursos y llevará a cabo actos tendientes a la liberación o enajenación de los </w:t>
      </w:r>
      <w:r w:rsidR="005A69B9">
        <w:rPr>
          <w:rFonts w:ascii="Garamond" w:eastAsia="Times New Roman" w:hAnsi="Garamond" w:cs="Times New Roman"/>
          <w:sz w:val="20"/>
          <w:szCs w:val="20"/>
          <w:lang w:val="es-AR" w:eastAsia="zh-CN" w:bidi="he-IL"/>
        </w:rPr>
        <w:t>la Cuenta de Reserva para Servicio de Deuda</w:t>
      </w:r>
      <w:r w:rsidRPr="00CA0A60">
        <w:rPr>
          <w:rFonts w:ascii="Garamond" w:eastAsia="Times New Roman" w:hAnsi="Garamond" w:cs="Times New Roman"/>
          <w:sz w:val="20"/>
          <w:szCs w:val="20"/>
          <w:lang w:val="es-AR" w:eastAsia="zh-CN" w:bidi="he-IL"/>
        </w:rPr>
        <w:t xml:space="preserve"> de conformidad con </w:t>
      </w:r>
      <w:r w:rsidR="005A69B9">
        <w:rPr>
          <w:rFonts w:ascii="Garamond" w:eastAsia="Times New Roman" w:hAnsi="Garamond" w:cs="Times New Roman"/>
          <w:sz w:val="20"/>
          <w:szCs w:val="20"/>
          <w:lang w:val="es-AR" w:eastAsia="zh-CN" w:bidi="he-IL"/>
        </w:rPr>
        <w:t>el Contrato de Fideicomiso</w:t>
      </w:r>
      <w:r w:rsidRPr="00CA0A60">
        <w:rPr>
          <w:rFonts w:ascii="Garamond" w:eastAsia="Times New Roman" w:hAnsi="Garamond" w:cs="Times New Roman"/>
          <w:sz w:val="20"/>
          <w:szCs w:val="20"/>
          <w:lang w:val="es-AR" w:eastAsia="zh-CN" w:bidi="he-IL"/>
        </w:rPr>
        <w:t>; y (ii) el Agente de Garantía Local y el Fiduciario Argentino, según corresponda (en cada caso, actuando a indicación del Fiduciario, a indicación de los Tenedores requeridos bajo el Contrato de Fideicomiso) ejercerán recursos</w:t>
      </w:r>
      <w:r w:rsidR="005A69B9">
        <w:rPr>
          <w:rFonts w:ascii="Garamond" w:eastAsia="Times New Roman" w:hAnsi="Garamond" w:cs="Times New Roman"/>
          <w:sz w:val="20"/>
          <w:szCs w:val="20"/>
          <w:lang w:val="es-AR" w:eastAsia="zh-CN" w:bidi="he-IL"/>
        </w:rPr>
        <w:t>; y</w:t>
      </w:r>
    </w:p>
    <w:p w14:paraId="7DFCA8C5" w14:textId="4F4DE536" w:rsidR="00845D78" w:rsidRPr="00CA0A60" w:rsidRDefault="005A69B9" w:rsidP="00845D78">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Pr>
          <w:rFonts w:ascii="Garamond" w:eastAsia="Times New Roman" w:hAnsi="Garamond" w:cs="Times New Roman"/>
          <w:sz w:val="20"/>
          <w:szCs w:val="20"/>
          <w:lang w:val="es-AR" w:eastAsia="zh-CN" w:bidi="he-IL"/>
        </w:rPr>
        <w:t>tomar acción en relación a la liberación o disposición de los Derechos de Garantía de acuerdo a los Documentos de Garantía. Además, desde el acaecimiento de un Supuesto de Incumplimiento, el Fiduciario, el</w:t>
      </w:r>
      <w:r w:rsidR="0085610A" w:rsidRPr="00CA0A60">
        <w:rPr>
          <w:rFonts w:ascii="Garamond" w:eastAsia="Times New Roman" w:hAnsi="Garamond" w:cs="Times New Roman"/>
          <w:sz w:val="20"/>
          <w:szCs w:val="20"/>
          <w:lang w:val="es-AR" w:eastAsia="zh-CN" w:bidi="he-IL"/>
        </w:rPr>
        <w:t xml:space="preserve"> Agente de Garantía Internacional</w:t>
      </w:r>
      <w:r>
        <w:rPr>
          <w:rFonts w:ascii="Garamond" w:eastAsia="Times New Roman" w:hAnsi="Garamond" w:cs="Times New Roman"/>
          <w:sz w:val="20"/>
          <w:szCs w:val="20"/>
          <w:lang w:val="es-AR" w:eastAsia="zh-CN" w:bidi="he-IL"/>
        </w:rPr>
        <w:t xml:space="preserve">, el Agente de Garantía Local o el </w:t>
      </w:r>
      <w:r w:rsidR="0019392F">
        <w:rPr>
          <w:rFonts w:ascii="Garamond" w:eastAsia="Times New Roman" w:hAnsi="Garamond" w:cs="Times New Roman"/>
          <w:sz w:val="20"/>
          <w:szCs w:val="20"/>
          <w:lang w:val="es-AR" w:eastAsia="zh-CN" w:bidi="he-IL"/>
        </w:rPr>
        <w:t>F</w:t>
      </w:r>
      <w:r>
        <w:rPr>
          <w:rFonts w:ascii="Garamond" w:eastAsia="Times New Roman" w:hAnsi="Garamond" w:cs="Times New Roman"/>
          <w:sz w:val="20"/>
          <w:szCs w:val="20"/>
          <w:lang w:val="es-AR" w:eastAsia="zh-CN" w:bidi="he-IL"/>
        </w:rPr>
        <w:t xml:space="preserve">iduciario </w:t>
      </w:r>
      <w:r w:rsidR="0019392F">
        <w:rPr>
          <w:rFonts w:ascii="Garamond" w:eastAsia="Times New Roman" w:hAnsi="Garamond" w:cs="Times New Roman"/>
          <w:sz w:val="20"/>
          <w:szCs w:val="20"/>
          <w:lang w:val="es-AR" w:eastAsia="zh-CN" w:bidi="he-IL"/>
        </w:rPr>
        <w:t>A</w:t>
      </w:r>
      <w:r>
        <w:rPr>
          <w:rFonts w:ascii="Garamond" w:eastAsia="Times New Roman" w:hAnsi="Garamond" w:cs="Times New Roman"/>
          <w:sz w:val="20"/>
          <w:szCs w:val="20"/>
          <w:lang w:val="es-AR" w:eastAsia="zh-CN" w:bidi="he-IL"/>
        </w:rPr>
        <w:t>rgentino</w:t>
      </w:r>
      <w:r w:rsidR="0019392F">
        <w:rPr>
          <w:rFonts w:ascii="Garamond" w:eastAsia="Times New Roman" w:hAnsi="Garamond" w:cs="Times New Roman"/>
          <w:sz w:val="20"/>
          <w:szCs w:val="20"/>
          <w:lang w:val="es-AR" w:eastAsia="zh-CN" w:bidi="he-IL"/>
        </w:rPr>
        <w:t>, según corresponda, deberán (actuando por indicación de los Tenedores, de conformidad al Contrato de Fideicomiso), sujetos a sus derechos bajo el Contrato de Fideicomiso y los Documentos de Garantía aplicables, inmediatamente ejercer una o todas las facultades y herramientas disponibles el Fiduciario, el Agente de Garantía Internacional, el Agente de Garantía Local o el Fiduciario Argentino, según corresponda, de conformidad con el Contrato de Fideicomiso, los Documentos de Garantía aplicables, o cualquier otra de acuerdo a la normativa aplicable.</w:t>
      </w:r>
      <w:r w:rsidR="0085610A" w:rsidRPr="00CA0A60">
        <w:rPr>
          <w:rFonts w:ascii="Garamond" w:eastAsia="Times New Roman" w:hAnsi="Garamond" w:cs="Times New Roman"/>
          <w:sz w:val="20"/>
          <w:szCs w:val="20"/>
          <w:lang w:val="es-AR" w:eastAsia="zh-CN" w:bidi="he-IL"/>
        </w:rPr>
        <w:t xml:space="preserve"> </w:t>
      </w:r>
      <w:r w:rsidR="0019392F">
        <w:rPr>
          <w:rFonts w:ascii="Garamond" w:eastAsia="Times New Roman" w:hAnsi="Garamond" w:cs="Times New Roman"/>
          <w:sz w:val="20"/>
          <w:szCs w:val="20"/>
          <w:lang w:val="es-AR" w:eastAsia="zh-CN" w:bidi="he-IL"/>
        </w:rPr>
        <w:t xml:space="preserve">Ninguna Parte Garantizada tiene derecho a (i) tomar acciones con respecto a la Cuenta </w:t>
      </w:r>
      <w:r w:rsidR="0019392F" w:rsidRPr="00DC3CF3">
        <w:rPr>
          <w:rFonts w:ascii="Garamond" w:eastAsia="Times New Roman" w:hAnsi="Garamond" w:cs="Times New Roman"/>
          <w:sz w:val="20"/>
          <w:szCs w:val="20"/>
          <w:lang w:val="es-AR" w:eastAsia="zh-CN" w:bidi="he-IL"/>
        </w:rPr>
        <w:t>de Reserva para</w:t>
      </w:r>
      <w:r w:rsidR="0019392F">
        <w:rPr>
          <w:rFonts w:ascii="Garamond" w:eastAsia="Times New Roman" w:hAnsi="Garamond" w:cs="Times New Roman"/>
          <w:sz w:val="20"/>
          <w:szCs w:val="20"/>
          <w:lang w:val="es-AR" w:eastAsia="zh-CN" w:bidi="he-IL"/>
        </w:rPr>
        <w:t xml:space="preserve"> Servicio de Deuda independientemente del Agente de Garantía Internacional o de dirigir al Agente de Garantía Internacional para que tome acciones con respecto a la Cuenta de Reserva para Servicio de Deuda, salvo con respecto a lo establecido en el Contrato de Fideicomi</w:t>
      </w:r>
      <w:r w:rsidR="0019392F" w:rsidRPr="00DC3CF3">
        <w:rPr>
          <w:rFonts w:ascii="Garamond" w:eastAsia="Times New Roman" w:hAnsi="Garamond" w:cs="Times New Roman"/>
          <w:sz w:val="20"/>
          <w:szCs w:val="20"/>
          <w:lang w:val="es-AR" w:eastAsia="zh-CN" w:bidi="he-IL"/>
        </w:rPr>
        <w:t>s</w:t>
      </w:r>
      <w:r w:rsidR="00DC3CF3">
        <w:rPr>
          <w:rFonts w:ascii="Garamond" w:eastAsia="Times New Roman" w:hAnsi="Garamond" w:cs="Times New Roman"/>
          <w:sz w:val="20"/>
          <w:szCs w:val="20"/>
          <w:lang w:val="es-AR" w:eastAsia="zh-CN" w:bidi="he-IL"/>
        </w:rPr>
        <w:t>o,</w:t>
      </w:r>
      <w:r w:rsidR="0019392F">
        <w:rPr>
          <w:rFonts w:ascii="Garamond" w:eastAsia="Times New Roman" w:hAnsi="Garamond" w:cs="Times New Roman"/>
          <w:sz w:val="20"/>
          <w:szCs w:val="20"/>
          <w:lang w:val="es-AR" w:eastAsia="zh-CN" w:bidi="he-IL"/>
        </w:rPr>
        <w:t xml:space="preserve"> </w:t>
      </w:r>
      <w:r w:rsidR="0085610A" w:rsidRPr="00CA0A60">
        <w:rPr>
          <w:rFonts w:ascii="Garamond" w:eastAsia="Times New Roman" w:hAnsi="Garamond" w:cs="Times New Roman"/>
          <w:sz w:val="20"/>
          <w:szCs w:val="20"/>
          <w:lang w:val="es-AR" w:eastAsia="zh-CN" w:bidi="he-IL"/>
        </w:rPr>
        <w:t xml:space="preserve">o </w:t>
      </w:r>
      <w:r w:rsidR="00DC3CF3">
        <w:rPr>
          <w:rFonts w:ascii="Garamond" w:eastAsia="Times New Roman" w:hAnsi="Garamond" w:cs="Times New Roman"/>
          <w:sz w:val="20"/>
          <w:szCs w:val="20"/>
          <w:lang w:val="es-AR" w:eastAsia="zh-CN" w:bidi="he-IL"/>
        </w:rPr>
        <w:t xml:space="preserve">(ii) tomar alguna acción </w:t>
      </w:r>
      <w:r w:rsidR="0070379A">
        <w:rPr>
          <w:rFonts w:ascii="Garamond" w:eastAsia="Times New Roman" w:hAnsi="Garamond" w:cs="Times New Roman"/>
          <w:sz w:val="20"/>
          <w:szCs w:val="20"/>
          <w:lang w:val="es-AR" w:eastAsia="zh-CN" w:bidi="he-IL"/>
        </w:rPr>
        <w:t>en relación a los Derechos de Garantía de acuerdo a los Documentos de Garan</w:t>
      </w:r>
      <w:r w:rsidR="0070379A" w:rsidRPr="0070379A">
        <w:rPr>
          <w:rFonts w:ascii="Garamond" w:eastAsia="Times New Roman" w:hAnsi="Garamond" w:cs="Times New Roman"/>
          <w:sz w:val="20"/>
          <w:szCs w:val="20"/>
          <w:lang w:val="es-AR" w:eastAsia="zh-CN" w:bidi="he-IL"/>
        </w:rPr>
        <w:t>tía</w:t>
      </w:r>
      <w:r w:rsidR="0070379A">
        <w:rPr>
          <w:rFonts w:ascii="Garamond" w:eastAsia="Times New Roman" w:hAnsi="Garamond" w:cs="Times New Roman"/>
          <w:sz w:val="20"/>
          <w:szCs w:val="20"/>
          <w:lang w:val="es-AR" w:eastAsia="zh-CN" w:bidi="he-IL"/>
        </w:rPr>
        <w:t xml:space="preserve"> aplicable independientemente del Agente de Garantía Local o el Fiduciario Argentino, según corresponda, o dirigir al Agente de Garantía Local o al Fiduciario Argentino, según corresponda, para que tome acciones en relación a los Derechos de Garantía de acuerdo a los Documentos de Garantía aplicables,</w:t>
      </w:r>
      <w:r w:rsidR="00845D78">
        <w:rPr>
          <w:rFonts w:ascii="Garamond" w:eastAsia="Times New Roman" w:hAnsi="Garamond" w:cs="Times New Roman"/>
          <w:sz w:val="20"/>
          <w:szCs w:val="20"/>
          <w:lang w:val="es-AR" w:eastAsia="zh-CN" w:bidi="he-IL"/>
        </w:rPr>
        <w:t>salvo e</w:t>
      </w:r>
      <w:r w:rsidR="00845D78" w:rsidRPr="005419AD">
        <w:rPr>
          <w:rFonts w:ascii="Garamond" w:eastAsia="Times New Roman" w:hAnsi="Garamond" w:cs="Times New Roman"/>
          <w:sz w:val="20"/>
          <w:szCs w:val="20"/>
          <w:highlight w:val="green"/>
          <w:lang w:val="es-AR" w:eastAsia="zh-CN" w:bidi="he-IL"/>
        </w:rPr>
        <w:t xml:space="preserve">n </w:t>
      </w:r>
      <w:r w:rsidR="00845D78">
        <w:rPr>
          <w:rFonts w:ascii="Garamond" w:eastAsia="Times New Roman" w:hAnsi="Garamond" w:cs="Times New Roman"/>
          <w:sz w:val="20"/>
          <w:szCs w:val="20"/>
          <w:lang w:val="es-AR" w:eastAsia="zh-CN" w:bidi="he-IL"/>
        </w:rPr>
        <w:t>lo dispuesto por los Documentos de Garantía aplicables. Cualquier fondo recuperado de conformidad c</w:t>
      </w:r>
      <w:r w:rsidR="00845D78" w:rsidRPr="00F9079F">
        <w:rPr>
          <w:rFonts w:ascii="Garamond" w:eastAsia="Times New Roman" w:hAnsi="Garamond" w:cs="Times New Roman"/>
          <w:sz w:val="20"/>
          <w:szCs w:val="20"/>
          <w:lang w:val="es-AR" w:eastAsia="zh-CN" w:bidi="he-IL"/>
        </w:rPr>
        <w:t>on</w:t>
      </w:r>
      <w:r w:rsidR="00845D78">
        <w:rPr>
          <w:rFonts w:ascii="Garamond" w:eastAsia="Times New Roman" w:hAnsi="Garamond" w:cs="Times New Roman"/>
          <w:sz w:val="20"/>
          <w:szCs w:val="20"/>
          <w:lang w:val="es-AR" w:eastAsia="zh-CN" w:bidi="he-IL"/>
        </w:rPr>
        <w:t xml:space="preserve"> una Acción Ejecutoria deberá ser aplicado por el Fiduciario en el orden o prioridad a continuación</w:t>
      </w:r>
      <w:r w:rsidR="00845D78" w:rsidRPr="00CA0A60">
        <w:rPr>
          <w:rFonts w:ascii="Garamond" w:eastAsia="Times New Roman" w:hAnsi="Garamond" w:cs="Times New Roman"/>
          <w:sz w:val="20"/>
          <w:szCs w:val="20"/>
          <w:lang w:val="es-AR" w:eastAsia="zh-CN" w:bidi="he-IL"/>
        </w:rPr>
        <w:t xml:space="preserve"> (</w:t>
      </w:r>
      <w:r w:rsidR="00845D78" w:rsidRPr="00CA0A60">
        <w:rPr>
          <w:rFonts w:ascii="Garamond" w:eastAsia="Times New Roman" w:hAnsi="Garamond" w:cs="Times New Roman"/>
          <w:sz w:val="20"/>
          <w:szCs w:val="20"/>
          <w:u w:val="single"/>
          <w:lang w:val="es-AR" w:eastAsia="zh-CN" w:bidi="he-IL"/>
        </w:rPr>
        <w:t>quedando establecido que</w:t>
      </w:r>
      <w:r w:rsidR="00845D78" w:rsidRPr="00CA0A60">
        <w:rPr>
          <w:rFonts w:ascii="Garamond" w:eastAsia="Times New Roman" w:hAnsi="Garamond" w:cs="Times New Roman"/>
          <w:sz w:val="20"/>
          <w:szCs w:val="20"/>
          <w:lang w:val="es-AR" w:eastAsia="zh-CN" w:bidi="he-IL"/>
        </w:rPr>
        <w:t xml:space="preserve"> la suma de dinero recibida respecto de cualquier Derecho de Garantía específico no será superior en ningún momento al Monto de Garantía Máximo):</w:t>
      </w:r>
    </w:p>
    <w:p w14:paraId="60E3970F" w14:textId="77777777" w:rsidR="00845D78" w:rsidRPr="00CA0A60" w:rsidRDefault="00845D78" w:rsidP="00845D78">
      <w:pPr>
        <w:widowControl w:val="0"/>
        <w:numPr>
          <w:ilvl w:val="0"/>
          <w:numId w:val="133"/>
        </w:numPr>
        <w:tabs>
          <w:tab w:val="left" w:pos="284"/>
          <w:tab w:val="left" w:pos="709"/>
        </w:tabs>
        <w:spacing w:before="120" w:after="120" w:line="240" w:lineRule="auto"/>
        <w:contextualSpacing/>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i/>
          <w:sz w:val="20"/>
          <w:szCs w:val="20"/>
          <w:lang w:val="es-AR" w:eastAsia="zh-CN" w:bidi="he-IL"/>
        </w:rPr>
        <w:t>primero</w:t>
      </w:r>
      <w:r w:rsidRPr="00CA0A60">
        <w:rPr>
          <w:rFonts w:ascii="Garamond" w:eastAsia="Times New Roman" w:hAnsi="Garamond" w:cs="Times New Roman"/>
          <w:sz w:val="20"/>
          <w:szCs w:val="20"/>
          <w:lang w:val="es-AR" w:eastAsia="zh-CN" w:bidi="he-IL"/>
        </w:rPr>
        <w:t xml:space="preserve">, para pagar o provisionar los honorarios, costos, gastos, indemnizaciones y pasivos (y todos los intereses sobre ello, según se dispone en el Contrato de Fideicomiso) del Fiduciario, el Agente de Garantía Internacional, el Banco Depositario, el Agente de Garantía Local, el Fiduciario Argentino y cualquier otro agente o apoderado designado para ello en virtud de los Documentos de Financiación (incluyendo agentes de registro, co-agentes de registro, </w:t>
      </w:r>
      <w:r w:rsidRPr="00CA0A60">
        <w:rPr>
          <w:rFonts w:ascii="Garamond" w:eastAsia="Times New Roman" w:hAnsi="Garamond" w:cs="Times New Roman"/>
          <w:sz w:val="20"/>
          <w:szCs w:val="20"/>
          <w:lang w:val="es-AR" w:eastAsia="zh-CN" w:bidi="he-IL"/>
        </w:rPr>
        <w:lastRenderedPageBreak/>
        <w:t>agentes de pago, agentes de transferencia y representantes del Fiduciario en Argentina, entre otros);</w:t>
      </w:r>
    </w:p>
    <w:p w14:paraId="16270048" w14:textId="77777777" w:rsidR="00845D78" w:rsidRPr="00CA0A60" w:rsidRDefault="00845D78" w:rsidP="00845D78">
      <w:pPr>
        <w:widowControl w:val="0"/>
        <w:numPr>
          <w:ilvl w:val="0"/>
          <w:numId w:val="133"/>
        </w:numPr>
        <w:tabs>
          <w:tab w:val="left" w:pos="284"/>
          <w:tab w:val="left" w:pos="709"/>
        </w:tabs>
        <w:spacing w:before="120" w:after="120" w:line="240" w:lineRule="auto"/>
        <w:contextualSpacing/>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i/>
          <w:sz w:val="20"/>
          <w:szCs w:val="20"/>
          <w:lang w:val="es-AR" w:eastAsia="zh-CN" w:bidi="he-IL"/>
        </w:rPr>
        <w:t xml:space="preserve">segundo, </w:t>
      </w:r>
      <w:r w:rsidRPr="00CA0A60">
        <w:rPr>
          <w:rFonts w:ascii="Garamond" w:eastAsia="Times New Roman" w:hAnsi="Garamond" w:cs="Times New Roman"/>
          <w:sz w:val="20"/>
          <w:szCs w:val="20"/>
          <w:lang w:val="es-AR" w:eastAsia="zh-CN" w:bidi="he-IL"/>
        </w:rPr>
        <w:t>para el pago de todo otro costo y gasto incurrido por cualquiera de las Partes Garantizadas (o cualquier agente de éstas) en relación con la venta o ejecución de los Derechos de Garantía de conformidad con los términos de los Documentos de Financiación pertinentes, o cualquier acción llevada a cabo por cualquiera de las Partes Garantizadas (o cualquier agente de ésta), y cualesquiera honorarios y demás costos y gastos pendientes de pago de cada agente o cualquiera de las otras Partes Garantizadas, en virtud de los Documentos de Financiación;</w:t>
      </w:r>
    </w:p>
    <w:p w14:paraId="714277DC" w14:textId="77777777" w:rsidR="00845D78" w:rsidRPr="00CA0A60" w:rsidRDefault="00845D78" w:rsidP="00845D78">
      <w:pPr>
        <w:widowControl w:val="0"/>
        <w:numPr>
          <w:ilvl w:val="0"/>
          <w:numId w:val="133"/>
        </w:numPr>
        <w:tabs>
          <w:tab w:val="left" w:pos="284"/>
          <w:tab w:val="left" w:pos="709"/>
        </w:tabs>
        <w:spacing w:before="120" w:after="120" w:line="240" w:lineRule="auto"/>
        <w:contextualSpacing/>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i/>
          <w:sz w:val="20"/>
          <w:szCs w:val="20"/>
          <w:lang w:val="es-AR" w:eastAsia="zh-CN" w:bidi="he-IL"/>
        </w:rPr>
        <w:t>tercero</w:t>
      </w:r>
      <w:r w:rsidRPr="00CA0A60">
        <w:rPr>
          <w:rFonts w:ascii="Garamond" w:eastAsia="Times New Roman" w:hAnsi="Garamond" w:cs="Times New Roman"/>
          <w:sz w:val="20"/>
          <w:szCs w:val="20"/>
          <w:lang w:val="es-AR" w:eastAsia="zh-CN" w:bidi="he-IL"/>
        </w:rPr>
        <w:t xml:space="preserve">, para el pago a </w:t>
      </w:r>
      <w:r>
        <w:rPr>
          <w:rFonts w:ascii="Garamond" w:eastAsia="Times New Roman" w:hAnsi="Garamond" w:cs="Times New Roman"/>
          <w:sz w:val="20"/>
          <w:szCs w:val="20"/>
          <w:lang w:val="es-AR" w:eastAsia="zh-CN" w:bidi="he-IL"/>
        </w:rPr>
        <w:t>los Tenedores</w:t>
      </w:r>
      <w:r w:rsidRPr="00CA0A60">
        <w:rPr>
          <w:rFonts w:ascii="Garamond" w:eastAsia="Times New Roman" w:hAnsi="Garamond" w:cs="Times New Roman"/>
          <w:sz w:val="20"/>
          <w:szCs w:val="20"/>
          <w:lang w:val="es-AR" w:eastAsia="zh-CN" w:bidi="he-IL"/>
        </w:rPr>
        <w:t xml:space="preserve"> de un monto equivalente a todos los intereses, honorarios y Montos Adicionales exigibles y pagaderos a las </w:t>
      </w:r>
      <w:r>
        <w:rPr>
          <w:rFonts w:ascii="Garamond" w:eastAsia="Times New Roman" w:hAnsi="Garamond" w:cs="Times New Roman"/>
          <w:sz w:val="20"/>
          <w:szCs w:val="20"/>
          <w:lang w:val="es-AR" w:eastAsia="zh-CN" w:bidi="he-IL"/>
        </w:rPr>
        <w:t>Tenedores</w:t>
      </w:r>
      <w:r w:rsidRPr="00CA0A60">
        <w:rPr>
          <w:rFonts w:ascii="Garamond" w:eastAsia="Times New Roman" w:hAnsi="Garamond" w:cs="Times New Roman"/>
          <w:sz w:val="20"/>
          <w:szCs w:val="20"/>
          <w:lang w:val="es-AR" w:eastAsia="zh-CN" w:bidi="he-IL"/>
        </w:rPr>
        <w:t xml:space="preserve"> en virtud de los Documentos de Financiación, en condiciones de igualdad y proporcionalmente entre ellos</w:t>
      </w:r>
      <w:r>
        <w:rPr>
          <w:rFonts w:ascii="Garamond" w:eastAsia="Times New Roman" w:hAnsi="Garamond" w:cs="Times New Roman"/>
          <w:sz w:val="20"/>
          <w:szCs w:val="20"/>
          <w:lang w:val="es-AR" w:eastAsia="zh-CN" w:bidi="he-IL"/>
        </w:rPr>
        <w:t>, de otro modo no pagable de acuerdo a la cláusula anterior</w:t>
      </w:r>
      <w:r w:rsidRPr="00CA0A60">
        <w:rPr>
          <w:rFonts w:ascii="Garamond" w:eastAsia="Times New Roman" w:hAnsi="Garamond" w:cs="Times New Roman"/>
          <w:sz w:val="20"/>
          <w:szCs w:val="20"/>
          <w:lang w:val="es-AR" w:eastAsia="zh-CN" w:bidi="he-IL"/>
        </w:rPr>
        <w:t>;</w:t>
      </w:r>
    </w:p>
    <w:p w14:paraId="1DFD2B7C" w14:textId="77777777" w:rsidR="00845D78" w:rsidRPr="00CA0A60" w:rsidRDefault="00845D78" w:rsidP="00845D78">
      <w:pPr>
        <w:widowControl w:val="0"/>
        <w:numPr>
          <w:ilvl w:val="0"/>
          <w:numId w:val="133"/>
        </w:numPr>
        <w:tabs>
          <w:tab w:val="left" w:pos="284"/>
          <w:tab w:val="left" w:pos="709"/>
        </w:tabs>
        <w:spacing w:before="120" w:after="120" w:line="240" w:lineRule="auto"/>
        <w:contextualSpacing/>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i/>
          <w:sz w:val="20"/>
          <w:szCs w:val="20"/>
          <w:lang w:val="es-AR" w:eastAsia="zh-CN" w:bidi="he-IL"/>
        </w:rPr>
        <w:t>cuarto</w:t>
      </w:r>
      <w:r w:rsidRPr="00CA0A60">
        <w:rPr>
          <w:rFonts w:ascii="Garamond" w:eastAsia="Times New Roman" w:hAnsi="Garamond" w:cs="Times New Roman"/>
          <w:sz w:val="20"/>
          <w:szCs w:val="20"/>
          <w:lang w:val="es-AR" w:eastAsia="zh-CN" w:bidi="he-IL"/>
        </w:rPr>
        <w:t xml:space="preserve">, al pago a </w:t>
      </w:r>
      <w:r>
        <w:rPr>
          <w:rFonts w:ascii="Garamond" w:eastAsia="Times New Roman" w:hAnsi="Garamond" w:cs="Times New Roman"/>
          <w:sz w:val="20"/>
          <w:szCs w:val="20"/>
          <w:lang w:val="es-AR" w:eastAsia="zh-CN" w:bidi="he-IL"/>
        </w:rPr>
        <w:t xml:space="preserve">los Tenedores </w:t>
      </w:r>
      <w:r w:rsidRPr="00CA0A60">
        <w:rPr>
          <w:rFonts w:ascii="Garamond" w:eastAsia="Times New Roman" w:hAnsi="Garamond" w:cs="Times New Roman"/>
          <w:sz w:val="20"/>
          <w:szCs w:val="20"/>
          <w:lang w:val="es-AR" w:eastAsia="zh-CN" w:bidi="he-IL"/>
        </w:rPr>
        <w:t xml:space="preserve">de un monto equivalente a todos las sumas en concepto de capital, incluyendo cualquier prima, exigibles y pagaderas a las Partes Garantizadas en virtud de los Documentos de Financiación pertinentes, en condiciones de igualdad y proporcionalmente entre ellos; </w:t>
      </w:r>
    </w:p>
    <w:p w14:paraId="1479F191" w14:textId="77777777" w:rsidR="00845D78" w:rsidRPr="00CA0A60" w:rsidRDefault="00845D78" w:rsidP="00845D78">
      <w:pPr>
        <w:widowControl w:val="0"/>
        <w:numPr>
          <w:ilvl w:val="0"/>
          <w:numId w:val="133"/>
        </w:numPr>
        <w:tabs>
          <w:tab w:val="left" w:pos="284"/>
          <w:tab w:val="left" w:pos="709"/>
        </w:tabs>
        <w:spacing w:before="120" w:after="120" w:line="240" w:lineRule="auto"/>
        <w:contextualSpacing/>
        <w:jc w:val="both"/>
        <w:rPr>
          <w:rFonts w:ascii="Garamond" w:eastAsia="Tahoma" w:hAnsi="Garamond" w:cs="Times New Roman"/>
          <w:i/>
          <w:sz w:val="20"/>
          <w:szCs w:val="20"/>
          <w:lang w:val="es-AR"/>
        </w:rPr>
      </w:pPr>
      <w:r w:rsidRPr="00CA0A60">
        <w:rPr>
          <w:rFonts w:ascii="Garamond" w:eastAsia="Tahoma" w:hAnsi="Garamond" w:cs="Times New Roman"/>
          <w:i/>
          <w:sz w:val="20"/>
          <w:szCs w:val="20"/>
          <w:lang w:val="es-AR"/>
        </w:rPr>
        <w:t>quinto</w:t>
      </w:r>
      <w:r w:rsidRPr="00CA0A60">
        <w:rPr>
          <w:rFonts w:ascii="Garamond" w:eastAsia="Tahoma" w:hAnsi="Garamond" w:cs="Times New Roman"/>
          <w:sz w:val="20"/>
          <w:szCs w:val="20"/>
          <w:lang w:val="es-AR"/>
        </w:rPr>
        <w:t>, al pago a las Partes Garantizadas de un monto equivalente a todas las demás obligaciones, en condiciones de igualdad y proporcionalmente entre ellas; y</w:t>
      </w:r>
    </w:p>
    <w:p w14:paraId="20DE7944" w14:textId="77777777" w:rsidR="00845D78" w:rsidRDefault="00845D78" w:rsidP="00845D78">
      <w:pPr>
        <w:widowControl w:val="0"/>
        <w:tabs>
          <w:tab w:val="left" w:pos="284"/>
          <w:tab w:val="left" w:pos="709"/>
        </w:tabs>
        <w:spacing w:before="120" w:after="120"/>
        <w:jc w:val="both"/>
        <w:rPr>
          <w:rFonts w:ascii="Garamond" w:eastAsia="Tahoma" w:hAnsi="Garamond" w:cs="Times New Roman"/>
          <w:i/>
          <w:sz w:val="20"/>
          <w:szCs w:val="20"/>
          <w:lang w:val="es-AR"/>
        </w:rPr>
      </w:pPr>
    </w:p>
    <w:p w14:paraId="522D0181" w14:textId="2A410324" w:rsidR="0085610A" w:rsidRPr="00CA0A60" w:rsidRDefault="00845D78" w:rsidP="0034558A">
      <w:pPr>
        <w:widowControl w:val="0"/>
        <w:tabs>
          <w:tab w:val="left" w:pos="284"/>
          <w:tab w:val="left" w:pos="709"/>
        </w:tabs>
        <w:spacing w:before="120" w:after="120"/>
        <w:jc w:val="both"/>
        <w:rPr>
          <w:rFonts w:ascii="Garamond" w:eastAsia="Tahoma" w:hAnsi="Garamond" w:cs="Times New Roman"/>
          <w:i/>
          <w:sz w:val="20"/>
          <w:szCs w:val="20"/>
          <w:lang w:val="es-AR"/>
        </w:rPr>
      </w:pPr>
      <w:r w:rsidRPr="00CA0A60">
        <w:rPr>
          <w:rFonts w:ascii="Garamond" w:eastAsia="Tahoma" w:hAnsi="Garamond" w:cs="Times New Roman"/>
          <w:i/>
          <w:sz w:val="20"/>
          <w:szCs w:val="20"/>
          <w:lang w:val="es-AR"/>
        </w:rPr>
        <w:t>sexto</w:t>
      </w:r>
      <w:r w:rsidRPr="00CA0A60">
        <w:rPr>
          <w:rFonts w:ascii="Garamond" w:eastAsia="Tahoma" w:hAnsi="Garamond" w:cs="Times New Roman"/>
          <w:sz w:val="20"/>
          <w:szCs w:val="20"/>
          <w:lang w:val="es-AR"/>
        </w:rPr>
        <w:t>, con posterioridad al pago total e irrevocable de las obligaciones o con respecto a montos recibidos de cualquier Derecho de Garantía específico que superen el Monto de Garantía Máximo, al pago del excedente (si hubiera) a las Co-Emisoras, o de conformidad con las directivas impartidas por éstas</w:t>
      </w:r>
      <w:r w:rsidR="0085610A" w:rsidRPr="00CA0A60">
        <w:rPr>
          <w:rFonts w:ascii="Garamond" w:eastAsia="Tahoma" w:hAnsi="Garamond" w:cs="Times New Roman"/>
          <w:sz w:val="20"/>
          <w:szCs w:val="20"/>
          <w:lang w:val="es-AR"/>
        </w:rPr>
        <w:t>.</w:t>
      </w:r>
    </w:p>
    <w:p w14:paraId="0CF66D93" w14:textId="77777777" w:rsidR="002C2444" w:rsidRPr="00CA3A3D" w:rsidRDefault="002C2444" w:rsidP="002C2444">
      <w:pPr>
        <w:autoSpaceDE w:val="0"/>
        <w:autoSpaceDN w:val="0"/>
        <w:adjustRightInd w:val="0"/>
        <w:spacing w:after="0" w:line="240" w:lineRule="auto"/>
        <w:rPr>
          <w:rFonts w:ascii="Garamond" w:eastAsia="Times New Roman" w:hAnsi="Garamond" w:cs="Calibri"/>
          <w:i/>
          <w:sz w:val="20"/>
          <w:szCs w:val="20"/>
          <w:lang w:val="es-AR" w:eastAsia="zh-CN"/>
        </w:rPr>
      </w:pPr>
    </w:p>
    <w:p w14:paraId="54C407F7" w14:textId="77777777" w:rsidR="0085610A" w:rsidRPr="00CA0A60" w:rsidRDefault="0085610A" w:rsidP="0085610A">
      <w:pPr>
        <w:keepNext/>
        <w:tabs>
          <w:tab w:val="left" w:pos="284"/>
          <w:tab w:val="left" w:pos="709"/>
        </w:tabs>
        <w:spacing w:before="120" w:after="120"/>
        <w:jc w:val="both"/>
        <w:rPr>
          <w:rFonts w:ascii="Garamond" w:eastAsia="Times New Roman" w:hAnsi="Garamond" w:cs="Times New Roman"/>
          <w:b/>
          <w:iCs/>
          <w:sz w:val="20"/>
          <w:szCs w:val="20"/>
          <w:lang w:val="es-AR" w:eastAsia="zh-CN"/>
        </w:rPr>
      </w:pPr>
      <w:r w:rsidRPr="00CA0A60">
        <w:rPr>
          <w:rFonts w:ascii="Garamond" w:eastAsia="Times New Roman" w:hAnsi="Garamond" w:cs="Times New Roman"/>
          <w:b/>
          <w:iCs/>
          <w:sz w:val="20"/>
          <w:szCs w:val="20"/>
          <w:lang w:val="es-AR" w:eastAsia="zh-CN"/>
        </w:rPr>
        <w:t>Liberación de Gravámenes sobre los Derechos de Garantía</w:t>
      </w:r>
    </w:p>
    <w:p w14:paraId="7F726904" w14:textId="716E9424" w:rsidR="0085610A" w:rsidRPr="0034558A" w:rsidRDefault="0085610A" w:rsidP="0085610A">
      <w:pPr>
        <w:widowControl w:val="0"/>
        <w:tabs>
          <w:tab w:val="left" w:pos="284"/>
          <w:tab w:val="left" w:pos="709"/>
        </w:tabs>
        <w:spacing w:before="120" w:after="120"/>
        <w:jc w:val="both"/>
        <w:rPr>
          <w:rFonts w:ascii="Garamond" w:eastAsia="Times New Roman" w:hAnsi="Garamond" w:cs="Times New Roman"/>
          <w:sz w:val="20"/>
          <w:szCs w:val="20"/>
          <w:highlight w:val="yellow"/>
          <w:lang w:val="es-AR" w:eastAsia="zh-CN" w:bidi="he-IL"/>
        </w:rPr>
      </w:pPr>
      <w:r w:rsidRPr="0034558A">
        <w:rPr>
          <w:rFonts w:ascii="Garamond" w:eastAsia="Times New Roman" w:hAnsi="Garamond" w:cs="Times New Roman"/>
          <w:sz w:val="20"/>
          <w:szCs w:val="20"/>
          <w:highlight w:val="yellow"/>
          <w:lang w:val="es-AR" w:eastAsia="zh-CN" w:bidi="he-IL"/>
        </w:rPr>
        <w:t>Los Documentos de Garantía dispondrán que se liberen los Gravámenes sobre los Derechos de Garantía si (i) en relación con el ejercicio de los recursos de cualquiera de las Partes Garantizadas en virtud de los Documentos de Garantía, el Agente de Garantía Internacional (o el Agente de Garantía Local o el Fiduciario Argentino, según corresponda, actuando según las directivas del Agente de Garantía Internacional) enajena cualquier parte de los Derechos de Garantía.</w:t>
      </w:r>
    </w:p>
    <w:p w14:paraId="6333B9EF" w14:textId="1B223447" w:rsidR="0085610A" w:rsidRPr="00CA0A60" w:rsidRDefault="0085610A" w:rsidP="0085610A">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845D78">
        <w:rPr>
          <w:rFonts w:ascii="Garamond" w:eastAsia="Times New Roman" w:hAnsi="Garamond" w:cs="Times New Roman"/>
          <w:sz w:val="20"/>
          <w:szCs w:val="20"/>
          <w:lang w:val="es-AR" w:eastAsia="zh-CN" w:bidi="he-IL"/>
        </w:rPr>
        <w:t xml:space="preserve">Asimismo, el Contrato de Fideicomiso dispondrá que los Gravámenes del Agente de Garantía Internacional, el Agente de Garantía Local y el Fiduciario Argentino, según corresponda, sobre los Derechos de Garantía, ya no garantizarán las Obligaciones bajo los Documentos de Financiación y el derecho de </w:t>
      </w:r>
      <w:r w:rsidR="00845D78">
        <w:rPr>
          <w:rFonts w:ascii="Garamond" w:eastAsia="Times New Roman" w:hAnsi="Garamond" w:cs="Times New Roman"/>
          <w:sz w:val="20"/>
          <w:szCs w:val="20"/>
          <w:lang w:val="es-AR" w:eastAsia="zh-CN" w:bidi="he-IL"/>
        </w:rPr>
        <w:t xml:space="preserve">las </w:t>
      </w:r>
      <w:r w:rsidR="00845D78">
        <w:rPr>
          <w:rFonts w:ascii="Garamond" w:hAnsi="Garamond" w:cs="Times New Roman"/>
          <w:sz w:val="20"/>
          <w:szCs w:val="20"/>
        </w:rPr>
        <w:t xml:space="preserve">Partes Garantizadas </w:t>
      </w:r>
      <w:r w:rsidRPr="00845D78">
        <w:rPr>
          <w:rFonts w:ascii="Garamond" w:eastAsia="Times New Roman" w:hAnsi="Garamond" w:cs="Times New Roman"/>
          <w:sz w:val="20"/>
          <w:szCs w:val="20"/>
          <w:lang w:val="es-AR" w:eastAsia="zh-CN" w:bidi="he-IL"/>
        </w:rPr>
        <w:t>a los beneficios y los fondos obtenidos de los Gravámenes del Agente de Garantía Internacional, el Agente de Garantía Local y el Fiduciario Argentino, según corresponda, sobre los Derechos de Garantía se extinguirá automáticamente y quedará incondicionalmente sin efecto:</w:t>
      </w:r>
    </w:p>
    <w:p w14:paraId="5270ECDA" w14:textId="450DC87A" w:rsidR="0085610A" w:rsidRPr="00CA0A60" w:rsidRDefault="0085610A" w:rsidP="0085610A">
      <w:pPr>
        <w:widowControl w:val="0"/>
        <w:numPr>
          <w:ilvl w:val="0"/>
          <w:numId w:val="134"/>
        </w:numPr>
        <w:tabs>
          <w:tab w:val="left" w:pos="284"/>
          <w:tab w:val="left" w:pos="709"/>
        </w:tabs>
        <w:spacing w:before="120" w:after="120" w:line="240" w:lineRule="auto"/>
        <w:contextualSpacing/>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ante la </w:t>
      </w:r>
      <w:r w:rsidR="00845D78">
        <w:rPr>
          <w:rFonts w:ascii="Garamond" w:eastAsia="Times New Roman" w:hAnsi="Garamond" w:cs="Times New Roman"/>
          <w:sz w:val="20"/>
          <w:szCs w:val="20"/>
          <w:lang w:val="es-AR" w:eastAsia="zh-CN" w:bidi="he-IL"/>
        </w:rPr>
        <w:t>C</w:t>
      </w:r>
      <w:r w:rsidRPr="00CA0A60">
        <w:rPr>
          <w:rFonts w:ascii="Garamond" w:eastAsia="Times New Roman" w:hAnsi="Garamond" w:cs="Times New Roman"/>
          <w:sz w:val="20"/>
          <w:szCs w:val="20"/>
          <w:lang w:val="es-AR" w:eastAsia="zh-CN" w:bidi="he-IL"/>
        </w:rPr>
        <w:t xml:space="preserve">ancelación </w:t>
      </w:r>
      <w:r w:rsidR="00845D78">
        <w:rPr>
          <w:rFonts w:ascii="Garamond" w:eastAsia="Times New Roman" w:hAnsi="Garamond" w:cs="Times New Roman"/>
          <w:sz w:val="20"/>
          <w:szCs w:val="20"/>
          <w:lang w:val="es-AR" w:eastAsia="zh-CN" w:bidi="he-IL"/>
        </w:rPr>
        <w:t>L</w:t>
      </w:r>
      <w:r w:rsidRPr="00CA0A60">
        <w:rPr>
          <w:rFonts w:ascii="Garamond" w:eastAsia="Times New Roman" w:hAnsi="Garamond" w:cs="Times New Roman"/>
          <w:sz w:val="20"/>
          <w:szCs w:val="20"/>
          <w:lang w:val="es-AR" w:eastAsia="zh-CN" w:bidi="he-IL"/>
        </w:rPr>
        <w:t xml:space="preserve">egal de las Obligaciones Negociables o el cumplimiento y liberación del Contrato de Fideicomiso, según se dispone en </w:t>
      </w:r>
      <w:r w:rsidRPr="00CA0A60">
        <w:rPr>
          <w:rFonts w:ascii="Garamond" w:eastAsia="Times New Roman" w:hAnsi="Garamond" w:cs="Times New Roman"/>
          <w:i/>
          <w:sz w:val="20"/>
          <w:szCs w:val="20"/>
          <w:lang w:val="es-AR" w:eastAsia="zh-CN" w:bidi="he-IL"/>
        </w:rPr>
        <w:t>“––Cancelación Legal y Cancelación de Compromisos</w:t>
      </w:r>
      <w:r w:rsidRPr="00CA0A60">
        <w:rPr>
          <w:rFonts w:ascii="Garamond" w:eastAsia="Times New Roman" w:hAnsi="Garamond" w:cs="Times New Roman"/>
          <w:sz w:val="20"/>
          <w:szCs w:val="20"/>
          <w:lang w:val="es-AR" w:eastAsia="zh-CN" w:bidi="he-IL"/>
        </w:rPr>
        <w:t>” y “</w:t>
      </w:r>
      <w:r w:rsidRPr="00CA0A60">
        <w:rPr>
          <w:rFonts w:ascii="Garamond" w:eastAsia="Times New Roman" w:hAnsi="Garamond" w:cs="Times New Roman"/>
          <w:i/>
          <w:sz w:val="20"/>
          <w:szCs w:val="20"/>
          <w:lang w:val="es-AR" w:eastAsia="zh-CN" w:bidi="he-IL"/>
        </w:rPr>
        <w:t>––Cumplimiento y Liberación</w:t>
      </w:r>
      <w:r w:rsidRPr="00CA0A60">
        <w:rPr>
          <w:rFonts w:ascii="Garamond" w:eastAsia="Times New Roman" w:hAnsi="Garamond" w:cs="Times New Roman"/>
          <w:sz w:val="20"/>
          <w:szCs w:val="20"/>
          <w:lang w:val="es-AR" w:eastAsia="zh-CN" w:bidi="he-IL"/>
        </w:rPr>
        <w:t xml:space="preserve">”; </w:t>
      </w:r>
    </w:p>
    <w:p w14:paraId="513B37AB" w14:textId="77777777" w:rsidR="0085610A" w:rsidRPr="00CA0A60" w:rsidRDefault="0085610A" w:rsidP="0085610A">
      <w:pPr>
        <w:widowControl w:val="0"/>
        <w:numPr>
          <w:ilvl w:val="0"/>
          <w:numId w:val="134"/>
        </w:numPr>
        <w:tabs>
          <w:tab w:val="left" w:pos="284"/>
          <w:tab w:val="left" w:pos="709"/>
        </w:tabs>
        <w:spacing w:before="120" w:after="120" w:line="240" w:lineRule="auto"/>
        <w:contextualSpacing/>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ante el pago íntegro del monto total de capital de todas las Obligaciones Negociables que en ese momento se encontraran en circulación y toda otra obligación bajo los Documentos de Financiación que en ese momento fuera exigible y pagadera; y</w:t>
      </w:r>
    </w:p>
    <w:p w14:paraId="67D3781B" w14:textId="3CD0D626" w:rsidR="0085610A" w:rsidRPr="00CA0A60" w:rsidRDefault="0085610A" w:rsidP="0085610A">
      <w:pPr>
        <w:widowControl w:val="0"/>
        <w:numPr>
          <w:ilvl w:val="0"/>
          <w:numId w:val="134"/>
        </w:numPr>
        <w:tabs>
          <w:tab w:val="left" w:pos="284"/>
          <w:tab w:val="left" w:pos="709"/>
        </w:tabs>
        <w:spacing w:before="120" w:after="120" w:line="240" w:lineRule="auto"/>
        <w:contextualSpacing/>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en todo o en parte, con el consentimiento de los </w:t>
      </w:r>
      <w:r w:rsidR="00845D78">
        <w:rPr>
          <w:rFonts w:ascii="Garamond" w:eastAsia="Times New Roman" w:hAnsi="Garamond" w:cs="Times New Roman"/>
          <w:sz w:val="20"/>
          <w:szCs w:val="20"/>
          <w:lang w:val="es-AR" w:eastAsia="zh-CN" w:bidi="he-IL"/>
        </w:rPr>
        <w:t>T</w:t>
      </w:r>
      <w:r w:rsidRPr="00CA0A60">
        <w:rPr>
          <w:rFonts w:ascii="Garamond" w:eastAsia="Times New Roman" w:hAnsi="Garamond" w:cs="Times New Roman"/>
          <w:sz w:val="20"/>
          <w:szCs w:val="20"/>
          <w:lang w:val="es-AR" w:eastAsia="zh-CN" w:bidi="he-IL"/>
        </w:rPr>
        <w:t>enedores del porcentaje exigido de Obligaciones Negociables (incluyendo el consentimiento para la venta u otra enajenación de la totalidad o cualquier parte de los Derechos de Garantía a cualquier Persona que no sea una Subsidiaria Restringida) de conformidad con las disposiciones que se describen en la sección titulada “––</w:t>
      </w:r>
      <w:r w:rsidRPr="00CA0A60">
        <w:rPr>
          <w:rFonts w:ascii="Garamond" w:eastAsia="Times New Roman" w:hAnsi="Garamond" w:cs="Times New Roman"/>
          <w:i/>
          <w:sz w:val="20"/>
          <w:szCs w:val="20"/>
          <w:lang w:val="es-AR" w:eastAsia="zh-CN" w:bidi="he-IL"/>
        </w:rPr>
        <w:t>Modificación del Contrato de Fideicomiso</w:t>
      </w:r>
      <w:r w:rsidR="00FC107E">
        <w:rPr>
          <w:rFonts w:ascii="Garamond" w:eastAsia="Times New Roman" w:hAnsi="Garamond" w:cs="Times New Roman"/>
          <w:i/>
          <w:sz w:val="20"/>
          <w:szCs w:val="20"/>
          <w:lang w:val="es-AR" w:eastAsia="zh-CN" w:bidi="he-IL"/>
        </w:rPr>
        <w:t xml:space="preserve"> y de los Documentos de Garantía</w:t>
      </w:r>
      <w:r w:rsidRPr="00CA0A60">
        <w:rPr>
          <w:rFonts w:ascii="Garamond" w:eastAsia="Times New Roman" w:hAnsi="Garamond" w:cs="Times New Roman"/>
          <w:sz w:val="20"/>
          <w:szCs w:val="20"/>
          <w:lang w:val="es-AR" w:eastAsia="zh-CN" w:bidi="he-IL"/>
        </w:rPr>
        <w:t>”;</w:t>
      </w:r>
    </w:p>
    <w:p w14:paraId="36B38D9C" w14:textId="77777777" w:rsidR="0085610A" w:rsidRPr="00CA0A60" w:rsidRDefault="0085610A" w:rsidP="0085610A">
      <w:pPr>
        <w:widowControl w:val="0"/>
        <w:tabs>
          <w:tab w:val="left" w:pos="284"/>
          <w:tab w:val="left" w:pos="709"/>
        </w:tabs>
        <w:spacing w:before="120" w:after="120" w:line="240" w:lineRule="auto"/>
        <w:ind w:left="1418"/>
        <w:jc w:val="both"/>
        <w:rPr>
          <w:rFonts w:ascii="Garamond" w:eastAsia="Times New Roman" w:hAnsi="Garamond" w:cs="Times New Roman"/>
          <w:sz w:val="20"/>
          <w:szCs w:val="20"/>
          <w:lang w:val="es-AR" w:eastAsia="zh-CN" w:bidi="he-IL"/>
        </w:rPr>
      </w:pPr>
    </w:p>
    <w:p w14:paraId="214C5F6F" w14:textId="32B443E0" w:rsidR="0085610A" w:rsidRPr="00CA0A60" w:rsidRDefault="0085610A" w:rsidP="0085610A">
      <w:pPr>
        <w:widowControl w:val="0"/>
        <w:tabs>
          <w:tab w:val="left" w:pos="284"/>
          <w:tab w:val="left" w:pos="709"/>
        </w:tabs>
        <w:spacing w:before="120" w:after="120" w:line="240" w:lineRule="auto"/>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en </w:t>
      </w:r>
      <w:r w:rsidR="00845D78">
        <w:rPr>
          <w:rFonts w:ascii="Garamond" w:eastAsia="Times New Roman" w:hAnsi="Garamond" w:cs="Times New Roman"/>
          <w:sz w:val="20"/>
          <w:szCs w:val="20"/>
          <w:lang w:val="es-AR" w:eastAsia="zh-CN" w:bidi="he-IL"/>
        </w:rPr>
        <w:t xml:space="preserve">el </w:t>
      </w:r>
      <w:r w:rsidRPr="00CA0A60">
        <w:rPr>
          <w:rFonts w:ascii="Garamond" w:eastAsia="Times New Roman" w:hAnsi="Garamond" w:cs="Times New Roman"/>
          <w:sz w:val="20"/>
          <w:szCs w:val="20"/>
          <w:lang w:val="es-AR" w:eastAsia="zh-CN" w:bidi="he-IL"/>
        </w:rPr>
        <w:t>caso</w:t>
      </w:r>
      <w:r w:rsidR="00845D78">
        <w:rPr>
          <w:rFonts w:ascii="Garamond" w:eastAsia="Times New Roman" w:hAnsi="Garamond" w:cs="Times New Roman"/>
          <w:sz w:val="20"/>
          <w:szCs w:val="20"/>
          <w:lang w:val="es-AR" w:eastAsia="zh-CN" w:bidi="he-IL"/>
        </w:rPr>
        <w:t xml:space="preserve"> de las Garantías cubiertas por los Documentos de Garantía aplicables</w:t>
      </w:r>
      <w:r w:rsidRPr="00CA0A60">
        <w:rPr>
          <w:rFonts w:ascii="Garamond" w:eastAsia="Times New Roman" w:hAnsi="Garamond" w:cs="Times New Roman"/>
          <w:sz w:val="20"/>
          <w:szCs w:val="20"/>
          <w:lang w:val="es-AR" w:eastAsia="zh-CN" w:bidi="he-IL"/>
        </w:rPr>
        <w:t>, sujeto a los requisitos para su liberación establecidos en el artículo 3 de la Ley de Obligaciones Negociables de Argentina.</w:t>
      </w:r>
    </w:p>
    <w:p w14:paraId="3C8133D9" w14:textId="1E467436" w:rsidR="002C2444" w:rsidRPr="00CA3A3D" w:rsidRDefault="0085610A" w:rsidP="002C2444">
      <w:pPr>
        <w:widowControl w:val="0"/>
        <w:tabs>
          <w:tab w:val="left" w:pos="284"/>
          <w:tab w:val="left" w:pos="709"/>
        </w:tabs>
        <w:spacing w:before="120" w:after="120" w:line="256" w:lineRule="auto"/>
        <w:jc w:val="both"/>
        <w:rPr>
          <w:rFonts w:ascii="Garamond" w:eastAsia="Times New Roman" w:hAnsi="Garamond" w:cs="Calibri"/>
          <w:sz w:val="20"/>
          <w:szCs w:val="20"/>
          <w:lang w:val="es-AR" w:eastAsia="zh-CN" w:bidi="he-IL"/>
        </w:rPr>
      </w:pPr>
      <w:r w:rsidRPr="00CA0A60">
        <w:rPr>
          <w:rFonts w:ascii="Garamond" w:eastAsia="Times New Roman" w:hAnsi="Garamond" w:cs="Times New Roman"/>
          <w:sz w:val="20"/>
          <w:szCs w:val="20"/>
          <w:lang w:val="es-AR" w:eastAsia="zh-CN" w:bidi="he-IL"/>
        </w:rPr>
        <w:t>Ninguna de las Co-Emisoras, cualquier Garante</w:t>
      </w:r>
      <w:r w:rsidR="00845D78">
        <w:rPr>
          <w:rFonts w:ascii="Garamond" w:eastAsia="Times New Roman" w:hAnsi="Garamond" w:cs="Times New Roman"/>
          <w:sz w:val="20"/>
          <w:szCs w:val="20"/>
          <w:lang w:val="es-AR" w:eastAsia="zh-CN" w:bidi="he-IL"/>
        </w:rPr>
        <w:t xml:space="preserve">, el Agente de Garantía Internacional el Agente de Garantía Local o el </w:t>
      </w:r>
      <w:r w:rsidR="00845D78" w:rsidRPr="00CA0A60">
        <w:rPr>
          <w:rFonts w:ascii="Garamond" w:eastAsia="Times New Roman" w:hAnsi="Garamond" w:cs="Times New Roman"/>
          <w:sz w:val="20"/>
          <w:szCs w:val="20"/>
          <w:lang w:val="es-AR" w:eastAsia="zh-CN" w:bidi="he-IL"/>
        </w:rPr>
        <w:t>Fiduciario</w:t>
      </w:r>
      <w:r w:rsidR="00845D78">
        <w:rPr>
          <w:rFonts w:ascii="Garamond" w:eastAsia="Times New Roman" w:hAnsi="Garamond" w:cs="Times New Roman"/>
          <w:sz w:val="20"/>
          <w:szCs w:val="20"/>
          <w:lang w:val="es-AR" w:eastAsia="zh-CN" w:bidi="he-IL"/>
        </w:rPr>
        <w:t xml:space="preserve"> Argentino </w:t>
      </w:r>
      <w:r w:rsidRPr="00CA0A60">
        <w:rPr>
          <w:rFonts w:ascii="Garamond" w:eastAsia="Times New Roman" w:hAnsi="Garamond" w:cs="Times New Roman"/>
          <w:sz w:val="20"/>
          <w:szCs w:val="20"/>
          <w:lang w:val="es-AR" w:eastAsia="zh-CN" w:bidi="he-IL"/>
        </w:rPr>
        <w:t xml:space="preserve"> estarán obligados a hacer una anotación en los certificados que representan las Obligaciones Negociables para reflejar cualquier liberación de la totalidad o cualquier parte de los Derechos de Garantía.</w:t>
      </w:r>
    </w:p>
    <w:p w14:paraId="5CD90701" w14:textId="77777777" w:rsidR="0085610A" w:rsidRPr="00CA0A60" w:rsidRDefault="0085610A" w:rsidP="0085610A">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74" w:name="bookmark155"/>
      <w:r w:rsidRPr="00CA0A60">
        <w:rPr>
          <w:rFonts w:ascii="Garamond" w:hAnsi="Garamond" w:cs="Times New Roman"/>
          <w:b/>
          <w:i/>
          <w:sz w:val="20"/>
          <w:szCs w:val="20"/>
          <w:lang w:val="es-AR"/>
        </w:rPr>
        <w:lastRenderedPageBreak/>
        <w:t xml:space="preserve">Montos </w:t>
      </w:r>
      <w:bookmarkEnd w:id="74"/>
      <w:r w:rsidRPr="00CA0A60">
        <w:rPr>
          <w:rFonts w:ascii="Garamond" w:hAnsi="Garamond" w:cs="Times New Roman"/>
          <w:b/>
          <w:i/>
          <w:sz w:val="20"/>
          <w:szCs w:val="20"/>
          <w:lang w:val="es-AR"/>
        </w:rPr>
        <w:t>Adicionales</w:t>
      </w:r>
    </w:p>
    <w:p w14:paraId="0CEE8D87" w14:textId="0550EBEA" w:rsidR="0085610A" w:rsidRPr="00CA0A60" w:rsidRDefault="0085610A" w:rsidP="0085610A">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Todos los pagos realizados por o en nombre de </w:t>
      </w:r>
      <w:r w:rsidR="00845D78">
        <w:rPr>
          <w:rFonts w:ascii="Garamond" w:hAnsi="Garamond" w:cs="Times New Roman"/>
          <w:sz w:val="20"/>
          <w:szCs w:val="20"/>
          <w:lang w:val="es-AR"/>
        </w:rPr>
        <w:t xml:space="preserve">cualquier de </w:t>
      </w:r>
      <w:r w:rsidRPr="00CA0A60">
        <w:rPr>
          <w:rFonts w:ascii="Garamond" w:hAnsi="Garamond" w:cs="Times New Roman"/>
          <w:sz w:val="20"/>
          <w:szCs w:val="20"/>
          <w:lang w:val="es-AR"/>
        </w:rPr>
        <w:t>las Co-Emisoras, cualquier Garante o un sucesor de ellos (cada uno, un “</w:t>
      </w:r>
      <w:r w:rsidRPr="00CA0A60">
        <w:rPr>
          <w:rFonts w:ascii="Garamond" w:hAnsi="Garamond" w:cs="Times New Roman"/>
          <w:sz w:val="20"/>
          <w:szCs w:val="20"/>
          <w:u w:val="single"/>
          <w:lang w:val="es-AR"/>
        </w:rPr>
        <w:t>Pagador</w:t>
      </w:r>
      <w:r w:rsidRPr="00CA0A60">
        <w:rPr>
          <w:rFonts w:ascii="Garamond" w:hAnsi="Garamond" w:cs="Times New Roman"/>
          <w:sz w:val="20"/>
          <w:szCs w:val="20"/>
          <w:lang w:val="es-AR"/>
        </w:rPr>
        <w:t>”) de conformidad o con respecto a las Obligaciones Negociables o las Garantías de ASA, según corresponda, se efectuarán sin mediar retenciones o deducciones por o a cuenta de impuestos, tasas, gravámenes, costos, valuación u otro cargo gubernamental (con inclusión de multas, intereses y otras obligaciones relacionadas) (en forma conjunta, los “</w:t>
      </w:r>
      <w:r w:rsidRPr="00CA0A60">
        <w:rPr>
          <w:rFonts w:ascii="Garamond" w:hAnsi="Garamond" w:cs="Times New Roman"/>
          <w:sz w:val="20"/>
          <w:szCs w:val="20"/>
          <w:u w:val="single"/>
          <w:lang w:val="es-AR"/>
        </w:rPr>
        <w:t>Impuestos</w:t>
      </w:r>
      <w:r w:rsidRPr="00CA0A60">
        <w:rPr>
          <w:rFonts w:ascii="Garamond" w:hAnsi="Garamond" w:cs="Times New Roman"/>
          <w:sz w:val="20"/>
          <w:szCs w:val="20"/>
          <w:lang w:val="es-AR"/>
        </w:rPr>
        <w:t>”), a menos que la retención o deducción de dichos Impuestos sea requerida a esa fecha por ley o según la interpretación o administración de la ley.</w:t>
      </w:r>
    </w:p>
    <w:p w14:paraId="36B8378E" w14:textId="77777777" w:rsidR="0085610A" w:rsidRPr="00CA0A60" w:rsidRDefault="0085610A" w:rsidP="0085610A">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 en cualquier momento debiera realizarse una deducción o retención por o a cuenta de Impuestos gravados, establecidos, aplicados, cobrados o determinados por o en nombre de (1) Argentina o alguna de sus subdivisiones políticas o Autoridades Gubernamentales con facultades para imponer impuestos; (2) cualquier jurisdicción desde la cual o a través de la cual se efectúe cualquier pago sobre las Obligaciones Negociables o las Garantías de ASA, directamente por parte del Pagador o cualquiera de sus subdivisiones políticas o Autoridades Gubernamentales con facultades para cobrar impuestos o en su nombre; o (3) cualquier otra jurisdicción en la que el Pagador esté constituido, sea residente o donde se considere que realiza operaciones comerciales sujetas al cobro de impuestos, o autoridades políticas de subdivisiones o Autoridades Gubernamentales facultadas para cobrar impuestos (las cláusulas (1), (2) y (3) se considerarán como “</w:t>
      </w:r>
      <w:r w:rsidRPr="00CA0A60">
        <w:rPr>
          <w:rFonts w:ascii="Garamond" w:hAnsi="Garamond" w:cs="Times New Roman"/>
          <w:sz w:val="20"/>
          <w:szCs w:val="20"/>
          <w:u w:val="single"/>
          <w:lang w:val="es-AR"/>
        </w:rPr>
        <w:t>Jurisdicción Fiscal Pertinente</w:t>
      </w:r>
      <w:r w:rsidRPr="00CA0A60">
        <w:rPr>
          <w:rFonts w:ascii="Garamond" w:hAnsi="Garamond" w:cs="Times New Roman"/>
          <w:sz w:val="20"/>
          <w:szCs w:val="20"/>
          <w:lang w:val="es-AR"/>
        </w:rPr>
        <w:t>”) a los pagos relativos a las Obligaciones Negociables, con inclusión de pagos de capital, primas, de corresponder, precio de rescate o interés, el Pagador abonará (junto con tales pagos) los montos adicionales (los “</w:t>
      </w:r>
      <w:r w:rsidRPr="00CA0A60">
        <w:rPr>
          <w:rFonts w:ascii="Garamond" w:hAnsi="Garamond" w:cs="Times New Roman"/>
          <w:sz w:val="20"/>
          <w:szCs w:val="20"/>
          <w:u w:val="single"/>
          <w:lang w:val="es-AR"/>
        </w:rPr>
        <w:t>Montos Adicionales</w:t>
      </w:r>
      <w:r w:rsidRPr="00CA0A60">
        <w:rPr>
          <w:rFonts w:ascii="Garamond" w:hAnsi="Garamond" w:cs="Times New Roman"/>
          <w:sz w:val="20"/>
          <w:szCs w:val="20"/>
          <w:lang w:val="es-AR"/>
        </w:rPr>
        <w:t xml:space="preserve"> “) necesarios a fin de que los importes netos que reciban los Tenedores de las Obligaciones Negociables luego de tales retenciones o deducciones (con inclusión de toda deducción o retención de tales Montos Adicionales) respecto de dichos Impuestos sean iguales a los montos respectivos que hubieran debido recibir en virtud de tales pagos si dichas retenciones o deducciones no hubieran existido; </w:t>
      </w:r>
      <w:r w:rsidRPr="00CA0A60">
        <w:rPr>
          <w:rFonts w:ascii="Garamond" w:hAnsi="Garamond" w:cs="Times New Roman"/>
          <w:color w:val="000000"/>
          <w:sz w:val="20"/>
          <w:szCs w:val="20"/>
          <w:u w:val="single"/>
          <w:lang w:val="es-AR" w:eastAsia="es-ES" w:bidi="es-ES"/>
        </w:rPr>
        <w:t>no obstante</w:t>
      </w:r>
      <w:r w:rsidRPr="00CA0A60">
        <w:rPr>
          <w:rFonts w:ascii="Garamond" w:hAnsi="Garamond" w:cs="Times New Roman"/>
          <w:sz w:val="20"/>
          <w:szCs w:val="20"/>
          <w:lang w:val="es-AR"/>
        </w:rPr>
        <w:t>, no se abonarán dichos Montos Adicionales en relación con:</w:t>
      </w:r>
    </w:p>
    <w:p w14:paraId="54380F50" w14:textId="77777777" w:rsidR="0085610A" w:rsidRPr="00CA0A60" w:rsidRDefault="0085610A" w:rsidP="0085610A">
      <w:pPr>
        <w:widowControl w:val="0"/>
        <w:numPr>
          <w:ilvl w:val="0"/>
          <w:numId w:val="7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todo Impuesto que no se hubiera gravado sin la existencia de una relación actual o pasada entre el Tenedor pertinente o titular beneficiario de una obligación negociable (o entre el fiduciario, fideicomitente, fideicomisario, miembro, socio o accionista del Tenedor pertinente o titular beneficiario, si el Tenedor pertinente o titular beneficiario es una sucesión, representante, fideicomiso, sociedad de responsabilidad limitada, sociedad colectiva o sociedad anónima) y la Jurisdicción Fiscal Pertinente (que no sea la mera titularidad de dicha obligación negociable o la recepción de dicho pago a tal efecto);</w:t>
      </w:r>
    </w:p>
    <w:p w14:paraId="05B049E8" w14:textId="77777777" w:rsidR="0085610A" w:rsidRPr="00CA0A60" w:rsidRDefault="0085610A" w:rsidP="0085610A">
      <w:pPr>
        <w:widowControl w:val="0"/>
        <w:numPr>
          <w:ilvl w:val="0"/>
          <w:numId w:val="7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todo Impuesto a las sucesiones, herencias, donaciones, valor agregado, bienes muebles, ventas, uso, así como impuestos internos o a las transferencias, u otros Impuestos similares en relación a tales pagos;</w:t>
      </w:r>
    </w:p>
    <w:p w14:paraId="570FF497" w14:textId="77777777" w:rsidR="0085610A" w:rsidRPr="00CA0A60" w:rsidRDefault="0085610A" w:rsidP="00B73F3E">
      <w:pPr>
        <w:widowControl w:val="0"/>
        <w:numPr>
          <w:ilvl w:val="0"/>
          <w:numId w:val="7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todo Impuesto pagadero o debido en virtud de que se presentan Obligaciones Negociables definitivas para pago (donde se requiere la presentación) más de 30 días después de lo que ocurra más tarde entre (i) la fecha en que el pago se volvió exigible y (ii) si el Fiduciario no ha recibido el importe total pagadero en dicha fecha de pago exigible, la fecha en la que, recibido el importe total, el Fiduciario haya enviado notificación en tal sentido a los Tenedores; salvo Montos Adicionales respecto de Impuestos que se habrían aplicado si el Tenedor hubiera presentado las Obligaciones Negociables para el pago dentro del período de 30 días;</w:t>
      </w:r>
    </w:p>
    <w:p w14:paraId="1A271E3F" w14:textId="77777777" w:rsidR="0085610A" w:rsidRPr="00CA0A60" w:rsidRDefault="0085610A" w:rsidP="0085610A">
      <w:pPr>
        <w:widowControl w:val="0"/>
        <w:numPr>
          <w:ilvl w:val="0"/>
          <w:numId w:val="7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todo Impuesto que se establezca o retenga en virtud de que el Tenedor o titular beneficiario de una obligación negociable no ha cumplido, a solicitud de las Co-Emisoras por escrito, con alguna certificación, identificación, información o documentación u otros requisitos de reporte si (1) dicho cumplimiento es un requisito impuesto por una ley, un tratado, una reglamentación, o una práctica administrativa en la Jurisdicción Fiscal Pertinente como precondición para la exención o reducción de la tasa de deducción o retención de dichos Impuestos, (2) las Co-Emisoras han notificado al Tenedor o al titular beneficiario con 30 días de anticipación que el Tenedor o el Titular Beneficiario debe cumplir, y (3) tal cumplimiento no es significativamente más oneroso para el Tenedor o el titular beneficiario que alguna certificación, información o documentación u otros requisitos de reporte similares exigidos por leyes, normas y prácticas administrativas fiscales de los Estados Unidos (como los formularios de la autoridad fiscal de Estados Unidos (IRS) W-8 y W-9 o formularios similares);</w:t>
      </w:r>
    </w:p>
    <w:p w14:paraId="69C0251C" w14:textId="77777777" w:rsidR="0085610A" w:rsidRPr="00CA0A60" w:rsidRDefault="0085610A" w:rsidP="0085610A">
      <w:pPr>
        <w:widowControl w:val="0"/>
        <w:numPr>
          <w:ilvl w:val="0"/>
          <w:numId w:val="7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toda Obligación Negociable que se presente para pago (cuando se requiera tal presentación) en una oficina de un agente de pago en Argentina (siempre y cuando las Obligaciones Negociables puedan también presentarse en las oficinas de un agente de pago fuera de Argentina en las que no deba realizarse dicha retención o deducción);</w:t>
      </w:r>
    </w:p>
    <w:p w14:paraId="0B5C954B" w14:textId="77777777" w:rsidR="0085610A" w:rsidRPr="00CA0A60" w:rsidRDefault="0085610A" w:rsidP="0085610A">
      <w:pPr>
        <w:widowControl w:val="0"/>
        <w:numPr>
          <w:ilvl w:val="0"/>
          <w:numId w:val="7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Impuestos que puedan pagarse de otra manera que no sea mediante la retención o deducción de pagos de las Obligaciones Negociables;</w:t>
      </w:r>
    </w:p>
    <w:p w14:paraId="79D803DB" w14:textId="77777777" w:rsidR="0085610A" w:rsidRPr="00CA0A60" w:rsidRDefault="0085610A" w:rsidP="0085610A">
      <w:pPr>
        <w:widowControl w:val="0"/>
        <w:numPr>
          <w:ilvl w:val="0"/>
          <w:numId w:val="7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Impuestos establecidos conforme a los Artículos 1471-1474 del Código Tributario de los Estados Unidos, las normas del Tesoro de los Estados Unidos en este sentido y cualquier otra directriz oficial relacionada (Ley de cumplimiento tributario de cuentas extranjeras o “</w:t>
      </w:r>
      <w:r w:rsidRPr="00CA0A60">
        <w:rPr>
          <w:rFonts w:ascii="Garamond" w:hAnsi="Garamond" w:cs="Times New Roman"/>
          <w:sz w:val="20"/>
          <w:szCs w:val="20"/>
          <w:u w:val="single"/>
          <w:lang w:val="es-AR"/>
        </w:rPr>
        <w:t>FATCA</w:t>
      </w:r>
      <w:r w:rsidRPr="00CA0A60">
        <w:rPr>
          <w:rFonts w:ascii="Garamond" w:hAnsi="Garamond" w:cs="Times New Roman"/>
          <w:sz w:val="20"/>
          <w:szCs w:val="20"/>
          <w:lang w:val="es-AR"/>
        </w:rPr>
        <w:t xml:space="preserve">”), cualquier acuerdo intergubernamental firmado </w:t>
      </w:r>
      <w:r w:rsidRPr="00CA0A60">
        <w:rPr>
          <w:rFonts w:ascii="Garamond" w:hAnsi="Garamond" w:cs="Times New Roman"/>
          <w:sz w:val="20"/>
          <w:szCs w:val="20"/>
          <w:lang w:val="es-AR"/>
        </w:rPr>
        <w:lastRenderedPageBreak/>
        <w:t>con respecto a la FATCA, o cualquier ley, reglamentación u otra directriz oficial dictada en cualquier jurisdicción de aplicación de la FATCA, legislación similar conforme a las leyes de cualquier otra jurisdicción, o cualquier acuerdo intergubernamental;</w:t>
      </w:r>
    </w:p>
    <w:p w14:paraId="6F18EFCD" w14:textId="77777777" w:rsidR="0085610A" w:rsidRPr="00CA0A60" w:rsidRDefault="0085610A" w:rsidP="0085610A">
      <w:pPr>
        <w:widowControl w:val="0"/>
        <w:numPr>
          <w:ilvl w:val="0"/>
          <w:numId w:val="7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cualquier Impuesto gravado y/o aplicable a pagos realizados a contribuyentes impositivos argentinos sujetos a las normas de ajuste por inflación de conformidad con el Título VI de la Ley Argentina de Impuestos a las Ganancias; o </w:t>
      </w:r>
    </w:p>
    <w:p w14:paraId="2AB4866E" w14:textId="77777777" w:rsidR="0085610A" w:rsidRPr="00CA0A60" w:rsidRDefault="0085610A" w:rsidP="0085610A">
      <w:pPr>
        <w:widowControl w:val="0"/>
        <w:numPr>
          <w:ilvl w:val="0"/>
          <w:numId w:val="7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una combinación de cualquiera de las circunstancias enumeradas.</w:t>
      </w:r>
    </w:p>
    <w:p w14:paraId="6A9606A5" w14:textId="477667F6" w:rsidR="0085610A" w:rsidRPr="00CA0A60" w:rsidRDefault="0085610A" w:rsidP="0085610A">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Asimismo, no se pagarán dichos Montos Adicionales respecto de cualquier pago a un Tenedor que sea fiduciario o una sociedad colectiva o toda otra persona que no sea el único titular beneficiario de dicho pago, en la medida en que un beneficiario, o fideicomitente respecto de dicho fiduciario, o integrante de dicha sociedad colectiva o el titular beneficiario de dicho pago no hubiera tenido el derecho a dichos Montos Adicionales si el fideicomitente, socio o titular beneficiario hubiera tenido dicha obligación negociable en forma directa.</w:t>
      </w:r>
    </w:p>
    <w:p w14:paraId="1889DC3C" w14:textId="77777777" w:rsidR="0085610A" w:rsidRPr="00CA0A60" w:rsidRDefault="0085610A" w:rsidP="0085610A">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Pagador (1) efectuará toda retención o deducción requerida, y (2) enviará la suma total deducida o retenida a la autoridad impositiva correspondiente de la Jurisdicción Fiscal Pertinente de conformidad con la Ley Aplicable. El Pagador entregará al Fiduciario copias certificadas de los recibos de impuestos, y si tales recibos de impuestos no estuvieran razonablemente disponibles, toda otra documentación respaldatoria del pago de los Impuestos deducidos o retenidos de cada Jurisdicción Fiscal Pertinente que imponga dichos Impuestos. El Pagador adjuntará a tal documentación un certificado en el que conste (i) que la suma correspondiente a Impuestos retenidos que figura en dicha documentación se abonó en relación a pagos respecto del capital de Obligaciones Negociables en circulación a la fecha, y (ii) la suma de dichos Impuestos retenidos abonados por cada Dólar del capital de las Obligaciones Negociables.</w:t>
      </w:r>
    </w:p>
    <w:p w14:paraId="7BD299AC" w14:textId="247F134C" w:rsidR="0085610A" w:rsidRPr="00CA0A60" w:rsidRDefault="0085610A" w:rsidP="0085610A">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 el Pagador estuviera obligado a abonar Montos Adicionales respecto de cualquier pago en virtud de las Obligaciones Negociables, entregará al Fiduciario, con una anticipación no menor a tres Días Hábiles de la fecha de pago pertinente, un Certificado de Directivos en el que se indique que tales Montos Adicionales serán abonados, las sumas que se abonarán e incluirá toda otra información necesaria que permita al Fiduciario el pago de dichos Montos Adicionales a los Tenedores de las Obligaciones Negociables en la fecha de pago. El Fiduciario tomará por válidos cada uno de tales Certificados de Directivos sin necesidad de investigaciones posteriores hasta el momento de recibir un nuevo Certificado de Directivos que aborde dichas cuestiones.</w:t>
      </w:r>
    </w:p>
    <w:p w14:paraId="595E5E4F" w14:textId="09EF3D9F" w:rsidR="0085610A" w:rsidRPr="00CA0A60" w:rsidRDefault="0085610A" w:rsidP="0085610A">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Co-Emisoras abonarán, a su vencimiento, todo impuesto de sellos, judiciales, de documentación, interno, a la propiedad o cargas similares que surjan en cualquier jurisdicción respecto de la celebración, entrega o registro de las Obligaciones Negociables, el Contrato de Fideicomiso, los Documentos de Garantía o toda documentación relacionada, a excepción de los impuestos, cargas o tasas similares establecidos por cualquier jurisdicción fuera de la Argentina salvo los que resulten de la ejecución de las Obligaciones Negociables o que deban pagarse en relación con dicha ejecución con posterioridad al acaecimiento de un Supuesto de Incumplimiento y mientras estos continúen, y las Co-Emisoras aceptan mantener indemne al Fiduciario, al representante del Fiduciario en Argentina, a los agentes de pago, a los agentes de registro,</w:t>
      </w:r>
      <w:r w:rsidR="00845D78">
        <w:rPr>
          <w:rFonts w:ascii="Garamond" w:hAnsi="Garamond" w:cs="Times New Roman"/>
          <w:sz w:val="20"/>
          <w:szCs w:val="20"/>
          <w:lang w:val="es-AR"/>
        </w:rPr>
        <w:t xml:space="preserve"> al co-registrador,</w:t>
      </w:r>
      <w:r w:rsidRPr="00CA0A60">
        <w:rPr>
          <w:rFonts w:ascii="Garamond" w:hAnsi="Garamond" w:cs="Times New Roman"/>
          <w:sz w:val="20"/>
          <w:szCs w:val="20"/>
          <w:lang w:val="es-AR"/>
        </w:rPr>
        <w:t xml:space="preserve"> al Agente de Garantía Internacional, al Agente de Garantía Local,</w:t>
      </w:r>
      <w:r w:rsidR="00845D78">
        <w:rPr>
          <w:rFonts w:ascii="Garamond" w:hAnsi="Garamond" w:cs="Times New Roman"/>
          <w:sz w:val="20"/>
          <w:szCs w:val="20"/>
          <w:lang w:val="es-AR"/>
        </w:rPr>
        <w:t xml:space="preserve"> al Banco Depositario,</w:t>
      </w:r>
      <w:r w:rsidRPr="00CA0A60">
        <w:rPr>
          <w:rFonts w:ascii="Garamond" w:hAnsi="Garamond" w:cs="Times New Roman"/>
          <w:sz w:val="20"/>
          <w:szCs w:val="20"/>
          <w:lang w:val="es-AR"/>
        </w:rPr>
        <w:t xml:space="preserve"> al Fiduciario Argentino y a los Tenedores de las Obligaciones Negociables por los montos pagados por ellos con respecto a las Obligaciones Negociables impagas.</w:t>
      </w:r>
    </w:p>
    <w:p w14:paraId="1454DC3C" w14:textId="17B2A11B" w:rsidR="0085610A" w:rsidRPr="00CA0A60" w:rsidRDefault="0085610A" w:rsidP="0085610A">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caso de que cualquiera de las Co-Emisoras pagase algún impuesto a los bienes personales en relación con Obligaciones Negociables en circulación, se ha acordado renunciar a cualquier derecho que podamos tener bajo la ley argentina a solicitar el reembolso de cualquier monto que se hubiera pagado, por parte de los Tenedores o dueños directos o titulares beneficiarios de las Obligaciones Negociables. </w:t>
      </w:r>
    </w:p>
    <w:p w14:paraId="1691B3FB" w14:textId="77777777" w:rsidR="0085610A" w:rsidRPr="00CA0A60" w:rsidRDefault="0085610A" w:rsidP="0085610A">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de pagar los Montos Adicionales mencionadas continuarán luego del vencimiento, cancelación o cumplimiento del Contrato de Fideicomiso y de la transferencia de sus Obligaciones Negociables (o participación beneficiaria en las mismas) por parte de un inversor.</w:t>
      </w:r>
    </w:p>
    <w:p w14:paraId="46E45023" w14:textId="69564598" w:rsidR="002C2444" w:rsidRPr="00CA3A3D" w:rsidRDefault="0085610A" w:rsidP="002C2444">
      <w:pPr>
        <w:widowControl w:val="0"/>
        <w:tabs>
          <w:tab w:val="left" w:pos="284"/>
          <w:tab w:val="left" w:pos="709"/>
          <w:tab w:val="left" w:pos="8789"/>
        </w:tabs>
        <w:spacing w:before="120" w:after="120" w:line="240" w:lineRule="auto"/>
        <w:jc w:val="both"/>
        <w:rPr>
          <w:rFonts w:ascii="Garamond" w:hAnsi="Garamond" w:cs="Calibri"/>
          <w:sz w:val="20"/>
          <w:szCs w:val="20"/>
          <w:lang w:val="es-AR"/>
        </w:rPr>
      </w:pPr>
      <w:r w:rsidRPr="00CA0A60">
        <w:rPr>
          <w:rFonts w:ascii="Garamond" w:hAnsi="Garamond" w:cs="Times New Roman"/>
          <w:sz w:val="20"/>
          <w:szCs w:val="20"/>
          <w:lang w:val="es-AR"/>
        </w:rPr>
        <w:t>Toda vez que en el Contrato de Fideicomiso, en esta descripción o en las Obligaciones Negociables se mencione, en cualquier contexto, (1) el pago del capital, primas, de existir, o interés, (2) los precios de rescate o precios de compra en relación con el rescate o compra de Obligaciones Negociables, o (3) toda otra suma pagadera en virtud de toda obligación negociable, se entenderá que esa mención se refiere también a todo Monto Adicional pagadero según se establece en el Contrato de Fideicomiso o en las Obligaciones Negociables.</w:t>
      </w:r>
    </w:p>
    <w:p w14:paraId="7D80BEFC" w14:textId="77777777" w:rsidR="00F574E6" w:rsidRPr="00CA0A60" w:rsidRDefault="00F574E6" w:rsidP="00F574E6">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75" w:name="bookmark156"/>
      <w:r w:rsidRPr="00CA0A60">
        <w:rPr>
          <w:rFonts w:ascii="Garamond" w:hAnsi="Garamond" w:cs="Times New Roman"/>
          <w:b/>
          <w:i/>
          <w:sz w:val="20"/>
          <w:szCs w:val="20"/>
          <w:lang w:val="es-AR"/>
        </w:rPr>
        <w:t>Rescate Opcional</w:t>
      </w:r>
      <w:bookmarkEnd w:id="75"/>
    </w:p>
    <w:p w14:paraId="4F2BBBE3"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Salvo según se dispone a continuación, las Obligaciones Negociables no pueden rescatarse a opción de las Co-Emisoras.</w:t>
      </w:r>
    </w:p>
    <w:p w14:paraId="1847C6AA" w14:textId="0FE509FF" w:rsidR="00170EA0" w:rsidRPr="00CA0A60" w:rsidRDefault="00F574E6" w:rsidP="00A438F1">
      <w:pPr>
        <w:pStyle w:val="tabletext"/>
        <w:jc w:val="both"/>
        <w:rPr>
          <w:rFonts w:ascii="Garamond" w:hAnsi="Garamond" w:cs="Times New Roman"/>
          <w:szCs w:val="20"/>
          <w:lang w:val="es-AR"/>
        </w:rPr>
      </w:pPr>
      <w:r w:rsidRPr="00CA0A60">
        <w:rPr>
          <w:rFonts w:ascii="Garamond" w:hAnsi="Garamond" w:cs="Times New Roman"/>
          <w:i/>
          <w:iCs/>
          <w:color w:val="000000"/>
          <w:szCs w:val="20"/>
          <w:lang w:val="es-AR" w:eastAsia="es-ES" w:bidi="es-ES"/>
        </w:rPr>
        <w:lastRenderedPageBreak/>
        <w:t>Rescate Opcional</w:t>
      </w:r>
      <w:r w:rsidRPr="00CA0A60">
        <w:rPr>
          <w:rFonts w:ascii="Garamond" w:hAnsi="Garamond" w:cs="Times New Roman"/>
          <w:szCs w:val="20"/>
          <w:lang w:val="es-AR"/>
        </w:rPr>
        <w:t xml:space="preserve">: En cualquier momento, y periódicamente, las Co-Emisoras tendrán el derecho, a su opción, de rescatar las Obligaciones Negociables, </w:t>
      </w:r>
      <w:r w:rsidR="00FC107E">
        <w:rPr>
          <w:rFonts w:ascii="Garamond" w:hAnsi="Garamond" w:cs="Times New Roman"/>
          <w:szCs w:val="20"/>
          <w:lang w:val="es-AR"/>
        </w:rPr>
        <w:t xml:space="preserve">mediante el envío de una notificación a los tenedores con copia al </w:t>
      </w:r>
      <w:r w:rsidR="00845D78">
        <w:rPr>
          <w:rFonts w:ascii="Garamond" w:hAnsi="Garamond" w:cs="Times New Roman"/>
          <w:szCs w:val="20"/>
          <w:lang w:val="es-AR"/>
        </w:rPr>
        <w:t>F</w:t>
      </w:r>
      <w:r w:rsidR="00FC107E">
        <w:rPr>
          <w:rFonts w:ascii="Garamond" w:hAnsi="Garamond" w:cs="Times New Roman"/>
          <w:szCs w:val="20"/>
          <w:lang w:val="es-AR"/>
        </w:rPr>
        <w:t xml:space="preserve">iduciario con una antelación de entre 30 y 60 días, </w:t>
      </w:r>
      <w:r w:rsidRPr="00CA0A60">
        <w:rPr>
          <w:rFonts w:ascii="Garamond" w:hAnsi="Garamond" w:cs="Times New Roman"/>
          <w:szCs w:val="20"/>
          <w:lang w:val="es-AR"/>
        </w:rPr>
        <w:t>total o parcialmente (quedando establecido que los rescates parciales deberán ser por un monto de capital mínimo de U$S</w:t>
      </w:r>
      <w:r w:rsidR="006B1E71" w:rsidRPr="00CA0A60">
        <w:rPr>
          <w:rFonts w:ascii="Garamond" w:hAnsi="Garamond" w:cs="Times New Roman"/>
          <w:szCs w:val="20"/>
          <w:lang w:val="es-AR"/>
        </w:rPr>
        <w:t xml:space="preserve"> </w:t>
      </w:r>
      <w:r w:rsidRPr="00CA0A60">
        <w:rPr>
          <w:rFonts w:ascii="Garamond" w:hAnsi="Garamond" w:cs="Times New Roman"/>
          <w:szCs w:val="20"/>
          <w:lang w:val="es-AR"/>
        </w:rPr>
        <w:t>5 millones o un múltiplo entero de U$S 1 millón</w:t>
      </w:r>
      <w:r w:rsidRPr="00CA0A60" w:rsidDel="00EF0DCD">
        <w:rPr>
          <w:rFonts w:ascii="Garamond" w:hAnsi="Garamond" w:cs="Times New Roman"/>
          <w:szCs w:val="20"/>
          <w:lang w:val="es-AR"/>
        </w:rPr>
        <w:t xml:space="preserve"> </w:t>
      </w:r>
      <w:r w:rsidRPr="00CA0A60">
        <w:rPr>
          <w:rFonts w:ascii="Garamond" w:hAnsi="Garamond" w:cs="Times New Roman"/>
          <w:szCs w:val="20"/>
          <w:lang w:val="es-AR"/>
        </w:rPr>
        <w:t xml:space="preserve">superior a esa cifra), a los siguientes precios de rescate, expresados como porcentajes del monto de capital de las Obligaciones Negociables sujetas a rescate, en la fecha de rescate, </w:t>
      </w:r>
      <w:r w:rsidRPr="00CA0A60">
        <w:rPr>
          <w:rFonts w:ascii="Garamond" w:hAnsi="Garamond" w:cs="Times New Roman"/>
          <w:i/>
          <w:szCs w:val="20"/>
          <w:lang w:val="es-AR"/>
        </w:rPr>
        <w:t xml:space="preserve">más </w:t>
      </w:r>
      <w:r w:rsidRPr="00CA0A60">
        <w:rPr>
          <w:rFonts w:ascii="Garamond" w:hAnsi="Garamond" w:cs="Times New Roman"/>
          <w:szCs w:val="20"/>
          <w:lang w:val="es-AR"/>
        </w:rPr>
        <w:t>los Montos Adicionales e intereses devengados e impagos hasta la fecha de rescate exclusive (sujeto al derecho de los Tenedores de registro en la fecha de registro respectiva de recibir el interés vencido en la Fecha de Pago de Intereses correspondiente):</w:t>
      </w:r>
    </w:p>
    <w:p w14:paraId="688BEE97" w14:textId="41AD3674" w:rsidR="00F574E6" w:rsidRPr="00CA0A60" w:rsidRDefault="00F574E6" w:rsidP="00F574E6">
      <w:pPr>
        <w:widowControl w:val="0"/>
        <w:numPr>
          <w:ilvl w:val="0"/>
          <w:numId w:val="11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si el rescate tiene lugar en o antes de transcurridos </w:t>
      </w:r>
      <w:r w:rsidR="00FC107E">
        <w:rPr>
          <w:rFonts w:ascii="Garamond" w:hAnsi="Garamond" w:cs="Times New Roman"/>
          <w:sz w:val="20"/>
          <w:szCs w:val="20"/>
          <w:lang w:val="es-AR"/>
        </w:rPr>
        <w:t>12</w:t>
      </w:r>
      <w:r w:rsidRPr="00CA0A60">
        <w:rPr>
          <w:rFonts w:ascii="Garamond" w:hAnsi="Garamond" w:cs="Times New Roman"/>
          <w:sz w:val="20"/>
          <w:szCs w:val="20"/>
          <w:lang w:val="es-AR"/>
        </w:rPr>
        <w:t xml:space="preserve"> meses de la Fecha de Emisión, las Obligaciones Negociables se rescatarán a un precio de rescate equivalente </w:t>
      </w:r>
      <w:r w:rsidR="0028340E">
        <w:rPr>
          <w:rFonts w:ascii="Garamond" w:hAnsi="Garamond" w:cs="Times New Roman"/>
          <w:sz w:val="20"/>
          <w:szCs w:val="20"/>
          <w:lang w:val="es-AR"/>
        </w:rPr>
        <w:t xml:space="preserve">a (i) 100,00% del monto de capital de las Obligaciones Negociables a ser rescatadas </w:t>
      </w:r>
      <w:r w:rsidR="0028340E">
        <w:rPr>
          <w:rFonts w:ascii="Garamond" w:hAnsi="Garamond" w:cs="Times New Roman"/>
          <w:i/>
          <w:sz w:val="20"/>
          <w:szCs w:val="20"/>
          <w:lang w:val="es-AR"/>
        </w:rPr>
        <w:t xml:space="preserve">más </w:t>
      </w:r>
      <w:r w:rsidR="0028340E">
        <w:rPr>
          <w:rFonts w:ascii="Garamond" w:hAnsi="Garamond" w:cs="Times New Roman"/>
          <w:sz w:val="20"/>
          <w:szCs w:val="20"/>
          <w:lang w:val="es-AR"/>
        </w:rPr>
        <w:t xml:space="preserve">(ii) un monto tal que </w:t>
      </w:r>
      <w:r w:rsidR="00170EA0">
        <w:rPr>
          <w:rFonts w:ascii="Garamond" w:hAnsi="Garamond" w:cs="Times New Roman"/>
          <w:sz w:val="20"/>
          <w:szCs w:val="20"/>
          <w:lang w:val="es-AR"/>
        </w:rPr>
        <w:t>(x) la suma de dicho monto en conjunto con todos los pagos de intereses requeridos de las Obligaciones Negociables a ser rescatadas</w:t>
      </w:r>
      <w:r w:rsidR="00D47C16">
        <w:rPr>
          <w:rFonts w:ascii="Garamond" w:hAnsi="Garamond" w:cs="Times New Roman"/>
          <w:sz w:val="20"/>
          <w:szCs w:val="20"/>
          <w:lang w:val="es-AR"/>
        </w:rPr>
        <w:t xml:space="preserve"> desde la Fecha de Emisión hasta la fecha de rescate (incluyendo el pago de intereses devengados ya pagos en la fecha de rescate) </w:t>
      </w:r>
      <w:r w:rsidR="00D47C16">
        <w:rPr>
          <w:rFonts w:ascii="Garamond" w:hAnsi="Garamond" w:cs="Times New Roman"/>
          <w:i/>
          <w:sz w:val="20"/>
          <w:szCs w:val="20"/>
          <w:lang w:val="es-AR"/>
        </w:rPr>
        <w:t xml:space="preserve">dividido </w:t>
      </w:r>
      <w:r w:rsidR="00D47C16" w:rsidRPr="00A438F1">
        <w:rPr>
          <w:rFonts w:ascii="Garamond" w:hAnsi="Garamond" w:cs="Times New Roman"/>
          <w:sz w:val="20"/>
          <w:szCs w:val="20"/>
          <w:lang w:val="es-AR"/>
        </w:rPr>
        <w:t>por (y)</w:t>
      </w:r>
      <w:r w:rsidR="00D47C16">
        <w:rPr>
          <w:rFonts w:ascii="Garamond" w:hAnsi="Garamond" w:cs="Times New Roman"/>
          <w:sz w:val="20"/>
          <w:szCs w:val="20"/>
          <w:lang w:val="es-AR"/>
        </w:rPr>
        <w:t>el monto de capital de Obligaciones Negociables</w:t>
      </w:r>
      <w:r w:rsidR="00D47C16">
        <w:rPr>
          <w:rFonts w:ascii="Garamond" w:hAnsi="Garamond" w:cs="Times New Roman"/>
          <w:i/>
          <w:sz w:val="20"/>
          <w:szCs w:val="20"/>
          <w:lang w:val="es-AR"/>
        </w:rPr>
        <w:t xml:space="preserve"> </w:t>
      </w:r>
      <w:r w:rsidR="00D47C16">
        <w:rPr>
          <w:rFonts w:ascii="Garamond" w:hAnsi="Garamond" w:cs="Times New Roman"/>
          <w:sz w:val="20"/>
          <w:szCs w:val="20"/>
          <w:lang w:val="es-AR"/>
        </w:rPr>
        <w:t>a ser rescatadas en esa fecha de rescate, sea igual a 15,00%</w:t>
      </w:r>
      <w:r w:rsidRPr="00CA0A60">
        <w:rPr>
          <w:rFonts w:ascii="Garamond" w:hAnsi="Garamond" w:cs="Times New Roman"/>
          <w:sz w:val="20"/>
          <w:szCs w:val="20"/>
          <w:lang w:val="es-AR"/>
        </w:rPr>
        <w:t>a</w:t>
      </w:r>
      <w:r w:rsidR="00FC107E">
        <w:rPr>
          <w:rFonts w:ascii="Garamond" w:hAnsi="Garamond" w:cs="Times New Roman"/>
          <w:sz w:val="20"/>
          <w:szCs w:val="20"/>
          <w:lang w:val="es-AR"/>
        </w:rPr>
        <w:t>l valor que resulte mayor entre</w:t>
      </w:r>
      <w:r w:rsidRPr="00CA0A60">
        <w:rPr>
          <w:rFonts w:ascii="Garamond" w:hAnsi="Garamond" w:cs="Times New Roman"/>
          <w:sz w:val="20"/>
          <w:szCs w:val="20"/>
          <w:lang w:val="es-AR"/>
        </w:rPr>
        <w:t xml:space="preserve"> (</w:t>
      </w:r>
      <w:r w:rsidR="00FC107E">
        <w:rPr>
          <w:rFonts w:ascii="Garamond" w:hAnsi="Garamond" w:cs="Times New Roman"/>
          <w:sz w:val="20"/>
          <w:szCs w:val="20"/>
          <w:lang w:val="es-AR"/>
        </w:rPr>
        <w:t>1</w:t>
      </w:r>
      <w:r w:rsidRPr="00CA0A60">
        <w:rPr>
          <w:rFonts w:ascii="Garamond" w:hAnsi="Garamond" w:cs="Times New Roman"/>
          <w:sz w:val="20"/>
          <w:szCs w:val="20"/>
          <w:lang w:val="es-AR"/>
        </w:rPr>
        <w:t>) el 100,00% del monto de capital de las Obligaciones Negociables a ser rescatadas</w:t>
      </w:r>
      <w:r w:rsidR="00FC107E">
        <w:rPr>
          <w:rFonts w:ascii="Garamond" w:hAnsi="Garamond" w:cs="Times New Roman"/>
          <w:sz w:val="20"/>
          <w:szCs w:val="20"/>
          <w:lang w:val="es-AR"/>
        </w:rPr>
        <w:t>, y</w:t>
      </w:r>
      <w:r w:rsidRPr="00CA0A60">
        <w:rPr>
          <w:rFonts w:ascii="Garamond" w:hAnsi="Garamond" w:cs="Times New Roman"/>
          <w:sz w:val="20"/>
          <w:szCs w:val="20"/>
          <w:lang w:val="es-AR"/>
        </w:rPr>
        <w:t xml:space="preserve"> (</w:t>
      </w:r>
      <w:r w:rsidR="00FC107E">
        <w:rPr>
          <w:rFonts w:ascii="Garamond" w:hAnsi="Garamond" w:cs="Times New Roman"/>
          <w:sz w:val="20"/>
          <w:szCs w:val="20"/>
          <w:lang w:val="es-AR"/>
        </w:rPr>
        <w:t>2</w:t>
      </w:r>
      <w:r w:rsidRPr="00CA0A60">
        <w:rPr>
          <w:rFonts w:ascii="Garamond" w:hAnsi="Garamond" w:cs="Times New Roman"/>
          <w:sz w:val="20"/>
          <w:szCs w:val="20"/>
          <w:lang w:val="es-AR"/>
        </w:rPr>
        <w:t xml:space="preserve">) </w:t>
      </w:r>
      <w:r w:rsidR="00FC107E">
        <w:rPr>
          <w:rFonts w:ascii="Garamond" w:hAnsi="Garamond" w:cs="Times New Roman"/>
          <w:sz w:val="20"/>
          <w:szCs w:val="20"/>
          <w:lang w:val="es-AR"/>
        </w:rPr>
        <w:t xml:space="preserve">el valor vigente a esa fecha de rescate de (x) el precio de rescate de las Obligaciones Negociables según lo establecido en el inciso (b) a continuación más (ii) </w:t>
      </w:r>
      <w:r w:rsidRPr="00CA0A60">
        <w:rPr>
          <w:rFonts w:ascii="Garamond" w:hAnsi="Garamond" w:cs="Times New Roman"/>
          <w:sz w:val="20"/>
          <w:szCs w:val="20"/>
          <w:lang w:val="es-AR"/>
        </w:rPr>
        <w:t>todos los pagos de intereses</w:t>
      </w:r>
      <w:r w:rsidR="00FC107E">
        <w:rPr>
          <w:rFonts w:ascii="Garamond" w:hAnsi="Garamond" w:cs="Times New Roman"/>
          <w:sz w:val="20"/>
          <w:szCs w:val="20"/>
          <w:lang w:val="es-AR"/>
        </w:rPr>
        <w:t xml:space="preserve"> requeridos</w:t>
      </w:r>
      <w:r w:rsidRPr="00CA0A60">
        <w:rPr>
          <w:rFonts w:ascii="Garamond" w:hAnsi="Garamond" w:cs="Times New Roman"/>
          <w:sz w:val="20"/>
          <w:szCs w:val="20"/>
          <w:lang w:val="es-AR"/>
        </w:rPr>
        <w:t xml:space="preserve"> sobre las Obligaciones Negociables a ser rescatadas </w:t>
      </w:r>
      <w:r w:rsidR="00FC107E">
        <w:rPr>
          <w:rFonts w:ascii="Garamond" w:hAnsi="Garamond" w:cs="Times New Roman"/>
          <w:sz w:val="20"/>
          <w:szCs w:val="20"/>
          <w:lang w:val="es-AR"/>
        </w:rPr>
        <w:t>hasta el aniversario anual</w:t>
      </w:r>
      <w:r w:rsidR="00FC107E" w:rsidRPr="00CA0A60">
        <w:rPr>
          <w:rFonts w:ascii="Garamond" w:hAnsi="Garamond" w:cs="Times New Roman"/>
          <w:sz w:val="20"/>
          <w:szCs w:val="20"/>
          <w:lang w:val="es-AR"/>
        </w:rPr>
        <w:t xml:space="preserve"> </w:t>
      </w:r>
      <w:r w:rsidR="006B1E71" w:rsidRPr="00CA0A60">
        <w:rPr>
          <w:rFonts w:ascii="Garamond" w:hAnsi="Garamond" w:cs="Times New Roman"/>
          <w:sz w:val="20"/>
          <w:szCs w:val="20"/>
          <w:lang w:val="es-AR"/>
        </w:rPr>
        <w:t>de</w:t>
      </w:r>
      <w:r w:rsidR="00FC107E">
        <w:rPr>
          <w:rFonts w:ascii="Garamond" w:hAnsi="Garamond" w:cs="Times New Roman"/>
          <w:sz w:val="20"/>
          <w:szCs w:val="20"/>
          <w:lang w:val="es-AR"/>
        </w:rPr>
        <w:t xml:space="preserve"> </w:t>
      </w:r>
      <w:r w:rsidR="006B1E71" w:rsidRPr="00CA0A60">
        <w:rPr>
          <w:rFonts w:ascii="Garamond" w:hAnsi="Garamond" w:cs="Times New Roman"/>
          <w:sz w:val="20"/>
          <w:szCs w:val="20"/>
          <w:lang w:val="es-AR"/>
        </w:rPr>
        <w:t xml:space="preserve">la Fecha de Emisión </w:t>
      </w:r>
      <w:r w:rsidR="00FC107E">
        <w:rPr>
          <w:rFonts w:ascii="Garamond" w:hAnsi="Garamond" w:cs="Times New Roman"/>
          <w:sz w:val="20"/>
          <w:szCs w:val="20"/>
          <w:lang w:val="es-AR"/>
        </w:rPr>
        <w:t xml:space="preserve">(a exclusión de los intereses devengados e impagos hasta la fecha de rescate), en cada caso, descontados a la fecha de rescate en forma semestral (suponiendo un año de 360 días conformado por doce meses de 30 días) a la Tasa del Tesoro </w:t>
      </w:r>
      <w:r w:rsidR="00FC107E" w:rsidRPr="00A23B59">
        <w:rPr>
          <w:rFonts w:ascii="Garamond" w:hAnsi="Garamond" w:cs="Times New Roman"/>
          <w:i/>
          <w:sz w:val="20"/>
          <w:szCs w:val="20"/>
          <w:lang w:val="es-AR"/>
        </w:rPr>
        <w:t>más</w:t>
      </w:r>
      <w:r w:rsidR="00FC107E">
        <w:rPr>
          <w:rFonts w:ascii="Garamond" w:hAnsi="Garamond" w:cs="Times New Roman"/>
          <w:sz w:val="20"/>
          <w:szCs w:val="20"/>
          <w:lang w:val="es-AR"/>
        </w:rPr>
        <w:t xml:space="preserve"> 50 puntos básicos;</w:t>
      </w:r>
    </w:p>
    <w:p w14:paraId="5B4D0A9E" w14:textId="54BF7D77" w:rsidR="00F574E6" w:rsidRPr="00CA0A60" w:rsidRDefault="00F574E6" w:rsidP="00F574E6">
      <w:pPr>
        <w:widowControl w:val="0"/>
        <w:numPr>
          <w:ilvl w:val="0"/>
          <w:numId w:val="11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si la precancelación tiene lugar después de transcurridos </w:t>
      </w:r>
      <w:r w:rsidR="00135627">
        <w:rPr>
          <w:rFonts w:ascii="Garamond" w:hAnsi="Garamond" w:cs="Times New Roman"/>
          <w:sz w:val="20"/>
          <w:szCs w:val="20"/>
          <w:lang w:val="es-AR"/>
        </w:rPr>
        <w:t>12</w:t>
      </w:r>
      <w:r w:rsidRPr="00CA0A60">
        <w:rPr>
          <w:rFonts w:ascii="Garamond" w:hAnsi="Garamond" w:cs="Times New Roman"/>
          <w:sz w:val="20"/>
          <w:szCs w:val="20"/>
          <w:lang w:val="es-AR"/>
        </w:rPr>
        <w:t xml:space="preserve"> meses de la Fecha de Emisión pero en o antes de transcurridos </w:t>
      </w:r>
      <w:r w:rsidR="00845D78">
        <w:rPr>
          <w:rFonts w:ascii="Garamond" w:hAnsi="Garamond" w:cs="Times New Roman"/>
          <w:sz w:val="20"/>
          <w:szCs w:val="20"/>
          <w:lang w:val="es-AR"/>
        </w:rPr>
        <w:t>24</w:t>
      </w:r>
      <w:r w:rsidR="00845D78" w:rsidRPr="00CA0A60">
        <w:rPr>
          <w:rFonts w:ascii="Garamond" w:hAnsi="Garamond" w:cs="Times New Roman"/>
          <w:sz w:val="20"/>
          <w:szCs w:val="20"/>
          <w:lang w:val="es-AR"/>
        </w:rPr>
        <w:t xml:space="preserve"> </w:t>
      </w:r>
      <w:r w:rsidRPr="00CA0A60">
        <w:rPr>
          <w:rFonts w:ascii="Garamond" w:hAnsi="Garamond" w:cs="Times New Roman"/>
          <w:sz w:val="20"/>
          <w:szCs w:val="20"/>
          <w:lang w:val="es-AR"/>
        </w:rPr>
        <w:t>meses de la Fecha de Emisión, las Obligaciones Negociables se rescatarán a un precio de rescate equivalente a 103,75% de su monto de capital;</w:t>
      </w:r>
    </w:p>
    <w:p w14:paraId="6CEA10CC" w14:textId="4F591798" w:rsidR="00F574E6" w:rsidRPr="00CA0A60" w:rsidRDefault="00F574E6" w:rsidP="00F574E6">
      <w:pPr>
        <w:widowControl w:val="0"/>
        <w:numPr>
          <w:ilvl w:val="0"/>
          <w:numId w:val="11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si la precancelación tiene lugar después de transcurridos </w:t>
      </w:r>
      <w:r w:rsidR="00E5379F">
        <w:rPr>
          <w:rFonts w:ascii="Garamond" w:hAnsi="Garamond" w:cs="Times New Roman"/>
          <w:sz w:val="20"/>
          <w:szCs w:val="20"/>
          <w:lang w:val="es-AR"/>
        </w:rPr>
        <w:t>24</w:t>
      </w:r>
      <w:r w:rsidR="00E5379F" w:rsidRPr="00CA0A60">
        <w:rPr>
          <w:rFonts w:ascii="Garamond" w:hAnsi="Garamond" w:cs="Times New Roman"/>
          <w:sz w:val="20"/>
          <w:szCs w:val="20"/>
          <w:lang w:val="es-AR"/>
        </w:rPr>
        <w:t xml:space="preserve"> </w:t>
      </w:r>
      <w:r w:rsidRPr="00CA0A60">
        <w:rPr>
          <w:rFonts w:ascii="Garamond" w:hAnsi="Garamond" w:cs="Times New Roman"/>
          <w:sz w:val="20"/>
          <w:szCs w:val="20"/>
          <w:lang w:val="es-AR"/>
        </w:rPr>
        <w:t xml:space="preserve">meses de la Fecha de Emisión pero en o antes de transcurridos </w:t>
      </w:r>
      <w:r w:rsidR="00E5379F">
        <w:rPr>
          <w:rFonts w:ascii="Garamond" w:hAnsi="Garamond" w:cs="Times New Roman"/>
          <w:sz w:val="20"/>
          <w:szCs w:val="20"/>
          <w:lang w:val="es-AR"/>
        </w:rPr>
        <w:t xml:space="preserve">36 </w:t>
      </w:r>
      <w:r w:rsidR="00E5379F" w:rsidRPr="00CA0A60">
        <w:rPr>
          <w:rFonts w:ascii="Garamond" w:hAnsi="Garamond" w:cs="Times New Roman"/>
          <w:sz w:val="20"/>
          <w:szCs w:val="20"/>
          <w:lang w:val="es-AR"/>
        </w:rPr>
        <w:t xml:space="preserve"> </w:t>
      </w:r>
      <w:r w:rsidRPr="00CA0A60">
        <w:rPr>
          <w:rFonts w:ascii="Garamond" w:hAnsi="Garamond" w:cs="Times New Roman"/>
          <w:sz w:val="20"/>
          <w:szCs w:val="20"/>
          <w:lang w:val="es-AR"/>
        </w:rPr>
        <w:t>meses de la Fecha de Emisión, las Obligaciones Negociables se rescatarán a un precio de rescate equivalente al 102,00% de su monto de capital;</w:t>
      </w:r>
      <w:r w:rsidR="006B1E71" w:rsidRPr="00CA0A60">
        <w:rPr>
          <w:rFonts w:ascii="Garamond" w:hAnsi="Garamond" w:cs="Times New Roman"/>
          <w:sz w:val="20"/>
          <w:szCs w:val="20"/>
          <w:lang w:val="es-AR"/>
        </w:rPr>
        <w:t xml:space="preserve"> y</w:t>
      </w:r>
    </w:p>
    <w:p w14:paraId="6A93653B" w14:textId="003B95F1" w:rsidR="00F574E6" w:rsidRPr="00CA0A60" w:rsidRDefault="00F574E6" w:rsidP="00F574E6">
      <w:pPr>
        <w:widowControl w:val="0"/>
        <w:numPr>
          <w:ilvl w:val="0"/>
          <w:numId w:val="11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si la precancelación tiene lugar después de transcurridos </w:t>
      </w:r>
      <w:r w:rsidR="00E5379F">
        <w:rPr>
          <w:rFonts w:ascii="Garamond" w:hAnsi="Garamond" w:cs="Times New Roman"/>
          <w:sz w:val="20"/>
          <w:szCs w:val="20"/>
          <w:lang w:val="es-AR"/>
        </w:rPr>
        <w:t>36</w:t>
      </w:r>
      <w:r w:rsidR="00E5379F" w:rsidRPr="00CA0A60">
        <w:rPr>
          <w:rFonts w:ascii="Garamond" w:hAnsi="Garamond" w:cs="Times New Roman"/>
          <w:sz w:val="20"/>
          <w:szCs w:val="20"/>
          <w:lang w:val="es-AR"/>
        </w:rPr>
        <w:t xml:space="preserve"> </w:t>
      </w:r>
      <w:r w:rsidRPr="00CA0A60">
        <w:rPr>
          <w:rFonts w:ascii="Garamond" w:hAnsi="Garamond" w:cs="Times New Roman"/>
          <w:sz w:val="20"/>
          <w:szCs w:val="20"/>
          <w:lang w:val="es-AR"/>
        </w:rPr>
        <w:t>meses de la Fecha de Emisión, las Obligaciones Negociables se rescatarán a un precio de rescate equivalente a 100,0% de su monto de capital.</w:t>
      </w:r>
    </w:p>
    <w:p w14:paraId="339F83D7" w14:textId="5C7010AF"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Rescate Opcional por Motivos Impositivos:</w:t>
      </w:r>
      <w:r w:rsidRPr="00CA0A60">
        <w:rPr>
          <w:rFonts w:ascii="Garamond" w:hAnsi="Garamond" w:cs="Times New Roman"/>
          <w:sz w:val="20"/>
          <w:szCs w:val="20"/>
          <w:lang w:val="es-AR"/>
        </w:rPr>
        <w:t xml:space="preserve"> Las Co-Emisoras podrán rescatar las Obligaciones Negociables en su totalidad, pero no parcialmente, en cualquier momento previa notificación a los Tenedores con una antelación no menor a 30 días ni mayor a 60 días (notificación ésta que será irrevocable), a un precio de rescate equivalente al 100,0% del capital en circulación de las Obligaciones Negociables, junto con los Montos Adicionales y los intereses devengados e impagos correspondientes, pero con exclusión de la fecha de rescate (sujeto al derecho de los Tenedores de registro en la fecha de registro pertinente de recibir los intereses vencidos en la Fecha de Pago de Intereses correspondiente) si, como consecuencia de (1) una modificación o cambio en las leyes (o normas, reglamentaciones y sentencias que se deriven de ellas), en los tratados de la Jurisdicción Fiscal Pertinente, o (2) un cambio o modificación en la aplicación, administración o interpretación oficial de dichas leyes, normas, reglamentaciones, sentencias o tratados (entre ellos, a mero título enunciativo, la decisión de un tribunal competente), cuando dichos cambios o modificaciones se tornan efectivos en la Fecha de Emisión o con posterioridad a ella (o, si una Jurisdicción Fiscal Pertinente se convierte en una Jurisdicción Fiscal Pertinente luego de la Fecha de Emisión, tras dicha fecha posterior), el Pagador se vería obligado, luego de tomar todas las medidas razonables para evitar este requisito (entendiéndose que el cambio de jurisdicción de la constitución de un Pagador o de la ubicación de su oficina ejecutiva principal, no constituyen medidas razonables) de pagar cualesquiera Montos Adicionales </w:t>
      </w:r>
      <w:r w:rsidR="006C6F02">
        <w:rPr>
          <w:rFonts w:ascii="Garamond" w:hAnsi="Garamond" w:cs="Times New Roman"/>
          <w:sz w:val="20"/>
          <w:szCs w:val="20"/>
          <w:lang w:val="es-AR"/>
        </w:rPr>
        <w:t xml:space="preserve">atribuibles a una tasa </w:t>
      </w:r>
      <w:r w:rsidR="008C5171">
        <w:rPr>
          <w:rFonts w:ascii="Garamond" w:hAnsi="Garamond" w:cs="Times New Roman"/>
          <w:sz w:val="20"/>
          <w:szCs w:val="20"/>
          <w:lang w:val="es-AR"/>
        </w:rPr>
        <w:t xml:space="preserve">efectiva </w:t>
      </w:r>
      <w:r w:rsidR="006C6F02">
        <w:rPr>
          <w:rFonts w:ascii="Garamond" w:hAnsi="Garamond" w:cs="Times New Roman"/>
          <w:sz w:val="20"/>
          <w:szCs w:val="20"/>
          <w:lang w:val="es-AR"/>
        </w:rPr>
        <w:t xml:space="preserve">de retención </w:t>
      </w:r>
      <w:r w:rsidR="008C5171">
        <w:rPr>
          <w:rFonts w:ascii="Garamond" w:hAnsi="Garamond" w:cs="Times New Roman"/>
          <w:sz w:val="20"/>
          <w:szCs w:val="20"/>
          <w:lang w:val="es-AR"/>
        </w:rPr>
        <w:t>impositiva a</w:t>
      </w:r>
      <w:r w:rsidR="006C6F02">
        <w:rPr>
          <w:rFonts w:ascii="Garamond" w:hAnsi="Garamond" w:cs="Times New Roman"/>
          <w:sz w:val="20"/>
          <w:szCs w:val="20"/>
          <w:lang w:val="es-AR"/>
        </w:rPr>
        <w:t xml:space="preserve">rgentina igual o superior a </w:t>
      </w:r>
      <w:r w:rsidR="00F20846">
        <w:rPr>
          <w:rFonts w:ascii="Garamond" w:hAnsi="Garamond" w:cs="Times New Roman"/>
          <w:sz w:val="20"/>
          <w:szCs w:val="20"/>
          <w:lang w:val="es-AR"/>
        </w:rPr>
        <w:t>9</w:t>
      </w:r>
      <w:r w:rsidR="006C6F02">
        <w:rPr>
          <w:rFonts w:ascii="Garamond" w:hAnsi="Garamond" w:cs="Times New Roman"/>
          <w:sz w:val="20"/>
          <w:szCs w:val="20"/>
          <w:lang w:val="es-AR"/>
        </w:rPr>
        <w:t>,0% con respecto a los pagos de los Obligaciones Negociables,</w:t>
      </w:r>
      <w:r w:rsidR="00D47C16">
        <w:rPr>
          <w:rFonts w:ascii="Garamond" w:hAnsi="Garamond" w:cs="Times New Roman"/>
          <w:sz w:val="20"/>
          <w:szCs w:val="20"/>
          <w:lang w:val="es-AR"/>
        </w:rPr>
        <w:t xml:space="preserve"> </w:t>
      </w:r>
      <w:r w:rsidRPr="00CA0A60">
        <w:rPr>
          <w:rFonts w:ascii="Garamond" w:hAnsi="Garamond" w:cs="Times New Roman"/>
          <w:sz w:val="20"/>
          <w:szCs w:val="20"/>
          <w:lang w:val="es-AR"/>
        </w:rPr>
        <w:t>en la fecha en que tal cambio o modificación se efectiviza</w:t>
      </w:r>
      <w:r w:rsidR="006C6F02">
        <w:rPr>
          <w:rFonts w:ascii="Garamond" w:hAnsi="Garamond" w:cs="Times New Roman"/>
          <w:sz w:val="20"/>
          <w:szCs w:val="20"/>
          <w:lang w:val="es-AR"/>
        </w:rPr>
        <w:t>ra;</w:t>
      </w:r>
      <w:r w:rsidRPr="00CA0A60">
        <w:rPr>
          <w:rFonts w:ascii="Garamond" w:hAnsi="Garamond" w:cs="Times New Roman"/>
          <w:sz w:val="20"/>
          <w:szCs w:val="20"/>
          <w:lang w:val="es-AR"/>
        </w:rPr>
        <w:t xml:space="preserve"> </w:t>
      </w:r>
      <w:r w:rsidRPr="00A438F1">
        <w:rPr>
          <w:rFonts w:ascii="Garamond" w:hAnsi="Garamond" w:cs="Times New Roman"/>
          <w:sz w:val="20"/>
          <w:szCs w:val="20"/>
          <w:u w:val="single"/>
          <w:lang w:val="es-AR"/>
        </w:rPr>
        <w:t>disponiéndose</w:t>
      </w:r>
      <w:r w:rsidRPr="00CA0A60">
        <w:rPr>
          <w:rFonts w:ascii="Garamond" w:hAnsi="Garamond" w:cs="Times New Roman"/>
          <w:sz w:val="20"/>
          <w:szCs w:val="20"/>
          <w:lang w:val="es-AR"/>
        </w:rPr>
        <w:t xml:space="preserve"> a tal efecto que (i) no se podrá enviar notificación de rescate por motivos impositivos con una antelación mayor a 90 días de la fecha más temprana en la que el Pagador esté obligado a pagar estos Montos Adicionales, si las Obligaciones Negociables fueran pagaderas en ese momento, y (ii) al momento de notificar el rescate la obligación de pagar los Montos Adicionales permaneciera vigente.</w:t>
      </w:r>
    </w:p>
    <w:p w14:paraId="0991AF2B" w14:textId="08F3DC8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Previo a la notificación de rescate conforme lo que aquí se dispone, las Co-Emisoras entregarán al Fiduciario:</w:t>
      </w:r>
    </w:p>
    <w:p w14:paraId="34F9B2DA" w14:textId="0C551721" w:rsidR="00F574E6" w:rsidRPr="00CA0A60" w:rsidRDefault="00F574E6" w:rsidP="00F574E6">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un </w:t>
      </w:r>
      <w:r w:rsidR="00E5379F">
        <w:rPr>
          <w:rFonts w:ascii="Garamond" w:hAnsi="Garamond" w:cs="Times New Roman"/>
          <w:sz w:val="20"/>
          <w:szCs w:val="20"/>
          <w:lang w:val="es-AR"/>
        </w:rPr>
        <w:t>C</w:t>
      </w:r>
      <w:r w:rsidRPr="00CA0A60">
        <w:rPr>
          <w:rFonts w:ascii="Garamond" w:hAnsi="Garamond" w:cs="Times New Roman"/>
          <w:sz w:val="20"/>
          <w:szCs w:val="20"/>
          <w:lang w:val="es-AR"/>
        </w:rPr>
        <w:t xml:space="preserve">ertificado </w:t>
      </w:r>
      <w:r w:rsidR="00E5379F">
        <w:rPr>
          <w:rFonts w:ascii="Garamond" w:hAnsi="Garamond" w:cs="Times New Roman"/>
          <w:sz w:val="20"/>
          <w:szCs w:val="20"/>
          <w:lang w:val="es-AR"/>
        </w:rPr>
        <w:t xml:space="preserve">de Directivos </w:t>
      </w:r>
      <w:r w:rsidRPr="00CA0A60">
        <w:rPr>
          <w:rFonts w:ascii="Garamond" w:hAnsi="Garamond" w:cs="Times New Roman"/>
          <w:sz w:val="20"/>
          <w:szCs w:val="20"/>
          <w:lang w:val="es-AR"/>
        </w:rPr>
        <w:t>en el que se declara que las Co-Emisoras tienen la facultad de efectuar el rescate y en el que constan los hechos que prueban que las condiciones suspensivas para el rescate de las Co-Emisoras se han cumplido, y</w:t>
      </w:r>
    </w:p>
    <w:p w14:paraId="6A4F31CE" w14:textId="06181DBC" w:rsidR="00F574E6" w:rsidRPr="00CA0A60" w:rsidRDefault="00F574E6" w:rsidP="00F574E6">
      <w:pPr>
        <w:widowControl w:val="0"/>
        <w:numPr>
          <w:ilvl w:val="0"/>
          <w:numId w:val="7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una Opinión Legal de la Jurisdicción Fiscal Pertinente en el que conste que el Pagador está o estará obligado </w:t>
      </w:r>
      <w:r w:rsidRPr="00CA0A60">
        <w:rPr>
          <w:rFonts w:ascii="Garamond" w:hAnsi="Garamond" w:cs="Times New Roman"/>
          <w:sz w:val="20"/>
          <w:szCs w:val="20"/>
          <w:lang w:val="es-AR"/>
        </w:rPr>
        <w:lastRenderedPageBreak/>
        <w:t>a pagar dichos Montos Adicionales como consecuencia del cambio o modificación, y que el Pagador no puede escapar a la obligación de pagar los Montos Adicionales mediante las medidas razonables que tiene a disposición.</w:t>
      </w:r>
    </w:p>
    <w:p w14:paraId="7B369927" w14:textId="3AF33E44"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Procedimientos del Rescate Opcional:</w:t>
      </w:r>
      <w:r w:rsidRPr="00CA0A60">
        <w:rPr>
          <w:rFonts w:ascii="Garamond" w:hAnsi="Garamond" w:cs="Times New Roman"/>
          <w:sz w:val="20"/>
          <w:szCs w:val="20"/>
          <w:lang w:val="es-AR"/>
        </w:rPr>
        <w:t xml:space="preserve"> Si en algún momento se rescataran menos de la totalidad de las Obligaciones Negociables, la elección de las Obligaciones Negociables a rescatar se efectuará (1) de conformidad con las normas de la CNV, los requisitos del BYMA (en tanto las Obligaciones Negociables estén listadas en el BYMA) y los requisitos de cualquier otra bolsa de valores nacional principal, si la hubiera, en la que se listen dichas Obligaciones Negociables y todo procedimiento de depósito aplicable, (2) por lote o método similar de conformidad con los procedimientos aplicables de DTC (si se trata de certificados globales), o (3) si no existen tales requisitos de tal bolsa de valores o las Obligaciones Negociables no se listan en ese momento en una bolsa de valores nacional, en forma proporcional, de conformidad con el procedimiento pertinente de DTC, o por el método que el Fiduciario considere justo y razonable. No se podrán rescatar en forma parcial Obligaciones Negociables por un capital de U$S </w:t>
      </w:r>
      <w:r w:rsidR="006C6F02">
        <w:rPr>
          <w:rFonts w:ascii="Garamond" w:hAnsi="Garamond" w:cs="Times New Roman"/>
          <w:sz w:val="20"/>
          <w:szCs w:val="20"/>
          <w:lang w:val="es-AR"/>
        </w:rPr>
        <w:t>5</w:t>
      </w:r>
      <w:r w:rsidRPr="00CA0A60">
        <w:rPr>
          <w:rFonts w:ascii="Garamond" w:hAnsi="Garamond" w:cs="Times New Roman"/>
          <w:sz w:val="20"/>
          <w:szCs w:val="20"/>
          <w:lang w:val="es-AR"/>
        </w:rPr>
        <w:t>0.000 o menor, y las Obligaciones Negociables de un capital superior a U$S </w:t>
      </w:r>
      <w:r w:rsidR="006C6F02">
        <w:rPr>
          <w:rFonts w:ascii="Garamond" w:hAnsi="Garamond" w:cs="Times New Roman"/>
          <w:sz w:val="20"/>
          <w:szCs w:val="20"/>
          <w:lang w:val="es-AR"/>
        </w:rPr>
        <w:t>5</w:t>
      </w:r>
      <w:r w:rsidRPr="00CA0A60">
        <w:rPr>
          <w:rFonts w:ascii="Garamond" w:hAnsi="Garamond" w:cs="Times New Roman"/>
          <w:sz w:val="20"/>
          <w:szCs w:val="20"/>
          <w:lang w:val="es-AR"/>
        </w:rPr>
        <w:t>0.000 podrán ser rescatadas en forma parcial únicamente en múltiplos de U$S 1.000.</w:t>
      </w:r>
    </w:p>
    <w:p w14:paraId="789E6DE4"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notificaciones de rescate opcional cursadas del modo previsto en el apartado “</w:t>
      </w:r>
      <w:r w:rsidRPr="00CA0A60">
        <w:rPr>
          <w:rFonts w:ascii="Garamond" w:hAnsi="Garamond" w:cs="Times New Roman"/>
          <w:i/>
          <w:sz w:val="20"/>
          <w:szCs w:val="20"/>
          <w:lang w:val="es-AR"/>
        </w:rPr>
        <w:t>Notificaciones</w:t>
      </w:r>
      <w:r w:rsidRPr="00CA0A60">
        <w:rPr>
          <w:rFonts w:ascii="Garamond" w:hAnsi="Garamond" w:cs="Times New Roman"/>
          <w:sz w:val="20"/>
          <w:szCs w:val="20"/>
          <w:lang w:val="es-AR"/>
        </w:rPr>
        <w:t>” de la presente sección, con una antelación no menor a 30 días ni mayor a 60 días de la fecha de rescate, al domicilio del Tenedor que conste en los libros de registro de títulos valores o de alguna otra manera de conformidad con los procedimientos de DTC y las disposiciones descriptas en la sección “</w:t>
      </w:r>
      <w:r w:rsidRPr="00CA0A60">
        <w:rPr>
          <w:rFonts w:ascii="Garamond" w:hAnsi="Garamond" w:cs="Times New Roman"/>
          <w:i/>
          <w:sz w:val="20"/>
          <w:szCs w:val="20"/>
          <w:lang w:val="es-AR"/>
        </w:rPr>
        <w:t>Notificaciones</w:t>
      </w:r>
      <w:r w:rsidRPr="00CA0A60">
        <w:rPr>
          <w:rFonts w:ascii="Garamond" w:hAnsi="Garamond" w:cs="Times New Roman"/>
          <w:sz w:val="20"/>
          <w:szCs w:val="20"/>
          <w:lang w:val="es-AR"/>
        </w:rPr>
        <w:t>”. Si las Obligaciones Negociables se rescatan solamente en forma parcial, la notificación de rescate indicará la porción de capital de ellas que se rescata. Una vez cancelada la obligación negociable originaria, se emitirá una nueva obligación negociable por un capital equivalente a la porción de capital no rescatado, si hubiera (o se realizarán los ajustes apropiados al monto y participaciones beneficiarias del Certificado Global, según corresponda).</w:t>
      </w:r>
    </w:p>
    <w:p w14:paraId="70EAC66D"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Negociables que se rescatan vencerán en la fecha de rescate establecida. Las Co-Emisoras abonarán el precio de rescate de cada obligación negociable junto con los intereses devengados impagos correspondientes, pero con exclusión de la fecha de rescate, y los Montos Adicionales Adiciones, si los hubiera, vencidos o que venzan en la fecha de rescate como consecuencia del rescate o por alguna otra razón. A partir de la fecha de rescate, no se devengarán más intereses sobre las Obligaciones Negociables o porciones de ellas que se rescatan siempre que las Co-Emisoras hayan depositado con el agente de pago pertinente los fondos para cumplimentar con el precio de rescate aplicable junto con los intereses devengados e impagos y los Montos Adicionales, si hubiera, de conformidad con el Contrato de Fideicomiso. Con posterioridad al rescate, las Obligaciones Negociables rescatadas se cancelarán y no podrán emitirse nuevamente.</w:t>
      </w:r>
    </w:p>
    <w:p w14:paraId="400636F8" w14:textId="77777777" w:rsidR="00F574E6" w:rsidRPr="00CA0A60" w:rsidRDefault="00F574E6" w:rsidP="002C2444">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 en cualquier momento se rescatara un número inferior al total de las Obligaciones Negociables de acuerdo con las disposiciones del Contrato de Fideicomiso descriptas en “—Rescate Opcional”, el monto de capital de las Obligaciones Negociables a ser precancelado será imputado proporcionalmente a las cuotas de amortización de capital de las Obligaciones Negociables.</w:t>
      </w:r>
    </w:p>
    <w:p w14:paraId="0F74C984" w14:textId="77777777" w:rsidR="00F574E6" w:rsidRPr="00CA0A60" w:rsidRDefault="00F574E6" w:rsidP="002C2444">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p>
    <w:p w14:paraId="0E6375F1" w14:textId="77777777" w:rsidR="00F574E6" w:rsidRPr="00CA0A60" w:rsidRDefault="00F574E6" w:rsidP="00F574E6">
      <w:pPr>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Ofertas Obligatorias de Compra de Obligaciones Negociables</w:t>
      </w:r>
    </w:p>
    <w:p w14:paraId="18B05FBE"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Negociables estarán sujetas a rescate obligatorio antes de su vencimiento en las siguientes circunstancias.</w:t>
      </w:r>
    </w:p>
    <w:p w14:paraId="46AD9D8D" w14:textId="77777777" w:rsidR="00F574E6" w:rsidRPr="00CA0A60" w:rsidRDefault="00F574E6" w:rsidP="00F574E6">
      <w:pPr>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Supuesto de Pérdida, Expropiación y Venta de Activos</w:t>
      </w:r>
    </w:p>
    <w:p w14:paraId="0D81F561" w14:textId="7D516A1B"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Sujeto a</w:t>
      </w:r>
      <w:r w:rsidR="00135627">
        <w:rPr>
          <w:rFonts w:ascii="Garamond" w:hAnsi="Garamond" w:cs="Times New Roman"/>
          <w:sz w:val="20"/>
          <w:szCs w:val="20"/>
          <w:lang w:val="es-AR"/>
        </w:rPr>
        <w:t xml:space="preserve"> </w:t>
      </w:r>
      <w:r w:rsidRPr="00CA0A60">
        <w:rPr>
          <w:rFonts w:ascii="Garamond" w:hAnsi="Garamond" w:cs="Times New Roman"/>
          <w:sz w:val="20"/>
          <w:szCs w:val="20"/>
          <w:lang w:val="es-AR"/>
        </w:rPr>
        <w:t>l</w:t>
      </w:r>
      <w:r w:rsidR="00135627">
        <w:rPr>
          <w:rFonts w:ascii="Garamond" w:hAnsi="Garamond" w:cs="Times New Roman"/>
          <w:sz w:val="20"/>
          <w:szCs w:val="20"/>
          <w:lang w:val="es-AR"/>
        </w:rPr>
        <w:t>as disposiciones del Contrato de Fideicomiso establecidas en el</w:t>
      </w:r>
      <w:r w:rsidRPr="00CA0A60">
        <w:rPr>
          <w:rFonts w:ascii="Garamond" w:hAnsi="Garamond" w:cs="Times New Roman"/>
          <w:sz w:val="20"/>
          <w:szCs w:val="20"/>
          <w:lang w:val="es-AR"/>
        </w:rPr>
        <w:t xml:space="preserve"> último párrafo de este título “—</w:t>
      </w:r>
      <w:r w:rsidRPr="00CA0A60">
        <w:rPr>
          <w:rFonts w:ascii="Garamond" w:hAnsi="Garamond" w:cs="Times New Roman"/>
          <w:i/>
          <w:sz w:val="20"/>
          <w:szCs w:val="20"/>
          <w:lang w:val="es-AR"/>
        </w:rPr>
        <w:t>Supuesto de Pérdida, Expropiación y Venta de Activos</w:t>
      </w:r>
      <w:r w:rsidRPr="00CA0A60">
        <w:rPr>
          <w:rFonts w:ascii="Garamond" w:hAnsi="Garamond" w:cs="Times New Roman"/>
          <w:sz w:val="20"/>
          <w:szCs w:val="20"/>
          <w:lang w:val="es-AR"/>
        </w:rPr>
        <w:t>”, ante el acaecimiento de (i) un Supuesto de Pérdida, (ii) una Expropiación, o (iii) una Venta de Activos (excepto una Venta de Activos permitida bajo el compromiso del Contrato de Fideicomiso descripto en “</w:t>
      </w:r>
      <w:r w:rsidRPr="00CA0A60">
        <w:rPr>
          <w:rFonts w:ascii="Garamond" w:hAnsi="Garamond" w:cs="Times New Roman"/>
          <w:i/>
          <w:sz w:val="20"/>
          <w:szCs w:val="20"/>
          <w:lang w:val="es-AR"/>
        </w:rPr>
        <w:t>Ciertos Compromisos—Limitación a las Ventas de Activos</w:t>
      </w:r>
      <w:r w:rsidRPr="00CA0A60">
        <w:rPr>
          <w:rFonts w:ascii="Garamond" w:hAnsi="Garamond" w:cs="Times New Roman"/>
          <w:sz w:val="20"/>
          <w:szCs w:val="20"/>
          <w:lang w:val="es-AR"/>
        </w:rPr>
        <w:t>”), las Co-Emisoras ofrecerán comprar Obligaciones Negociables en forma proporcional por un monto de capital total de hasta (x) el 100% de los Fondos Netos en Efectivo de dicho Supuesto de Pérdida, Expropiación o Venta de Activos (excepto una Venta de Activos permitida bajo el compromiso del Contrato de Fideicomiso descripto en “</w:t>
      </w:r>
      <w:r w:rsidRPr="00CA0A60">
        <w:rPr>
          <w:rFonts w:ascii="Garamond" w:hAnsi="Garamond" w:cs="Times New Roman"/>
          <w:i/>
          <w:sz w:val="20"/>
          <w:szCs w:val="20"/>
          <w:lang w:val="es-AR"/>
        </w:rPr>
        <w:t>Ciertos Compromisos—Limitación a las Ventas de Activos</w:t>
      </w:r>
      <w:r w:rsidRPr="00CA0A60">
        <w:rPr>
          <w:rFonts w:ascii="Garamond" w:hAnsi="Garamond" w:cs="Times New Roman"/>
          <w:sz w:val="20"/>
          <w:szCs w:val="20"/>
          <w:lang w:val="es-AR"/>
        </w:rPr>
        <w:t>”) o (y) el monto de capital total de las Obligaciones Negociables pendientes en ese entonces, el que fuera inferior, a un precio de compra equivalente a :</w:t>
      </w:r>
    </w:p>
    <w:p w14:paraId="4DAF44D5" w14:textId="77777777" w:rsidR="00F574E6" w:rsidRPr="00CA0A60" w:rsidRDefault="00F574E6" w:rsidP="00F574E6">
      <w:pPr>
        <w:widowControl w:val="0"/>
        <w:numPr>
          <w:ilvl w:val="0"/>
          <w:numId w:val="140"/>
        </w:numPr>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(x) en el caso de un Supuesto de Pérdida o una Expropiación, el 100% de su monto de capital, o </w:t>
      </w:r>
    </w:p>
    <w:p w14:paraId="57F07ADD" w14:textId="77777777" w:rsidR="00F574E6" w:rsidRPr="00CA0A60" w:rsidRDefault="00F574E6" w:rsidP="00F574E6">
      <w:pPr>
        <w:widowControl w:val="0"/>
        <w:numPr>
          <w:ilvl w:val="0"/>
          <w:numId w:val="140"/>
        </w:numPr>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(y) en el caso de una Venta de Activos, el precio de compra indicado en “Rescate Opcional” que se hubiera aplicado al momento de la recepción de los Fondos Netos en Efectivo derivados de dicha Venta de Activos, </w:t>
      </w:r>
    </w:p>
    <w:p w14:paraId="3FA6682C"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cada caso, más los Montos Adicionales e intereses devengados e impagos hasta la fecha de compra exclusive (sujeto al derecho de los Tenedores de registro en la fecha de registro pertinente de recibir el interés vencido </w:t>
      </w:r>
      <w:r w:rsidRPr="00CA0A60">
        <w:rPr>
          <w:rFonts w:ascii="Garamond" w:hAnsi="Garamond" w:cs="Times New Roman"/>
          <w:sz w:val="20"/>
          <w:szCs w:val="20"/>
          <w:lang w:val="es-AR"/>
        </w:rPr>
        <w:lastRenderedPageBreak/>
        <w:t>en la Fecha de Pago de Intereses pertinente en la medida que dicha fecha sea anterior a la fecha de compra)</w:t>
      </w:r>
      <w:r w:rsidRPr="00CA0A60">
        <w:rPr>
          <w:rFonts w:ascii="Garamond" w:eastAsia="Times New Roman" w:hAnsi="Garamond" w:cs="Times New Roman"/>
          <w:sz w:val="20"/>
          <w:szCs w:val="20"/>
          <w:lang w:val="es-AR" w:eastAsia="zh-CN" w:bidi="he-IL"/>
        </w:rPr>
        <w:t>; quedando establecido que las Co-Emisoras no estarán obligadas a ofrecer comprar Obligaciones Negociables con dichos Fondos Netos en Efectivo si se cumplen las siguientes condiciones:</w:t>
      </w:r>
    </w:p>
    <w:p w14:paraId="6DF72B6F" w14:textId="5C4C9C15" w:rsidR="00F574E6" w:rsidRPr="00CA0A60" w:rsidRDefault="00F574E6" w:rsidP="00F574E6">
      <w:pPr>
        <w:widowControl w:val="0"/>
        <w:tabs>
          <w:tab w:val="left" w:pos="284"/>
          <w:tab w:val="left" w:pos="709"/>
          <w:tab w:val="left" w:pos="8789"/>
        </w:tabs>
        <w:spacing w:before="120" w:after="120"/>
        <w:ind w:left="284"/>
        <w:jc w:val="both"/>
        <w:rPr>
          <w:rFonts w:ascii="Garamond" w:hAnsi="Garamond" w:cs="Times New Roman"/>
          <w:sz w:val="20"/>
          <w:szCs w:val="20"/>
          <w:lang w:val="es-AR"/>
        </w:rPr>
      </w:pPr>
      <w:r w:rsidRPr="00CA0A60">
        <w:rPr>
          <w:rFonts w:ascii="Garamond" w:eastAsia="Times New Roman" w:hAnsi="Garamond" w:cs="Times New Roman"/>
          <w:sz w:val="20"/>
          <w:szCs w:val="20"/>
          <w:lang w:val="es-AR" w:eastAsia="zh-CN" w:bidi="he-IL"/>
        </w:rPr>
        <w:t>a)</w:t>
      </w:r>
      <w:r w:rsidRPr="00CA0A60">
        <w:rPr>
          <w:rFonts w:ascii="Garamond" w:eastAsia="Times New Roman" w:hAnsi="Garamond" w:cs="Times New Roman"/>
          <w:sz w:val="20"/>
          <w:szCs w:val="20"/>
          <w:lang w:val="es-AR" w:eastAsia="zh-CN" w:bidi="he-IL"/>
        </w:rPr>
        <w:tab/>
        <w:t xml:space="preserve">no hubiese ocurrido </w:t>
      </w:r>
      <w:r w:rsidR="00843748">
        <w:rPr>
          <w:rFonts w:ascii="Garamond" w:eastAsia="Times New Roman" w:hAnsi="Garamond" w:cs="Times New Roman"/>
          <w:sz w:val="20"/>
          <w:szCs w:val="20"/>
          <w:lang w:val="es-AR" w:eastAsia="zh-CN" w:bidi="he-IL"/>
        </w:rPr>
        <w:t>ni se hubiese mantenido</w:t>
      </w:r>
      <w:r w:rsidRPr="00CA0A60">
        <w:rPr>
          <w:rFonts w:ascii="Garamond" w:eastAsia="Times New Roman" w:hAnsi="Garamond" w:cs="Times New Roman"/>
          <w:sz w:val="20"/>
          <w:szCs w:val="20"/>
          <w:lang w:val="es-AR" w:eastAsia="zh-CN" w:bidi="he-IL"/>
        </w:rPr>
        <w:t xml:space="preserve"> un Supuesto de Incumplimiento, </w:t>
      </w:r>
    </w:p>
    <w:p w14:paraId="3E4A3E28" w14:textId="20A89185" w:rsidR="00F574E6" w:rsidRPr="00CA0A60" w:rsidRDefault="00F574E6" w:rsidP="00F574E6">
      <w:pPr>
        <w:widowControl w:val="0"/>
        <w:tabs>
          <w:tab w:val="left" w:pos="284"/>
          <w:tab w:val="left" w:pos="709"/>
          <w:tab w:val="left" w:pos="8789"/>
        </w:tabs>
        <w:spacing w:before="120" w:after="120"/>
        <w:ind w:left="284"/>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b)</w:t>
      </w:r>
      <w:r w:rsidRPr="00CA0A60">
        <w:rPr>
          <w:rFonts w:ascii="Garamond" w:eastAsia="Times New Roman" w:hAnsi="Garamond" w:cs="Times New Roman"/>
          <w:sz w:val="20"/>
          <w:szCs w:val="20"/>
          <w:lang w:val="es-AR" w:eastAsia="zh-CN" w:bidi="he-IL"/>
        </w:rPr>
        <w:tab/>
        <w:t>las Co-Emisoras notifiquen por escrito (una “</w:t>
      </w:r>
      <w:r w:rsidRPr="00CA0A60">
        <w:rPr>
          <w:rFonts w:ascii="Garamond" w:eastAsia="Times New Roman" w:hAnsi="Garamond" w:cs="Times New Roman"/>
          <w:sz w:val="20"/>
          <w:szCs w:val="20"/>
          <w:u w:val="single"/>
          <w:lang w:val="es-AR" w:eastAsia="zh-CN" w:bidi="he-IL"/>
        </w:rPr>
        <w:t>Notificación de Reinversión</w:t>
      </w:r>
      <w:r w:rsidRPr="00CA0A60">
        <w:rPr>
          <w:rFonts w:ascii="Garamond" w:eastAsia="Times New Roman" w:hAnsi="Garamond" w:cs="Times New Roman"/>
          <w:sz w:val="20"/>
          <w:szCs w:val="20"/>
          <w:lang w:val="es-AR" w:eastAsia="zh-CN" w:bidi="he-IL"/>
        </w:rPr>
        <w:t xml:space="preserve">”) a los Tenedores </w:t>
      </w:r>
      <w:r w:rsidR="00E5379F">
        <w:rPr>
          <w:rFonts w:ascii="Garamond" w:eastAsia="Times New Roman" w:hAnsi="Garamond" w:cs="Times New Roman"/>
          <w:sz w:val="20"/>
          <w:szCs w:val="20"/>
          <w:lang w:val="es-AR" w:eastAsia="zh-CN" w:bidi="he-IL"/>
        </w:rPr>
        <w:t xml:space="preserve">(con copia al Fiduciario) </w:t>
      </w:r>
      <w:r w:rsidRPr="00CA0A60">
        <w:rPr>
          <w:rFonts w:ascii="Garamond" w:eastAsia="Times New Roman" w:hAnsi="Garamond" w:cs="Times New Roman"/>
          <w:sz w:val="20"/>
          <w:szCs w:val="20"/>
          <w:lang w:val="es-AR" w:eastAsia="zh-CN" w:bidi="he-IL"/>
        </w:rPr>
        <w:t>de las Obligaciones Negociables dentro de los diez (10) Días Hábiles posteriores a haber recibido dichos Fondos Netos en Efectivo, que la Co-Emisora pertinente, el Garante o la Subsidiaria Restringida pertinente han optado, directamente o a través de una o varias de sus Subsidiarias Restringidas, (x) invertir dichos Fondos Netos en Efectivo en activos productivos a largo plazo del tipo generalmente utilizado en el sector de dicha Co-Emisora, el Garante o la Subsidiaria Restringida, (y) ante un Supuesto de Pérdida, reparar, reemplazar o restituir los bienes afectados por el Supuesto de Pérdida en cuestión, o (z) ante una Expropiación, reemplazar o restituir los bienes afectados por dicha Expropiación, y</w:t>
      </w:r>
    </w:p>
    <w:p w14:paraId="413F4FAF" w14:textId="7BD5B919" w:rsidR="00F574E6" w:rsidRDefault="00F574E6" w:rsidP="00F574E6">
      <w:pPr>
        <w:widowControl w:val="0"/>
        <w:tabs>
          <w:tab w:val="left" w:pos="284"/>
          <w:tab w:val="left" w:pos="709"/>
          <w:tab w:val="left" w:pos="8789"/>
        </w:tabs>
        <w:spacing w:before="120" w:after="120"/>
        <w:ind w:left="284"/>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c)</w:t>
      </w:r>
      <w:r w:rsidRPr="00CA0A60">
        <w:rPr>
          <w:rFonts w:ascii="Garamond" w:eastAsia="Times New Roman" w:hAnsi="Garamond" w:cs="Times New Roman"/>
          <w:sz w:val="20"/>
          <w:szCs w:val="20"/>
          <w:lang w:val="es-AR" w:eastAsia="zh-CN" w:bidi="he-IL"/>
        </w:rPr>
        <w:tab/>
        <w:t>dichos Fondos Netos en Efectivo sean destinados a la inversión, la reparación, la restitución o el remplazo dentro de los 150 días de recibidos (o 365 días exclusivamente en la medida que (x) las Co-Emisoras se hayan comprometido a invertir dichos Fondos Netos en Efectivo de acuerdo con un acuerdo vinculante con un tercero no afiliado dentro de ese plazo de 150 días, (y) los términos de dicho acuerdo vinculante no requieran la aplicación total de dichos Fondos Netos en Efectivo dentro de dicho plazo de 150 días, y (z) en o antes del último día de dicho plazo de 150 días las Co-Emisoras hayan entregado a</w:t>
      </w:r>
      <w:r w:rsidR="00E5379F">
        <w:rPr>
          <w:rFonts w:ascii="Garamond" w:eastAsia="Times New Roman" w:hAnsi="Garamond" w:cs="Times New Roman"/>
          <w:sz w:val="20"/>
          <w:szCs w:val="20"/>
          <w:lang w:val="es-AR" w:eastAsia="zh-CN" w:bidi="he-IL"/>
        </w:rPr>
        <w:t xml:space="preserve"> los Tenedores </w:t>
      </w:r>
      <w:r w:rsidRPr="00CA0A60">
        <w:rPr>
          <w:rFonts w:ascii="Garamond" w:eastAsia="Times New Roman" w:hAnsi="Garamond" w:cs="Times New Roman"/>
          <w:sz w:val="20"/>
          <w:szCs w:val="20"/>
          <w:lang w:val="es-AR" w:eastAsia="zh-CN" w:bidi="he-IL"/>
        </w:rPr>
        <w:t>documentación que demuestre el avance de la inversión, reparación, restitución o reemplazo, y la aplicación de la porción de los Fondos Netos en efectivo a dicha fecha); quedando establecido</w:t>
      </w:r>
      <w:r w:rsidR="00135627">
        <w:rPr>
          <w:rFonts w:ascii="Garamond" w:eastAsia="Times New Roman" w:hAnsi="Garamond" w:cs="Times New Roman"/>
          <w:sz w:val="20"/>
          <w:szCs w:val="20"/>
          <w:lang w:val="es-AR" w:eastAsia="zh-CN" w:bidi="he-IL"/>
        </w:rPr>
        <w:t>, sin embargo,</w:t>
      </w:r>
      <w:r w:rsidRPr="00CA0A60">
        <w:rPr>
          <w:rFonts w:ascii="Garamond" w:eastAsia="Times New Roman" w:hAnsi="Garamond" w:cs="Times New Roman"/>
          <w:sz w:val="20"/>
          <w:szCs w:val="20"/>
          <w:lang w:val="es-AR" w:eastAsia="zh-CN" w:bidi="he-IL"/>
        </w:rPr>
        <w:t xml:space="preserve"> que los Fondos Netos en Efectivo que no se utilicen en inversiones, reparaciones, restituciones o reemplazos dentro de dicho plazo de 150 días (o 365 días, exclusivamente en caso de que las Co-Emisoras hayan cumplido con las sub-cláusulas (x) a (z) anteriores) se aplicarán a una oferta de compra de Obligaciones Negociables del modo indicado en el primer apartado de esta sección titulada “—</w:t>
      </w:r>
      <w:r w:rsidRPr="00CA0A60">
        <w:rPr>
          <w:rFonts w:ascii="Garamond" w:eastAsia="Times New Roman" w:hAnsi="Garamond" w:cs="Times New Roman"/>
          <w:i/>
          <w:sz w:val="20"/>
          <w:szCs w:val="20"/>
          <w:lang w:val="es-AR" w:eastAsia="zh-CN" w:bidi="he-IL"/>
        </w:rPr>
        <w:t>Supuesto de Pérdida, Expropiación y Venta de Activos</w:t>
      </w:r>
      <w:r w:rsidRPr="00CA0A60">
        <w:rPr>
          <w:rFonts w:ascii="Garamond" w:eastAsia="Times New Roman" w:hAnsi="Garamond" w:cs="Times New Roman"/>
          <w:sz w:val="20"/>
          <w:szCs w:val="20"/>
          <w:lang w:val="es-AR" w:eastAsia="zh-CN" w:bidi="he-IL"/>
        </w:rPr>
        <w:t xml:space="preserve">”. </w:t>
      </w:r>
    </w:p>
    <w:p w14:paraId="702A8302" w14:textId="07211C9E" w:rsidR="00135627" w:rsidRPr="00CA0A60" w:rsidRDefault="00135627" w:rsidP="00F574E6">
      <w:pPr>
        <w:widowControl w:val="0"/>
        <w:tabs>
          <w:tab w:val="left" w:pos="284"/>
          <w:tab w:val="left" w:pos="709"/>
          <w:tab w:val="left" w:pos="8789"/>
        </w:tabs>
        <w:spacing w:before="120" w:after="120"/>
        <w:ind w:left="284"/>
        <w:jc w:val="both"/>
        <w:rPr>
          <w:rFonts w:ascii="Garamond" w:eastAsia="Times New Roman" w:hAnsi="Garamond" w:cs="Times New Roman"/>
          <w:sz w:val="20"/>
          <w:szCs w:val="20"/>
          <w:lang w:val="es-AR" w:eastAsia="zh-CN" w:bidi="he-IL"/>
        </w:rPr>
      </w:pPr>
      <w:r>
        <w:rPr>
          <w:rFonts w:ascii="Garamond" w:eastAsia="Times New Roman" w:hAnsi="Garamond" w:cs="Times New Roman"/>
          <w:sz w:val="20"/>
          <w:szCs w:val="20"/>
          <w:lang w:val="es-AR" w:eastAsia="zh-CN" w:bidi="he-IL"/>
        </w:rPr>
        <w:t>d)</w:t>
      </w:r>
      <w:r>
        <w:rPr>
          <w:rFonts w:ascii="Garamond" w:eastAsia="Times New Roman" w:hAnsi="Garamond" w:cs="Times New Roman"/>
          <w:sz w:val="20"/>
          <w:szCs w:val="20"/>
          <w:lang w:val="es-AR" w:eastAsia="zh-CN" w:bidi="he-IL"/>
        </w:rPr>
        <w:tab/>
        <w:t>si el supuesto de Pérdida o Expropiación pertinente hubiera involucrado activos o bienes que forman parte de los Derechos de Garantía, las Co-Emisoras y el Garante llevarán a cabo los siguientes actos y procurarán que sus demás Subsidiarias Restringidas hagan lo propio: suscribir y otorgar los acuerdos, instrumentos y demás documentos y adoptar medidas con el fin de que, en forma simultánea a la consumación de esa inversión, reparación, restitución o reemplazo, según corresponda, todos los activos y bienes adquiridos como consecuencia de ello queden sujetos a un Gravamen en primer grado de privilegio totalmente perfeccionado que garantice las Obligaciones Negociables, sin estar sujeto a ningún otro Gravamen</w:t>
      </w:r>
      <w:r w:rsidR="00F20846">
        <w:rPr>
          <w:rFonts w:ascii="Garamond" w:eastAsia="Times New Roman" w:hAnsi="Garamond" w:cs="Times New Roman"/>
          <w:sz w:val="20"/>
          <w:szCs w:val="20"/>
          <w:lang w:val="es-AR" w:eastAsia="zh-CN" w:bidi="he-IL"/>
        </w:rPr>
        <w:t xml:space="preserve"> (sujeto a las limitaciones descriptas en </w:t>
      </w:r>
      <w:r w:rsidR="00F20846">
        <w:rPr>
          <w:rFonts w:ascii="Garamond" w:eastAsia="Times New Roman" w:hAnsi="Garamond" w:cs="Times New Roman"/>
          <w:i/>
          <w:sz w:val="20"/>
          <w:szCs w:val="20"/>
          <w:lang w:val="es-AR" w:eastAsia="zh-CN" w:bidi="he-IL"/>
        </w:rPr>
        <w:t>“Derechos de Garantía—Limitaciones a los Derechos de garantía”</w:t>
      </w:r>
      <w:r w:rsidR="00F20846">
        <w:rPr>
          <w:rFonts w:ascii="Garamond" w:eastAsia="Times New Roman" w:hAnsi="Garamond" w:cs="Times New Roman"/>
          <w:sz w:val="20"/>
          <w:szCs w:val="20"/>
          <w:lang w:val="es-AR" w:eastAsia="zh-CN" w:bidi="he-IL"/>
        </w:rPr>
        <w:t>)</w:t>
      </w:r>
      <w:r w:rsidR="00F20846">
        <w:rPr>
          <w:rFonts w:ascii="Garamond" w:eastAsia="Times New Roman" w:hAnsi="Garamond" w:cs="Times New Roman"/>
          <w:i/>
          <w:sz w:val="20"/>
          <w:szCs w:val="20"/>
          <w:lang w:val="es-AR" w:eastAsia="zh-CN" w:bidi="he-IL"/>
        </w:rPr>
        <w:t>.</w:t>
      </w:r>
      <w:r>
        <w:rPr>
          <w:rFonts w:ascii="Garamond" w:eastAsia="Times New Roman" w:hAnsi="Garamond" w:cs="Times New Roman"/>
          <w:sz w:val="20"/>
          <w:szCs w:val="20"/>
          <w:lang w:val="es-AR" w:eastAsia="zh-CN" w:bidi="he-IL"/>
        </w:rPr>
        <w:t xml:space="preserve"> </w:t>
      </w:r>
    </w:p>
    <w:p w14:paraId="34E0CD88" w14:textId="77777777" w:rsidR="00F574E6" w:rsidRPr="00CA0A60" w:rsidRDefault="00F574E6" w:rsidP="00F574E6">
      <w:pPr>
        <w:widowControl w:val="0"/>
        <w:tabs>
          <w:tab w:val="left" w:pos="284"/>
          <w:tab w:val="left" w:pos="709"/>
          <w:tab w:val="left" w:pos="878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En el caso de una Expropiación, los Fondos Netos en Efectivo de dicha Expropiación se tendrán por recibidos al momento de consumarse el pago en efectivo de esos Fondos Netos en Efectivo por, o en nombre de, la Autoridad Gubernamental pertinente al Garante, la Co-Emisora pertinente o la otra Subsidiaria Restringida pertinente que hubiese sufrido tal Expropiación y, en el supuesto de iniciarse un litigio, procedimiento de arbitraje u otro procedimiento similar en el que se cuestione la validez o cualquier otra cuestión relacionada con dicha Expropiación, incluido el monto de la indemnización a pagar por motivo de la misma, una vez que dicho litigio, procedimiento de arbitraje o acción similar quede finalmente dirimido, o se dicte o se cobre en su totalidad la sentencia en firme o el laudo arbitral pertinentes. </w:t>
      </w:r>
    </w:p>
    <w:p w14:paraId="2F39B5E5" w14:textId="77777777" w:rsidR="00F574E6" w:rsidRPr="00CA0A60" w:rsidRDefault="00F574E6" w:rsidP="00F574E6">
      <w:pPr>
        <w:widowControl w:val="0"/>
        <w:tabs>
          <w:tab w:val="left" w:pos="426"/>
          <w:tab w:val="left" w:pos="709"/>
          <w:tab w:val="left" w:pos="878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Sin perjuicio de cualquier otra disposición en contrario contenida en esta sección titulada </w:t>
      </w:r>
      <w:r w:rsidRPr="00CA0A60">
        <w:rPr>
          <w:rFonts w:ascii="Garamond" w:eastAsia="Times New Roman" w:hAnsi="Garamond" w:cs="Times New Roman"/>
          <w:i/>
          <w:sz w:val="20"/>
          <w:szCs w:val="20"/>
          <w:lang w:val="es-AR" w:eastAsia="zh-CN" w:bidi="he-IL"/>
        </w:rPr>
        <w:t>“—Supuesto de Pérdida, Expropiación y Venta de Activos</w:t>
      </w:r>
      <w:r w:rsidRPr="00CA0A60">
        <w:rPr>
          <w:rFonts w:ascii="Garamond" w:eastAsia="Times New Roman" w:hAnsi="Garamond" w:cs="Times New Roman"/>
          <w:sz w:val="20"/>
          <w:szCs w:val="20"/>
          <w:lang w:val="es-AR" w:eastAsia="zh-CN" w:bidi="he-IL"/>
        </w:rPr>
        <w:t>”:</w:t>
      </w:r>
    </w:p>
    <w:p w14:paraId="5403E3B6" w14:textId="77777777" w:rsidR="00F574E6" w:rsidRPr="00CA0A60" w:rsidRDefault="00F574E6" w:rsidP="00F574E6">
      <w:pPr>
        <w:widowControl w:val="0"/>
        <w:tabs>
          <w:tab w:val="left" w:pos="426"/>
          <w:tab w:val="left" w:pos="709"/>
          <w:tab w:val="left" w:pos="878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(a)</w:t>
      </w:r>
      <w:r w:rsidRPr="00CA0A60">
        <w:rPr>
          <w:rFonts w:ascii="Garamond" w:eastAsia="Times New Roman" w:hAnsi="Garamond" w:cs="Times New Roman"/>
          <w:sz w:val="20"/>
          <w:szCs w:val="20"/>
          <w:lang w:val="es-AR" w:eastAsia="zh-CN" w:bidi="he-IL"/>
        </w:rPr>
        <w:tab/>
        <w:t xml:space="preserve">las Co-Emisoras no estarán obligadas a ofrecer comprar Obligaciones Negociables si dicha oferta de compra de Obligaciones Negociables resultase en un incumplimiento de cualquier Restricción de Pago vigente en la Fecha de Emisión y a la fecha en que las Obligaciones Negociables deben ser rescatadas de acuerdo con esta sección titulada </w:t>
      </w:r>
      <w:r w:rsidRPr="00CA0A60">
        <w:rPr>
          <w:rFonts w:ascii="Garamond" w:eastAsia="Times New Roman" w:hAnsi="Garamond" w:cs="Times New Roman"/>
          <w:i/>
          <w:sz w:val="20"/>
          <w:szCs w:val="20"/>
          <w:lang w:val="es-AR" w:eastAsia="zh-CN" w:bidi="he-IL"/>
        </w:rPr>
        <w:t>“—Supuesto de Pérdida, Expropiación y Venta de Activos</w:t>
      </w:r>
      <w:r w:rsidRPr="00CA0A60">
        <w:rPr>
          <w:rFonts w:ascii="Garamond" w:eastAsia="Times New Roman" w:hAnsi="Garamond" w:cs="Times New Roman"/>
          <w:sz w:val="20"/>
          <w:szCs w:val="20"/>
          <w:lang w:val="es-AR" w:eastAsia="zh-CN" w:bidi="he-IL"/>
        </w:rPr>
        <w:t>”; quedando entendido que una vez que la Restricción de Pago pertinente quede sin efecto, las Co-Emisoras deberán efectuar inmediatamente una Oferta de Compra con respecto a los Fondos Netos en Efectivo pertinentes en la medida que no fueran aplicados de otra forma al momento en que dicha Restricción de Pago deje de estar vigente;</w:t>
      </w:r>
    </w:p>
    <w:p w14:paraId="3443AEEF" w14:textId="76C81366" w:rsidR="00F574E6" w:rsidRPr="00CA0A60" w:rsidRDefault="00F574E6" w:rsidP="00F574E6">
      <w:pPr>
        <w:widowControl w:val="0"/>
        <w:tabs>
          <w:tab w:val="left" w:pos="426"/>
          <w:tab w:val="left" w:pos="709"/>
          <w:tab w:val="left" w:pos="878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(b) </w:t>
      </w:r>
      <w:r w:rsidR="00135627">
        <w:rPr>
          <w:rFonts w:ascii="Garamond" w:eastAsia="Times New Roman" w:hAnsi="Garamond" w:cs="Times New Roman"/>
          <w:sz w:val="20"/>
          <w:szCs w:val="20"/>
          <w:lang w:val="es-AR" w:eastAsia="zh-CN" w:bidi="he-IL"/>
        </w:rPr>
        <w:tab/>
      </w:r>
      <w:r w:rsidRPr="00CA0A60">
        <w:rPr>
          <w:rFonts w:ascii="Garamond" w:eastAsia="Times New Roman" w:hAnsi="Garamond" w:cs="Times New Roman"/>
          <w:sz w:val="20"/>
          <w:szCs w:val="20"/>
          <w:lang w:val="es-AR" w:eastAsia="zh-CN" w:bidi="he-IL"/>
        </w:rPr>
        <w:t xml:space="preserve">las Co-Emisoras no estarán obligadas a ofrecer comprar Obligaciones Negociables si el monto total de Fondos Netos en Efectivo derivados de un Supuesto de Pérdida, Expropiación o Venta de Activos (o una serie de cualquiera de ellos relacionados) no fuera igual o mayor a </w:t>
      </w:r>
      <w:r w:rsidR="006C6F02">
        <w:rPr>
          <w:rFonts w:ascii="Garamond" w:eastAsia="Times New Roman" w:hAnsi="Garamond" w:cs="Times New Roman"/>
          <w:sz w:val="20"/>
          <w:szCs w:val="20"/>
          <w:lang w:val="es-AR" w:eastAsia="zh-CN" w:bidi="he-IL"/>
        </w:rPr>
        <w:t xml:space="preserve">(x) con respecto Fondos Netos en Efectivo relacionados con activos que no forman parte de los Derechos de Garantía, </w:t>
      </w:r>
      <w:r w:rsidRPr="00CA0A60">
        <w:rPr>
          <w:rFonts w:ascii="Garamond" w:eastAsia="Times New Roman" w:hAnsi="Garamond" w:cs="Times New Roman"/>
          <w:sz w:val="20"/>
          <w:szCs w:val="20"/>
          <w:lang w:val="es-AR" w:eastAsia="zh-CN" w:bidi="he-IL"/>
        </w:rPr>
        <w:t>U$S </w:t>
      </w:r>
      <w:r w:rsidR="002950D7" w:rsidRPr="00CA0A60">
        <w:rPr>
          <w:rFonts w:ascii="Garamond" w:eastAsia="Times New Roman" w:hAnsi="Garamond" w:cs="Times New Roman"/>
          <w:sz w:val="20"/>
          <w:szCs w:val="20"/>
          <w:lang w:val="es-AR" w:eastAsia="zh-CN" w:bidi="he-IL"/>
        </w:rPr>
        <w:t>10</w:t>
      </w:r>
      <w:r w:rsidRPr="00CA0A60">
        <w:rPr>
          <w:rFonts w:ascii="Garamond" w:eastAsia="Times New Roman" w:hAnsi="Garamond" w:cs="Times New Roman"/>
          <w:sz w:val="20"/>
          <w:szCs w:val="20"/>
          <w:lang w:val="es-AR" w:eastAsia="zh-CN" w:bidi="he-IL"/>
        </w:rPr>
        <w:t>,0 millones</w:t>
      </w:r>
      <w:r w:rsidRPr="00CA0A60">
        <w:rPr>
          <w:rFonts w:ascii="Garamond" w:hAnsi="Garamond" w:cs="Times New Roman"/>
          <w:sz w:val="20"/>
          <w:szCs w:val="20"/>
          <w:lang w:val="es-AR"/>
        </w:rPr>
        <w:t xml:space="preserve"> (o su equivalente </w:t>
      </w:r>
      <w:r w:rsidRPr="00CA0A60">
        <w:rPr>
          <w:rFonts w:ascii="Garamond" w:hAnsi="Garamond" w:cs="Times New Roman"/>
          <w:sz w:val="20"/>
          <w:szCs w:val="20"/>
          <w:lang w:val="es-AR"/>
        </w:rPr>
        <w:lastRenderedPageBreak/>
        <w:t>en otras monedas)</w:t>
      </w:r>
      <w:r w:rsidR="006C6F02">
        <w:rPr>
          <w:rFonts w:ascii="Garamond" w:hAnsi="Garamond" w:cs="Times New Roman"/>
          <w:sz w:val="20"/>
          <w:szCs w:val="20"/>
          <w:lang w:val="es-AR"/>
        </w:rPr>
        <w:t xml:space="preserve"> o (y) con respecto a Fondos Netos en Efectivo relacionados con activos que forman parte de los Derechos de Garantía, U$S </w:t>
      </w:r>
      <w:r w:rsidR="00F20846">
        <w:rPr>
          <w:rFonts w:ascii="Garamond" w:hAnsi="Garamond" w:cs="Times New Roman"/>
          <w:sz w:val="20"/>
          <w:szCs w:val="20"/>
          <w:lang w:val="es-AR"/>
        </w:rPr>
        <w:t>2</w:t>
      </w:r>
      <w:r w:rsidR="006C6F02">
        <w:rPr>
          <w:rFonts w:ascii="Garamond" w:hAnsi="Garamond" w:cs="Times New Roman"/>
          <w:sz w:val="20"/>
          <w:szCs w:val="20"/>
          <w:lang w:val="es-AR"/>
        </w:rPr>
        <w:t>,0 millones</w:t>
      </w:r>
      <w:r w:rsidRPr="00CA0A60">
        <w:rPr>
          <w:rFonts w:ascii="Garamond" w:hAnsi="Garamond" w:cs="Times New Roman"/>
          <w:sz w:val="20"/>
          <w:szCs w:val="20"/>
          <w:lang w:val="es-AR"/>
        </w:rPr>
        <w:t xml:space="preserve">; </w:t>
      </w:r>
      <w:r w:rsidRPr="00A438F1">
        <w:rPr>
          <w:rFonts w:ascii="Garamond" w:hAnsi="Garamond" w:cs="Times New Roman"/>
          <w:sz w:val="20"/>
          <w:szCs w:val="20"/>
          <w:u w:val="single"/>
          <w:lang w:val="es-AR"/>
        </w:rPr>
        <w:t>quedando establecido</w:t>
      </w:r>
      <w:r w:rsidRPr="00CA0A60">
        <w:rPr>
          <w:rFonts w:ascii="Garamond" w:hAnsi="Garamond" w:cs="Times New Roman"/>
          <w:sz w:val="20"/>
          <w:szCs w:val="20"/>
          <w:lang w:val="es-AR"/>
        </w:rPr>
        <w:t xml:space="preserve"> que en el caso de Fondos Netos en Efectivo mayores a U$S </w:t>
      </w:r>
      <w:r w:rsidR="002950D7" w:rsidRPr="00CA0A60">
        <w:rPr>
          <w:rFonts w:ascii="Garamond" w:hAnsi="Garamond" w:cs="Times New Roman"/>
          <w:sz w:val="20"/>
          <w:szCs w:val="20"/>
          <w:lang w:val="es-AR"/>
        </w:rPr>
        <w:t>10</w:t>
      </w:r>
      <w:r w:rsidRPr="00CA0A60">
        <w:rPr>
          <w:rFonts w:ascii="Garamond" w:hAnsi="Garamond" w:cs="Times New Roman"/>
          <w:sz w:val="20"/>
          <w:szCs w:val="20"/>
          <w:lang w:val="es-AR"/>
        </w:rPr>
        <w:t>,0 millones, el monto total de Fondos Netos en Efectivo, y no solo el monto en exceso de U$S </w:t>
      </w:r>
      <w:r w:rsidR="002950D7" w:rsidRPr="00CA0A60">
        <w:rPr>
          <w:rFonts w:ascii="Garamond" w:hAnsi="Garamond" w:cs="Times New Roman"/>
          <w:sz w:val="20"/>
          <w:szCs w:val="20"/>
          <w:lang w:val="es-AR"/>
        </w:rPr>
        <w:t>10</w:t>
      </w:r>
      <w:r w:rsidRPr="00CA0A60">
        <w:rPr>
          <w:rFonts w:ascii="Garamond" w:hAnsi="Garamond" w:cs="Times New Roman"/>
          <w:sz w:val="20"/>
          <w:szCs w:val="20"/>
          <w:lang w:val="es-AR"/>
        </w:rPr>
        <w:t xml:space="preserve">,0 millones (o su equivalente en otras monedas) será aplicado en la forma requerida de acuerdo con el compromiso del Contrato de Fideicomiso descripto en esta </w:t>
      </w:r>
      <w:r w:rsidRPr="00CA0A60">
        <w:rPr>
          <w:rFonts w:ascii="Garamond" w:eastAsia="Times New Roman" w:hAnsi="Garamond" w:cs="Times New Roman"/>
          <w:sz w:val="20"/>
          <w:szCs w:val="20"/>
          <w:lang w:val="es-AR" w:eastAsia="zh-CN" w:bidi="he-IL"/>
        </w:rPr>
        <w:t xml:space="preserve">sección titulada </w:t>
      </w:r>
      <w:r w:rsidRPr="00CA0A60">
        <w:rPr>
          <w:rFonts w:ascii="Garamond" w:eastAsia="Times New Roman" w:hAnsi="Garamond" w:cs="Times New Roman"/>
          <w:i/>
          <w:sz w:val="20"/>
          <w:szCs w:val="20"/>
          <w:lang w:val="es-AR" w:eastAsia="zh-CN" w:bidi="he-IL"/>
        </w:rPr>
        <w:t>“—Supuesto de Pérdida, Expropiación y Venta de Activos</w:t>
      </w:r>
      <w:r w:rsidRPr="00CA0A60">
        <w:rPr>
          <w:rFonts w:ascii="Garamond" w:eastAsia="Times New Roman" w:hAnsi="Garamond" w:cs="Times New Roman"/>
          <w:sz w:val="20"/>
          <w:szCs w:val="20"/>
          <w:lang w:val="es-AR" w:eastAsia="zh-CN" w:bidi="he-IL"/>
        </w:rPr>
        <w:t>”; y</w:t>
      </w:r>
    </w:p>
    <w:p w14:paraId="6CDC4CA6" w14:textId="72D83851" w:rsidR="002C2444" w:rsidRPr="00CA0A60" w:rsidRDefault="00F574E6" w:rsidP="002C2444">
      <w:pPr>
        <w:widowControl w:val="0"/>
        <w:tabs>
          <w:tab w:val="left" w:pos="426"/>
          <w:tab w:val="left" w:pos="709"/>
          <w:tab w:val="left" w:pos="8789"/>
        </w:tabs>
        <w:spacing w:before="120" w:after="120" w:line="256" w:lineRule="auto"/>
        <w:jc w:val="both"/>
        <w:rPr>
          <w:rFonts w:ascii="Garamond" w:eastAsia="Times New Roman" w:hAnsi="Garamond" w:cs="Calibri"/>
          <w:sz w:val="20"/>
          <w:szCs w:val="20"/>
          <w:lang w:val="es-AR" w:eastAsia="zh-CN" w:bidi="he-IL"/>
        </w:rPr>
      </w:pPr>
      <w:r w:rsidRPr="00CA0A60">
        <w:rPr>
          <w:rFonts w:ascii="Garamond" w:eastAsia="Times New Roman" w:hAnsi="Garamond" w:cs="Times New Roman"/>
          <w:sz w:val="20"/>
          <w:szCs w:val="20"/>
          <w:lang w:val="es-AR" w:eastAsia="zh-CN" w:bidi="he-IL"/>
        </w:rPr>
        <w:t xml:space="preserve">(c) </w:t>
      </w:r>
      <w:r w:rsidR="00135627">
        <w:rPr>
          <w:rFonts w:ascii="Garamond" w:eastAsia="Times New Roman" w:hAnsi="Garamond" w:cs="Times New Roman"/>
          <w:sz w:val="20"/>
          <w:szCs w:val="20"/>
          <w:lang w:val="es-AR" w:eastAsia="zh-CN" w:bidi="he-IL"/>
        </w:rPr>
        <w:tab/>
      </w:r>
      <w:r w:rsidRPr="00CA0A60">
        <w:rPr>
          <w:rFonts w:ascii="Garamond" w:eastAsia="Times New Roman" w:hAnsi="Garamond" w:cs="Times New Roman"/>
          <w:sz w:val="20"/>
          <w:szCs w:val="20"/>
          <w:lang w:val="es-AR" w:eastAsia="zh-CN" w:bidi="he-IL"/>
        </w:rPr>
        <w:t xml:space="preserve">en el caso de Fondos Netos en Efectivo correspondientes a activos que no constituyen Derechos de Garantía (y en la medida que no hayan sido previamente deducidos en el cálculo de dichos Fondos Netos en Efectivo), las Co-Emisoras, a su opción, podrán rescatar, cancelar, recomprar, adquirir o anular, en forma proporcional con las Obligaciones Negociables, otra Deuda No Subordinada del Garante, cualquiera de las Co-Emisoras o cualquier otra Subsidiaria Restringida por dinero tomado en préstamo (incluyendo Deuda No Subordinada representada por bonos, pagarés, debentures u otros instrumentos similares) u Obligaciones de Arrendamiento Financiero únicamente si (i) dicha otra Deuda No Subordinada u Obligación de Arrendamiento Financiero es (i) rescatada, cancelada, recomprada, adquirida o anulada a un precio no mayor al 100,0% del monto de capital de dicha otra Deuda No Subordinada u Obligación de Arrendamiento Financiero, según corresponda, </w:t>
      </w:r>
      <w:r w:rsidRPr="00CA0A60">
        <w:rPr>
          <w:rFonts w:ascii="Garamond" w:eastAsia="Times New Roman" w:hAnsi="Garamond" w:cs="Times New Roman"/>
          <w:i/>
          <w:sz w:val="20"/>
          <w:szCs w:val="20"/>
          <w:lang w:val="es-AR" w:eastAsia="zh-CN" w:bidi="he-IL"/>
        </w:rPr>
        <w:t xml:space="preserve">más </w:t>
      </w:r>
      <w:r w:rsidRPr="00CA0A60">
        <w:rPr>
          <w:rFonts w:ascii="Garamond" w:eastAsia="Times New Roman" w:hAnsi="Garamond" w:cs="Times New Roman"/>
          <w:sz w:val="20"/>
          <w:szCs w:val="20"/>
          <w:lang w:val="es-AR" w:eastAsia="zh-CN" w:bidi="he-IL"/>
        </w:rPr>
        <w:t>los intereses devengados e impagos hasta la fecha de dicho rescate, cancelación, recompra, adquisición o anulación, y (ii) es adeudada a una Persona distinta del Garante, las Co-Emisoras u otra Subsidiaria Restringida.</w:t>
      </w:r>
    </w:p>
    <w:p w14:paraId="6DE31E37" w14:textId="77777777" w:rsidR="00F574E6" w:rsidRPr="00CA0A60" w:rsidRDefault="00F574E6" w:rsidP="00F574E6">
      <w:pPr>
        <w:keepNext/>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Procedimientos de Rescate Obligatorio</w:t>
      </w:r>
    </w:p>
    <w:p w14:paraId="3D0B2828" w14:textId="77777777" w:rsidR="00F574E6" w:rsidRPr="00CA0A60" w:rsidRDefault="00F574E6" w:rsidP="00F574E6">
      <w:pPr>
        <w:widowControl w:val="0"/>
        <w:tabs>
          <w:tab w:val="left" w:pos="284"/>
          <w:tab w:val="left" w:pos="709"/>
          <w:tab w:val="left" w:pos="878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Dentro de los diez (10) Días Hábiles de la recepción de dichos Fondos Netos en Efectivo (y en la medida en que las Co-Emisoras no hubiesen cursado una Notificación de Reinversión) o el Día Hábil inmediatamente posterior al período de 150 días (o período de 365 días, según el caso) descripto en la sección titulada “—</w:t>
      </w:r>
      <w:r w:rsidRPr="00CA0A60">
        <w:rPr>
          <w:rFonts w:ascii="Garamond" w:eastAsia="Times New Roman" w:hAnsi="Garamond" w:cs="Times New Roman"/>
          <w:i/>
          <w:sz w:val="20"/>
          <w:szCs w:val="20"/>
          <w:lang w:val="es-AR" w:eastAsia="zh-CN" w:bidi="he-IL"/>
        </w:rPr>
        <w:t>Supuesto de Pérdida, Expropiación y Venta de Activos</w:t>
      </w:r>
      <w:r w:rsidRPr="00CA0A60">
        <w:rPr>
          <w:rFonts w:ascii="Garamond" w:eastAsia="Times New Roman" w:hAnsi="Garamond" w:cs="Times New Roman"/>
          <w:sz w:val="20"/>
          <w:szCs w:val="20"/>
          <w:lang w:val="es-AR" w:eastAsia="zh-CN" w:bidi="he-IL"/>
        </w:rPr>
        <w:t xml:space="preserve">”, si las Co-Emisoras hubiesen cursado una Notificación de Reinversión y los Fondos Netos en Efectivo no hubiesen sido aplicados en su totalidad tras finalizado dicho período, las Co-Emisoras deberán cursar una notificación por escrito del modo previsto en el apartado </w:t>
      </w:r>
      <w:r w:rsidRPr="00CA0A60">
        <w:rPr>
          <w:rFonts w:ascii="Garamond" w:eastAsia="Times New Roman" w:hAnsi="Garamond" w:cs="Times New Roman"/>
          <w:i/>
          <w:sz w:val="20"/>
          <w:szCs w:val="20"/>
          <w:lang w:val="es-AR" w:eastAsia="zh-CN" w:bidi="he-IL"/>
        </w:rPr>
        <w:t>“Notificaciones</w:t>
      </w:r>
      <w:r w:rsidRPr="00CA0A60">
        <w:rPr>
          <w:rFonts w:ascii="Garamond" w:eastAsia="Times New Roman" w:hAnsi="Garamond" w:cs="Times New Roman"/>
          <w:sz w:val="20"/>
          <w:szCs w:val="20"/>
          <w:lang w:val="es-AR" w:eastAsia="zh-CN" w:bidi="he-IL"/>
        </w:rPr>
        <w:t>” a cada Tenedor, con copia al Fiduciario, ofreciendo comprar las Obligaciones Negociables (una “</w:t>
      </w:r>
      <w:r w:rsidRPr="00CA0A60">
        <w:rPr>
          <w:rFonts w:ascii="Garamond" w:eastAsia="Times New Roman" w:hAnsi="Garamond" w:cs="Times New Roman"/>
          <w:sz w:val="20"/>
          <w:szCs w:val="20"/>
          <w:u w:val="single"/>
          <w:lang w:val="es-AR" w:eastAsia="zh-CN" w:bidi="he-IL"/>
        </w:rPr>
        <w:t>Oferta de Compra</w:t>
      </w:r>
      <w:r w:rsidRPr="00CA0A60">
        <w:rPr>
          <w:rFonts w:ascii="Garamond" w:eastAsia="Times New Roman" w:hAnsi="Garamond" w:cs="Times New Roman"/>
          <w:sz w:val="20"/>
          <w:szCs w:val="20"/>
          <w:lang w:val="es-AR" w:eastAsia="zh-CN" w:bidi="he-IL"/>
        </w:rPr>
        <w:t>”). La Oferta de Compra deberá indicar, entre otras cosas, el hecho o las circunstancias que requieren que se realice la Oferta de Compra, una estimación del monto a ser destinado a dicha compra (el “</w:t>
      </w:r>
      <w:r w:rsidRPr="00CA0A60">
        <w:rPr>
          <w:rFonts w:ascii="Garamond" w:eastAsia="Times New Roman" w:hAnsi="Garamond" w:cs="Times New Roman"/>
          <w:sz w:val="20"/>
          <w:szCs w:val="20"/>
          <w:u w:val="single"/>
          <w:lang w:val="es-AR" w:eastAsia="zh-CN" w:bidi="he-IL"/>
        </w:rPr>
        <w:t>Monto de Compra</w:t>
      </w:r>
      <w:r w:rsidRPr="00CA0A60">
        <w:rPr>
          <w:rFonts w:ascii="Garamond" w:eastAsia="Times New Roman" w:hAnsi="Garamond" w:cs="Times New Roman"/>
          <w:sz w:val="20"/>
          <w:szCs w:val="20"/>
          <w:lang w:val="es-AR" w:eastAsia="zh-CN" w:bidi="he-IL"/>
        </w:rPr>
        <w:t>”) y la fecha de compra (la “</w:t>
      </w:r>
      <w:r w:rsidRPr="00CA0A60">
        <w:rPr>
          <w:rFonts w:ascii="Garamond" w:eastAsia="Times New Roman" w:hAnsi="Garamond" w:cs="Times New Roman"/>
          <w:sz w:val="20"/>
          <w:szCs w:val="20"/>
          <w:u w:val="single"/>
          <w:lang w:val="es-AR" w:eastAsia="zh-CN" w:bidi="he-IL"/>
        </w:rPr>
        <w:t>Fecha de Compra</w:t>
      </w:r>
      <w:r w:rsidRPr="00CA0A60">
        <w:rPr>
          <w:rFonts w:ascii="Garamond" w:eastAsia="Times New Roman" w:hAnsi="Garamond" w:cs="Times New Roman"/>
          <w:sz w:val="20"/>
          <w:szCs w:val="20"/>
          <w:lang w:val="es-AR" w:eastAsia="zh-CN" w:bidi="he-IL"/>
        </w:rPr>
        <w:t xml:space="preserve">”), que no podrá ser anterior a diez (10) ni posterior a treinta (30) días de la fecha en que se haya enviado por correo o cursado la notificación, según el caso, salvo por lo requerido por ley. </w:t>
      </w:r>
    </w:p>
    <w:p w14:paraId="701049E4" w14:textId="4E79387A" w:rsidR="00F574E6" w:rsidRPr="00CA0A60" w:rsidRDefault="00F574E6" w:rsidP="00F574E6">
      <w:pPr>
        <w:widowControl w:val="0"/>
        <w:tabs>
          <w:tab w:val="left" w:pos="284"/>
          <w:tab w:val="left" w:pos="709"/>
          <w:tab w:val="left" w:pos="878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En la medida en que los Tenedores de Obligaciones Negociables que estén sujetos a una Oferta de Compra ofrezcan debidamente y no retiren Obligaciones Negociables por un monto total superior al monto de los Fondos Netos en Efectivo disponibles, el Fiduciario seleccionará las obligaciones negociables a ser compradas en forma aleatoria, proporcionalmente o de acuerdo con otro método que el Fiduciario considere justo y apropiado (o en otra forma que requiera la bolsa de valores o mercado principal, si hubiera, en el que las Obligaciones Negociables estén listadas en ese momento, o por el depositario en el cual se depositaron dichas Obligaciones Negociables). Los rescates de Obligaciones Negociables en virtud de una Oferta de Compra deberán realizarse de conformidad con las normas de la CNV y los requisitos del BYMA (en tanto las Obligaciones Negociables se listen en el BYMA). Si debieran rescatarse Obligaciones Negociables en forma parcial únicamente, la notificación relativa a dichas Obligaciones Negociables deberá indicar la porción del monto de capital a ser comprada, y deberá establecer que a partir de la fecha de compra, ante la entrega de dichas Obligaciones Negociables, se emitirán una o más Obligaciones Negociables nuevas por un monto de capital equivalente a la porción no comprada (o se realizarán ajustes al monto y participaciones beneficiarias en un Certificado Global, según corresponda); quedando establecido que el monto de capital remanente de las Obligaciones Negociables de dicho Tenedor no podrá ser inferior a U$S</w:t>
      </w:r>
      <w:r w:rsidR="00F20846">
        <w:rPr>
          <w:rFonts w:ascii="Garamond" w:eastAsia="Times New Roman" w:hAnsi="Garamond" w:cs="Times New Roman"/>
          <w:sz w:val="20"/>
          <w:szCs w:val="20"/>
          <w:lang w:val="es-AR" w:eastAsia="zh-CN" w:bidi="he-IL"/>
        </w:rPr>
        <w:t xml:space="preserve"> </w:t>
      </w:r>
      <w:r w:rsidR="006C6F02">
        <w:rPr>
          <w:rFonts w:ascii="Garamond" w:eastAsia="Times New Roman" w:hAnsi="Garamond" w:cs="Times New Roman"/>
          <w:sz w:val="20"/>
          <w:szCs w:val="20"/>
          <w:lang w:val="es-AR" w:eastAsia="zh-CN" w:bidi="he-IL"/>
        </w:rPr>
        <w:t>5</w:t>
      </w:r>
      <w:r w:rsidRPr="00CA0A60">
        <w:rPr>
          <w:rFonts w:ascii="Garamond" w:eastAsia="Times New Roman" w:hAnsi="Garamond" w:cs="Times New Roman"/>
          <w:sz w:val="20"/>
          <w:szCs w:val="20"/>
          <w:lang w:val="es-AR" w:eastAsia="zh-CN" w:bidi="he-IL"/>
        </w:rPr>
        <w:t>0.000 y será un múltiplos enteros de U$S</w:t>
      </w:r>
      <w:r w:rsidR="00F20846">
        <w:rPr>
          <w:rFonts w:ascii="Garamond" w:eastAsia="Times New Roman" w:hAnsi="Garamond" w:cs="Times New Roman"/>
          <w:sz w:val="20"/>
          <w:szCs w:val="20"/>
          <w:lang w:val="es-AR" w:eastAsia="zh-CN" w:bidi="he-IL"/>
        </w:rPr>
        <w:t xml:space="preserve"> </w:t>
      </w:r>
      <w:r w:rsidRPr="00CA0A60">
        <w:rPr>
          <w:rFonts w:ascii="Garamond" w:eastAsia="Times New Roman" w:hAnsi="Garamond" w:cs="Times New Roman"/>
          <w:sz w:val="20"/>
          <w:szCs w:val="20"/>
          <w:lang w:val="es-AR" w:eastAsia="zh-CN" w:bidi="he-IL"/>
        </w:rPr>
        <w:t>1.000 por encima de ese monto.</w:t>
      </w:r>
    </w:p>
    <w:p w14:paraId="56AE185E" w14:textId="7FDE4101" w:rsidR="00F574E6" w:rsidRDefault="00F574E6" w:rsidP="00E5379F">
      <w:pPr>
        <w:widowControl w:val="0"/>
        <w:tabs>
          <w:tab w:val="left" w:pos="284"/>
          <w:tab w:val="left" w:pos="709"/>
          <w:tab w:val="left" w:pos="878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En </w:t>
      </w:r>
      <w:r w:rsidR="00E5379F">
        <w:rPr>
          <w:rFonts w:ascii="Garamond" w:eastAsia="Times New Roman" w:hAnsi="Garamond" w:cs="Times New Roman"/>
          <w:sz w:val="20"/>
          <w:szCs w:val="20"/>
          <w:lang w:val="es-AR" w:eastAsia="zh-CN" w:bidi="he-IL"/>
        </w:rPr>
        <w:t xml:space="preserve">el Día Hábil inmediatamente precedente </w:t>
      </w:r>
      <w:r w:rsidRPr="00CA0A60">
        <w:rPr>
          <w:rFonts w:ascii="Garamond" w:eastAsia="Times New Roman" w:hAnsi="Garamond" w:cs="Times New Roman"/>
          <w:sz w:val="20"/>
          <w:szCs w:val="20"/>
          <w:lang w:val="es-AR" w:eastAsia="zh-CN" w:bidi="he-IL"/>
        </w:rPr>
        <w:t>la Fecha de Compra, las Co-Emisoras deberán, en la medida que sea lícito</w:t>
      </w:r>
      <w:r w:rsidR="00E5379F">
        <w:rPr>
          <w:rFonts w:ascii="Garamond" w:eastAsia="Times New Roman" w:hAnsi="Garamond" w:cs="Times New Roman"/>
          <w:sz w:val="20"/>
          <w:szCs w:val="20"/>
          <w:lang w:val="es-AR" w:eastAsia="zh-CN" w:bidi="he-IL"/>
        </w:rPr>
        <w:t xml:space="preserve"> </w:t>
      </w:r>
      <w:r w:rsidRPr="00CA0A60">
        <w:rPr>
          <w:rFonts w:ascii="Garamond" w:eastAsia="Times New Roman" w:hAnsi="Garamond" w:cs="Times New Roman"/>
          <w:sz w:val="20"/>
          <w:szCs w:val="20"/>
          <w:lang w:val="es-AR" w:eastAsia="zh-CN" w:bidi="he-IL"/>
        </w:rPr>
        <w:t xml:space="preserve">depositar en el agente de pago o agente de oferta aplicable en relación con dicha Oferta de Compra, según corresponda, un monto equivalente al Monto de Compra respecto de todas las Obligaciones Negociables o partes de ellas debidamente presentadas y, de corresponder, seleccionadas para su compra; </w:t>
      </w:r>
    </w:p>
    <w:p w14:paraId="2BD9506F" w14:textId="573696AF" w:rsidR="00E5379F" w:rsidRPr="00CA0A60" w:rsidRDefault="00E5379F" w:rsidP="0034558A">
      <w:pPr>
        <w:widowControl w:val="0"/>
        <w:tabs>
          <w:tab w:val="left" w:pos="284"/>
          <w:tab w:val="left" w:pos="709"/>
          <w:tab w:val="left" w:pos="8789"/>
        </w:tabs>
        <w:spacing w:before="120" w:after="120"/>
        <w:jc w:val="both"/>
        <w:rPr>
          <w:rFonts w:ascii="Garamond" w:eastAsia="Times New Roman" w:hAnsi="Garamond" w:cs="Times New Roman"/>
          <w:sz w:val="20"/>
          <w:szCs w:val="20"/>
          <w:lang w:val="es-AR" w:eastAsia="zh-CN"/>
        </w:rPr>
      </w:pPr>
      <w:r>
        <w:rPr>
          <w:rFonts w:ascii="Garamond" w:eastAsia="Times New Roman" w:hAnsi="Garamond" w:cs="Times New Roman"/>
          <w:sz w:val="20"/>
          <w:szCs w:val="20"/>
          <w:lang w:val="es-AR" w:eastAsia="zh-CN" w:bidi="he-IL"/>
        </w:rPr>
        <w:t xml:space="preserve">En la Fecha de Compra las Co-Emisoras van, en la medida de loposible, a: </w:t>
      </w:r>
    </w:p>
    <w:p w14:paraId="7901BB6A" w14:textId="59586337" w:rsidR="00E5379F" w:rsidRDefault="00E5379F" w:rsidP="00F574E6">
      <w:pPr>
        <w:widowControl w:val="0"/>
        <w:numPr>
          <w:ilvl w:val="0"/>
          <w:numId w:val="117"/>
        </w:numPr>
        <w:tabs>
          <w:tab w:val="left" w:pos="284"/>
          <w:tab w:val="left" w:pos="851"/>
          <w:tab w:val="left" w:pos="1418"/>
          <w:tab w:val="left" w:pos="8789"/>
        </w:tabs>
        <w:spacing w:before="120" w:after="120" w:line="240" w:lineRule="auto"/>
        <w:jc w:val="both"/>
        <w:outlineLvl w:val="7"/>
        <w:rPr>
          <w:rFonts w:ascii="Garamond" w:eastAsia="Times New Roman" w:hAnsi="Garamond" w:cs="Times New Roman"/>
          <w:sz w:val="20"/>
          <w:szCs w:val="20"/>
          <w:lang w:val="es-AR" w:eastAsia="zh-CN"/>
        </w:rPr>
      </w:pPr>
      <w:r>
        <w:rPr>
          <w:rFonts w:ascii="Garamond" w:eastAsia="Times New Roman" w:hAnsi="Garamond" w:cs="Times New Roman"/>
          <w:sz w:val="20"/>
          <w:szCs w:val="20"/>
          <w:lang w:val="es-AR" w:eastAsia="zh-CN"/>
        </w:rPr>
        <w:t xml:space="preserve">Aceptar el pago de las obligaciones negociables o porciones de obligaciones negociables adecuadamente presentadas para la compra, de ser aplicable, seleccionadas para la compra de acuerdo </w:t>
      </w:r>
      <w:r>
        <w:rPr>
          <w:rFonts w:ascii="Garamond" w:eastAsia="Times New Roman" w:hAnsi="Garamond" w:cs="Times New Roman"/>
          <w:sz w:val="20"/>
          <w:szCs w:val="20"/>
          <w:lang w:val="es-AR" w:eastAsia="zh-CN"/>
        </w:rPr>
        <w:lastRenderedPageBreak/>
        <w:t>a la Oferta de Compra, y</w:t>
      </w:r>
    </w:p>
    <w:p w14:paraId="6FE9A67C" w14:textId="5FCB8EDD" w:rsidR="00F574E6" w:rsidRPr="00CA0A60" w:rsidRDefault="00F574E6" w:rsidP="00F574E6">
      <w:pPr>
        <w:widowControl w:val="0"/>
        <w:numPr>
          <w:ilvl w:val="0"/>
          <w:numId w:val="117"/>
        </w:numPr>
        <w:tabs>
          <w:tab w:val="left" w:pos="284"/>
          <w:tab w:val="left" w:pos="851"/>
          <w:tab w:val="left" w:pos="1418"/>
          <w:tab w:val="left" w:pos="8789"/>
        </w:tabs>
        <w:spacing w:before="120" w:after="120" w:line="240" w:lineRule="auto"/>
        <w:jc w:val="both"/>
        <w:outlineLvl w:val="7"/>
        <w:rPr>
          <w:rFonts w:ascii="Garamond" w:eastAsia="Times New Roman" w:hAnsi="Garamond" w:cs="Times New Roman"/>
          <w:sz w:val="20"/>
          <w:szCs w:val="20"/>
          <w:lang w:val="es-AR" w:eastAsia="zh-CN"/>
        </w:rPr>
      </w:pPr>
      <w:r w:rsidRPr="00CA0A60">
        <w:rPr>
          <w:rFonts w:ascii="Garamond" w:eastAsia="Times New Roman" w:hAnsi="Garamond" w:cs="Times New Roman"/>
          <w:sz w:val="20"/>
          <w:szCs w:val="20"/>
          <w:lang w:val="es-AR" w:eastAsia="zh-CN" w:bidi="he-IL"/>
        </w:rPr>
        <w:t>entregar o hacer que se entreguen al Fiduciario las Obligaciones Negociables aceptadas, junto con un Certificado de Directivos</w:t>
      </w:r>
      <w:r w:rsidR="00E5379F">
        <w:rPr>
          <w:rFonts w:ascii="Garamond" w:eastAsia="Times New Roman" w:hAnsi="Garamond" w:cs="Times New Roman"/>
          <w:sz w:val="20"/>
          <w:szCs w:val="20"/>
          <w:lang w:val="es-AR" w:eastAsia="zh-CN" w:bidi="he-IL"/>
        </w:rPr>
        <w:t xml:space="preserve"> de las Co-Emisoras</w:t>
      </w:r>
      <w:r w:rsidRPr="00CA0A60">
        <w:rPr>
          <w:rFonts w:ascii="Garamond" w:eastAsia="Times New Roman" w:hAnsi="Garamond" w:cs="Times New Roman"/>
          <w:sz w:val="20"/>
          <w:szCs w:val="20"/>
          <w:lang w:val="es-AR" w:eastAsia="zh-CN" w:bidi="he-IL"/>
        </w:rPr>
        <w:t xml:space="preserve"> con un detalle del monto de capital en circulación de Obligaciones Negociables compradas por las Co-Emisoras.</w:t>
      </w:r>
    </w:p>
    <w:p w14:paraId="71A4E92A" w14:textId="77777777" w:rsidR="00F574E6" w:rsidRPr="00CA0A60" w:rsidRDefault="00F574E6" w:rsidP="00F574E6">
      <w:pPr>
        <w:widowControl w:val="0"/>
        <w:tabs>
          <w:tab w:val="left" w:pos="284"/>
          <w:tab w:val="left" w:pos="709"/>
          <w:tab w:val="left" w:pos="878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El o los agentes de pago o el agente de oferta en relación con dicha Oferta de Compra, según corresponda, deberán entregar inmediatamente a cada Tenedor de Obligaciones Negociables aceptadas el Monto de Compra de dichas Obligaciones Negociables, y el Fiduciario deberá autenticar y entregar inmediatamente (o hacer que se transfiera en forma escritural) a cada Tenedor una o más Obligaciones Negociables nuevas iguales en monto de capital a cualquier porción no comprada de las Obligaciones Negociables presentadas, si hubiera.</w:t>
      </w:r>
    </w:p>
    <w:p w14:paraId="5E91F5DA" w14:textId="77777777" w:rsidR="00F574E6" w:rsidRPr="00CA0A60" w:rsidRDefault="00F574E6" w:rsidP="00F574E6">
      <w:pPr>
        <w:widowControl w:val="0"/>
        <w:tabs>
          <w:tab w:val="left" w:pos="284"/>
          <w:tab w:val="left" w:pos="709"/>
          <w:tab w:val="left" w:pos="878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Las Co-Emisoras deberán cumplir con los requisitos de la Regla 14e-1 bajo la Ley de Mercados de Valores y cualquier otra ley en materia de títulos valores aplicable en relación con la compra de Obligaciones Negociables de conformidad con un Supuesto de Pérdida, una Expropiación o una Venta de Activos. En la medida en que las disposiciones de las leyes o reglamentaciones en materia de títulos valores aplicables estuvieran en conflicto con las disposiciones del Contrato de Fideicomiso respecto de ofertas de rescate de las Obligaciones Negociables, las Co-Emisoras deberán cumplir con tales leyes y reglamentaciones y no se entenderá que han incumplido sus obligaciones bajo dichas disposiciones del Contrato de Fideicomiso al actuar de tal forma. Si fuera ilícito en cualquier jurisdicción realizar una oferta de rescate de las Obligaciones Negociables como resultado de un Supuesto de Pérdida, una Expropiación o una Venta de Activos, las Co-Emisoras no estarán obligadas a realizar dicha oferta en esa jurisdicción y no se entenderá que han incumplido sus obligaciones bajo el Contrato de Fideicomiso al actuar de tal forma.</w:t>
      </w:r>
    </w:p>
    <w:p w14:paraId="7ABD20B1" w14:textId="3165A98B" w:rsidR="002C2444" w:rsidRPr="00CA3A3D" w:rsidRDefault="00F574E6" w:rsidP="002C2444">
      <w:pPr>
        <w:widowControl w:val="0"/>
        <w:tabs>
          <w:tab w:val="left" w:pos="284"/>
          <w:tab w:val="left" w:pos="709"/>
          <w:tab w:val="left" w:pos="8789"/>
        </w:tabs>
        <w:spacing w:before="120" w:after="120" w:line="256" w:lineRule="auto"/>
        <w:jc w:val="both"/>
        <w:rPr>
          <w:rFonts w:ascii="Garamond" w:eastAsia="Times New Roman" w:hAnsi="Garamond" w:cs="Calibri"/>
          <w:sz w:val="20"/>
          <w:szCs w:val="20"/>
          <w:lang w:val="es-AR" w:eastAsia="zh-CN" w:bidi="he-IL"/>
        </w:rPr>
      </w:pPr>
      <w:r w:rsidRPr="00CA0A60">
        <w:rPr>
          <w:rFonts w:ascii="Garamond" w:eastAsia="Times New Roman" w:hAnsi="Garamond" w:cs="Times New Roman"/>
          <w:sz w:val="20"/>
          <w:szCs w:val="20"/>
          <w:lang w:val="es-AR" w:eastAsia="zh-CN" w:bidi="he-IL"/>
        </w:rPr>
        <w:t>Si debiera rescatarse un número inferior al total de las Obligaciones Negociables en cualquier momento de conformidad con las disposiciones del Contrato de Fideicomiso descriptas en “—</w:t>
      </w:r>
      <w:r w:rsidRPr="00CA0A60">
        <w:rPr>
          <w:rFonts w:ascii="Garamond" w:eastAsia="Times New Roman" w:hAnsi="Garamond" w:cs="Times New Roman"/>
          <w:i/>
          <w:sz w:val="20"/>
          <w:szCs w:val="20"/>
          <w:lang w:val="es-AR" w:eastAsia="zh-CN" w:bidi="he-IL"/>
        </w:rPr>
        <w:t>Supuesto de Pérdida, Expropiación y Venta de Activos</w:t>
      </w:r>
      <w:r w:rsidRPr="00CA0A60">
        <w:rPr>
          <w:rFonts w:ascii="Garamond" w:eastAsia="Times New Roman" w:hAnsi="Garamond" w:cs="Times New Roman"/>
          <w:sz w:val="20"/>
          <w:szCs w:val="20"/>
          <w:lang w:val="es-AR" w:eastAsia="zh-CN" w:bidi="he-IL"/>
        </w:rPr>
        <w:t>”, el monto de capital de las Obligaciones Negociables a ser precancelado será imputado a las cuotas de amortización de capital de las Obligaciones Negociables en forma proporcional a las cuotas impagas.</w:t>
      </w:r>
    </w:p>
    <w:p w14:paraId="18C9DD0A" w14:textId="77777777" w:rsidR="00F574E6" w:rsidRPr="00CA0A60" w:rsidRDefault="00F574E6" w:rsidP="00F574E6">
      <w:pPr>
        <w:keepNext/>
        <w:keepLines/>
        <w:numPr>
          <w:ilvl w:val="2"/>
          <w:numId w:val="0"/>
        </w:numPr>
        <w:tabs>
          <w:tab w:val="left" w:pos="284"/>
          <w:tab w:val="left" w:pos="709"/>
          <w:tab w:val="left" w:pos="8789"/>
        </w:tabs>
        <w:spacing w:before="120" w:after="120"/>
        <w:jc w:val="both"/>
        <w:outlineLvl w:val="2"/>
        <w:rPr>
          <w:rFonts w:ascii="Garamond" w:eastAsia="Times New Roman" w:hAnsi="Garamond" w:cs="Times New Roman"/>
          <w:b/>
          <w:i/>
          <w:iCs/>
          <w:sz w:val="20"/>
          <w:szCs w:val="20"/>
          <w:lang w:val="es-AR" w:eastAsia="zh-CN"/>
        </w:rPr>
      </w:pPr>
      <w:r w:rsidRPr="00CA0A60">
        <w:rPr>
          <w:rFonts w:ascii="Garamond" w:eastAsia="Times New Roman" w:hAnsi="Garamond" w:cs="Times New Roman"/>
          <w:b/>
          <w:i/>
          <w:iCs/>
          <w:sz w:val="20"/>
          <w:szCs w:val="20"/>
          <w:lang w:val="es-AR" w:eastAsia="zh-CN"/>
        </w:rPr>
        <w:t>Rescate ante la Ejecución de los Derechos de Garantía</w:t>
      </w:r>
    </w:p>
    <w:p w14:paraId="1331779E" w14:textId="67B2297F" w:rsidR="00F574E6" w:rsidRPr="00CA0A60" w:rsidRDefault="00F574E6" w:rsidP="00F574E6">
      <w:pPr>
        <w:widowControl w:val="0"/>
        <w:tabs>
          <w:tab w:val="left" w:pos="284"/>
          <w:tab w:val="left" w:pos="709"/>
          <w:tab w:val="left" w:pos="878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Si se acelerara el vencimiento de las Obligaciones Negociables y si el Agente de Garantía Internacional, el Agente de Garantía Local o el Fiduciario Argentino, según el caso, ejecutara o vendiera todos o cualquier parte de los Derechos de Garantía en cualquier momento de acuerdo con los términos del Contrato de Fideicomiso o los Documentos de Garantía, todos los fondos realizados en relación con ello deberán ser destinados</w:t>
      </w:r>
      <w:r w:rsidR="00E5379F">
        <w:rPr>
          <w:rFonts w:ascii="Garamond" w:eastAsia="Times New Roman" w:hAnsi="Garamond" w:cs="Times New Roman"/>
          <w:sz w:val="20"/>
          <w:szCs w:val="20"/>
          <w:lang w:val="es-AR" w:eastAsia="zh-CN" w:bidi="he-IL"/>
        </w:rPr>
        <w:t>, por el Fiduciario,</w:t>
      </w:r>
      <w:r w:rsidRPr="00CA0A60">
        <w:rPr>
          <w:rFonts w:ascii="Garamond" w:eastAsia="Times New Roman" w:hAnsi="Garamond" w:cs="Times New Roman"/>
          <w:sz w:val="20"/>
          <w:szCs w:val="20"/>
          <w:lang w:val="es-AR" w:eastAsia="zh-CN" w:bidi="he-IL"/>
        </w:rPr>
        <w:t xml:space="preserve"> a rescatar las Obligaciones Negociables de acuerdo con los procedimientos establecidos en “</w:t>
      </w:r>
      <w:r w:rsidRPr="00CA0A60">
        <w:rPr>
          <w:rFonts w:ascii="Garamond" w:eastAsia="Times New Roman" w:hAnsi="Garamond" w:cs="Times New Roman"/>
          <w:i/>
          <w:sz w:val="20"/>
          <w:szCs w:val="20"/>
          <w:lang w:val="es-AR" w:eastAsia="zh-CN" w:bidi="he-IL"/>
        </w:rPr>
        <w:t>Derechos de Garantía—Ejercicio de Recursos y Destino de los Fondos</w:t>
      </w:r>
      <w:r w:rsidRPr="00CA0A60">
        <w:rPr>
          <w:rFonts w:ascii="Garamond" w:eastAsia="Times New Roman" w:hAnsi="Garamond" w:cs="Times New Roman"/>
          <w:sz w:val="20"/>
          <w:szCs w:val="20"/>
          <w:lang w:val="es-AR" w:eastAsia="zh-CN" w:bidi="he-IL"/>
        </w:rPr>
        <w:t>” independientemente de si dichos fondos son o no suficientes para pagar todos los montos vencidos bajo</w:t>
      </w:r>
      <w:r w:rsidR="00E5379F">
        <w:rPr>
          <w:rFonts w:ascii="Garamond" w:eastAsia="Times New Roman" w:hAnsi="Garamond" w:cs="Times New Roman"/>
          <w:sz w:val="20"/>
          <w:szCs w:val="20"/>
          <w:lang w:val="es-AR" w:eastAsia="zh-CN" w:bidi="he-IL"/>
        </w:rPr>
        <w:t xml:space="preserve"> los Documentos de Financiación</w:t>
      </w:r>
      <w:r w:rsidRPr="00CA0A60">
        <w:rPr>
          <w:rFonts w:ascii="Garamond" w:eastAsia="Times New Roman" w:hAnsi="Garamond" w:cs="Times New Roman"/>
          <w:sz w:val="20"/>
          <w:szCs w:val="20"/>
          <w:lang w:val="es-AR" w:eastAsia="zh-CN" w:bidi="he-IL"/>
        </w:rPr>
        <w:t>.</w:t>
      </w:r>
    </w:p>
    <w:p w14:paraId="6414B174" w14:textId="77777777" w:rsidR="00F574E6" w:rsidRPr="00CA0A60" w:rsidRDefault="00F574E6" w:rsidP="00F574E6">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Ausencia de Otras Compras de Obligaciones Negociables</w:t>
      </w:r>
    </w:p>
    <w:p w14:paraId="08E8A502" w14:textId="2374A6EC" w:rsidR="00F574E6" w:rsidRPr="00CA0A60" w:rsidRDefault="00F574E6" w:rsidP="002950D7">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Ni el Garante ni ninguna de las Co-Emisoras podrá comprar, rescatar, precancelar o adquirir de otra forma, directa o indirectamente, ninguna de las Obligaciones Negociables en circulación excepto contra el pago o la precancelación de las Obligaciones Negociables de acuerdo con el Contrato de Fideicomiso, y no podrán permitir que ninguna de sus respectivas Subsidiarias o Afiliadas procedan de tal forma, salvo </w:t>
      </w:r>
      <w:r w:rsidR="002950D7" w:rsidRPr="00CA0A60">
        <w:rPr>
          <w:rFonts w:ascii="Garamond" w:hAnsi="Garamond" w:cs="Times New Roman"/>
          <w:sz w:val="20"/>
          <w:szCs w:val="20"/>
          <w:lang w:val="es-AR"/>
        </w:rPr>
        <w:t xml:space="preserve">(i) </w:t>
      </w:r>
      <w:r w:rsidRPr="00CA0A60">
        <w:rPr>
          <w:rFonts w:ascii="Garamond" w:hAnsi="Garamond" w:cs="Times New Roman"/>
          <w:sz w:val="20"/>
          <w:szCs w:val="20"/>
          <w:lang w:val="es-AR"/>
        </w:rPr>
        <w:t>del modo expresamente previsto en las secciones “</w:t>
      </w:r>
      <w:r w:rsidRPr="00CA0A60">
        <w:rPr>
          <w:rFonts w:ascii="Garamond" w:hAnsi="Garamond" w:cs="Times New Roman"/>
          <w:i/>
          <w:sz w:val="20"/>
          <w:szCs w:val="20"/>
          <w:lang w:val="es-AR"/>
        </w:rPr>
        <w:t>Rescate Opcional</w:t>
      </w:r>
      <w:r w:rsidRPr="00CA0A60">
        <w:rPr>
          <w:rFonts w:ascii="Garamond" w:hAnsi="Garamond" w:cs="Times New Roman"/>
          <w:sz w:val="20"/>
          <w:szCs w:val="20"/>
          <w:lang w:val="es-AR"/>
        </w:rPr>
        <w:t>” y “</w:t>
      </w:r>
      <w:r w:rsidRPr="00CA0A60">
        <w:rPr>
          <w:rFonts w:ascii="Garamond" w:hAnsi="Garamond" w:cs="Times New Roman"/>
          <w:i/>
          <w:sz w:val="20"/>
          <w:szCs w:val="20"/>
          <w:lang w:val="es-AR"/>
        </w:rPr>
        <w:t>Ofertas Obligatorias de Compra de Obligaciones Negociables</w:t>
      </w:r>
      <w:r w:rsidRPr="00CA0A60">
        <w:rPr>
          <w:rFonts w:ascii="Garamond" w:hAnsi="Garamond" w:cs="Times New Roman"/>
          <w:sz w:val="20"/>
          <w:szCs w:val="20"/>
          <w:lang w:val="es-AR"/>
        </w:rPr>
        <w:t>”</w:t>
      </w:r>
      <w:r w:rsidR="002950D7" w:rsidRPr="00CA0A60">
        <w:rPr>
          <w:rFonts w:ascii="Garamond" w:hAnsi="Garamond" w:cs="Times New Roman"/>
          <w:sz w:val="20"/>
          <w:szCs w:val="20"/>
          <w:lang w:val="es-AR"/>
        </w:rPr>
        <w:t>, y (ii) recompras de Obligaciones Negociables en el mercado abierto; quedando establecido que esas recompras de Obligaciones Negociables en el mercado abierto (sea en forma individual o junto con todas las demás recompras en el mercado abierto consumadas desde la Fecha de Emisión) no podrán en ningún momento superar U$S 10 millones.</w:t>
      </w:r>
    </w:p>
    <w:p w14:paraId="600EE67C" w14:textId="3B53D89A"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Co-Emisoras deberán cancelar inmediatamente todas las Obligaciones Negociables adquiridas </w:t>
      </w:r>
      <w:r w:rsidR="008C0CB1">
        <w:rPr>
          <w:rFonts w:ascii="Garamond" w:hAnsi="Garamond" w:cs="Times New Roman"/>
          <w:sz w:val="20"/>
          <w:szCs w:val="20"/>
          <w:lang w:val="es-AR"/>
        </w:rPr>
        <w:t xml:space="preserve">(incluyendo compras en mercado abierto) </w:t>
      </w:r>
      <w:r w:rsidRPr="00CA0A60">
        <w:rPr>
          <w:rFonts w:ascii="Garamond" w:hAnsi="Garamond" w:cs="Times New Roman"/>
          <w:sz w:val="20"/>
          <w:szCs w:val="20"/>
          <w:lang w:val="es-AR"/>
        </w:rPr>
        <w:t>por ellas o por cualquiera de sus Subsidiarias o Afiliadas en virtud de cualquier pago o precancelación de Obligaciones Negociables de acuerdo con el Contrato de Fideicomiso y no podrán emitirse obligaciones negociables en sustitución o canje de dichas Obligaciones Negociables.</w:t>
      </w:r>
    </w:p>
    <w:p w14:paraId="35135552" w14:textId="77777777" w:rsidR="00F574E6" w:rsidRPr="00CA0A60" w:rsidRDefault="00F574E6" w:rsidP="00F574E6">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76" w:name="bookmark159"/>
      <w:r w:rsidRPr="00CA0A60">
        <w:rPr>
          <w:rFonts w:ascii="Garamond" w:hAnsi="Garamond" w:cs="Times New Roman"/>
          <w:b/>
          <w:i/>
          <w:sz w:val="20"/>
          <w:szCs w:val="20"/>
          <w:lang w:val="es-AR"/>
        </w:rPr>
        <w:t>Ciertos Compromisos</w:t>
      </w:r>
      <w:bookmarkEnd w:id="76"/>
    </w:p>
    <w:p w14:paraId="41BCF8CA"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b/>
          <w:sz w:val="20"/>
          <w:u w:val="single"/>
          <w:lang w:val="es-AR"/>
        </w:rPr>
      </w:pPr>
      <w:r w:rsidRPr="00CA0A60">
        <w:rPr>
          <w:rFonts w:ascii="Garamond" w:hAnsi="Garamond" w:cs="Times New Roman"/>
          <w:i/>
          <w:sz w:val="20"/>
          <w:u w:val="single"/>
          <w:lang w:val="es-AR"/>
        </w:rPr>
        <w:t>Limitación de Deuda Adicional</w:t>
      </w:r>
    </w:p>
    <w:p w14:paraId="09A13A99" w14:textId="77777777" w:rsidR="00F574E6" w:rsidRPr="00CA0A60" w:rsidRDefault="00F574E6" w:rsidP="00F574E6">
      <w:pPr>
        <w:widowControl w:val="0"/>
        <w:numPr>
          <w:ilvl w:val="0"/>
          <w:numId w:val="73"/>
        </w:numPr>
        <w:tabs>
          <w:tab w:val="left" w:pos="284"/>
          <w:tab w:val="left" w:pos="709"/>
          <w:tab w:val="left" w:pos="1276"/>
          <w:tab w:val="left" w:pos="1843"/>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Ninguna de las Co-Emisoras ni el Garante podrán, éste último por sí o por intermedio de cualquiera de sus otras Subsidiarias Restringidas, Incurrir en Deuda alguna, ya sea directa o indirectamente, salvo por la siguiente Deuda (“</w:t>
      </w:r>
      <w:r w:rsidRPr="00CA0A60">
        <w:rPr>
          <w:rFonts w:ascii="Garamond" w:hAnsi="Garamond" w:cs="Times New Roman"/>
          <w:sz w:val="20"/>
          <w:szCs w:val="20"/>
          <w:u w:val="single"/>
          <w:lang w:val="es-AR"/>
        </w:rPr>
        <w:t>Deuda Permitida</w:t>
      </w:r>
      <w:r w:rsidRPr="00CA0A60">
        <w:rPr>
          <w:rFonts w:ascii="Garamond" w:hAnsi="Garamond" w:cs="Times New Roman"/>
          <w:sz w:val="20"/>
          <w:szCs w:val="20"/>
          <w:lang w:val="es-AR"/>
        </w:rPr>
        <w:t>”):</w:t>
      </w:r>
    </w:p>
    <w:p w14:paraId="0951B190" w14:textId="498CF2AD"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Deuda emergente en virtud de las Obligaciones Negociables y las Garantías de ASA </w:t>
      </w:r>
      <w:r w:rsidR="00C40E2D" w:rsidRPr="00CA0A60">
        <w:rPr>
          <w:rFonts w:ascii="Garamond" w:hAnsi="Garamond" w:cs="Times New Roman"/>
          <w:sz w:val="20"/>
          <w:szCs w:val="20"/>
          <w:lang w:val="es-AR"/>
        </w:rPr>
        <w:t xml:space="preserve">(incluyendo </w:t>
      </w:r>
      <w:r w:rsidRPr="00CA0A60">
        <w:rPr>
          <w:rFonts w:ascii="Garamond" w:hAnsi="Garamond" w:cs="Times New Roman"/>
          <w:sz w:val="20"/>
          <w:szCs w:val="20"/>
          <w:lang w:val="es-AR"/>
        </w:rPr>
        <w:lastRenderedPageBreak/>
        <w:t>Obligaciones Negociables Adicionales y Garantías</w:t>
      </w:r>
      <w:r w:rsidR="00C40E2D" w:rsidRPr="00CA0A60">
        <w:rPr>
          <w:rFonts w:ascii="Garamond" w:hAnsi="Garamond" w:cs="Times New Roman" w:hint="eastAsia"/>
          <w:sz w:val="20"/>
          <w:szCs w:val="20"/>
          <w:lang w:val="es-AR"/>
        </w:rPr>
        <w:t xml:space="preserve"> de las Obligaciones Negociables relativas a las mismas, siempre que </w:t>
      </w:r>
      <w:r w:rsidR="00135627">
        <w:rPr>
          <w:rFonts w:ascii="Garamond" w:hAnsi="Garamond" w:cs="Times New Roman"/>
          <w:sz w:val="20"/>
          <w:szCs w:val="20"/>
          <w:lang w:val="es-AR"/>
        </w:rPr>
        <w:t xml:space="preserve">(x) </w:t>
      </w:r>
      <w:r w:rsidR="00C40E2D" w:rsidRPr="00CA0A60">
        <w:rPr>
          <w:rFonts w:ascii="Garamond" w:hAnsi="Garamond" w:cs="Times New Roman" w:hint="eastAsia"/>
          <w:sz w:val="20"/>
          <w:szCs w:val="20"/>
          <w:lang w:val="es-AR"/>
        </w:rPr>
        <w:t xml:space="preserve">el monto de capital total de la Deuda Contraída en la forma de Obligaciones Negociables Adicionales en virtud de este inciso (i), cuando es considerado junto con todas las demás Deudas Contraídas en la forma de Obligaciones Negociables Adicionales en virtud de este inciso (i), no sea superior a U$S </w:t>
      </w:r>
      <w:r w:rsidR="0069700D">
        <w:rPr>
          <w:rFonts w:ascii="Garamond" w:hAnsi="Garamond" w:cs="Times New Roman"/>
          <w:sz w:val="20"/>
          <w:szCs w:val="20"/>
          <w:lang w:val="es-AR"/>
        </w:rPr>
        <w:t>85 millones</w:t>
      </w:r>
      <w:r w:rsidR="00C40E2D" w:rsidRPr="00CA0A60">
        <w:rPr>
          <w:rFonts w:ascii="Garamond" w:hAnsi="Garamond" w:cs="Times New Roman" w:hint="eastAsia"/>
          <w:sz w:val="20"/>
          <w:szCs w:val="20"/>
          <w:lang w:val="es-AR"/>
        </w:rPr>
        <w:t xml:space="preserve"> en ningún momento</w:t>
      </w:r>
      <w:r w:rsidR="00135627">
        <w:rPr>
          <w:rFonts w:ascii="Garamond" w:hAnsi="Garamond" w:cs="Times New Roman"/>
          <w:sz w:val="20"/>
          <w:szCs w:val="20"/>
          <w:lang w:val="es-AR"/>
        </w:rPr>
        <w:t xml:space="preserve">, y (y) el Índice Préstamo Valor sea igual o superior </w:t>
      </w:r>
      <w:r w:rsidR="006C6F02">
        <w:rPr>
          <w:rFonts w:ascii="Garamond" w:hAnsi="Garamond" w:cs="Times New Roman"/>
          <w:sz w:val="20"/>
          <w:szCs w:val="20"/>
          <w:lang w:val="es-AR"/>
        </w:rPr>
        <w:t>2,00:1,00</w:t>
      </w:r>
      <w:r w:rsidR="00135627">
        <w:rPr>
          <w:rFonts w:ascii="Garamond" w:hAnsi="Garamond" w:cs="Times New Roman"/>
          <w:sz w:val="20"/>
          <w:szCs w:val="20"/>
          <w:lang w:val="es-AR"/>
        </w:rPr>
        <w:t xml:space="preserve"> inmediatamente antes de dar efecto a dicha operación y (z) no se hubiera producido ni continuara vigente un Incumplimiento o Supuesto de Incumplimiento ni pudiera producirse un Incumplimiento o Supuesto de Incumplimiento después de dar efecto a la Contracción de dicha Deuda</w:t>
      </w:r>
      <w:r w:rsidRPr="00CA0A60">
        <w:rPr>
          <w:rFonts w:ascii="Garamond" w:hAnsi="Garamond" w:cs="Times New Roman"/>
          <w:sz w:val="20"/>
          <w:szCs w:val="20"/>
          <w:lang w:val="es-AR"/>
        </w:rPr>
        <w:t>;</w:t>
      </w:r>
    </w:p>
    <w:p w14:paraId="1E159AB6" w14:textId="1D4657F4"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Deuda del Garante, cualquiera de las Co-Emisoras o cualquier otra Subsidiaria Restringida pendiente de pago en la Fecha de Emisión (incluyendo las Garantías de GECE, que se considerará Contraída y pendiente de pago a la Fecha de Emisión)</w:t>
      </w:r>
      <w:r w:rsidR="00302BFE">
        <w:rPr>
          <w:rFonts w:ascii="Garamond" w:hAnsi="Garamond" w:cs="Times New Roman"/>
          <w:sz w:val="20"/>
          <w:szCs w:val="20"/>
          <w:lang w:val="es-AR"/>
        </w:rPr>
        <w:t xml:space="preserve">, según lo previsto en el Artículo </w:t>
      </w:r>
      <w:r w:rsidR="00F20846">
        <w:rPr>
          <w:rFonts w:ascii="Garamond" w:hAnsi="Garamond" w:cs="Times New Roman"/>
          <w:sz w:val="20"/>
          <w:szCs w:val="20"/>
          <w:lang w:val="es-AR"/>
        </w:rPr>
        <w:t>I</w:t>
      </w:r>
      <w:r w:rsidR="00302BFE">
        <w:rPr>
          <w:rFonts w:ascii="Garamond" w:hAnsi="Garamond" w:cs="Times New Roman"/>
          <w:sz w:val="20"/>
          <w:szCs w:val="20"/>
          <w:lang w:val="es-AR"/>
        </w:rPr>
        <w:t xml:space="preserve"> del Apéndice A del Contrato de Fideicomiso</w:t>
      </w:r>
      <w:r w:rsidRPr="00CA0A60">
        <w:rPr>
          <w:rFonts w:ascii="Garamond" w:hAnsi="Garamond" w:cs="Times New Roman"/>
          <w:sz w:val="20"/>
          <w:szCs w:val="20"/>
          <w:lang w:val="es-AR"/>
        </w:rPr>
        <w:t>;</w:t>
      </w:r>
    </w:p>
    <w:p w14:paraId="3DDCF0D7" w14:textId="77777777"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Garantías prestadas por cualquier Subsidiaria Restringida en relación con la Deuda del Garante, cualquier Co-Emisora o cualquier otra Subsidiaria Restringida autorizadas en virtud de otra disposición del compromiso del Contrato de Fideicomiso descripto aquí bajo “—Limitación de Deuda Adicional”; a condición de que, si tales Garantías se prestan en relación con una Deuda Subordinada, la Garantía de dicha Deuda Subordinada estará expresamente subordinada al pago total previo de todas las obligaciones en virtud de las Obligaciones Negociables, las Garantías de ASA y el Contrato de Fideicomiso;</w:t>
      </w:r>
    </w:p>
    <w:p w14:paraId="60102ED6" w14:textId="1F87CD8D"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Deuda en virtud de Obligaciones de Cobertura del Garante, cualquier Co-Emisora y otra Subsidiaria Restringida Contraída en el giro ordinario del negocio y sin fines especulativos;</w:t>
      </w:r>
    </w:p>
    <w:p w14:paraId="67E1B390" w14:textId="77777777"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cualquier Deuda entre sociedades Contraída por el Garante o cualquier Co-Emisora con cualquiera de las demás Subsidiarias Restringidas, cualquier Deuda Contraída por una de las Subsidiarias Restringidas con el Garante o cualquier Deuda entre Subsidiarias Restringidas, </w:t>
      </w:r>
      <w:r w:rsidRPr="00CA0A60">
        <w:rPr>
          <w:rFonts w:ascii="Garamond" w:hAnsi="Garamond" w:cs="Times New Roman"/>
          <w:sz w:val="20"/>
          <w:szCs w:val="20"/>
          <w:u w:val="single"/>
          <w:lang w:val="es-AR"/>
        </w:rPr>
        <w:t>no obstante</w:t>
      </w:r>
      <w:r w:rsidRPr="00CA0A60">
        <w:rPr>
          <w:rFonts w:ascii="Garamond" w:hAnsi="Garamond" w:cs="Times New Roman"/>
          <w:sz w:val="20"/>
          <w:szCs w:val="20"/>
          <w:lang w:val="es-AR"/>
        </w:rPr>
        <w:t>,</w:t>
      </w:r>
    </w:p>
    <w:p w14:paraId="58B283C3" w14:textId="77777777" w:rsidR="00F574E6" w:rsidRPr="00CA0A60" w:rsidRDefault="00F574E6" w:rsidP="00F574E6">
      <w:pPr>
        <w:widowControl w:val="0"/>
        <w:numPr>
          <w:ilvl w:val="0"/>
          <w:numId w:val="75"/>
        </w:numPr>
        <w:tabs>
          <w:tab w:val="left" w:pos="284"/>
          <w:tab w:val="left" w:pos="709"/>
          <w:tab w:val="left" w:pos="1276"/>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será necesario que dicha Deuda (A) no esté garantizada, y (B) en el caso de que la obligada sea un Garante o una Co-Emisora y la acreedora una Co-Emisora o una Subsidiaria Restringida que no sea Garante con respecto a las Obligaciones Negociables, se halle expresamente subordinada al pago previo en efectivo de todas las obligaciones asumidas en virtud de las Obligaciones Negociables, las Garantías de ASA y el Contrato de Fideicomiso; y</w:t>
      </w:r>
    </w:p>
    <w:p w14:paraId="5375B19F" w14:textId="77777777" w:rsidR="00F574E6" w:rsidRPr="00CA0A60" w:rsidRDefault="00F574E6" w:rsidP="00F574E6">
      <w:pPr>
        <w:widowControl w:val="0"/>
        <w:numPr>
          <w:ilvl w:val="0"/>
          <w:numId w:val="75"/>
        </w:numPr>
        <w:tabs>
          <w:tab w:val="left" w:pos="284"/>
          <w:tab w:val="left" w:pos="709"/>
          <w:tab w:val="left" w:pos="1276"/>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el caso de que en cualquier momento y por cualquier motivo dicha Deuda cese en su carácter de obligación contraída con el Garante, una Co-Emisora u otra Subsidiaria Restringida, o asumida por cualquiera de estas, dicha Deuda se considerará Contraída por el Garante, la Co-Emisora o la otra Subsidiaria Restringida correspondiente, según sea el caso, y no autorizada por el presente inciso (v) en el momento en que dicho hecho se produzca.</w:t>
      </w:r>
    </w:p>
    <w:p w14:paraId="652BFC2C" w14:textId="77777777"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cualquier Deuda Contraída en virtud de la aceptación, por parte de una entidad bancaria u otra entidad financiera, de un cheque, letra de cambio o cualquier otro instrumento similar librado en ausencia de fondos suficientes en el marco del giro comercial habitual, a condición de que las Deudas se cancelen dentro de los cinco Días Hábiles luego de la recepción de la notificación de fondos insuficientes;</w:t>
      </w:r>
    </w:p>
    <w:p w14:paraId="637614E6" w14:textId="77777777"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cualquier Deuda relativa a indemnizaciones por despido, reclamos de indemnizaciones por accidentes de trabajo, obligaciones de pago en relación con la salud o prestaciones de seguridad social, obligaciones por seguro de desempleo u otras obligaciones relativas a autoseguros para empleados, cartas de crédito, aceptaciones bancarias, obligaciones de pago relativas a primas de seguro u obligaciones de similar naturaleza, depósitos de garantía, garantías de buen fin, fianzas de apelación, caución, cumplimiento, seriedad, aduana u otras de similar naturaleza y obligaciones de rembolso (o cartas de crédito extendidas en relación con cualquiera de los conceptos precedentes o en su reemplazo), en cada caso, Contraída en el marco del giro comercial habitual por el Garante, una Co-Emisora o cualquier otra Subsidiaria Restringida o en la medida exigida por las Autoridades Gubernamentales pertinentes en relación con las operaciones de dicho Garante, Co-Emisora u otra Subsidiaria Restringida;</w:t>
      </w:r>
    </w:p>
    <w:p w14:paraId="440CB17E" w14:textId="19057A29"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cualquier Deuda por Refinanciamiento respecto de Deuda Contraída de conformidad con los apartados (i) (incluida la Deuda por Refinanciamiento Contraída con el objeto de cancelar las Obligaciones Negociables según lo previsto en “—</w:t>
      </w:r>
      <w:r w:rsidRPr="00CA0A60">
        <w:rPr>
          <w:rFonts w:ascii="Garamond" w:hAnsi="Garamond" w:cs="Times New Roman"/>
          <w:i/>
          <w:sz w:val="20"/>
          <w:szCs w:val="20"/>
          <w:lang w:val="es-AR"/>
        </w:rPr>
        <w:t>Cancelación</w:t>
      </w:r>
      <w:r w:rsidR="00EB7EDE">
        <w:rPr>
          <w:rFonts w:ascii="Garamond" w:hAnsi="Garamond" w:cs="Times New Roman"/>
          <w:i/>
          <w:sz w:val="20"/>
          <w:szCs w:val="20"/>
          <w:lang w:val="es-AR"/>
        </w:rPr>
        <w:t xml:space="preserve"> Legal y Cancelación de Compromisos</w:t>
      </w:r>
      <w:r w:rsidRPr="00CA0A60">
        <w:rPr>
          <w:rFonts w:ascii="Garamond" w:hAnsi="Garamond" w:cs="Times New Roman"/>
          <w:sz w:val="20"/>
          <w:szCs w:val="20"/>
          <w:lang w:val="es-AR"/>
        </w:rPr>
        <w:t>”, y en la medida en la que los fondos obtenidos sean destinados de manera concurrente a cancelar dichas Obligaciones Negociables), (ii)</w:t>
      </w:r>
      <w:r w:rsidR="00631C65">
        <w:rPr>
          <w:rFonts w:ascii="Garamond" w:hAnsi="Garamond" w:cs="Times New Roman"/>
          <w:sz w:val="20"/>
          <w:szCs w:val="20"/>
          <w:lang w:val="es-AR"/>
        </w:rPr>
        <w:t xml:space="preserve"> (a excepción de la Deuda por refinanciamiento identificada en el Artículo II del Apéndice A del Contrato de Fideicomiso, la cual puede Contraerse únicamente en virtud del inciso (xiv) a continuación)</w:t>
      </w:r>
      <w:r w:rsidRPr="00CA0A60">
        <w:rPr>
          <w:rFonts w:ascii="Garamond" w:hAnsi="Garamond" w:cs="Times New Roman"/>
          <w:sz w:val="20"/>
          <w:szCs w:val="20"/>
          <w:lang w:val="es-AR"/>
        </w:rPr>
        <w:t>, (viii) y (xi) de la presente cláusula (a);</w:t>
      </w:r>
    </w:p>
    <w:p w14:paraId="360204DE" w14:textId="77777777"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cualquier Deuda en virtud de disposiciones contractuales en materia de indemnidad, ajuste del precio de compra u obligaciones similares, o de Garantías o cartas de crédito, o de fianzas de caución, cumplimiento u otras de similar naturaleza, que se hayan constituido con el fin de garantizar obligaciones asumidas por el </w:t>
      </w:r>
      <w:r w:rsidRPr="00CA0A60">
        <w:rPr>
          <w:rFonts w:ascii="Garamond" w:hAnsi="Garamond" w:cs="Times New Roman"/>
          <w:sz w:val="20"/>
          <w:szCs w:val="20"/>
          <w:lang w:val="es-AR"/>
        </w:rPr>
        <w:lastRenderedPageBreak/>
        <w:t>Garante, cualquier Co-Emisora o cualquier otra Subsidiaria Restringida en virtud de dichos contratos, en cualquier caso Contraída en relación con la disposición de cualquier negocio, activo o Subsidiaria (siempre que no se trate de Deuda Contraída por una Persona que adquiera, en todo o en parte, dicho negocio, dichos activos o dicha Subsidiaria con el objeto de financiar dicha adquisición) siempre que el monto del capital involucrado no supere, en ningún momento, los fondos brutos (incluidos aquellos de naturaleza no dineraria) de hecho recibidos por el Garante, las Co-Emisoras o cualquier otra Subsidiaria Restringida en relación con dicho acto de disposición;</w:t>
      </w:r>
    </w:p>
    <w:p w14:paraId="0681872D" w14:textId="77777777"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cualquier Deuda que revista el carácter de obligación de reembolso respecto de cartas de crédito comerciales o en garantía suscriptas en el marco del giro comercial habitual, no Contraída en relación con la obtención de dinero en carácter de préstamo, la obtención de adelantos o créditos o el pago del precio de compra diferido de propiedades o activos en el curso de las operaciones comerciales del Garante, las Co-Emisoras y cualquier otra Subsidiaria Restringida;</w:t>
      </w:r>
    </w:p>
    <w:p w14:paraId="322B8A9D" w14:textId="3F46B5DB" w:rsidR="00F574E6" w:rsidRPr="00CA0A60" w:rsidRDefault="00F574E6" w:rsidP="00F574E6">
      <w:pPr>
        <w:widowControl w:val="0"/>
        <w:numPr>
          <w:ilvl w:val="0"/>
          <w:numId w:val="74"/>
        </w:numPr>
        <w:tabs>
          <w:tab w:val="left" w:pos="284"/>
          <w:tab w:val="left" w:pos="709"/>
          <w:tab w:val="left" w:pos="1276"/>
          <w:tab w:val="left" w:pos="1478"/>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 </w:t>
      </w:r>
      <w:r w:rsidR="008C5171">
        <w:rPr>
          <w:rFonts w:ascii="Garamond" w:hAnsi="Garamond" w:cs="Times New Roman"/>
          <w:sz w:val="20"/>
          <w:szCs w:val="20"/>
          <w:lang w:val="es-AR"/>
        </w:rPr>
        <w:t xml:space="preserve">(x) </w:t>
      </w:r>
      <w:r w:rsidRPr="00CA0A60">
        <w:rPr>
          <w:rFonts w:ascii="Garamond" w:hAnsi="Garamond" w:cs="Times New Roman"/>
          <w:sz w:val="20"/>
          <w:szCs w:val="20"/>
          <w:lang w:val="es-AR"/>
        </w:rPr>
        <w:t>Deuda Adquirida en el marco de la adquisición (sea en razón de la adquisición de todas o sustancialmente todas las Acciones, fusión propiamente dicha, fusión por absorción o adquisición de todos o sustancialmente todos los activos) de AESA por parte del Garante, una Co-Emisora o una Subsidiaria Restringida, o (y) Deuda de Refinanciamiento de AESA; siempre que, en cada caso, después de dar efecto a la consumación de dicha adquisición, (A) el Índice de Apalancamiento Consolidado sea equivalente o inferior al Índice de Apalancamiento Consolidado inmediatamente anterior a dar efecto a la transacción en cuestión, (B) el Índice de Cobertura de Interés Consolidado sea equivalente o superior al Índice de Cobertura de Interés Consolidado inmediatamente anterior a dar efecto a esa transacción</w:t>
      </w:r>
      <w:r w:rsidR="00C40E2D" w:rsidRPr="00CA0A60">
        <w:rPr>
          <w:rFonts w:ascii="Garamond" w:hAnsi="Garamond" w:cs="Times New Roman"/>
          <w:sz w:val="20"/>
          <w:szCs w:val="20"/>
          <w:lang w:val="es-AR"/>
        </w:rPr>
        <w:t>;</w:t>
      </w:r>
      <w:r w:rsidRPr="00CA0A60">
        <w:rPr>
          <w:rFonts w:ascii="Garamond" w:hAnsi="Garamond" w:cs="Times New Roman"/>
          <w:sz w:val="20"/>
          <w:szCs w:val="20"/>
          <w:lang w:val="es-AR"/>
        </w:rPr>
        <w:t xml:space="preserve"> y </w:t>
      </w:r>
      <w:r w:rsidR="00C40E2D" w:rsidRPr="00CA0A60">
        <w:rPr>
          <w:rFonts w:ascii="Garamond" w:hAnsi="Garamond" w:cs="Times New Roman"/>
          <w:sz w:val="20"/>
          <w:szCs w:val="20"/>
          <w:lang w:val="es-AR"/>
        </w:rPr>
        <w:t xml:space="preserve">asimismo, siempre que </w:t>
      </w:r>
      <w:r w:rsidRPr="00CA0A60">
        <w:rPr>
          <w:rFonts w:ascii="Garamond" w:hAnsi="Garamond" w:cs="Times New Roman"/>
          <w:sz w:val="20"/>
          <w:szCs w:val="20"/>
          <w:lang w:val="es-AR"/>
        </w:rPr>
        <w:t xml:space="preserve">los Tenedores de </w:t>
      </w:r>
      <w:r w:rsidR="008C0CB1">
        <w:rPr>
          <w:rFonts w:ascii="Garamond" w:hAnsi="Garamond" w:cs="Times New Roman"/>
          <w:sz w:val="20"/>
          <w:szCs w:val="20"/>
          <w:lang w:val="es-AR"/>
        </w:rPr>
        <w:t>una mayoría total</w:t>
      </w:r>
      <w:r w:rsidRPr="00CA0A60">
        <w:rPr>
          <w:rFonts w:ascii="Garamond" w:hAnsi="Garamond" w:cs="Times New Roman"/>
          <w:sz w:val="20"/>
          <w:szCs w:val="20"/>
          <w:lang w:val="es-AR"/>
        </w:rPr>
        <w:t xml:space="preserve"> del monto de capital de las Obligaciones Negociables en circulación en ese momento apr</w:t>
      </w:r>
      <w:r w:rsidR="00C40E2D" w:rsidRPr="00CA0A60">
        <w:rPr>
          <w:rFonts w:ascii="Garamond" w:hAnsi="Garamond" w:cs="Times New Roman"/>
          <w:sz w:val="20"/>
          <w:szCs w:val="20"/>
          <w:lang w:val="es-AR"/>
        </w:rPr>
        <w:t>ueben</w:t>
      </w:r>
      <w:r w:rsidRPr="00CA0A60">
        <w:rPr>
          <w:rFonts w:ascii="Garamond" w:hAnsi="Garamond" w:cs="Times New Roman"/>
          <w:sz w:val="20"/>
          <w:szCs w:val="20"/>
          <w:lang w:val="es-AR"/>
        </w:rPr>
        <w:t xml:space="preserve"> que dicha Deuda fuera Contraída;</w:t>
      </w:r>
    </w:p>
    <w:p w14:paraId="4B716487" w14:textId="77777777" w:rsidR="00F574E6" w:rsidRPr="00CA0A60" w:rsidRDefault="00F574E6" w:rsidP="00F574E6">
      <w:pPr>
        <w:widowControl w:val="0"/>
        <w:numPr>
          <w:ilvl w:val="0"/>
          <w:numId w:val="74"/>
        </w:numPr>
        <w:tabs>
          <w:tab w:val="left" w:pos="426"/>
          <w:tab w:val="left" w:pos="709"/>
          <w:tab w:val="left" w:pos="1276"/>
          <w:tab w:val="left" w:pos="1474"/>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Deuda Sumamente Subordinada del Garante, cualquier Co-Emisora o cualquier otra Subsidiaria;</w:t>
      </w:r>
    </w:p>
    <w:p w14:paraId="582A716C" w14:textId="26BED07D" w:rsidR="00F574E6" w:rsidRPr="00CA0A60" w:rsidRDefault="00F574E6" w:rsidP="00F574E6">
      <w:pPr>
        <w:widowControl w:val="0"/>
        <w:numPr>
          <w:ilvl w:val="0"/>
          <w:numId w:val="74"/>
        </w:numPr>
        <w:tabs>
          <w:tab w:val="left" w:pos="426"/>
          <w:tab w:val="left" w:pos="709"/>
          <w:tab w:val="left" w:pos="1276"/>
          <w:tab w:val="left" w:pos="1474"/>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hint="eastAsia"/>
          <w:sz w:val="20"/>
          <w:szCs w:val="20"/>
          <w:lang w:val="es-AR"/>
        </w:rPr>
        <w:t>Deuda adicional</w:t>
      </w:r>
      <w:r w:rsidRPr="00CA0A60">
        <w:rPr>
          <w:rFonts w:ascii="Garamond" w:hAnsi="Garamond" w:cs="Times New Roman"/>
          <w:sz w:val="20"/>
          <w:szCs w:val="20"/>
          <w:lang w:val="es-AR"/>
        </w:rPr>
        <w:t xml:space="preserve">, cuyo producido sea destinado exclusivamente para </w:t>
      </w:r>
      <w:r w:rsidR="00324F09" w:rsidRPr="00CA0A60">
        <w:rPr>
          <w:rFonts w:ascii="Garamond" w:hAnsi="Garamond" w:cs="Times New Roman"/>
          <w:sz w:val="20"/>
          <w:szCs w:val="20"/>
          <w:lang w:val="es-AR"/>
        </w:rPr>
        <w:t xml:space="preserve">efectuar pagos en virtud de acuerdos contractuales con Siemens vigente </w:t>
      </w:r>
      <w:r w:rsidRPr="00CA0A60">
        <w:rPr>
          <w:rFonts w:ascii="Garamond" w:hAnsi="Garamond" w:cs="Times New Roman"/>
          <w:sz w:val="20"/>
          <w:szCs w:val="20"/>
          <w:lang w:val="es-AR"/>
        </w:rPr>
        <w:t>a la Fecha de Emisión; siempre que no se haya producido y subsista un Incumplimiento o Supuesto de Incumplimiento ni pudiera producirse un Incumplimiento o Supuesto de Incumplimiento después de dar efecto a la Contracción de dicha Deuda; y</w:t>
      </w:r>
    </w:p>
    <w:p w14:paraId="6F4E2907" w14:textId="0498580A" w:rsidR="00F574E6" w:rsidRPr="00CA0A60" w:rsidRDefault="00F574E6" w:rsidP="00F574E6">
      <w:pPr>
        <w:widowControl w:val="0"/>
        <w:numPr>
          <w:ilvl w:val="0"/>
          <w:numId w:val="74"/>
        </w:numPr>
        <w:tabs>
          <w:tab w:val="left" w:pos="426"/>
          <w:tab w:val="left" w:pos="709"/>
          <w:tab w:val="left" w:pos="1276"/>
          <w:tab w:val="left" w:pos="1474"/>
          <w:tab w:val="left" w:pos="1843"/>
          <w:tab w:val="left" w:pos="241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Deuda adicional </w:t>
      </w:r>
      <w:r w:rsidR="00324F09" w:rsidRPr="00CA0A60">
        <w:rPr>
          <w:rFonts w:ascii="Garamond" w:hAnsi="Garamond" w:cs="Times New Roman"/>
          <w:sz w:val="20"/>
          <w:szCs w:val="20"/>
          <w:lang w:val="es-AR"/>
        </w:rPr>
        <w:t xml:space="preserve">(distinta de la Deuda por la Financiación de Compras) </w:t>
      </w:r>
      <w:r w:rsidRPr="00CA0A60">
        <w:rPr>
          <w:rFonts w:ascii="Garamond" w:hAnsi="Garamond" w:cs="Times New Roman"/>
          <w:sz w:val="20"/>
          <w:szCs w:val="20"/>
          <w:lang w:val="es-AR"/>
        </w:rPr>
        <w:t>no permitida de otro modo de acuerdo con las cláusulas (i) a (xiii) anteriores, por un monto de capital total pendiente de pago en cualquier momento que no supere (junto con las demás Deudas en ese momento pendientes de pago</w:t>
      </w:r>
      <w:r w:rsidR="00324F09" w:rsidRPr="00CA0A60">
        <w:rPr>
          <w:rFonts w:ascii="Garamond" w:hAnsi="Garamond" w:cs="Times New Roman"/>
          <w:sz w:val="20"/>
          <w:szCs w:val="20"/>
          <w:lang w:val="es-AR"/>
        </w:rPr>
        <w:t xml:space="preserve"> contraídas en virtud de este inciso (xiv)</w:t>
      </w:r>
      <w:r w:rsidR="00631C65">
        <w:rPr>
          <w:rFonts w:ascii="Garamond" w:hAnsi="Garamond" w:cs="Times New Roman"/>
          <w:sz w:val="20"/>
          <w:szCs w:val="20"/>
          <w:lang w:val="es-AR"/>
        </w:rPr>
        <w:t xml:space="preserve"> y la Deuda identificada en el Artículo II del Apéndice A del Contrato de Fideicomiso y todo Refinanciamiento de la misma</w:t>
      </w:r>
      <w:r w:rsidRPr="00CA0A60">
        <w:rPr>
          <w:rFonts w:ascii="Garamond" w:hAnsi="Garamond" w:cs="Times New Roman"/>
          <w:sz w:val="20"/>
          <w:szCs w:val="20"/>
          <w:lang w:val="es-AR"/>
        </w:rPr>
        <w:t>) (w) en cualquier momento antes del 30 de junio de 2020, U$S 180 millones, (x) en cualquier momento desde el 1 de julio de 2020 hasta el 31 de diciembre de 2020, U$S 160 millones, (y) en cualquier momento desde el 1 de enero de 2021 hasta el 31 de diciembre de 2021, U$S 1</w:t>
      </w:r>
      <w:r w:rsidR="00AD3761">
        <w:rPr>
          <w:rFonts w:ascii="Garamond" w:hAnsi="Garamond" w:cs="Times New Roman"/>
          <w:sz w:val="20"/>
          <w:szCs w:val="20"/>
          <w:lang w:val="es-AR"/>
        </w:rPr>
        <w:t>4</w:t>
      </w:r>
      <w:r w:rsidRPr="00CA0A60">
        <w:rPr>
          <w:rFonts w:ascii="Garamond" w:hAnsi="Garamond" w:cs="Times New Roman"/>
          <w:sz w:val="20"/>
          <w:szCs w:val="20"/>
          <w:lang w:val="es-AR"/>
        </w:rPr>
        <w:t xml:space="preserve">0 millones, y (z) en cualquier momento posterior, U$S 100 millones; </w:t>
      </w:r>
      <w:r w:rsidRPr="00CA0A60">
        <w:rPr>
          <w:rFonts w:ascii="Garamond" w:hAnsi="Garamond" w:cs="Times New Roman"/>
          <w:sz w:val="20"/>
          <w:szCs w:val="20"/>
          <w:u w:val="single"/>
          <w:lang w:val="es-AR"/>
        </w:rPr>
        <w:t>siempre que</w:t>
      </w:r>
      <w:r w:rsidRPr="00CA0A60">
        <w:rPr>
          <w:rFonts w:ascii="Garamond" w:hAnsi="Garamond" w:cs="Times New Roman"/>
          <w:sz w:val="20"/>
          <w:szCs w:val="20"/>
          <w:lang w:val="es-AR"/>
        </w:rPr>
        <w:t xml:space="preserve"> (A) no se haya producido y subsista un Incumplimiento o Supuesto de Incumplimiento ni pudiera producirse un Incumplimiento o Supuesto de Incumplimiento luego de dar efecto </w:t>
      </w:r>
      <w:r w:rsidRPr="00CA0A60">
        <w:rPr>
          <w:rFonts w:ascii="Garamond" w:hAnsi="Garamond" w:cs="Times New Roman"/>
          <w:i/>
          <w:sz w:val="20"/>
          <w:szCs w:val="20"/>
          <w:lang w:val="es-AR"/>
        </w:rPr>
        <w:t xml:space="preserve">pro forma </w:t>
      </w:r>
      <w:r w:rsidRPr="00CA0A60">
        <w:rPr>
          <w:rFonts w:ascii="Garamond" w:hAnsi="Garamond" w:cs="Times New Roman"/>
          <w:sz w:val="20"/>
          <w:szCs w:val="20"/>
          <w:lang w:val="es-AR"/>
        </w:rPr>
        <w:t xml:space="preserve">a la Contracción de dicha Deuda, y (B) inmediatamente antes y después de dar efecto </w:t>
      </w:r>
      <w:r w:rsidRPr="00CA0A60">
        <w:rPr>
          <w:rFonts w:ascii="Garamond" w:hAnsi="Garamond" w:cs="Times New Roman"/>
          <w:i/>
          <w:sz w:val="20"/>
          <w:szCs w:val="20"/>
          <w:lang w:val="es-AR"/>
        </w:rPr>
        <w:t xml:space="preserve">pro forma </w:t>
      </w:r>
      <w:r w:rsidRPr="00CA0A60">
        <w:rPr>
          <w:rFonts w:ascii="Garamond" w:hAnsi="Garamond" w:cs="Times New Roman"/>
          <w:sz w:val="20"/>
          <w:szCs w:val="20"/>
          <w:lang w:val="es-AR"/>
        </w:rPr>
        <w:t>a la Contracción de dicha Deuda y al destino de los fondos derivados de ella, (1) el Índice de Apalancamiento Consolidado a la fecha en que se Contrajo dicha Deuda sea igual o no superior al Índice de Apalancamiento Consolidado Aplicable; y (2) el Índice de Cobertura de Interés Consolidado a la fecha en que se Contrajo dicha Deuda sea igual o no inferior al Índice de Cobertura de Interés Consolidado Aplicable.</w:t>
      </w:r>
    </w:p>
    <w:p w14:paraId="2488E7DB" w14:textId="77777777" w:rsidR="00F574E6" w:rsidRPr="00CA0A60" w:rsidRDefault="00F574E6" w:rsidP="00F574E6">
      <w:pPr>
        <w:widowControl w:val="0"/>
        <w:numPr>
          <w:ilvl w:val="0"/>
          <w:numId w:val="73"/>
        </w:numPr>
        <w:tabs>
          <w:tab w:val="left" w:pos="284"/>
          <w:tab w:val="left" w:pos="709"/>
          <w:tab w:val="left" w:pos="1276"/>
          <w:tab w:val="left" w:pos="1843"/>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Sin perjuicio de lo anterior, ni el Garante, ni las Co-Emisoras o las demás Subsidiarias Restringidas podrán Contraer Deuda alguna que, en cuanto al derecho de cobro respectivo, se encuentre contractualmente subordinada a cualquier otra Deuda, a menos que dicha Deuda también se encuentre expresamente subordinada, en cuanto a dicho derecho de cobro, a las Obligaciones Negociables o a las Garantías de ASA, según corresponda, en la misma medida y de acuerdo con los mismos términos aplicables al modo en el que dicha Deuda se encuentra subordinada a dicha otra Deuda. No obstante, ninguna Deuda se considerará contractualmente subordinada, en cuanto al derecho de cobro respectivo, a ninguna otra Deuda únicamente en virtud de la ausencia de garantías o en su carácter de Deuda en virtud de la cual se hayan constituido Gravámenes preferentes o subordinados.</w:t>
      </w:r>
    </w:p>
    <w:p w14:paraId="33338F35" w14:textId="3EEC404C" w:rsidR="00F574E6" w:rsidRPr="00CA0A60" w:rsidRDefault="00F574E6" w:rsidP="00F574E6">
      <w:pPr>
        <w:widowControl w:val="0"/>
        <w:numPr>
          <w:ilvl w:val="0"/>
          <w:numId w:val="73"/>
        </w:numPr>
        <w:tabs>
          <w:tab w:val="left" w:pos="284"/>
          <w:tab w:val="left" w:pos="709"/>
          <w:tab w:val="left" w:pos="1276"/>
          <w:tab w:val="left" w:pos="1843"/>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 los efectos de determinar el cumplimiento con toda Deuda Contraída de conformidad con el presente compromiso y de establecer el monto del capital pendiente de pago de dicha Deuda, deberá considerarse</w:t>
      </w:r>
      <w:r w:rsidR="00631C65">
        <w:rPr>
          <w:rFonts w:ascii="Garamond" w:hAnsi="Garamond" w:cs="Times New Roman"/>
          <w:sz w:val="20"/>
          <w:szCs w:val="20"/>
          <w:lang w:val="es-AR"/>
        </w:rPr>
        <w:t xml:space="preserve"> el compromiso del Contrato de Fideicomiso descripto en esta sección “—</w:t>
      </w:r>
      <w:r w:rsidR="00631C65">
        <w:rPr>
          <w:rFonts w:ascii="Garamond" w:hAnsi="Garamond" w:cs="Times New Roman"/>
          <w:i/>
          <w:sz w:val="20"/>
          <w:szCs w:val="20"/>
          <w:lang w:val="es-AR"/>
        </w:rPr>
        <w:t>Limitación de Deuda Adicional”</w:t>
      </w:r>
      <w:r w:rsidRPr="00CA0A60">
        <w:rPr>
          <w:rFonts w:ascii="Garamond" w:hAnsi="Garamond" w:cs="Times New Roman"/>
          <w:sz w:val="20"/>
          <w:szCs w:val="20"/>
          <w:lang w:val="es-AR"/>
        </w:rPr>
        <w:t>:</w:t>
      </w:r>
    </w:p>
    <w:p w14:paraId="5C09A524" w14:textId="77777777" w:rsidR="00F574E6" w:rsidRPr="00CA0A60" w:rsidRDefault="00F574E6" w:rsidP="00F574E6">
      <w:pPr>
        <w:widowControl w:val="0"/>
        <w:numPr>
          <w:ilvl w:val="0"/>
          <w:numId w:val="76"/>
        </w:numPr>
        <w:tabs>
          <w:tab w:val="left" w:pos="284"/>
          <w:tab w:val="left" w:pos="709"/>
          <w:tab w:val="left" w:pos="1276"/>
          <w:tab w:val="left" w:pos="1474"/>
          <w:tab w:val="left" w:pos="1843"/>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monto del capital pendiente de pago correspondiente a cualquier Deuda se contará una única vez (sin duplicación por Garantías o por cualquier otro concepto);</w:t>
      </w:r>
    </w:p>
    <w:p w14:paraId="79113B74" w14:textId="1BA4F0E4" w:rsidR="00F574E6" w:rsidRPr="00CA0A60" w:rsidRDefault="00F574E6" w:rsidP="00F574E6">
      <w:pPr>
        <w:widowControl w:val="0"/>
        <w:numPr>
          <w:ilvl w:val="0"/>
          <w:numId w:val="76"/>
        </w:numPr>
        <w:tabs>
          <w:tab w:val="left" w:pos="284"/>
          <w:tab w:val="left" w:pos="709"/>
          <w:tab w:val="left" w:pos="1276"/>
          <w:tab w:val="left" w:pos="1474"/>
          <w:tab w:val="left" w:pos="1843"/>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el caso de que una Deuda determinada cumpla con los criterios correspondientes a más de uno de los </w:t>
      </w:r>
      <w:r w:rsidRPr="00CA0A60">
        <w:rPr>
          <w:rFonts w:ascii="Garamond" w:hAnsi="Garamond" w:cs="Times New Roman"/>
          <w:sz w:val="20"/>
          <w:szCs w:val="20"/>
          <w:lang w:val="es-AR"/>
        </w:rPr>
        <w:lastRenderedPageBreak/>
        <w:t>supuestos de Deuda Autorizada descriptos en los apartados (i) a (xiv) de la cláusula (a) precedente, el Garante y las Co-Emisoras podrán, a su entera discreción, dividir y clasificar (o reclasificar en cualquier momento) dicha Deuda de cualquier manera siempre que se dé cumplimiento al compromiso</w:t>
      </w:r>
      <w:r w:rsidR="00631C65">
        <w:rPr>
          <w:rFonts w:ascii="Garamond" w:hAnsi="Garamond" w:cs="Times New Roman"/>
          <w:sz w:val="20"/>
          <w:szCs w:val="20"/>
          <w:lang w:val="es-AR"/>
        </w:rPr>
        <w:t xml:space="preserve"> del Contrato de Fideicomiso descripto en esta sección </w:t>
      </w:r>
      <w:r w:rsidR="00631C65">
        <w:rPr>
          <w:rFonts w:ascii="Garamond" w:hAnsi="Garamond" w:cs="Times New Roman"/>
          <w:i/>
          <w:sz w:val="20"/>
          <w:szCs w:val="20"/>
          <w:lang w:val="es-AR"/>
        </w:rPr>
        <w:t>“—Limitación de Deuda Adicional”</w:t>
      </w:r>
      <w:r w:rsidRPr="00CA0A60">
        <w:rPr>
          <w:rFonts w:ascii="Garamond" w:hAnsi="Garamond" w:cs="Times New Roman"/>
          <w:sz w:val="20"/>
          <w:szCs w:val="20"/>
          <w:lang w:val="es-AR"/>
        </w:rPr>
        <w:t>; y</w:t>
      </w:r>
    </w:p>
    <w:p w14:paraId="2522C821" w14:textId="7AD4ABB8" w:rsidR="00F574E6" w:rsidRPr="00CA0A60" w:rsidRDefault="00F574E6" w:rsidP="00F574E6">
      <w:pPr>
        <w:widowControl w:val="0"/>
        <w:numPr>
          <w:ilvl w:val="0"/>
          <w:numId w:val="76"/>
        </w:numPr>
        <w:tabs>
          <w:tab w:val="left" w:pos="284"/>
          <w:tab w:val="left" w:pos="709"/>
          <w:tab w:val="left" w:pos="1276"/>
          <w:tab w:val="left" w:pos="1474"/>
          <w:tab w:val="left" w:pos="1843"/>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monto de la Deuda (incluida aquella emitida con descuento por emisión original) Contraída por una Persona en la fecha en que fue Contraída deberá equivaler al monto reconocido como pasivo en el balance general de dicha Persona determinado de conformidad con las Normas Internacionales de Información Financiera (“</w:t>
      </w:r>
      <w:r w:rsidRPr="00CA0A60">
        <w:rPr>
          <w:rFonts w:ascii="Garamond" w:hAnsi="Garamond" w:cs="Times New Roman"/>
          <w:sz w:val="20"/>
          <w:szCs w:val="20"/>
          <w:u w:val="single"/>
          <w:lang w:val="es-AR"/>
        </w:rPr>
        <w:t>NIIF</w:t>
      </w:r>
      <w:r w:rsidRPr="00CA0A60">
        <w:rPr>
          <w:rFonts w:ascii="Garamond" w:hAnsi="Garamond" w:cs="Times New Roman"/>
          <w:sz w:val="20"/>
          <w:szCs w:val="20"/>
          <w:lang w:val="es-AR"/>
        </w:rPr>
        <w:t xml:space="preserve">”). El devengamiento de intereses, la acumulación o amortización del descuento por emisión original, el pago de interés regular en la forma de Deuda adicional en virtud del mismo instrumento o el pago de dividendos regulares respecto de Acciones Descalificadas en la forma de Acciones Descalificadas adicionales de conformidad con los mismos términos no se considerará una Contracción de Deuda a los efectos del </w:t>
      </w:r>
      <w:r w:rsidR="00631C65">
        <w:rPr>
          <w:rFonts w:ascii="Garamond" w:hAnsi="Garamond" w:cs="Times New Roman"/>
          <w:sz w:val="20"/>
          <w:szCs w:val="20"/>
          <w:lang w:val="es-AR"/>
        </w:rPr>
        <w:t xml:space="preserve">del </w:t>
      </w:r>
      <w:r w:rsidR="00631C65" w:rsidRPr="00CA0A60">
        <w:rPr>
          <w:rFonts w:ascii="Garamond" w:hAnsi="Garamond" w:cs="Times New Roman"/>
          <w:sz w:val="20"/>
          <w:szCs w:val="20"/>
          <w:lang w:val="es-AR"/>
        </w:rPr>
        <w:t>compromiso</w:t>
      </w:r>
      <w:r w:rsidR="00631C65">
        <w:rPr>
          <w:rFonts w:ascii="Garamond" w:hAnsi="Garamond" w:cs="Times New Roman"/>
          <w:sz w:val="20"/>
          <w:szCs w:val="20"/>
          <w:lang w:val="es-AR"/>
        </w:rPr>
        <w:t xml:space="preserve"> del Contrato de Fideicomiso descripto en esta sección </w:t>
      </w:r>
      <w:r w:rsidR="00631C65">
        <w:rPr>
          <w:rFonts w:ascii="Garamond" w:hAnsi="Garamond" w:cs="Times New Roman"/>
          <w:i/>
          <w:sz w:val="20"/>
          <w:szCs w:val="20"/>
          <w:lang w:val="es-AR"/>
        </w:rPr>
        <w:t>“—Limitación de Deuda Adicional”</w:t>
      </w:r>
      <w:r w:rsidRPr="00CA0A60">
        <w:rPr>
          <w:rFonts w:ascii="Garamond" w:hAnsi="Garamond" w:cs="Times New Roman"/>
          <w:sz w:val="20"/>
          <w:szCs w:val="20"/>
          <w:lang w:val="es-AR"/>
        </w:rPr>
        <w:t>.</w:t>
      </w:r>
    </w:p>
    <w:p w14:paraId="42645E8C" w14:textId="77777777" w:rsidR="00F574E6" w:rsidRPr="00CA0A60" w:rsidRDefault="00F574E6" w:rsidP="00F574E6">
      <w:pPr>
        <w:widowControl w:val="0"/>
        <w:numPr>
          <w:ilvl w:val="0"/>
          <w:numId w:val="73"/>
        </w:numPr>
        <w:tabs>
          <w:tab w:val="left" w:pos="284"/>
          <w:tab w:val="left" w:pos="709"/>
          <w:tab w:val="left" w:pos="1276"/>
          <w:tab w:val="left" w:pos="1843"/>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 fin de determinar el cumplimiento con la restricción en Dólares Estadounidenses impuesta a la Contracción de Deuda, el monto equivalente en dicha moneda del capital de Deuda en moneda no estadounidense deberá calcularse sobre la base del tipo de cambio aplicable en vigencia en la fecha en la que se haya Contraído dicha Deuda cuando se trate de Deuda cancelable mediante un único pago al vencimiento, o en la fecha de compromiso cuando se trate de Deuda Contraída en virtud de una línea de crédito. </w:t>
      </w:r>
      <w:r w:rsidRPr="00CA0A60">
        <w:rPr>
          <w:rFonts w:ascii="Garamond" w:hAnsi="Garamond" w:cs="Times New Roman"/>
          <w:color w:val="000000"/>
          <w:sz w:val="20"/>
          <w:szCs w:val="20"/>
          <w:u w:val="single"/>
          <w:lang w:val="es-AR" w:eastAsia="es-ES" w:bidi="es-ES"/>
        </w:rPr>
        <w:t>No obstante</w:t>
      </w:r>
      <w:r w:rsidRPr="00CA0A60">
        <w:rPr>
          <w:rFonts w:ascii="Garamond" w:hAnsi="Garamond" w:cs="Times New Roman"/>
          <w:sz w:val="20"/>
          <w:szCs w:val="20"/>
          <w:lang w:val="es-AR"/>
        </w:rPr>
        <w:t xml:space="preserve">, si dicha Deuda se Contrae con el objeto de Refinanciar otra Deuda en moneda no estadounidense, y dicho Refinanciamiento importa exceder la restricción en Dólares Estadounidenses aplicable sobre la base del cálculo efectuado según el tipo de cambio correspondiente en vigencia en la fecha de dicho Refinanciamiento, se considerará que dicha restricción en Dólares Estadounidenses no ha sido excedida toda vez que el monto del capital de dicha Deuda por Refinanciamiento no supere el monto del capital de la Deuda que se Refinancia. El monto del capital de cualquier Deuda Contraída con el objeto de Refinanciar cualquier otra, si se Contrajera en una moneda distinta de la de la Deuda Refinanciada, deberá calcularse sobre la base del tipo de cambio aplicable a las monedas de dicha Deuda por Refinanciamiento en vigencia en la fecha de dicho Refinanciamiento. </w:t>
      </w:r>
    </w:p>
    <w:p w14:paraId="1F8C026B" w14:textId="05983664" w:rsidR="00F574E6" w:rsidRPr="00CA0A60" w:rsidRDefault="00F574E6" w:rsidP="00F574E6">
      <w:pPr>
        <w:widowControl w:val="0"/>
        <w:tabs>
          <w:tab w:val="left" w:pos="284"/>
          <w:tab w:val="left" w:pos="709"/>
          <w:tab w:val="left" w:pos="1276"/>
          <w:tab w:val="left" w:pos="1843"/>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Sin perjuicio de cualquier otra disposición del compromiso</w:t>
      </w:r>
      <w:r w:rsidR="00631C65">
        <w:rPr>
          <w:rFonts w:ascii="Garamond" w:hAnsi="Garamond" w:cs="Times New Roman"/>
          <w:sz w:val="20"/>
          <w:szCs w:val="20"/>
          <w:lang w:val="es-AR"/>
        </w:rPr>
        <w:t xml:space="preserve"> del Contrato de Fideicomiso descripto en esta sección </w:t>
      </w:r>
      <w:r w:rsidR="00631C65">
        <w:rPr>
          <w:rFonts w:ascii="Garamond" w:hAnsi="Garamond" w:cs="Times New Roman"/>
          <w:i/>
          <w:sz w:val="20"/>
          <w:szCs w:val="20"/>
          <w:lang w:val="es-AR"/>
        </w:rPr>
        <w:t>“—Limitación de Deuda Adicional”</w:t>
      </w:r>
      <w:r w:rsidRPr="00CA0A60">
        <w:rPr>
          <w:rFonts w:ascii="Garamond" w:hAnsi="Garamond" w:cs="Times New Roman"/>
          <w:sz w:val="20"/>
          <w:szCs w:val="20"/>
          <w:lang w:val="es-AR"/>
        </w:rPr>
        <w:t xml:space="preserve">, el monto máximo de Deuda que el Garante, las Co-Emisoras y cualquiera de las demás Subsidiarias Restringidas podrán Contraer de conformidad con el compromiso </w:t>
      </w:r>
      <w:r w:rsidR="00631C65">
        <w:rPr>
          <w:rFonts w:ascii="Garamond" w:hAnsi="Garamond" w:cs="Times New Roman"/>
          <w:sz w:val="20"/>
          <w:szCs w:val="20"/>
          <w:lang w:val="es-AR"/>
        </w:rPr>
        <w:t xml:space="preserve">del Contrato de Fideicomiso descripto en esta sección </w:t>
      </w:r>
      <w:r w:rsidR="00631C65">
        <w:rPr>
          <w:rFonts w:ascii="Garamond" w:hAnsi="Garamond" w:cs="Times New Roman"/>
          <w:i/>
          <w:sz w:val="20"/>
          <w:szCs w:val="20"/>
          <w:lang w:val="es-AR"/>
        </w:rPr>
        <w:t xml:space="preserve">“—Limitación de Deuda Adicional” </w:t>
      </w:r>
      <w:r w:rsidRPr="00CA0A60">
        <w:rPr>
          <w:rFonts w:ascii="Garamond" w:hAnsi="Garamond" w:cs="Times New Roman"/>
          <w:sz w:val="20"/>
          <w:szCs w:val="20"/>
          <w:lang w:val="es-AR"/>
        </w:rPr>
        <w:t>no deberá considerarse superado únicamente como resultado de las fluctuaciones del tipo de cambio de las divisas.</w:t>
      </w:r>
    </w:p>
    <w:p w14:paraId="59458961" w14:textId="77777777" w:rsidR="00F574E6" w:rsidRPr="00CA0A60" w:rsidRDefault="00F574E6" w:rsidP="00B73F3E">
      <w:pPr>
        <w:keepNext/>
        <w:keepLines/>
        <w:tabs>
          <w:tab w:val="left" w:pos="284"/>
          <w:tab w:val="left" w:pos="709"/>
          <w:tab w:val="left" w:pos="8789"/>
        </w:tabs>
        <w:spacing w:before="120" w:after="120" w:line="240" w:lineRule="auto"/>
        <w:jc w:val="both"/>
        <w:rPr>
          <w:rFonts w:ascii="Garamond" w:eastAsia="Times New Roman" w:hAnsi="Garamond" w:cs="Times New Roman"/>
          <w:bCs/>
          <w:i/>
          <w:iCs/>
          <w:sz w:val="20"/>
          <w:szCs w:val="20"/>
          <w:u w:val="single"/>
          <w:lang w:val="es-AR"/>
        </w:rPr>
      </w:pPr>
      <w:r w:rsidRPr="00CA0A60">
        <w:rPr>
          <w:rFonts w:ascii="Garamond" w:eastAsia="Times New Roman" w:hAnsi="Garamond" w:cs="Times New Roman"/>
          <w:bCs/>
          <w:i/>
          <w:iCs/>
          <w:sz w:val="20"/>
          <w:szCs w:val="20"/>
          <w:u w:val="single"/>
          <w:lang w:val="es-AR"/>
        </w:rPr>
        <w:t>Limitación a Pagos Restringidos</w:t>
      </w:r>
    </w:p>
    <w:p w14:paraId="5BB42527" w14:textId="77777777" w:rsidR="00F574E6" w:rsidRPr="00CA0A60" w:rsidRDefault="00F574E6" w:rsidP="00B73F3E">
      <w:pPr>
        <w:keepNext/>
        <w:keepLines/>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Ninguna de las Co-Emisoras ni el Garante podrán, éste último por sí o por intermedio de cualquiera de sus otras Subsidiarias Restringidas, llevar a cabo ninguno de los actos que se enumeran a continuación (cada uno de los cuales tendrá el carácter de “</w:t>
      </w:r>
      <w:r w:rsidRPr="00CA0A60">
        <w:rPr>
          <w:rFonts w:ascii="Garamond" w:hAnsi="Garamond" w:cs="Times New Roman"/>
          <w:sz w:val="20"/>
          <w:szCs w:val="20"/>
          <w:u w:val="single"/>
          <w:lang w:val="es-AR"/>
        </w:rPr>
        <w:t>Pago Restringido</w:t>
      </w:r>
      <w:r w:rsidRPr="00CA0A60">
        <w:rPr>
          <w:rFonts w:ascii="Garamond" w:hAnsi="Garamond" w:cs="Times New Roman"/>
          <w:sz w:val="20"/>
          <w:szCs w:val="20"/>
          <w:lang w:val="es-AR"/>
        </w:rPr>
        <w:t>”):</w:t>
      </w:r>
    </w:p>
    <w:p w14:paraId="29023DFC" w14:textId="77777777" w:rsidR="00F574E6" w:rsidRPr="00CA0A60" w:rsidRDefault="00F574E6" w:rsidP="00F574E6">
      <w:pPr>
        <w:widowControl w:val="0"/>
        <w:numPr>
          <w:ilvl w:val="0"/>
          <w:numId w:val="77"/>
        </w:numPr>
        <w:tabs>
          <w:tab w:val="left" w:pos="284"/>
          <w:tab w:val="left" w:pos="709"/>
          <w:tab w:val="left" w:pos="1418"/>
          <w:tab w:val="left" w:pos="1843"/>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declarar o abonar dividendos ni efectuar distribución o recuperación alguna de capital respecto de las Acciones del Garante, de cualquiera de las Co-Emisoras o de cualquiera de las demás Subsidiarias Restringidas en beneficio de los titulares de aquellas con excepción de:</w:t>
      </w:r>
    </w:p>
    <w:p w14:paraId="5610A6D7" w14:textId="77777777" w:rsidR="00F574E6" w:rsidRPr="00CA0A60" w:rsidRDefault="00F574E6" w:rsidP="00F574E6">
      <w:pPr>
        <w:widowControl w:val="0"/>
        <w:tabs>
          <w:tab w:val="left" w:pos="284"/>
          <w:tab w:val="left" w:pos="709"/>
          <w:tab w:val="left" w:pos="1115"/>
          <w:tab w:val="left" w:pos="1418"/>
          <w:tab w:val="left" w:pos="1843"/>
          <w:tab w:val="left" w:pos="8789"/>
        </w:tabs>
        <w:spacing w:before="120" w:after="120" w:line="240" w:lineRule="auto"/>
        <w:ind w:left="1120"/>
        <w:jc w:val="both"/>
        <w:rPr>
          <w:rFonts w:ascii="Garamond" w:hAnsi="Garamond" w:cs="Times New Roman"/>
          <w:sz w:val="20"/>
          <w:szCs w:val="20"/>
          <w:lang w:val="es-AR"/>
        </w:rPr>
      </w:pPr>
      <w:r w:rsidRPr="00CA0A60">
        <w:rPr>
          <w:rFonts w:ascii="Garamond" w:hAnsi="Garamond" w:cs="Times New Roman"/>
          <w:sz w:val="20"/>
          <w:szCs w:val="20"/>
          <w:lang w:val="es-AR"/>
        </w:rPr>
        <w:t>(i)</w:t>
      </w:r>
      <w:r w:rsidRPr="00CA0A60">
        <w:rPr>
          <w:rFonts w:ascii="Garamond" w:hAnsi="Garamond" w:cs="Times New Roman"/>
          <w:sz w:val="20"/>
          <w:szCs w:val="20"/>
          <w:lang w:val="es-AR"/>
        </w:rPr>
        <w:tab/>
        <w:t>dividendos o distribuciones que deban abonarse en Acciones Calificadas del Garante, de cualquiera de las Co-Emisoras o de cualquiera de las demás Subsidiarias Restringidas; o</w:t>
      </w:r>
    </w:p>
    <w:p w14:paraId="57DD6C15" w14:textId="77777777" w:rsidR="00F574E6" w:rsidRPr="00CA0A60" w:rsidRDefault="00F574E6" w:rsidP="00F574E6">
      <w:pPr>
        <w:widowControl w:val="0"/>
        <w:tabs>
          <w:tab w:val="left" w:pos="284"/>
          <w:tab w:val="left" w:pos="709"/>
          <w:tab w:val="left" w:pos="1115"/>
          <w:tab w:val="left" w:pos="1418"/>
          <w:tab w:val="left" w:pos="1843"/>
          <w:tab w:val="left" w:pos="8789"/>
        </w:tabs>
        <w:spacing w:before="120" w:after="120" w:line="240" w:lineRule="auto"/>
        <w:ind w:left="1120"/>
        <w:jc w:val="both"/>
        <w:rPr>
          <w:rFonts w:ascii="Garamond" w:hAnsi="Garamond" w:cs="Times New Roman"/>
          <w:sz w:val="20"/>
          <w:szCs w:val="20"/>
          <w:lang w:val="es-AR"/>
        </w:rPr>
      </w:pPr>
      <w:r w:rsidRPr="00CA0A60">
        <w:rPr>
          <w:rFonts w:ascii="Garamond" w:hAnsi="Garamond" w:cs="Times New Roman"/>
          <w:sz w:val="20"/>
          <w:szCs w:val="20"/>
          <w:lang w:val="es-AR"/>
        </w:rPr>
        <w:t>(ii)</w:t>
      </w:r>
      <w:r w:rsidRPr="00CA0A60">
        <w:rPr>
          <w:rFonts w:ascii="Garamond" w:hAnsi="Garamond" w:cs="Times New Roman"/>
          <w:sz w:val="20"/>
          <w:szCs w:val="20"/>
          <w:lang w:val="es-AR"/>
        </w:rPr>
        <w:tab/>
        <w:t>dividendos, distribuciones o retornos de capital que deban abonarse al Garante, a una Co-Emisora y/o a otra Subsidiaria Restringida y, en el caso de que la titularidad de las Acciones de una Co-Emisora o Subsidiaria Restringida corresponda a otros accionistas además del Garante, una Co-Emisora o Subsidiaria Restringida, a los restantes accionistas a prorrata;</w:t>
      </w:r>
    </w:p>
    <w:p w14:paraId="648843A2" w14:textId="77777777" w:rsidR="00F574E6" w:rsidRPr="00CA0A60" w:rsidRDefault="00F574E6" w:rsidP="00F574E6">
      <w:pPr>
        <w:widowControl w:val="0"/>
        <w:numPr>
          <w:ilvl w:val="0"/>
          <w:numId w:val="77"/>
        </w:numPr>
        <w:tabs>
          <w:tab w:val="left" w:pos="284"/>
          <w:tab w:val="left" w:pos="709"/>
          <w:tab w:val="left" w:pos="1418"/>
          <w:tab w:val="left" w:pos="1843"/>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comprar, rescatar o de otro modo adquirir o redimir (o separar dinero para un fondo de amortización u otro fondo análogo para la compra, rescate, adquisición o redención) a título oneroso de Acciones (o cualquier opción, warrant u otro derecho para adquirir Acciones) del Garante o de una Co-Emisora excepto por aquellas Acciones de titularidad del Garante, de una Co-Emisora o de otra Subsidiaria Restringida;</w:t>
      </w:r>
    </w:p>
    <w:p w14:paraId="5A978E2B" w14:textId="77777777" w:rsidR="00F574E6" w:rsidRPr="00CA0A60" w:rsidRDefault="00F574E6" w:rsidP="00F574E6">
      <w:pPr>
        <w:widowControl w:val="0"/>
        <w:numPr>
          <w:ilvl w:val="0"/>
          <w:numId w:val="77"/>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realizar cualquier pago en concepto de aportes irrevocables efectuados al patrimonio neto del Garante, cualquier Co-Emisora o cualquier otra Subsidiaria Restringida a cuenta de futuros aumentos de Acciones del Garante, una Co-Emisora o dicha otra Subsidiaria Restringida;</w:t>
      </w:r>
    </w:p>
    <w:p w14:paraId="0335EC2E" w14:textId="3B6B4A6F" w:rsidR="00F574E6" w:rsidRPr="00CA0A60" w:rsidRDefault="00F574E6" w:rsidP="00F574E6">
      <w:pPr>
        <w:widowControl w:val="0"/>
        <w:numPr>
          <w:ilvl w:val="0"/>
          <w:numId w:val="77"/>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realizar cualquier pago de capital con relación a, comprar, cancelar, rescatar, precancelar, reducir o bien adquirir o redimir a título oneroso, antes de la fecha de vencimiento final programada, precancelación programada o pago del fondo de amortización programado, según corresponda, toda Deuda Subordinada, a excepción de Deuda de cualquier Co-Emisora pagadera al y en poder de cualquier Garante o la otra Co-Emisora, o Deuda de cualquier Garante pagadera a y en poder de las Co-Emisoras, permitida en virtud de la cláusula (a)(v) del </w:t>
      </w:r>
      <w:r w:rsidR="00631C65">
        <w:rPr>
          <w:rFonts w:ascii="Garamond" w:hAnsi="Garamond" w:cs="Times New Roman"/>
          <w:sz w:val="20"/>
          <w:szCs w:val="20"/>
          <w:lang w:val="es-AR"/>
        </w:rPr>
        <w:t xml:space="preserve">compromiso del Contrato de Fideicomiso descripto bajo el título </w:t>
      </w:r>
      <w:r w:rsidRPr="00A23B59">
        <w:rPr>
          <w:rFonts w:ascii="Garamond" w:hAnsi="Garamond" w:cs="Times New Roman"/>
          <w:i/>
          <w:sz w:val="20"/>
          <w:szCs w:val="20"/>
          <w:lang w:val="es-AR"/>
        </w:rPr>
        <w:t>“</w:t>
      </w:r>
      <w:r w:rsidR="0059465E" w:rsidRPr="00A23B59">
        <w:rPr>
          <w:rFonts w:ascii="Garamond" w:hAnsi="Garamond" w:cs="Times New Roman"/>
          <w:i/>
          <w:sz w:val="20"/>
          <w:szCs w:val="20"/>
          <w:lang w:val="es-AR"/>
        </w:rPr>
        <w:t>—</w:t>
      </w:r>
      <w:r w:rsidRPr="00A23B59">
        <w:rPr>
          <w:rFonts w:ascii="Garamond" w:hAnsi="Garamond" w:cs="Times New Roman"/>
          <w:i/>
          <w:sz w:val="20"/>
          <w:szCs w:val="20"/>
          <w:lang w:val="es-AR"/>
        </w:rPr>
        <w:t xml:space="preserve">Limitación de Deuda </w:t>
      </w:r>
      <w:r w:rsidRPr="00A23B59">
        <w:rPr>
          <w:rFonts w:ascii="Garamond" w:hAnsi="Garamond" w:cs="Times New Roman"/>
          <w:i/>
          <w:sz w:val="20"/>
          <w:szCs w:val="20"/>
          <w:lang w:val="es-AR"/>
        </w:rPr>
        <w:lastRenderedPageBreak/>
        <w:t>Adicional”</w:t>
      </w:r>
      <w:r w:rsidRPr="00CA0A60">
        <w:rPr>
          <w:rFonts w:ascii="Garamond" w:hAnsi="Garamond" w:cs="Times New Roman"/>
          <w:sz w:val="20"/>
          <w:szCs w:val="20"/>
          <w:lang w:val="es-AR"/>
        </w:rPr>
        <w:t>; o</w:t>
      </w:r>
    </w:p>
    <w:p w14:paraId="46B24B0C" w14:textId="77777777" w:rsidR="00F574E6" w:rsidRPr="00CA0A60" w:rsidRDefault="00F574E6" w:rsidP="00F574E6">
      <w:pPr>
        <w:widowControl w:val="0"/>
        <w:numPr>
          <w:ilvl w:val="0"/>
          <w:numId w:val="77"/>
        </w:numPr>
        <w:tabs>
          <w:tab w:val="left" w:pos="284"/>
          <w:tab w:val="left" w:pos="709"/>
          <w:tab w:val="left" w:pos="1418"/>
          <w:tab w:val="left" w:pos="8789"/>
        </w:tabs>
        <w:spacing w:before="120" w:after="120" w:line="240" w:lineRule="auto"/>
        <w:jc w:val="both"/>
        <w:rPr>
          <w:rFonts w:ascii="Garamond" w:hAnsi="Garamond" w:cs="Times New Roman"/>
          <w:i/>
          <w:sz w:val="20"/>
          <w:szCs w:val="20"/>
          <w:lang w:val="es-AR"/>
        </w:rPr>
      </w:pPr>
      <w:r w:rsidRPr="00CA0A60">
        <w:rPr>
          <w:rFonts w:ascii="Garamond" w:hAnsi="Garamond" w:cs="Times New Roman"/>
          <w:sz w:val="20"/>
          <w:szCs w:val="20"/>
          <w:lang w:val="es-AR"/>
        </w:rPr>
        <w:t>realizar cualquier pago de capital, intereses u otros montos sobre o en relación con cualquier Deuda del Garante, una Co-Emisora o cualquier otra Subsidiaria Restringida hacia una Afiliada, salvo en la medida que esté permitido de otra forma bajo el Contrato de Fideicomiso.</w:t>
      </w:r>
    </w:p>
    <w:p w14:paraId="40F5D6E4" w14:textId="77777777" w:rsidR="00F574E6" w:rsidRPr="00CA0A60" w:rsidRDefault="00F574E6" w:rsidP="00582114">
      <w:pPr>
        <w:keepNext/>
        <w:widowControl w:val="0"/>
        <w:tabs>
          <w:tab w:val="left" w:pos="284"/>
          <w:tab w:val="left" w:pos="709"/>
          <w:tab w:val="left" w:pos="8789"/>
        </w:tabs>
        <w:spacing w:before="120" w:after="120" w:line="240" w:lineRule="auto"/>
        <w:jc w:val="both"/>
        <w:rPr>
          <w:rFonts w:ascii="Garamond" w:hAnsi="Garamond" w:cs="Times New Roman"/>
          <w:i/>
          <w:sz w:val="20"/>
          <w:szCs w:val="20"/>
          <w:u w:val="single"/>
          <w:lang w:val="es-AR"/>
        </w:rPr>
      </w:pPr>
      <w:r w:rsidRPr="00CA0A60">
        <w:rPr>
          <w:rFonts w:ascii="Garamond" w:hAnsi="Garamond" w:cs="Times New Roman"/>
          <w:i/>
          <w:sz w:val="20"/>
          <w:szCs w:val="20"/>
          <w:u w:val="single"/>
          <w:lang w:val="es-AR"/>
        </w:rPr>
        <w:t>Limitación a Inversiones</w:t>
      </w:r>
    </w:p>
    <w:p w14:paraId="3241B6E8" w14:textId="77777777" w:rsidR="00F574E6" w:rsidRPr="00CA0A60" w:rsidRDefault="00F574E6" w:rsidP="008C5171">
      <w:pPr>
        <w:keepNext/>
        <w:keepLines/>
        <w:widowControl w:val="0"/>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Ninguna de las Co-Emisoras ni el Garante podrán, éste último por sí o por intermedio de cualquiera de sus otras Subsidiarias Restringidas, realizar una Inversión en cualquier Persona, salvo por las Inversiones Permitidas.</w:t>
      </w:r>
    </w:p>
    <w:p w14:paraId="1E12A019" w14:textId="77777777" w:rsidR="00F574E6" w:rsidRPr="00CA0A60" w:rsidRDefault="00F574E6" w:rsidP="00582114">
      <w:pPr>
        <w:keepNext/>
        <w:keepLines/>
        <w:tabs>
          <w:tab w:val="left" w:pos="284"/>
          <w:tab w:val="left" w:pos="709"/>
          <w:tab w:val="left" w:pos="8789"/>
        </w:tabs>
        <w:spacing w:before="120" w:after="120" w:line="240" w:lineRule="auto"/>
        <w:jc w:val="both"/>
        <w:rPr>
          <w:rFonts w:ascii="Garamond" w:hAnsi="Garamond" w:cs="Times New Roman"/>
          <w:sz w:val="20"/>
          <w:szCs w:val="20"/>
          <w:u w:val="single"/>
          <w:lang w:val="es-AR"/>
        </w:rPr>
      </w:pPr>
      <w:r w:rsidRPr="00CA0A60">
        <w:rPr>
          <w:rFonts w:ascii="Garamond" w:hAnsi="Garamond" w:cs="Times New Roman"/>
          <w:i/>
          <w:sz w:val="20"/>
          <w:szCs w:val="20"/>
          <w:u w:val="single"/>
          <w:lang w:val="es-AR"/>
        </w:rPr>
        <w:t>Limitación a Gastos de Capital</w:t>
      </w:r>
    </w:p>
    <w:p w14:paraId="4B94B34D" w14:textId="77777777" w:rsidR="00F574E6" w:rsidRPr="00CA0A60" w:rsidRDefault="00F574E6" w:rsidP="00582114">
      <w:pPr>
        <w:keepNext/>
        <w:keepLines/>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Ninguna de las Co-Emisoras ni el Garante podrán, éste último por sí o por intermedio de cualquiera de sus otras Subsidiarias Restringidas, directa o indirectamente, realizar Gastos de Capital Consolidados, con la excepción de: </w:t>
      </w:r>
    </w:p>
    <w:p w14:paraId="22AF711C" w14:textId="77777777" w:rsidR="00F574E6" w:rsidRPr="00CA0A60" w:rsidRDefault="00F574E6" w:rsidP="00582114">
      <w:pPr>
        <w:keepNext/>
        <w:keepLines/>
        <w:numPr>
          <w:ilvl w:val="0"/>
          <w:numId w:val="145"/>
        </w:numPr>
        <w:tabs>
          <w:tab w:val="left" w:pos="284"/>
          <w:tab w:val="left" w:pos="851"/>
          <w:tab w:val="left" w:pos="8504"/>
        </w:tabs>
        <w:spacing w:before="120" w:after="120" w:line="240" w:lineRule="auto"/>
        <w:ind w:left="851"/>
        <w:contextualSpacing/>
        <w:jc w:val="both"/>
        <w:rPr>
          <w:rFonts w:ascii="Garamond" w:hAnsi="Garamond" w:cs="Times New Roman"/>
          <w:sz w:val="20"/>
          <w:szCs w:val="20"/>
          <w:lang w:val="es-AR"/>
        </w:rPr>
      </w:pPr>
      <w:r w:rsidRPr="00CA0A60">
        <w:rPr>
          <w:rFonts w:ascii="Garamond" w:hAnsi="Garamond" w:cs="Times New Roman"/>
          <w:sz w:val="20"/>
          <w:szCs w:val="20"/>
          <w:lang w:val="es-AR"/>
        </w:rPr>
        <w:t>los relacionados con las plantas de generación de energía de propiedad de u operadas por el Garante, cualquier Co-Emisora o cualquier Subsidiaria Restringida que fueran necesarios para prevenir una situación de emergencia con respecto a esas plantas;</w:t>
      </w:r>
    </w:p>
    <w:p w14:paraId="3F92F45F" w14:textId="77777777" w:rsidR="00F574E6" w:rsidRPr="00CA0A60" w:rsidRDefault="00F574E6" w:rsidP="00582114">
      <w:pPr>
        <w:keepNext/>
        <w:keepLines/>
        <w:tabs>
          <w:tab w:val="left" w:pos="284"/>
          <w:tab w:val="left" w:pos="851"/>
          <w:tab w:val="left" w:pos="8504"/>
        </w:tabs>
        <w:spacing w:before="120" w:after="120" w:line="240" w:lineRule="auto"/>
        <w:ind w:left="851"/>
        <w:contextualSpacing/>
        <w:jc w:val="both"/>
        <w:rPr>
          <w:rFonts w:ascii="Garamond" w:hAnsi="Garamond" w:cs="Times New Roman"/>
          <w:sz w:val="20"/>
          <w:szCs w:val="20"/>
          <w:lang w:val="es-AR"/>
        </w:rPr>
      </w:pPr>
    </w:p>
    <w:p w14:paraId="03B5B902" w14:textId="77777777" w:rsidR="00F574E6" w:rsidRPr="00CA0A60" w:rsidRDefault="00F574E6" w:rsidP="00F574E6">
      <w:pPr>
        <w:widowControl w:val="0"/>
        <w:numPr>
          <w:ilvl w:val="0"/>
          <w:numId w:val="145"/>
        </w:numPr>
        <w:tabs>
          <w:tab w:val="left" w:pos="284"/>
          <w:tab w:val="left" w:pos="851"/>
          <w:tab w:val="left" w:pos="8504"/>
        </w:tabs>
        <w:spacing w:before="120" w:after="120" w:line="240" w:lineRule="auto"/>
        <w:ind w:left="851"/>
        <w:contextualSpacing/>
        <w:jc w:val="both"/>
        <w:rPr>
          <w:rFonts w:ascii="Garamond" w:hAnsi="Garamond" w:cs="Times New Roman"/>
          <w:sz w:val="20"/>
          <w:szCs w:val="20"/>
          <w:lang w:val="es-AR"/>
        </w:rPr>
      </w:pPr>
      <w:r w:rsidRPr="00CA0A60">
        <w:rPr>
          <w:rFonts w:ascii="Garamond" w:hAnsi="Garamond" w:cs="Times New Roman"/>
          <w:sz w:val="20"/>
          <w:szCs w:val="20"/>
          <w:lang w:val="es-AR"/>
        </w:rPr>
        <w:t>gastos por repuestos y mantenimiento habituales con respecto a las plantas de generación de energía de propiedad de, u operadas por, el Garante, cualquier Co-emisora o cualquier Subsidiaria Restringida;</w:t>
      </w:r>
    </w:p>
    <w:p w14:paraId="6D8722B1" w14:textId="77777777" w:rsidR="00F574E6" w:rsidRPr="00CA0A60" w:rsidRDefault="00F574E6" w:rsidP="00F574E6">
      <w:pPr>
        <w:tabs>
          <w:tab w:val="left" w:pos="851"/>
        </w:tabs>
        <w:ind w:left="851"/>
        <w:contextualSpacing/>
        <w:rPr>
          <w:rFonts w:ascii="Garamond" w:hAnsi="Garamond" w:cs="Times New Roman"/>
          <w:sz w:val="20"/>
          <w:szCs w:val="20"/>
          <w:lang w:val="es-AR"/>
        </w:rPr>
      </w:pPr>
    </w:p>
    <w:p w14:paraId="744ADD81" w14:textId="77777777" w:rsidR="00F574E6" w:rsidRPr="00CA0A60" w:rsidRDefault="00F574E6" w:rsidP="00F574E6">
      <w:pPr>
        <w:widowControl w:val="0"/>
        <w:numPr>
          <w:ilvl w:val="0"/>
          <w:numId w:val="145"/>
        </w:numPr>
        <w:tabs>
          <w:tab w:val="left" w:pos="284"/>
          <w:tab w:val="left" w:pos="851"/>
          <w:tab w:val="left" w:pos="8789"/>
        </w:tabs>
        <w:spacing w:before="120" w:after="120" w:line="240" w:lineRule="auto"/>
        <w:ind w:left="851"/>
        <w:contextualSpacing/>
        <w:jc w:val="both"/>
        <w:rPr>
          <w:rFonts w:ascii="Garamond" w:hAnsi="Garamond" w:cs="Times New Roman"/>
          <w:sz w:val="20"/>
          <w:szCs w:val="20"/>
          <w:lang w:val="es-AR"/>
        </w:rPr>
      </w:pPr>
      <w:r w:rsidRPr="00CA0A60">
        <w:rPr>
          <w:rFonts w:ascii="Garamond" w:hAnsi="Garamond" w:cs="Times New Roman"/>
          <w:sz w:val="20"/>
          <w:szCs w:val="20"/>
          <w:lang w:val="es-AR"/>
        </w:rPr>
        <w:t>los exigidos por (i) la Ley Aplicable, (ii) cualquier Permiso; (iii) un contrato existente y vigente en la Fecha de Emisión, incluyendo Gastos de Capital Consolidados requeridos por CAMMESA bajo los contratos de compra de energía eléctrica (existentes y vigentes en la Fecha de Emisión) de las Co-Emisoras, el Garante y sus Subsidiarias Restringidas;</w:t>
      </w:r>
    </w:p>
    <w:p w14:paraId="77208BC8" w14:textId="77777777" w:rsidR="00F574E6" w:rsidRPr="00CA0A60" w:rsidRDefault="00F574E6" w:rsidP="00F574E6">
      <w:pPr>
        <w:widowControl w:val="0"/>
        <w:tabs>
          <w:tab w:val="left" w:pos="284"/>
          <w:tab w:val="left" w:pos="851"/>
          <w:tab w:val="left" w:pos="8789"/>
        </w:tabs>
        <w:spacing w:before="120" w:after="120" w:line="240" w:lineRule="auto"/>
        <w:ind w:left="851"/>
        <w:contextualSpacing/>
        <w:jc w:val="both"/>
        <w:rPr>
          <w:rFonts w:ascii="Garamond" w:hAnsi="Garamond" w:cs="Times New Roman"/>
          <w:sz w:val="20"/>
          <w:szCs w:val="20"/>
          <w:lang w:val="es-AR"/>
        </w:rPr>
      </w:pPr>
    </w:p>
    <w:p w14:paraId="369F637B" w14:textId="77777777" w:rsidR="00F574E6" w:rsidRPr="00CA0A60" w:rsidRDefault="00F574E6" w:rsidP="00582114">
      <w:pPr>
        <w:widowControl w:val="0"/>
        <w:numPr>
          <w:ilvl w:val="0"/>
          <w:numId w:val="145"/>
        </w:numPr>
        <w:tabs>
          <w:tab w:val="left" w:pos="284"/>
          <w:tab w:val="left" w:pos="1276"/>
          <w:tab w:val="left" w:pos="8789"/>
        </w:tabs>
        <w:spacing w:after="0" w:line="240" w:lineRule="auto"/>
        <w:ind w:left="850" w:hanging="357"/>
        <w:contextualSpacing/>
        <w:jc w:val="both"/>
        <w:rPr>
          <w:rFonts w:ascii="Garamond" w:hAnsi="Garamond" w:cs="Times New Roman"/>
          <w:sz w:val="20"/>
          <w:szCs w:val="20"/>
          <w:lang w:val="es-AR"/>
        </w:rPr>
      </w:pPr>
      <w:r w:rsidRPr="00CA0A60">
        <w:rPr>
          <w:rFonts w:ascii="Garamond" w:hAnsi="Garamond" w:cs="Times New Roman"/>
          <w:sz w:val="20"/>
          <w:szCs w:val="20"/>
          <w:lang w:val="es-AR"/>
        </w:rPr>
        <w:t>los financiados exclusivamente con (i) fondos derivados de Deuda Sumamente Subordinada permitida por el apartado (xii) de la cláusula (a) de “</w:t>
      </w:r>
      <w:r w:rsidRPr="00CA0A60">
        <w:rPr>
          <w:rFonts w:ascii="Garamond" w:hAnsi="Garamond" w:cs="Times New Roman"/>
          <w:i/>
          <w:sz w:val="20"/>
          <w:szCs w:val="20"/>
          <w:lang w:val="es-AR"/>
        </w:rPr>
        <w:t>—Limitación de Deuda Adicional”</w:t>
      </w:r>
      <w:r w:rsidRPr="00CA0A60">
        <w:rPr>
          <w:rFonts w:ascii="Garamond" w:hAnsi="Garamond" w:cs="Times New Roman"/>
          <w:sz w:val="20"/>
          <w:szCs w:val="20"/>
          <w:lang w:val="es-AR"/>
        </w:rPr>
        <w:t xml:space="preserve"> (excepto Deuda Sumamente Subordinada provista por el Garante, una Co-Emisora o una Subsidiaria Restringida); (ii) un aporte en efectivo al Garante, una Co-Emisora o la otra Subsidiaria Restringida aplicable realizado por una Persona (excepto un aporte del Garante, una Co-Emisora o una Subsidiaria Restringida) por la suscripción e integración de nuevas Acciones del Garante, dicha Co-Emisora o la otra Subsidiaria Restringida aplicable, o (iii) una combinación de los puntos (i) y (ii); quedando establecido que, con respecto a las cláusulas (i) a (iii), no se haya producido y subsista un Incumplimiento o Supuesto de Incumplimiento ni pudiera producirse un Incumplimiento o Supuesto de Incumplimiento después de dar efecto a la realización de dicho Gasto de Capital Consolidado;</w:t>
      </w:r>
    </w:p>
    <w:p w14:paraId="641211D6" w14:textId="77777777" w:rsidR="00036211" w:rsidRPr="00CA0A60" w:rsidRDefault="00036211" w:rsidP="00582114">
      <w:pPr>
        <w:pStyle w:val="Prrafodelista"/>
        <w:tabs>
          <w:tab w:val="left" w:pos="1276"/>
        </w:tabs>
        <w:spacing w:after="0" w:line="240" w:lineRule="auto"/>
        <w:ind w:left="850" w:hanging="357"/>
        <w:rPr>
          <w:rFonts w:ascii="Garamond" w:hAnsi="Garamond" w:cs="Times New Roman"/>
          <w:sz w:val="20"/>
          <w:szCs w:val="20"/>
          <w:lang w:val="es-AR"/>
        </w:rPr>
      </w:pPr>
    </w:p>
    <w:p w14:paraId="0094B5E0" w14:textId="7EE0C1BC" w:rsidR="00036211" w:rsidRPr="00CA0A60" w:rsidRDefault="00036211" w:rsidP="00582114">
      <w:pPr>
        <w:widowControl w:val="0"/>
        <w:numPr>
          <w:ilvl w:val="0"/>
          <w:numId w:val="145"/>
        </w:numPr>
        <w:tabs>
          <w:tab w:val="left" w:pos="284"/>
          <w:tab w:val="left" w:pos="1276"/>
          <w:tab w:val="left" w:pos="8789"/>
        </w:tabs>
        <w:spacing w:after="0" w:line="240" w:lineRule="auto"/>
        <w:ind w:left="850" w:hanging="357"/>
        <w:contextualSpacing/>
        <w:jc w:val="both"/>
        <w:rPr>
          <w:rFonts w:ascii="Garamond" w:hAnsi="Garamond" w:cs="Times New Roman"/>
          <w:sz w:val="20"/>
          <w:szCs w:val="20"/>
          <w:lang w:val="es-AR"/>
        </w:rPr>
      </w:pPr>
      <w:r w:rsidRPr="00CA0A60">
        <w:rPr>
          <w:rFonts w:ascii="Garamond" w:hAnsi="Garamond" w:cs="Times New Roman"/>
          <w:sz w:val="20"/>
          <w:szCs w:val="20"/>
          <w:lang w:val="es-AR"/>
        </w:rPr>
        <w:t>los financiados exclusivamente con los fondos obtenidos de las Obligaciones Negociables de conformidad con el compromiso del Contrato de Fideicomiso descripto bajo el título “—</w:t>
      </w:r>
      <w:r w:rsidRPr="00CA0A60">
        <w:rPr>
          <w:rFonts w:ascii="Garamond" w:hAnsi="Garamond" w:cs="Times New Roman"/>
          <w:i/>
          <w:sz w:val="20"/>
          <w:szCs w:val="20"/>
          <w:lang w:val="es-AR"/>
        </w:rPr>
        <w:t>Destino de los Fondos”.</w:t>
      </w:r>
    </w:p>
    <w:p w14:paraId="1BB827D9" w14:textId="77777777" w:rsidR="00F574E6" w:rsidRPr="00CA0A60" w:rsidRDefault="00F574E6" w:rsidP="00582114">
      <w:pPr>
        <w:widowControl w:val="0"/>
        <w:tabs>
          <w:tab w:val="left" w:pos="284"/>
          <w:tab w:val="left" w:pos="1276"/>
          <w:tab w:val="left" w:pos="8789"/>
        </w:tabs>
        <w:spacing w:after="0" w:line="240" w:lineRule="auto"/>
        <w:ind w:left="850" w:hanging="357"/>
        <w:contextualSpacing/>
        <w:jc w:val="both"/>
        <w:rPr>
          <w:rFonts w:ascii="Garamond" w:hAnsi="Garamond" w:cs="Times New Roman"/>
          <w:sz w:val="20"/>
          <w:szCs w:val="20"/>
          <w:lang w:val="es-AR"/>
        </w:rPr>
      </w:pPr>
    </w:p>
    <w:p w14:paraId="02DD7239" w14:textId="43F67148" w:rsidR="00F574E6" w:rsidRPr="00CA0A60" w:rsidRDefault="00036211" w:rsidP="00582114">
      <w:pPr>
        <w:widowControl w:val="0"/>
        <w:numPr>
          <w:ilvl w:val="0"/>
          <w:numId w:val="145"/>
        </w:numPr>
        <w:tabs>
          <w:tab w:val="left" w:pos="284"/>
          <w:tab w:val="left" w:pos="1276"/>
          <w:tab w:val="left" w:pos="8789"/>
        </w:tabs>
        <w:spacing w:after="0" w:line="240" w:lineRule="auto"/>
        <w:ind w:left="850" w:hanging="357"/>
        <w:contextualSpacing/>
        <w:jc w:val="both"/>
        <w:rPr>
          <w:rFonts w:ascii="Garamond" w:hAnsi="Garamond" w:cs="Times New Roman"/>
          <w:sz w:val="20"/>
          <w:szCs w:val="20"/>
          <w:lang w:val="es-AR"/>
        </w:rPr>
      </w:pPr>
      <w:r w:rsidRPr="00CA0A60">
        <w:rPr>
          <w:rFonts w:ascii="Garamond" w:hAnsi="Garamond" w:cs="Times New Roman"/>
          <w:sz w:val="20"/>
          <w:szCs w:val="20"/>
          <w:lang w:val="es-AR"/>
        </w:rPr>
        <w:t>los financiados exclusivamente con Fondos Netos en Efectivo de conformidad con el compromiso del Contrato de Fideicomiso descripto bajo el título “</w:t>
      </w:r>
      <w:r w:rsidRPr="00CA0A60">
        <w:rPr>
          <w:rFonts w:ascii="Garamond" w:hAnsi="Garamond" w:cs="Garamond"/>
          <w:sz w:val="20"/>
          <w:szCs w:val="20"/>
          <w:lang w:val="es-AR"/>
        </w:rPr>
        <w:t>—</w:t>
      </w:r>
      <w:r w:rsidRPr="00CA0A60">
        <w:rPr>
          <w:rFonts w:ascii="Garamond" w:hAnsi="Garamond" w:cs="Garamond"/>
          <w:i/>
          <w:sz w:val="20"/>
          <w:szCs w:val="20"/>
          <w:lang w:val="es-AR"/>
        </w:rPr>
        <w:t>Ofertas de Compra de Obligaciones Negociables Obligatoria”.</w:t>
      </w:r>
      <w:r w:rsidR="00F574E6" w:rsidRPr="00CA0A60">
        <w:rPr>
          <w:rFonts w:ascii="Garamond" w:hAnsi="Garamond" w:cs="Times New Roman"/>
          <w:sz w:val="20"/>
          <w:szCs w:val="20"/>
          <w:lang w:val="es-AR"/>
        </w:rPr>
        <w:t>;</w:t>
      </w:r>
    </w:p>
    <w:p w14:paraId="0473A5A4" w14:textId="77777777" w:rsidR="00F574E6" w:rsidRPr="00CA0A60" w:rsidRDefault="00F574E6" w:rsidP="00582114">
      <w:pPr>
        <w:widowControl w:val="0"/>
        <w:tabs>
          <w:tab w:val="left" w:pos="284"/>
          <w:tab w:val="left" w:pos="851"/>
          <w:tab w:val="left" w:pos="8789"/>
        </w:tabs>
        <w:spacing w:after="120" w:line="240" w:lineRule="auto"/>
        <w:ind w:left="851"/>
        <w:contextualSpacing/>
        <w:jc w:val="both"/>
        <w:rPr>
          <w:rFonts w:ascii="Garamond" w:hAnsi="Garamond" w:cs="Times New Roman"/>
          <w:sz w:val="20"/>
          <w:szCs w:val="20"/>
          <w:lang w:val="es-AR"/>
        </w:rPr>
      </w:pPr>
    </w:p>
    <w:p w14:paraId="63A62925" w14:textId="62E9E406" w:rsidR="00F574E6" w:rsidRPr="00CA0A60" w:rsidRDefault="00F574E6" w:rsidP="00582114">
      <w:pPr>
        <w:widowControl w:val="0"/>
        <w:numPr>
          <w:ilvl w:val="0"/>
          <w:numId w:val="145"/>
        </w:numPr>
        <w:tabs>
          <w:tab w:val="left" w:pos="284"/>
          <w:tab w:val="left" w:pos="851"/>
          <w:tab w:val="left" w:pos="8789"/>
        </w:tabs>
        <w:spacing w:after="120" w:line="240" w:lineRule="auto"/>
        <w:ind w:left="851"/>
        <w:contextualSpacing/>
        <w:jc w:val="both"/>
        <w:rPr>
          <w:rFonts w:ascii="Garamond" w:hAnsi="Garamond" w:cs="Times New Roman"/>
          <w:sz w:val="20"/>
          <w:szCs w:val="20"/>
          <w:lang w:val="es-AR"/>
        </w:rPr>
      </w:pPr>
      <w:r w:rsidRPr="00CA0A60">
        <w:rPr>
          <w:rFonts w:ascii="Garamond" w:hAnsi="Garamond" w:cs="Times New Roman"/>
          <w:sz w:val="20"/>
          <w:szCs w:val="20"/>
          <w:lang w:val="es-AR"/>
        </w:rPr>
        <w:t>en la medida que sean considerados Gastos de Capital Consolidados</w:t>
      </w:r>
      <w:r w:rsidR="00036211" w:rsidRPr="00CA0A60">
        <w:rPr>
          <w:rFonts w:ascii="Garamond" w:hAnsi="Garamond" w:cs="Times New Roman"/>
          <w:sz w:val="20"/>
          <w:szCs w:val="20"/>
          <w:lang w:val="es-AR"/>
        </w:rPr>
        <w:t>, pagos adeudados a acreedores de Deuda</w:t>
      </w:r>
      <w:r w:rsidRPr="00CA0A60">
        <w:rPr>
          <w:rFonts w:ascii="Garamond" w:hAnsi="Garamond" w:cs="Times New Roman"/>
          <w:sz w:val="20"/>
          <w:szCs w:val="20"/>
          <w:lang w:val="es-AR"/>
        </w:rPr>
        <w:t xml:space="preserve">; siempre que no se haya producido ni subsista un Incumplimiento o Supuesto de Incumplimiento ni pudiera producirse un Incumplimiento o Supuesto de Incumplimiento después de dar efecto a la realización de dicho Gasto de Capital Consolidado; </w:t>
      </w:r>
    </w:p>
    <w:p w14:paraId="5530BFBC" w14:textId="77777777" w:rsidR="00036211" w:rsidRPr="00CA0A60" w:rsidRDefault="00036211" w:rsidP="00582114">
      <w:pPr>
        <w:pStyle w:val="Prrafodelista"/>
        <w:spacing w:line="240" w:lineRule="auto"/>
        <w:ind w:left="851"/>
        <w:rPr>
          <w:rFonts w:ascii="Garamond" w:hAnsi="Garamond" w:cs="Times New Roman"/>
          <w:sz w:val="20"/>
          <w:szCs w:val="20"/>
          <w:lang w:val="es-AR"/>
        </w:rPr>
      </w:pPr>
    </w:p>
    <w:p w14:paraId="0963D00A" w14:textId="65D71C89" w:rsidR="00036211" w:rsidRPr="00CA0A60" w:rsidRDefault="00036211" w:rsidP="00582114">
      <w:pPr>
        <w:widowControl w:val="0"/>
        <w:numPr>
          <w:ilvl w:val="0"/>
          <w:numId w:val="145"/>
        </w:numPr>
        <w:tabs>
          <w:tab w:val="left" w:pos="284"/>
          <w:tab w:val="left" w:pos="851"/>
          <w:tab w:val="left" w:pos="8789"/>
        </w:tabs>
        <w:spacing w:after="120" w:line="240" w:lineRule="auto"/>
        <w:ind w:left="851"/>
        <w:contextualSpacing/>
        <w:jc w:val="both"/>
        <w:rPr>
          <w:rFonts w:ascii="Garamond" w:hAnsi="Garamond" w:cs="Times New Roman"/>
          <w:sz w:val="20"/>
          <w:szCs w:val="20"/>
          <w:lang w:val="es-AR"/>
        </w:rPr>
      </w:pPr>
      <w:r w:rsidRPr="00CA0A60">
        <w:rPr>
          <w:rFonts w:ascii="Garamond" w:hAnsi="Garamond" w:cs="Times New Roman"/>
          <w:sz w:val="20"/>
          <w:szCs w:val="20"/>
          <w:lang w:val="es-AR"/>
        </w:rPr>
        <w:t xml:space="preserve">los financiados con Deuda que puede ser Contraída de conformidad con el inciso (a)(xiii) del compromiso del Contrato de Fideicomiso descripto bajo el título </w:t>
      </w:r>
      <w:r w:rsidRPr="00CA0A60">
        <w:rPr>
          <w:rFonts w:ascii="Garamond" w:hAnsi="Garamond" w:cs="Times New Roman"/>
          <w:i/>
          <w:sz w:val="20"/>
          <w:szCs w:val="20"/>
          <w:lang w:val="es-AR"/>
        </w:rPr>
        <w:t>“</w:t>
      </w:r>
      <w:r w:rsidRPr="00CA0A60">
        <w:rPr>
          <w:rFonts w:ascii="Garamond" w:hAnsi="Garamond" w:cs="Garamond"/>
          <w:i/>
          <w:sz w:val="20"/>
          <w:szCs w:val="20"/>
          <w:lang w:val="es-AR"/>
        </w:rPr>
        <w:t>—Limitación de Deuda Adicional”</w:t>
      </w:r>
      <w:r w:rsidRPr="00CA0A60">
        <w:rPr>
          <w:rFonts w:ascii="Garamond" w:hAnsi="Garamond" w:cs="Garamond"/>
          <w:sz w:val="20"/>
          <w:szCs w:val="20"/>
          <w:lang w:val="es-AR"/>
        </w:rPr>
        <w:t>; e</w:t>
      </w:r>
    </w:p>
    <w:p w14:paraId="7885537C" w14:textId="77777777" w:rsidR="00F574E6" w:rsidRPr="00CA0A60" w:rsidRDefault="00F574E6" w:rsidP="00582114">
      <w:pPr>
        <w:widowControl w:val="0"/>
        <w:tabs>
          <w:tab w:val="left" w:pos="284"/>
          <w:tab w:val="left" w:pos="851"/>
          <w:tab w:val="left" w:pos="8789"/>
        </w:tabs>
        <w:spacing w:after="120" w:line="240" w:lineRule="auto"/>
        <w:ind w:left="851"/>
        <w:contextualSpacing/>
        <w:jc w:val="both"/>
        <w:rPr>
          <w:rFonts w:ascii="Garamond" w:hAnsi="Garamond" w:cs="Times New Roman"/>
          <w:sz w:val="20"/>
          <w:szCs w:val="20"/>
          <w:lang w:val="es-AR"/>
        </w:rPr>
      </w:pPr>
    </w:p>
    <w:p w14:paraId="2DE0B1E9" w14:textId="63762C88" w:rsidR="00F574E6" w:rsidRPr="00CA0A60" w:rsidRDefault="00F574E6" w:rsidP="00582114">
      <w:pPr>
        <w:widowControl w:val="0"/>
        <w:numPr>
          <w:ilvl w:val="0"/>
          <w:numId w:val="145"/>
        </w:numPr>
        <w:tabs>
          <w:tab w:val="left" w:pos="284"/>
          <w:tab w:val="left" w:pos="851"/>
          <w:tab w:val="left" w:pos="8789"/>
        </w:tabs>
        <w:spacing w:after="120" w:line="240" w:lineRule="auto"/>
        <w:ind w:left="851"/>
        <w:contextualSpacing/>
        <w:jc w:val="both"/>
        <w:rPr>
          <w:rFonts w:ascii="Garamond" w:hAnsi="Garamond" w:cs="Times New Roman"/>
          <w:sz w:val="20"/>
          <w:szCs w:val="20"/>
          <w:lang w:val="es-AR"/>
        </w:rPr>
      </w:pPr>
      <w:r w:rsidRPr="00CA0A60">
        <w:rPr>
          <w:rFonts w:ascii="Garamond" w:hAnsi="Garamond" w:cs="Times New Roman"/>
          <w:sz w:val="20"/>
          <w:szCs w:val="20"/>
          <w:lang w:val="es-AR"/>
        </w:rPr>
        <w:t xml:space="preserve">los relacionados con las plantas de generación de energía de propiedad de u operadas por el Garante, cualquier Co-Emisora o cualquier Subsidiaria Restringida que no superen en ningún momento la suma total de U$S 15 millones, siempre no se haya producido y subsista un Incumplimiento o </w:t>
      </w:r>
      <w:r w:rsidRPr="00CA0A60">
        <w:rPr>
          <w:rFonts w:ascii="Garamond" w:hAnsi="Garamond" w:cs="Times New Roman"/>
          <w:sz w:val="20"/>
          <w:szCs w:val="20"/>
          <w:lang w:val="es-AR"/>
        </w:rPr>
        <w:lastRenderedPageBreak/>
        <w:t>Supuesto de Incumplimiento ni pudiera producirse un Incumplimiento o Supuesto de Incumplimiento después de dar efecto a la realización de dicho Gasto de Capital Consolidado.</w:t>
      </w:r>
    </w:p>
    <w:p w14:paraId="201606D9" w14:textId="77777777" w:rsidR="00F574E6" w:rsidRPr="00CA0A60" w:rsidRDefault="00F574E6" w:rsidP="00F574E6">
      <w:pPr>
        <w:widowControl w:val="0"/>
        <w:spacing w:before="120" w:after="120" w:line="240" w:lineRule="auto"/>
        <w:ind w:left="851"/>
        <w:contextualSpacing/>
        <w:jc w:val="both"/>
        <w:rPr>
          <w:rFonts w:ascii="Garamond" w:hAnsi="Garamond" w:cs="Times New Roman"/>
          <w:sz w:val="20"/>
          <w:szCs w:val="20"/>
          <w:lang w:val="es-AR"/>
        </w:rPr>
      </w:pPr>
    </w:p>
    <w:p w14:paraId="08116616"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b/>
          <w:sz w:val="20"/>
          <w:u w:val="single"/>
          <w:lang w:val="es-AR"/>
        </w:rPr>
      </w:pPr>
      <w:r w:rsidRPr="00CA0A60">
        <w:rPr>
          <w:rFonts w:ascii="Garamond" w:hAnsi="Garamond" w:cs="Times New Roman"/>
          <w:i/>
          <w:sz w:val="20"/>
          <w:u w:val="single"/>
          <w:lang w:val="es-AR"/>
        </w:rPr>
        <w:t>Limitación a la Venta de Activos</w:t>
      </w:r>
    </w:p>
    <w:p w14:paraId="1E8616C3" w14:textId="2D966F99"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Ninguna de las Co-Emisoras ni el Garante podrán, éste último por sí o por intermedio de cualquiera de sus otras Subsidiarias Restringidas, llevar a cabo una Venta de Activos, ya sea directa o indirectamente, a menos que el Garante, la Co-Emisora correspondiente o la otra Subsidiaria Restringida, según el caso, reciban una contraprestación al momento de la Venta de Activos como mínimo equivalente al Valor Justo de Mercado de los activos vendidos o de otro modo enajenados; y el Garante, la Co-Emisora correspondiente o la otra Subsidiaria Restringida, según el caso, destine los Fondos Netos en Efectivo recibidos de cualquier Venta de Activos a comprar Obligaciones Negociables según lo descripto en “</w:t>
      </w:r>
      <w:r w:rsidR="0059465E">
        <w:rPr>
          <w:rFonts w:ascii="Garamond" w:hAnsi="Garamond" w:cs="Times New Roman"/>
          <w:sz w:val="20"/>
          <w:szCs w:val="20"/>
          <w:lang w:val="es-AR"/>
        </w:rPr>
        <w:t>—</w:t>
      </w:r>
      <w:r w:rsidRPr="00CA0A60">
        <w:rPr>
          <w:rFonts w:ascii="Garamond" w:hAnsi="Garamond" w:cs="Times New Roman"/>
          <w:i/>
          <w:sz w:val="20"/>
          <w:szCs w:val="20"/>
          <w:lang w:val="es-AR"/>
        </w:rPr>
        <w:t>Ofertas de Compra de Obligaciones Negociables Obligatorias—Supuesto de Pérdida, Expropiación y Venta de Activos</w:t>
      </w:r>
      <w:r w:rsidRPr="00CA0A60">
        <w:rPr>
          <w:rFonts w:ascii="Garamond" w:hAnsi="Garamond" w:cs="Times New Roman"/>
          <w:sz w:val="20"/>
          <w:szCs w:val="20"/>
          <w:lang w:val="es-AR"/>
        </w:rPr>
        <w:t>”.</w:t>
      </w:r>
    </w:p>
    <w:p w14:paraId="1923F63B"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Sin perjuicio de cualquier disposición del presente en contrario, ninguna de las Co-Emisoras ni el Garante podrán, éste último por sí o por intermedio de cualquiera de sus otras Subsidiarias Restringidas, realizar directa o indirectamente una venta, enajenación, transmisión, transferencia, locación, cesión u otra disposición de todos o cualquier parte de los Derechos de Garantía.</w:t>
      </w:r>
    </w:p>
    <w:p w14:paraId="13AA028A"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b/>
          <w:sz w:val="20"/>
          <w:u w:val="single"/>
          <w:lang w:val="es-AR"/>
        </w:rPr>
      </w:pPr>
      <w:r w:rsidRPr="00CA0A60">
        <w:rPr>
          <w:rFonts w:ascii="Garamond" w:hAnsi="Garamond" w:cs="Times New Roman"/>
          <w:i/>
          <w:sz w:val="20"/>
          <w:u w:val="single"/>
          <w:lang w:val="es-AR"/>
        </w:rPr>
        <w:t>Limitación a la Designación de Subsidiarias No Restringidas</w:t>
      </w:r>
    </w:p>
    <w:p w14:paraId="7C301815" w14:textId="41DDA148" w:rsidR="00F574E6" w:rsidRPr="00CA0A60" w:rsidRDefault="00F574E6" w:rsidP="00F574E6">
      <w:pPr>
        <w:keepNext/>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Garante podrá designar, después de la Fecha de Emisión, a cualquiera de sus respectivas Subsidiarias como “Subsidiaria No Restringida” conforme al Contrato de Fideicomiso (una “</w:t>
      </w:r>
      <w:r w:rsidRPr="00CA0A60">
        <w:rPr>
          <w:rFonts w:ascii="Garamond" w:hAnsi="Garamond" w:cs="Times New Roman"/>
          <w:sz w:val="20"/>
          <w:szCs w:val="20"/>
          <w:u w:val="single"/>
          <w:lang w:val="es-AR"/>
        </w:rPr>
        <w:t>Designación</w:t>
      </w:r>
      <w:r w:rsidRPr="00CA0A60">
        <w:rPr>
          <w:rFonts w:ascii="Garamond" w:hAnsi="Garamond" w:cs="Times New Roman"/>
          <w:sz w:val="20"/>
          <w:szCs w:val="20"/>
          <w:lang w:val="es-AR"/>
        </w:rPr>
        <w:t>”) únicamente si:</w:t>
      </w:r>
    </w:p>
    <w:p w14:paraId="5C18E76C" w14:textId="77777777" w:rsidR="00F574E6" w:rsidRPr="00CA0A60" w:rsidRDefault="00F574E6" w:rsidP="00F574E6">
      <w:pPr>
        <w:widowControl w:val="0"/>
        <w:numPr>
          <w:ilvl w:val="0"/>
          <w:numId w:val="78"/>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no se hubiese producido ningún Incumplimiento o Supuesto de Incumplimiento que subsista al momento de dicha Designación o luego de que ésta se hubiera hecho efectiva, y cualquier transacción entre el Garante, cualquier Co-Emisora o cualquier otra Subsidiaria Restringida y dicha Subsidiaria No Restringida cumple con </w:t>
      </w:r>
      <w:r w:rsidRPr="00CA0A60">
        <w:rPr>
          <w:rFonts w:ascii="Garamond" w:hAnsi="Garamond" w:cs="Times New Roman"/>
          <w:i/>
          <w:sz w:val="20"/>
          <w:szCs w:val="20"/>
          <w:lang w:val="es-AR"/>
        </w:rPr>
        <w:t>“— Limitación a las Transacciones con Afiliadas</w:t>
      </w:r>
      <w:r w:rsidRPr="00CA0A60">
        <w:rPr>
          <w:rFonts w:ascii="Garamond" w:hAnsi="Garamond" w:cs="Times New Roman"/>
          <w:sz w:val="20"/>
          <w:szCs w:val="20"/>
          <w:lang w:val="es-AR"/>
        </w:rPr>
        <w:t>”,</w:t>
      </w:r>
    </w:p>
    <w:p w14:paraId="4272F592" w14:textId="77777777" w:rsidR="00F574E6" w:rsidRPr="00CA0A60" w:rsidRDefault="00F574E6" w:rsidP="00F574E6">
      <w:pPr>
        <w:widowControl w:val="0"/>
        <w:numPr>
          <w:ilvl w:val="0"/>
          <w:numId w:val="78"/>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se permitiese que el Garante realice una Inversión al momento de la Designación (suponiendo la validez de dicha Designación y considerándola una Inversión al momento de la Designación) de conformidad con la cláusula (l) de la definición de “Inversiones Permitidas” por un monto igual a la suma de la Inversión del Garante en dicha Subsidiaria en tal fecha (según se determine de acuerdo con el segundo párrafo de la definición de “Inversión”);</w:t>
      </w:r>
    </w:p>
    <w:p w14:paraId="4F43CBFD" w14:textId="77777777" w:rsidR="00F574E6" w:rsidRPr="00CA0A60" w:rsidRDefault="00F574E6" w:rsidP="00F574E6">
      <w:pPr>
        <w:widowControl w:val="0"/>
        <w:numPr>
          <w:ilvl w:val="0"/>
          <w:numId w:val="78"/>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dicha Subsidiaria tuviera, al momento de dicha Designación, activos totales consolidados de U$S1.000 o una suma inferior;</w:t>
      </w:r>
    </w:p>
    <w:p w14:paraId="76F57C9A" w14:textId="77777777" w:rsidR="00F574E6" w:rsidRPr="00CA0A60" w:rsidRDefault="00F574E6" w:rsidP="00F574E6">
      <w:pPr>
        <w:widowControl w:val="0"/>
        <w:numPr>
          <w:ilvl w:val="0"/>
          <w:numId w:val="78"/>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dicha Subsidiaria no fuera titular de Acciones o Participaciones de Capital de, ni fuera acreedora de Deuda, y no tuviera un Gravamen sobre los bienes del Garante o cualquiera de sus Subsidiarias (excepto una Subsidiaria No Restringida); y</w:t>
      </w:r>
    </w:p>
    <w:p w14:paraId="3DFC6C6D" w14:textId="2413FCD7" w:rsidR="004604DB" w:rsidRPr="00CA0A60" w:rsidRDefault="00F574E6" w:rsidP="004604DB">
      <w:pPr>
        <w:widowControl w:val="0"/>
        <w:numPr>
          <w:ilvl w:val="0"/>
          <w:numId w:val="78"/>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Designación se realizara sustancialmente en forma simultánea a la creación o constitución, según corresponda, de dicha Subsidiaria.</w:t>
      </w:r>
    </w:p>
    <w:p w14:paraId="63BA9BEE"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r w:rsidRPr="00CA0A60">
        <w:rPr>
          <w:rFonts w:ascii="Garamond" w:hAnsi="Garamond" w:cs="Garamond"/>
          <w:sz w:val="20"/>
          <w:szCs w:val="20"/>
          <w:lang w:val="es-AR"/>
        </w:rPr>
        <w:t>Ante la conversión de una Subsidiaria Restringida en una Subsidiaria No Restringida,</w:t>
      </w:r>
    </w:p>
    <w:p w14:paraId="1827F8B3"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p>
    <w:p w14:paraId="08FCEF8D"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r w:rsidRPr="00CA0A60">
        <w:rPr>
          <w:rFonts w:ascii="Garamond" w:hAnsi="Garamond" w:cs="Garamond"/>
          <w:sz w:val="20"/>
          <w:szCs w:val="20"/>
          <w:lang w:val="es-AR"/>
        </w:rPr>
        <w:t>(a) todas las Inversiones existentes del Garante, cualquier Co-Emisora o cualquier otra Subsidiaria Restringida</w:t>
      </w:r>
    </w:p>
    <w:p w14:paraId="280AA08C" w14:textId="5FB9CB16"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r w:rsidRPr="00CA0A60">
        <w:rPr>
          <w:rFonts w:ascii="Garamond" w:hAnsi="Garamond" w:cs="Garamond"/>
          <w:sz w:val="20"/>
          <w:szCs w:val="20"/>
          <w:lang w:val="es-AR"/>
        </w:rPr>
        <w:t>en ella (valuadas según la participación proporcional de la Persona que detenta la Inversión, del Valor Justo de Mercado de los activos de la Subsidiaria No Restringida, menos los pasivos) se considerarán realizadas en ese momento;</w:t>
      </w:r>
    </w:p>
    <w:p w14:paraId="75B0F204"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p>
    <w:p w14:paraId="3ABDF5AC"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r w:rsidRPr="00CA0A60">
        <w:rPr>
          <w:rFonts w:ascii="Garamond" w:hAnsi="Garamond" w:cs="Garamond"/>
          <w:sz w:val="20"/>
          <w:szCs w:val="20"/>
          <w:lang w:val="es-AR"/>
        </w:rPr>
        <w:t>(b) todo el Capital Social, las Deudas y la Financiación Comercial existente del Garante, cualquiera de las</w:t>
      </w:r>
    </w:p>
    <w:p w14:paraId="2486A705"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r w:rsidRPr="00CA0A60">
        <w:rPr>
          <w:rFonts w:ascii="Garamond" w:hAnsi="Garamond" w:cs="Garamond"/>
          <w:sz w:val="20"/>
          <w:szCs w:val="20"/>
          <w:lang w:val="es-AR"/>
        </w:rPr>
        <w:t>Co-Emisoras o cualquier otra Subsidiaria Restringida en poder de ella se considerará Contraída en ese</w:t>
      </w:r>
    </w:p>
    <w:p w14:paraId="5CC234FE"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r w:rsidRPr="00CA0A60">
        <w:rPr>
          <w:rFonts w:ascii="Garamond" w:hAnsi="Garamond" w:cs="Garamond"/>
          <w:sz w:val="20"/>
          <w:szCs w:val="20"/>
          <w:lang w:val="es-AR"/>
        </w:rPr>
        <w:t>momento, y todos los Gravámenes constituidos sobre bienes del Garante, de cualquiera de las Co-Emisoras y</w:t>
      </w:r>
    </w:p>
    <w:p w14:paraId="2177EDBC"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r w:rsidRPr="00CA0A60">
        <w:rPr>
          <w:rFonts w:ascii="Garamond" w:hAnsi="Garamond" w:cs="Garamond"/>
          <w:sz w:val="20"/>
          <w:szCs w:val="20"/>
          <w:lang w:val="es-AR"/>
        </w:rPr>
        <w:t>de cualquier otra Subsidiaria Restringida detentados por ella se considerarán constituidos en ese momento;</w:t>
      </w:r>
    </w:p>
    <w:p w14:paraId="0AFD4606"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p>
    <w:p w14:paraId="10E809A2"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r w:rsidRPr="00CA0A60">
        <w:rPr>
          <w:rFonts w:ascii="Garamond" w:hAnsi="Garamond" w:cs="Garamond"/>
          <w:sz w:val="20"/>
          <w:szCs w:val="20"/>
          <w:lang w:val="es-AR"/>
        </w:rPr>
        <w:t>(c) todas las operaciones existentes entre ella y el Garante, cualquiera de las Co-Emisoras o cualquier otra</w:t>
      </w:r>
    </w:p>
    <w:p w14:paraId="30C65881"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r w:rsidRPr="00CA0A60">
        <w:rPr>
          <w:rFonts w:ascii="Garamond" w:hAnsi="Garamond" w:cs="Garamond"/>
          <w:sz w:val="20"/>
          <w:szCs w:val="20"/>
          <w:lang w:val="es-AR"/>
        </w:rPr>
        <w:t>Subsidiaria Restringida se considerarán celebradas en ese momento; y</w:t>
      </w:r>
    </w:p>
    <w:p w14:paraId="20417A4B" w14:textId="77777777" w:rsidR="00EF7649" w:rsidRPr="00CA0A60" w:rsidRDefault="00EF7649" w:rsidP="00EF7649">
      <w:pPr>
        <w:autoSpaceDE w:val="0"/>
        <w:autoSpaceDN w:val="0"/>
        <w:adjustRightInd w:val="0"/>
        <w:spacing w:after="0" w:line="240" w:lineRule="auto"/>
        <w:rPr>
          <w:rFonts w:ascii="Garamond" w:hAnsi="Garamond" w:cs="Garamond"/>
          <w:sz w:val="20"/>
          <w:szCs w:val="20"/>
          <w:lang w:val="es-AR"/>
        </w:rPr>
      </w:pPr>
    </w:p>
    <w:p w14:paraId="2DD7981A" w14:textId="2A514176" w:rsidR="004604DB" w:rsidRPr="00CA0A60" w:rsidRDefault="00EF7649" w:rsidP="00B73F3E">
      <w:pPr>
        <w:autoSpaceDE w:val="0"/>
        <w:autoSpaceDN w:val="0"/>
        <w:adjustRightInd w:val="0"/>
        <w:spacing w:after="0" w:line="240" w:lineRule="auto"/>
        <w:rPr>
          <w:rFonts w:ascii="Garamond" w:hAnsi="Garamond" w:cs="Times New Roman"/>
          <w:sz w:val="20"/>
          <w:szCs w:val="20"/>
          <w:lang w:val="es-AR"/>
        </w:rPr>
      </w:pPr>
      <w:r w:rsidRPr="00CA0A60">
        <w:rPr>
          <w:rFonts w:ascii="Garamond" w:hAnsi="Garamond" w:cs="Garamond"/>
          <w:sz w:val="20"/>
          <w:szCs w:val="20"/>
          <w:lang w:val="es-AR"/>
        </w:rPr>
        <w:t>(d) con respecto a cualquier Subsidiaria No Restringida, dejará de estar sujeta a las disposiciones del Contrato de Fideicomiso en carácter de Subsidiaria Restringida.</w:t>
      </w:r>
    </w:p>
    <w:p w14:paraId="78D20A96" w14:textId="77777777" w:rsidR="00F574E6" w:rsidRPr="00CA0A60" w:rsidRDefault="00F574E6" w:rsidP="00F574E6">
      <w:pPr>
        <w:widowControl w:val="0"/>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Ninguna de las Co-Emisoras ni el Garante podrán en ningún momento, éste último por sí o por intermedio de cualquiera de sus otras Subsidiarias Restringidas, brindar apoyo crediticio para, sujetar cualquiera de sus bienes o activos (salvo las Acciones de una Subsidiaria No Restringida) a la satisfacción de, o Garantizar, la Deuda de cualquier Subsidiaria No Restringida (incluido cualquier compromiso, contrato o instrumento en donde conste </w:t>
      </w:r>
      <w:r w:rsidRPr="00CA0A60">
        <w:rPr>
          <w:rFonts w:ascii="Garamond" w:hAnsi="Garamond" w:cs="Times New Roman"/>
          <w:sz w:val="20"/>
          <w:szCs w:val="20"/>
          <w:lang w:val="es-AR"/>
        </w:rPr>
        <w:lastRenderedPageBreak/>
        <w:t>dicha Deuda), ni será responsable, directa o indirectamente, por ninguna Deuda de cualquier Subsidiaria No Restringida, a menos que dicho apoyo crediticio o Deuda se hubiera aceptado como Deuda de conformidad con “—Limitación de Deuda Adicional”.</w:t>
      </w:r>
    </w:p>
    <w:p w14:paraId="2CED18BA"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Garante no podrá revocar ninguna Designación de una Subsidiaria como Subsidiaria No Restringida.</w:t>
      </w:r>
    </w:p>
    <w:p w14:paraId="1EDA5158"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Designación de una Subsidiaria del Garante como Subsidiaria No Restringida se considerará que incluye la Designación de todas las Subsidiarias de dicha Subsidiaria. Todas las Designaciones, salvo aquellas hechas al momento de la Fecha de Emisión de conformidad con el Contrato de Fideicomiso deben constar en las resoluciones del Directorio del Garante, entregadas al Fiduciario que certifiquen el cumplimiento con las disposiciones anteriores.</w:t>
      </w:r>
    </w:p>
    <w:p w14:paraId="386F522B"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i/>
          <w:sz w:val="20"/>
          <w:szCs w:val="20"/>
          <w:u w:val="single"/>
          <w:lang w:val="es-AR"/>
        </w:rPr>
      </w:pPr>
      <w:r w:rsidRPr="00CA0A60">
        <w:rPr>
          <w:rFonts w:ascii="Garamond" w:hAnsi="Garamond" w:cs="Times New Roman"/>
          <w:i/>
          <w:sz w:val="20"/>
          <w:szCs w:val="20"/>
          <w:u w:val="single"/>
          <w:lang w:val="es-AR"/>
        </w:rPr>
        <w:t>Limitación sobre Dividendos y Otras Restricciones de Pago que Afectan a Subsidiarias Restringidas</w:t>
      </w:r>
    </w:p>
    <w:p w14:paraId="21B0141D"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Salvo por lo previsto en el siguiente párrafo, ninguna de las Co-Emisoras ni el Garante podrán, éste último por sí o por intermedio de cualquiera de sus otras Subsidiarias Restringidas, directa o indirectamente, crear o disponer o permitir de otra forma que exista o entre en vigencia cualquier gravamen o restricción a su capacidad de realizar los siguientes actos:</w:t>
      </w:r>
    </w:p>
    <w:p w14:paraId="7B0063DD" w14:textId="77777777" w:rsidR="00F574E6" w:rsidRPr="00CA0A60" w:rsidRDefault="00F574E6" w:rsidP="00F574E6">
      <w:pPr>
        <w:widowControl w:val="0"/>
        <w:numPr>
          <w:ilvl w:val="0"/>
          <w:numId w:val="120"/>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pagar dividendos o hacer cualquier otra distribución de sus Acciones al Garante, a cualquier Co-Emisora o cualquier otra Subsidiaria Restringida o cancelar cualquier Deuda que se le deba al Garante, a cualquier Co-Emisora o a cualquier otra Subsidiaria Restringida (entendiéndose que el hecho de que las Acciones Preferidas tengan prioridad de cobro de dividendos o de liquidación de distribuciones por sobre las Acciones Ordinarias no se considerará una restricción a la capacidad de pagar dividendos o realizar distribuciones sobre Acciones);</w:t>
      </w:r>
    </w:p>
    <w:p w14:paraId="5904127D" w14:textId="77777777" w:rsidR="00F574E6" w:rsidRPr="00CA0A60" w:rsidRDefault="00F574E6" w:rsidP="00F574E6">
      <w:pPr>
        <w:widowControl w:val="0"/>
        <w:numPr>
          <w:ilvl w:val="0"/>
          <w:numId w:val="120"/>
        </w:numPr>
        <w:tabs>
          <w:tab w:val="left" w:pos="284"/>
          <w:tab w:val="left" w:pos="709"/>
          <w:tab w:val="left" w:pos="8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otorgar préstamos o anticipos al Garante, a cualquier Co-Emisora o a cualquier otra Subsidiaria Restringida (entendiéndose que la subordinación de los préstamos o adelantos efectuados al Garante, a cualquier Co-Emisora o a cualquier otra Subsidiaria Restringida con respecto a cualquier Deuda Contraída por el Garante, por cualquier Co-Emisora o por cualquier otra Subsidiaria Restringida no se considerará una restricción a la capacidad de efectuar préstamos o adelantos); o</w:t>
      </w:r>
    </w:p>
    <w:p w14:paraId="0C463355" w14:textId="77777777" w:rsidR="00F574E6" w:rsidRPr="00CA0A60" w:rsidRDefault="00F574E6" w:rsidP="00F574E6">
      <w:pPr>
        <w:widowControl w:val="0"/>
        <w:numPr>
          <w:ilvl w:val="0"/>
          <w:numId w:val="120"/>
        </w:numPr>
        <w:tabs>
          <w:tab w:val="left" w:pos="284"/>
          <w:tab w:val="left" w:pos="709"/>
          <w:tab w:val="left" w:pos="8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transferir cualquiera de sus bienes o activos al Garante, cualquier Co-Emisora o cualquier otra Subsidiaria Restringida (entendiéndose que dichas transferencias no comprenderán las transferencias del tipo descripto en los apartados (a) o (b) que anteceden).</w:t>
      </w:r>
    </w:p>
    <w:p w14:paraId="7C2C0942"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párrafo citado no se aplicará a gravámenes o restricciones existentes como consecuencia de, o de conformidad con:</w:t>
      </w:r>
    </w:p>
    <w:p w14:paraId="406C30D2" w14:textId="77777777" w:rsidR="00F574E6" w:rsidRPr="00CA0A60" w:rsidRDefault="00F574E6" w:rsidP="00F574E6">
      <w:pPr>
        <w:widowControl w:val="0"/>
        <w:numPr>
          <w:ilvl w:val="0"/>
          <w:numId w:val="121"/>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leyes, normas, reglamentos, resoluciones, aprobaciones, concesiones, permisos o restricciones similares aplicables (incluido, sin limitación, (1) por parte de cualquier bolsa de valores nacional en la cual cualquier Co-Emisora u otra Subsidiaria Restringida cotice sus Acciones, y (2) de conformidad con cualquier obligación fiduciaria impuesta por ley);</w:t>
      </w:r>
    </w:p>
    <w:p w14:paraId="1199CE45" w14:textId="6B1F84EF" w:rsidR="00F574E6" w:rsidRPr="00CA0A60" w:rsidRDefault="00F574E6" w:rsidP="00F574E6">
      <w:pPr>
        <w:widowControl w:val="0"/>
        <w:numPr>
          <w:ilvl w:val="0"/>
          <w:numId w:val="121"/>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Contrato de Fideicomiso, las Obligaciones Negociables</w:t>
      </w:r>
      <w:r w:rsidR="00EF7649" w:rsidRPr="00CA0A60">
        <w:rPr>
          <w:rFonts w:ascii="Garamond" w:hAnsi="Garamond" w:cs="Times New Roman"/>
          <w:sz w:val="20"/>
          <w:szCs w:val="20"/>
          <w:lang w:val="es-AR"/>
        </w:rPr>
        <w:t xml:space="preserve"> (incluyendo las Obligaciones Negociables Adicionales)</w:t>
      </w:r>
      <w:r w:rsidRPr="00CA0A60">
        <w:rPr>
          <w:rFonts w:ascii="Garamond" w:hAnsi="Garamond" w:cs="Times New Roman"/>
          <w:sz w:val="20"/>
          <w:szCs w:val="20"/>
          <w:lang w:val="es-AR"/>
        </w:rPr>
        <w:t xml:space="preserve">, las Garantías de ASA </w:t>
      </w:r>
      <w:r w:rsidR="00EF7649" w:rsidRPr="00CA0A60">
        <w:rPr>
          <w:rFonts w:ascii="Garamond" w:hAnsi="Garamond" w:cs="Times New Roman"/>
          <w:sz w:val="20"/>
          <w:szCs w:val="20"/>
          <w:lang w:val="es-AR"/>
        </w:rPr>
        <w:t xml:space="preserve">(incluyendo las Garantías de las Obligaciones Negociables relativas a las Obligaciones Negociables Adicionales) </w:t>
      </w:r>
      <w:r w:rsidRPr="00CA0A60">
        <w:rPr>
          <w:rFonts w:ascii="Garamond" w:hAnsi="Garamond" w:cs="Times New Roman"/>
          <w:sz w:val="20"/>
          <w:szCs w:val="20"/>
          <w:lang w:val="es-AR"/>
        </w:rPr>
        <w:t>o los Documentos de Garantía;</w:t>
      </w:r>
    </w:p>
    <w:p w14:paraId="548AE8B5" w14:textId="77777777" w:rsidR="00F574E6" w:rsidRPr="00CA0A60" w:rsidRDefault="00F574E6" w:rsidP="00F574E6">
      <w:pPr>
        <w:widowControl w:val="0"/>
        <w:numPr>
          <w:ilvl w:val="0"/>
          <w:numId w:val="121"/>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términos de cualquier Deuda u otro contrato existente al momento de la Fecha de Emisión;</w:t>
      </w:r>
    </w:p>
    <w:p w14:paraId="700E5812" w14:textId="77777777" w:rsidR="00F574E6" w:rsidRPr="00CA0A60" w:rsidRDefault="00F574E6" w:rsidP="00F574E6">
      <w:pPr>
        <w:widowControl w:val="0"/>
        <w:numPr>
          <w:ilvl w:val="0"/>
          <w:numId w:val="121"/>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disposiciones de no cesión habituales en contractos, acuerdos, contratos de arrendamiento, autorizaciones y licencias;</w:t>
      </w:r>
    </w:p>
    <w:p w14:paraId="71558F17" w14:textId="77777777" w:rsidR="00F574E6" w:rsidRPr="00CA0A60" w:rsidRDefault="00F574E6" w:rsidP="00F574E6">
      <w:pPr>
        <w:widowControl w:val="0"/>
        <w:numPr>
          <w:ilvl w:val="0"/>
          <w:numId w:val="121"/>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restricciones con respecto a una Subsidiaria Restringida impuestas de conformidad con un acuerdo vinculante que se ha celebrado para la venta o enajenación de todas o casi todas las Acciones o activos del Garante, cualquier Co-Emisora o cualquier otra Subsidiaria Restringida, </w:t>
      </w:r>
      <w:r w:rsidRPr="00CA0A60">
        <w:rPr>
          <w:rFonts w:ascii="Garamond" w:hAnsi="Garamond" w:cs="Times New Roman"/>
          <w:color w:val="000000"/>
          <w:sz w:val="20"/>
          <w:szCs w:val="20"/>
          <w:u w:val="single"/>
          <w:lang w:val="es-AR" w:eastAsia="es-ES" w:bidi="es-ES"/>
        </w:rPr>
        <w:t>siempre</w:t>
      </w:r>
      <w:r w:rsidRPr="00CA0A60">
        <w:rPr>
          <w:rFonts w:ascii="Garamond" w:hAnsi="Garamond" w:cs="Times New Roman"/>
          <w:sz w:val="20"/>
          <w:szCs w:val="20"/>
          <w:lang w:val="es-AR"/>
        </w:rPr>
        <w:t xml:space="preserve"> que dichas restricciones se apliquen exclusivamente a las Acciones o activos de dicha Subsidiaria Restringida que están en venta y que dicha venta o disposición esté permitida en el Contrato de Fideicomiso;</w:t>
      </w:r>
    </w:p>
    <w:p w14:paraId="7A5F5C90" w14:textId="77777777" w:rsidR="00F574E6" w:rsidRPr="00CA0A60" w:rsidRDefault="00F574E6" w:rsidP="00F574E6">
      <w:pPr>
        <w:widowControl w:val="0"/>
        <w:numPr>
          <w:ilvl w:val="0"/>
          <w:numId w:val="121"/>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restricciones habituales impuestas a la transferencia de materiales protegidos por los derechos de autor o patentables;</w:t>
      </w:r>
    </w:p>
    <w:p w14:paraId="376F0037" w14:textId="77777777" w:rsidR="00F574E6" w:rsidRPr="00CA0A60" w:rsidRDefault="00F574E6" w:rsidP="00F574E6">
      <w:pPr>
        <w:widowControl w:val="0"/>
        <w:numPr>
          <w:ilvl w:val="0"/>
          <w:numId w:val="121"/>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o restricciones impuestos por los términos de la Deuda Contraída para financiar en todo o en parte el precio de compra o el costo de construcción, desarrollo, mejora o modificación de los activos del Garante, de cualquier Co-Emisora o de cualquier otra Subsidiaria Restringida en el giro comercial habitual que impone gravámenes y restricciones únicamente a los activos adquiridos, construidos, desarrollados, mejorados o modificados de esa forma, según corresponda;</w:t>
      </w:r>
    </w:p>
    <w:p w14:paraId="38681A38" w14:textId="77777777" w:rsidR="00F574E6" w:rsidRPr="00CA0A60" w:rsidRDefault="00F574E6" w:rsidP="00F574E6">
      <w:pPr>
        <w:widowControl w:val="0"/>
        <w:numPr>
          <w:ilvl w:val="0"/>
          <w:numId w:val="121"/>
        </w:numPr>
        <w:tabs>
          <w:tab w:val="left" w:pos="284"/>
          <w:tab w:val="left" w:pos="709"/>
          <w:tab w:val="left" w:pos="79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disposiciones habituales en un contrato de riesgo compartido u otro acuerdo similar con respecto a una Subsidiaria Restringida que hubiera sido celebrado en el giro comercial habitual;</w:t>
      </w:r>
    </w:p>
    <w:p w14:paraId="0CC2A0D3" w14:textId="77777777" w:rsidR="00F574E6" w:rsidRPr="00CA0A60" w:rsidRDefault="00F574E6" w:rsidP="00F574E6">
      <w:pPr>
        <w:widowControl w:val="0"/>
        <w:numPr>
          <w:ilvl w:val="0"/>
          <w:numId w:val="121"/>
        </w:numPr>
        <w:tabs>
          <w:tab w:val="left" w:pos="284"/>
          <w:tab w:val="left" w:pos="709"/>
          <w:tab w:val="left" w:pos="79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lastRenderedPageBreak/>
        <w:t>cualquier contrato aplicable a Deudas Adquiridas, cuyos gravámenes o restricciones no sean aplicables a cualquier Persona o los bienes o activos de cualquier Persona, salvo la Persona o los bienes o activos de la Persona adquiridos de esa forma y que no sean constituidos como consecuencia de, en relación con o con anticipo a cualquiera de dichas transacciones;</w:t>
      </w:r>
    </w:p>
    <w:p w14:paraId="21A08743" w14:textId="086E9781" w:rsidR="00F574E6" w:rsidRPr="00CA0A60" w:rsidRDefault="00F574E6" w:rsidP="00F574E6">
      <w:pPr>
        <w:widowControl w:val="0"/>
        <w:numPr>
          <w:ilvl w:val="0"/>
          <w:numId w:val="121"/>
        </w:numPr>
        <w:tabs>
          <w:tab w:val="left" w:pos="284"/>
          <w:tab w:val="left" w:pos="709"/>
          <w:tab w:val="left" w:pos="79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restricciones a la transferencia de activos sujetas a cualquier Gravamen Permitido que garantice una Deuda que se permite Contraer de conformidad con las disposiciones </w:t>
      </w:r>
      <w:r w:rsidR="0059465E">
        <w:rPr>
          <w:rFonts w:ascii="Garamond" w:hAnsi="Garamond" w:cs="Times New Roman"/>
          <w:sz w:val="20"/>
          <w:szCs w:val="20"/>
          <w:lang w:val="es-AR"/>
        </w:rPr>
        <w:t>del compromiso previsto</w:t>
      </w:r>
      <w:r w:rsidRPr="00CA0A60">
        <w:rPr>
          <w:rFonts w:ascii="Garamond" w:hAnsi="Garamond" w:cs="Times New Roman"/>
          <w:sz w:val="20"/>
          <w:szCs w:val="20"/>
          <w:lang w:val="es-AR"/>
        </w:rPr>
        <w:t xml:space="preserve"> en “—</w:t>
      </w:r>
      <w:r w:rsidRPr="00CA0A60">
        <w:rPr>
          <w:rFonts w:ascii="Garamond" w:hAnsi="Garamond" w:cs="Times New Roman"/>
          <w:i/>
          <w:sz w:val="20"/>
          <w:szCs w:val="20"/>
          <w:lang w:val="es-AR"/>
        </w:rPr>
        <w:t>Limitación de Deuda Adicional</w:t>
      </w:r>
      <w:r w:rsidRPr="00CA0A60">
        <w:rPr>
          <w:rFonts w:ascii="Garamond" w:hAnsi="Garamond" w:cs="Times New Roman"/>
          <w:sz w:val="20"/>
          <w:szCs w:val="20"/>
          <w:lang w:val="es-AR"/>
        </w:rPr>
        <w:t>”;</w:t>
      </w:r>
    </w:p>
    <w:p w14:paraId="2671C931" w14:textId="77777777" w:rsidR="00F574E6" w:rsidRPr="00CA0A60" w:rsidRDefault="00F574E6" w:rsidP="00F574E6">
      <w:pPr>
        <w:widowControl w:val="0"/>
        <w:numPr>
          <w:ilvl w:val="0"/>
          <w:numId w:val="121"/>
        </w:numPr>
        <w:tabs>
          <w:tab w:val="left" w:pos="284"/>
          <w:tab w:val="left" w:pos="709"/>
          <w:tab w:val="left" w:pos="79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o restricciones al efectivo u otros depósitos o al patrimonio neto impuestas por clientes en contratos u otros acuerdos celebrados o acordados en el giro comercial habitual;</w:t>
      </w:r>
    </w:p>
    <w:p w14:paraId="76402AF3" w14:textId="77777777" w:rsidR="00F574E6" w:rsidRPr="00CA0A60" w:rsidRDefault="00F574E6" w:rsidP="00F574E6">
      <w:pPr>
        <w:widowControl w:val="0"/>
        <w:tabs>
          <w:tab w:val="left" w:pos="284"/>
          <w:tab w:val="left" w:pos="851"/>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w:t>
      </w:r>
      <w:r w:rsidRPr="00CA0A60">
        <w:rPr>
          <w:rFonts w:ascii="Garamond" w:hAnsi="Garamond" w:cs="Times New Roman"/>
          <w:sz w:val="20"/>
          <w:szCs w:val="20"/>
          <w:lang w:val="es-AR"/>
        </w:rPr>
        <w:tab/>
        <w:t>con respecto a cualquier contrato que regule Deuda de cualquier Subsidiaria Restringida y que fuera autorizada por el compromiso del Contrato de Fideicomiso descripto bajo el título “</w:t>
      </w:r>
      <w:r w:rsidRPr="00CA0A60">
        <w:rPr>
          <w:rFonts w:ascii="Garamond" w:hAnsi="Garamond" w:cs="Times New Roman"/>
          <w:i/>
          <w:sz w:val="20"/>
          <w:szCs w:val="20"/>
          <w:lang w:val="es-AR"/>
        </w:rPr>
        <w:t>Limitación de Deuda Adicional</w:t>
      </w:r>
      <w:r w:rsidRPr="00CA0A60">
        <w:rPr>
          <w:rFonts w:ascii="Garamond" w:hAnsi="Garamond" w:cs="Times New Roman"/>
          <w:sz w:val="20"/>
          <w:szCs w:val="20"/>
          <w:lang w:val="es-AR"/>
        </w:rPr>
        <w:t xml:space="preserve">” y a cualquier prórroga, renovación, reemplazo, modificación o refinanciamientos de ella, autorizados en virtud del Contrato de Fideicomiso, </w:t>
      </w:r>
      <w:r w:rsidRPr="00CA0A60">
        <w:rPr>
          <w:rFonts w:ascii="Garamond" w:hAnsi="Garamond" w:cs="Times New Roman"/>
          <w:sz w:val="20"/>
          <w:szCs w:val="20"/>
          <w:u w:val="single"/>
          <w:lang w:val="es-AR"/>
        </w:rPr>
        <w:t>siempre que</w:t>
      </w:r>
      <w:r w:rsidRPr="00CA0A60">
        <w:rPr>
          <w:rFonts w:ascii="Garamond" w:hAnsi="Garamond" w:cs="Times New Roman"/>
          <w:sz w:val="20"/>
          <w:szCs w:val="20"/>
          <w:lang w:val="es-AR"/>
        </w:rPr>
        <w:t xml:space="preserve"> (i) el gravamen o restricción no constituya una desventaja sustancialmente mayor a la habitual en financiamientos comparables para los Tenedores de las Obligaciones Negociables; y (ii) el Garante determine de buena fe que, en la fecha de la Contracción de dicha Deuda, dicho gravamen o restricción no pudiera en forma previsible afectar adversamente la capacidad de las Co-Emisoras para realizar pagos de capital o interés con respecto a las Obligaciones Negociables; </w:t>
      </w:r>
      <w:r w:rsidRPr="00CA0A60">
        <w:rPr>
          <w:rFonts w:ascii="Garamond" w:hAnsi="Garamond" w:cs="Times New Roman"/>
          <w:sz w:val="20"/>
          <w:szCs w:val="20"/>
          <w:u w:val="single"/>
          <w:lang w:val="es-AR"/>
        </w:rPr>
        <w:t>siempre y cuando</w:t>
      </w:r>
      <w:r w:rsidRPr="00CA0A60">
        <w:rPr>
          <w:rFonts w:ascii="Garamond" w:hAnsi="Garamond" w:cs="Times New Roman"/>
          <w:sz w:val="20"/>
          <w:szCs w:val="20"/>
          <w:lang w:val="es-AR"/>
        </w:rPr>
        <w:t>, además, dicha prórroga, renovación, reemplazo, modificación o refinanciamiento no sea, en su totalidad, sustancialmente más restrictiva en relación con dichos gravámenes o restricciones que los existentes en dicho contrato que está siendo prorrogado, renovado, modificado o refinanciado;</w:t>
      </w:r>
    </w:p>
    <w:p w14:paraId="16BC976D" w14:textId="77777777" w:rsidR="00F574E6" w:rsidRPr="00CA0A60" w:rsidRDefault="00F574E6" w:rsidP="00F574E6">
      <w:pPr>
        <w:widowControl w:val="0"/>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(m)</w:t>
      </w:r>
      <w:r w:rsidRPr="00CA0A60">
        <w:rPr>
          <w:rFonts w:ascii="Garamond" w:hAnsi="Garamond" w:cs="Times New Roman"/>
          <w:sz w:val="20"/>
          <w:szCs w:val="20"/>
          <w:lang w:val="es-AR"/>
        </w:rPr>
        <w:tab/>
        <w:t xml:space="preserve">Deuda por Refinanciamiento; </w:t>
      </w:r>
      <w:r w:rsidRPr="00CA0A60">
        <w:rPr>
          <w:rFonts w:ascii="Garamond" w:hAnsi="Garamond" w:cs="Times New Roman"/>
          <w:sz w:val="20"/>
          <w:szCs w:val="20"/>
          <w:u w:val="single"/>
          <w:lang w:val="es-AR"/>
        </w:rPr>
        <w:t>siempre que</w:t>
      </w:r>
      <w:r w:rsidRPr="00CA0A60">
        <w:rPr>
          <w:rFonts w:ascii="Garamond" w:hAnsi="Garamond" w:cs="Times New Roman"/>
          <w:sz w:val="20"/>
          <w:szCs w:val="20"/>
          <w:lang w:val="es-AR"/>
        </w:rPr>
        <w:t xml:space="preserve"> las restricciones incluidas en los contratos que regulen dichas Deudas por Refinanciamiento no sean sustancialmente más restrictivas, en su totalidad, que aquellas incluidas en los contratos que regulan la Deuda que estuviera siendo Refinanciada.</w:t>
      </w:r>
    </w:p>
    <w:p w14:paraId="5C0A00D8"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b/>
          <w:sz w:val="20"/>
          <w:u w:val="single"/>
          <w:lang w:val="es-AR"/>
        </w:rPr>
      </w:pPr>
      <w:r w:rsidRPr="00CA0A60">
        <w:rPr>
          <w:rFonts w:ascii="Garamond" w:hAnsi="Garamond" w:cs="Times New Roman"/>
          <w:i/>
          <w:sz w:val="20"/>
          <w:u w:val="single"/>
          <w:lang w:val="es-AR"/>
        </w:rPr>
        <w:t>Limitación a los Gravámenes</w:t>
      </w:r>
    </w:p>
    <w:p w14:paraId="06CF4CEB"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Ninguna de las Co-Emisoras ni el Garante podrán, éste último por sí o por intermedio de cualquiera de sus otras Subsidiarias Restringidas, directa o indirectamente, o Contraer Deuda garantizada, directa o indirectamente, por un Gravamen (salvo los Gravámenes Permitidos) sobre cualquier bien, activo, ingreso o ganancias del Garante, cualquiera de las Co-Emisoras o cualquier Subsidiaria Restringida, sin haber estipulado efectivamente que las Obligaciones Negociables estuviesen garantizadas igual y proporcionalmente (o con prioridad) a dicha Deuda por un Gravamen sobre los mismos bienes y activos que garantizan dicha Deuda, siempre y cuando dicha Deuda deba ser garantizada de esa forma.</w:t>
      </w:r>
    </w:p>
    <w:p w14:paraId="59C67CCE" w14:textId="6E811E98"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Sin perjuicio de cualquier disposición en contrario del presente y salvo por lo previsto en las cláusulas (a), (b),</w:t>
      </w:r>
      <w:r w:rsidR="00EF7649" w:rsidRPr="00CA0A60">
        <w:rPr>
          <w:rFonts w:ascii="Garamond" w:hAnsi="Garamond" w:cs="Times New Roman"/>
          <w:sz w:val="20"/>
          <w:szCs w:val="20"/>
          <w:lang w:val="es-AR"/>
        </w:rPr>
        <w:t xml:space="preserve"> (d),</w:t>
      </w:r>
      <w:r w:rsidRPr="00CA0A60">
        <w:rPr>
          <w:rFonts w:ascii="Garamond" w:hAnsi="Garamond" w:cs="Times New Roman"/>
          <w:sz w:val="20"/>
          <w:szCs w:val="20"/>
          <w:lang w:val="es-AR"/>
        </w:rPr>
        <w:t xml:space="preserve"> (f), </w:t>
      </w:r>
      <w:r w:rsidR="00EF7649" w:rsidRPr="00CA0A60">
        <w:rPr>
          <w:rFonts w:ascii="Garamond" w:hAnsi="Garamond" w:cs="Times New Roman"/>
          <w:sz w:val="20"/>
          <w:szCs w:val="20"/>
          <w:lang w:val="es-AR"/>
        </w:rPr>
        <w:t xml:space="preserve">(i), </w:t>
      </w:r>
      <w:r w:rsidRPr="00CA0A60">
        <w:rPr>
          <w:rFonts w:ascii="Garamond" w:hAnsi="Garamond" w:cs="Times New Roman"/>
          <w:sz w:val="20"/>
          <w:szCs w:val="20"/>
          <w:lang w:val="es-AR"/>
        </w:rPr>
        <w:t>(l), (m)</w:t>
      </w:r>
      <w:r w:rsidR="00EF7649" w:rsidRPr="00CA0A60">
        <w:rPr>
          <w:rFonts w:ascii="Garamond" w:hAnsi="Garamond" w:cs="Times New Roman"/>
          <w:sz w:val="20"/>
          <w:szCs w:val="20"/>
          <w:lang w:val="es-AR"/>
        </w:rPr>
        <w:t>, (n)</w:t>
      </w:r>
      <w:r w:rsidRPr="00CA0A60">
        <w:rPr>
          <w:rFonts w:ascii="Garamond" w:hAnsi="Garamond" w:cs="Times New Roman"/>
          <w:sz w:val="20"/>
          <w:szCs w:val="20"/>
          <w:lang w:val="es-AR"/>
        </w:rPr>
        <w:t xml:space="preserve"> y (</w:t>
      </w:r>
      <w:r w:rsidR="00EF7649" w:rsidRPr="00CA0A60">
        <w:rPr>
          <w:rFonts w:ascii="Garamond" w:hAnsi="Garamond" w:cs="Times New Roman"/>
          <w:sz w:val="20"/>
          <w:szCs w:val="20"/>
          <w:lang w:val="es-AR"/>
        </w:rPr>
        <w:t>p</w:t>
      </w:r>
      <w:r w:rsidRPr="00CA0A60">
        <w:rPr>
          <w:rFonts w:ascii="Garamond" w:hAnsi="Garamond" w:cs="Times New Roman"/>
          <w:sz w:val="20"/>
          <w:szCs w:val="20"/>
          <w:lang w:val="es-AR"/>
        </w:rPr>
        <w:t>) de la definición de “Gravámenes Permitidos”, el Garante no podrá, por sí o a través de sus Subsidiarias Restringidas, directa o indirectamente, crear, incurrir, asumir o permitir que exista cualquier Gravamen sobre la totalidad o cualquier parte de los Derechos de Garantía.</w:t>
      </w:r>
    </w:p>
    <w:p w14:paraId="2EAED5D6"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b/>
          <w:sz w:val="20"/>
          <w:u w:val="single"/>
          <w:lang w:val="es-AR"/>
        </w:rPr>
      </w:pPr>
      <w:r w:rsidRPr="00CA0A60">
        <w:rPr>
          <w:rFonts w:ascii="Garamond" w:hAnsi="Garamond" w:cs="Times New Roman"/>
          <w:i/>
          <w:sz w:val="20"/>
          <w:u w:val="single"/>
          <w:lang w:val="es-AR"/>
        </w:rPr>
        <w:t>Limitación a las Operaciones de Venta y Pacto de Arrendamiento</w:t>
      </w:r>
    </w:p>
    <w:p w14:paraId="044E34E8"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Ninguna de las Co-Emisoras ni el Garante podrán, éste último por sí o por intermedio de cualquiera de sus otras Subsidiarias Restringidas, directa o indirectamente, llevar a cabo Operaciones de Venta y Pacto de Arrendamiento, salvo que la operación en cuestión estuviese permitida en virtud de la cláusula del Contrato de Fideicomiso descripta en la sección “--Limitación a los Gravámenes”.</w:t>
      </w:r>
    </w:p>
    <w:p w14:paraId="47506AAB"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b/>
          <w:sz w:val="20"/>
          <w:u w:val="single"/>
          <w:lang w:val="es-AR"/>
        </w:rPr>
      </w:pPr>
      <w:r w:rsidRPr="00CA0A60">
        <w:rPr>
          <w:rFonts w:ascii="Garamond" w:hAnsi="Garamond" w:cs="Times New Roman"/>
          <w:i/>
          <w:sz w:val="20"/>
          <w:u w:val="single"/>
          <w:lang w:val="es-AR"/>
        </w:rPr>
        <w:t>Limitación a la Fusión, Consolidación y Venta de Activos</w:t>
      </w:r>
    </w:p>
    <w:p w14:paraId="7318F969"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Ninguna de las Co-Emisoras ni el Garante podrán, éste último por sí o por intermedio de cualquiera de sus otras Subsidiarias Restringidas, en una sola transacción o en una serie de transacciones relacionadas, consolidarse o fusionarse con cualquier Persona (ya sea que el Garante o dicha Co-Emisora sean o no la Persona superviviente o continuadora) ni tampoco podrán vender, ceder, transferir, arrendar o de alguna otra manera enajenar todos o casi todos sus respectivos bienes y activos (calculados en forma consolidada) a ninguna Persona, salvo por una consolidación o fusión o cualquier venta, cesión, transferencia, arrendamiento u otra enajenación de los bienes o activos de cualquier Co-Emisora o Subsidiaria Restringida al Garante u otra Co-Emisora, o una fusión de cualquier Co-Emisora con una Subsidiaria Restringida totalmente controlada del Garante o cualquier Co-Emisora constituida a los fines de la tenencia de Acciones del Garante o cualquier Co-Emisora siempre y cuando la Deuda del Garante, de las Co-Emisoras y de cualquier otra Subsidiaria Restringida en su conjunto no aumente por ello.</w:t>
      </w:r>
    </w:p>
    <w:p w14:paraId="20252270" w14:textId="15B6DA4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Sin perjuicio del párrafo anterior, el compromiso del Contrato de Fideicomiso descripto en esta sección de “</w:t>
      </w:r>
      <w:r w:rsidRPr="00CA0A60">
        <w:rPr>
          <w:rFonts w:ascii="Garamond" w:hAnsi="Garamond" w:cs="Times New Roman"/>
          <w:i/>
          <w:sz w:val="20"/>
          <w:szCs w:val="20"/>
          <w:lang w:val="es-AR"/>
        </w:rPr>
        <w:t>Limitación a la Fusión, Consolidación y Venta de Activos”</w:t>
      </w:r>
      <w:r w:rsidRPr="00CA0A60">
        <w:rPr>
          <w:rFonts w:ascii="Garamond" w:hAnsi="Garamond" w:cs="Times New Roman"/>
          <w:sz w:val="20"/>
          <w:szCs w:val="20"/>
          <w:lang w:val="es-AR"/>
        </w:rPr>
        <w:t xml:space="preserve"> no prohíbe la fusión de AESA con el Garante, cualquiera de las Co-Emisoras o una Subsidiaria Restringida en tanto (i) el Garante, la Co-Emisora correspondiente o la </w:t>
      </w:r>
      <w:r w:rsidRPr="00CA0A60">
        <w:rPr>
          <w:rFonts w:ascii="Garamond" w:hAnsi="Garamond" w:cs="Times New Roman"/>
          <w:sz w:val="20"/>
          <w:szCs w:val="20"/>
          <w:lang w:val="es-AR"/>
        </w:rPr>
        <w:lastRenderedPageBreak/>
        <w:t>Subsidiaria Restringida puedan Contraer cualquier Deuda de AESA pendiente al momento de dicha operación de acuerdo con los términos de la cláusula (a)(xi) del compromiso de</w:t>
      </w:r>
      <w:r w:rsidR="0059465E">
        <w:rPr>
          <w:rFonts w:ascii="Garamond" w:hAnsi="Garamond" w:cs="Times New Roman"/>
          <w:sz w:val="20"/>
          <w:szCs w:val="20"/>
          <w:lang w:val="es-AR"/>
        </w:rPr>
        <w:t xml:space="preserve">l Contrato de Fideicomiso descripto bajo el título </w:t>
      </w:r>
      <w:r w:rsidRPr="00CA0A60">
        <w:rPr>
          <w:rFonts w:ascii="Garamond" w:hAnsi="Garamond" w:cs="Times New Roman"/>
          <w:sz w:val="20"/>
          <w:szCs w:val="20"/>
          <w:lang w:val="es-AR"/>
        </w:rPr>
        <w:t>“</w:t>
      </w:r>
      <w:r w:rsidR="0059465E">
        <w:rPr>
          <w:rFonts w:ascii="Garamond" w:hAnsi="Garamond" w:cs="Times New Roman"/>
          <w:sz w:val="20"/>
          <w:szCs w:val="20"/>
          <w:lang w:val="es-AR"/>
        </w:rPr>
        <w:t>—</w:t>
      </w:r>
      <w:r w:rsidRPr="00CA0A60">
        <w:rPr>
          <w:rFonts w:ascii="Garamond" w:hAnsi="Garamond" w:cs="Times New Roman"/>
          <w:i/>
          <w:sz w:val="20"/>
          <w:szCs w:val="20"/>
          <w:lang w:val="es-AR"/>
        </w:rPr>
        <w:t>Limitación de Deuda Adicional”</w:t>
      </w:r>
      <w:r w:rsidRPr="00CA0A60">
        <w:rPr>
          <w:rFonts w:ascii="Garamond" w:hAnsi="Garamond" w:cs="Times New Roman"/>
          <w:sz w:val="20"/>
          <w:szCs w:val="20"/>
          <w:lang w:val="es-AR"/>
        </w:rPr>
        <w:t xml:space="preserve"> y (ii) no haya ocurrido ni subsista un Supuesto de Incumplimiento.</w:t>
      </w:r>
    </w:p>
    <w:p w14:paraId="4BA6EEBD" w14:textId="22E081EE"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Cuando exista cualquier consolidación, combinación, o fusión o cualquier transferencia de todos o casi todos los bienes y activos del Garante, de cualesquiera Co-Emisoras y de cualesquiera otras Subsidiarias Restringidas de conformidad con el compromiso</w:t>
      </w:r>
      <w:r w:rsidR="0059465E">
        <w:rPr>
          <w:rFonts w:ascii="Garamond" w:hAnsi="Garamond" w:cs="Times New Roman"/>
          <w:sz w:val="20"/>
          <w:szCs w:val="20"/>
          <w:lang w:val="es-AR"/>
        </w:rPr>
        <w:t xml:space="preserve"> del Contrato de Fideicomiso descripto en esta sección </w:t>
      </w:r>
      <w:r w:rsidR="0059465E">
        <w:rPr>
          <w:rFonts w:ascii="Garamond" w:hAnsi="Garamond" w:cs="Times New Roman"/>
          <w:i/>
          <w:sz w:val="20"/>
          <w:szCs w:val="20"/>
          <w:lang w:val="es-AR"/>
        </w:rPr>
        <w:t>“—Limitación a la Fusión, Consolidación y Venta de Activos”</w:t>
      </w:r>
      <w:r w:rsidRPr="00CA0A60">
        <w:rPr>
          <w:rFonts w:ascii="Garamond" w:hAnsi="Garamond" w:cs="Times New Roman"/>
          <w:sz w:val="20"/>
          <w:szCs w:val="20"/>
          <w:lang w:val="es-AR"/>
        </w:rPr>
        <w:t xml:space="preserve">, en la cual el Garante o cualquier Co-Emisora no sea la Persona continuadora, la Entidad Superviviente constituida por dicha consolidación o en la cual el Garante o cualquier Co-Emisora se fusione o a la cual dicha transferencia, arrendamiento se realice sucederá al Garante o la correspondiente Co-Emisora de conformidad con el Contrato de Fideicomiso o las Obligaciones Negociables, según sea el caso, será substituida por ellos y podrá ejercer todos sus derechos y facultades con los mismos efectos como si dicha Entidad Superviviente hubiese sido nombrada como tal. Al momento de dicha substitución, el Garante o la Co-Emisora correspondiente se liberarán de sus obligaciones conforme al Contrato de Fideicomiso. </w:t>
      </w:r>
    </w:p>
    <w:p w14:paraId="5E21B082"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b/>
          <w:sz w:val="20"/>
          <w:u w:val="single"/>
          <w:lang w:val="es-AR"/>
        </w:rPr>
      </w:pPr>
      <w:r w:rsidRPr="00CA0A60">
        <w:rPr>
          <w:rFonts w:ascii="Garamond" w:hAnsi="Garamond" w:cs="Times New Roman"/>
          <w:i/>
          <w:sz w:val="20"/>
          <w:u w:val="single"/>
          <w:lang w:val="es-AR"/>
        </w:rPr>
        <w:t>Limitación a las Transacciones con Afiliadas</w:t>
      </w:r>
    </w:p>
    <w:p w14:paraId="4D7D61FD"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Ninguna de las Co-Emisoras ni el Garante podrán, éste último por sí o por intermedio de cualquiera de sus otras Subsidiarias Restringidas, directa o indirectamente, celebrar transacciones o series de transacciones relacionadas (incluidas, por ejemplo, compras, ventas, alquileres o permutas de bienes o prestación de servicios) con cualquiera de sus Afiliadas o en beneficio de las mismas (cada una de estas transacciones, una “</w:t>
      </w:r>
      <w:r w:rsidRPr="00CA0A60">
        <w:rPr>
          <w:rFonts w:ascii="Garamond" w:hAnsi="Garamond" w:cs="Times New Roman"/>
          <w:sz w:val="20"/>
          <w:szCs w:val="20"/>
          <w:u w:val="single"/>
          <w:lang w:val="es-AR"/>
        </w:rPr>
        <w:t>Transacción con Afiliadas</w:t>
      </w:r>
      <w:r w:rsidRPr="00CA0A60">
        <w:rPr>
          <w:rFonts w:ascii="Garamond" w:hAnsi="Garamond" w:cs="Times New Roman"/>
          <w:sz w:val="20"/>
          <w:szCs w:val="20"/>
          <w:lang w:val="es-AR"/>
        </w:rPr>
        <w:t>”), salvo que:</w:t>
      </w:r>
    </w:p>
    <w:p w14:paraId="5E24FCED" w14:textId="77777777" w:rsidR="00F574E6" w:rsidRPr="00CA0A60" w:rsidRDefault="00F574E6" w:rsidP="00F574E6">
      <w:pPr>
        <w:widowControl w:val="0"/>
        <w:numPr>
          <w:ilvl w:val="0"/>
          <w:numId w:val="8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términos de dicha Transacción con Afiliadas no sean en todo aspecto sustancial menos favorables para el Garante, la Co-Emisora correspondiente y la Subsidiaria Restringida correspondiente, que los que podrían en forma razonablemente previsible obtenerse en una transacción similar en el mismo momento y entre partes independientes, con una Persona que no sea una Afiliada del Garante, la Co-Emisora correspondiente o la Subsidiaria Restringida correspondiente;</w:t>
      </w:r>
    </w:p>
    <w:p w14:paraId="4C07FE04" w14:textId="19E53A6A" w:rsidR="00F574E6" w:rsidRPr="00CA0A60" w:rsidRDefault="00F574E6" w:rsidP="00F574E6">
      <w:pPr>
        <w:widowControl w:val="0"/>
        <w:numPr>
          <w:ilvl w:val="0"/>
          <w:numId w:val="8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el caso de que dicha Transacción con Afiliadas involucre pagos totales, o transferencias de bienes o servicios a Valor Justo de Mercado igual o superior a U$S10 millones (o su equivalente en otras monedas), los términos de dicha Transacción con Afiliadas deberán ser aprobados por la mayoría del Directorio del Garante (incluida la mayoría de los miembros desinteresados de aquél, pero solo en la medida en que existan miembros desinteresados respecto de la Transacción con Afiliadas), tal como se establece en el Certificado de Directivos del Garante o la Co-Emisora correspondiente, que se debe presentar ante el Fiduciario, donde consta que la Transacción con Afiliados cumple con </w:t>
      </w:r>
      <w:r w:rsidR="0059465E">
        <w:rPr>
          <w:rFonts w:ascii="Garamond" w:hAnsi="Garamond" w:cs="Times New Roman"/>
          <w:sz w:val="20"/>
          <w:szCs w:val="20"/>
          <w:lang w:val="es-AR"/>
        </w:rPr>
        <w:t xml:space="preserve">el compromiso del Contrato de Fideicomiso descripto en esta sección </w:t>
      </w:r>
      <w:r w:rsidR="0059465E">
        <w:rPr>
          <w:rFonts w:ascii="Garamond" w:hAnsi="Garamond" w:cs="Times New Roman"/>
          <w:i/>
          <w:sz w:val="20"/>
          <w:szCs w:val="20"/>
          <w:lang w:val="es-AR"/>
        </w:rPr>
        <w:t>“—Limitación a las Transacciones con Afiliadas”</w:t>
      </w:r>
      <w:r w:rsidRPr="00CA0A60">
        <w:rPr>
          <w:rFonts w:ascii="Garamond" w:hAnsi="Garamond" w:cs="Times New Roman"/>
          <w:sz w:val="20"/>
          <w:szCs w:val="20"/>
          <w:lang w:val="es-AR"/>
        </w:rPr>
        <w:t>; y</w:t>
      </w:r>
    </w:p>
    <w:p w14:paraId="69A8CB33" w14:textId="09FEBBC5" w:rsidR="00F574E6" w:rsidRPr="00CA0A60" w:rsidRDefault="00F574E6" w:rsidP="00F574E6">
      <w:pPr>
        <w:widowControl w:val="0"/>
        <w:numPr>
          <w:ilvl w:val="0"/>
          <w:numId w:val="8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el caso de que dicha Transacción con Afiliadas involucre pagos totales, o transferencias de bienes o servicios a Valor Justo de Mercado igual o superior a U$S20 millones (o su equivalente en otras monedas), (1) los términos de dicha Transacción con Afiliadas deberán ser aprobados por la mayoría del Directorio del Garante (incluida la mayoría de los miembros desinteresados de aquel, pero solo en la medida en que existan miembros desinteresados respecto de la Transacción con Afiliadas), tal como se establece en el Certificado de Directivos del Garante o la Co-Emisora correspondiente, que se debe presentar ante el Fiduciario, donde consta que la Transacción con Afiliados cumple con </w:t>
      </w:r>
      <w:r w:rsidR="007449CC">
        <w:rPr>
          <w:rFonts w:ascii="Garamond" w:hAnsi="Garamond" w:cs="Times New Roman"/>
          <w:sz w:val="20"/>
          <w:szCs w:val="20"/>
          <w:lang w:val="es-AR"/>
        </w:rPr>
        <w:t xml:space="preserve">el compromiso del Contrato de Fideicomiso descripto en esta sección </w:t>
      </w:r>
      <w:r w:rsidR="007449CC">
        <w:rPr>
          <w:rFonts w:ascii="Garamond" w:hAnsi="Garamond" w:cs="Times New Roman"/>
          <w:i/>
          <w:sz w:val="20"/>
          <w:szCs w:val="20"/>
          <w:lang w:val="es-AR"/>
        </w:rPr>
        <w:t xml:space="preserve">“—Limitación a las Transacciones con Afiliadas” </w:t>
      </w:r>
      <w:r w:rsidRPr="00CA0A60">
        <w:rPr>
          <w:rFonts w:ascii="Garamond" w:hAnsi="Garamond" w:cs="Times New Roman"/>
          <w:sz w:val="20"/>
          <w:szCs w:val="20"/>
          <w:lang w:val="es-AR"/>
        </w:rPr>
        <w:t>y (2) el Garante o la Co-Emisora correspondiente obtendrá, previamente a la consumación de la transacción, un dictamen favorable por parte de una Consultora Financiera Independiente que dé cuenta de la razonabilidad de la Transacción con Afiliadas respecto del Garante, la Co-Emisora que corresponda o la Subsidiaria Restringida correspondiente (si la hubiera) desde un punto de vista financiero, para luego presentarlo ante el Fiduciario.</w:t>
      </w:r>
    </w:p>
    <w:p w14:paraId="0B884503" w14:textId="77777777" w:rsidR="00F574E6" w:rsidRPr="00CA0A60" w:rsidRDefault="00F574E6" w:rsidP="00F574E6">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apartado precedente no se aplicará a:</w:t>
      </w:r>
    </w:p>
    <w:p w14:paraId="05CC43A2" w14:textId="77777777" w:rsidR="00F574E6" w:rsidRPr="00CA0A60" w:rsidRDefault="00F574E6" w:rsidP="00F574E6">
      <w:pPr>
        <w:widowControl w:val="0"/>
        <w:numPr>
          <w:ilvl w:val="0"/>
          <w:numId w:val="8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Transacciones con Afiliadas entre dos o más Garantes Controlantes, cualquier Co-Emisora y cualquier otra Subsidiaria Restringida;</w:t>
      </w:r>
    </w:p>
    <w:p w14:paraId="084B5288" w14:textId="77777777" w:rsidR="00F574E6" w:rsidRPr="00CA0A60" w:rsidRDefault="00F574E6" w:rsidP="00F574E6">
      <w:pPr>
        <w:widowControl w:val="0"/>
        <w:numPr>
          <w:ilvl w:val="0"/>
          <w:numId w:val="8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los honorarios o retribuciones razonables que se abonen, y las indemnidades y seguros que se </w:t>
      </w:r>
      <w:r w:rsidRPr="00CA0A60">
        <w:rPr>
          <w:rFonts w:ascii="Garamond" w:hAnsi="Garamond" w:cs="Times New Roman"/>
          <w:color w:val="000000"/>
          <w:sz w:val="20"/>
          <w:szCs w:val="20"/>
          <w:lang w:val="es-AR" w:eastAsia="es-ES" w:bidi="es-ES"/>
        </w:rPr>
        <w:t>otorguen</w:t>
      </w:r>
      <w:r w:rsidRPr="00CA0A60">
        <w:rPr>
          <w:rFonts w:ascii="Garamond" w:hAnsi="Garamond" w:cs="Times New Roman"/>
          <w:color w:val="000000"/>
          <w:sz w:val="20"/>
          <w:szCs w:val="20"/>
          <w:u w:val="single"/>
          <w:lang w:val="es-AR" w:eastAsia="es-ES" w:bidi="es-ES"/>
        </w:rPr>
        <w:t xml:space="preserve"> </w:t>
      </w:r>
      <w:r w:rsidRPr="00CA0A60">
        <w:rPr>
          <w:rFonts w:ascii="Garamond" w:hAnsi="Garamond" w:cs="Times New Roman"/>
          <w:sz w:val="20"/>
          <w:szCs w:val="20"/>
          <w:lang w:val="es-AR"/>
        </w:rPr>
        <w:t>en nombre de (y la celebración de contratos relacionados con) directivos, directores, empleados, consultores o agentes del Garante, cualquier Co-Emisora o cualquier otra Subsidiaria Restringida, conforme a prácticas habituales solo en la medida que el Directorio del Garante, la Co-Emisora correspondiente o la Subsidiaria Restringida correspondiente, según sea el caso, de buena fe hayan aprobado los términos de aquéllos;</w:t>
      </w:r>
    </w:p>
    <w:p w14:paraId="4CA9D31E" w14:textId="77777777" w:rsidR="00F574E6" w:rsidRPr="00CA0A60" w:rsidRDefault="00F574E6" w:rsidP="00F574E6">
      <w:pPr>
        <w:widowControl w:val="0"/>
        <w:numPr>
          <w:ilvl w:val="0"/>
          <w:numId w:val="8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toda emisión o venta de Acciones (que no sean Acciones Descalificadas) del Garante;</w:t>
      </w:r>
    </w:p>
    <w:p w14:paraId="2A150A14" w14:textId="77777777" w:rsidR="00F574E6" w:rsidRPr="00CA0A60" w:rsidRDefault="00F574E6" w:rsidP="00F574E6">
      <w:pPr>
        <w:widowControl w:val="0"/>
        <w:numPr>
          <w:ilvl w:val="0"/>
          <w:numId w:val="8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(i) los acuerdos vigentes a la Fecha de Emisión o cualesquiera pagos u otras acciones llevadas a cabo en virtud de un contrato que se encuentre en vigor a la Fecha de Emisión o (ii) cualquier modificación, suplemento, </w:t>
      </w:r>
      <w:r w:rsidRPr="00CA0A60">
        <w:rPr>
          <w:rFonts w:ascii="Garamond" w:hAnsi="Garamond" w:cs="Times New Roman"/>
          <w:sz w:val="20"/>
          <w:szCs w:val="20"/>
          <w:lang w:val="es-AR"/>
        </w:rPr>
        <w:lastRenderedPageBreak/>
        <w:t>actualización, reemplazo, renovación, prórroga, o refinanciamiento de dicho contrato (en tanto el contrato renovado o reemplazado, en su conjunto, no resulte sustancialmente más desfavorable para los Tenedores que el contrato original en vigor a la Fecha de Emisión) o cualquier operación allí prevista y solo en la medida en que dicha modificación, suplemento, actualización, reemplazo, renovación, prórroga, o refinanciamiento cumpla con la disposición del Contrato de Fideicomiso descripta en la cláusula (a) del primer apartado de esta sección “—</w:t>
      </w:r>
      <w:r w:rsidRPr="00CA0A60">
        <w:rPr>
          <w:rFonts w:ascii="Garamond" w:hAnsi="Garamond" w:cs="Times New Roman"/>
          <w:i/>
          <w:sz w:val="20"/>
          <w:szCs w:val="20"/>
          <w:lang w:val="es-AR"/>
        </w:rPr>
        <w:t>Limitación a las Transacciones con Afiliadas</w:t>
      </w:r>
      <w:r w:rsidRPr="00CA0A60">
        <w:rPr>
          <w:rFonts w:ascii="Garamond" w:hAnsi="Garamond" w:cs="Times New Roman"/>
          <w:sz w:val="20"/>
          <w:szCs w:val="20"/>
          <w:lang w:val="es-AR"/>
        </w:rPr>
        <w:t>”;</w:t>
      </w:r>
    </w:p>
    <w:p w14:paraId="0430757D" w14:textId="77777777" w:rsidR="00F574E6" w:rsidRPr="00CA0A60" w:rsidRDefault="00F574E6" w:rsidP="00F574E6">
      <w:pPr>
        <w:widowControl w:val="0"/>
        <w:numPr>
          <w:ilvl w:val="0"/>
          <w:numId w:val="8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Transacciones con Afiliadas del Garante, cualquier Co-Emisora o cualquier otra Subsidiaria Restringida con una Persona que no sea una Afiliada de alguna de las mismas y que se haya fusionado o que haya sido absorbida por el Garante, una Co-Emisora u otra Subsidiaria Restringida y, en tales casos, dicha transacción no se celebra como consecuencia de, en relación con o con vistas a dicha fusión o que dicha Persona se convierta en una Subsidiaria Restringida;</w:t>
      </w:r>
    </w:p>
    <w:p w14:paraId="5217F62E" w14:textId="77777777" w:rsidR="00F574E6" w:rsidRPr="00CA0A60" w:rsidRDefault="00F574E6" w:rsidP="00F574E6">
      <w:pPr>
        <w:widowControl w:val="0"/>
        <w:numPr>
          <w:ilvl w:val="0"/>
          <w:numId w:val="8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 transacciones con clientes, distribuidores, proveedores (incluidas, a título meramente enunciativo, las transacciones de compra de gas celebradas con Rafael G. Albanesi S.A., en el giro comercial habitual), o compradores o vendedores de bienes o servicios, siempre en el giro comercial habitual y conforme a prácticas habituales, o (ii) transacciones con sociedades de riesgo compartido o acuerdos similares celebrados en el giro comercial habitual y de conformidad con prácticas habituales y, en cada caso, solo en la medida en que la transacción cumpla con la disposición del Contrato de Fideicomiso descripta en la cláusula (a) del primer apartado de esta sección “—</w:t>
      </w:r>
      <w:r w:rsidRPr="00CA0A60">
        <w:rPr>
          <w:rFonts w:ascii="Garamond" w:hAnsi="Garamond" w:cs="Times New Roman"/>
          <w:i/>
          <w:sz w:val="20"/>
          <w:szCs w:val="20"/>
          <w:lang w:val="es-AR"/>
        </w:rPr>
        <w:t>Limitación a las Transacciones con Afiliadas</w:t>
      </w:r>
      <w:r w:rsidRPr="00CA0A60">
        <w:rPr>
          <w:rFonts w:ascii="Garamond" w:hAnsi="Garamond" w:cs="Times New Roman"/>
          <w:sz w:val="20"/>
          <w:szCs w:val="20"/>
          <w:lang w:val="es-AR"/>
        </w:rPr>
        <w:t>”;</w:t>
      </w:r>
    </w:p>
    <w:p w14:paraId="7C4C1E45" w14:textId="77777777" w:rsidR="00F574E6" w:rsidRPr="00CA0A60" w:rsidRDefault="00F574E6" w:rsidP="00F574E6">
      <w:pPr>
        <w:widowControl w:val="0"/>
        <w:numPr>
          <w:ilvl w:val="0"/>
          <w:numId w:val="8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 provisión de servicios administrativos a cualquier </w:t>
      </w:r>
      <w:r w:rsidRPr="00CA0A60">
        <w:rPr>
          <w:rFonts w:ascii="Garamond" w:hAnsi="Garamond" w:cs="Times New Roman"/>
          <w:i/>
          <w:sz w:val="20"/>
          <w:szCs w:val="20"/>
          <w:lang w:val="es-AR"/>
        </w:rPr>
        <w:t>joint venture</w:t>
      </w:r>
      <w:r w:rsidRPr="00CA0A60">
        <w:rPr>
          <w:rFonts w:ascii="Garamond" w:hAnsi="Garamond" w:cs="Times New Roman"/>
          <w:sz w:val="20"/>
          <w:szCs w:val="20"/>
          <w:lang w:val="es-AR"/>
        </w:rPr>
        <w:t xml:space="preserve"> o Subsidiaria No Restringida en sustancialmente los mismos términos que los servicios brindados a Subsidiarias Restringidas, o por estas últimas, u otras transacciones con esas entidades, en términos compatibles con las normas de precios de transferencia generalmente aceptadas y solo en la medida en que la transacción cumpla con la disposición del Contrato de Fideicomiso descripta en la cláusula (a) del primer apartado de esta sección “—</w:t>
      </w:r>
      <w:r w:rsidRPr="00CA0A60">
        <w:rPr>
          <w:rFonts w:ascii="Garamond" w:hAnsi="Garamond" w:cs="Times New Roman"/>
          <w:i/>
          <w:sz w:val="20"/>
          <w:szCs w:val="20"/>
          <w:lang w:val="es-AR"/>
        </w:rPr>
        <w:t>Limitación a las Transacciones con Afiliadas</w:t>
      </w:r>
      <w:r w:rsidRPr="00CA0A60">
        <w:rPr>
          <w:rFonts w:ascii="Garamond" w:hAnsi="Garamond" w:cs="Times New Roman"/>
          <w:sz w:val="20"/>
          <w:szCs w:val="20"/>
          <w:lang w:val="es-AR"/>
        </w:rPr>
        <w:t>”;</w:t>
      </w:r>
    </w:p>
    <w:p w14:paraId="0F323BEC" w14:textId="77777777" w:rsidR="00F574E6" w:rsidRPr="00CA0A60" w:rsidRDefault="00F574E6" w:rsidP="00F574E6">
      <w:pPr>
        <w:widowControl w:val="0"/>
        <w:numPr>
          <w:ilvl w:val="0"/>
          <w:numId w:val="8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Inversiones Permitidas en virtud del Contrato de Fideicomiso; y</w:t>
      </w:r>
    </w:p>
    <w:p w14:paraId="15319425" w14:textId="77777777" w:rsidR="00F574E6" w:rsidRPr="00CA0A60" w:rsidRDefault="00F574E6" w:rsidP="00F574E6">
      <w:pPr>
        <w:widowControl w:val="0"/>
        <w:numPr>
          <w:ilvl w:val="0"/>
          <w:numId w:val="81"/>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cualquier operación permitida bajo el compromiso del Contrato de Fideicomiso descripto bajo el título “—</w:t>
      </w:r>
      <w:r w:rsidRPr="00CA0A60">
        <w:rPr>
          <w:rFonts w:ascii="Garamond" w:hAnsi="Garamond" w:cs="Times New Roman"/>
          <w:i/>
          <w:sz w:val="20"/>
          <w:szCs w:val="20"/>
          <w:lang w:val="es-AR"/>
        </w:rPr>
        <w:t>Limitación a la Fusión, Consolidación y Venta de Activos”</w:t>
      </w:r>
      <w:r w:rsidRPr="00CA0A60">
        <w:rPr>
          <w:rFonts w:ascii="Garamond" w:hAnsi="Garamond" w:cs="Times New Roman"/>
          <w:sz w:val="20"/>
          <w:szCs w:val="20"/>
          <w:lang w:val="es-AR"/>
        </w:rPr>
        <w:t xml:space="preserve"> e </w:t>
      </w:r>
      <w:r w:rsidRPr="00CA0A60">
        <w:rPr>
          <w:rFonts w:ascii="Garamond" w:hAnsi="Garamond" w:cs="Times New Roman"/>
          <w:i/>
          <w:sz w:val="20"/>
          <w:szCs w:val="20"/>
          <w:lang w:val="es-AR"/>
        </w:rPr>
        <w:t>“Inversiones Permitidas”</w:t>
      </w:r>
      <w:r w:rsidRPr="00CA0A60">
        <w:rPr>
          <w:rFonts w:ascii="Garamond" w:hAnsi="Garamond" w:cs="Times New Roman"/>
          <w:sz w:val="20"/>
          <w:szCs w:val="20"/>
          <w:lang w:val="es-AR"/>
        </w:rPr>
        <w:t>.</w:t>
      </w:r>
    </w:p>
    <w:p w14:paraId="2A0D06E4"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b/>
          <w:sz w:val="20"/>
          <w:u w:val="single"/>
          <w:lang w:val="es-AR"/>
        </w:rPr>
      </w:pPr>
      <w:r w:rsidRPr="00CA0A60">
        <w:rPr>
          <w:rFonts w:ascii="Garamond" w:hAnsi="Garamond" w:cs="Times New Roman"/>
          <w:i/>
          <w:sz w:val="20"/>
          <w:u w:val="single"/>
          <w:lang w:val="es-AR"/>
        </w:rPr>
        <w:t>Mantenimiento de Personería Jurídica y Desarrollo de Actividades Comerciales</w:t>
      </w:r>
    </w:p>
    <w:p w14:paraId="50CE1C30"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Cada una de las Co-Emisoras y los Garantes deberán realizar o disponer que se realicen todos los actos necesarios para preservar, renovar y mantener en plena vigencia y efectos su personería jurídica, excepto como resultado de una transacción permitida bajo “—</w:t>
      </w:r>
      <w:r w:rsidRPr="00CA0A60">
        <w:rPr>
          <w:rFonts w:ascii="Garamond" w:hAnsi="Garamond" w:cs="Times New Roman"/>
          <w:i/>
          <w:sz w:val="20"/>
          <w:szCs w:val="20"/>
          <w:lang w:val="es-AR"/>
        </w:rPr>
        <w:t>Limitación a la Fusión, Consolidación y Venta de Activos</w:t>
      </w:r>
      <w:r w:rsidRPr="00CA0A60">
        <w:rPr>
          <w:rFonts w:ascii="Garamond" w:hAnsi="Garamond" w:cs="Times New Roman"/>
          <w:sz w:val="20"/>
          <w:szCs w:val="20"/>
          <w:lang w:val="es-AR"/>
        </w:rPr>
        <w:t>.”</w:t>
      </w:r>
    </w:p>
    <w:p w14:paraId="0E1C4298"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Ninguna de las Co-Emisoras ni el Garante podrán, éste último por sí o por intermedio de cualquiera de sus otras Subsidiarias Restringidas, dedicarse a ningún negocio distinto de un Negocio Permitido ni trasladar a su domicilio a otra jurisdicción.</w:t>
      </w:r>
    </w:p>
    <w:p w14:paraId="6D337CEF"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u w:val="single"/>
          <w:lang w:val="es-AR"/>
        </w:rPr>
      </w:pPr>
      <w:r w:rsidRPr="00CA0A60">
        <w:rPr>
          <w:rFonts w:ascii="Garamond" w:hAnsi="Garamond" w:cs="Times New Roman"/>
          <w:i/>
          <w:sz w:val="20"/>
          <w:szCs w:val="20"/>
          <w:u w:val="single"/>
          <w:lang w:val="es-AR"/>
        </w:rPr>
        <w:t>Cambios Contables; Limitación a Cambios en el Ejercicio Económico</w:t>
      </w:r>
    </w:p>
    <w:p w14:paraId="6B4CD41C" w14:textId="1E7F7769"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Ninguna de las Co-Emisoras ni el Garante podrán, éste último por sí o por intermedio de cualquiera de sus otras Subsidiarias Restringidas, realizar cambios en su tratamiento contable y prácticas de reporte o tratamiento de reporte impositivo, excepto por (i) los requeridos o permitidos por las NIIF o la Ley Aplicable y, en la medida que sean significativos, revelados </w:t>
      </w:r>
      <w:r w:rsidR="00C7745B">
        <w:rPr>
          <w:rFonts w:ascii="Garamond" w:hAnsi="Garamond" w:cs="Times New Roman"/>
          <w:sz w:val="20"/>
          <w:szCs w:val="20"/>
          <w:lang w:val="es-AR"/>
        </w:rPr>
        <w:t>a los Tenedores</w:t>
      </w:r>
      <w:r w:rsidRPr="00CA0A60">
        <w:rPr>
          <w:rFonts w:ascii="Garamond" w:hAnsi="Garamond" w:cs="Times New Roman"/>
          <w:sz w:val="20"/>
          <w:szCs w:val="20"/>
          <w:lang w:val="es-AR"/>
        </w:rPr>
        <w:t>; y (ii) los acordados por sus contadores públicos externos (que deberán ser reconocidos a nivel internacional). Asimismo, el Garante no podrá, por sí o por intermedio de cualquiera de sus Subsidiarias Restringidas, modificar su cierre de ejercicio actual.</w:t>
      </w:r>
    </w:p>
    <w:p w14:paraId="7D72169A"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b/>
          <w:sz w:val="20"/>
          <w:u w:val="single"/>
          <w:lang w:val="es-AR"/>
        </w:rPr>
      </w:pPr>
      <w:r w:rsidRPr="00CA0A60">
        <w:rPr>
          <w:rFonts w:ascii="Garamond" w:hAnsi="Garamond" w:cs="Times New Roman"/>
          <w:i/>
          <w:sz w:val="20"/>
          <w:u w:val="single"/>
          <w:lang w:val="es-AR"/>
        </w:rPr>
        <w:t>Destino de los Fondos</w:t>
      </w:r>
    </w:p>
    <w:p w14:paraId="73A99C8D" w14:textId="0723F5E3"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Co-Emisoras aplicarán los fondos netos procedentes de la oferta de Obligaciones Negociables </w:t>
      </w:r>
      <w:r w:rsidR="006D2B27">
        <w:rPr>
          <w:rFonts w:ascii="Garamond" w:hAnsi="Garamond" w:cs="Times New Roman"/>
          <w:sz w:val="20"/>
          <w:szCs w:val="20"/>
          <w:lang w:val="es-AR"/>
        </w:rPr>
        <w:t xml:space="preserve">de acuerdo a lo </w:t>
      </w:r>
      <w:r w:rsidRPr="00CA0A60">
        <w:rPr>
          <w:rFonts w:ascii="Garamond" w:hAnsi="Garamond" w:cs="Times New Roman"/>
          <w:sz w:val="20"/>
          <w:szCs w:val="20"/>
          <w:lang w:val="es-AR"/>
        </w:rPr>
        <w:t>descripto en la sección “Destino de los Fondos” del presente Suplemento.</w:t>
      </w:r>
    </w:p>
    <w:p w14:paraId="4CE7BF43"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i/>
          <w:sz w:val="20"/>
          <w:lang w:val="es-AR"/>
        </w:rPr>
      </w:pPr>
      <w:r w:rsidRPr="00CA0A60">
        <w:rPr>
          <w:rFonts w:ascii="Garamond" w:hAnsi="Garamond" w:cs="Times New Roman"/>
          <w:i/>
          <w:sz w:val="20"/>
          <w:u w:val="single"/>
          <w:lang w:val="es-AR"/>
        </w:rPr>
        <w:t>Presentación de informes a los Tenedores</w:t>
      </w:r>
    </w:p>
    <w:p w14:paraId="71A158DC"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 acuerdo con el Contrato de Fideicomiso, las Co-Emisoras entregarán o dispondrán que se entregue a los Tenedores y al Fiduciario (para distribuirlo entre los Tenedores únicamente, previa solicitud) los documentos que se enumeran a continuación:</w:t>
      </w:r>
    </w:p>
    <w:p w14:paraId="55DAE2DC" w14:textId="77777777" w:rsidR="00F574E6" w:rsidRPr="00CA0A60" w:rsidRDefault="00F574E6" w:rsidP="00F574E6">
      <w:pPr>
        <w:widowControl w:val="0"/>
        <w:numPr>
          <w:ilvl w:val="0"/>
          <w:numId w:val="82"/>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copias de los estados financieros anuales consolidados del Garante, auditados por una empresa de contadores públicos independientes de renombre internacional, dentro de los 120 días posteriores a la finalización del ejercicio económico del Garante, y, a partir del primer trimestre completo luego de la Fecha de Emisión, los estados financieros trimestrales consolidados, sin auditar, del Garante (incluido un balance, estado de resultados y estado de flujos de efectivo para el trimestre económico y el período anual que finaliza en esa fecha, y el correspondiente trimestre económico y período anual hasta la fecha del año anterior, salvo que la </w:t>
      </w:r>
      <w:r w:rsidRPr="00CA0A60">
        <w:rPr>
          <w:rFonts w:ascii="Garamond" w:hAnsi="Garamond" w:cs="Times New Roman"/>
          <w:sz w:val="20"/>
          <w:szCs w:val="20"/>
          <w:lang w:val="es-AR"/>
        </w:rPr>
        <w:lastRenderedPageBreak/>
        <w:t>comparación del balance sea al final del ejercicio económico anterior) dentro de los 60 días del fin de cada uno de los primeros tres trimestres económicos de cada ejercicio económico. Dichos estados financieros anuales y trimestrales se confeccionarán de acuerdo con las NIIF y se los acompañará de un “análisis y discusión gerencial” de los resultados de las operaciones y liquidez y recursos de capital del Garante y sus respectivas Subsidiarias, confeccionados de manera consolidada y con un nivel de detalle comparable al del análisis y discusión gerencial de los resultados de las operaciones y liquidez y recursos de capital incluido en el prospecto. Todos los documentos mencionados se elaborarán en inglés;</w:t>
      </w:r>
    </w:p>
    <w:p w14:paraId="493E0456" w14:textId="59A76A98" w:rsidR="00F574E6" w:rsidRPr="00CA0A60" w:rsidRDefault="00F574E6" w:rsidP="00F574E6">
      <w:pPr>
        <w:widowControl w:val="0"/>
        <w:numPr>
          <w:ilvl w:val="0"/>
          <w:numId w:val="82"/>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forma simultánea a la entrega de los estados financieros de la cláusula (a) anterior, un Certificado de Directivos </w:t>
      </w:r>
      <w:r w:rsidR="00C7745B">
        <w:rPr>
          <w:rFonts w:ascii="Garamond" w:hAnsi="Garamond" w:cs="Times New Roman"/>
          <w:sz w:val="20"/>
          <w:szCs w:val="20"/>
          <w:lang w:val="es-AR"/>
        </w:rPr>
        <w:t xml:space="preserve">de las Co-Emisoras </w:t>
      </w:r>
      <w:r w:rsidRPr="00CA0A60">
        <w:rPr>
          <w:rFonts w:ascii="Garamond" w:hAnsi="Garamond" w:cs="Times New Roman"/>
          <w:sz w:val="20"/>
          <w:szCs w:val="20"/>
          <w:lang w:val="es-AR"/>
        </w:rPr>
        <w:t>(i) que certifique si ha ocurrido un Incumplimiento, y en tal caso, que informe los detalles del mismo y las medidas adoptadas por el Garante, las Co-Emisoras y sus Subsidiarias o que prevén adoptar al respecto, y (ii) que indique si ha ocurrido algún cambio en las NIIF o en su aplicación desde la fecha de los estados financieros auditados referidos en la cláusula (a) y, en tal caso, que especifique el efecto de dicho cambio en los estados financieros que acompañan a dicho certificado;</w:t>
      </w:r>
    </w:p>
    <w:p w14:paraId="6B393F17" w14:textId="39D09E76" w:rsidR="00F574E6" w:rsidRPr="00CA0A60" w:rsidRDefault="00F574E6" w:rsidP="00F574E6">
      <w:pPr>
        <w:widowControl w:val="0"/>
        <w:numPr>
          <w:ilvl w:val="0"/>
          <w:numId w:val="82"/>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dentro de los cinco Días Hábiles siguientes a que un Funcionario de cualquier Co-Emisora o el Garante </w:t>
      </w:r>
      <w:r w:rsidR="00C7745B">
        <w:rPr>
          <w:rFonts w:ascii="Garamond" w:hAnsi="Garamond" w:cs="Times New Roman"/>
          <w:sz w:val="20"/>
          <w:szCs w:val="20"/>
          <w:lang w:val="es-AR"/>
        </w:rPr>
        <w:t xml:space="preserve">o Subsidiaria </w:t>
      </w:r>
      <w:r w:rsidRPr="00CA0A60">
        <w:rPr>
          <w:rFonts w:ascii="Garamond" w:hAnsi="Garamond" w:cs="Times New Roman"/>
          <w:sz w:val="20"/>
          <w:szCs w:val="20"/>
          <w:lang w:val="es-AR"/>
        </w:rPr>
        <w:t xml:space="preserve">tomase conocimiento </w:t>
      </w:r>
      <w:r w:rsidR="00EF7649" w:rsidRPr="00CA0A60">
        <w:rPr>
          <w:rFonts w:ascii="Garamond" w:hAnsi="Garamond" w:cs="Times New Roman"/>
          <w:sz w:val="20"/>
          <w:szCs w:val="20"/>
          <w:lang w:val="es-AR"/>
        </w:rPr>
        <w:t xml:space="preserve">de que cualquiera de los CCEE, por cualquier motivo, ha dejado de estar plenamente vigente, o que se ha incumplido o violado cualquier disposición sustancial </w:t>
      </w:r>
      <w:r w:rsidRPr="00CA0A60">
        <w:rPr>
          <w:rFonts w:ascii="Garamond" w:hAnsi="Garamond" w:cs="Times New Roman"/>
          <w:sz w:val="20"/>
          <w:szCs w:val="20"/>
          <w:lang w:val="es-AR"/>
        </w:rPr>
        <w:t>del mismo, un certificado de un Funcionario Responsable del Garante, de dicha Co-Emisora o Subsidiaria, según corresponda, que describa los detalles de ese hecho y las medidas adoptadas o que se propone adoptar con respecto al mismo; y</w:t>
      </w:r>
    </w:p>
    <w:p w14:paraId="0E364C1F" w14:textId="77777777" w:rsidR="00F574E6" w:rsidRPr="00CA0A60" w:rsidRDefault="00F574E6" w:rsidP="00F574E6">
      <w:pPr>
        <w:widowControl w:val="0"/>
        <w:numPr>
          <w:ilvl w:val="0"/>
          <w:numId w:val="82"/>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aviso inmediato de cualquier acción, demanda o procedimiento significativo iniciado o entablado por o ante cualquier árbitro o Autoridad Gubernamental en contra de, o que involucre a, cualquier Co-Emisora, el Garante o cualquiera de sus Subsidiarias Restringidas;</w:t>
      </w:r>
    </w:p>
    <w:p w14:paraId="5412F0FD" w14:textId="135BECC3" w:rsidR="00F574E6"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entendiéndose que la información, los informes y las notificaciones mencionadas anteriormente se considerarán entregadas al Fiduciario en la fecha en que el Garante o la CNV, el BYMA o el MAE las publiquen en sus respectivos sitios web, en cuyo caso el Fiduciario deberá ser notificado por escrito de la publicación de la documentación en el sitio que corresponda.</w:t>
      </w:r>
    </w:p>
    <w:p w14:paraId="4896AACA" w14:textId="5AD06782" w:rsidR="00C7745B" w:rsidRPr="00CA0A60" w:rsidRDefault="00C7745B"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Pr>
          <w:rFonts w:ascii="Garamond" w:hAnsi="Garamond" w:cs="Times New Roman"/>
          <w:sz w:val="20"/>
          <w:szCs w:val="20"/>
          <w:lang w:val="es-AR"/>
        </w:rPr>
        <w:t>El Fiduciario no deberá ser responsable u obligado a determinar o monitorear si el Garante entregó cualquier reporte u otra información necesaria de acuerdo a los requerimientos establecidos en los párrafos anteriores.</w:t>
      </w:r>
    </w:p>
    <w:p w14:paraId="75B40ECC"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entrega de informes, datos y documentos al Fiduciario es únicamente a fines informativos y su respectiva recepción no constituirá una notificación implícita de la información allí incluida ni determinable a partir de la información allí consignada, incluido el cumplimiento por parte del Garante o cualquier otra Persona de sus obligaciones en virtud del Contrato de Fideicomiso o las Obligaciones Negociables (respecto de las cuales el Fiduciario puede basarse concluyentemente en lo informado en los Certificados de Directivos).</w:t>
      </w:r>
    </w:p>
    <w:p w14:paraId="17A88FBD" w14:textId="77777777" w:rsidR="00F574E6" w:rsidRPr="00CA0A60" w:rsidRDefault="00F574E6" w:rsidP="00F574E6">
      <w:pPr>
        <w:widowControl w:val="0"/>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t>Limitación a las Modificaciones de Documentos</w:t>
      </w:r>
    </w:p>
    <w:p w14:paraId="389F013B" w14:textId="77777777" w:rsidR="00F574E6" w:rsidRPr="00CA0A60" w:rsidRDefault="00F574E6" w:rsidP="00F574E6">
      <w:pPr>
        <w:keepLines/>
        <w:widowControl w:val="0"/>
        <w:tabs>
          <w:tab w:val="left" w:pos="284"/>
          <w:tab w:val="left" w:pos="709"/>
        </w:tabs>
        <w:spacing w:before="120" w:after="120"/>
        <w:jc w:val="both"/>
        <w:rPr>
          <w:rFonts w:ascii="Garamond" w:eastAsia="Times New Roman" w:hAnsi="Garamond" w:cs="Times New Roman"/>
          <w:sz w:val="20"/>
          <w:szCs w:val="20"/>
          <w:lang w:val="es-AR" w:eastAsia="zh-CN"/>
        </w:rPr>
      </w:pPr>
      <w:r w:rsidRPr="00CA0A60">
        <w:rPr>
          <w:rFonts w:ascii="Garamond" w:eastAsia="Times New Roman" w:hAnsi="Garamond" w:cs="Times New Roman"/>
          <w:sz w:val="20"/>
          <w:szCs w:val="20"/>
          <w:lang w:val="es-AR"/>
        </w:rPr>
        <w:t>Las Co-Emisoras y el Garante no dejarán sin efecto, suscribirán o brindarán su consentimiento, y no dispondrán ni permitirán que ninguna de sus demás Subsidiarias Restringidas,</w:t>
      </w:r>
      <w:r w:rsidRPr="00CA0A60">
        <w:rPr>
          <w:rFonts w:ascii="Garamond" w:eastAsia="Times New Roman" w:hAnsi="Garamond" w:cs="Times New Roman"/>
          <w:sz w:val="20"/>
          <w:szCs w:val="20"/>
          <w:lang w:val="es-AR" w:eastAsia="zh-CN" w:bidi="he-IL"/>
        </w:rPr>
        <w:t xml:space="preserve"> dejen sin efecto, suscriban o brinden su consentimiento, respecto de cualquier modificación o enmienda, suplemento o renuncia (en cada caso, </w:t>
      </w:r>
      <w:r w:rsidRPr="00CA0A60">
        <w:rPr>
          <w:rFonts w:ascii="Garamond" w:eastAsia="Times New Roman" w:hAnsi="Garamond" w:cs="Times New Roman"/>
          <w:sz w:val="20"/>
          <w:szCs w:val="20"/>
          <w:lang w:val="es-AR" w:eastAsia="zh-CN"/>
        </w:rPr>
        <w:t xml:space="preserve">salvo por las modificaciones, enmiendas, suplementos o dispensas respecto de los que no pudiera preverse razonablemente que perjudiquen los intereses de los tenedores en cualquier aspecto significativo, según sea determinado de buena fe por el Directorio del Garante) de; </w:t>
      </w:r>
      <w:r w:rsidRPr="00CA0A60" w:rsidDel="00897610">
        <w:rPr>
          <w:rFonts w:ascii="Garamond" w:eastAsia="Times New Roman" w:hAnsi="Garamond" w:cs="Times New Roman"/>
          <w:sz w:val="20"/>
          <w:szCs w:val="20"/>
          <w:lang w:val="es-AR" w:eastAsia="zh-CN"/>
        </w:rPr>
        <w:t xml:space="preserve"> </w:t>
      </w:r>
    </w:p>
    <w:p w14:paraId="46FEF76B" w14:textId="77777777" w:rsidR="00F574E6" w:rsidRPr="00CA0A60" w:rsidRDefault="00F574E6" w:rsidP="00F574E6">
      <w:pPr>
        <w:keepLines/>
        <w:widowControl w:val="0"/>
        <w:tabs>
          <w:tab w:val="left" w:pos="284"/>
          <w:tab w:val="left" w:pos="709"/>
        </w:tabs>
        <w:spacing w:before="120" w:after="120"/>
        <w:ind w:left="567"/>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rPr>
        <w:t>(a)</w:t>
      </w:r>
      <w:r w:rsidRPr="00CA0A60">
        <w:rPr>
          <w:rFonts w:ascii="Garamond" w:eastAsia="Times New Roman" w:hAnsi="Garamond" w:cs="Times New Roman"/>
          <w:sz w:val="20"/>
          <w:szCs w:val="20"/>
          <w:lang w:val="es-AR" w:eastAsia="zh-CN"/>
        </w:rPr>
        <w:tab/>
        <w:t>sus respectivos estatutos sociales, convenios de accionistas o instrumentos constitutivos de similar tenor</w:t>
      </w:r>
      <w:r w:rsidRPr="00CA0A60">
        <w:rPr>
          <w:rFonts w:ascii="Garamond" w:eastAsia="Times New Roman" w:hAnsi="Garamond" w:cs="Times New Roman"/>
          <w:sz w:val="20"/>
          <w:szCs w:val="20"/>
          <w:lang w:val="es-AR" w:eastAsia="zh-CN" w:bidi="he-IL"/>
        </w:rPr>
        <w:t>;</w:t>
      </w:r>
    </w:p>
    <w:p w14:paraId="3E66AC8C" w14:textId="77777777" w:rsidR="00F574E6" w:rsidRPr="00CA0A60" w:rsidRDefault="00F574E6" w:rsidP="00F574E6">
      <w:pPr>
        <w:keepLines/>
        <w:widowControl w:val="0"/>
        <w:tabs>
          <w:tab w:val="left" w:pos="284"/>
          <w:tab w:val="left" w:pos="709"/>
        </w:tabs>
        <w:spacing w:before="120" w:after="120"/>
        <w:ind w:left="567"/>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(b)</w:t>
      </w:r>
      <w:r w:rsidRPr="00CA0A60">
        <w:rPr>
          <w:rFonts w:ascii="Garamond" w:eastAsia="Times New Roman" w:hAnsi="Garamond" w:cs="Times New Roman"/>
          <w:sz w:val="20"/>
          <w:szCs w:val="20"/>
          <w:lang w:val="es-AR" w:eastAsia="zh-CN" w:bidi="he-IL"/>
        </w:rPr>
        <w:tab/>
        <w:t>cualquier contrato, instrumento u otro documento que evidencie las Garantías de GECE; o</w:t>
      </w:r>
      <w:r w:rsidRPr="00CA0A60" w:rsidDel="00897610">
        <w:rPr>
          <w:rFonts w:ascii="Garamond" w:eastAsia="Times New Roman" w:hAnsi="Garamond" w:cs="Times New Roman"/>
          <w:sz w:val="20"/>
          <w:szCs w:val="20"/>
          <w:lang w:val="es-AR" w:eastAsia="zh-CN" w:bidi="he-IL"/>
        </w:rPr>
        <w:t xml:space="preserve"> </w:t>
      </w:r>
    </w:p>
    <w:p w14:paraId="03F64730" w14:textId="77777777" w:rsidR="00F574E6" w:rsidRPr="00CA0A60" w:rsidRDefault="00F574E6" w:rsidP="00F574E6">
      <w:pPr>
        <w:keepLines/>
        <w:widowControl w:val="0"/>
        <w:tabs>
          <w:tab w:val="left" w:pos="284"/>
          <w:tab w:val="left" w:pos="709"/>
        </w:tabs>
        <w:spacing w:before="120" w:after="120"/>
        <w:ind w:left="567"/>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(c)</w:t>
      </w:r>
      <w:r w:rsidRPr="00CA0A60">
        <w:rPr>
          <w:rFonts w:ascii="Garamond" w:eastAsia="Times New Roman" w:hAnsi="Garamond" w:cs="Times New Roman"/>
          <w:sz w:val="20"/>
          <w:szCs w:val="20"/>
          <w:lang w:val="es-AR" w:eastAsia="zh-CN" w:bidi="he-IL"/>
        </w:rPr>
        <w:tab/>
        <w:t>cualquier contrato, instrumento u otro documento que evidencie la Deuda de AESA, únicamente en la medida que dicha Deuda de AESA se torne en Deuda del Garante, cualquiera de las Co-Emisoras o cualquier Subsidiaria Restringida, después de la Fecha de Emisión.</w:t>
      </w:r>
    </w:p>
    <w:p w14:paraId="1A15A520" w14:textId="77777777" w:rsidR="00F574E6" w:rsidRPr="00CA0A60" w:rsidRDefault="00F574E6" w:rsidP="00F574E6">
      <w:pPr>
        <w:widowControl w:val="0"/>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t xml:space="preserve">Precancelaciones, etc. de Deuda </w:t>
      </w:r>
    </w:p>
    <w:p w14:paraId="4B6C884D" w14:textId="77777777"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rPr>
        <w:t xml:space="preserve">Las Co-Emisoras y el Garante se abstendrán, directa o indirectamente, de precancelar, rescatar, comprar, cancelar o de otro modo pagar, y no dispondrán ni permitirán que ninguna de sus demás Subsidiarias Restringidas, directa o indirectamente, precancelen, rescaten, compren, cancelen o de otro modo paguen, con anterioridad a la fecha de vencimiento programada en cualquier forma, los montos correspondientes a las Obligaciones Negociables al </w:t>
      </w:r>
      <w:r w:rsidRPr="00CA0A60">
        <w:rPr>
          <w:rFonts w:ascii="Garamond" w:eastAsia="Times New Roman" w:hAnsi="Garamond" w:cs="Times New Roman"/>
          <w:sz w:val="20"/>
          <w:szCs w:val="20"/>
          <w:lang w:val="es-AR" w:eastAsia="zh-CN" w:bidi="he-IL"/>
        </w:rPr>
        <w:t>9,625%, salvo en el marco de un Refinanciamiento de las Obligaciones Negociables al 9,625% permitido en “—</w:t>
      </w:r>
      <w:r w:rsidRPr="00CA0A60">
        <w:rPr>
          <w:rFonts w:ascii="Garamond" w:eastAsia="Times New Roman" w:hAnsi="Garamond" w:cs="Times New Roman"/>
          <w:i/>
          <w:sz w:val="20"/>
          <w:szCs w:val="20"/>
          <w:lang w:val="es-AR" w:eastAsia="zh-CN" w:bidi="he-IL"/>
        </w:rPr>
        <w:t>Limitación de Deuda Adicional</w:t>
      </w:r>
      <w:r w:rsidRPr="00CA0A60">
        <w:rPr>
          <w:rFonts w:ascii="Garamond" w:eastAsia="Times New Roman" w:hAnsi="Garamond" w:cs="Times New Roman"/>
          <w:sz w:val="20"/>
          <w:szCs w:val="20"/>
          <w:lang w:val="es-AR" w:eastAsia="zh-CN" w:bidi="he-IL"/>
        </w:rPr>
        <w:t>” o en la medida que se requiera de otra forma bajo el Contrato de Fideicomiso de las Obligaciones Negociables al 9,625%.</w:t>
      </w:r>
    </w:p>
    <w:p w14:paraId="1DB5DD59" w14:textId="77777777" w:rsidR="00F574E6" w:rsidRPr="00CA0A60" w:rsidRDefault="00F574E6" w:rsidP="00F574E6">
      <w:pPr>
        <w:widowControl w:val="0"/>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lastRenderedPageBreak/>
        <w:t>Monto de Garantía Máximo</w:t>
      </w:r>
    </w:p>
    <w:p w14:paraId="64F95DF8" w14:textId="068B963B"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rPr>
      </w:pPr>
      <w:r w:rsidRPr="00CA0A60">
        <w:rPr>
          <w:rFonts w:ascii="Garamond" w:eastAsia="Times New Roman" w:hAnsi="Garamond" w:cs="Times New Roman"/>
          <w:sz w:val="20"/>
          <w:szCs w:val="20"/>
          <w:lang w:val="es-AR" w:eastAsia="zh-CN"/>
        </w:rPr>
        <w:t>Si en cualquier aniversario de la Fecha de Emisión, la totalidad o cualquier parte de los Derechos de Garantía satisface los criterios de más de una de las categorías de “Gravámenes Permitidos” conforme dicho término se define en, y según lo previsto en el Contrato de Fideicomiso de Obligaciones Negociables al 9,625%</w:t>
      </w:r>
      <w:r w:rsidR="00EF7649" w:rsidRPr="00CA0A60">
        <w:rPr>
          <w:rFonts w:ascii="Garamond" w:eastAsia="Times New Roman" w:hAnsi="Garamond" w:cs="Times New Roman"/>
          <w:sz w:val="20"/>
          <w:szCs w:val="20"/>
          <w:lang w:val="es-AR" w:eastAsia="zh-CN"/>
        </w:rPr>
        <w:t xml:space="preserve"> y el valor contable de los Derechos de Garantía a dicha fecha de determinación fuera inferior al monto de las Obligaciones pendientes de pago en ese momento</w:t>
      </w:r>
      <w:r w:rsidRPr="00CA0A60">
        <w:rPr>
          <w:rFonts w:ascii="Garamond" w:eastAsia="Times New Roman" w:hAnsi="Garamond" w:cs="Times New Roman"/>
          <w:sz w:val="20"/>
          <w:szCs w:val="20"/>
          <w:lang w:val="es-AR" w:eastAsia="zh-CN"/>
        </w:rPr>
        <w:t>, las Co-Emisoras, el Garante y sus demás Subsidiarias Restringidas realizarán todos los actos comercialmente razonables (incluyendo la división y clasificación o reclasificación de cualquier Deuda o componente de los Derechos de Garantía) de forma tal que el monto</w:t>
      </w:r>
      <w:r w:rsidR="007E5326" w:rsidRPr="00CA0A60">
        <w:rPr>
          <w:rFonts w:ascii="Garamond" w:eastAsia="Times New Roman" w:hAnsi="Garamond" w:cs="Times New Roman"/>
          <w:sz w:val="20"/>
          <w:szCs w:val="20"/>
          <w:lang w:val="es-AR" w:eastAsia="zh-CN"/>
        </w:rPr>
        <w:t xml:space="preserve"> total</w:t>
      </w:r>
      <w:r w:rsidRPr="00CA0A60">
        <w:rPr>
          <w:rFonts w:ascii="Garamond" w:eastAsia="Times New Roman" w:hAnsi="Garamond" w:cs="Times New Roman"/>
          <w:sz w:val="20"/>
          <w:szCs w:val="20"/>
          <w:lang w:val="es-AR" w:eastAsia="zh-CN"/>
        </w:rPr>
        <w:t xml:space="preserve"> de </w:t>
      </w:r>
      <w:r w:rsidR="007E5326" w:rsidRPr="00CA0A60">
        <w:rPr>
          <w:rFonts w:ascii="Garamond" w:eastAsia="Times New Roman" w:hAnsi="Garamond" w:cs="Times New Roman"/>
          <w:sz w:val="20"/>
          <w:szCs w:val="20"/>
          <w:lang w:val="es-AR" w:eastAsia="zh-CN"/>
        </w:rPr>
        <w:t xml:space="preserve">Obligaciones </w:t>
      </w:r>
      <w:r w:rsidRPr="00CA0A60">
        <w:rPr>
          <w:rFonts w:ascii="Garamond" w:eastAsia="Times New Roman" w:hAnsi="Garamond" w:cs="Times New Roman"/>
          <w:sz w:val="20"/>
          <w:szCs w:val="20"/>
          <w:lang w:val="es-AR" w:eastAsia="zh-CN"/>
        </w:rPr>
        <w:t>bajo los Documentos de Financiación garantizad</w:t>
      </w:r>
      <w:r w:rsidR="00064661" w:rsidRPr="00CA0A60">
        <w:rPr>
          <w:rFonts w:ascii="Garamond" w:eastAsia="Times New Roman" w:hAnsi="Garamond" w:cs="Times New Roman"/>
          <w:sz w:val="20"/>
          <w:szCs w:val="20"/>
          <w:lang w:val="es-AR" w:eastAsia="zh-CN"/>
        </w:rPr>
        <w:t>o</w:t>
      </w:r>
      <w:r w:rsidRPr="00CA0A60">
        <w:rPr>
          <w:rFonts w:ascii="Garamond" w:eastAsia="Times New Roman" w:hAnsi="Garamond" w:cs="Times New Roman"/>
          <w:sz w:val="20"/>
          <w:szCs w:val="20"/>
          <w:lang w:val="es-AR" w:eastAsia="zh-CN"/>
        </w:rPr>
        <w:t xml:space="preserve"> por los Derechos de Garantía a dicha fecha se incremente hasta el Monto de Garantía Máximo a dicha fecha</w:t>
      </w:r>
      <w:r w:rsidR="00064661" w:rsidRPr="00CA0A60">
        <w:rPr>
          <w:rFonts w:ascii="Garamond" w:eastAsia="Times New Roman" w:hAnsi="Garamond" w:cs="Times New Roman"/>
          <w:sz w:val="20"/>
          <w:szCs w:val="20"/>
          <w:lang w:val="es-AR" w:eastAsia="zh-CN"/>
        </w:rPr>
        <w:t>; quedando establecido que el monto total de las Obligaciones garantizadas por los Derechos de Garantía no podrá superar en ningún momento el monto total de las Obligaciones bajo los Documentos de Financiación pendientes de pago en ese momento</w:t>
      </w:r>
      <w:r w:rsidRPr="00CA0A60">
        <w:rPr>
          <w:rFonts w:ascii="Garamond" w:eastAsia="Times New Roman" w:hAnsi="Garamond" w:cs="Times New Roman"/>
          <w:sz w:val="20"/>
          <w:szCs w:val="20"/>
          <w:lang w:val="es-AR" w:eastAsia="zh-CN"/>
        </w:rPr>
        <w:t>.</w:t>
      </w:r>
    </w:p>
    <w:p w14:paraId="4D96ED9A" w14:textId="4139598D" w:rsidR="00F574E6" w:rsidRPr="00CA0A60" w:rsidRDefault="00F574E6" w:rsidP="00F574E6">
      <w:pPr>
        <w:widowControl w:val="0"/>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t xml:space="preserve">Mantenimiento del </w:t>
      </w:r>
      <w:r w:rsidR="003C32D9">
        <w:rPr>
          <w:rFonts w:ascii="Garamond" w:hAnsi="Garamond" w:cs="Times New Roman"/>
          <w:i/>
          <w:sz w:val="20"/>
          <w:u w:val="single"/>
          <w:lang w:val="es-AR"/>
        </w:rPr>
        <w:t>Grado</w:t>
      </w:r>
      <w:r w:rsidR="003C32D9" w:rsidRPr="00CA0A60">
        <w:rPr>
          <w:rFonts w:ascii="Garamond" w:hAnsi="Garamond" w:cs="Times New Roman"/>
          <w:i/>
          <w:sz w:val="20"/>
          <w:u w:val="single"/>
          <w:lang w:val="es-AR"/>
        </w:rPr>
        <w:t xml:space="preserve"> </w:t>
      </w:r>
      <w:r w:rsidRPr="00CA0A60">
        <w:rPr>
          <w:rFonts w:ascii="Garamond" w:hAnsi="Garamond" w:cs="Times New Roman"/>
          <w:i/>
          <w:sz w:val="20"/>
          <w:u w:val="single"/>
          <w:lang w:val="es-AR"/>
        </w:rPr>
        <w:t>de Privilegio de las Obligaciones Negociables</w:t>
      </w:r>
    </w:p>
    <w:p w14:paraId="3226061C" w14:textId="77BE0C74"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Cada Co-Emisora y el Garante garantizarán que las obligaciones de pago de dicha Co-Emisora y dicho Garante con respecto a las Obligaciones Negociables</w:t>
      </w:r>
      <w:r w:rsidR="007449CC">
        <w:rPr>
          <w:rFonts w:ascii="Garamond" w:eastAsia="Times New Roman" w:hAnsi="Garamond" w:cs="Times New Roman"/>
          <w:sz w:val="20"/>
          <w:szCs w:val="20"/>
          <w:lang w:val="es-AR" w:eastAsia="zh-CN" w:bidi="he-IL"/>
        </w:rPr>
        <w:t xml:space="preserve"> (i)</w:t>
      </w:r>
      <w:r w:rsidRPr="00CA0A60">
        <w:rPr>
          <w:rFonts w:ascii="Garamond" w:eastAsia="Times New Roman" w:hAnsi="Garamond" w:cs="Times New Roman"/>
          <w:sz w:val="20"/>
          <w:szCs w:val="20"/>
          <w:lang w:val="es-AR" w:eastAsia="zh-CN" w:bidi="he-IL"/>
        </w:rPr>
        <w:t xml:space="preserve"> constituirán obligaciones directas, incondicionales y no subordinadas generales de las Co-Emisoras y el Garante, garantizadas por los Derechos de Garantía, </w:t>
      </w:r>
      <w:r w:rsidR="007449CC">
        <w:rPr>
          <w:rFonts w:ascii="Garamond" w:eastAsia="Times New Roman" w:hAnsi="Garamond" w:cs="Times New Roman"/>
          <w:sz w:val="20"/>
          <w:szCs w:val="20"/>
          <w:lang w:val="es-AR" w:eastAsia="zh-CN" w:bidi="he-IL"/>
        </w:rPr>
        <w:t xml:space="preserve">(ii) </w:t>
      </w:r>
      <w:r w:rsidRPr="00CA0A60">
        <w:rPr>
          <w:rFonts w:ascii="Garamond" w:eastAsia="Times New Roman" w:hAnsi="Garamond" w:cs="Times New Roman"/>
          <w:sz w:val="20"/>
          <w:szCs w:val="20"/>
          <w:lang w:val="es-AR" w:eastAsia="zh-CN" w:bidi="he-IL"/>
        </w:rPr>
        <w:t xml:space="preserve">tendrán un </w:t>
      </w:r>
      <w:r w:rsidR="003C32D9">
        <w:rPr>
          <w:rFonts w:ascii="Garamond" w:eastAsia="Times New Roman" w:hAnsi="Garamond" w:cs="Times New Roman"/>
          <w:sz w:val="20"/>
          <w:szCs w:val="20"/>
          <w:lang w:val="es-AR" w:eastAsia="zh-CN" w:bidi="he-IL"/>
        </w:rPr>
        <w:t>grado</w:t>
      </w:r>
      <w:r w:rsidR="003C32D9" w:rsidRPr="00CA0A60">
        <w:rPr>
          <w:rFonts w:ascii="Garamond" w:eastAsia="Times New Roman" w:hAnsi="Garamond" w:cs="Times New Roman"/>
          <w:sz w:val="20"/>
          <w:szCs w:val="20"/>
          <w:lang w:val="es-AR" w:eastAsia="zh-CN" w:bidi="he-IL"/>
        </w:rPr>
        <w:t xml:space="preserve"> </w:t>
      </w:r>
      <w:r w:rsidRPr="00CA0A60">
        <w:rPr>
          <w:rFonts w:ascii="Garamond" w:eastAsia="Times New Roman" w:hAnsi="Garamond" w:cs="Times New Roman"/>
          <w:sz w:val="20"/>
          <w:szCs w:val="20"/>
          <w:lang w:val="es-AR" w:eastAsia="zh-CN" w:bidi="he-IL"/>
        </w:rPr>
        <w:t xml:space="preserve">de privilegio de pago mayor que toda otra Deuda no garantizada, hasta el Monto de Garantía Máximo, y </w:t>
      </w:r>
      <w:r w:rsidR="007449CC">
        <w:rPr>
          <w:rFonts w:ascii="Garamond" w:eastAsia="Times New Roman" w:hAnsi="Garamond" w:cs="Times New Roman"/>
          <w:sz w:val="20"/>
          <w:szCs w:val="20"/>
          <w:lang w:val="es-AR" w:eastAsia="zh-CN" w:bidi="he-IL"/>
        </w:rPr>
        <w:t xml:space="preserve">(iii) </w:t>
      </w:r>
      <w:r w:rsidRPr="00CA0A60">
        <w:rPr>
          <w:rFonts w:ascii="Garamond" w:eastAsia="Times New Roman" w:hAnsi="Garamond" w:cs="Times New Roman"/>
          <w:sz w:val="20"/>
          <w:szCs w:val="20"/>
          <w:lang w:val="es-AR" w:eastAsia="zh-CN" w:bidi="he-IL"/>
        </w:rPr>
        <w:t xml:space="preserve">tendrán un </w:t>
      </w:r>
      <w:r w:rsidR="003C32D9">
        <w:rPr>
          <w:rFonts w:ascii="Garamond" w:eastAsia="Times New Roman" w:hAnsi="Garamond" w:cs="Times New Roman"/>
          <w:sz w:val="20"/>
          <w:szCs w:val="20"/>
          <w:lang w:val="es-AR" w:eastAsia="zh-CN" w:bidi="he-IL"/>
        </w:rPr>
        <w:t>grado</w:t>
      </w:r>
      <w:r w:rsidR="003C32D9" w:rsidRPr="00CA0A60">
        <w:rPr>
          <w:rFonts w:ascii="Garamond" w:eastAsia="Times New Roman" w:hAnsi="Garamond" w:cs="Times New Roman"/>
          <w:sz w:val="20"/>
          <w:szCs w:val="20"/>
          <w:lang w:val="es-AR" w:eastAsia="zh-CN" w:bidi="he-IL"/>
        </w:rPr>
        <w:t xml:space="preserve"> </w:t>
      </w:r>
      <w:r w:rsidRPr="00CA0A60">
        <w:rPr>
          <w:rFonts w:ascii="Garamond" w:eastAsia="Times New Roman" w:hAnsi="Garamond" w:cs="Times New Roman"/>
          <w:sz w:val="20"/>
          <w:szCs w:val="20"/>
          <w:lang w:val="es-AR" w:eastAsia="zh-CN" w:bidi="he-IL"/>
        </w:rPr>
        <w:t>de privilegio mayor, en cuanto a derecho de pago, que cualquier Deuda Subordinada, existente y futura, de las Co-Emisoras y el Garante.</w:t>
      </w:r>
    </w:p>
    <w:p w14:paraId="77C53FDA" w14:textId="77777777" w:rsidR="00F574E6" w:rsidRPr="00CA0A60" w:rsidRDefault="00F574E6" w:rsidP="00F574E6">
      <w:pPr>
        <w:widowControl w:val="0"/>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t>Preservación de Bienes</w:t>
      </w:r>
    </w:p>
    <w:p w14:paraId="652F8CAC" w14:textId="77777777"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Las Co-Emisoras y el Garante obtendrán, conservarán y mantendrán en plena vigencia, y dispondrán que sus demás Subsidiarias Restringidas obtengan, conserven y mantengan en plena vigencia, derechos válidos y perfectos sobre toda propiedad, incluyendo, sin limitación, todos los bienes inmuebles, bienes muebles y materiales de propiedad intelectual para la conducción de los negocios del Garante y sus Subsidiarias Restringidas y preservarán, protegerán, mantendrán y harán valer y ejercerán todos los derechos y recursos significativos de las Co-Emisoras y del Garante en virtud de los CCEE, salvo por lo previsto en el Contrato de Fideicomiso.</w:t>
      </w:r>
    </w:p>
    <w:p w14:paraId="6C3493B3" w14:textId="77777777" w:rsidR="00F574E6" w:rsidRPr="00CA0A60" w:rsidRDefault="00F574E6" w:rsidP="00F574E6">
      <w:pPr>
        <w:widowControl w:val="0"/>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t>Impuestos</w:t>
      </w:r>
    </w:p>
    <w:p w14:paraId="3813257A" w14:textId="77777777"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Las Co-Emisoras y el Garante abonarán y cancelarán puntalmente, y dispondrán que sus demás Subsidiarias Restringidas abonen y cancelen puntualmente, todos los Impuestos significativos a su cargo y efectuarán oportunamente presentaciones respecto de Impuestos con anterioridad a la fecha en que se establezcan penalidades, multas o sanciones con respecto a ello; quedando establecido que las Co-Emisoras, el Garante o la Subsidiaria Restringida pertinente podrá permitir que cualquier Impuesto permanezca impago en caso de haberse efectuado impugnaciones de buena fe y haberse constituido una reserva o provisión adecuada con respecto a ello, según lo previsto en las NIIF.</w:t>
      </w:r>
    </w:p>
    <w:p w14:paraId="51917F14" w14:textId="77777777" w:rsidR="00F574E6" w:rsidRPr="00CA0A60" w:rsidRDefault="00F574E6" w:rsidP="00F574E6">
      <w:pPr>
        <w:widowControl w:val="0"/>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t>Seguros</w:t>
      </w:r>
    </w:p>
    <w:p w14:paraId="55C5003A" w14:textId="77777777"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Las Co-Emisoras y el Garante mantendrán, y dispondrán que sus demás Subsidiarias Restringidas mantengan, con compañías aseguradoras financieramente solventes y acreditadas, coberturas de seguros por los montos y contra riesgos que son habitualmente asegurados por compañías que se dedican a actividades comerciales idénticas o similares, que operan en lugares idénticos o similares.</w:t>
      </w:r>
    </w:p>
    <w:p w14:paraId="01A6825F" w14:textId="3C09E3F7"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En forma simultánea con la emisión de cada póliza de seguro que forme parte de los Derechos de Garantía, el Garante, la Co-Emisora pertinente u otra Subsidiaria Restringida llevará a cabo las acciones que sean necesarias para que el Agente de Garantía Local o el Fiduciario Argentino, según corresponda, sea nombrado como asegurado adicional o beneficiario en virtud de dichas pólizas; </w:t>
      </w:r>
      <w:r w:rsidRPr="00CA0A60">
        <w:rPr>
          <w:rFonts w:ascii="Garamond" w:eastAsia="Times New Roman" w:hAnsi="Garamond" w:cs="Times New Roman"/>
          <w:sz w:val="20"/>
          <w:szCs w:val="20"/>
          <w:u w:val="single"/>
          <w:lang w:val="es-AR" w:eastAsia="zh-CN" w:bidi="he-IL"/>
        </w:rPr>
        <w:t>quedando establecido, sin embargo</w:t>
      </w:r>
      <w:r w:rsidRPr="00CA0A60">
        <w:rPr>
          <w:rFonts w:ascii="Garamond" w:eastAsia="Times New Roman" w:hAnsi="Garamond" w:cs="Times New Roman"/>
          <w:sz w:val="20"/>
          <w:szCs w:val="20"/>
          <w:lang w:val="es-AR" w:eastAsia="zh-CN" w:bidi="he-IL"/>
        </w:rPr>
        <w:t>, que si el Garante, la Co-Emisora pertinente u otra Subsidiaria Restringida determina de buena fe que no resulta factible nombrar al Agente de Garantía Local o el Fiduciario Argentino, según corresponda, como asegurado adicional o beneficiario, en tal caso, en lugar de ello, el Garante, la Co-Emisora pertinente u otra Subsidiaria Restringida transferirán y cederán al Agente de Garantía Local o el Fiduciario Argentino, de corresponder, todos los derechos del Garante, la Co-Emisora pertinente u otra Subsidiaria Restringida en y en virtud de dicha póliza de seguro y pondrán a la emisora de dicha póliza de seguro en conocimiento de dicha circunstancia a través de notificación con intervención notarial.</w:t>
      </w:r>
    </w:p>
    <w:p w14:paraId="6BE42D0F" w14:textId="77777777"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i/>
          <w:sz w:val="20"/>
          <w:szCs w:val="20"/>
          <w:lang w:val="es-AR" w:eastAsia="zh-CN" w:bidi="he-IL"/>
        </w:rPr>
      </w:pPr>
      <w:r w:rsidRPr="00CA0A60">
        <w:rPr>
          <w:rFonts w:ascii="Garamond" w:eastAsia="Times New Roman" w:hAnsi="Garamond" w:cs="Times New Roman"/>
          <w:sz w:val="20"/>
          <w:szCs w:val="20"/>
          <w:lang w:val="es-AR" w:eastAsia="zh-CN" w:bidi="he-IL"/>
        </w:rPr>
        <w:t xml:space="preserve">Si en cualquier momento el Agente de Garantía Local recibiera la totalidad o parte de los Fondos Netos en </w:t>
      </w:r>
      <w:r w:rsidRPr="00CA0A60">
        <w:rPr>
          <w:rFonts w:ascii="Garamond" w:eastAsia="Times New Roman" w:hAnsi="Garamond" w:cs="Times New Roman"/>
          <w:sz w:val="20"/>
          <w:szCs w:val="20"/>
          <w:lang w:val="es-AR" w:eastAsia="zh-CN" w:bidi="he-IL"/>
        </w:rPr>
        <w:lastRenderedPageBreak/>
        <w:t>Efectivo relativos a cualquier póliza de seguro que forme parte de los Derechos de Garantía debido al cumplimiento de las obligaciones de las Co-Emisoras, el Garante o cualquier Subsidiaria Restringida establecidas en el párrafo anterior, el Agente de Garantía Local adoptará todas medidas razonables solicitadas por escrito por las Co-Emisoras de forma tal que las Co-Emisoras puedan cumplir con el compromiso del Contrato de Fideicomiso descripto en “</w:t>
      </w:r>
      <w:r w:rsidRPr="00CA0A60">
        <w:rPr>
          <w:rFonts w:ascii="Garamond" w:eastAsia="Times New Roman" w:hAnsi="Garamond" w:cs="Times New Roman"/>
          <w:i/>
          <w:sz w:val="20"/>
          <w:szCs w:val="20"/>
          <w:lang w:val="es-AR" w:eastAsia="zh-CN" w:bidi="he-IL"/>
        </w:rPr>
        <w:t>Ofertas de Compras de Obligaciones Negociables Obligatorias – Supuesto de Pérdida, Expropiación y Venta de Activos”.</w:t>
      </w:r>
    </w:p>
    <w:p w14:paraId="2BA17B48" w14:textId="627B58CD"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El Garante, la Co-Emisora pertinente u otra Subsidiaria Restringida, según el caso, harán entrega de inmediato  el Agente de Garantía Local o el Fiduciario Argentino, según corresponda, del certificado original u otros instrumentos adecuados que acrediten el cumplimiento de lo previsto en los dos párrafos precedentes.</w:t>
      </w:r>
    </w:p>
    <w:p w14:paraId="6D034EA6" w14:textId="77777777"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Sin perjuicio de cualquier disposición al contrario incluida en el presente, los derechos de las Partes Garantizadas con respecto a dichos componentes de Derechos de Garantía estarán sujetos a las limitaciones descriptas bajo el título “―</w:t>
      </w:r>
      <w:r w:rsidRPr="00CA0A60">
        <w:rPr>
          <w:rFonts w:ascii="Garamond" w:eastAsia="Times New Roman" w:hAnsi="Garamond" w:cs="Times New Roman"/>
          <w:i/>
          <w:sz w:val="20"/>
          <w:szCs w:val="20"/>
          <w:lang w:val="es-AR" w:eastAsia="zh-CN" w:bidi="he-IL"/>
        </w:rPr>
        <w:t>Derechos de Garantía― Limitaciones a los Derechos de Garantía</w:t>
      </w:r>
      <w:r w:rsidRPr="00CA0A60">
        <w:rPr>
          <w:rFonts w:ascii="Garamond" w:eastAsia="Times New Roman" w:hAnsi="Garamond" w:cs="Times New Roman"/>
          <w:sz w:val="20"/>
          <w:szCs w:val="20"/>
          <w:lang w:val="es-AR" w:eastAsia="zh-CN" w:bidi="he-IL"/>
        </w:rPr>
        <w:t>”.</w:t>
      </w:r>
    </w:p>
    <w:p w14:paraId="32ED19D0" w14:textId="77777777" w:rsidR="00F574E6" w:rsidRPr="00CA0A60" w:rsidRDefault="00F574E6" w:rsidP="00F574E6">
      <w:pPr>
        <w:widowControl w:val="0"/>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t>Libros y Registros; Derechos de Inspección</w:t>
      </w:r>
    </w:p>
    <w:p w14:paraId="4D03FC6E" w14:textId="47974063"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Las Co-Emisoras y el Garante mantendrán, y dispondrán que sus demás Subsidiarias Restringidas mantengan, libros de registro y libros contables adecuados en los que se efectúen asientos completos, verdaderos y correctos, en todo aspecto significativo, de todos los acuerdos comerciales y operaciones que se vinculen con sus negocios y actividades. Las Co-Emisoras y el Garante autorizarán, y dispondrán que sus demás Subsidiarias Restringidas autoricen al Fiduciario y cualquier representante designado por los Tenedores de las Obligaciones Negociables, mediando notificación previa de cinco Días Hábiles, y durante el horario de trabajo habitual, de forma tal de no interrumpir las operaciones de las Co-Emisoras, el Garante o dicha Subsidiaria Restringida, a visitar e inspeccionar sus propiedades, examinar y obtener copias de sus libros y registros y analizar sus asuntos, finanzas y situación con sus funcionarios y contadores independientes. Dichas visitas, inspecciones y copias se limitarán a una por año calendario y serán a cargo razonable de los Tenedores de las Obligaciones Negociables que llevan a cabo la visita, inspección o examen pertinente o que obtienen dicha copia, en tanto no se haya producido y subsista un Incumplimiento o Supuesto de Incumplimiento.</w:t>
      </w:r>
    </w:p>
    <w:p w14:paraId="2CF7E6D2" w14:textId="77777777" w:rsidR="00F574E6" w:rsidRPr="00CA0A60" w:rsidRDefault="00F574E6" w:rsidP="00F574E6">
      <w:pPr>
        <w:widowControl w:val="0"/>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t>Cumplimiento de Leyes y Contratos</w:t>
      </w:r>
    </w:p>
    <w:p w14:paraId="3D5EDE7B" w14:textId="7F90AC64"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Las Co-Emisoras y el Garante cumplirán, y dispondrán que sus demás Subsidiarias Restringidas cumplan, en todos sus aspectos significativos, con toda Ley Aplicable a la Co-Emisora pertinente, el Garante y toda otra Subsidiaria Restringida, sus respectivos activos o propiedades o la conducción de sus respectivos negocios, incluyendo, sin limitación, el cumplimiento, en todos sus aspectos significativos, por cada Co-Emisora, el Garante o dicha otra Subsidiaria Restringida, de todas las reglamentaciones del Banco Central y las Reglamentaciones Cambiarias de Argentina que sean aplicable</w:t>
      </w:r>
      <w:r w:rsidR="00020F0B">
        <w:rPr>
          <w:rFonts w:ascii="Garamond" w:eastAsia="Times New Roman" w:hAnsi="Garamond" w:cs="Times New Roman"/>
          <w:sz w:val="20"/>
          <w:szCs w:val="20"/>
          <w:lang w:val="es-AR" w:eastAsia="zh-CN" w:bidi="he-IL"/>
        </w:rPr>
        <w:t>s.</w:t>
      </w:r>
    </w:p>
    <w:p w14:paraId="7B89E681" w14:textId="77777777" w:rsidR="00F574E6" w:rsidRPr="00CA0A60" w:rsidRDefault="00F574E6" w:rsidP="00F574E6">
      <w:pPr>
        <w:keepNext/>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t>Mantenimiento de Permisos</w:t>
      </w:r>
    </w:p>
    <w:p w14:paraId="745CCA30" w14:textId="3D7A40FD" w:rsidR="00F574E6" w:rsidRPr="00CA0A60" w:rsidRDefault="00F574E6" w:rsidP="00F574E6">
      <w:pPr>
        <w:keepNext/>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Las Co-Emisoras y el Garante obtendrán y mantendrán, y dispondrán que sus demás Subsidiarias Restringidas obtengan y mantengan, o dispondrán que se obtengan y mantengan en plena vigencia (o cuando corresponda, renovarán o dispondrán que se renueven de inmediato) todos los Permisos significativos que debieran ser obtenidos y mantenidos por la Co-Emisora pertinente, el Garante o dicha otra Subsidiaria Restringida en relación con la conducción de sus respectivos negocios y a dar cumplimiento y observar, y disponer que se cumplan y observen, todas las obligaciones y condiciones contenidas en, o impuestas a la Co-Emisora pertinente</w:t>
      </w:r>
      <w:r w:rsidR="00F42AAC">
        <w:rPr>
          <w:rFonts w:ascii="Garamond" w:eastAsia="Times New Roman" w:hAnsi="Garamond" w:cs="Times New Roman"/>
          <w:sz w:val="20"/>
          <w:szCs w:val="20"/>
          <w:lang w:val="es-AR" w:eastAsia="zh-CN" w:bidi="he-IL"/>
        </w:rPr>
        <w:t>,</w:t>
      </w:r>
      <w:r w:rsidR="007449CC">
        <w:rPr>
          <w:rFonts w:ascii="Garamond" w:eastAsia="Times New Roman" w:hAnsi="Garamond" w:cs="Times New Roman"/>
          <w:sz w:val="20"/>
          <w:szCs w:val="20"/>
          <w:lang w:val="es-AR" w:eastAsia="zh-CN" w:bidi="he-IL"/>
        </w:rPr>
        <w:t xml:space="preserve"> a</w:t>
      </w:r>
      <w:r w:rsidRPr="00CA0A60">
        <w:rPr>
          <w:rFonts w:ascii="Garamond" w:eastAsia="Times New Roman" w:hAnsi="Garamond" w:cs="Times New Roman"/>
          <w:sz w:val="20"/>
          <w:szCs w:val="20"/>
          <w:lang w:val="es-AR" w:eastAsia="zh-CN" w:bidi="he-IL"/>
        </w:rPr>
        <w:t>l Garante</w:t>
      </w:r>
      <w:r w:rsidR="00F42AAC">
        <w:rPr>
          <w:rFonts w:ascii="Garamond" w:eastAsia="Times New Roman" w:hAnsi="Garamond" w:cs="Times New Roman"/>
          <w:sz w:val="20"/>
          <w:szCs w:val="20"/>
          <w:lang w:val="es-AR" w:eastAsia="zh-CN" w:bidi="he-IL"/>
        </w:rPr>
        <w:t xml:space="preserve"> o</w:t>
      </w:r>
      <w:r w:rsidRPr="00CA0A60">
        <w:rPr>
          <w:rFonts w:ascii="Garamond" w:eastAsia="Times New Roman" w:hAnsi="Garamond" w:cs="Times New Roman"/>
          <w:sz w:val="20"/>
          <w:szCs w:val="20"/>
          <w:lang w:val="es-AR" w:eastAsia="zh-CN" w:bidi="he-IL"/>
        </w:rPr>
        <w:t xml:space="preserve"> </w:t>
      </w:r>
      <w:r w:rsidR="002E5D0E">
        <w:rPr>
          <w:rFonts w:ascii="Garamond" w:eastAsia="Times New Roman" w:hAnsi="Garamond" w:cs="Times New Roman"/>
          <w:sz w:val="20"/>
          <w:szCs w:val="20"/>
          <w:lang w:val="es-AR" w:eastAsia="zh-CN" w:bidi="he-IL"/>
        </w:rPr>
        <w:t xml:space="preserve">a </w:t>
      </w:r>
      <w:r w:rsidRPr="00CA0A60">
        <w:rPr>
          <w:rFonts w:ascii="Garamond" w:eastAsia="Times New Roman" w:hAnsi="Garamond" w:cs="Times New Roman"/>
          <w:sz w:val="20"/>
          <w:szCs w:val="20"/>
          <w:lang w:val="es-AR" w:eastAsia="zh-CN" w:bidi="he-IL"/>
        </w:rPr>
        <w:t>dicha Subsidiaria Restringida por todos dichos Permisos.</w:t>
      </w:r>
    </w:p>
    <w:p w14:paraId="26C57FDC" w14:textId="77777777" w:rsidR="00F574E6" w:rsidRPr="00CA0A60" w:rsidRDefault="00F574E6" w:rsidP="00F574E6">
      <w:pPr>
        <w:widowControl w:val="0"/>
        <w:spacing w:before="120" w:after="120" w:line="240" w:lineRule="auto"/>
        <w:rPr>
          <w:rFonts w:ascii="Garamond" w:hAnsi="Garamond" w:cs="Times New Roman"/>
          <w:i/>
          <w:u w:val="single"/>
          <w:lang w:val="es-AR"/>
        </w:rPr>
      </w:pPr>
      <w:r w:rsidRPr="00CA0A60">
        <w:rPr>
          <w:rFonts w:ascii="Garamond" w:hAnsi="Garamond" w:cs="Times New Roman"/>
          <w:i/>
          <w:sz w:val="20"/>
          <w:u w:val="single"/>
          <w:lang w:val="es-AR"/>
        </w:rPr>
        <w:t>Preservación de Derechos bajo los Documentos de Garantía</w:t>
      </w:r>
    </w:p>
    <w:p w14:paraId="01C6EE79" w14:textId="77777777" w:rsidR="00F574E6" w:rsidRPr="00CA0A60" w:rsidRDefault="00F574E6" w:rsidP="00F574E6">
      <w:pPr>
        <w:widowControl w:val="0"/>
        <w:tabs>
          <w:tab w:val="left" w:pos="284"/>
          <w:tab w:val="left" w:pos="709"/>
        </w:tabs>
        <w:spacing w:before="120" w:after="120"/>
        <w:jc w:val="both"/>
        <w:rPr>
          <w:rFonts w:ascii="Garamond" w:hAnsi="Garamond" w:cs="Times New Roman"/>
          <w:sz w:val="20"/>
          <w:szCs w:val="20"/>
          <w:lang w:val="es-AR"/>
        </w:rPr>
      </w:pPr>
      <w:r w:rsidRPr="00CA0A60">
        <w:rPr>
          <w:rFonts w:ascii="Garamond" w:eastAsia="Times New Roman" w:hAnsi="Garamond" w:cs="Times New Roman"/>
          <w:sz w:val="20"/>
          <w:szCs w:val="20"/>
          <w:lang w:val="es-AR" w:eastAsia="zh-CN" w:bidi="he-IL"/>
        </w:rPr>
        <w:t>Las Co-Emisoras y</w:t>
      </w:r>
      <w:r w:rsidRPr="00CA0A60">
        <w:rPr>
          <w:rFonts w:ascii="Garamond" w:hAnsi="Garamond" w:cs="Times New Roman"/>
          <w:sz w:val="20"/>
          <w:szCs w:val="20"/>
          <w:lang w:val="es-AR"/>
        </w:rPr>
        <w:t xml:space="preserve"> el Garante deberán, éste último por sí o por intermedio de cualquiera de sus otras Subsidiarias Restringidas,</w:t>
      </w:r>
    </w:p>
    <w:p w14:paraId="47B73960" w14:textId="023FDFE1"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(a) (i) presentar para su registro los Contratos de Prenda Argentinos (o cualquier enmienda, suplemento o modificación a ellos) ante los registros de créditos prendarios pertinentes de las jurisdicciones relevantes en Argentina a más tardar el quinto Día Hábil inmediatamente siguiente a la fecha de celebración de dichos Contratos de Prenda Argentinos (o la fecha de celebración de dicha enmienda, suplemento o modificación), y (ii) a más tardar cinco Días Hábiles después de la presentación referida en el apartado (i) anterior, entregar, o disponer la entrega, al Agente de Garantía Local (x) pruebas de que esa enmienda a dicho</w:t>
      </w:r>
      <w:r w:rsidR="00CC334C" w:rsidRPr="00CA0A60">
        <w:rPr>
          <w:rFonts w:ascii="Garamond" w:eastAsia="Times New Roman" w:hAnsi="Garamond" w:cs="Times New Roman"/>
          <w:sz w:val="20"/>
          <w:szCs w:val="20"/>
          <w:lang w:val="es-AR" w:eastAsia="zh-CN" w:bidi="he-IL"/>
        </w:rPr>
        <w:t>s</w:t>
      </w:r>
      <w:r w:rsidRPr="00CA0A60">
        <w:rPr>
          <w:rFonts w:ascii="Garamond" w:eastAsia="Times New Roman" w:hAnsi="Garamond" w:cs="Times New Roman"/>
          <w:sz w:val="20"/>
          <w:szCs w:val="20"/>
          <w:lang w:val="es-AR" w:eastAsia="zh-CN" w:bidi="he-IL"/>
        </w:rPr>
        <w:t xml:space="preserve"> Contrato</w:t>
      </w:r>
      <w:r w:rsidR="00CC334C" w:rsidRPr="00CA0A60">
        <w:rPr>
          <w:rFonts w:ascii="Garamond" w:eastAsia="Times New Roman" w:hAnsi="Garamond" w:cs="Times New Roman"/>
          <w:sz w:val="20"/>
          <w:szCs w:val="20"/>
          <w:lang w:val="es-AR" w:eastAsia="zh-CN" w:bidi="he-IL"/>
        </w:rPr>
        <w:t>s</w:t>
      </w:r>
      <w:r w:rsidRPr="00CA0A60">
        <w:rPr>
          <w:rFonts w:ascii="Garamond" w:eastAsia="Times New Roman" w:hAnsi="Garamond" w:cs="Times New Roman"/>
          <w:sz w:val="20"/>
          <w:szCs w:val="20"/>
          <w:lang w:val="es-AR" w:eastAsia="zh-CN" w:bidi="he-IL"/>
        </w:rPr>
        <w:t xml:space="preserve"> de Prenda Argentino</w:t>
      </w:r>
      <w:r w:rsidR="00CC334C" w:rsidRPr="00CA0A60">
        <w:rPr>
          <w:rFonts w:ascii="Garamond" w:eastAsia="Times New Roman" w:hAnsi="Garamond" w:cs="Times New Roman"/>
          <w:sz w:val="20"/>
          <w:szCs w:val="20"/>
          <w:lang w:val="es-AR" w:eastAsia="zh-CN" w:bidi="he-IL"/>
        </w:rPr>
        <w:t>s</w:t>
      </w:r>
      <w:r w:rsidRPr="00CA0A60">
        <w:rPr>
          <w:rFonts w:ascii="Garamond" w:eastAsia="Times New Roman" w:hAnsi="Garamond" w:cs="Times New Roman"/>
          <w:sz w:val="20"/>
          <w:szCs w:val="20"/>
          <w:lang w:val="es-AR" w:eastAsia="zh-CN" w:bidi="he-IL"/>
        </w:rPr>
        <w:t xml:space="preserve"> ha sido debidamente registrada ante los registros de créditos prendarios pertinentes de las jurisdicciones relevantes en Argentina, e (y) un dictamen legal de los asesores legales argentinos de las Co-Emisoras, dirigido al Fiduciario y al Agente de Garantía Local, donde establezca que dicha enmienda ha sido </w:t>
      </w:r>
      <w:r w:rsidRPr="00CA0A60">
        <w:rPr>
          <w:rFonts w:ascii="Garamond" w:eastAsia="Times New Roman" w:hAnsi="Garamond" w:cs="Times New Roman"/>
          <w:sz w:val="20"/>
          <w:szCs w:val="20"/>
          <w:lang w:val="es-AR" w:eastAsia="zh-CN" w:bidi="he-IL"/>
        </w:rPr>
        <w:lastRenderedPageBreak/>
        <w:t>debidamente registrada ante los registros públicos de las jurisdicciones relevantes en Argentina y que aborden todas las demás cuestiones que el Fiduciario o el Agente de Garantía Local soliciten razonablemente;</w:t>
      </w:r>
    </w:p>
    <w:p w14:paraId="5B20F22A" w14:textId="77777777" w:rsidR="00F574E6" w:rsidRPr="00CA0A60"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(b) presentar para su registro la Escritura Hipotecaria Argentina (o cualquier enmienda, suplemento o modificación a ella) ante los registros públicos pertinentes de las jurisdicciones relevantes en Argentina a más tardar el quinto Día Hábil inmediatamente siguiente a la fecha de celebración de dicha Escritura Hipotecaria Argentina (o la fecha de celebración de dicha enmienda, suplemento o modificación); y</w:t>
      </w:r>
    </w:p>
    <w:p w14:paraId="19F72162" w14:textId="2C265A7F" w:rsidR="00F574E6"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(c) tan pronto como sea razonablemente posible y, a todo evento, a más tardar tres Días Hábiles después de la Fecha de Emisión, luego de la cancelación y liberación de toda la Deuda pendiente de pago bajo la </w:t>
      </w:r>
      <w:r w:rsidR="00B816E3" w:rsidRPr="00CA0A60">
        <w:rPr>
          <w:rFonts w:ascii="Garamond" w:eastAsia="Times New Roman" w:hAnsi="Garamond" w:cs="Times New Roman"/>
          <w:sz w:val="20"/>
          <w:szCs w:val="20"/>
          <w:lang w:val="es-AR" w:eastAsia="zh-CN" w:bidi="he-IL"/>
        </w:rPr>
        <w:t>Deuda de Siemens</w:t>
      </w:r>
      <w:r w:rsidRPr="00CA0A60">
        <w:rPr>
          <w:rFonts w:ascii="Garamond" w:eastAsia="Times New Roman" w:hAnsi="Garamond" w:cs="Times New Roman"/>
          <w:sz w:val="20"/>
          <w:szCs w:val="20"/>
          <w:lang w:val="es-AR" w:eastAsia="zh-CN" w:bidi="he-IL"/>
        </w:rPr>
        <w:t xml:space="preserve">, montos adicionales, intereses devengados e impagos y todas las demás sumas a pagar por GEMSA en virtud de la misma, (i) presentar ante los registros de créditos prendarios pertinentes de las jurisdicciones relevantes en Argentina los documentos requeridos para la cancelación del Gravamen en primer grado de privilegio constituido sobre los Derechos de Garantía detentado por </w:t>
      </w:r>
      <w:r w:rsidR="00064661" w:rsidRPr="00CA0A60">
        <w:rPr>
          <w:rFonts w:ascii="Garamond" w:eastAsia="Times New Roman" w:hAnsi="Garamond" w:cs="Times New Roman"/>
          <w:sz w:val="20"/>
          <w:szCs w:val="20"/>
          <w:lang w:val="es-AR" w:eastAsia="zh-CN" w:bidi="he-IL"/>
        </w:rPr>
        <w:t xml:space="preserve">Siemens y TMF Trust Company (Argentina) S.A., </w:t>
      </w:r>
      <w:r w:rsidRPr="00CA0A60">
        <w:rPr>
          <w:rFonts w:ascii="Garamond" w:eastAsia="Times New Roman" w:hAnsi="Garamond" w:cs="Times New Roman"/>
          <w:sz w:val="20"/>
          <w:szCs w:val="20"/>
          <w:lang w:val="es-AR" w:eastAsia="zh-CN" w:bidi="he-IL"/>
        </w:rPr>
        <w:t xml:space="preserve">en carácter de agente de garantía </w:t>
      </w:r>
      <w:r w:rsidR="00064661" w:rsidRPr="00CA0A60">
        <w:rPr>
          <w:rFonts w:ascii="Garamond" w:eastAsia="Times New Roman" w:hAnsi="Garamond" w:cs="Times New Roman"/>
          <w:sz w:val="20"/>
          <w:szCs w:val="20"/>
          <w:lang w:val="es-AR" w:eastAsia="zh-CN" w:bidi="he-IL"/>
        </w:rPr>
        <w:t xml:space="preserve">y </w:t>
      </w:r>
      <w:r w:rsidRPr="00CA0A60">
        <w:rPr>
          <w:rFonts w:ascii="Garamond" w:eastAsia="Times New Roman" w:hAnsi="Garamond" w:cs="Times New Roman"/>
          <w:sz w:val="20"/>
          <w:szCs w:val="20"/>
          <w:lang w:val="es-AR" w:eastAsia="zh-CN" w:bidi="he-IL"/>
        </w:rPr>
        <w:t xml:space="preserve">en beneficio de Siemens y (ii) </w:t>
      </w:r>
      <w:r w:rsidR="00064661" w:rsidRPr="00CA0A60">
        <w:rPr>
          <w:rFonts w:ascii="Garamond" w:eastAsia="Times New Roman" w:hAnsi="Garamond" w:cs="Times New Roman"/>
          <w:sz w:val="20"/>
          <w:szCs w:val="20"/>
          <w:lang w:val="es-AR" w:eastAsia="zh-CN" w:bidi="he-IL"/>
        </w:rPr>
        <w:t>disponer que TMF Trust Company (Argentina) S.A., en carácter de agente de la garantía y en beneficio de Siemens, curse</w:t>
      </w:r>
      <w:r w:rsidRPr="00CA0A60">
        <w:rPr>
          <w:rFonts w:ascii="Garamond" w:eastAsia="Times New Roman" w:hAnsi="Garamond" w:cs="Times New Roman"/>
          <w:sz w:val="20"/>
          <w:szCs w:val="20"/>
          <w:lang w:val="es-AR" w:eastAsia="zh-CN" w:bidi="he-IL"/>
        </w:rPr>
        <w:t xml:space="preserve"> notificación escrita a CAMMESA ante escribano público </w:t>
      </w:r>
      <w:r w:rsidR="00064661" w:rsidRPr="00CA0A60">
        <w:rPr>
          <w:rFonts w:ascii="Garamond" w:eastAsia="Times New Roman" w:hAnsi="Garamond" w:cs="Times New Roman"/>
          <w:sz w:val="20"/>
          <w:szCs w:val="20"/>
          <w:lang w:val="es-AR" w:eastAsia="zh-CN" w:bidi="he-IL"/>
        </w:rPr>
        <w:t xml:space="preserve">con respecto a la </w:t>
      </w:r>
      <w:r w:rsidR="006A4782" w:rsidRPr="00CA0A60">
        <w:rPr>
          <w:rFonts w:ascii="Garamond" w:eastAsia="Times New Roman" w:hAnsi="Garamond" w:cs="Times New Roman"/>
          <w:sz w:val="20"/>
          <w:szCs w:val="20"/>
          <w:lang w:val="es-AR" w:eastAsia="zh-CN" w:bidi="he-IL"/>
        </w:rPr>
        <w:t>extinción de la prenda de créditos sobre</w:t>
      </w:r>
      <w:r w:rsidR="00064661" w:rsidRPr="00CA0A60">
        <w:rPr>
          <w:rFonts w:ascii="Garamond" w:eastAsia="Times New Roman" w:hAnsi="Garamond" w:cs="Times New Roman"/>
          <w:sz w:val="20"/>
          <w:szCs w:val="20"/>
          <w:lang w:val="es-AR" w:eastAsia="zh-CN" w:bidi="he-IL"/>
        </w:rPr>
        <w:t xml:space="preserve"> los CCEE de Siemens </w:t>
      </w:r>
      <w:r w:rsidR="00821F30">
        <w:rPr>
          <w:rFonts w:ascii="Garamond" w:eastAsia="Times New Roman" w:hAnsi="Garamond" w:cs="Times New Roman"/>
          <w:sz w:val="20"/>
          <w:szCs w:val="20"/>
          <w:lang w:val="es-AR" w:eastAsia="zh-CN" w:bidi="he-IL"/>
        </w:rPr>
        <w:t>en relación</w:t>
      </w:r>
      <w:r w:rsidR="00064661" w:rsidRPr="00CA0A60">
        <w:rPr>
          <w:rFonts w:ascii="Garamond" w:eastAsia="Times New Roman" w:hAnsi="Garamond" w:cs="Times New Roman"/>
          <w:sz w:val="20"/>
          <w:szCs w:val="20"/>
          <w:lang w:val="es-AR" w:eastAsia="zh-CN" w:bidi="he-IL"/>
        </w:rPr>
        <w:t xml:space="preserve"> </w:t>
      </w:r>
      <w:r w:rsidR="00821F30">
        <w:rPr>
          <w:rFonts w:ascii="Garamond" w:eastAsia="Times New Roman" w:hAnsi="Garamond" w:cs="Times New Roman"/>
          <w:sz w:val="20"/>
          <w:szCs w:val="20"/>
          <w:lang w:val="es-AR" w:eastAsia="zh-CN" w:bidi="he-IL"/>
        </w:rPr>
        <w:t>a</w:t>
      </w:r>
      <w:r w:rsidR="007449CC">
        <w:rPr>
          <w:rFonts w:ascii="Garamond" w:eastAsia="Times New Roman" w:hAnsi="Garamond" w:cs="Times New Roman"/>
          <w:sz w:val="20"/>
          <w:szCs w:val="20"/>
          <w:lang w:val="es-AR" w:eastAsia="zh-CN" w:bidi="he-IL"/>
        </w:rPr>
        <w:t xml:space="preserve">l Contrato de Prenda de CCEE de </w:t>
      </w:r>
      <w:r w:rsidR="006A4782" w:rsidRPr="00CA0A60">
        <w:rPr>
          <w:rFonts w:ascii="Garamond" w:eastAsia="Times New Roman" w:hAnsi="Garamond" w:cs="Times New Roman"/>
          <w:sz w:val="20"/>
          <w:szCs w:val="20"/>
          <w:lang w:val="es-AR" w:eastAsia="zh-CN" w:bidi="he-IL"/>
        </w:rPr>
        <w:t>Siemens</w:t>
      </w:r>
      <w:r w:rsidR="00821F30">
        <w:rPr>
          <w:rFonts w:ascii="Garamond" w:eastAsia="Times New Roman" w:hAnsi="Garamond" w:cs="Times New Roman"/>
          <w:sz w:val="20"/>
          <w:szCs w:val="20"/>
          <w:lang w:val="es-AR" w:eastAsia="zh-CN" w:bidi="he-IL"/>
        </w:rPr>
        <w:t xml:space="preserve">, y (iii) cursar a CAMMESA ante escribano público una notificación de cesión de los CCEE de Siemens en beneficio de las Partes Garantizadas. </w:t>
      </w:r>
    </w:p>
    <w:p w14:paraId="2519282F" w14:textId="3A55F607" w:rsidR="007449CC" w:rsidRPr="00CA0A60" w:rsidRDefault="007449CC" w:rsidP="007449CC">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7449CC">
        <w:rPr>
          <w:rFonts w:ascii="Garamond" w:eastAsia="Times New Roman" w:hAnsi="Garamond" w:cs="Times New Roman"/>
          <w:sz w:val="20"/>
          <w:szCs w:val="20"/>
          <w:lang w:val="es-AR" w:eastAsia="zh-CN" w:bidi="he-IL"/>
        </w:rPr>
        <w:t>Ante el acaecimiento de un Supuesto de Pérdida o Expropiación que involucre activos o bienes que formen</w:t>
      </w:r>
      <w:r>
        <w:rPr>
          <w:rFonts w:ascii="Garamond" w:eastAsia="Times New Roman" w:hAnsi="Garamond" w:cs="Times New Roman"/>
          <w:sz w:val="20"/>
          <w:szCs w:val="20"/>
          <w:lang w:val="es-AR" w:eastAsia="zh-CN" w:bidi="he-IL"/>
        </w:rPr>
        <w:t xml:space="preserve"> </w:t>
      </w:r>
      <w:r w:rsidRPr="007449CC">
        <w:rPr>
          <w:rFonts w:ascii="Garamond" w:eastAsia="Times New Roman" w:hAnsi="Garamond" w:cs="Times New Roman"/>
          <w:sz w:val="20"/>
          <w:szCs w:val="20"/>
          <w:lang w:val="es-AR" w:eastAsia="zh-CN" w:bidi="he-IL"/>
        </w:rPr>
        <w:t>parte de los Derechos de Garantía cuyos Fondos Netos en Efectivo se destinen a la realización de inversiones,</w:t>
      </w:r>
      <w:r>
        <w:rPr>
          <w:rFonts w:ascii="Garamond" w:eastAsia="Times New Roman" w:hAnsi="Garamond" w:cs="Times New Roman"/>
          <w:sz w:val="20"/>
          <w:szCs w:val="20"/>
          <w:lang w:val="es-AR" w:eastAsia="zh-CN" w:bidi="he-IL"/>
        </w:rPr>
        <w:t xml:space="preserve"> </w:t>
      </w:r>
      <w:r w:rsidRPr="007449CC">
        <w:rPr>
          <w:rFonts w:ascii="Garamond" w:eastAsia="Times New Roman" w:hAnsi="Garamond" w:cs="Times New Roman"/>
          <w:sz w:val="20"/>
          <w:szCs w:val="20"/>
          <w:lang w:val="es-AR" w:eastAsia="zh-CN" w:bidi="he-IL"/>
        </w:rPr>
        <w:t>reparaciones, restituciones o reemplazos de los activos o bienes afectados en consecuencia (en el alcance</w:t>
      </w:r>
      <w:r>
        <w:rPr>
          <w:rFonts w:ascii="Garamond" w:eastAsia="Times New Roman" w:hAnsi="Garamond" w:cs="Times New Roman"/>
          <w:sz w:val="20"/>
          <w:szCs w:val="20"/>
          <w:lang w:val="es-AR" w:eastAsia="zh-CN" w:bidi="he-IL"/>
        </w:rPr>
        <w:t xml:space="preserve"> </w:t>
      </w:r>
      <w:r w:rsidRPr="007449CC">
        <w:rPr>
          <w:rFonts w:ascii="Garamond" w:eastAsia="Times New Roman" w:hAnsi="Garamond" w:cs="Times New Roman"/>
          <w:sz w:val="20"/>
          <w:szCs w:val="20"/>
          <w:lang w:val="es-AR" w:eastAsia="zh-CN" w:bidi="he-IL"/>
        </w:rPr>
        <w:t xml:space="preserve">permitido bajo las disposiciones del Contrato de Fideicomiso descriptas en la sección </w:t>
      </w:r>
      <w:r w:rsidRPr="00A23B59">
        <w:rPr>
          <w:rFonts w:ascii="Garamond" w:eastAsia="Times New Roman" w:hAnsi="Garamond" w:cs="Times New Roman"/>
          <w:i/>
          <w:sz w:val="20"/>
          <w:szCs w:val="20"/>
          <w:lang w:val="es-AR" w:eastAsia="zh-CN" w:bidi="he-IL"/>
        </w:rPr>
        <w:t>“—Ofertas Obligatorias de Compra de Obligaciones Negociables—Supuesto de Pérdida, Expropiación y Venta de Activos”</w:t>
      </w:r>
      <w:r w:rsidRPr="007449CC">
        <w:rPr>
          <w:rFonts w:ascii="Garamond" w:eastAsia="Times New Roman" w:hAnsi="Garamond" w:cs="Times New Roman"/>
          <w:sz w:val="20"/>
          <w:szCs w:val="20"/>
          <w:lang w:val="es-AR" w:eastAsia="zh-CN" w:bidi="he-IL"/>
        </w:rPr>
        <w:t>), las</w:t>
      </w:r>
      <w:r>
        <w:rPr>
          <w:rFonts w:ascii="Garamond" w:eastAsia="Times New Roman" w:hAnsi="Garamond" w:cs="Times New Roman"/>
          <w:sz w:val="20"/>
          <w:szCs w:val="20"/>
          <w:lang w:val="es-AR" w:eastAsia="zh-CN" w:bidi="he-IL"/>
        </w:rPr>
        <w:t xml:space="preserve"> </w:t>
      </w:r>
      <w:r w:rsidRPr="007449CC">
        <w:rPr>
          <w:rFonts w:ascii="Garamond" w:eastAsia="Times New Roman" w:hAnsi="Garamond" w:cs="Times New Roman"/>
          <w:sz w:val="20"/>
          <w:szCs w:val="20"/>
          <w:lang w:val="es-AR" w:eastAsia="zh-CN" w:bidi="he-IL"/>
        </w:rPr>
        <w:t>Co-Emisoras y el Garante llevarán a cabo los siguientes actos, y procurarán que sus demás Subsidiarias</w:t>
      </w:r>
      <w:r>
        <w:rPr>
          <w:rFonts w:ascii="Garamond" w:eastAsia="Times New Roman" w:hAnsi="Garamond" w:cs="Times New Roman"/>
          <w:sz w:val="20"/>
          <w:szCs w:val="20"/>
          <w:lang w:val="es-AR" w:eastAsia="zh-CN" w:bidi="he-IL"/>
        </w:rPr>
        <w:t xml:space="preserve"> </w:t>
      </w:r>
      <w:r w:rsidRPr="007449CC">
        <w:rPr>
          <w:rFonts w:ascii="Garamond" w:eastAsia="Times New Roman" w:hAnsi="Garamond" w:cs="Times New Roman"/>
          <w:sz w:val="20"/>
          <w:szCs w:val="20"/>
          <w:lang w:val="es-AR" w:eastAsia="zh-CN" w:bidi="he-IL"/>
        </w:rPr>
        <w:t>Restringidas hagan lo propio: suscribir y otorgar los acuerdos, instrumentos y demás documentos y adoptar</w:t>
      </w:r>
      <w:r>
        <w:rPr>
          <w:rFonts w:ascii="Garamond" w:eastAsia="Times New Roman" w:hAnsi="Garamond" w:cs="Times New Roman"/>
          <w:sz w:val="20"/>
          <w:szCs w:val="20"/>
          <w:lang w:val="es-AR" w:eastAsia="zh-CN" w:bidi="he-IL"/>
        </w:rPr>
        <w:t xml:space="preserve"> </w:t>
      </w:r>
      <w:r w:rsidRPr="007449CC">
        <w:rPr>
          <w:rFonts w:ascii="Garamond" w:eastAsia="Times New Roman" w:hAnsi="Garamond" w:cs="Times New Roman"/>
          <w:sz w:val="20"/>
          <w:szCs w:val="20"/>
          <w:lang w:val="es-AR" w:eastAsia="zh-CN" w:bidi="he-IL"/>
        </w:rPr>
        <w:t>medidas a fin de que, en forma simultánea a la consumación de esa inversión, reparación, restitución o</w:t>
      </w:r>
      <w:r>
        <w:rPr>
          <w:rFonts w:ascii="Garamond" w:eastAsia="Times New Roman" w:hAnsi="Garamond" w:cs="Times New Roman"/>
          <w:sz w:val="20"/>
          <w:szCs w:val="20"/>
          <w:lang w:val="es-AR" w:eastAsia="zh-CN" w:bidi="he-IL"/>
        </w:rPr>
        <w:t xml:space="preserve"> </w:t>
      </w:r>
      <w:r w:rsidRPr="007449CC">
        <w:rPr>
          <w:rFonts w:ascii="Garamond" w:eastAsia="Times New Roman" w:hAnsi="Garamond" w:cs="Times New Roman"/>
          <w:sz w:val="20"/>
          <w:szCs w:val="20"/>
          <w:lang w:val="es-AR" w:eastAsia="zh-CN" w:bidi="he-IL"/>
        </w:rPr>
        <w:t>reemplazo, según corresponda, todos los activos y bienes adquiridos como consecuencia de ello estén sujetos a</w:t>
      </w:r>
      <w:r>
        <w:rPr>
          <w:rFonts w:ascii="Garamond" w:eastAsia="Times New Roman" w:hAnsi="Garamond" w:cs="Times New Roman"/>
          <w:sz w:val="20"/>
          <w:szCs w:val="20"/>
          <w:lang w:val="es-AR" w:eastAsia="zh-CN" w:bidi="he-IL"/>
        </w:rPr>
        <w:t xml:space="preserve"> </w:t>
      </w:r>
      <w:r w:rsidRPr="007449CC">
        <w:rPr>
          <w:rFonts w:ascii="Garamond" w:eastAsia="Times New Roman" w:hAnsi="Garamond" w:cs="Times New Roman"/>
          <w:sz w:val="20"/>
          <w:szCs w:val="20"/>
          <w:lang w:val="es-AR" w:eastAsia="zh-CN" w:bidi="he-IL"/>
        </w:rPr>
        <w:t>un Gravamen en primer grado de privilegio totalmente perfeccionado que garantice las Obligaciones</w:t>
      </w:r>
      <w:r>
        <w:rPr>
          <w:rFonts w:ascii="Garamond" w:eastAsia="Times New Roman" w:hAnsi="Garamond" w:cs="Times New Roman"/>
          <w:sz w:val="20"/>
          <w:szCs w:val="20"/>
          <w:lang w:val="es-AR" w:eastAsia="zh-CN" w:bidi="he-IL"/>
        </w:rPr>
        <w:t xml:space="preserve"> </w:t>
      </w:r>
      <w:r w:rsidRPr="007449CC">
        <w:rPr>
          <w:rFonts w:ascii="Garamond" w:eastAsia="Times New Roman" w:hAnsi="Garamond" w:cs="Times New Roman"/>
          <w:sz w:val="20"/>
          <w:szCs w:val="20"/>
          <w:lang w:val="es-AR" w:eastAsia="zh-CN" w:bidi="he-IL"/>
        </w:rPr>
        <w:t>Negociables, sin estar sujeto a ningún otro Gravamen.</w:t>
      </w:r>
    </w:p>
    <w:p w14:paraId="38C86433" w14:textId="0F692D6B" w:rsidR="00F574E6" w:rsidRDefault="00F574E6" w:rsidP="00F574E6">
      <w:pPr>
        <w:widowControl w:val="0"/>
        <w:tabs>
          <w:tab w:val="left" w:pos="284"/>
          <w:tab w:val="left" w:pos="709"/>
        </w:tabs>
        <w:spacing w:before="120" w:after="120"/>
        <w:jc w:val="both"/>
        <w:rPr>
          <w:rFonts w:ascii="Garamond" w:eastAsia="Times New Roman" w:hAnsi="Garamond" w:cs="Times New Roman"/>
          <w:sz w:val="20"/>
          <w:szCs w:val="20"/>
          <w:lang w:val="es-AR" w:eastAsia="zh-CN" w:bidi="he-IL"/>
        </w:rPr>
      </w:pPr>
      <w:r w:rsidRPr="00CA0A60">
        <w:rPr>
          <w:rFonts w:ascii="Garamond" w:eastAsia="Times New Roman" w:hAnsi="Garamond" w:cs="Times New Roman"/>
          <w:sz w:val="20"/>
          <w:szCs w:val="20"/>
          <w:lang w:val="es-AR" w:eastAsia="zh-CN" w:bidi="he-IL"/>
        </w:rPr>
        <w:t xml:space="preserve">Las Co-Emisoras y el Garante llevarán a cabo, y dispondrán que sus demás Subsidiarias Restringidas, periódicamente, lleven a cabo las acciones que sean necesarias o aconsejables a los fines de preservar los derechos del Fiduciario, el Agente de Garantía Internacional, el Agente de Garantía Local o el Fiduciario Argentino, según corresponda, y las Partes Garantizadas bajo cada uno de los Documentos de Financiación.  Sin que ello limite el carácter general de lo enunciado precedentemente, cada Co-Emisora y el Garante deberán suscribir y dispondrán que sus demás Subsidiarias Restringidas, periódicamente, suscriban, cualquier documento, declaración a fines informativos, acuerdos e instrumentos, y llevarán a cabo y dispondrán que sus demás Subsidiarias Restringidas, periódicamente, lleven a cabo las acciones que fueran requeridas por la Ley Aplicable, o que los Tenedores de las Obligaciones Negociables, el Fiduciario, el Agente de Garantía Internacional, el Agente de Garantía Local o el Fiduciario Argentino, según corresponda, puedan razonablemente requerir, a los fines de llevar a cabo las operaciones contempladas en los Documentos de Financiación y </w:t>
      </w:r>
      <w:r w:rsidR="001238E2">
        <w:rPr>
          <w:rFonts w:ascii="Garamond" w:eastAsia="Times New Roman" w:hAnsi="Garamond" w:cs="Times New Roman"/>
          <w:sz w:val="20"/>
          <w:szCs w:val="20"/>
          <w:lang w:val="es-AR" w:eastAsia="zh-CN" w:bidi="he-IL"/>
        </w:rPr>
        <w:t xml:space="preserve">que los Tenedores, el Agente de Garantía Internacional, el Agente de Garantía Local, el Fiduciario Argentino, según sea aplicable, razonablemente </w:t>
      </w:r>
      <w:r w:rsidRPr="00CA0A60">
        <w:rPr>
          <w:rFonts w:ascii="Garamond" w:eastAsia="Times New Roman" w:hAnsi="Garamond" w:cs="Times New Roman"/>
          <w:sz w:val="20"/>
          <w:szCs w:val="20"/>
          <w:lang w:val="es-AR" w:eastAsia="zh-CN" w:bidi="he-IL"/>
        </w:rPr>
        <w:t>a los fines de otorgar, preservar, proteger y perfeccionar la validez y el primer rango de privilegio (o segundo rango de privilegio según se describe en el apartado “</w:t>
      </w:r>
      <w:r w:rsidRPr="00CA0A60">
        <w:rPr>
          <w:rFonts w:ascii="Garamond" w:eastAsia="Times New Roman" w:hAnsi="Garamond" w:cs="Times New Roman"/>
          <w:i/>
          <w:sz w:val="20"/>
          <w:szCs w:val="20"/>
          <w:lang w:val="es-AR" w:eastAsia="zh-CN" w:bidi="he-IL"/>
        </w:rPr>
        <w:t>Derechos de Garantía</w:t>
      </w:r>
      <w:r w:rsidRPr="00CA0A60">
        <w:rPr>
          <w:rFonts w:ascii="Garamond" w:eastAsia="Times New Roman" w:hAnsi="Garamond" w:cs="Times New Roman"/>
          <w:sz w:val="20"/>
          <w:szCs w:val="20"/>
          <w:lang w:val="es-AR" w:eastAsia="zh-CN" w:bidi="he-IL"/>
        </w:rPr>
        <w:t>” de la presente sección)de los Gravámenes constituidos o que se pretenda constituir por los Documentos de Garantía. Cada Co-Emisora y el Garante otorgará, o dispondrá que se otorguen, al Fiduciario, el Agente de Garantía Internacional, el Agente de Garantía Local o el Fiduciario Argentino, según corresponda, todos los instrumentos y documentos (incluyendo las opiniones legales, pólizas de seguro de título, búsquedas de gravámenes y constancias de registro del registro público pertinente) que el Fiduciario, el Agente de Garantía Internacional, el Agente de Garantía Local o el Fiduciario Argentino, según corresponda, soliciten razonablemente para acreditar el cumplimiento de las disposiciones del Contrato de Fideicomiso que se describen en la presente sección “—</w:t>
      </w:r>
      <w:r w:rsidRPr="00CA0A60">
        <w:rPr>
          <w:rFonts w:ascii="Garamond" w:eastAsia="Times New Roman" w:hAnsi="Garamond" w:cs="Times New Roman"/>
          <w:i/>
          <w:sz w:val="20"/>
          <w:szCs w:val="20"/>
          <w:lang w:val="es-AR" w:eastAsia="zh-CN" w:bidi="he-IL"/>
        </w:rPr>
        <w:t>Preservación de Derechos bajo los Documentos de Garantía</w:t>
      </w:r>
      <w:r w:rsidRPr="00CA0A60">
        <w:rPr>
          <w:rFonts w:ascii="Garamond" w:eastAsia="Times New Roman" w:hAnsi="Garamond" w:cs="Times New Roman"/>
          <w:sz w:val="20"/>
          <w:szCs w:val="20"/>
          <w:lang w:val="es-AR" w:eastAsia="zh-CN" w:bidi="he-IL"/>
        </w:rPr>
        <w:t>”.</w:t>
      </w:r>
    </w:p>
    <w:p w14:paraId="63B3397F" w14:textId="77777777" w:rsidR="00F574E6" w:rsidRPr="00CA0A60" w:rsidRDefault="00F574E6" w:rsidP="00F574E6">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77" w:name="bookmark160"/>
      <w:r w:rsidRPr="00CA0A60">
        <w:rPr>
          <w:rFonts w:ascii="Garamond" w:hAnsi="Garamond" w:cs="Times New Roman"/>
          <w:b/>
          <w:i/>
          <w:sz w:val="20"/>
          <w:szCs w:val="20"/>
          <w:lang w:val="es-AR"/>
        </w:rPr>
        <w:t>Supuestos de Incumplimiento</w:t>
      </w:r>
      <w:bookmarkEnd w:id="77"/>
    </w:p>
    <w:p w14:paraId="6DB1B146"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Supuestos de Incumplimiento referidos a las Obligaciones Negociables en el Contrato de Fideicomiso incluirán (cada uno, un “</w:t>
      </w:r>
      <w:r w:rsidRPr="00CA0A60">
        <w:rPr>
          <w:rFonts w:ascii="Garamond" w:hAnsi="Garamond" w:cs="Times New Roman"/>
          <w:sz w:val="20"/>
          <w:szCs w:val="20"/>
          <w:u w:val="single"/>
          <w:lang w:val="es-AR"/>
        </w:rPr>
        <w:t>Supuesto de Incumplimiento</w:t>
      </w:r>
      <w:r w:rsidRPr="00CA0A60">
        <w:rPr>
          <w:rFonts w:ascii="Garamond" w:hAnsi="Garamond" w:cs="Times New Roman"/>
          <w:sz w:val="20"/>
          <w:szCs w:val="20"/>
          <w:lang w:val="es-AR"/>
        </w:rPr>
        <w:t>”):</w:t>
      </w:r>
    </w:p>
    <w:p w14:paraId="54EAB919" w14:textId="77777777" w:rsidR="00F574E6" w:rsidRPr="00CA0A60" w:rsidRDefault="00F574E6" w:rsidP="00F574E6">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 falta de pago al vencimiento del capital o la prima, si la hubiera, sobre las Obligaciones Negociables, </w:t>
      </w:r>
      <w:r w:rsidRPr="00CA0A60">
        <w:rPr>
          <w:rFonts w:ascii="Garamond" w:hAnsi="Garamond" w:cs="Times New Roman"/>
          <w:sz w:val="20"/>
          <w:szCs w:val="20"/>
          <w:lang w:val="es-AR"/>
        </w:rPr>
        <w:lastRenderedPageBreak/>
        <w:t>incluida la falta de pago del monto exigido para adquirir Obligaciones Negociables ofrecidas a través de un rescate opcional u obligatorio;</w:t>
      </w:r>
    </w:p>
    <w:p w14:paraId="4BCBD8DC" w14:textId="5157D399" w:rsidR="00F574E6" w:rsidRPr="00CA0A60" w:rsidRDefault="00F574E6" w:rsidP="00F574E6">
      <w:pPr>
        <w:widowControl w:val="0"/>
        <w:numPr>
          <w:ilvl w:val="0"/>
          <w:numId w:val="83"/>
        </w:numPr>
        <w:tabs>
          <w:tab w:val="left" w:pos="284"/>
          <w:tab w:val="left" w:pos="709"/>
          <w:tab w:val="left" w:pos="1418"/>
          <w:tab w:val="left" w:pos="2268"/>
          <w:tab w:val="left" w:pos="3402"/>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falta de pago al vencimiento de intereses o Montos Adicionales, si los hubiera, sobre las Obligaciones Negociables y dicha falta de pago no es subsanada dentro de un plazo </w:t>
      </w:r>
      <w:r w:rsidR="00D6775A">
        <w:rPr>
          <w:rFonts w:ascii="Garamond" w:hAnsi="Garamond" w:cs="Times New Roman"/>
          <w:sz w:val="20"/>
          <w:szCs w:val="20"/>
          <w:lang w:val="es-AR"/>
        </w:rPr>
        <w:t>de 15</w:t>
      </w:r>
      <w:r w:rsidRPr="00CA0A60">
        <w:rPr>
          <w:rFonts w:ascii="Garamond" w:hAnsi="Garamond" w:cs="Times New Roman"/>
          <w:sz w:val="20"/>
          <w:szCs w:val="20"/>
          <w:lang w:val="es-AR"/>
        </w:rPr>
        <w:t xml:space="preserve"> </w:t>
      </w:r>
      <w:r w:rsidR="00D6775A">
        <w:rPr>
          <w:rFonts w:ascii="Garamond" w:hAnsi="Garamond" w:cs="Times New Roman"/>
          <w:sz w:val="20"/>
          <w:szCs w:val="20"/>
          <w:lang w:val="es-AR"/>
        </w:rPr>
        <w:t>D</w:t>
      </w:r>
      <w:r w:rsidRPr="00CA0A60">
        <w:rPr>
          <w:rFonts w:ascii="Garamond" w:hAnsi="Garamond" w:cs="Times New Roman"/>
          <w:sz w:val="20"/>
          <w:szCs w:val="20"/>
          <w:lang w:val="es-AR"/>
        </w:rPr>
        <w:t>ías</w:t>
      </w:r>
      <w:r w:rsidR="00D6775A">
        <w:rPr>
          <w:rFonts w:ascii="Garamond" w:hAnsi="Garamond" w:cs="Times New Roman"/>
          <w:sz w:val="20"/>
          <w:szCs w:val="20"/>
          <w:lang w:val="es-AR"/>
        </w:rPr>
        <w:t xml:space="preserve"> Hábiles</w:t>
      </w:r>
      <w:r w:rsidRPr="00CA0A60">
        <w:rPr>
          <w:rFonts w:ascii="Garamond" w:hAnsi="Garamond" w:cs="Times New Roman"/>
          <w:sz w:val="20"/>
          <w:szCs w:val="20"/>
          <w:lang w:val="es-AR"/>
        </w:rPr>
        <w:t>;</w:t>
      </w:r>
    </w:p>
    <w:p w14:paraId="664B5586" w14:textId="77777777" w:rsidR="00F574E6" w:rsidRPr="00CA0A60" w:rsidRDefault="00F574E6" w:rsidP="00F574E6">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 falta de ejecución o cumplimiento de alguna de las disposiciones del Contrato de Fideicomiso descriptas en (i) </w:t>
      </w:r>
      <w:r w:rsidRPr="00CA0A60">
        <w:rPr>
          <w:rFonts w:ascii="Garamond" w:hAnsi="Garamond" w:cs="Times New Roman"/>
          <w:i/>
          <w:sz w:val="20"/>
          <w:szCs w:val="20"/>
          <w:lang w:val="es-AR"/>
        </w:rPr>
        <w:t>“—Ciertos Compromisos—Limitación a la Fusión, Consolidación y Venta de Activos</w:t>
      </w:r>
      <w:r w:rsidRPr="00CA0A60">
        <w:rPr>
          <w:rFonts w:ascii="Garamond" w:hAnsi="Garamond" w:cs="Times New Roman"/>
          <w:sz w:val="20"/>
          <w:szCs w:val="20"/>
          <w:lang w:val="es-AR"/>
        </w:rPr>
        <w:t>” o (ii) el primer párrafo del compromiso descripto en “</w:t>
      </w:r>
      <w:r w:rsidRPr="00CA0A60">
        <w:rPr>
          <w:rFonts w:ascii="Garamond" w:hAnsi="Garamond" w:cs="Times New Roman"/>
          <w:sz w:val="20"/>
          <w:szCs w:val="20"/>
          <w:lang w:val="es-AR"/>
        </w:rPr>
        <w:noBreakHyphen/>
      </w:r>
      <w:r w:rsidRPr="00CA0A60">
        <w:rPr>
          <w:rFonts w:ascii="Garamond" w:hAnsi="Garamond" w:cs="Times New Roman"/>
          <w:sz w:val="20"/>
          <w:szCs w:val="20"/>
          <w:lang w:val="es-AR"/>
        </w:rPr>
        <w:noBreakHyphen/>
      </w:r>
      <w:r w:rsidRPr="00CA0A60">
        <w:rPr>
          <w:rFonts w:ascii="Garamond" w:hAnsi="Garamond" w:cs="Times New Roman"/>
          <w:i/>
          <w:sz w:val="20"/>
          <w:szCs w:val="20"/>
          <w:lang w:val="es-AR"/>
        </w:rPr>
        <w:t>Ciertos Compromisos—Preservación de Derechos bajo los Documentos de Garantía”</w:t>
      </w:r>
      <w:r w:rsidRPr="00CA0A60">
        <w:rPr>
          <w:rFonts w:ascii="Garamond" w:hAnsi="Garamond" w:cs="Times New Roman"/>
          <w:sz w:val="20"/>
          <w:szCs w:val="20"/>
          <w:lang w:val="es-AR"/>
        </w:rPr>
        <w:t>;</w:t>
      </w:r>
    </w:p>
    <w:p w14:paraId="731CDB34" w14:textId="6C3270F6" w:rsidR="00F574E6" w:rsidRPr="00CA0A60" w:rsidRDefault="00F574E6" w:rsidP="00F574E6">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el incumplimiento por parte del Garante, cualquier Co-Emisora o cualquier otra Subsidiaria Restringida de compromisos, acuerdos u obligaciones establecidas en el Contrato de Fideicomiso, en las Obligaciones Negociables o en los Documentos de Garantía que se prolongue durante 60 días o más luego de la notificación escrita a cualquier Co-Emisora enviada por el Fiduciario o los Tenedores de al menos </w:t>
      </w:r>
      <w:r w:rsidR="001238E2">
        <w:rPr>
          <w:rFonts w:ascii="Garamond" w:hAnsi="Garamond" w:cs="Times New Roman"/>
          <w:sz w:val="20"/>
          <w:szCs w:val="20"/>
          <w:lang w:val="es-AR"/>
        </w:rPr>
        <w:t>la mayoría</w:t>
      </w:r>
      <w:r w:rsidRPr="00CA0A60">
        <w:rPr>
          <w:rFonts w:ascii="Garamond" w:hAnsi="Garamond" w:cs="Times New Roman"/>
          <w:sz w:val="20"/>
          <w:szCs w:val="20"/>
          <w:lang w:val="es-AR"/>
        </w:rPr>
        <w:t xml:space="preserve"> del monto total de capital de las Obligaciones Negociables pendientes de pago;</w:t>
      </w:r>
    </w:p>
    <w:p w14:paraId="35125ED0" w14:textId="77777777" w:rsidR="00F574E6" w:rsidRPr="00CA0A60" w:rsidRDefault="00F574E6" w:rsidP="00F574E6">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un incumplimiento por parte del Garante, cualquier Co-Emisora o cualquier otra Subsidiaria Restringida respecto de cualquier otra Deuda (ya sea existente en el momento o creada luego de la Fecha de Emisión) que:</w:t>
      </w:r>
    </w:p>
    <w:p w14:paraId="1CCC3465" w14:textId="6624784A" w:rsidR="00F574E6" w:rsidRPr="00CA0A60" w:rsidRDefault="00F574E6" w:rsidP="00F574E6">
      <w:pPr>
        <w:widowControl w:val="0"/>
        <w:numPr>
          <w:ilvl w:val="0"/>
          <w:numId w:val="84"/>
        </w:numPr>
        <w:tabs>
          <w:tab w:val="left" w:pos="284"/>
          <w:tab w:val="left" w:pos="709"/>
          <w:tab w:val="left" w:pos="1418"/>
          <w:tab w:val="left" w:pos="1475"/>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sea consecuencia de la falta de pago del capital o prima, si la hubiera, o interés sobre dicha Deuda luego del vencimiento del período de gracia aplicable establecido en dicha Deuda en la fecha en la que se produce la falta de pago</w:t>
      </w:r>
      <w:r w:rsidR="00195030">
        <w:rPr>
          <w:rFonts w:ascii="Garamond" w:hAnsi="Garamond" w:cs="Times New Roman"/>
          <w:sz w:val="20"/>
          <w:szCs w:val="20"/>
          <w:lang w:val="es-AR"/>
        </w:rPr>
        <w:t xml:space="preserve"> </w:t>
      </w:r>
      <w:r w:rsidR="001238E2">
        <w:rPr>
          <w:rFonts w:ascii="Garamond" w:hAnsi="Garamond" w:cs="Times New Roman"/>
          <w:sz w:val="20"/>
          <w:szCs w:val="20"/>
          <w:lang w:val="es-AR"/>
        </w:rPr>
        <w:t xml:space="preserve">y no hubiera sido subsanado </w:t>
      </w:r>
      <w:r w:rsidR="00195030">
        <w:rPr>
          <w:rFonts w:ascii="Garamond" w:hAnsi="Garamond" w:cs="Times New Roman"/>
          <w:sz w:val="20"/>
          <w:szCs w:val="20"/>
          <w:lang w:val="es-AR"/>
        </w:rPr>
        <w:t>(pero sin otorgar efecto a ninguna dispensa</w:t>
      </w:r>
      <w:r w:rsidR="002E5D0E">
        <w:rPr>
          <w:rFonts w:ascii="Garamond" w:hAnsi="Garamond" w:cs="Times New Roman"/>
          <w:sz w:val="20"/>
          <w:szCs w:val="20"/>
          <w:lang w:val="es-AR"/>
        </w:rPr>
        <w:t>, acuerdo de tolerancia,</w:t>
      </w:r>
      <w:r w:rsidR="008A5A55">
        <w:rPr>
          <w:rFonts w:ascii="Garamond" w:hAnsi="Garamond" w:cs="Times New Roman"/>
          <w:sz w:val="20"/>
          <w:szCs w:val="20"/>
          <w:lang w:val="es-AR"/>
        </w:rPr>
        <w:t xml:space="preserve"> exoneración de ello)</w:t>
      </w:r>
      <w:r w:rsidRPr="00CA0A60">
        <w:rPr>
          <w:rFonts w:ascii="Garamond" w:hAnsi="Garamond" w:cs="Times New Roman"/>
          <w:sz w:val="20"/>
          <w:szCs w:val="20"/>
          <w:lang w:val="es-AR"/>
        </w:rPr>
        <w:t>; o</w:t>
      </w:r>
    </w:p>
    <w:p w14:paraId="6102D092" w14:textId="7E750455" w:rsidR="00F574E6" w:rsidRPr="00CA0A60" w:rsidRDefault="008A5A55" w:rsidP="00F574E6">
      <w:pPr>
        <w:widowControl w:val="0"/>
        <w:numPr>
          <w:ilvl w:val="0"/>
          <w:numId w:val="84"/>
        </w:numPr>
        <w:tabs>
          <w:tab w:val="left" w:pos="284"/>
          <w:tab w:val="left" w:pos="709"/>
          <w:tab w:val="left" w:pos="1418"/>
          <w:tab w:val="left" w:pos="1475"/>
          <w:tab w:val="left" w:pos="2268"/>
          <w:tab w:val="left" w:pos="8789"/>
        </w:tabs>
        <w:spacing w:before="120" w:after="120" w:line="240" w:lineRule="auto"/>
        <w:jc w:val="both"/>
        <w:rPr>
          <w:rFonts w:ascii="Garamond" w:hAnsi="Garamond" w:cs="Times New Roman"/>
          <w:sz w:val="20"/>
          <w:szCs w:val="20"/>
          <w:lang w:val="es-AR"/>
        </w:rPr>
      </w:pPr>
      <w:r>
        <w:rPr>
          <w:rFonts w:ascii="Garamond" w:hAnsi="Garamond" w:cs="Times New Roman"/>
          <w:sz w:val="20"/>
          <w:szCs w:val="20"/>
          <w:lang w:val="es-AR"/>
        </w:rPr>
        <w:t>resulte en la aceleración</w:t>
      </w:r>
      <w:r w:rsidR="00D6775A">
        <w:rPr>
          <w:rFonts w:ascii="Garamond" w:hAnsi="Garamond" w:cs="Times New Roman"/>
          <w:sz w:val="20"/>
          <w:szCs w:val="20"/>
          <w:lang w:val="es-AR"/>
        </w:rPr>
        <w:t xml:space="preserve"> de dicha Deuda </w:t>
      </w:r>
      <w:r w:rsidR="00F574E6" w:rsidRPr="00CA0A60">
        <w:rPr>
          <w:rFonts w:ascii="Garamond" w:hAnsi="Garamond" w:cs="Times New Roman"/>
          <w:sz w:val="20"/>
          <w:szCs w:val="20"/>
          <w:lang w:val="es-AR"/>
        </w:rPr>
        <w:t>antes de su Vencimiento Expreso;</w:t>
      </w:r>
    </w:p>
    <w:p w14:paraId="44084EA0" w14:textId="77777777" w:rsidR="00F574E6" w:rsidRPr="00CA0A60" w:rsidRDefault="00F574E6" w:rsidP="00F574E6">
      <w:pPr>
        <w:widowControl w:val="0"/>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y el total de capital o el monto incrementado por intereses de la Deuda contemplada en los apartados (i) o (ii) al momento correspondiente es igual o superior a U$S 25,0 millones (o su equivalente en otras monedas) individualmente o en total;</w:t>
      </w:r>
    </w:p>
    <w:p w14:paraId="0DBD24F2" w14:textId="77777777" w:rsidR="00F574E6" w:rsidRPr="00CA0A60" w:rsidRDefault="00F574E6" w:rsidP="00F574E6">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con respecto al Garante, cualquier Co-Emisora o cualquier otra Subsidiaria Restringida, toda sentencia u orden de pago firme superior a los U$S 25,0 millones (en la medida no cubierta por el seguro según lo reconocido por escrito por la aseguradora) que se dicte contra el Garante, cualquier Co-Emisora o cualquier otra Subsidiaria Restringida y que no sea revocada ni suspendida por un período de 60 días luego de devenir firme e inapelable;</w:t>
      </w:r>
    </w:p>
    <w:p w14:paraId="2C3F2312" w14:textId="77777777" w:rsidR="00F574E6" w:rsidRPr="00CA0A60" w:rsidRDefault="00F574E6" w:rsidP="00F574E6">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algunos casos de quiebra descriptos en el Contrato de Fideicomiso que afecten al Garante, alguna Co-Emisora o cualquier otra Subsidiaria Restringida que sea o que pudiese ser una Subsidiaria Significativa o grupo de otras Subsidiarias Restringidas que, tomadas en conjunto, constituirían una Subsidiaria Significativa;</w:t>
      </w:r>
    </w:p>
    <w:p w14:paraId="0D312423" w14:textId="78BAD41E" w:rsidR="00F574E6" w:rsidRPr="00CA0A60" w:rsidRDefault="00F574E6" w:rsidP="00F574E6">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con excepción de lo autorizado en el Contrato de Fideicomiso, cualquier Garantía de ASA que sea declarada inoponible o inválida en un proceso judicial o que pierda por algún motivo su vigencia o si algún Garante niega o repudia sus obligaciones en virtud de </w:t>
      </w:r>
      <w:r w:rsidR="006A4782" w:rsidRPr="00CA0A60">
        <w:rPr>
          <w:rFonts w:ascii="Garamond" w:hAnsi="Garamond" w:cs="Times New Roman"/>
          <w:sz w:val="20"/>
          <w:szCs w:val="20"/>
          <w:lang w:val="es-AR"/>
        </w:rPr>
        <w:t xml:space="preserve">su </w:t>
      </w:r>
      <w:r w:rsidRPr="00CA0A60">
        <w:rPr>
          <w:rFonts w:ascii="Garamond" w:hAnsi="Garamond" w:cs="Times New Roman"/>
          <w:sz w:val="20"/>
          <w:szCs w:val="20"/>
          <w:lang w:val="es-AR"/>
        </w:rPr>
        <w:t>Garantía de ASA;</w:t>
      </w:r>
    </w:p>
    <w:p w14:paraId="314407D7" w14:textId="6B7DB097" w:rsidR="00F574E6" w:rsidRPr="00CA0A60" w:rsidRDefault="00F574E6" w:rsidP="00F574E6">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 Cuenta de Reserva para Servicio de Deuda dejara de estar Totalmente Fondeada en cualquier momento (como resultado de una transferencia o de otra forma) y dicho incumplimiento continuara sin ser subsanado por un plazo de 30 días; </w:t>
      </w:r>
    </w:p>
    <w:p w14:paraId="766E8DDD" w14:textId="0D3F044E" w:rsidR="006A4782" w:rsidRPr="00CA0A60" w:rsidRDefault="00F574E6" w:rsidP="00F574E6">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cualquier momento después de su celebración y otorgamiento, cualquier Documento de Garantía dejara de tener plena vigencia y efectos (excepto en razón de la plena satisfacción de las obligaciones de las Co-Emisoras, el Garante y las Subsidiarias Restringidas de acuerdo con los términos del presente) o fuera declarado nulo y sin efectos, el Agente de Garantía Internacional, el Agente de Garantía Local o el Fiduciario Argentino, según el caso, no tuvieran o dejaran de tener un Gravamen válido y perfeccionado sobre cualquier Derechos de Garantía (salvo por Derechos de Garantía inmateriales) que se contemplan otorgar bajo los Documentos de Garantía con el rango de privilegio requerido por el Documento de Garantía respectivo, a menos que (i) dicha falta fuera subsanada en un plazo de </w:t>
      </w:r>
      <w:r w:rsidR="006A4782" w:rsidRPr="00CA0A60">
        <w:rPr>
          <w:rFonts w:ascii="Garamond" w:hAnsi="Garamond" w:cs="Times New Roman"/>
          <w:sz w:val="20"/>
          <w:szCs w:val="20"/>
          <w:lang w:val="es-AR"/>
        </w:rPr>
        <w:t>45</w:t>
      </w:r>
      <w:r w:rsidRPr="00CA0A60">
        <w:rPr>
          <w:rFonts w:ascii="Garamond" w:hAnsi="Garamond" w:cs="Times New Roman"/>
          <w:sz w:val="20"/>
          <w:szCs w:val="20"/>
          <w:lang w:val="es-AR"/>
        </w:rPr>
        <w:t xml:space="preserve"> días desde lo que ocurra primero entre (x) la toma de conocimiento efectivo de dicho Incumplimiento por cualquiera de los funcionarios de primera línea de cualquiera de las Co-Emisoras, o (y) la notificación de la existencia de dicho Incumplimiento a cualquiera de las Co-Emisoras cursada por los Tenedores de al menos </w:t>
      </w:r>
      <w:r w:rsidR="001238E2">
        <w:rPr>
          <w:rFonts w:ascii="Garamond" w:hAnsi="Garamond" w:cs="Times New Roman"/>
          <w:sz w:val="20"/>
          <w:szCs w:val="20"/>
          <w:lang w:val="es-AR"/>
        </w:rPr>
        <w:t>la mayoría</w:t>
      </w:r>
      <w:r w:rsidRPr="00CA0A60">
        <w:rPr>
          <w:rFonts w:ascii="Garamond" w:hAnsi="Garamond" w:cs="Times New Roman"/>
          <w:sz w:val="20"/>
          <w:szCs w:val="20"/>
          <w:lang w:val="es-AR"/>
        </w:rPr>
        <w:t xml:space="preserve"> del monto de capital de las Obligaciones Negociables en circulación en esa fecha emitidas bajo el Contrato de Fideicomiso, o (ii) las Co-Emisoras hayan entregado efectivo o Equivalentes de Efectivo </w:t>
      </w:r>
      <w:r w:rsidR="006E2A00">
        <w:rPr>
          <w:rFonts w:ascii="Garamond" w:hAnsi="Garamond" w:cs="Times New Roman"/>
          <w:sz w:val="20"/>
          <w:szCs w:val="20"/>
          <w:lang w:val="es-AR"/>
        </w:rPr>
        <w:t>como garantías adicionales</w:t>
      </w:r>
      <w:r w:rsidRPr="00CA0A60">
        <w:rPr>
          <w:rFonts w:ascii="Garamond" w:hAnsi="Garamond" w:cs="Times New Roman"/>
          <w:sz w:val="20"/>
          <w:szCs w:val="20"/>
          <w:lang w:val="es-AR"/>
        </w:rPr>
        <w:t xml:space="preserve"> por un monto equivalente a su valor de reemplazo y hayan mantenido dicho efectivo o Equivalentes de Efectivo; o</w:t>
      </w:r>
    </w:p>
    <w:p w14:paraId="4A6BAFF1" w14:textId="70543BC7" w:rsidR="00F574E6" w:rsidRPr="00CA0A60" w:rsidRDefault="00D6775A" w:rsidP="00047228">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Pr>
          <w:rFonts w:ascii="Garamond" w:hAnsi="Garamond" w:cs="Times New Roman"/>
          <w:sz w:val="20"/>
          <w:szCs w:val="20"/>
          <w:lang w:val="es-AR"/>
        </w:rPr>
        <w:t xml:space="preserve">(i) </w:t>
      </w:r>
      <w:r w:rsidR="006A4782" w:rsidRPr="00CA0A60">
        <w:rPr>
          <w:rFonts w:ascii="Garamond" w:hAnsi="Garamond" w:cs="Times New Roman"/>
          <w:sz w:val="20"/>
          <w:szCs w:val="20"/>
          <w:lang w:val="es-AR"/>
        </w:rPr>
        <w:t xml:space="preserve">cualquiera de los CCEE o cualquier disposición sustancial de los mismos </w:t>
      </w:r>
      <w:r>
        <w:rPr>
          <w:rFonts w:ascii="Garamond" w:hAnsi="Garamond" w:cs="Times New Roman"/>
          <w:sz w:val="20"/>
          <w:szCs w:val="20"/>
          <w:lang w:val="es-AR"/>
        </w:rPr>
        <w:t xml:space="preserve">(incluyendo, sin limitación, </w:t>
      </w:r>
      <w:r w:rsidR="00696EA3">
        <w:rPr>
          <w:rFonts w:ascii="Garamond" w:hAnsi="Garamond" w:cs="Times New Roman"/>
          <w:sz w:val="20"/>
          <w:szCs w:val="20"/>
          <w:lang w:val="es-AR"/>
        </w:rPr>
        <w:t>en relación a los CCEE cuyos</w:t>
      </w:r>
      <w:r>
        <w:rPr>
          <w:rFonts w:ascii="Garamond" w:hAnsi="Garamond" w:cs="Times New Roman"/>
          <w:sz w:val="20"/>
          <w:szCs w:val="20"/>
          <w:lang w:val="es-AR"/>
        </w:rPr>
        <w:t xml:space="preserve"> pagos estuvieran denominados en una moneda distinta del Peso, </w:t>
      </w:r>
      <w:r w:rsidR="00696EA3">
        <w:rPr>
          <w:rFonts w:ascii="Garamond" w:hAnsi="Garamond" w:cs="Times New Roman"/>
          <w:sz w:val="20"/>
          <w:szCs w:val="20"/>
          <w:lang w:val="es-AR"/>
        </w:rPr>
        <w:t xml:space="preserve">cualquier disposición relacionada con (x) </w:t>
      </w:r>
      <w:r>
        <w:rPr>
          <w:rFonts w:ascii="Garamond" w:hAnsi="Garamond" w:cs="Times New Roman"/>
          <w:sz w:val="20"/>
          <w:szCs w:val="20"/>
          <w:lang w:val="es-AR"/>
        </w:rPr>
        <w:t xml:space="preserve">la moneda en la que se encuentran </w:t>
      </w:r>
      <w:r w:rsidR="00892038">
        <w:rPr>
          <w:rFonts w:ascii="Garamond" w:hAnsi="Garamond" w:cs="Times New Roman"/>
          <w:sz w:val="20"/>
          <w:szCs w:val="20"/>
          <w:lang w:val="es-AR"/>
        </w:rPr>
        <w:t>denominados</w:t>
      </w:r>
      <w:r>
        <w:rPr>
          <w:rFonts w:ascii="Garamond" w:hAnsi="Garamond" w:cs="Times New Roman"/>
          <w:sz w:val="20"/>
          <w:szCs w:val="20"/>
          <w:lang w:val="es-AR"/>
        </w:rPr>
        <w:t xml:space="preserve"> los pagos, o (</w:t>
      </w:r>
      <w:r w:rsidR="00696EA3">
        <w:rPr>
          <w:rFonts w:ascii="Garamond" w:hAnsi="Garamond" w:cs="Times New Roman"/>
          <w:sz w:val="20"/>
          <w:szCs w:val="20"/>
          <w:lang w:val="es-AR"/>
        </w:rPr>
        <w:t>y</w:t>
      </w:r>
      <w:r>
        <w:rPr>
          <w:rFonts w:ascii="Garamond" w:hAnsi="Garamond" w:cs="Times New Roman"/>
          <w:sz w:val="20"/>
          <w:szCs w:val="20"/>
          <w:lang w:val="es-AR"/>
        </w:rPr>
        <w:t>) el mecanismo de conversión al tipo de cambio</w:t>
      </w:r>
      <w:r w:rsidR="00696EA3">
        <w:rPr>
          <w:rFonts w:ascii="Garamond" w:hAnsi="Garamond" w:cs="Times New Roman"/>
          <w:sz w:val="20"/>
          <w:szCs w:val="20"/>
          <w:lang w:val="es-AR"/>
        </w:rPr>
        <w:t xml:space="preserve"> allí pr</w:t>
      </w:r>
      <w:r w:rsidR="008C5171">
        <w:rPr>
          <w:rFonts w:ascii="Garamond" w:hAnsi="Garamond" w:cs="Times New Roman"/>
          <w:sz w:val="20"/>
          <w:szCs w:val="20"/>
          <w:lang w:val="es-AR"/>
        </w:rPr>
        <w:t>e</w:t>
      </w:r>
      <w:r w:rsidR="00696EA3">
        <w:rPr>
          <w:rFonts w:ascii="Garamond" w:hAnsi="Garamond" w:cs="Times New Roman"/>
          <w:sz w:val="20"/>
          <w:szCs w:val="20"/>
          <w:lang w:val="es-AR"/>
        </w:rPr>
        <w:t>visto</w:t>
      </w:r>
      <w:r>
        <w:rPr>
          <w:rFonts w:ascii="Garamond" w:hAnsi="Garamond" w:cs="Times New Roman"/>
          <w:sz w:val="20"/>
          <w:szCs w:val="20"/>
          <w:lang w:val="es-AR"/>
        </w:rPr>
        <w:t xml:space="preserve">) </w:t>
      </w:r>
      <w:r w:rsidR="006A4782" w:rsidRPr="00CA0A60">
        <w:rPr>
          <w:rFonts w:ascii="Garamond" w:hAnsi="Garamond" w:cs="Times New Roman"/>
          <w:sz w:val="20"/>
          <w:szCs w:val="20"/>
          <w:lang w:val="es-AR"/>
        </w:rPr>
        <w:t>dejar</w:t>
      </w:r>
      <w:r>
        <w:rPr>
          <w:rFonts w:ascii="Garamond" w:hAnsi="Garamond" w:cs="Times New Roman"/>
          <w:sz w:val="20"/>
          <w:szCs w:val="20"/>
          <w:lang w:val="es-AR"/>
        </w:rPr>
        <w:t>á</w:t>
      </w:r>
      <w:r w:rsidR="006A4782" w:rsidRPr="00CA0A60">
        <w:rPr>
          <w:rFonts w:ascii="Garamond" w:hAnsi="Garamond" w:cs="Times New Roman"/>
          <w:sz w:val="20"/>
          <w:szCs w:val="20"/>
          <w:lang w:val="es-AR"/>
        </w:rPr>
        <w:t xml:space="preserve"> de estar plenamente vigente por cualquier motivo (distinto del cumplimiento de todas las obligaciones de las Co-Emisoras, del Garante y de las Subsidiarias de </w:t>
      </w:r>
      <w:r w:rsidR="006A4782" w:rsidRPr="00CA0A60">
        <w:rPr>
          <w:rFonts w:ascii="Garamond" w:hAnsi="Garamond" w:cs="Times New Roman"/>
          <w:sz w:val="20"/>
          <w:szCs w:val="20"/>
          <w:lang w:val="es-AR"/>
        </w:rPr>
        <w:lastRenderedPageBreak/>
        <w:t>conformidad con los términos del presente) o (ii) con respecto a cualquiera de los CCEE, cualquier Persona (distinta de un Adquirente de Energía Eléctrica Aceptable) adquiriera el carácter de adquirente en virtud del mismo por el motivo que fuere</w:t>
      </w:r>
      <w:r w:rsidR="00F574E6" w:rsidRPr="00CA0A60">
        <w:rPr>
          <w:rFonts w:ascii="Garamond" w:hAnsi="Garamond" w:cs="Times New Roman"/>
          <w:sz w:val="20"/>
          <w:szCs w:val="20"/>
          <w:lang w:val="es-AR"/>
        </w:rPr>
        <w:t>; o</w:t>
      </w:r>
    </w:p>
    <w:p w14:paraId="20498705" w14:textId="77777777" w:rsidR="00F574E6" w:rsidRPr="00CA0A60" w:rsidRDefault="00F574E6" w:rsidP="00F574E6">
      <w:pPr>
        <w:widowControl w:val="0"/>
        <w:numPr>
          <w:ilvl w:val="0"/>
          <w:numId w:val="83"/>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acaecimiento de un Cambio de Control.</w:t>
      </w:r>
    </w:p>
    <w:p w14:paraId="3FCD95D2" w14:textId="4594DB1C"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Si un Supuesto de Incumplimiento (que no sea un Supuesto de Incumplimiento detallado en la cláusula (g) anterior respecto del Garante o de cualquier Co-Emisora) ocurre y se prolonga en el tiempo, el Fiduciario o los Tenedores de al menos </w:t>
      </w:r>
      <w:r w:rsidR="006E2A00">
        <w:rPr>
          <w:rFonts w:ascii="Garamond" w:hAnsi="Garamond" w:cs="Times New Roman"/>
          <w:sz w:val="20"/>
          <w:szCs w:val="20"/>
          <w:lang w:val="es-AR"/>
        </w:rPr>
        <w:t>la mayoría</w:t>
      </w:r>
      <w:r w:rsidRPr="00CA0A60">
        <w:rPr>
          <w:rFonts w:ascii="Garamond" w:hAnsi="Garamond" w:cs="Times New Roman"/>
          <w:sz w:val="20"/>
          <w:szCs w:val="20"/>
          <w:lang w:val="es-AR"/>
        </w:rPr>
        <w:t xml:space="preserve"> del monto de capital de las Obligaciones Negociables pendientes de pago podrán declarar el monto impago del capital (y prima, si la hubiera) así como los intereses devengados e impagos de las Obligaciones Negociables inmediatamente exigibles y pagaderas mediante notificación escrita a las Co-Emisoras (y el Fiduciario si la cursan los Tenedores) donde se especifique cuál es el Supuesto de Incumplimiento y que se trata de una “notificación de aceleración”. Si un Supuesto de Incumplimiento especificado en la cláusula (g) anterior se produce respecto del Garante o de cualquier Co-Emisora, el monto impago del capital (y prima, si la hubiera) así como los intereses devengados e impagos de todas las Obligaciones Negociables devendrán inmediatamente exigibles y pagaderos sin necesidad de declaración ni otra acción por parte del Fiduciario o de los Tenedores.</w:t>
      </w:r>
    </w:p>
    <w:p w14:paraId="4CF96C4F"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cualquier momento luego de la declaración de extinción anticipada en relación con las Obligaciones Negociables que se describe en el párrafo anterior, pero antes de cualquier venta de la totalidad o cualquier parte de los Derechos de Garantía de acuerdo con los términos de los Documentos de Garantía, los Tenedores que representen la mayoría del capital de las Obligaciones Negociables en circulación podrán resolver y cancelar dicha declaración y sus consecuencias mediante notificación escrita a las Co-Emisoras:</w:t>
      </w:r>
    </w:p>
    <w:p w14:paraId="17BCF66E" w14:textId="77777777" w:rsidR="00F574E6" w:rsidRPr="00CA0A60" w:rsidRDefault="00F574E6" w:rsidP="00F574E6">
      <w:pPr>
        <w:widowControl w:val="0"/>
        <w:numPr>
          <w:ilvl w:val="0"/>
          <w:numId w:val="85"/>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 la resolución no contradice ninguna sentencia u orden;</w:t>
      </w:r>
    </w:p>
    <w:p w14:paraId="4746AABC" w14:textId="0C2A9EE7" w:rsidR="00F574E6" w:rsidRPr="00CA0A60" w:rsidRDefault="00F574E6" w:rsidP="00F574E6">
      <w:pPr>
        <w:widowControl w:val="0"/>
        <w:numPr>
          <w:ilvl w:val="0"/>
          <w:numId w:val="85"/>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si todos los Supuestos de Incumplimiento existentes han sido subsanados o dispensados, salvo por la falta de pago del capital o intereses que haya devenido exigible solamente debido a la extinción anticipada; </w:t>
      </w:r>
      <w:r w:rsidRPr="00CA0A60">
        <w:rPr>
          <w:rFonts w:ascii="Garamond" w:hAnsi="Garamond" w:cs="Times New Roman"/>
          <w:color w:val="000000"/>
          <w:sz w:val="20"/>
          <w:szCs w:val="20"/>
          <w:u w:val="single"/>
          <w:lang w:val="es-AR" w:eastAsia="es-ES" w:bidi="es-ES"/>
        </w:rPr>
        <w:t>no obstante</w:t>
      </w:r>
      <w:r w:rsidRPr="00CA0A60">
        <w:rPr>
          <w:rFonts w:ascii="Garamond" w:hAnsi="Garamond" w:cs="Times New Roman"/>
          <w:sz w:val="20"/>
          <w:szCs w:val="20"/>
          <w:lang w:val="es-AR"/>
        </w:rPr>
        <w:t xml:space="preserve">, en el caso de que se subsane o dispense un Supuesto de Incumplimiento del tipo descripto en la cláusula (g) de la descripción precedente de Supuestos de Incumplimiento (que no sean respecto del Garante o de cualquier Co-Emisora), el Fiduciario deberá recibir un Certificado de Directivos </w:t>
      </w:r>
      <w:r w:rsidR="006E2A00">
        <w:rPr>
          <w:rFonts w:ascii="Garamond" w:hAnsi="Garamond" w:cs="Times New Roman"/>
          <w:sz w:val="20"/>
          <w:szCs w:val="20"/>
          <w:lang w:val="es-AR"/>
        </w:rPr>
        <w:t xml:space="preserve">de las Co-Emisoras </w:t>
      </w:r>
      <w:r w:rsidRPr="00CA0A60">
        <w:rPr>
          <w:rFonts w:ascii="Garamond" w:hAnsi="Garamond" w:cs="Times New Roman"/>
          <w:sz w:val="20"/>
          <w:szCs w:val="20"/>
          <w:lang w:val="es-AR"/>
        </w:rPr>
        <w:t>y una Opinión Legal que confirmen que dicho Supuesto de Incumplimiento ha sido subsanado o dispensado;</w:t>
      </w:r>
    </w:p>
    <w:p w14:paraId="7D10C0CA" w14:textId="77777777" w:rsidR="00F574E6" w:rsidRPr="00CA0A60" w:rsidRDefault="00F574E6" w:rsidP="00F574E6">
      <w:pPr>
        <w:widowControl w:val="0"/>
        <w:numPr>
          <w:ilvl w:val="0"/>
          <w:numId w:val="85"/>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tanto el pago de dichos intereses sea legítimo, que se hayan pagado los intereses sobre cuotas vencidas de interés y capital vencido devenidos exigibles por otro medio que no sea la declaración de extinción anticipada, y</w:t>
      </w:r>
    </w:p>
    <w:p w14:paraId="06C10510" w14:textId="19CCEFD9" w:rsidR="00F574E6" w:rsidRPr="00CA0A60" w:rsidRDefault="00F574E6" w:rsidP="00F574E6">
      <w:pPr>
        <w:widowControl w:val="0"/>
        <w:numPr>
          <w:ilvl w:val="0"/>
          <w:numId w:val="85"/>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 las Co-Emisoras hubieran pagado o dispuesto que se pague al Fiduciario, al Agente de Garantía Internacional, al Agente de Garantía Local, al Fiduciario Argentino, al agente de registro conjunto, a cada agente de pago, a cada agente de transferencia, a cada agente de cotización y a cualquier agente de éstos</w:t>
      </w:r>
      <w:r w:rsidR="003E0715">
        <w:rPr>
          <w:rFonts w:ascii="Garamond" w:hAnsi="Garamond" w:cs="Times New Roman"/>
          <w:sz w:val="20"/>
          <w:szCs w:val="20"/>
          <w:lang w:val="es-AR"/>
        </w:rPr>
        <w:t xml:space="preserve"> según los Documentos de Financiación</w:t>
      </w:r>
      <w:r w:rsidRPr="00CA0A60">
        <w:rPr>
          <w:rFonts w:ascii="Garamond" w:hAnsi="Garamond" w:cs="Times New Roman"/>
          <w:sz w:val="20"/>
          <w:szCs w:val="20"/>
          <w:lang w:val="es-AR"/>
        </w:rPr>
        <w:t>, la retribución correspondiente a cada uno de ellos y reembolsado al Fiduciario, al Agente de Garantía Internacional,  al Agente de Garantía Local, al Fiduciario Argentino, al agente de registro conjunto, a cada agente de pago, a cada agente de transferencia, a cada agente de cotización y a cualquier agente de éstos todos los gastos, erogaciones y anticipos (tales como los gastos y honorarios de abogados que resulten razonables y estén documentados) irrogados o efectuados por ellos y pendientes en ese momento.</w:t>
      </w:r>
    </w:p>
    <w:p w14:paraId="35EBFE12"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Ninguna resolución afectará cualquier Incumplimiento posterior ni afectará los derechos relacionados con aquél.</w:t>
      </w:r>
    </w:p>
    <w:p w14:paraId="397EC86A" w14:textId="7AA6928A"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Tenedores que representen la mayoría del capital de las Obligaciones Negociables pendientes de pago podrán, mediante notificación al Fiduciario y a las Co-Emisoras, renunciar a exigir el cumplimiento de cualquier Incumplimiento o Supuesto de Incumplimiento existente descripto en el Contrato de Fideicomiso y los Documentos de Garantía, y a sus consecuencias, con excepción del Incumplimiento en el pago del capital, o prima, si la hubiere, de los Montos Adicionales  o intereses sobre las Obligaciones Negociables.</w:t>
      </w:r>
    </w:p>
    <w:p w14:paraId="4FDB561C" w14:textId="6350C260"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Sujeto a las disposiciones del Contrato de Fideicomiso relativas a las funciones del Fiduciario, este último no estará obligado a ejercer sus derechos o facultades en virtud del Contrato de Fideicomiso o ante el pedido, orden o instrucción de los Tenedores, a menos que éstos le hayan ofrecido indemnidad y/o garantía que le resulte satisfactoria. De acuerdo con todas las disposiciones del Contrato de Fideicomiso y la legislación aplicable, los Tenedores que representen la mayoría en el total del capital de las Obligaciones Negociables  pendientes de pago en ese momento tendrán el derecho de ordenar el tiempo, método y lugar en el que se llevará adelante cualquier proceso de reparación disponible para el Fiduciario</w:t>
      </w:r>
      <w:r w:rsidR="003E0715">
        <w:rPr>
          <w:rFonts w:ascii="Garamond" w:hAnsi="Garamond" w:cs="Times New Roman"/>
          <w:sz w:val="20"/>
          <w:szCs w:val="20"/>
          <w:lang w:val="es-AR"/>
        </w:rPr>
        <w:t>, Agente de Garantía Internacional, el Agente de Garantía Local o el Fiduciario Argentino, según corresponda,</w:t>
      </w:r>
      <w:r w:rsidRPr="00CA0A60">
        <w:rPr>
          <w:rFonts w:ascii="Garamond" w:hAnsi="Garamond" w:cs="Times New Roman"/>
          <w:sz w:val="20"/>
          <w:szCs w:val="20"/>
          <w:lang w:val="es-AR"/>
        </w:rPr>
        <w:t xml:space="preserve"> o ejercer cualquier fideicomiso o facultad que le haya sido conferida</w:t>
      </w:r>
      <w:r w:rsidR="003E0715">
        <w:rPr>
          <w:rFonts w:ascii="Garamond" w:hAnsi="Garamond" w:cs="Times New Roman"/>
          <w:sz w:val="20"/>
          <w:szCs w:val="20"/>
          <w:lang w:val="es-AR"/>
        </w:rPr>
        <w:t xml:space="preserve"> a</w:t>
      </w:r>
      <w:r w:rsidR="003E0715" w:rsidRPr="003E0715">
        <w:rPr>
          <w:rFonts w:ascii="Garamond" w:hAnsi="Garamond" w:cs="Times New Roman"/>
          <w:sz w:val="20"/>
          <w:szCs w:val="20"/>
          <w:lang w:val="es-AR"/>
        </w:rPr>
        <w:t xml:space="preserve"> </w:t>
      </w:r>
      <w:r w:rsidR="003E0715" w:rsidRPr="00CA0A60">
        <w:rPr>
          <w:rFonts w:ascii="Garamond" w:hAnsi="Garamond" w:cs="Times New Roman"/>
          <w:sz w:val="20"/>
          <w:szCs w:val="20"/>
          <w:lang w:val="es-AR"/>
        </w:rPr>
        <w:t>Fiduciario</w:t>
      </w:r>
      <w:r w:rsidR="003E0715">
        <w:rPr>
          <w:rFonts w:ascii="Garamond" w:hAnsi="Garamond" w:cs="Times New Roman"/>
          <w:sz w:val="20"/>
          <w:szCs w:val="20"/>
          <w:lang w:val="es-AR"/>
        </w:rPr>
        <w:t>, Agente de Garantía Internacional, el Agente de Garantía Local o el Fiduciario Argentino</w:t>
      </w:r>
      <w:r w:rsidRPr="00CA0A60">
        <w:rPr>
          <w:rFonts w:ascii="Garamond" w:hAnsi="Garamond" w:cs="Times New Roman"/>
          <w:sz w:val="20"/>
          <w:szCs w:val="20"/>
          <w:lang w:val="es-AR"/>
        </w:rPr>
        <w:t>.</w:t>
      </w:r>
    </w:p>
    <w:p w14:paraId="2C835494"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Los Tenedores de las Obligaciones Negociables no tendrán derecho a comenzar procesos relacionados con el </w:t>
      </w:r>
      <w:r w:rsidRPr="00CA0A60">
        <w:rPr>
          <w:rFonts w:ascii="Garamond" w:hAnsi="Garamond" w:cs="Times New Roman"/>
          <w:sz w:val="20"/>
          <w:szCs w:val="20"/>
          <w:lang w:val="es-AR"/>
        </w:rPr>
        <w:lastRenderedPageBreak/>
        <w:t>Contrato de Fideicomiso o los Documentos de Garantía o para la obtención de reparaciones en virtud de ellos, a menos que:</w:t>
      </w:r>
    </w:p>
    <w:p w14:paraId="45507487" w14:textId="77777777" w:rsidR="00F574E6" w:rsidRPr="00CA0A60" w:rsidRDefault="00F574E6" w:rsidP="00F574E6">
      <w:pPr>
        <w:widowControl w:val="0"/>
        <w:numPr>
          <w:ilvl w:val="0"/>
          <w:numId w:val="86"/>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Tenedor en cuestión curse notificación escrita al Fiduciario informándole del Supuesto de Incumplimiento que continúa produciéndose;</w:t>
      </w:r>
    </w:p>
    <w:p w14:paraId="3A9332D0" w14:textId="5755139E" w:rsidR="00F574E6" w:rsidRPr="00CA0A60" w:rsidRDefault="00F574E6" w:rsidP="00F574E6">
      <w:pPr>
        <w:widowControl w:val="0"/>
        <w:numPr>
          <w:ilvl w:val="0"/>
          <w:numId w:val="86"/>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los Tenedores de al menos </w:t>
      </w:r>
      <w:r w:rsidR="003E0715">
        <w:rPr>
          <w:rFonts w:ascii="Garamond" w:hAnsi="Garamond" w:cs="Times New Roman"/>
          <w:sz w:val="20"/>
          <w:szCs w:val="20"/>
          <w:lang w:val="es-AR"/>
        </w:rPr>
        <w:t xml:space="preserve">la mayoría </w:t>
      </w:r>
      <w:r w:rsidRPr="00CA0A60">
        <w:rPr>
          <w:rFonts w:ascii="Garamond" w:hAnsi="Garamond" w:cs="Times New Roman"/>
          <w:sz w:val="20"/>
          <w:szCs w:val="20"/>
          <w:lang w:val="es-AR"/>
        </w:rPr>
        <w:t>del monto de capital de las Obligaciones Negociables pendientes de pago realicen un pedido por escrito para la solicitud de la reparación;</w:t>
      </w:r>
    </w:p>
    <w:p w14:paraId="3C113240" w14:textId="77777777" w:rsidR="00F574E6" w:rsidRPr="00CA0A60" w:rsidRDefault="00F574E6" w:rsidP="00F574E6">
      <w:pPr>
        <w:widowControl w:val="0"/>
        <w:numPr>
          <w:ilvl w:val="0"/>
          <w:numId w:val="86"/>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Tenedores de las Obligaciones Negociables  le otorguen al Fiduciario indemnidad a su satisfacción respecto de cualquier costo, obligación o gasto;</w:t>
      </w:r>
    </w:p>
    <w:p w14:paraId="7AC18F2C" w14:textId="77777777" w:rsidR="00F574E6" w:rsidRPr="00CA0A60" w:rsidRDefault="00F574E6" w:rsidP="00F574E6">
      <w:pPr>
        <w:widowControl w:val="0"/>
        <w:numPr>
          <w:ilvl w:val="0"/>
          <w:numId w:val="86"/>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Fiduciario no cumpla dentro de los 60 días de recibida la notificación y oferta de indemnidad; y</w:t>
      </w:r>
    </w:p>
    <w:p w14:paraId="6E9E8796" w14:textId="77777777" w:rsidR="00F574E6" w:rsidRPr="00CA0A60" w:rsidRDefault="00F574E6" w:rsidP="00F574E6">
      <w:pPr>
        <w:widowControl w:val="0"/>
        <w:numPr>
          <w:ilvl w:val="0"/>
          <w:numId w:val="86"/>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durante dichos 60 días los Tenedores que representan la mayoría del capital total de las Obligaciones Negociables entonces pendientes de pago no le den al Fiduciario una orden escrita que, para el Fiduciario, sea incongruente con la solicitud.</w:t>
      </w:r>
    </w:p>
    <w:p w14:paraId="52C48864"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Sin perjuicio de ello, el Tenedor de una obligación negociable podrá iniciar un proceso judicial para exigir el pago del capital de la obligación negociable y prima, si la hubiera, o interés sobre dicha obligación en las fechas de vencimiento expresadas en la obligación o con posterioridad a ellas.</w:t>
      </w:r>
    </w:p>
    <w:p w14:paraId="58B14AC1" w14:textId="7B4ACDF6"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Al tomar conocimiento de un Incumplimiento o Supuesto de Incumplimiento, las Co-Emisoras deberán entregar al Fiduciario tan rápido como sea posible (y a todo evento dentro de los diez Días Hábiles) un Certificado de Directivos</w:t>
      </w:r>
      <w:r w:rsidR="003E0715">
        <w:rPr>
          <w:rFonts w:ascii="Garamond" w:hAnsi="Garamond" w:cs="Times New Roman"/>
          <w:sz w:val="20"/>
          <w:szCs w:val="20"/>
          <w:lang w:val="es-AR"/>
        </w:rPr>
        <w:t xml:space="preserve"> de las Co-Emisoras</w:t>
      </w:r>
      <w:r w:rsidRPr="00CA0A60">
        <w:rPr>
          <w:rFonts w:ascii="Garamond" w:hAnsi="Garamond" w:cs="Times New Roman"/>
          <w:sz w:val="20"/>
          <w:szCs w:val="20"/>
          <w:lang w:val="es-AR"/>
        </w:rPr>
        <w:t xml:space="preserve"> que describa la situación que constituiría un Incumplimiento o Supuesto de Incumplimiento, su estado, y las acciones que las Co-Emisoras están realizando o proponen realizar al respecto. En ausencia de tal notificación de Incumplimiento o Supuesto de Incumplimiento por parte de las Co-Emisoras y una descripción del Incumplimiento o Supuesto de Incumplimiento en dicho Certificado de Directivos, el Fiduciario no se tendrá por notificado o informado del Incumplimiento o Supuesto de Incumplimiento. El Contrato de Fideicomiso establece que de producirse un Incumplimiento o Supuesto de Incumplimiento o si se prolonga en el tiempo y el Fiduciario es notificado al respecto, éste deberá notificar a cada Tenedor sobre el Incumplimiento o Supuesto de Incumplimiento dentro de los 45 días posteriores </w:t>
      </w:r>
      <w:r w:rsidR="003E0715">
        <w:rPr>
          <w:rFonts w:ascii="Garamond" w:hAnsi="Garamond" w:cs="Times New Roman"/>
          <w:sz w:val="20"/>
          <w:szCs w:val="20"/>
          <w:lang w:val="es-AR"/>
        </w:rPr>
        <w:t>a la recepción de la notificación escrita</w:t>
      </w:r>
      <w:r w:rsidRPr="00CA0A60">
        <w:rPr>
          <w:rFonts w:ascii="Garamond" w:hAnsi="Garamond" w:cs="Times New Roman"/>
          <w:sz w:val="20"/>
          <w:szCs w:val="20"/>
          <w:lang w:val="es-AR"/>
        </w:rPr>
        <w:t>. Salvo en el caso de un Incumplimiento o Supuesto de Incumplimiento referido al pago del capital, prima, si la hubiera, de los Montos Adicionales  o intereses sobre Obligaciones Negociables, el Fiduciario podrá retener la notificación si y en tanto un comité integrado por sus funcionarios fiduciarios de buena fe determine que la retención en cuestión es en beneficio de los Tenedores.</w:t>
      </w:r>
    </w:p>
    <w:p w14:paraId="142AF772" w14:textId="77777777" w:rsidR="00F574E6" w:rsidRPr="00CA0A60" w:rsidRDefault="00F574E6" w:rsidP="00F574E6">
      <w:pPr>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Cancelación Legal y Cancelación de Compromisos</w:t>
      </w:r>
    </w:p>
    <w:p w14:paraId="4F637A39" w14:textId="7C68E1C1"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Co-Emisoras podrán, si así lo desean y cuando lo deseen, optar por el cumplimiento de sus obligaciones y las obligaciones de los Garantes respecto de, según corresponda, las Obligaciones Negociables  pendientes de pago, las Garantías de ASA,</w:t>
      </w:r>
      <w:r w:rsidR="003E0715">
        <w:rPr>
          <w:rFonts w:ascii="Garamond" w:hAnsi="Garamond" w:cs="Times New Roman"/>
          <w:sz w:val="20"/>
          <w:szCs w:val="20"/>
          <w:lang w:val="es-AR"/>
        </w:rPr>
        <w:t xml:space="preserve"> y</w:t>
      </w:r>
      <w:r w:rsidRPr="00CA0A60">
        <w:rPr>
          <w:rFonts w:ascii="Garamond" w:hAnsi="Garamond" w:cs="Times New Roman"/>
          <w:sz w:val="20"/>
          <w:szCs w:val="20"/>
          <w:lang w:val="es-AR"/>
        </w:rPr>
        <w:t xml:space="preserve"> el Contrato de Fideicomiso (“</w:t>
      </w:r>
      <w:r w:rsidRPr="00CA0A60">
        <w:rPr>
          <w:rFonts w:ascii="Garamond" w:hAnsi="Garamond" w:cs="Times New Roman"/>
          <w:sz w:val="20"/>
          <w:szCs w:val="20"/>
          <w:u w:val="single"/>
          <w:lang w:val="es-AR"/>
        </w:rPr>
        <w:t>Cancelación Legal</w:t>
      </w:r>
      <w:r w:rsidRPr="00CA0A60">
        <w:rPr>
          <w:rFonts w:ascii="Garamond" w:hAnsi="Garamond" w:cs="Times New Roman"/>
          <w:sz w:val="20"/>
          <w:szCs w:val="20"/>
          <w:lang w:val="es-AR"/>
        </w:rPr>
        <w:t>”). Esta Cancelación Legal significa que las Garantías de ASA vigentes en ese momento quedarán automáticamente liberadas y que se considerará que las Co-Emisoras y los Garantes han pagado y cancelado la totalidad de la Deuda representada por las Obligaciones Negociables pendientes de pago al 91° día posterior al depósito especificado en la cláusula (a) del tercer párrafo siguiente, con excepción de:</w:t>
      </w:r>
    </w:p>
    <w:p w14:paraId="3654C42F" w14:textId="77777777" w:rsidR="00F574E6" w:rsidRPr="00CA0A60" w:rsidRDefault="00F574E6" w:rsidP="00F574E6">
      <w:pPr>
        <w:widowControl w:val="0"/>
        <w:numPr>
          <w:ilvl w:val="0"/>
          <w:numId w:val="87"/>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derechos de los Tenedores a recibir pagos respecto del capital, prima, si hubiera, intereses y Montos Adicionales, si hubieran, sobre las Obligaciones Negociables al vencimiento de dichos pagos;</w:t>
      </w:r>
    </w:p>
    <w:p w14:paraId="6CF712FE" w14:textId="77777777" w:rsidR="00F574E6" w:rsidRPr="00CA0A60" w:rsidRDefault="00F574E6" w:rsidP="00F574E6">
      <w:pPr>
        <w:widowControl w:val="0"/>
        <w:numPr>
          <w:ilvl w:val="0"/>
          <w:numId w:val="87"/>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de las Co-Emisoras respecto de las Obligaciones Negociables en relación con la emisión de obligaciones negociables provisorias, registro de obligaciones negociables, obligaciones negociables mutiladas, destruidas, pérdidas o robadas y el mantenimiento de una oficina o agencia para los pagos;</w:t>
      </w:r>
    </w:p>
    <w:p w14:paraId="5DA084E5" w14:textId="2B0B5A0B" w:rsidR="00F574E6" w:rsidRPr="00CA0A60" w:rsidRDefault="00F574E6" w:rsidP="00F574E6">
      <w:pPr>
        <w:widowControl w:val="0"/>
        <w:numPr>
          <w:ilvl w:val="0"/>
          <w:numId w:val="87"/>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derechos, facultades, fideicomiso, funciones e inmunidades del Fiduciario, el representante del Fiduciario en Argentina, el Agente de Garantía Internacional,  el Agente de Garantía Local, el Fiduciario</w:t>
      </w:r>
      <w:r w:rsidR="003E0715">
        <w:rPr>
          <w:rFonts w:ascii="Garamond" w:hAnsi="Garamond" w:cs="Times New Roman"/>
          <w:sz w:val="20"/>
          <w:szCs w:val="20"/>
          <w:lang w:val="es-AR"/>
        </w:rPr>
        <w:t xml:space="preserve"> </w:t>
      </w:r>
      <w:r w:rsidR="003E0715" w:rsidRPr="00CA0A60">
        <w:rPr>
          <w:rFonts w:ascii="Garamond" w:hAnsi="Garamond" w:cs="Times New Roman"/>
          <w:sz w:val="20"/>
          <w:szCs w:val="20"/>
          <w:lang w:val="es-AR"/>
        </w:rPr>
        <w:t>Argentino,</w:t>
      </w:r>
      <w:r w:rsidR="003E0715">
        <w:rPr>
          <w:rFonts w:ascii="Garamond" w:hAnsi="Garamond" w:cs="Times New Roman"/>
          <w:sz w:val="20"/>
          <w:szCs w:val="20"/>
          <w:lang w:val="es-AR"/>
        </w:rPr>
        <w:t xml:space="preserve"> el Banco Depositario,</w:t>
      </w:r>
      <w:r w:rsidRPr="00CA0A60">
        <w:rPr>
          <w:rFonts w:ascii="Garamond" w:hAnsi="Garamond" w:cs="Times New Roman"/>
          <w:sz w:val="20"/>
          <w:szCs w:val="20"/>
          <w:lang w:val="es-AR"/>
        </w:rPr>
        <w:t xml:space="preserve"> el agente de pago,</w:t>
      </w:r>
      <w:r w:rsidR="003E0715">
        <w:rPr>
          <w:rFonts w:ascii="Garamond" w:hAnsi="Garamond" w:cs="Times New Roman"/>
          <w:sz w:val="20"/>
          <w:szCs w:val="20"/>
          <w:lang w:val="es-AR"/>
        </w:rPr>
        <w:t xml:space="preserve"> el registrador, </w:t>
      </w:r>
      <w:r w:rsidRPr="00CA0A60">
        <w:rPr>
          <w:rFonts w:ascii="Garamond" w:hAnsi="Garamond" w:cs="Times New Roman"/>
          <w:sz w:val="20"/>
          <w:szCs w:val="20"/>
          <w:lang w:val="es-AR"/>
        </w:rPr>
        <w:t>el agente de registro conjunto y el agente de transferencia y las obligaciones de las Co-Emisoras y los Garantes en relación con ellas; y</w:t>
      </w:r>
    </w:p>
    <w:p w14:paraId="7217314F" w14:textId="77777777" w:rsidR="00F574E6" w:rsidRPr="00CA0A60" w:rsidRDefault="00F574E6" w:rsidP="00F574E6">
      <w:pPr>
        <w:widowControl w:val="0"/>
        <w:numPr>
          <w:ilvl w:val="0"/>
          <w:numId w:val="87"/>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disposiciones sobre Cancelación Legal del Contrato de Fideicomiso.</w:t>
      </w:r>
    </w:p>
    <w:p w14:paraId="7ECBA805" w14:textId="66E67019"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Por otra parte, las Co-Emisoras podrán, si así lo desean y cuando lo deseen, optar por la liberación de las obligaciones de las Co-Emisoras y los Garantes respecto de ciertos compromisos</w:t>
      </w:r>
      <w:r w:rsidR="00B86E06">
        <w:rPr>
          <w:rFonts w:ascii="Garamond" w:hAnsi="Garamond" w:cs="Times New Roman"/>
          <w:sz w:val="20"/>
          <w:szCs w:val="20"/>
          <w:lang w:val="es-AR"/>
        </w:rPr>
        <w:t xml:space="preserve"> del Contrato de Fideicomiso </w:t>
      </w:r>
      <w:r w:rsidRPr="00CA0A60">
        <w:rPr>
          <w:rFonts w:ascii="Garamond" w:hAnsi="Garamond" w:cs="Times New Roman"/>
          <w:sz w:val="20"/>
          <w:szCs w:val="20"/>
          <w:lang w:val="es-AR"/>
        </w:rPr>
        <w:t xml:space="preserve"> (incluida la obligación de realizar </w:t>
      </w:r>
      <w:r w:rsidR="00B86E06">
        <w:rPr>
          <w:rFonts w:ascii="Garamond" w:hAnsi="Garamond" w:cs="Times New Roman"/>
          <w:sz w:val="20"/>
          <w:szCs w:val="20"/>
          <w:lang w:val="es-AR"/>
        </w:rPr>
        <w:t xml:space="preserve">recompras obligatorias de Obligaciones Negociables en virtud de las disposiciones del Contrato de Fideicomiso descriptas bajo el título </w:t>
      </w:r>
      <w:r w:rsidR="00B86E06">
        <w:rPr>
          <w:rFonts w:ascii="Garamond" w:hAnsi="Garamond" w:cs="Times New Roman"/>
          <w:i/>
          <w:sz w:val="20"/>
          <w:szCs w:val="20"/>
          <w:lang w:val="es-AR"/>
        </w:rPr>
        <w:t xml:space="preserve">“—Ofertas Obligatorias de Compra de Obligaciones Negociables—Supuesto de Pérdida, Expropiación y </w:t>
      </w:r>
      <w:r w:rsidRPr="00A23B59">
        <w:rPr>
          <w:rFonts w:ascii="Garamond" w:hAnsi="Garamond" w:cs="Times New Roman"/>
          <w:i/>
          <w:sz w:val="20"/>
          <w:szCs w:val="20"/>
          <w:lang w:val="es-AR"/>
        </w:rPr>
        <w:t xml:space="preserve"> Venta de Activos</w:t>
      </w:r>
      <w:r w:rsidR="00B86E06">
        <w:rPr>
          <w:rFonts w:ascii="Garamond" w:hAnsi="Garamond" w:cs="Times New Roman"/>
          <w:sz w:val="20"/>
          <w:szCs w:val="20"/>
          <w:lang w:val="es-AR"/>
        </w:rPr>
        <w:t>”</w:t>
      </w:r>
      <w:r w:rsidRPr="00CA0A60">
        <w:rPr>
          <w:rFonts w:ascii="Garamond" w:hAnsi="Garamond" w:cs="Times New Roman"/>
          <w:sz w:val="20"/>
          <w:szCs w:val="20"/>
          <w:lang w:val="es-AR"/>
        </w:rPr>
        <w:t>) que se describen en el Contrato de Fideicomiso (“</w:t>
      </w:r>
      <w:r w:rsidRPr="00CA0A60">
        <w:rPr>
          <w:rFonts w:ascii="Garamond" w:hAnsi="Garamond" w:cs="Times New Roman"/>
          <w:sz w:val="20"/>
          <w:szCs w:val="20"/>
          <w:u w:val="single"/>
          <w:lang w:val="es-AR"/>
        </w:rPr>
        <w:t>Cancelación de Compromisos</w:t>
      </w:r>
      <w:r w:rsidRPr="00CA0A60">
        <w:rPr>
          <w:rFonts w:ascii="Garamond" w:hAnsi="Garamond" w:cs="Times New Roman"/>
          <w:sz w:val="20"/>
          <w:szCs w:val="20"/>
          <w:lang w:val="es-AR"/>
        </w:rPr>
        <w:t xml:space="preserve">”). A partir de ese momento, las omisiones de cumplimiento de dichas obligaciones no constituirán un Incumplimiento o Supuesto de Incumplimiento respecto de las Obligaciones </w:t>
      </w:r>
      <w:r w:rsidRPr="00CA0A60">
        <w:rPr>
          <w:rFonts w:ascii="Garamond" w:hAnsi="Garamond" w:cs="Times New Roman"/>
          <w:sz w:val="20"/>
          <w:szCs w:val="20"/>
          <w:lang w:val="es-AR"/>
        </w:rPr>
        <w:lastRenderedPageBreak/>
        <w:t xml:space="preserve">Negociables. En el caso de que se produzca una Cancelación de Compromisos, algunos hechos (salvo hechos de falta de pago, quiebra, administración judicial, concursos y cesación de pagos) descriptos bajo el título “Supuestos de Incumplimiento” ya no constituirán un Supuesto de Incumplimiento respecto de las Obligaciones Negociables y las Garantías de ASA vigentes en ese momento quedarán </w:t>
      </w:r>
      <w:r w:rsidR="003E0715">
        <w:rPr>
          <w:rFonts w:ascii="Garamond" w:hAnsi="Garamond" w:cs="Times New Roman"/>
          <w:sz w:val="20"/>
          <w:szCs w:val="20"/>
          <w:lang w:val="es-AR"/>
        </w:rPr>
        <w:t>simultáneamente</w:t>
      </w:r>
      <w:r w:rsidR="003E0715" w:rsidRPr="00CA0A60">
        <w:rPr>
          <w:rFonts w:ascii="Garamond" w:hAnsi="Garamond" w:cs="Times New Roman"/>
          <w:sz w:val="20"/>
          <w:szCs w:val="20"/>
          <w:lang w:val="es-AR"/>
        </w:rPr>
        <w:t xml:space="preserve"> </w:t>
      </w:r>
      <w:r w:rsidRPr="00CA0A60">
        <w:rPr>
          <w:rFonts w:ascii="Garamond" w:hAnsi="Garamond" w:cs="Times New Roman"/>
          <w:sz w:val="20"/>
          <w:szCs w:val="20"/>
          <w:lang w:val="es-AR"/>
        </w:rPr>
        <w:t>liberadas.</w:t>
      </w:r>
    </w:p>
    <w:p w14:paraId="65F9BFA0" w14:textId="77777777"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Con el fin de poder ejercer la Cancelación Legal o Cancelación de Compromisos en virtud del Contrato de Fideicomiso:</w:t>
      </w:r>
    </w:p>
    <w:p w14:paraId="3939480C" w14:textId="340F0FCE" w:rsidR="00F574E6" w:rsidRPr="00CA0A60" w:rsidRDefault="00F574E6" w:rsidP="00F574E6">
      <w:pPr>
        <w:widowControl w:val="0"/>
        <w:numPr>
          <w:ilvl w:val="0"/>
          <w:numId w:val="88"/>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Co-Emisoras deberán depositar irrevocablemente con el Fiduciario, en fideicomiso, en beneficio de los Tenedores, dinero en efectivo en Dólares Estadounidenses, Títulos de Deuda del Gobierno de </w:t>
      </w:r>
      <w:r w:rsidR="00CA0A60" w:rsidRPr="00CA0A60">
        <w:rPr>
          <w:rFonts w:ascii="Garamond" w:hAnsi="Garamond" w:cs="Times New Roman"/>
          <w:sz w:val="20"/>
          <w:szCs w:val="20"/>
          <w:lang w:val="es-AR"/>
        </w:rPr>
        <w:t>los EE.UU.</w:t>
      </w:r>
      <w:r w:rsidRPr="00CA0A60">
        <w:rPr>
          <w:rFonts w:ascii="Garamond" w:hAnsi="Garamond" w:cs="Times New Roman"/>
          <w:sz w:val="20"/>
          <w:szCs w:val="20"/>
          <w:lang w:val="es-AR"/>
        </w:rPr>
        <w:t>, o una combinación de ambos, en los montos que resulten suficientes (sin reinversión) a criterio de un estudio de contadores públicos independientes reconocido a nivel nacional o banco de inversión, para pagar el capital, la prima, si la hubiera, los intereses y Montos Adicionales, si los hubiera, sobre las Obligaciones Negociables  en la fecha establecida para el pago respectivo o en la fecha de rescate aplicable, según sea el caso;</w:t>
      </w:r>
    </w:p>
    <w:p w14:paraId="658DD5EA" w14:textId="77777777" w:rsidR="00F574E6" w:rsidRPr="00CA0A60" w:rsidRDefault="00F574E6" w:rsidP="00F574E6">
      <w:pPr>
        <w:widowControl w:val="0"/>
        <w:numPr>
          <w:ilvl w:val="0"/>
          <w:numId w:val="88"/>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caso de Cancelación Legal, las Co-Emisoras deberán entregar al Fiduciario una Opinión Legal emitida por abogados de los Estados Unidos que el Fiduciario considere razonablemente aceptables e independientemente de que las Co-Emisoras confirmen que:</w:t>
      </w:r>
    </w:p>
    <w:p w14:paraId="0D545EE2" w14:textId="77777777" w:rsidR="00F574E6" w:rsidRPr="00CA0A60" w:rsidRDefault="00F574E6" w:rsidP="00F574E6">
      <w:pPr>
        <w:widowControl w:val="0"/>
        <w:tabs>
          <w:tab w:val="left" w:pos="284"/>
          <w:tab w:val="left" w:pos="709"/>
          <w:tab w:val="left" w:pos="1418"/>
          <w:tab w:val="left" w:pos="1473"/>
          <w:tab w:val="left" w:pos="2268"/>
          <w:tab w:val="left" w:pos="8789"/>
        </w:tabs>
        <w:spacing w:before="120" w:after="120" w:line="240" w:lineRule="auto"/>
        <w:ind w:left="1744"/>
        <w:jc w:val="both"/>
        <w:rPr>
          <w:rFonts w:ascii="Garamond" w:hAnsi="Garamond" w:cs="Times New Roman"/>
          <w:sz w:val="20"/>
          <w:szCs w:val="20"/>
          <w:lang w:val="es-AR"/>
        </w:rPr>
      </w:pPr>
      <w:r w:rsidRPr="00CA0A60">
        <w:rPr>
          <w:rFonts w:ascii="Garamond" w:hAnsi="Garamond" w:cs="Times New Roman"/>
          <w:sz w:val="20"/>
          <w:szCs w:val="20"/>
          <w:lang w:val="es-AR"/>
        </w:rPr>
        <w:t>(i)</w:t>
      </w:r>
      <w:r w:rsidRPr="00CA0A60">
        <w:rPr>
          <w:rFonts w:ascii="Garamond" w:hAnsi="Garamond" w:cs="Times New Roman"/>
          <w:sz w:val="20"/>
          <w:szCs w:val="20"/>
          <w:lang w:val="es-AR"/>
        </w:rPr>
        <w:tab/>
        <w:t>las Co-Emisoras han recibido de parte de, o ha sido publicado por, la Autoridad Impositiva de los Estados Unidos un fallo; o</w:t>
      </w:r>
    </w:p>
    <w:p w14:paraId="78C8B4A7" w14:textId="77777777" w:rsidR="00F574E6" w:rsidRPr="00CA0A60" w:rsidRDefault="00F574E6" w:rsidP="00F574E6">
      <w:pPr>
        <w:widowControl w:val="0"/>
        <w:numPr>
          <w:ilvl w:val="0"/>
          <w:numId w:val="89"/>
        </w:numPr>
        <w:tabs>
          <w:tab w:val="left" w:pos="284"/>
          <w:tab w:val="left" w:pos="709"/>
          <w:tab w:val="left" w:pos="1418"/>
          <w:tab w:val="left" w:pos="1473"/>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desde la Fecha de Emisión, se ha producido un cambio en la legislación federal de los Estados Unidos en materia de impuesto a las ganancias,</w:t>
      </w:r>
    </w:p>
    <w:p w14:paraId="46C75F7B" w14:textId="77777777" w:rsidR="00F574E6" w:rsidRPr="00CA0A60" w:rsidRDefault="00F574E6" w:rsidP="00F574E6">
      <w:pPr>
        <w:widowControl w:val="0"/>
        <w:tabs>
          <w:tab w:val="left" w:pos="284"/>
          <w:tab w:val="left" w:pos="709"/>
          <w:tab w:val="left" w:pos="1418"/>
          <w:tab w:val="left" w:pos="2268"/>
          <w:tab w:val="left" w:pos="8789"/>
        </w:tabs>
        <w:spacing w:before="120" w:after="120" w:line="240" w:lineRule="auto"/>
        <w:ind w:left="760"/>
        <w:jc w:val="both"/>
        <w:rPr>
          <w:rFonts w:ascii="Garamond" w:hAnsi="Garamond" w:cs="Times New Roman"/>
          <w:sz w:val="20"/>
          <w:szCs w:val="20"/>
          <w:lang w:val="es-AR"/>
        </w:rPr>
      </w:pPr>
      <w:r w:rsidRPr="00CA0A60">
        <w:rPr>
          <w:rFonts w:ascii="Garamond" w:hAnsi="Garamond" w:cs="Times New Roman"/>
          <w:sz w:val="20"/>
          <w:szCs w:val="20"/>
          <w:lang w:val="es-AR"/>
        </w:rPr>
        <w:t>en cualquiera de los dos casos a los efectos de que, y sobre la base de los elementos mencionados dicha Opinión Legal establecerá que, los Tenedores no reconocerán ingreso, ganancia o pérdida a los efectos del impuesto a las ganancias federal de los Estados Unidos como consecuencia de dicha Cancelación Legal y quedarán sujetos a este impuesto en los mismos montos, de la misma manera y en los mismos tiempos en los que habrían quedado sujetos si la Cancelación Legal no hubiera ocurrido;</w:t>
      </w:r>
    </w:p>
    <w:p w14:paraId="69A6D26A" w14:textId="77777777" w:rsidR="00F574E6" w:rsidRPr="00CA0A60" w:rsidRDefault="00F574E6" w:rsidP="00F574E6">
      <w:pPr>
        <w:widowControl w:val="0"/>
        <w:numPr>
          <w:ilvl w:val="0"/>
          <w:numId w:val="88"/>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caso de Cancelación de Compromisos, las Co-Emisoras entregarán al Fiduciario una Opinión Legal elaborada por el asesor legal en los Estados Unidos que resulte razonablemente aceptable para el Fiduciario a los efectos del no reconocimiento por parte de los Tenedores de ingresos, ganancias o pérdidas a los fines del impuesto a las ganancias federal de los Estados Unidos como consecuencia de dicha Cancelación de Compromisos y quedarán sujetos a este impuesto en los mismo montos, de la misma manera y en los mismos tiempos en los que habrían quedado sujetos si la Cancelación Legal no hubiera ocurrido;</w:t>
      </w:r>
    </w:p>
    <w:p w14:paraId="3FE31974" w14:textId="77777777" w:rsidR="00F574E6" w:rsidRPr="00CA0A60" w:rsidRDefault="00F574E6" w:rsidP="00F574E6">
      <w:pPr>
        <w:widowControl w:val="0"/>
        <w:numPr>
          <w:ilvl w:val="0"/>
          <w:numId w:val="88"/>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Co-Emisoras deberán haber entregado al Fiduciario (1) un Dictamen de Asesores Legales a efecto de que, basados en la legislación vigente en ese momento, los Tenedores (i) no reconocerán ingresos, ganancias o pérdidas a los fines del impuesto a las ganancias de Argentina, incluida la retención (salvo por la retención pagadera en ese momento sobre los intereses vencidos), y los montos que se deban abonar no quedarán sujetos a ningún depósito o congelamiento temporario de fondos en Argentina, como resultado de dicha Cancelación Legal o Cancelación de Compromisos, según sea el caso, y (ii) quedarán sujetos a los impuestos argentinos en los mismos montos, de la misma manera y en los mismos tiempos en los que habrían quedado si dicha Cancelación Legal o Cancelación de Compromisos, según sea el caso, no hubiera ocurrido o (2) fallos dirigidos al Fiduciario y recibidos de parte de las autoridades impositivas de Argentina al mismo efecto que la Opinión Legal descripta en la cláusula (1) anterior;</w:t>
      </w:r>
    </w:p>
    <w:p w14:paraId="06545508" w14:textId="77777777" w:rsidR="00F574E6" w:rsidRPr="00CA0A60" w:rsidRDefault="00F574E6" w:rsidP="00F574E6">
      <w:pPr>
        <w:widowControl w:val="0"/>
        <w:numPr>
          <w:ilvl w:val="0"/>
          <w:numId w:val="88"/>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no deberá haber ocurrido y subsistir ningún Incumplimiento o Supuesto de Incumplimiento en la fecha del depósito, ni deberá producirse un Incumplimiento o Supuesto de Incumplimiento como resultado de dicho depósito (salvo un Incumplimiento o Supuesto de Incumplimiento resultante de la toma en préstamo de los fondos requeridos para realizar dicho depósito y la constitución de Gravámenes en relación con el mismo);</w:t>
      </w:r>
    </w:p>
    <w:p w14:paraId="6C4EB7DF" w14:textId="77777777" w:rsidR="00F574E6" w:rsidRPr="00CA0A60" w:rsidRDefault="00F574E6" w:rsidP="00F574E6">
      <w:pPr>
        <w:widowControl w:val="0"/>
        <w:numPr>
          <w:ilvl w:val="0"/>
          <w:numId w:val="88"/>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dicha Cancelación Legal o Cancelación de Compromisos no derivará en un incumplimiento o violación, ni constituirá un Incumplimiento, según el Contrato de Fideicomiso o cualquier otro acuerdo o instrumento importante del cual el Garante, las Co-Emisoras o sus respectivas Subsidiarias sean parte o por el cual estén obligadas;</w:t>
      </w:r>
    </w:p>
    <w:p w14:paraId="22F0C70C" w14:textId="77777777" w:rsidR="00F574E6" w:rsidRPr="00CA0A60" w:rsidRDefault="00F574E6" w:rsidP="00F574E6">
      <w:pPr>
        <w:widowControl w:val="0"/>
        <w:numPr>
          <w:ilvl w:val="0"/>
          <w:numId w:val="88"/>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Fiduciario deberá haber recibido un Certificado de Directivos por parte de las Co-Emisoras donde conste que el depósito no fue realizado con el propósito de establecer el carácter preferencial de los Tenedores respecto de cualquier otro acreedor de cualquiera de las Co-Emisoras o cualquier Garante o con el propósito de vencer, restringir, demorar o defraudar a los otros acreedores de cualquiera de las Co-Emisoras, cualquier Garante u otras partes;</w:t>
      </w:r>
    </w:p>
    <w:p w14:paraId="0A10D388" w14:textId="77777777" w:rsidR="00F574E6" w:rsidRPr="00CA0A60" w:rsidRDefault="00F574E6" w:rsidP="00F574E6">
      <w:pPr>
        <w:widowControl w:val="0"/>
        <w:numPr>
          <w:ilvl w:val="0"/>
          <w:numId w:val="88"/>
        </w:numPr>
        <w:tabs>
          <w:tab w:val="left" w:pos="284"/>
          <w:tab w:val="left" w:pos="709"/>
          <w:tab w:val="left" w:pos="1418"/>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lastRenderedPageBreak/>
        <w:t>el Fiduciario deberá haber recibido un Certificado de Directivos por parte de las Co-Emisoras así como una Opinión Legal, cada uno explicando que se han cumplido todas las condiciones suspensivas establecidas para o relacionadas con la Cancelación Legal o Cancelación de Compromisos; y</w:t>
      </w:r>
    </w:p>
    <w:p w14:paraId="2C449186" w14:textId="3E3213CA" w:rsidR="002C2444" w:rsidRPr="00CA3A3D" w:rsidRDefault="00F574E6" w:rsidP="002B1E31">
      <w:pPr>
        <w:pStyle w:val="Prrafodelista"/>
        <w:numPr>
          <w:ilvl w:val="0"/>
          <w:numId w:val="88"/>
        </w:numPr>
        <w:tabs>
          <w:tab w:val="left" w:pos="284"/>
        </w:tabs>
        <w:ind w:left="0"/>
        <w:rPr>
          <w:rFonts w:cs="Calibri"/>
          <w:lang w:val="es-AR"/>
        </w:rPr>
      </w:pPr>
      <w:r w:rsidRPr="00CA0A60">
        <w:rPr>
          <w:rFonts w:ascii="Garamond" w:hAnsi="Garamond" w:cs="Times New Roman"/>
          <w:sz w:val="20"/>
          <w:szCs w:val="20"/>
          <w:lang w:val="es-AR"/>
        </w:rPr>
        <w:t>el Fiduciario deberá haber recibido instrucciones escritas irrevocables por parte de las Co-Emisoras para destinar el dinero depositado al pago de las Obligaciones Negociables en la fecha establecida para su pago o en la fecha de rescate aplicable, según corresponda.</w:t>
      </w:r>
    </w:p>
    <w:p w14:paraId="30728395" w14:textId="77777777" w:rsidR="00F574E6" w:rsidRPr="00CA0A60" w:rsidRDefault="00F574E6" w:rsidP="00F574E6">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78" w:name="bookmark161"/>
      <w:r w:rsidRPr="00CA0A60">
        <w:rPr>
          <w:rFonts w:ascii="Garamond" w:hAnsi="Garamond" w:cs="Times New Roman"/>
          <w:b/>
          <w:i/>
          <w:sz w:val="20"/>
          <w:szCs w:val="20"/>
          <w:lang w:val="es-AR"/>
        </w:rPr>
        <w:t>Cumplimiento y Liberación</w:t>
      </w:r>
      <w:bookmarkEnd w:id="78"/>
    </w:p>
    <w:p w14:paraId="342EB8FB" w14:textId="642B82F9" w:rsidR="00F574E6" w:rsidRPr="00CA0A60" w:rsidRDefault="00F574E6" w:rsidP="00F574E6">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Contrato de Fideicomiso (a excepción de aquellas disposiciones que expresamente dispongan que se mantendrán en pleno vigor y efecto) se tendrá por cumplido y dejará de tener efectos en relación con todas las Obligaciones Negociables  en circulación en los siguientes supuestos:</w:t>
      </w:r>
    </w:p>
    <w:p w14:paraId="7F7B4474" w14:textId="77777777" w:rsidR="00F574E6" w:rsidRPr="00CA0A60" w:rsidRDefault="00F574E6" w:rsidP="00F574E6">
      <w:pPr>
        <w:widowControl w:val="0"/>
        <w:numPr>
          <w:ilvl w:val="0"/>
          <w:numId w:val="9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cuando:</w:t>
      </w:r>
    </w:p>
    <w:p w14:paraId="36FE1D16" w14:textId="77777777" w:rsidR="00F574E6" w:rsidRPr="00CA0A60" w:rsidRDefault="00F574E6" w:rsidP="00F574E6">
      <w:pPr>
        <w:widowControl w:val="0"/>
        <w:numPr>
          <w:ilvl w:val="0"/>
          <w:numId w:val="91"/>
        </w:numPr>
        <w:tabs>
          <w:tab w:val="left" w:pos="284"/>
          <w:tab w:val="left" w:pos="709"/>
          <w:tab w:val="left" w:pos="1470"/>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todas las Obligaciones Negociables  que hubieran sido autenticadas y entregadas (a excepción de aquellas que, en caso de pérdida, robo o destrucción, hubieran sido reemplazadas o pagadas, y aquellas otras cuyo pago en dinero se hubiera depositado en un fideicomiso o tales fondos de dinero se hubieran separado y mantenido en un fideicomiso por parte de las Co-Emisoras y posteriormente reembolsados a las Co-Emisoras o cancelado con los fondos de dicho fideicomiso) se hubieran entregado al Fiduciario para su cancelación; o</w:t>
      </w:r>
    </w:p>
    <w:p w14:paraId="4DAEB413" w14:textId="51A6BC01" w:rsidR="00F574E6" w:rsidRPr="00CA0A60" w:rsidRDefault="00F574E6" w:rsidP="00F574E6">
      <w:pPr>
        <w:widowControl w:val="0"/>
        <w:numPr>
          <w:ilvl w:val="0"/>
          <w:numId w:val="91"/>
        </w:numPr>
        <w:tabs>
          <w:tab w:val="left" w:pos="284"/>
          <w:tab w:val="left" w:pos="709"/>
          <w:tab w:val="left" w:pos="1470"/>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todas las Obligaciones Negociables no entregadas al Fiduciario para su cancelación que se hubieran tornado exigibles y pagaderas con motivo de la notificación de rescate o por cualquier otro motivo o que se tornarán exigibles y pagaderas en el transcurso de un año y cualquier Co-Emisora o cualquier Garante haya irrevocablemente entregado, ya sea por sí o por terceros, al Fiduciario (o cualquier otra entidad designada por el Fiduciario a dichos efectos) fondos fiduciarios únicamente para beneficio exclusivo de los Tenedores en efectivo, en Dólares Estadounidenses, Títulos de Deuda del Gobierno de los EE.UU., o una combinación de ambas, por montos que resulten suficientes (sin posibilidad de reinversión), a criterio de un banco de inversión o de una firma de contadores públicos independientes de reconocimiento a nivel nacional, para pagar y cancelar la integridad de la Deuda por las Obligaciones Negociables no entregadas al Fiduciario para cancelación del capital de, la prima, si hubiere, de los Montos Adicionales, si hubiere, y de los intereses devengados</w:t>
      </w:r>
      <w:r w:rsidR="00B86E06">
        <w:rPr>
          <w:rFonts w:ascii="Garamond" w:hAnsi="Garamond" w:cs="Times New Roman"/>
          <w:sz w:val="20"/>
          <w:szCs w:val="20"/>
          <w:lang w:val="es-AR"/>
        </w:rPr>
        <w:t xml:space="preserve"> sobre las Obligaciones Negociables</w:t>
      </w:r>
      <w:r w:rsidRPr="00CA0A60">
        <w:rPr>
          <w:rFonts w:ascii="Garamond" w:hAnsi="Garamond" w:cs="Times New Roman"/>
          <w:sz w:val="20"/>
          <w:szCs w:val="20"/>
          <w:lang w:val="es-AR"/>
        </w:rPr>
        <w:t xml:space="preserve"> que se estimarán a la fecha del pago correspondiente de dichos conceptos o bien en la correspondiente fecha de rescate, según sea el caso, junto con las instrucciones de carácter irrevocable impartidas por las Co-Emisoras en las que encarguen al Fiduciario que destinen dichos fondos al pago de las Obligaciones Negociables;</w:t>
      </w:r>
    </w:p>
    <w:p w14:paraId="423F2A00" w14:textId="77777777" w:rsidR="00F574E6" w:rsidRPr="00CA0A60" w:rsidRDefault="00F574E6" w:rsidP="00F574E6">
      <w:pPr>
        <w:widowControl w:val="0"/>
        <w:numPr>
          <w:ilvl w:val="0"/>
          <w:numId w:val="9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Garante, cualquier Co-Emisora o cualquier otra Subsidiaria Restringida hubiera pagado o encomendado el pago de todas las demás sumas pagaderas en virtud del Contrato de Fideicomiso; y</w:t>
      </w:r>
    </w:p>
    <w:p w14:paraId="0C3B0776" w14:textId="77777777" w:rsidR="00F574E6" w:rsidRPr="00CA0A60" w:rsidRDefault="00F574E6" w:rsidP="00F574E6">
      <w:pPr>
        <w:widowControl w:val="0"/>
        <w:numPr>
          <w:ilvl w:val="0"/>
          <w:numId w:val="9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Co-Emisoras hayan entregado al Fiduciario un Certificado de Directivos y la Opinión Legal donde se señale que se han cumplido con todas las condiciones suspensivas contempladas en el Contrato de Fideicomiso relativas a su cumplimiento.</w:t>
      </w:r>
    </w:p>
    <w:p w14:paraId="753CE4C1"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79" w:name="bookmark162"/>
      <w:r w:rsidRPr="00CA0A60">
        <w:rPr>
          <w:rFonts w:ascii="Garamond" w:hAnsi="Garamond" w:cs="Times New Roman"/>
          <w:b/>
          <w:i/>
          <w:sz w:val="20"/>
          <w:szCs w:val="20"/>
          <w:lang w:val="es-AR"/>
        </w:rPr>
        <w:t>Forma de las Obligaciones Negociables, Denominación y Registro</w:t>
      </w:r>
      <w:bookmarkEnd w:id="79"/>
    </w:p>
    <w:p w14:paraId="3C20A4F8" w14:textId="31C7883F"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Negociables se emitirán en la forma de certificados globales sin cupones de interés (“</w:t>
      </w:r>
      <w:r w:rsidRPr="00CA0A60">
        <w:rPr>
          <w:rFonts w:ascii="Garamond" w:hAnsi="Garamond" w:cs="Times New Roman"/>
          <w:sz w:val="20"/>
          <w:szCs w:val="20"/>
          <w:u w:val="single"/>
          <w:lang w:val="es-AR"/>
        </w:rPr>
        <w:t>Certificados Globales</w:t>
      </w:r>
      <w:r w:rsidRPr="00CA0A60">
        <w:rPr>
          <w:rFonts w:ascii="Garamond" w:hAnsi="Garamond" w:cs="Times New Roman"/>
          <w:sz w:val="20"/>
          <w:szCs w:val="20"/>
          <w:lang w:val="es-AR"/>
        </w:rPr>
        <w:t xml:space="preserve">”). Las Co-Emisoras emitirán Obligaciones Negociables por una denominación mínima de U$S </w:t>
      </w:r>
      <w:r w:rsidR="0070602E">
        <w:rPr>
          <w:rFonts w:ascii="Garamond" w:hAnsi="Garamond" w:cs="Times New Roman"/>
          <w:sz w:val="20"/>
          <w:szCs w:val="20"/>
          <w:lang w:val="es-AR"/>
        </w:rPr>
        <w:t>5</w:t>
      </w:r>
      <w:r w:rsidRPr="00CA0A60">
        <w:rPr>
          <w:rFonts w:ascii="Garamond" w:hAnsi="Garamond" w:cs="Times New Roman"/>
          <w:sz w:val="20"/>
          <w:szCs w:val="20"/>
          <w:lang w:val="es-AR"/>
        </w:rPr>
        <w:t>0.000 y múltiplos enteros de U$S 1.000 por sobre dicho monto. No se cobrará ningún cargo de servicio por el registro de la transferencia o canje de Obligaciones Negociables, pero el Fiduciario podrá exigir el pago de una suma que resulte suficiente para cubrir cualquier pago de impuestos u otro concepto dispuesto por el gobierno a pagar en relación con dicha operación. Las Obligaciones Negociables (o las participaciones beneficiarias en ellas) no podrán transferirse a menos que el monto de capital que efectivamente se haya transferido sea de la denominación autorizada.</w:t>
      </w:r>
    </w:p>
    <w:p w14:paraId="4B658473"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Certificados Globales se depositarán en la Fecha de Emisión, o en una fecha próxima, al Fiduciario en su carácter de depositario de DTC (y se registrarán a nombre del representante designado de DTC). Los intereses generados por los Certificados Globales depositadas con un Depositario se canjearán por certificados globales únicamente si (i) DTC notifica a las Co-Emisoras y al Fiduciario que se niega o es incapaz de continuar actuando como depositario de dicho Certificado Global o DTC deja de ser una agencia de liquidación inscripta de conformidad con la Ley de Mercados de Valores, en un momento en que DTC deba estar inscripta en esa calidad para actuar como depositario y, en cada caso, las Co-Emisoras no hubieran designado a ningún depositario sucesor dentro de los 90 días contados a partir de la correspondiente notificación; o (ii) las Co-Emisoras, a su exclusiva discreción, notifican al Fiduciario por escrito que se entregarán Obligaciones Negociables certificadas a cambio de los Certificado Globales.</w:t>
      </w:r>
    </w:p>
    <w:p w14:paraId="10971F20"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Obligaciones Negociables  no se emiten (ni se emitirán) al portador. </w:t>
      </w:r>
    </w:p>
    <w:p w14:paraId="69B5DE74" w14:textId="77777777" w:rsidR="002C2444" w:rsidRPr="00CA3A3D" w:rsidRDefault="002C2444" w:rsidP="002C2444">
      <w:pPr>
        <w:keepNext/>
        <w:keepLines/>
        <w:tabs>
          <w:tab w:val="left" w:pos="284"/>
          <w:tab w:val="left" w:pos="709"/>
          <w:tab w:val="left" w:pos="8789"/>
        </w:tabs>
        <w:spacing w:before="120" w:after="120" w:line="240" w:lineRule="auto"/>
        <w:jc w:val="both"/>
        <w:rPr>
          <w:rFonts w:ascii="Garamond" w:hAnsi="Garamond" w:cs="Calibri"/>
          <w:b/>
          <w:i/>
          <w:sz w:val="20"/>
          <w:szCs w:val="20"/>
          <w:lang w:val="es-AR"/>
        </w:rPr>
      </w:pPr>
      <w:r w:rsidRPr="00CA3A3D">
        <w:rPr>
          <w:rFonts w:ascii="Garamond" w:hAnsi="Garamond" w:cs="Calibri"/>
          <w:b/>
          <w:i/>
          <w:sz w:val="20"/>
          <w:szCs w:val="20"/>
          <w:lang w:val="es-AR"/>
        </w:rPr>
        <w:lastRenderedPageBreak/>
        <w:t>Cotización</w:t>
      </w:r>
    </w:p>
    <w:p w14:paraId="0123E6C7" w14:textId="77777777" w:rsidR="002C2444" w:rsidRPr="00CA3A3D" w:rsidRDefault="002C2444" w:rsidP="002C2444">
      <w:pPr>
        <w:widowControl w:val="0"/>
        <w:tabs>
          <w:tab w:val="left" w:pos="284"/>
          <w:tab w:val="left" w:pos="709"/>
          <w:tab w:val="left" w:pos="8789"/>
        </w:tabs>
        <w:spacing w:before="120" w:after="120" w:line="240" w:lineRule="auto"/>
        <w:jc w:val="both"/>
        <w:rPr>
          <w:rFonts w:ascii="Garamond" w:hAnsi="Garamond" w:cs="Calibri"/>
          <w:sz w:val="20"/>
          <w:szCs w:val="20"/>
          <w:lang w:val="es-AR"/>
        </w:rPr>
      </w:pPr>
      <w:r w:rsidRPr="00CA3A3D">
        <w:rPr>
          <w:rFonts w:ascii="Garamond" w:hAnsi="Garamond" w:cs="Calibri"/>
          <w:sz w:val="20"/>
          <w:szCs w:val="20"/>
          <w:lang w:val="es-AR"/>
        </w:rPr>
        <w:t>Se ha presentado una solicitud para que las Obligaciones Negociables sean listadas en el BYMA y admitidas para negociación en el MAE.</w:t>
      </w:r>
    </w:p>
    <w:p w14:paraId="4C680789"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80" w:name="bookmark164"/>
      <w:r w:rsidRPr="00CA0A60">
        <w:rPr>
          <w:rFonts w:ascii="Garamond" w:hAnsi="Garamond" w:cs="Times New Roman"/>
          <w:b/>
          <w:i/>
          <w:sz w:val="20"/>
          <w:szCs w:val="20"/>
          <w:lang w:val="es-AR"/>
        </w:rPr>
        <w:t>Agentes de Pago; Agentes de Transferencia y Agentes de Registro</w:t>
      </w:r>
      <w:bookmarkEnd w:id="80"/>
    </w:p>
    <w:p w14:paraId="4DF5E3C4" w14:textId="4EC2B7D2"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The Bank of New York Mellon actuará inicialmente como agente de pago</w:t>
      </w:r>
      <w:r w:rsidR="003E0715">
        <w:rPr>
          <w:rFonts w:ascii="Garamond" w:hAnsi="Garamond" w:cs="Times New Roman"/>
          <w:sz w:val="20"/>
          <w:szCs w:val="20"/>
          <w:lang w:val="es-AR"/>
        </w:rPr>
        <w:t>, agente de transferencia</w:t>
      </w:r>
      <w:r w:rsidRPr="00CA0A60">
        <w:rPr>
          <w:rFonts w:ascii="Garamond" w:hAnsi="Garamond" w:cs="Times New Roman"/>
          <w:sz w:val="20"/>
          <w:szCs w:val="20"/>
          <w:lang w:val="es-AR"/>
        </w:rPr>
        <w:t xml:space="preserve"> y como agente de registro de las Obligaciones Negociables. TMF Trust Company (Argentina) S.A. actuará inicialmente como agente de pago, agente de transferencia y co-agente de registro de las Obligaciones Negociables en Argentina. Las Co-Emisoras podrán, en cualquier momento, reemplazar o designar nuevos agentes de pago, agentes de transferencia, agentes de registro y de registro conjunto, y rescindir sus mandatos. En la medida en que (i) las Obligaciones Negociables de cualquier serie emitidas en virtud del Contrato de Fideicomiso se encuentren en circulación, las Co-Emisoras deberán contar con un agente de pago, un agente de transferencia y un agente de registro en la Ciudad de Nueva York, Nueva York; (ii) la legislación argentina o las disposiciones de la CNV exijan</w:t>
      </w:r>
      <w:r w:rsidR="00B86E06">
        <w:rPr>
          <w:rFonts w:ascii="Garamond" w:hAnsi="Garamond" w:cs="Times New Roman"/>
          <w:sz w:val="20"/>
          <w:szCs w:val="20"/>
          <w:lang w:val="es-AR"/>
        </w:rPr>
        <w:t xml:space="preserve"> que</w:t>
      </w:r>
      <w:r w:rsidRPr="00CA0A60">
        <w:rPr>
          <w:rFonts w:ascii="Garamond" w:hAnsi="Garamond" w:cs="Times New Roman"/>
          <w:sz w:val="20"/>
          <w:szCs w:val="20"/>
          <w:lang w:val="es-AR"/>
        </w:rPr>
        <w:t xml:space="preserve"> las Co-Emisoras deberán contratar un agente de pago, un agente de transferencia y un agente de </w:t>
      </w:r>
      <w:r w:rsidR="003E0715">
        <w:rPr>
          <w:rFonts w:ascii="Garamond" w:hAnsi="Garamond" w:cs="Times New Roman"/>
          <w:sz w:val="20"/>
          <w:szCs w:val="20"/>
          <w:lang w:val="es-AR"/>
        </w:rPr>
        <w:t>co-</w:t>
      </w:r>
      <w:r w:rsidRPr="00CA0A60">
        <w:rPr>
          <w:rFonts w:ascii="Garamond" w:hAnsi="Garamond" w:cs="Times New Roman"/>
          <w:sz w:val="20"/>
          <w:szCs w:val="20"/>
          <w:lang w:val="es-AR"/>
        </w:rPr>
        <w:t>registro en la Ciudad de Buenos Aires, Argentina. Si el Contrato de Fideicomiso así lo exigiera, toda renuncia, rescisión o designación de cualquier agente de pago, agente de transferencia, agente de registro o agente de registro conjunto, y todo cambio en las oficinas a través de las cuales actuará cualquier agente de pago, agente de transferencia, agente de registro o agente de registro conjunto, deberá comunicarse de inmediato a los Tenedores de Obligaciones Negociables</w:t>
      </w:r>
      <w:r w:rsidR="003E0715">
        <w:rPr>
          <w:rFonts w:ascii="Garamond" w:hAnsi="Garamond" w:cs="Times New Roman"/>
          <w:sz w:val="20"/>
          <w:szCs w:val="20"/>
          <w:lang w:val="es-AR"/>
        </w:rPr>
        <w:t xml:space="preserve"> por las Co-Emisoras</w:t>
      </w:r>
      <w:r w:rsidRPr="00CA0A60">
        <w:rPr>
          <w:rFonts w:ascii="Garamond" w:hAnsi="Garamond" w:cs="Times New Roman"/>
          <w:sz w:val="20"/>
          <w:szCs w:val="20"/>
          <w:lang w:val="es-AR"/>
        </w:rPr>
        <w:t xml:space="preserve"> en la forma descripta más adelante en “—</w:t>
      </w:r>
      <w:r w:rsidRPr="00CA0A60">
        <w:rPr>
          <w:rFonts w:ascii="Garamond" w:hAnsi="Garamond" w:cs="Times New Roman"/>
          <w:i/>
          <w:sz w:val="20"/>
          <w:szCs w:val="20"/>
          <w:lang w:val="es-AR"/>
        </w:rPr>
        <w:t>Notificaciones</w:t>
      </w:r>
      <w:r w:rsidRPr="00CA0A60">
        <w:rPr>
          <w:rFonts w:ascii="Garamond" w:hAnsi="Garamond" w:cs="Times New Roman"/>
          <w:sz w:val="20"/>
          <w:szCs w:val="20"/>
          <w:lang w:val="es-AR"/>
        </w:rPr>
        <w:t>”, así como a la CNV.</w:t>
      </w:r>
    </w:p>
    <w:p w14:paraId="6D2FBD9A" w14:textId="1F12D273"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agente de registro será responsable de conservar un registro de las tenencias acumuladas de Obligaciones Negociables representadas por los Certificados Globales además de aceptar Obligaciones Negociables para su canje y registro de transferencia, garantizando que los Tenedores efectivamente perciban los correspondientes pagos relativos a la Obligaciones Negociables  siempre y cuando existan fondos disponibles para tales fines además de cursar las correspondientes notificaciones a los Tenedores y de los Tenedores a las Co-Emisoras (en cada caso conforme establece el Contrato de Fideicomiso).</w:t>
      </w:r>
    </w:p>
    <w:p w14:paraId="6D596D71" w14:textId="3020537B" w:rsidR="002C2444" w:rsidRPr="00CA3A3D" w:rsidRDefault="00202442" w:rsidP="002C2444">
      <w:pPr>
        <w:widowControl w:val="0"/>
        <w:tabs>
          <w:tab w:val="left" w:pos="284"/>
          <w:tab w:val="left" w:pos="709"/>
          <w:tab w:val="left" w:pos="8789"/>
        </w:tabs>
        <w:spacing w:before="120" w:after="120" w:line="240" w:lineRule="auto"/>
        <w:jc w:val="both"/>
        <w:rPr>
          <w:rFonts w:ascii="Garamond" w:hAnsi="Garamond" w:cs="Calibri"/>
          <w:sz w:val="20"/>
          <w:szCs w:val="20"/>
          <w:lang w:val="es-AR"/>
        </w:rPr>
      </w:pPr>
      <w:r w:rsidRPr="00CA0A60">
        <w:rPr>
          <w:rFonts w:ascii="Garamond" w:hAnsi="Garamond" w:cs="Times New Roman"/>
          <w:sz w:val="20"/>
          <w:szCs w:val="20"/>
          <w:lang w:val="es-AR"/>
        </w:rPr>
        <w:t>El agente de registro deberá conservar en sus oficinas un registro en el cual, sujeto a las disposiciones reglamentarias razonables que resulten aplicables, disponga el registro de las Obligaciones Negociables y de las transferencias y canjes de Obligaciones Negociables. En el caso de transferencia parcial de una obligación negociable de carácter definitivo, podrán solicitarse y obtenerse nuevas Obligaciones Negociables vinculadas a dicha transferencia en las oficinas del agente de registro conjunto. Las Co-Emisoras dispondrán que la notificación de toda renuncia, despido o designación de cualquier agente conjunto y/o agente de registro y de cualquier cambio en la oficina en la cual este desempeñará sus funciones se curse a los Tenedores de conformidad con los dispuesto más adelante en “—</w:t>
      </w:r>
      <w:r w:rsidRPr="00CA0A60">
        <w:rPr>
          <w:rFonts w:ascii="Garamond" w:hAnsi="Garamond" w:cs="Times New Roman"/>
          <w:i/>
          <w:sz w:val="20"/>
          <w:szCs w:val="20"/>
          <w:lang w:val="es-AR"/>
        </w:rPr>
        <w:t>Notificaciones</w:t>
      </w:r>
      <w:r w:rsidRPr="00CA0A60">
        <w:rPr>
          <w:rFonts w:ascii="Garamond" w:hAnsi="Garamond" w:cs="Times New Roman"/>
          <w:sz w:val="20"/>
          <w:szCs w:val="20"/>
          <w:lang w:val="es-AR"/>
        </w:rPr>
        <w:t>”.</w:t>
      </w:r>
    </w:p>
    <w:p w14:paraId="5448510D"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81" w:name="bookmark165"/>
      <w:r w:rsidRPr="00CA0A60">
        <w:rPr>
          <w:rFonts w:ascii="Garamond" w:hAnsi="Garamond" w:cs="Times New Roman"/>
          <w:b/>
          <w:i/>
          <w:sz w:val="20"/>
          <w:szCs w:val="20"/>
          <w:lang w:val="es-AR"/>
        </w:rPr>
        <w:t>Modificación del Contrato de Fideicomiso y Documentos de Garantía</w:t>
      </w:r>
      <w:bookmarkEnd w:id="81"/>
    </w:p>
    <w:p w14:paraId="755A41BA" w14:textId="7C3A2B6E" w:rsidR="00202442" w:rsidRPr="00CA0A60" w:rsidRDefault="0003565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Pr>
          <w:rFonts w:ascii="Garamond" w:hAnsi="Garamond" w:cs="Times New Roman"/>
          <w:sz w:val="20"/>
          <w:szCs w:val="20"/>
          <w:lang w:val="es-AR"/>
        </w:rPr>
        <w:t>E</w:t>
      </w:r>
      <w:r w:rsidRPr="00CA0A60">
        <w:rPr>
          <w:rFonts w:ascii="Garamond" w:hAnsi="Garamond" w:cs="Times New Roman"/>
          <w:sz w:val="20"/>
          <w:szCs w:val="20"/>
          <w:lang w:val="es-AR"/>
        </w:rPr>
        <w:t>n cualquier momento</w:t>
      </w:r>
      <w:r>
        <w:rPr>
          <w:rFonts w:ascii="Garamond" w:hAnsi="Garamond" w:cs="Times New Roman"/>
          <w:sz w:val="20"/>
          <w:szCs w:val="20"/>
          <w:lang w:val="es-AR"/>
        </w:rPr>
        <w:t>,</w:t>
      </w:r>
      <w:r w:rsidRPr="00CA0A60">
        <w:rPr>
          <w:rFonts w:ascii="Garamond" w:hAnsi="Garamond" w:cs="Times New Roman"/>
          <w:sz w:val="20"/>
          <w:szCs w:val="20"/>
          <w:lang w:val="es-AR"/>
        </w:rPr>
        <w:t xml:space="preserve"> </w:t>
      </w:r>
      <w:r>
        <w:rPr>
          <w:rFonts w:ascii="Garamond" w:hAnsi="Garamond" w:cs="Times New Roman"/>
          <w:sz w:val="20"/>
          <w:szCs w:val="20"/>
          <w:lang w:val="es-AR"/>
        </w:rPr>
        <w:t xml:space="preserve">(i) </w:t>
      </w:r>
      <w:r w:rsidR="00202442" w:rsidRPr="00CA0A60">
        <w:rPr>
          <w:rFonts w:ascii="Garamond" w:hAnsi="Garamond" w:cs="Times New Roman"/>
          <w:sz w:val="20"/>
          <w:szCs w:val="20"/>
          <w:lang w:val="es-AR"/>
        </w:rPr>
        <w:t>Las Co-Emisoras, los Garantes y el Fiduciario, el Agente de Garantía Internacional, el Agente de Garantía Local o el Fiduciario Argentino, según el caso, podrán, y sin el consentimiento de los Tenedores, modificar, enmendar o ampliar el Contrato de Fideicomiso,</w:t>
      </w:r>
      <w:r>
        <w:rPr>
          <w:rFonts w:ascii="Garamond" w:hAnsi="Garamond" w:cs="Times New Roman"/>
          <w:sz w:val="20"/>
          <w:szCs w:val="20"/>
          <w:lang w:val="es-AR"/>
        </w:rPr>
        <w:t xml:space="preserve"> las obligaciones negociables o cualquier Garantía de ASA; y (ii) las Co-Emisoras, </w:t>
      </w:r>
      <w:r w:rsidRPr="00CA0A60">
        <w:rPr>
          <w:rFonts w:ascii="Garamond" w:hAnsi="Garamond" w:cs="Times New Roman"/>
          <w:sz w:val="20"/>
          <w:szCs w:val="20"/>
          <w:lang w:val="es-AR"/>
        </w:rPr>
        <w:t>los Garantes</w:t>
      </w:r>
      <w:r>
        <w:rPr>
          <w:rFonts w:ascii="Garamond" w:hAnsi="Garamond" w:cs="Times New Roman"/>
          <w:sz w:val="20"/>
          <w:szCs w:val="20"/>
          <w:lang w:val="es-AR"/>
        </w:rPr>
        <w:t xml:space="preserve">, </w:t>
      </w:r>
      <w:r w:rsidRPr="00CA0A60">
        <w:rPr>
          <w:rFonts w:ascii="Garamond" w:hAnsi="Garamond" w:cs="Times New Roman"/>
          <w:sz w:val="20"/>
          <w:szCs w:val="20"/>
          <w:lang w:val="es-AR"/>
        </w:rPr>
        <w:t>el Agente de Garantía Local o el Fiduciario Argentino, según</w:t>
      </w:r>
      <w:r>
        <w:rPr>
          <w:rFonts w:ascii="Garamond" w:hAnsi="Garamond" w:cs="Times New Roman"/>
          <w:sz w:val="20"/>
          <w:szCs w:val="20"/>
          <w:lang w:val="es-AR"/>
        </w:rPr>
        <w:t xml:space="preserve"> corresponda podrán modificar o complementar los Documentos de Garantía </w:t>
      </w:r>
      <w:r w:rsidR="00202442" w:rsidRPr="00CA0A60">
        <w:rPr>
          <w:rFonts w:ascii="Garamond" w:hAnsi="Garamond" w:cs="Times New Roman"/>
          <w:sz w:val="20"/>
          <w:szCs w:val="20"/>
          <w:lang w:val="es-AR"/>
        </w:rPr>
        <w:t>con los siguientes fines:</w:t>
      </w:r>
    </w:p>
    <w:p w14:paraId="22986CE4" w14:textId="77777777" w:rsidR="00202442" w:rsidRPr="00CA0A60" w:rsidRDefault="00202442"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subsanar cualquier ambigüedad, defecto o inconsistencia contenida en el Contrato de Fideicomiso de tal manera que no afecte significativamente los intereses de los Tenedores;</w:t>
      </w:r>
    </w:p>
    <w:p w14:paraId="4C962518" w14:textId="77777777" w:rsidR="00202442" w:rsidRPr="00CA0A60" w:rsidRDefault="00202442"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disponer la entrega de Obligaciones Negociables no cartulares además de los certificados globales o en su reemplazo;</w:t>
      </w:r>
    </w:p>
    <w:p w14:paraId="3719E163" w14:textId="77777777" w:rsidR="00202442" w:rsidRPr="00CA0A60" w:rsidRDefault="00202442"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disponer que una Entidad Superviviente asuma las obligaciones del Garante, de cualquier Co-Emisora o de cualquier otra Subsidiaria Restringida en virtud de la disposición del Contrato de Fideicomiso contenida en el apartado “—</w:t>
      </w:r>
      <w:r w:rsidRPr="00CA0A60">
        <w:rPr>
          <w:rFonts w:ascii="Garamond" w:hAnsi="Garamond" w:cs="Times New Roman"/>
          <w:i/>
          <w:sz w:val="20"/>
          <w:szCs w:val="20"/>
          <w:lang w:val="es-AR"/>
        </w:rPr>
        <w:t>Ciertos Compromisos</w:t>
      </w:r>
      <w:r w:rsidRPr="00CA0A60">
        <w:rPr>
          <w:rFonts w:ascii="Garamond" w:hAnsi="Garamond" w:cs="Times New Roman"/>
          <w:i/>
          <w:sz w:val="20"/>
          <w:szCs w:val="20"/>
          <w:lang w:val="es-AR"/>
        </w:rPr>
        <w:noBreakHyphen/>
      </w:r>
      <w:r w:rsidRPr="00CA0A60">
        <w:rPr>
          <w:rFonts w:ascii="Garamond" w:hAnsi="Garamond" w:cs="Times New Roman"/>
          <w:i/>
          <w:sz w:val="20"/>
          <w:szCs w:val="20"/>
          <w:lang w:val="es-AR"/>
        </w:rPr>
        <w:noBreakHyphen/>
        <w:t>Limitaciones a la Fusión, Consolidación y Venta de Activos</w:t>
      </w:r>
      <w:r w:rsidRPr="00CA0A60">
        <w:rPr>
          <w:rFonts w:ascii="Garamond" w:hAnsi="Garamond" w:cs="Times New Roman"/>
          <w:sz w:val="20"/>
          <w:szCs w:val="20"/>
          <w:lang w:val="es-AR"/>
        </w:rPr>
        <w:t>”;</w:t>
      </w:r>
    </w:p>
    <w:p w14:paraId="76E85A5E" w14:textId="77777777" w:rsidR="00202442" w:rsidRPr="00CA0A60" w:rsidRDefault="00202442"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realizar las modificaciones necesarias a fin de ampliar los derechos o beneficios de los Tenedores;</w:t>
      </w:r>
    </w:p>
    <w:p w14:paraId="4ADFCC52" w14:textId="77777777" w:rsidR="00202442" w:rsidRPr="00CA0A60" w:rsidRDefault="00202442"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incluir cambios que no afecten negativamente en ningún aspecto sustancial los derechos legales de cualquier Tenedor en virtud del Contrato de Fideicomiso;</w:t>
      </w:r>
    </w:p>
    <w:p w14:paraId="06AE4F84" w14:textId="77777777" w:rsidR="00202442" w:rsidRPr="00CA0A60" w:rsidRDefault="00202442"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demostrar y disponer la aceptación de la designación de un sucesor fiduciario, un fiduciario argentino, un  Agente de Garantía Internacional  o un Agente de Garantía Local;</w:t>
      </w:r>
    </w:p>
    <w:p w14:paraId="682D39BE" w14:textId="77777777" w:rsidR="00202442" w:rsidRPr="00CA0A60" w:rsidRDefault="00202442"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ajustar el texto del Contrato de Fideicomiso, los Documentos de Garantía, las Obligaciones Negociables y las Garantías de ASA a cualquier disposición del presente apartado “Descripción de las Obligaciones Negociables “, en la medida en que dicha disposición pretendiera ser una cita textual de lo dispuesto en el </w:t>
      </w:r>
      <w:r w:rsidRPr="00CA0A60">
        <w:rPr>
          <w:rFonts w:ascii="Garamond" w:hAnsi="Garamond" w:cs="Times New Roman"/>
          <w:sz w:val="20"/>
          <w:szCs w:val="20"/>
          <w:lang w:val="es-AR"/>
        </w:rPr>
        <w:lastRenderedPageBreak/>
        <w:t>Contrato de Fideicomiso, las Garantías de ASA o las Obligaciones Negociables (conforme resulte aplicable);</w:t>
      </w:r>
    </w:p>
    <w:p w14:paraId="2A0D101B" w14:textId="77777777" w:rsidR="00202442" w:rsidRPr="00CA0A60" w:rsidRDefault="00202442"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cumplir con todo requisito de la CNV, el BYMA o el MAE (en tanto las Obligaciones Negociables estén listadas en el BYMA y sean admitidas para su negociación en el MAE);</w:t>
      </w:r>
    </w:p>
    <w:p w14:paraId="522FACBB" w14:textId="0D3A1D7B" w:rsidR="00202442" w:rsidRDefault="00202442"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disponer la emisión de Obligaciones Negociables de conformidad con las restricciones establecidas en el Contrato de Fideicomiso; </w:t>
      </w:r>
    </w:p>
    <w:p w14:paraId="5C9437D2" w14:textId="6D063886" w:rsidR="00B86E06" w:rsidRDefault="00B86E06"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Pr>
          <w:rFonts w:ascii="Garamond" w:hAnsi="Garamond" w:cs="Times New Roman"/>
          <w:sz w:val="20"/>
          <w:szCs w:val="20"/>
          <w:lang w:val="es-AR"/>
        </w:rPr>
        <w:t>otorgar Garantías de Obligaciones Negociables adicionales de conformidad con los términos del Contrato de Fideicomiso;</w:t>
      </w:r>
      <w:r w:rsidR="009F3F8D">
        <w:rPr>
          <w:rFonts w:ascii="Garamond" w:hAnsi="Garamond" w:cs="Times New Roman"/>
          <w:sz w:val="20"/>
          <w:szCs w:val="20"/>
          <w:lang w:val="es-AR"/>
        </w:rPr>
        <w:t xml:space="preserve"> o</w:t>
      </w:r>
    </w:p>
    <w:p w14:paraId="0A02625F" w14:textId="77777777" w:rsidR="00202442" w:rsidRPr="00CA0A60" w:rsidRDefault="00202442" w:rsidP="00202442">
      <w:pPr>
        <w:widowControl w:val="0"/>
        <w:numPr>
          <w:ilvl w:val="0"/>
          <w:numId w:val="92"/>
        </w:numPr>
        <w:tabs>
          <w:tab w:val="left" w:pos="284"/>
          <w:tab w:val="left" w:pos="709"/>
          <w:tab w:val="left" w:pos="156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renunciar a cualesquiera derechos o facultades conferidas a las Co-Emisoras.</w:t>
      </w:r>
    </w:p>
    <w:p w14:paraId="18848139" w14:textId="5EA125A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relación con el perfeccionamiento de dicha modificación, el Fiduciario tendrá derecho a basarse en los hechos que estime convenientes, incluyendo exclusivamente en la Opinión Legal y el Certificado de Directivos. Otras modificaciones y enmiendas al Contrato de Fideicomiso, los Documentos de Garantía o las Obligaciones Negociables y/o las Garantías de ASA </w:t>
      </w:r>
      <w:r w:rsidR="00035652">
        <w:rPr>
          <w:rFonts w:ascii="Garamond" w:hAnsi="Garamond" w:cs="Times New Roman"/>
          <w:sz w:val="20"/>
          <w:szCs w:val="20"/>
          <w:lang w:val="es-AR"/>
        </w:rPr>
        <w:t xml:space="preserve">(i) </w:t>
      </w:r>
      <w:r w:rsidR="00035652" w:rsidRPr="00035652">
        <w:rPr>
          <w:rFonts w:ascii="Garamond" w:hAnsi="Garamond" w:cs="Times New Roman"/>
          <w:sz w:val="20"/>
          <w:szCs w:val="20"/>
          <w:lang w:val="es-AR"/>
        </w:rPr>
        <w:t>por las Co-Emisoras, los Garantes y el Fiduciario, el Agente de la Garantía Internacional, el Agente de Garantía Local o el Fiduciario Argentino, según corresponda, y (ii) los Documentos de la Garantía Argentina pueden ser ejecutados por el Agente de Garantía Local o el Fiduciario Argentino, según corresponda en cada caso</w:t>
      </w:r>
      <w:r w:rsidRPr="00CA0A60">
        <w:rPr>
          <w:rFonts w:ascii="Garamond" w:hAnsi="Garamond" w:cs="Times New Roman"/>
          <w:sz w:val="20"/>
          <w:szCs w:val="20"/>
          <w:lang w:val="es-AR"/>
        </w:rPr>
        <w:t xml:space="preserve"> con el consentimiento de los Tenedores de la mayoría del monto del capital de las Obligaciones Negociables entonces en circulación (incluidos, a título meramente enunciativo, aquellos consentimientos obtenidos en relación con la compra, propuesta de oferta u oferta de canje de Obligaciones Negociables) emitidas en virtud del Contrato de Fideicomiso. Asimismo, se podrá dispensar cualquier cumplimiento o inobservancia existente de cualquiera de las disposiciones del Contrato de Fideicomiso o de las Obligaciones Negociables en circulación en virtud de dicho Contrato de Fideicomiso con el consentimiento de los Tenedores de la mayoría del monto de capital de las Obligaciones Negociables entonces en circulación (incluido, a título meramente enunciativo, aquellos consentimientos obtenidos en relación con la compra, propuesta de oferta u oferta de canje de Obligaciones Negociables), en cada caso, mediante la adopción de la correspondiente resolución en la reunión de Tenedores de las Obligaciones Negociables, conforme se establece a continuación. Sin perjuicio de ello, si no mediara el consentimiento de todos y de cada uno de los Tenedores afectados por dicha decisión, ninguna modificación o renuncia podrá (respecto de cualquier obligación negociable en manos de un Tenedor que no hubiera prestado su consentimiento):</w:t>
      </w:r>
    </w:p>
    <w:p w14:paraId="2E5E2FB7" w14:textId="77777777" w:rsidR="00202442" w:rsidRPr="00CA0A60" w:rsidRDefault="00202442" w:rsidP="00202442">
      <w:pPr>
        <w:widowControl w:val="0"/>
        <w:numPr>
          <w:ilvl w:val="0"/>
          <w:numId w:val="93"/>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reducir el porcentaje del monto de capital de las Obligaciones Negociables en circulación cuyos Tenedores deben prestar su consentimiento a una modificación, ampliación o renuncia;</w:t>
      </w:r>
    </w:p>
    <w:p w14:paraId="6E59484F" w14:textId="77777777" w:rsidR="00202442" w:rsidRPr="00CA0A60" w:rsidRDefault="00202442" w:rsidP="00202442">
      <w:pPr>
        <w:widowControl w:val="0"/>
        <w:numPr>
          <w:ilvl w:val="0"/>
          <w:numId w:val="93"/>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modificar cualquier disposición del Contrato de Fideicomiso que rija en materia del quórum requerido en las asambleas de Tenedores de Obligaciones Negociables y de los requisitos aplicables a la votación (incluida la modificación a cualquier asamblea de Tenedores en la que se adopte una resolución, a excepción de aquellas que dispongan el aumento de dicho porcentaje o que establezcan que determinadas disposiciones del Contrato de Fideicomiso no pudieran modificarse o renunciarse sin el consentimiento del Tenedor de cada una de las Obligaciones Negociables  que se viera perjudicado con motivo de dicha resolución);</w:t>
      </w:r>
    </w:p>
    <w:p w14:paraId="7237EDD1" w14:textId="77777777" w:rsidR="00202442" w:rsidRPr="00CA0A60" w:rsidRDefault="00202442" w:rsidP="00202442">
      <w:pPr>
        <w:widowControl w:val="0"/>
        <w:numPr>
          <w:ilvl w:val="0"/>
          <w:numId w:val="93"/>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reducir la tasa de intereses o modificar o de cualquier otro modo modificar el plazo de pago de los correspondientes intereses, incluidos los intereses moratorios que se devenguen sobre cualquiera de las Obligaciones Negociables;</w:t>
      </w:r>
    </w:p>
    <w:p w14:paraId="66AB5326" w14:textId="160CC4EC" w:rsidR="00202442" w:rsidRPr="00CA0A60" w:rsidRDefault="00202442" w:rsidP="00202442">
      <w:pPr>
        <w:widowControl w:val="0"/>
        <w:numPr>
          <w:ilvl w:val="0"/>
          <w:numId w:val="93"/>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reducir el monto de capital de cualquier obligación negociable, su correspondiente prima, o bien modificar </w:t>
      </w:r>
      <w:r w:rsidR="00656F08">
        <w:rPr>
          <w:rFonts w:ascii="Garamond" w:hAnsi="Garamond" w:cs="Times New Roman"/>
          <w:sz w:val="20"/>
          <w:szCs w:val="20"/>
          <w:lang w:val="es-AR"/>
        </w:rPr>
        <w:t xml:space="preserve">cualquier amortización de capital programada de las Obligaciones Negociables </w:t>
      </w:r>
      <w:r w:rsidRPr="00CA0A60">
        <w:rPr>
          <w:rFonts w:ascii="Garamond" w:hAnsi="Garamond" w:cs="Times New Roman"/>
          <w:sz w:val="20"/>
          <w:szCs w:val="20"/>
          <w:lang w:val="es-AR"/>
        </w:rPr>
        <w:t>o tomar cualquier otra medida que modifique el vencimiento establecido de cualquier obligación negociable o la fecha en la cual cualquiera de las Obligaciones Negociables  pudiera ser objeto de rescate (a excepción de los respectivos periodos de notificación requeridos), o bien reducir su correspondiente precio de rescate;</w:t>
      </w:r>
    </w:p>
    <w:p w14:paraId="55A1CC1E" w14:textId="77777777" w:rsidR="00202442" w:rsidRPr="00CA0A60" w:rsidRDefault="00202442" w:rsidP="00202442">
      <w:pPr>
        <w:widowControl w:val="0"/>
        <w:numPr>
          <w:ilvl w:val="0"/>
          <w:numId w:val="93"/>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renunciar a cualquier Incumplimiento o Supuesto de Incumplimiento en el pago del capital o prima, si hubiere, de Montos Adicionales  o de intereses devengados sobre las Obligaciones Negociables (a excepción de una rescisión de aceleración de las Obligaciones Negociables por parte de los Tenedores de al menos la mayoría del monto total de capital de las Obligaciones Negociables  entonces en circulación respecto de la falta de pago y dispensa al incumplimiento de pago que hubiera resultado como consecuencia de dicha aceleración);</w:t>
      </w:r>
    </w:p>
    <w:p w14:paraId="3B2089A5" w14:textId="77777777" w:rsidR="00202442" w:rsidRPr="00CA0A60" w:rsidRDefault="00202442" w:rsidP="00202442">
      <w:pPr>
        <w:widowControl w:val="0"/>
        <w:numPr>
          <w:ilvl w:val="0"/>
          <w:numId w:val="93"/>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modificar la moneda y el lugar de pago de cualquier obligación negociable que no fueran aquellos establecidos en la obligación negociable;</w:t>
      </w:r>
    </w:p>
    <w:p w14:paraId="6A4D443F" w14:textId="77777777" w:rsidR="00202442" w:rsidRPr="00CA0A60" w:rsidRDefault="00202442" w:rsidP="00202442">
      <w:pPr>
        <w:widowControl w:val="0"/>
        <w:numPr>
          <w:ilvl w:val="0"/>
          <w:numId w:val="93"/>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modificar las disposiciones del Contrato de Fideicomiso de tal manera de facultar a cada uno de los Tenedores a percibir el pago del capital o la prima, si hubiere, Montos Adicionales e intereses generados por dichas Obligaciones Negociables en su correspondiente fecha de vencimiento o en una fecha posterior o bien iniciar acciones legales para exigir su pago;</w:t>
      </w:r>
    </w:p>
    <w:p w14:paraId="314025C4" w14:textId="77777777" w:rsidR="00202442" w:rsidRPr="00CA0A60" w:rsidRDefault="00202442" w:rsidP="00202442">
      <w:pPr>
        <w:widowControl w:val="0"/>
        <w:numPr>
          <w:ilvl w:val="0"/>
          <w:numId w:val="93"/>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lastRenderedPageBreak/>
        <w:t>eliminar o modificar de cualquier modo cualquiera de las obligaciones de cualquier Garante respecto de sus respectivas obligaciones en virtud de las Garantías de ASA que afectaran a los Tenedores en cualquier aspecto material, a excepción de los supuestos contemplados en el Contrato de Fideicomiso;</w:t>
      </w:r>
    </w:p>
    <w:p w14:paraId="04F593DE" w14:textId="77777777" w:rsidR="00202442" w:rsidRPr="00CA0A60" w:rsidRDefault="00202442" w:rsidP="00202442">
      <w:pPr>
        <w:widowControl w:val="0"/>
        <w:numPr>
          <w:ilvl w:val="0"/>
          <w:numId w:val="93"/>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realizar cualquier modificación a las disposiciones del Contrato de Fideicomiso descriptas en el apartado “Montos Adicionales” que pudiera socavar los derechos de cualquier Tenedor o modificar los términos de las Obligaciones Negociables de cualquier forma que resulte en la pérdida de una exención impositiva respecto de los impuestos aplicables;</w:t>
      </w:r>
    </w:p>
    <w:p w14:paraId="5C365FF2" w14:textId="77777777" w:rsidR="00202442" w:rsidRPr="00CA0A60" w:rsidRDefault="00202442" w:rsidP="00202442">
      <w:pPr>
        <w:widowControl w:val="0"/>
        <w:numPr>
          <w:ilvl w:val="0"/>
          <w:numId w:val="93"/>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modificar el derecho contractual en las Obligaciones Negociables a efectos de iniciar acciones legales para exigir el cumplimiento de cualquier pago que correspondiere en relación con dichas obligaciones o con las Garantías de ASA a partir de las respectivas fechas de vencimiento contempladas en ellas y el Contrato de Fideicomiso; </w:t>
      </w:r>
    </w:p>
    <w:p w14:paraId="2D0BBEE0" w14:textId="672E59E6" w:rsidR="00202442" w:rsidRPr="00CA0A60" w:rsidRDefault="00202442" w:rsidP="00202442">
      <w:pPr>
        <w:widowControl w:val="0"/>
        <w:numPr>
          <w:ilvl w:val="0"/>
          <w:numId w:val="93"/>
        </w:numPr>
        <w:tabs>
          <w:tab w:val="left" w:pos="284"/>
          <w:tab w:val="left" w:pos="709"/>
          <w:tab w:val="left" w:pos="1134"/>
          <w:tab w:val="left" w:pos="1418"/>
          <w:tab w:val="left" w:pos="8789"/>
        </w:tabs>
        <w:spacing w:before="120" w:after="120" w:line="240" w:lineRule="auto"/>
        <w:contextualSpacing/>
        <w:jc w:val="both"/>
        <w:rPr>
          <w:rFonts w:ascii="Garamond" w:hAnsi="Garamond" w:cs="Times New Roman"/>
          <w:sz w:val="20"/>
          <w:szCs w:val="20"/>
          <w:lang w:val="es-AR"/>
        </w:rPr>
      </w:pPr>
      <w:r w:rsidRPr="00CA0A60">
        <w:rPr>
          <w:rFonts w:ascii="Garamond" w:hAnsi="Garamond" w:cs="Times New Roman"/>
          <w:sz w:val="20"/>
          <w:szCs w:val="20"/>
          <w:lang w:val="es-AR"/>
        </w:rPr>
        <w:t xml:space="preserve">permitir la creación de un Gravamen </w:t>
      </w:r>
      <w:r w:rsidR="006A4782" w:rsidRPr="00CA0A60">
        <w:rPr>
          <w:rFonts w:ascii="Garamond" w:hAnsi="Garamond" w:cs="Times New Roman"/>
          <w:sz w:val="20"/>
          <w:szCs w:val="20"/>
          <w:lang w:val="es-AR"/>
        </w:rPr>
        <w:t xml:space="preserve">sobre los Derechos de Garantía </w:t>
      </w:r>
      <w:r w:rsidRPr="00CA0A60">
        <w:rPr>
          <w:rFonts w:ascii="Garamond" w:hAnsi="Garamond" w:cs="Times New Roman"/>
          <w:sz w:val="20"/>
          <w:szCs w:val="20"/>
          <w:lang w:val="es-AR"/>
        </w:rPr>
        <w:t>que no esté permitido de otra forma bajo los Documento de Financiación o, salvo por lo previsto expresamente en los Documentos de Financiación, declarar la extinción del Gravamen creado bajo los Documentos de Garantía o privar a cualquier Tenedor de la garantía brindada por el Gravamen creado bajo los Documentos de Garantía;</w:t>
      </w:r>
    </w:p>
    <w:p w14:paraId="36A669CC" w14:textId="77777777" w:rsidR="00202442" w:rsidRPr="00CA0A60" w:rsidRDefault="00202442" w:rsidP="00202442">
      <w:pPr>
        <w:widowControl w:val="0"/>
        <w:tabs>
          <w:tab w:val="left" w:pos="284"/>
          <w:tab w:val="left" w:pos="709"/>
          <w:tab w:val="left" w:pos="1134"/>
          <w:tab w:val="left" w:pos="1418"/>
          <w:tab w:val="left" w:pos="8789"/>
        </w:tabs>
        <w:spacing w:before="120" w:after="120" w:line="240" w:lineRule="auto"/>
        <w:ind w:left="760"/>
        <w:contextualSpacing/>
        <w:jc w:val="both"/>
        <w:rPr>
          <w:rFonts w:ascii="Garamond" w:hAnsi="Garamond" w:cs="Times New Roman"/>
          <w:sz w:val="20"/>
          <w:szCs w:val="20"/>
          <w:lang w:val="es-AR"/>
        </w:rPr>
      </w:pPr>
    </w:p>
    <w:p w14:paraId="29358975" w14:textId="589D9873" w:rsidR="00202442" w:rsidRPr="00CA0A60" w:rsidRDefault="00202442" w:rsidP="00202442">
      <w:pPr>
        <w:tabs>
          <w:tab w:val="left" w:pos="284"/>
        </w:tabs>
        <w:rPr>
          <w:rFonts w:ascii="Garamond" w:hAnsi="Garamond" w:cs="Times New Roman"/>
          <w:lang w:val="es-AR"/>
        </w:rPr>
      </w:pPr>
      <w:r w:rsidRPr="00CA0A60">
        <w:rPr>
          <w:rFonts w:ascii="Garamond" w:hAnsi="Garamond" w:cs="Times New Roman"/>
          <w:sz w:val="20"/>
          <w:szCs w:val="20"/>
          <w:lang w:val="es-AR"/>
        </w:rPr>
        <w:t>(</w:t>
      </w:r>
      <w:r w:rsidR="009F3F8D">
        <w:rPr>
          <w:rFonts w:ascii="Garamond" w:hAnsi="Garamond" w:cs="Times New Roman"/>
          <w:sz w:val="20"/>
          <w:szCs w:val="20"/>
          <w:lang w:val="es-AR"/>
        </w:rPr>
        <w:t>l</w:t>
      </w:r>
      <w:r w:rsidRPr="00CA0A60">
        <w:rPr>
          <w:rFonts w:ascii="Garamond" w:hAnsi="Garamond" w:cs="Times New Roman"/>
          <w:sz w:val="20"/>
          <w:szCs w:val="20"/>
          <w:lang w:val="es-AR"/>
        </w:rPr>
        <w:t>)</w:t>
      </w:r>
      <w:r w:rsidRPr="00CA0A60">
        <w:rPr>
          <w:rFonts w:ascii="Garamond" w:hAnsi="Garamond" w:cs="Times New Roman"/>
          <w:sz w:val="20"/>
          <w:szCs w:val="20"/>
          <w:lang w:val="es-AR"/>
        </w:rPr>
        <w:tab/>
        <w:t xml:space="preserve">modificar o dispensar el cumplimiento de cualquier disposición del Contrato de Fideicomiso o cualquier Documento de Garantía </w:t>
      </w:r>
      <w:r w:rsidR="009F3F8D">
        <w:rPr>
          <w:rFonts w:ascii="Garamond" w:hAnsi="Garamond" w:cs="Times New Roman"/>
          <w:sz w:val="20"/>
          <w:szCs w:val="20"/>
          <w:lang w:val="es-AR"/>
        </w:rPr>
        <w:t xml:space="preserve">en relación a la liberación o desafectación </w:t>
      </w:r>
      <w:r w:rsidRPr="00CA0A60">
        <w:rPr>
          <w:rFonts w:ascii="Garamond" w:hAnsi="Garamond" w:cs="Times New Roman"/>
          <w:sz w:val="20"/>
          <w:szCs w:val="20"/>
          <w:lang w:val="es-AR"/>
        </w:rPr>
        <w:t xml:space="preserve">(conforme a los términos del Artículo 3 de la Ley de Obligaciones Negociables) </w:t>
      </w:r>
      <w:r w:rsidR="009F3F8D">
        <w:rPr>
          <w:rFonts w:ascii="Garamond" w:hAnsi="Garamond" w:cs="Times New Roman"/>
          <w:sz w:val="20"/>
          <w:szCs w:val="20"/>
          <w:lang w:val="es-AR"/>
        </w:rPr>
        <w:t xml:space="preserve">de cualquier componente de </w:t>
      </w:r>
      <w:r w:rsidRPr="00CA0A60">
        <w:rPr>
          <w:rFonts w:ascii="Garamond" w:hAnsi="Garamond" w:cs="Times New Roman"/>
          <w:sz w:val="20"/>
          <w:szCs w:val="20"/>
          <w:lang w:val="es-AR"/>
        </w:rPr>
        <w:t xml:space="preserve">los Derechos de Garantía del Gravamen que garantiza las Obligaciones Negociables; </w:t>
      </w:r>
    </w:p>
    <w:p w14:paraId="05E718E3" w14:textId="30EE4D65" w:rsidR="00202442" w:rsidRPr="00CA0A60" w:rsidRDefault="00202442" w:rsidP="00202442">
      <w:pPr>
        <w:widowControl w:val="0"/>
        <w:tabs>
          <w:tab w:val="left" w:pos="284"/>
          <w:tab w:val="left" w:pos="1134"/>
          <w:tab w:val="left" w:pos="1418"/>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00174490">
        <w:rPr>
          <w:rFonts w:ascii="Garamond" w:hAnsi="Garamond" w:cs="Times New Roman"/>
          <w:sz w:val="20"/>
          <w:szCs w:val="20"/>
          <w:lang w:val="es-AR"/>
        </w:rPr>
        <w:t>m</w:t>
      </w:r>
      <w:r w:rsidRPr="00CA0A60">
        <w:rPr>
          <w:rFonts w:ascii="Garamond" w:hAnsi="Garamond" w:cs="Times New Roman"/>
          <w:sz w:val="20"/>
          <w:szCs w:val="20"/>
          <w:lang w:val="es-AR"/>
        </w:rPr>
        <w:t>)</w:t>
      </w:r>
      <w:r w:rsidRPr="00CA0A60">
        <w:rPr>
          <w:rFonts w:ascii="Garamond" w:hAnsi="Garamond" w:cs="Times New Roman"/>
          <w:sz w:val="20"/>
          <w:szCs w:val="20"/>
          <w:lang w:val="es-AR"/>
        </w:rPr>
        <w:tab/>
        <w:t>modificar o dispensar el cumplimiento de cualquier disposición del Contrato de Fideicomiso relacionada con las Obligaciones Negociables que constituya una obligación solidaria y mancomunada de las Co-Emisoras (conforme al Artículo 837 del Código Civil y Comercial de la Nación de la República Argentina); e</w:t>
      </w:r>
    </w:p>
    <w:p w14:paraId="0DB2659B" w14:textId="411BD875" w:rsidR="00202442" w:rsidRPr="00CA0A60" w:rsidRDefault="00202442" w:rsidP="00202442">
      <w:pPr>
        <w:widowControl w:val="0"/>
        <w:tabs>
          <w:tab w:val="left" w:pos="284"/>
          <w:tab w:val="left" w:pos="1134"/>
          <w:tab w:val="left" w:pos="1418"/>
        </w:tabs>
        <w:spacing w:before="120" w:after="120" w:line="240" w:lineRule="auto"/>
        <w:contextualSpacing/>
        <w:jc w:val="both"/>
        <w:rPr>
          <w:rFonts w:ascii="Garamond" w:hAnsi="Garamond" w:cs="Times New Roman"/>
          <w:sz w:val="20"/>
          <w:szCs w:val="20"/>
          <w:lang w:val="es-AR"/>
        </w:rPr>
      </w:pPr>
      <w:r w:rsidRPr="00CA0A60">
        <w:rPr>
          <w:rFonts w:ascii="Garamond" w:hAnsi="Garamond" w:cs="Times New Roman"/>
          <w:sz w:val="20"/>
          <w:szCs w:val="20"/>
          <w:lang w:val="es-AR"/>
        </w:rPr>
        <w:t>(</w:t>
      </w:r>
      <w:r w:rsidR="00174490">
        <w:rPr>
          <w:rFonts w:ascii="Garamond" w:hAnsi="Garamond" w:cs="Times New Roman"/>
          <w:sz w:val="20"/>
          <w:szCs w:val="20"/>
          <w:lang w:val="es-AR"/>
        </w:rPr>
        <w:t>n</w:t>
      </w:r>
      <w:r w:rsidRPr="00CA0A60">
        <w:rPr>
          <w:rFonts w:ascii="Garamond" w:hAnsi="Garamond" w:cs="Times New Roman"/>
          <w:sz w:val="20"/>
          <w:szCs w:val="20"/>
          <w:lang w:val="es-AR"/>
        </w:rPr>
        <w:t>)</w:t>
      </w:r>
      <w:r w:rsidRPr="00CA0A60">
        <w:rPr>
          <w:rFonts w:ascii="Garamond" w:hAnsi="Garamond" w:cs="Times New Roman"/>
          <w:sz w:val="20"/>
          <w:szCs w:val="20"/>
          <w:lang w:val="es-AR"/>
        </w:rPr>
        <w:tab/>
        <w:t>introducir cualquier cambio que resulte desfavorable para la calificación de las Obligaciones Negociables.</w:t>
      </w:r>
    </w:p>
    <w:p w14:paraId="0FF09413" w14:textId="77777777" w:rsidR="00202442" w:rsidRPr="00CA0A60" w:rsidRDefault="00202442" w:rsidP="00202442">
      <w:pPr>
        <w:widowControl w:val="0"/>
        <w:tabs>
          <w:tab w:val="left" w:pos="284"/>
          <w:tab w:val="left" w:pos="709"/>
          <w:tab w:val="left" w:pos="1418"/>
          <w:tab w:val="left" w:pos="8789"/>
        </w:tabs>
        <w:spacing w:before="120" w:after="120" w:line="240" w:lineRule="auto"/>
        <w:contextualSpacing/>
        <w:jc w:val="both"/>
        <w:rPr>
          <w:rFonts w:ascii="Garamond" w:hAnsi="Garamond" w:cs="Times New Roman"/>
          <w:sz w:val="20"/>
          <w:szCs w:val="20"/>
          <w:lang w:val="es-AR"/>
        </w:rPr>
      </w:pPr>
    </w:p>
    <w:p w14:paraId="1B6D4930" w14:textId="783BAB69" w:rsidR="00202442" w:rsidRPr="00CA0A60" w:rsidRDefault="00202442" w:rsidP="00202442">
      <w:pPr>
        <w:widowControl w:val="0"/>
        <w:tabs>
          <w:tab w:val="left" w:pos="284"/>
          <w:tab w:val="left" w:pos="709"/>
          <w:tab w:val="left" w:pos="1418"/>
          <w:tab w:val="left" w:pos="8789"/>
        </w:tabs>
        <w:spacing w:before="120" w:after="120" w:line="240" w:lineRule="auto"/>
        <w:contextualSpacing/>
        <w:jc w:val="both"/>
        <w:rPr>
          <w:rFonts w:ascii="Garamond" w:hAnsi="Garamond" w:cs="Times New Roman"/>
          <w:sz w:val="20"/>
          <w:szCs w:val="20"/>
          <w:lang w:val="es-AR"/>
        </w:rPr>
      </w:pPr>
      <w:r w:rsidRPr="00CA0A60">
        <w:rPr>
          <w:rFonts w:ascii="Garamond" w:hAnsi="Garamond" w:cs="Times New Roman"/>
          <w:sz w:val="20"/>
          <w:szCs w:val="20"/>
          <w:lang w:val="es-AR"/>
        </w:rPr>
        <w:t>De conformidad con la Ley de Obligaciones Negociables, la aprobación de cualquier modificación, ampliación o dispensa por parte de los Tenedores requiere del consentimiento de los mismos obtenido en el marco de una asamblea de Tenedores celebrada con arreglo a las disposiciones descriptas en “—</w:t>
      </w:r>
      <w:r w:rsidRPr="00CA0A60">
        <w:rPr>
          <w:rFonts w:ascii="Garamond" w:hAnsi="Garamond" w:cs="Times New Roman"/>
          <w:i/>
          <w:sz w:val="20"/>
          <w:szCs w:val="20"/>
          <w:lang w:val="es-AR"/>
        </w:rPr>
        <w:t>Asambleas de Tenedores</w:t>
      </w:r>
      <w:r w:rsidRPr="00CA0A60">
        <w:rPr>
          <w:rFonts w:ascii="Garamond" w:hAnsi="Garamond" w:cs="Times New Roman"/>
          <w:sz w:val="20"/>
          <w:szCs w:val="20"/>
          <w:lang w:val="es-AR"/>
        </w:rPr>
        <w:t>”, o a través de cualquier otro medio fiable que garantice a los Tenedores de Obligaciones Negociables acceso previo a información y les permita votar, de conformidad con el Artículo 14 de la Ley de Obligaciones Negociables (conforme fuera modificada por el Artículo 151 de la Ley de Financiamiento Productivo de Argentina) y demás reglamentaciones aplicables. No es necesario que los Tenedores de Obligaciones Negociables aprueben la forma de una modificación, ampliación o dispensa que se hubiere propuesto, sino que basta con que consientan su contenido.</w:t>
      </w:r>
    </w:p>
    <w:p w14:paraId="4A9D7753" w14:textId="77777777" w:rsidR="00202442" w:rsidRPr="00CA0A60" w:rsidRDefault="00202442" w:rsidP="00202442">
      <w:pPr>
        <w:widowControl w:val="0"/>
        <w:tabs>
          <w:tab w:val="left" w:pos="284"/>
          <w:tab w:val="left" w:pos="709"/>
          <w:tab w:val="left" w:pos="1418"/>
          <w:tab w:val="left" w:pos="8789"/>
        </w:tabs>
        <w:spacing w:before="120" w:after="120" w:line="240" w:lineRule="auto"/>
        <w:contextualSpacing/>
        <w:jc w:val="both"/>
        <w:rPr>
          <w:rFonts w:ascii="Garamond" w:hAnsi="Garamond" w:cs="Times New Roman"/>
          <w:sz w:val="20"/>
          <w:szCs w:val="20"/>
          <w:lang w:val="es-AR"/>
        </w:rPr>
      </w:pPr>
    </w:p>
    <w:p w14:paraId="15F79089" w14:textId="12EEE58D"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 excepción de las disposiciones mencionadas más arriba que requieren del consentimiento de cada Tenedor afectado, (i) los requisitos en materia de voto para aprobar cualquier modificación, ampliación o dispensa por parte de los Tenedores de Obligaciones Negociables durante una asamblea de Tenedores se determinarán conforme a las disposiciones de la sección titulada “––</w:t>
      </w:r>
      <w:r w:rsidRPr="00CA0A60">
        <w:rPr>
          <w:rFonts w:ascii="Garamond" w:hAnsi="Garamond" w:cs="Times New Roman"/>
          <w:i/>
          <w:sz w:val="20"/>
          <w:szCs w:val="20"/>
          <w:lang w:val="es-AR"/>
        </w:rPr>
        <w:t>Asambleas de Tenedores</w:t>
      </w:r>
      <w:r w:rsidRPr="00CA0A60">
        <w:rPr>
          <w:rFonts w:ascii="Garamond" w:hAnsi="Garamond" w:cs="Times New Roman"/>
          <w:sz w:val="20"/>
          <w:szCs w:val="20"/>
          <w:lang w:val="es-AR"/>
        </w:rPr>
        <w:t>” y (ii) la aprobación de cualquier modificación, ampliación o dispensa por parte de los Tenedores de Obligaciones Negociables fuera del ámbito de dichas asambleas requiere del consentimiento de Tenedores que representen una mayoría del monto de capital de las Obligaciones Negociables pendientes</w:t>
      </w:r>
      <w:r w:rsidR="00035652">
        <w:rPr>
          <w:rFonts w:ascii="Garamond" w:hAnsi="Garamond" w:cs="Times New Roman"/>
          <w:sz w:val="20"/>
          <w:szCs w:val="20"/>
          <w:lang w:val="es-AR"/>
        </w:rPr>
        <w:t xml:space="preserve"> en ese momento</w:t>
      </w:r>
      <w:r w:rsidRPr="00CA0A60">
        <w:rPr>
          <w:rFonts w:ascii="Garamond" w:hAnsi="Garamond" w:cs="Times New Roman"/>
          <w:sz w:val="20"/>
          <w:szCs w:val="20"/>
          <w:lang w:val="es-AR"/>
        </w:rPr>
        <w:t xml:space="preserve">. </w:t>
      </w:r>
    </w:p>
    <w:p w14:paraId="5771EEC3" w14:textId="59F387F6" w:rsidR="002C2444" w:rsidRPr="00CA3A3D" w:rsidRDefault="00202442" w:rsidP="002C2444">
      <w:pPr>
        <w:widowControl w:val="0"/>
        <w:tabs>
          <w:tab w:val="left" w:pos="284"/>
          <w:tab w:val="left" w:pos="709"/>
          <w:tab w:val="left" w:pos="1418"/>
          <w:tab w:val="left" w:pos="8789"/>
        </w:tabs>
        <w:spacing w:before="120" w:after="120" w:line="240" w:lineRule="auto"/>
        <w:jc w:val="both"/>
        <w:rPr>
          <w:rFonts w:ascii="Garamond" w:hAnsi="Garamond" w:cs="Calibri"/>
          <w:sz w:val="20"/>
          <w:szCs w:val="20"/>
          <w:lang w:val="es-AR"/>
        </w:rPr>
      </w:pPr>
      <w:r w:rsidRPr="00CA0A60">
        <w:rPr>
          <w:rFonts w:ascii="Garamond" w:hAnsi="Garamond" w:cs="Times New Roman"/>
          <w:sz w:val="20"/>
          <w:szCs w:val="20"/>
          <w:lang w:val="es-AR"/>
        </w:rPr>
        <w:t>El Fiduciario no está obligado a perfeccionar una modificación que afecte de manera adversa sus propios derechos, deberes o inmunidades en virtud del Contrato de Fideicomiso.</w:t>
      </w:r>
    </w:p>
    <w:p w14:paraId="114F1E61" w14:textId="77777777" w:rsidR="00202442" w:rsidRPr="00CA0A60" w:rsidRDefault="00202442" w:rsidP="00202442">
      <w:pPr>
        <w:keepNext/>
        <w:tabs>
          <w:tab w:val="left" w:pos="284"/>
          <w:tab w:val="left" w:pos="709"/>
          <w:tab w:val="left" w:pos="8789"/>
        </w:tabs>
        <w:spacing w:before="120" w:after="120" w:line="240" w:lineRule="auto"/>
        <w:jc w:val="both"/>
        <w:rPr>
          <w:rFonts w:ascii="Garamond" w:hAnsi="Garamond" w:cs="Times New Roman"/>
          <w:b/>
          <w:sz w:val="20"/>
          <w:szCs w:val="20"/>
          <w:lang w:val="es-AR"/>
        </w:rPr>
      </w:pPr>
      <w:r w:rsidRPr="00CA0A60">
        <w:rPr>
          <w:rFonts w:ascii="Garamond" w:hAnsi="Garamond" w:cs="Times New Roman"/>
          <w:b/>
          <w:sz w:val="20"/>
          <w:szCs w:val="20"/>
          <w:lang w:val="es-AR"/>
        </w:rPr>
        <w:t>Asamblea de Tenedores</w:t>
      </w:r>
    </w:p>
    <w:p w14:paraId="234D22A4"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Contrato de Fideicomiso contiene disposiciones que regulan la convocatoria a asambleas de Tenedores con el objetivo de tratar cuestiones que afecten sus intereses. El Directorio de cualquiera de las Co-Emisoras, el Garante, cualquiera de sus Consejos de Vigilancia, o el Fiduciario podrán convocar una asamblea de Tenedores de las Obligaciones Negociables. Dicha asamblea también podrá convocarse a pedido de los Tenedores de al menos el 5,0% del monto de capital de las Obligaciones Negociables en circulación. En caso de celebrarse una reunión convocada por pedido expreso de los Tenedores, dicha reunión deberá convocarse dentro de los 40 días contados a partir de la fecha de recepción de la correspondiente solicitud por escrito por parte de cualquier Co-Emisora. Dicha asamblea se celebrará en la Ciudad de Buenos Aires.</w:t>
      </w:r>
    </w:p>
    <w:p w14:paraId="6136B848"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convocatoria a una asamblea de Tenedores de Obligaciones Negociables (la cual deberá especificar la fecha, el lugar y el horario de su celebración, el orden del día y las condiciones para poder asistir) deberá cursarse conforme se establece en el apartado “—</w:t>
      </w:r>
      <w:r w:rsidRPr="00CA0A60">
        <w:rPr>
          <w:rFonts w:ascii="Garamond" w:hAnsi="Garamond" w:cs="Times New Roman"/>
          <w:i/>
          <w:sz w:val="20"/>
          <w:szCs w:val="20"/>
          <w:lang w:val="es-AR"/>
        </w:rPr>
        <w:t>Notificaciones</w:t>
      </w:r>
      <w:r w:rsidRPr="00CA0A60">
        <w:rPr>
          <w:rFonts w:ascii="Garamond" w:hAnsi="Garamond" w:cs="Times New Roman"/>
          <w:sz w:val="20"/>
          <w:szCs w:val="20"/>
          <w:lang w:val="es-AR"/>
        </w:rPr>
        <w:t xml:space="preserve">”, con una antelación de entre 10 a 30 días previos a la </w:t>
      </w:r>
      <w:r w:rsidRPr="00CA0A60">
        <w:rPr>
          <w:rFonts w:ascii="Garamond" w:hAnsi="Garamond" w:cs="Times New Roman"/>
          <w:sz w:val="20"/>
          <w:szCs w:val="20"/>
          <w:lang w:val="es-AR"/>
        </w:rPr>
        <w:lastRenderedPageBreak/>
        <w:t>fecha señalada para su celebración y deberá publicarse, con cargo a las Co-Emisoras, durante cinco días hábiles en el Boletín Oficial de la Argentina, en un diario de gran circulación en dicho país y en el Boletín Diario de la BCBA</w:t>
      </w:r>
      <w:r w:rsidRPr="00CA0A60" w:rsidDel="009D49DF">
        <w:rPr>
          <w:rFonts w:ascii="Garamond" w:hAnsi="Garamond" w:cs="Times New Roman"/>
          <w:sz w:val="20"/>
          <w:szCs w:val="20"/>
          <w:lang w:val="es-AR"/>
        </w:rPr>
        <w:t xml:space="preserve"> </w:t>
      </w:r>
      <w:r w:rsidRPr="00CA0A60">
        <w:rPr>
          <w:rFonts w:ascii="Garamond" w:hAnsi="Garamond" w:cs="Times New Roman"/>
          <w:sz w:val="20"/>
          <w:szCs w:val="20"/>
          <w:lang w:val="es-AR"/>
        </w:rPr>
        <w:t>(siempre y cuando las Obligaciones Negociables coticen y se negocien en el BYMA). Las asambleas de Tenedores podrán convocarse en forma simultánea para dos fechas, en caso de que la asamblea inicial se levantara por falta de quórum. No obstante, en el caso de asambleas en las que el orden del día incluya cuestiones que deban ser aprobadas por los Tenedores por unanimidad o que planteen la modificación de cualquiera de los términos y de las condiciones de las Obligaciones Negociables, deberá cursarse una nueva convocatoria con motivo del aplazamiento de la reunión convocada inicialmente por falta de quórum. Dicha convocatoria deberá cursarse con al menos ocho días de antelación a la fecha establecida para la reunión en segunda convocatoria y deberá publicarse durante tres Días Hábiles en el Boletín Oficial de Argentina además de en un diario de gran circulación en dicho país y en el Boletín Diario de la BCBA</w:t>
      </w:r>
      <w:r w:rsidRPr="00CA0A60" w:rsidDel="009D49DF">
        <w:rPr>
          <w:rFonts w:ascii="Garamond" w:hAnsi="Garamond" w:cs="Times New Roman"/>
          <w:sz w:val="20"/>
          <w:szCs w:val="20"/>
          <w:lang w:val="es-AR"/>
        </w:rPr>
        <w:t xml:space="preserve"> </w:t>
      </w:r>
      <w:r w:rsidRPr="00CA0A60">
        <w:rPr>
          <w:rFonts w:ascii="Garamond" w:hAnsi="Garamond" w:cs="Times New Roman"/>
          <w:sz w:val="20"/>
          <w:szCs w:val="20"/>
          <w:lang w:val="es-AR"/>
        </w:rPr>
        <w:t>(siempre que las Obligaciones Negociables coticen y se negocien en el BYMA).</w:t>
      </w:r>
    </w:p>
    <w:p w14:paraId="0B487FAC"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Para poder votar en una asamblea de Tenedores, una persona deberá (i) ser Tenedor de una o varias Obligaciones Negociables a la correspondiente fecha de registro; o (ii) haber sido designada por instrumento escrito como representante del correspondiente Tenedor de una o varias Obligaciones Negociables.</w:t>
      </w:r>
    </w:p>
    <w:p w14:paraId="775690F8"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quórum necesario para sesionar en cualquier asamblea convocada para adoptar una resolución quedará constituido por la presencia de las personas que sean titulares o representen la mayoría del monto de capital total de las Obligaciones Negociables en circulación. En el caso de asambleas en segunda convocatoria, el quórum quedará constituido por las personas allí presentes. Toda resolución que disponga la modificación o enmienda o dispensa del cumplimiento de cualquiera de las disposiciones de las Obligaciones Negociables (a excepción de aquellas disposiciones referidas precedentemente que exigen el consentimiento de cada uno de los Tenedores afectados por dicha resolución) que se hubiera adoptado en una asamblea en primera o segunda convocatoria que hubiera sido debidamente convocada y en la que se haya constituido el quórum necesario se considerará válida y se decidirá en caso de ser aprobada por las personas con derecho de voto titulares de la mayoría del monto de capital total de las Obligaciones Negociables entonces en circulación representadas y que voten en dicha asamblea. Todo instrumento otorgado por un Tenedor, ya sea por sí o por terceros, en relación con el consentimiento de cualquier modificación, enmienda o renuncia será irrevocable una vez otorgado y será definitivo y vinculante para todos los posteriores Tenedores de dicha obligación negociable. Toda modificación, enmienda o dispensa al Contrato de Fideicomiso o a las Obligaciones Negociables  será definitiva y vinculante para todos los Tenedores de dichas Obligaciones Negociables independientemente de si hubieran prestado o no su consentimiento o si hubieran asistido o no a la asamblea en la que se adoptó dicha resolución. También será vinculante para todas las Obligaciones Negociables.</w:t>
      </w:r>
    </w:p>
    <w:p w14:paraId="4F046FBB" w14:textId="07914108" w:rsidR="00202442" w:rsidRPr="00CA0A60" w:rsidRDefault="0003565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Pr>
          <w:rFonts w:ascii="Garamond" w:hAnsi="Garamond" w:cs="Times New Roman"/>
          <w:sz w:val="20"/>
          <w:szCs w:val="20"/>
          <w:lang w:val="es-AR"/>
        </w:rPr>
        <w:t>Cada una de las Co-Emisoras</w:t>
      </w:r>
      <w:r w:rsidR="00202442" w:rsidRPr="00CA0A60">
        <w:rPr>
          <w:rFonts w:ascii="Garamond" w:hAnsi="Garamond" w:cs="Times New Roman"/>
          <w:sz w:val="20"/>
          <w:szCs w:val="20"/>
          <w:lang w:val="es-AR"/>
        </w:rPr>
        <w:t xml:space="preserve"> fijará la fecha de registro a fin de determinar los Tenedores con derecho a votar en cualquier reunión y deberá cursarles la correspondiente notificación conforme establece el Contrato de Fideicomiso. El Tenedor podrá, en cualquier reunión de Tenedores en las que tenga derecho a voto, emitir un voto por cada Dólar Estadounidense correspondiente al monto de capital de las Obligaciones Negociables de las que sea titular.</w:t>
      </w:r>
    </w:p>
    <w:p w14:paraId="783F39AA"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 dichos efectos, cualquier obligación negociable autenticada y entregada de conformidad con el Contrato de Fideicomiso se entenderá, en la fecha de determinación correspondiente, como en “circulación”, excepto por:</w:t>
      </w:r>
    </w:p>
    <w:p w14:paraId="2C941BB4" w14:textId="77777777" w:rsidR="00202442" w:rsidRPr="00CA0A60" w:rsidRDefault="00202442" w:rsidP="00202442">
      <w:pPr>
        <w:widowControl w:val="0"/>
        <w:numPr>
          <w:ilvl w:val="0"/>
          <w:numId w:val="94"/>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Negociables canceladas por el Fiduciario hasta esa fecha o entregadas al Fiduciario para su cancelación;</w:t>
      </w:r>
    </w:p>
    <w:p w14:paraId="48F7A66D" w14:textId="77777777" w:rsidR="00202442" w:rsidRPr="00CA0A60" w:rsidRDefault="00202442" w:rsidP="00202442">
      <w:pPr>
        <w:widowControl w:val="0"/>
        <w:numPr>
          <w:ilvl w:val="0"/>
          <w:numId w:val="94"/>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Obligaciones Negociables que hubieran sido llamadas a rescate o se hubieran ofrecido para su readquisición de conformidad con sus propios términos o que se hubieran tornado </w:t>
      </w:r>
      <w:r w:rsidRPr="00CA0A60">
        <w:rPr>
          <w:rFonts w:ascii="Garamond" w:hAnsi="Garamond" w:cs="Times New Roman"/>
          <w:sz w:val="20"/>
          <w:szCs w:val="20"/>
          <w:lang w:val="es-AR" w:eastAsia="fr-FR" w:bidi="fr-FR"/>
        </w:rPr>
        <w:t xml:space="preserve">exigibles </w:t>
      </w:r>
      <w:r w:rsidRPr="00CA0A60">
        <w:rPr>
          <w:rFonts w:ascii="Garamond" w:hAnsi="Garamond" w:cs="Times New Roman"/>
          <w:sz w:val="20"/>
          <w:szCs w:val="20"/>
          <w:lang w:val="es-AR"/>
        </w:rPr>
        <w:t>y pagaderas a su vencimiento o por cualquier otro motivo y respecto de aquellas Obligaciones Negociables cuyos montos suficientes para pagar el capital y prima, intereses, Montos Adicionales  o cualquier otro monto que correspondiere hubieran sido depositados en el Fiduciario; o</w:t>
      </w:r>
    </w:p>
    <w:p w14:paraId="5FB87BDD" w14:textId="77777777" w:rsidR="00202442" w:rsidRPr="00CA0A60" w:rsidRDefault="00202442" w:rsidP="00202442">
      <w:pPr>
        <w:widowControl w:val="0"/>
        <w:numPr>
          <w:ilvl w:val="0"/>
          <w:numId w:val="94"/>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Negociables en reemplazo de aquellas otras Obligaciones Negociables que hubieran sido autenticadas y entregadas de conformidad con el Contrato de Fideicomiso;</w:t>
      </w:r>
    </w:p>
    <w:p w14:paraId="4374A613" w14:textId="6A7891C4"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Sin perjuicio de ello, al momento de determinar si los Tenedores del monto de capital necesario de las Obligaciones Negociables en circulación se encuentran presentes en una asamblea de Tenedores de dichas Obligaciones Negociables a los efectos de determinar si existe el quórum necesario o si han prestado su consentimiento o votado a favor de cualquier notificación, consentimiento, asamblea, enmienda, modificación o ampliación en virtud del Contrato de Fideicomiso, las Obligaciones Negociables que sean, directa o indirectamente, propiedad de cualquier Co-Emisora, el Garante o cualquiera de sus respectivas Subsidiarias y Afiliadas, no serán tenidas en cuenta y se entenderán como que no se encuentran en circulación.</w:t>
      </w:r>
    </w:p>
    <w:p w14:paraId="6D140A1B" w14:textId="6D8024E9"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Inmediatamente después del otorgamiento por parte de cada una de las Co-Emisoras, de cada Garante, del Fiduciario, del Agente de Garantía Local y del Fiduciario Argentino, según sea el caso, de cualquier ampliación </w:t>
      </w:r>
      <w:r w:rsidRPr="00CA0A60">
        <w:rPr>
          <w:rFonts w:ascii="Garamond" w:hAnsi="Garamond" w:cs="Times New Roman"/>
          <w:sz w:val="20"/>
          <w:szCs w:val="20"/>
          <w:lang w:val="es-AR"/>
        </w:rPr>
        <w:lastRenderedPageBreak/>
        <w:t>o modificación del Contrato de Fideicomiso o los Documentos de Garantía, las Co-Emisoras cursarán la correspondiente notificación a los Tenedores y, de corresponder, a la CNV, donde especificarán, en términos generales, los aspectos esenciales de dicha modificación o ampliación. Si las Co-Emisoras no cursaran dicha notificación a los Tenedores dentro de los 15 días a partir de la celebración de dicha ampliación o modificación del Contrato de Fideicomiso, el Fiduciario notificará a los Tenedores, en cuyo caso, el costo de notificación correrá por cuenta de las Co-Emisoras. El incumplimiento de las Co-Emisoras o del Fiduciario de cursar dicha notificación, así como cualquier tipo de defecto contenido en dicha notificación, de ningún modo afectará ni menoscabará la validez de la ampliación o modificación en cuestión del Contrato de Fideicomiso o los Documentos de Garantía, según el caso.</w:t>
      </w:r>
      <w:r w:rsidR="00035652">
        <w:rPr>
          <w:rFonts w:ascii="Garamond" w:hAnsi="Garamond" w:cs="Times New Roman"/>
          <w:sz w:val="20"/>
          <w:szCs w:val="20"/>
          <w:lang w:val="es-AR"/>
        </w:rPr>
        <w:t xml:space="preserve"> La Notificación a la CNV es responsabilidad de las Co-Emisoras</w:t>
      </w:r>
    </w:p>
    <w:p w14:paraId="34D49A88"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consentimiento de los Tenedores no será necesario en virtud del Contrato de Fideicomiso o los Documentos de Garantía con el fin de aprobar una forma particular de una propuesta de enmienda, ampliación o dispensa. Resultará suficiente que dicho consentimiento apruebe el contenido de la enmienda, ampliación o dispensa propuesta. Una vez que cualquier modificación, ampliación o renuncia en virtud del Contrato de Fideicomiso entrara en pleno vigor y efecto, las Co-Emisoras deberán notificar a los Tenedores conforme se establece en “—</w:t>
      </w:r>
      <w:r w:rsidRPr="00CA0A60">
        <w:rPr>
          <w:rFonts w:ascii="Garamond" w:hAnsi="Garamond" w:cs="Times New Roman"/>
          <w:i/>
          <w:sz w:val="20"/>
          <w:szCs w:val="20"/>
          <w:lang w:val="es-AR"/>
        </w:rPr>
        <w:t>Notificaciones</w:t>
      </w:r>
      <w:r w:rsidRPr="00CA0A60">
        <w:rPr>
          <w:rFonts w:ascii="Garamond" w:hAnsi="Garamond" w:cs="Times New Roman"/>
          <w:sz w:val="20"/>
          <w:szCs w:val="20"/>
          <w:lang w:val="es-AR"/>
        </w:rPr>
        <w:t>”, describiendo brevemente dicha modificación, ampliación o renuncia. De ningún modo el incumplimiento de cursar dicha notificación a la totalidad de los Tenedores así como cualquier defecto que dicha notificación pudiera contener afectará o menoscabará la validez de dicha modificación, ampliación o dispensa.</w:t>
      </w:r>
    </w:p>
    <w:p w14:paraId="5B391C76"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las asambleas de Tenedores que se celebren se deberán cumplir y serán de aplicación las normas contenidas en la Ley de Obligaciones Negociables, incluyendo, sin limitación, las disposiciones de los artículos 354 y 355 de la Ley General de Sociedades, todo ello en virtud del artículo 14 de la Ley de Obligaciones Negociables.</w:t>
      </w:r>
    </w:p>
    <w:p w14:paraId="7011B8C6" w14:textId="198E837E" w:rsidR="002C2444" w:rsidRPr="00CA3A3D" w:rsidRDefault="002C2444" w:rsidP="002C2444">
      <w:pPr>
        <w:widowControl w:val="0"/>
        <w:tabs>
          <w:tab w:val="left" w:pos="284"/>
          <w:tab w:val="left" w:pos="709"/>
          <w:tab w:val="left" w:pos="8789"/>
        </w:tabs>
        <w:spacing w:before="120" w:after="120" w:line="240" w:lineRule="auto"/>
        <w:jc w:val="both"/>
        <w:rPr>
          <w:rFonts w:ascii="Garamond" w:hAnsi="Garamond" w:cs="Calibri"/>
          <w:sz w:val="20"/>
          <w:szCs w:val="20"/>
          <w:lang w:val="es-AR"/>
        </w:rPr>
      </w:pPr>
    </w:p>
    <w:p w14:paraId="69D33B73"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82" w:name="bookmark166"/>
      <w:r w:rsidRPr="00CA0A60">
        <w:rPr>
          <w:rFonts w:ascii="Garamond" w:hAnsi="Garamond" w:cs="Times New Roman"/>
          <w:b/>
          <w:i/>
          <w:sz w:val="20"/>
          <w:szCs w:val="20"/>
          <w:lang w:val="es-AR"/>
        </w:rPr>
        <w:t>Notificaciones</w:t>
      </w:r>
      <w:bookmarkEnd w:id="82"/>
    </w:p>
    <w:p w14:paraId="679C9865"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Notificaciones a los Tenedores de Certificados no Globales se enviarán por correo certificado, franqueo prepago, a sus correspondientes domicilios registrados. Las notificaciones que deban cursarse a los Tenedores de Certificados Globales se enviarán a DTC de conformidad con sus procedimientos aplicables.</w:t>
      </w:r>
    </w:p>
    <w:p w14:paraId="7D8F50ED"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tanto dichas Obligaciones Negociables estén listadas en el BYMA y sean negociadas en el MAE, ante su publicación en la Ciudad Autónoma de Buenos Aires en el Boletín Diario de la BCBA</w:t>
      </w:r>
      <w:r w:rsidRPr="00CA0A60" w:rsidDel="009D49DF">
        <w:rPr>
          <w:rFonts w:ascii="Garamond" w:hAnsi="Garamond" w:cs="Times New Roman"/>
          <w:sz w:val="20"/>
          <w:szCs w:val="20"/>
          <w:lang w:val="es-AR"/>
        </w:rPr>
        <w:t xml:space="preserve"> </w:t>
      </w:r>
      <w:r w:rsidRPr="00CA0A60">
        <w:rPr>
          <w:rFonts w:ascii="Garamond" w:hAnsi="Garamond" w:cs="Times New Roman"/>
          <w:sz w:val="20"/>
          <w:szCs w:val="20"/>
          <w:lang w:val="es-AR"/>
        </w:rPr>
        <w:t>y el MAE, y en un diario de amplia circulación en Argentina.</w:t>
      </w:r>
    </w:p>
    <w:p w14:paraId="7E20860F"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Asimismo, las Co-Emisoras estarán obligadas a ordenar todas las demás publicaciones de notificaciones que puedan requerirse periódicamente en virtud de las leyes de Argentina aplicables.</w:t>
      </w:r>
    </w:p>
    <w:p w14:paraId="4057227F" w14:textId="3D682591" w:rsidR="00202442" w:rsidRPr="00CA3A3D" w:rsidRDefault="00202442" w:rsidP="002B1E31">
      <w:pPr>
        <w:widowControl w:val="0"/>
        <w:tabs>
          <w:tab w:val="left" w:pos="284"/>
          <w:tab w:val="left" w:pos="709"/>
          <w:tab w:val="left" w:pos="8789"/>
        </w:tabs>
        <w:spacing w:before="120" w:after="120" w:line="240" w:lineRule="auto"/>
        <w:jc w:val="both"/>
        <w:rPr>
          <w:rFonts w:ascii="Garamond" w:hAnsi="Garamond" w:cs="Calibri"/>
          <w:b/>
          <w:i/>
          <w:sz w:val="20"/>
          <w:szCs w:val="20"/>
          <w:lang w:val="es-AR"/>
        </w:rPr>
      </w:pPr>
      <w:r w:rsidRPr="00CA0A60">
        <w:rPr>
          <w:rFonts w:ascii="Garamond" w:hAnsi="Garamond" w:cs="Times New Roman"/>
          <w:sz w:val="20"/>
          <w:szCs w:val="20"/>
          <w:lang w:val="es-AR"/>
        </w:rPr>
        <w:t>Las notificaciones se tendrán por debidamente cursadas en la fecha de envío o de publicación conforme se establece precedentemente o. en caso de ser publicadas en fechas diferentes en la fecha de primera publicación.</w:t>
      </w:r>
    </w:p>
    <w:p w14:paraId="35CC5A88"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83" w:name="bookmark167"/>
      <w:r w:rsidRPr="00CA0A60">
        <w:rPr>
          <w:rFonts w:ascii="Garamond" w:hAnsi="Garamond" w:cs="Times New Roman"/>
          <w:b/>
          <w:i/>
          <w:sz w:val="20"/>
          <w:szCs w:val="20"/>
          <w:lang w:val="es-AR"/>
        </w:rPr>
        <w:t>Legislación Aplicable; Jurisdicción</w:t>
      </w:r>
      <w:bookmarkEnd w:id="83"/>
    </w:p>
    <w:p w14:paraId="7BB9ED64" w14:textId="63664D92"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Obligaciones Negociables, </w:t>
      </w:r>
      <w:r w:rsidR="00035652">
        <w:rPr>
          <w:rFonts w:ascii="Garamond" w:hAnsi="Garamond" w:cs="Times New Roman"/>
          <w:sz w:val="20"/>
          <w:szCs w:val="20"/>
          <w:lang w:val="es-AR"/>
        </w:rPr>
        <w:t xml:space="preserve"> y el Contrato de Fideicomiso (incluyendo cualquier cuestión relacionada a la creación o perfeccionamiento de los Gravámenes del Agente de Garantía Internacional en la Cuenta de Reserva de Servicio de Deuda allí previstas y exigibles de los derechos y facultades con relación  a las mismas) </w:t>
      </w:r>
      <w:r w:rsidRPr="00CA0A60">
        <w:rPr>
          <w:rFonts w:ascii="Garamond" w:hAnsi="Garamond" w:cs="Times New Roman"/>
          <w:sz w:val="20"/>
          <w:szCs w:val="20"/>
          <w:lang w:val="es-AR"/>
        </w:rPr>
        <w:t>se regirán e interpretarán de conformidad con las leyes del Estado de Nueva York, Estados Unidos. No obstante, todas las cuestiones relativas a la correspondiente autorización, otorgamiento, emisión y entrega de las Obligaciones Negociables y de las Garantías de ASA por parte de las Co-Emisoras y de los Garantes así como todos los asuntos vinculados a las condiciones legales necesarias a fin de que las Obligaciones Negociables califiquen como “obligaciones negociables simples no convertibles en acciones” en virtud de la legislación argentina, y demás cuestiones concernientes a las asambleas de Tenedores, incluidos temas tales como quórum, mayorías y requisitos para convocatorias a asamblea, se regirán por la Ley de Obligaciones Negociables, la Ley General de Sociedades y/o cualquier otra ley o disposición reglamentaria argentina que resulte aplicable.</w:t>
      </w:r>
    </w:p>
    <w:p w14:paraId="26D51B4D" w14:textId="48574F6B" w:rsidR="00202442" w:rsidRPr="00CA0A60" w:rsidRDefault="0003565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Pr>
          <w:rFonts w:ascii="Garamond" w:hAnsi="Garamond" w:cs="Times New Roman"/>
          <w:sz w:val="20"/>
          <w:szCs w:val="20"/>
          <w:lang w:val="es-AR"/>
        </w:rPr>
        <w:t xml:space="preserve">Los Documentos de Garantía </w:t>
      </w:r>
      <w:r w:rsidR="00202442" w:rsidRPr="00CA0A60">
        <w:rPr>
          <w:rFonts w:ascii="Garamond" w:hAnsi="Garamond" w:cs="Times New Roman"/>
          <w:sz w:val="20"/>
          <w:szCs w:val="20"/>
          <w:lang w:val="es-AR"/>
        </w:rPr>
        <w:t>(incluyendo todos los asuntos relativos a la creación y perfeccionamiento de los Derechos de Garantía cubiertos por ellos y el ejercicio de los derechos y la ejecución de los recursos asociados a los mismos) se regirán por e interpretarán de acuerdo con las leyes de Argentina.</w:t>
      </w:r>
    </w:p>
    <w:p w14:paraId="58852A1E" w14:textId="5895186A"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Co-Emisoras y cada Garante se someten de manera irrevocable a la jurisdicción no exclusiva de cualquier tribunal estatal o federal con sede en Manhattan, Ciudad de Nueva York, Estados Unidos, de cualquier tribunal argentino con asiento en la Ciudad Autónoma de Buenos Aires, incluidos los tribunales ordinarios comerciales y el Tribunal de Arbitraje General de la BCBA, de conformidad con las disposiciones establecidas en el artículo 46 de la Ley de Mercado de Capitales, y cualquier otro tribunal competente dentro de la jurisdicción geográfica del domicilio social de las Co-Emisora o del Garante pertinente, conforme resulte aplicable, a los efectos de cualquier acción legal o procedimiento que surja en relación con el Contrato de Fideicomiso, las Obligaciones </w:t>
      </w:r>
      <w:r w:rsidRPr="00CA0A60">
        <w:rPr>
          <w:rFonts w:ascii="Garamond" w:hAnsi="Garamond" w:cs="Times New Roman"/>
          <w:sz w:val="20"/>
          <w:szCs w:val="20"/>
          <w:lang w:val="es-AR"/>
        </w:rPr>
        <w:lastRenderedPageBreak/>
        <w:t xml:space="preserve">Negociables o las Garantías de ASA. Las Co-Emisoras y cada Garante designarán, nombrarán y facultarán a </w:t>
      </w:r>
      <w:r w:rsidR="00657AC3">
        <w:rPr>
          <w:rFonts w:ascii="Garamond" w:hAnsi="Garamond" w:cs="Times New Roman"/>
          <w:sz w:val="20"/>
          <w:szCs w:val="20"/>
          <w:lang w:val="es-AR"/>
        </w:rPr>
        <w:t xml:space="preserve">a un agente para la atención de cualquier proceso legal en New York, New York, con el propósito de cualquier acción legal, demanda o procedimiento peticionado por cualquier Tenedor o el Fiduciario, con respecto a las Obligaciones Negociables, a la Garantía de ASA o el Contrato de Fideicomiso (“Agente Autorizado”). Cada Co-Emisora y el Garante designarán a </w:t>
      </w:r>
      <w:r w:rsidRPr="00CA0A60">
        <w:rPr>
          <w:rFonts w:ascii="Garamond" w:hAnsi="Garamond" w:cs="Times New Roman"/>
          <w:sz w:val="20"/>
          <w:szCs w:val="20"/>
          <w:lang w:val="es-AR"/>
        </w:rPr>
        <w:t>Cogency Global Inc., con domicilio en 10 East, 40th Street, 10th Floor, New York, New York 10016, como su representante autorizado para recibir, en nombre de cada una de las Co-Emisoras y de cada Garante, notificaciones de demandas o cualquier otra citación judicial que deba cursarse en el marco de acciones legales, procesos o juicios que tramiten en el Estado de Nueva York. Las sentencias definitivas contra cualquier Co-Emisora y cualquier Garante en cualquiera de dichas acciones, procesos o juicios serán definitivas e inapelables y podrán exigirse en cualquier otra jurisdicción, incluido el país en el cual dicha Co-Emisora o Garante haya denunciado su domicilio a los efectos procesales de la sentencia en cuestión. Nada afectará el derecho de los Tenedores o del Fiduciario de iniciar acciones legales o de cualquier otro modo demandar a una Co-Emisora o a un Garante en el país en el cual éste tenga domicilio o ante cualquier otro tribunal competente o bien cursar notificación de demanda a dicha Co-Emisora o al Garante de la manera autorizada por las leyes de cualquiera de dichas jurisdicciones.</w:t>
      </w:r>
    </w:p>
    <w:p w14:paraId="07ADB63D" w14:textId="2C9AA40F"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Con respecto a cualquier acción o procedimiento emergente de o relacionado con el Contrato de Fideicomiso con Fines de Garantía</w:t>
      </w:r>
      <w:r w:rsidR="00CC334C" w:rsidRPr="00CA0A60">
        <w:rPr>
          <w:rFonts w:ascii="Garamond" w:hAnsi="Garamond" w:cs="Times New Roman"/>
          <w:sz w:val="20"/>
          <w:szCs w:val="20"/>
          <w:lang w:val="es-AR"/>
        </w:rPr>
        <w:t xml:space="preserve"> Argentino</w:t>
      </w:r>
      <w:r w:rsidRPr="00CA0A60">
        <w:rPr>
          <w:rFonts w:ascii="Garamond" w:hAnsi="Garamond" w:cs="Times New Roman"/>
          <w:sz w:val="20"/>
          <w:szCs w:val="20"/>
          <w:lang w:val="es-AR"/>
        </w:rPr>
        <w:t>, los Contratos de Prenda Argentinos y la Escritura Hipotecaria Argentina, cada Co-Emisora, el Garante, el Agente de Garantía Local y el Fiduciario Argentino, según el caso, se someterán irrevocablemente a la jurisdicción exclusiva de los Tribunales de Comercio Ordinarios con asiento en la Ciudad Autónoma de Buenos Aires, Argentina.</w:t>
      </w:r>
    </w:p>
    <w:p w14:paraId="2E3506DF" w14:textId="35E59C05"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Co-Emisoras y cada Garante acuerdan además que, en la medida en que cualquier Obligación Negociable se encuentre en circulación en virtud del Contrato de Fideicomiso, las Co-Emisoras y cada Garante contarán </w:t>
      </w:r>
      <w:r w:rsidR="00657AC3">
        <w:rPr>
          <w:rFonts w:ascii="Garamond" w:hAnsi="Garamond" w:cs="Times New Roman"/>
          <w:sz w:val="20"/>
          <w:szCs w:val="20"/>
          <w:lang w:val="es-AR"/>
        </w:rPr>
        <w:t>un Agente Autorizado</w:t>
      </w:r>
      <w:r w:rsidRPr="00CA0A60">
        <w:rPr>
          <w:rFonts w:ascii="Garamond" w:hAnsi="Garamond" w:cs="Times New Roman"/>
          <w:sz w:val="20"/>
          <w:szCs w:val="20"/>
          <w:lang w:val="es-AR"/>
        </w:rPr>
        <w:t xml:space="preserve"> en relación con las Obligaciones Negociables, las Garantías de ASA o el Contrato de Fideicomiso además de comprometerse a informar tanto a los Tenedores como al Fiduciario la identidad y el domicilio de dicho representante, las Co-Emisoras y cada Garante consentirán también de manera irrevocable, en caso de que, por cualquier motivo que fuere, no contaran con un representante autorizado a los efectos de las notificaciones en Nueva York, a recibir notificaciones de demanda cursada por cualquiera de los tribunales antes mencionados mediante el envío de copias por correo aéreo certificado de los Estados Unidos con franqueo prepago, enviado a dicha Co-Emisora o el Garante, a sus respectivos domicilios denunciados en el presente. En dicho caso, cada uno de dichas Co-Emisoras o el Garante también recibirá una copia de tal notificación judicial por télex o fax con acuse de recibo.</w:t>
      </w:r>
    </w:p>
    <w:p w14:paraId="43556224"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notificación de acciones judiciales cursada de la manera establecida en el párrafo precedente en el marco de cualquier acción, juicio o proceso se considerará como una notificación cursada en forma personal y se tendrá por aceptada como tal por las Co-Emisoras y los Garantes y se considerará válida y vinculante para la correspondiente Co-Emisora o el Garante a todos los efectos que pudiera corresponderle en el marco de dicha acción, juicio o proceso.</w:t>
      </w:r>
    </w:p>
    <w:p w14:paraId="3DA2E3B5"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Asimismo, las Co-Emisoras y cada Garante renuncian de manera irrevocable y dentro del mayor alcance permitido por la legislación aplicable, a cualquier objeción que pudiera invocar hoy o en el futuro a la jurisdicción de un tribunal en razón de su competencia geográfico en el marco de cualquier acción, juicio o proceso que se inicie en relación con las Obligaciones Negociables, las Garantías de ASA y el Contrato de Fideicomiso en los tribunales del Estado de Nueva York o en el Tribunal Federal de Primera Instancia del Distrito Sur de Nueva York </w:t>
      </w:r>
      <w:r w:rsidRPr="00CA0A60">
        <w:rPr>
          <w:rFonts w:ascii="Garamond" w:hAnsi="Garamond" w:cs="Times New Roman"/>
          <w:i/>
          <w:iCs/>
          <w:color w:val="000000"/>
          <w:sz w:val="20"/>
          <w:szCs w:val="20"/>
          <w:lang w:val="es-AR" w:eastAsia="es-ES" w:bidi="es-ES"/>
        </w:rPr>
        <w:t>(United States District Court for the Southern District of New York)</w:t>
      </w:r>
      <w:r w:rsidRPr="00CA0A60">
        <w:rPr>
          <w:rFonts w:ascii="Garamond" w:hAnsi="Garamond" w:cs="Times New Roman"/>
          <w:sz w:val="20"/>
          <w:szCs w:val="20"/>
          <w:lang w:val="es-AR"/>
        </w:rPr>
        <w:t xml:space="preserve"> y cualquier reclamo de que dicha acción, juicio o proceso iniciado ante dicho tribunal ha sido planteado en el fuero inadecuado. Asimismo, las Co-Emisoras y cada Garante renuncian de manera irrevocable, y dentro del mayor alcance permitido por la legislación aplicable, a cualquier derecho que dicha Co-Emisora o el Garante pudiera invocar hoy o en el futuro para elevar a un Tribunal Federal de los Estados Unidos cualquier acción iniciada en un tribunal estadual del Estado de Nueva York.</w:t>
      </w:r>
    </w:p>
    <w:p w14:paraId="2D066E6C"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la medida en que cualquier Co-Emisora o el Garante puedan, en el marco de cualquier juicio, acción o proceso iniciado ante un tribunal del país en el cual dicha Co-Emisora o el Garante tenga domicilio o en cualquier otro lugar del mundo, que verse sobre las Obligaciones Negociables, las Garantías de ASA o el Contrato de Fideicomiso, recurrir al beneficio que le asiste en virtud de cualquier disposición legal que le exige al Fiduciario o a los Tenedores en el marco de dicho juicio, acción o proceso que deposite una garantía para cubrir los costos en los que pudiere incurrir en este contexto la Co-Emisora o el Garante, según sea el caso, o pague una fianza o garantía (excepción de arraigo) o tome cualquier otra medida de naturaleza similar, las Co-Emisoras y cada Garante renunciarán en forma irrevocable a tal beneficio, en cada caso dentro del mayor alcance permitido, hoy y en el futuro, por las leyes vigentes en el país en el que la Co-Emisora o el Garante tenga domicilio o, de corresponder, en cualquier otra jurisdicción.</w:t>
      </w:r>
    </w:p>
    <w:p w14:paraId="6AC6ECA4"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la medida en que una Co-Emisora o el Garante tengan derecho en cualquier jurisdicción a reclamar por sí o la inmunidad de sus respectivos activos por motivos de soberanía u otros, respecto de las obligaciones de </w:t>
      </w:r>
      <w:r w:rsidRPr="00CA0A60">
        <w:rPr>
          <w:rFonts w:ascii="Garamond" w:hAnsi="Garamond" w:cs="Times New Roman"/>
          <w:sz w:val="20"/>
          <w:szCs w:val="20"/>
          <w:lang w:val="es-AR"/>
        </w:rPr>
        <w:lastRenderedPageBreak/>
        <w:t>dicha Co-Emisora o el Garante en virtud de las Obligaciones Negociables, las Garantías de ASA o el Contrato de Fideicomiso en el marco de cualquier juicio, acción ejecutoria, embargo (ya sea en concurso o ejecución, antes del dictado de la sentencia o en cualquier otra instancia) o cualquier otro proceso legal o en la medida en que en cualquier jurisdicción le pudiera corresponder tal inmunidad a dicha Co-Emisora o el Garante o a sus bienes (independientemente de si dicho beneficio fuera invocado o no) o en la medida en que pudiera tener derecho a exigir un juicio por jurado, las Co-Emisoras y el Garante renunciarán en forma irrevocable y se comprometen a abstenerse, según corresponda, de invocar o reclamar tal inmunidad y/o derecho a un juicio por jurado dentro del mayor alcance permitido por las leyes de la jurisdicción que correspondiere.</w:t>
      </w:r>
    </w:p>
    <w:p w14:paraId="01B80A10"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84" w:name="bookmark168"/>
      <w:r w:rsidRPr="00CA0A60">
        <w:rPr>
          <w:rFonts w:ascii="Garamond" w:hAnsi="Garamond" w:cs="Times New Roman"/>
          <w:b/>
          <w:i/>
          <w:sz w:val="20"/>
          <w:szCs w:val="20"/>
          <w:lang w:val="es-AR"/>
        </w:rPr>
        <w:t>El Fiduciario</w:t>
      </w:r>
      <w:bookmarkEnd w:id="84"/>
    </w:p>
    <w:p w14:paraId="0C66BF43" w14:textId="77777777" w:rsidR="00202442" w:rsidRPr="00A438F1"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n-US"/>
        </w:rPr>
      </w:pPr>
      <w:r w:rsidRPr="00CA0A60">
        <w:rPr>
          <w:rFonts w:ascii="Garamond" w:hAnsi="Garamond" w:cs="Times New Roman"/>
          <w:sz w:val="20"/>
          <w:szCs w:val="20"/>
          <w:lang w:val="es-AR"/>
        </w:rPr>
        <w:t xml:space="preserve">Inicialmente, The Bank of New York Mellon será el fiduciario en virtud del Contrato de Fideicomiso. </w:t>
      </w:r>
      <w:r w:rsidRPr="00A438F1">
        <w:rPr>
          <w:rFonts w:ascii="Garamond" w:hAnsi="Garamond" w:cs="Times New Roman"/>
          <w:sz w:val="20"/>
          <w:szCs w:val="20"/>
          <w:lang w:val="en-US"/>
        </w:rPr>
        <w:t>El Fiduciario actualmente tiene domicilio en 240 Greenwich Street, Floor 7 East, New York, New York 10286.</w:t>
      </w:r>
    </w:p>
    <w:p w14:paraId="5CC430B4" w14:textId="75AC859D"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El Fiduciario podrá estar involucrado en otras transacciones; no obstante, en caso de surgir algún interés en conflicto, deberá eliminar dicho conflicto dentro de los 90 días o renunciar. Si el Fiduciario, el Agente de Garantía Internacional, cualquier agente de pago, </w:t>
      </w:r>
      <w:r w:rsidR="00657AC3">
        <w:rPr>
          <w:rFonts w:ascii="Garamond" w:hAnsi="Garamond" w:cs="Times New Roman"/>
          <w:sz w:val="20"/>
          <w:szCs w:val="20"/>
          <w:lang w:val="es-AR"/>
        </w:rPr>
        <w:t xml:space="preserve">agente de registro, </w:t>
      </w:r>
      <w:r w:rsidRPr="00CA0A60">
        <w:rPr>
          <w:rFonts w:ascii="Garamond" w:hAnsi="Garamond" w:cs="Times New Roman"/>
          <w:sz w:val="20"/>
          <w:szCs w:val="20"/>
          <w:lang w:val="es-AR"/>
        </w:rPr>
        <w:t xml:space="preserve">agente de registro conjunto u otro de los agentes se convirtiera en dueño o acreedor prendario de las Obligaciones Negociables, podrá tratar con cualquier Co-Emisora con los mismos derechos que tendría si no fuese el Fiduciario, el Agente de Garantía Internacional, el agente de pago, </w:t>
      </w:r>
      <w:r w:rsidR="00657AC3">
        <w:rPr>
          <w:rFonts w:ascii="Garamond" w:hAnsi="Garamond" w:cs="Times New Roman"/>
          <w:sz w:val="20"/>
          <w:szCs w:val="20"/>
          <w:lang w:val="es-AR"/>
        </w:rPr>
        <w:t xml:space="preserve">agente de registro, </w:t>
      </w:r>
      <w:r w:rsidRPr="00CA0A60">
        <w:rPr>
          <w:rFonts w:ascii="Garamond" w:hAnsi="Garamond" w:cs="Times New Roman"/>
          <w:sz w:val="20"/>
          <w:szCs w:val="20"/>
          <w:lang w:val="es-AR"/>
        </w:rPr>
        <w:t>el agente de registro conjunto u otro de los agentes.</w:t>
      </w:r>
    </w:p>
    <w:p w14:paraId="6D8D3F2C"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Excepto durante la subsistencia de un Supuesto de Incumplimiento, el Fiduciario cumplirá únicamente sus funciones de la manera específicamente establecida en el Contrato de Fideicomiso. Durante la vigencia de un Supuesto de Incumplimiento, el Fiduciario ejercerá todos los derechos y las facultades que le hubieran sido otorgados en virtud del Contrato de Fideicomiso y empleará el mismo grado de cuidado y diligencia en su desempeño como lo haría cualquier persona prudente en las mismas circunstancias en el desempeño de sus propios asuntos. El Fiduciario no tendrá responsabilidad por cualquier estimación requerida por el Garante o cualquier Co-Emisora de acuerdo al Contrato de Fideicomiso y las Obligaciones Negociables y no podrá requerírsele que acepte dinero en monedas distintas a Dólares Estadounidenses.</w:t>
      </w:r>
    </w:p>
    <w:p w14:paraId="39F64D1F" w14:textId="77777777" w:rsidR="00202442" w:rsidRPr="00CA0A60" w:rsidRDefault="00202442" w:rsidP="00202442">
      <w:pPr>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 xml:space="preserve">El Agente de Garantía Internacional </w:t>
      </w:r>
    </w:p>
    <w:p w14:paraId="38F96A04"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Inicialmente, The Bank of New York Mellon actuará como agente de garantía internacional. El Agente de Garantía Internacional  actualmente tiene domicilio en 240 Greenwich Street, Floor 7 East, New York, New York 10286.</w:t>
      </w:r>
    </w:p>
    <w:p w14:paraId="5364E76E"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 xml:space="preserve">El Agente de Garantía Local </w:t>
      </w:r>
    </w:p>
    <w:p w14:paraId="610F47D7"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Inicialmente, TMF Trust Company (Argentina) S.A. actuará como agente de garantía local. El Agente de Garantía Local actualmente tiene domicilio en Av. Chiclana 3345, Piso 5º, C1260ACA, Ciudad Autónoma de Buenos Aires, Argentina, atención: Jorge Sodano / Luis Vernet.</w:t>
      </w:r>
    </w:p>
    <w:p w14:paraId="2243FDFD"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El Fiduciario Argentino</w:t>
      </w:r>
    </w:p>
    <w:p w14:paraId="2573A88E"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Inicialmente, TMF Trust Company (Argentina) S.A. será el Fiduciario Argentino. El Fiduciario Argentino actualmente tiene el domicilio indicado en el párrafo anterior. Atención: Jorge Sodano / Luis Vernet.</w:t>
      </w:r>
    </w:p>
    <w:p w14:paraId="61161AAA"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85" w:name="bookmark169"/>
      <w:r w:rsidRPr="00CA0A60">
        <w:rPr>
          <w:rFonts w:ascii="Garamond" w:hAnsi="Garamond" w:cs="Times New Roman"/>
          <w:b/>
          <w:i/>
          <w:sz w:val="20"/>
          <w:szCs w:val="20"/>
          <w:lang w:val="es-AR"/>
        </w:rPr>
        <w:t>Inexistencia de Responsabilidad Personal</w:t>
      </w:r>
      <w:bookmarkEnd w:id="85"/>
    </w:p>
    <w:p w14:paraId="2809C5C0" w14:textId="18B6842D"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Ningún fundador, director, ejecutivo, empleado, accionista o persona controlante, actual, pasada o futura, de ninguna de las Co-Emisoras y ningún Garante tendrá, en tal carácter, responsabilidad alguna por cualquiera de las obligaciones de las Co-Emisoras y de los Garantes en virtud de las Obligaciones Negociables, las Garantías de ASA, el Contrato de Fideicomiso</w:t>
      </w:r>
      <w:r w:rsidR="00656F08">
        <w:rPr>
          <w:rFonts w:ascii="Garamond" w:hAnsi="Garamond" w:cs="Times New Roman"/>
          <w:sz w:val="20"/>
          <w:szCs w:val="20"/>
          <w:lang w:val="es-AR"/>
        </w:rPr>
        <w:t xml:space="preserve"> o</w:t>
      </w:r>
      <w:r w:rsidRPr="00CA0A60">
        <w:rPr>
          <w:rFonts w:ascii="Garamond" w:hAnsi="Garamond" w:cs="Times New Roman"/>
          <w:sz w:val="20"/>
          <w:szCs w:val="20"/>
          <w:lang w:val="es-AR"/>
        </w:rPr>
        <w:t xml:space="preserve"> los Documentos de Garantía o frente a cualquier reclamo fundado en dichas obligaciones o que surjan en relación con ellas. Al aceptar una obligación negociable, cada Tenedor renuncia y desiste de su derecho a reclamar dicha responsabilidad. La renuncia y desistimiento son parte de la contraprestación por la emisión de las Obligaciones Negociables. La renuncia podrá no ser efectiva para renunciar a los pasivos previstos en el artículo 34 de la Ley de Obligaciones Negociables, el artículo 54 de la Ley General de Sociedades, los artículos 119 y 210 de la Ley de Mercado de Capitales y demás leyes argentinas aplicables o en las leyes federales sobre títulos valores de los Estados Unidos, y la SEC entiende que dicha renuncia podría ser contraria a las normas de orden público.</w:t>
      </w:r>
    </w:p>
    <w:p w14:paraId="692F26E9"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86" w:name="bookmark170"/>
      <w:r w:rsidRPr="00CA0A60">
        <w:rPr>
          <w:rFonts w:ascii="Garamond" w:hAnsi="Garamond" w:cs="Times New Roman"/>
          <w:b/>
          <w:i/>
          <w:sz w:val="20"/>
          <w:szCs w:val="20"/>
          <w:lang w:val="es-AR"/>
        </w:rPr>
        <w:t>Indemnidad respecto de la Moneda</w:t>
      </w:r>
      <w:bookmarkEnd w:id="86"/>
    </w:p>
    <w:p w14:paraId="50F4B4F3" w14:textId="449F4E7F"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 presente se trata de una operación de emisión de deuda internacional en la cual la denominación en Dólares Estadounidenses así como el pago en la Ciudad de Nueva York son aspectos esenciales. En este sentido, las obligaciones de las Co-Emisoras y del Garante bajo las Obligaciones Negociables, las Garantías de ASA, el Contrato de Fideicomiso y los Documentos de Garantía </w:t>
      </w:r>
      <w:r w:rsidR="00657AC3">
        <w:rPr>
          <w:rFonts w:ascii="Garamond" w:hAnsi="Garamond" w:cs="Times New Roman"/>
          <w:sz w:val="20"/>
          <w:szCs w:val="20"/>
          <w:lang w:val="es-AR"/>
        </w:rPr>
        <w:t>hacia los Tenedores</w:t>
      </w:r>
      <w:r w:rsidRPr="00CA0A60">
        <w:rPr>
          <w:rFonts w:ascii="Garamond" w:hAnsi="Garamond" w:cs="Times New Roman"/>
          <w:sz w:val="20"/>
          <w:szCs w:val="20"/>
          <w:lang w:val="es-AR"/>
        </w:rPr>
        <w:t xml:space="preserve"> y los tenedores de efectuar el pago en Dólares Estadounidenses no puede cumplirse o satisfacerse por cualquier oferta o recuperación en el marco </w:t>
      </w:r>
      <w:r w:rsidRPr="00CA0A60">
        <w:rPr>
          <w:rFonts w:ascii="Garamond" w:hAnsi="Garamond" w:cs="Times New Roman"/>
          <w:sz w:val="20"/>
          <w:szCs w:val="20"/>
          <w:lang w:val="es-AR"/>
        </w:rPr>
        <w:lastRenderedPageBreak/>
        <w:t>de una sentencia denominada en otra moneda o convertida a otra moneda o en cualquier otro lugar excepto en la medida en que el Día Hábil siguiente a la recepción de la suma determinada pagadera en la moneda de la sentencia el acreedor pueda, de acuerdo con los procedimientos bancarios habituales, comprar Dólares Estadounidenses por el monto inicialmente pagadero con los fondos percibidos en el marco del pago dispuesto por la sentencia en cuestión. Si, a los efectos de conseguir el dictado de una sentencia en un tribunal de justicia fuera necesario convertir cualquier suma a pagar en virtud de las Obligaciones Negociables, las Garantías de ASA, el Contrato de Fideicomiso o Documentos de Garantía en Dólares Estadounidenses a cualquier otra moneda (en este párrafo denominada “moneda de la sentencia”), el tipo de cambio será aquél al cual, de acuerdo con los procedimientos bancarios habituales, el correspondiente acreedor podría comprar dichos Dólares Estadounidenses en Nueva York, Nueva York, con los fondos obtenidos en la moneda de la sentencia el Día Hábil inmediatamente anterior a la fecha en la cual efectivamente se emitió la sentencia en cuestión.</w:t>
      </w:r>
    </w:p>
    <w:p w14:paraId="56CEB53A"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de las Co-Emisoras y del Garante respecto de cualquier suma pagadera en virtud de las Obligaciones Negociables, las Garantías de ASA, el Contrato de Fideicomiso y los Documentos de Garantía, independientemente del tipo de cambio aplicable efectivamente al momento del dictado de la sentencia en cuestión, se cumplirán únicamente en la medida en que en el Día Hábil siguiente a la recepción por parte del correspondiente acreedor de cualquier suma declarada pagadera en virtud de las Obligaciones Negociables, las Garantías de ASA, el Contrato de Fideicomiso y los Documentos de Garantía en la moneda de la sentencia, el correspondiente acreedor pueda, de acuerdo con los procedimientos bancarios habituales, comprar y transferir Dólares Estadounidenses a la Ciudad de Nueva York con los fondos percibidos en la moneda de la sentencia declarados pagaderos (haciendo efectiva cualquier compensación o reconvención que se hubiera tenido en cuenta al momento del dictado de la sentencia). En este sentido, las Co-Emisoras y los Garantes, como obligaciones independientes y sin perjuicio de la sentencia, se comprometen a mantener indemne a cada uno de los Tenedores, al Fiduciario, al Agente de Garantía Local y al Fiduciario Argentino frente al pago, y efectivamente pagar en caso de requerimiento, en Dólares Estadounidenses, cualquier monto (de corresponder) por el cual la suma inicialmente pagadera a los Tenedores, al Fiduciario, al Agente de Garantía Local  y al Fiduciario Argentino en Dólares Estadounidenses en virtud de las Obligaciones Negociables, las Garantías de ASA, el Contrato de Fideicomiso y los Documentos de Garantía exceda el monto de Dólares Estadounidenses que efectivamente se hubiera comprado y transferido.</w:t>
      </w:r>
    </w:p>
    <w:p w14:paraId="530B61F0"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Co-Emisoras y los Garantes reconocen que, sin perjuicio de cualquier restricción o prohibición al acceso al Mercado Único y Libre de Cambios en Argentina, todos y cada uno de los pagos que deban efectuarse en virtud de las Obligaciones Negociables, el Contrato de Fideicomiso y los Documentos de Garantía se harán en Dólares Estadounidenses. Ninguna disposición contenida en las Obligaciones Negociables, las Garantías de ASA y el Contrato de Fideicomiso afectarán los derechos de los Tenedores, el Fiduciario, el Agente de Garantía Local  y el Fiduciario Argentino o justificarán la negativa por parte de cualquier Co-Emisora o cualquier Garante a efectuar los correspondientes pagos en virtud de las Obligaciones Negociables, las Garantías de ASA, el Contrato de Fideicomiso y los Documentos de Garantía en Dólares Estadounidenses por cualquier motivo que fuera, incluidos, entre otros, los siguientes: (i) que la compra de Dólares Estadounidenses en Argentina por cualquier medio se tornara más onerosa o gravosa para cualquier Co-Emisora o cualquier Garante que a la fecha de celebración del presente; y (ii) que el tipo de cambio vigente en Argentina aumentara significativamente en comparación con el tipo de cambio vigente a la fecha de celebración del presente. Las Co-Emisoras y cada Garante renuncian al derecho de invocar cualquier excepción de imposibilidad de pago (incluida cualquier excepción contemplada en el artículo 1091 del Código Civil Argentino), la imposibilidad de pago en Dólares Estadounidenses (asumiendo responsabilidad por cualquier acto fortuito o de fuerza mayor) o principios o excepciones de naturaleza similar (incluidos, a título meramente enunciativo, principios de equidad o de distribución de esfuerzos).</w:t>
      </w:r>
    </w:p>
    <w:p w14:paraId="48A1DED3" w14:textId="0BA3A4D0" w:rsidR="002C2444" w:rsidRPr="00CA3A3D" w:rsidRDefault="00202442" w:rsidP="002C2444">
      <w:pPr>
        <w:widowControl w:val="0"/>
        <w:tabs>
          <w:tab w:val="left" w:pos="284"/>
          <w:tab w:val="left" w:pos="709"/>
          <w:tab w:val="left" w:pos="8789"/>
        </w:tabs>
        <w:spacing w:before="120" w:after="120" w:line="240" w:lineRule="auto"/>
        <w:jc w:val="both"/>
        <w:rPr>
          <w:rFonts w:ascii="Garamond" w:hAnsi="Garamond" w:cs="Calibri"/>
          <w:sz w:val="20"/>
          <w:szCs w:val="20"/>
          <w:lang w:val="es-AR"/>
        </w:rPr>
      </w:pPr>
      <w:r w:rsidRPr="00CA0A60">
        <w:rPr>
          <w:rFonts w:ascii="Garamond" w:hAnsi="Garamond" w:cs="Times New Roman"/>
          <w:sz w:val="20"/>
          <w:szCs w:val="20"/>
          <w:lang w:val="es-AR"/>
        </w:rPr>
        <w:t>Cada una de las Co-Emisoras y los Garantes reconocen que el artículo 765 del Código Civil y Comercial de Argentina no es aplicable a los pagos a ser realizados en relación con las Obligaciones Negociables, las Garantías de las Obligaciones Negociables y los Documentos de Garantía</w:t>
      </w:r>
      <w:r w:rsidR="004E3A7F">
        <w:rPr>
          <w:rFonts w:ascii="Garamond" w:hAnsi="Garamond" w:cs="Times New Roman"/>
          <w:sz w:val="20"/>
          <w:szCs w:val="20"/>
          <w:lang w:val="es-AR"/>
        </w:rPr>
        <w:t xml:space="preserve"> </w:t>
      </w:r>
      <w:r w:rsidRPr="00CA0A60">
        <w:rPr>
          <w:rFonts w:ascii="Garamond" w:hAnsi="Garamond" w:cs="Times New Roman"/>
          <w:sz w:val="20"/>
          <w:szCs w:val="20"/>
          <w:lang w:val="es-AR"/>
        </w:rPr>
        <w:t>, y renuncian, a perpetuidad e irrevocablemente, a cualquier derecho que pudiera asistirles de alegar que los pagos en relación con las Obligaciones Negociables, las Garantías de las Obligaciones Negociables</w:t>
      </w:r>
      <w:r w:rsidR="004E3A7F">
        <w:rPr>
          <w:rFonts w:ascii="Garamond" w:hAnsi="Garamond" w:cs="Times New Roman"/>
          <w:sz w:val="20"/>
          <w:szCs w:val="20"/>
          <w:lang w:val="es-AR"/>
        </w:rPr>
        <w:t>, el Contrato de Fideicomiso</w:t>
      </w:r>
      <w:r w:rsidRPr="00CA0A60">
        <w:rPr>
          <w:rFonts w:ascii="Garamond" w:hAnsi="Garamond" w:cs="Times New Roman"/>
          <w:sz w:val="20"/>
          <w:szCs w:val="20"/>
          <w:lang w:val="es-AR"/>
        </w:rPr>
        <w:t xml:space="preserve"> y los Documentos de Garantía podrían ser pagaderos en cualquier moneda distinta del Dólar, y reconocen que las disposiciones del artículo 765 del Código Civil y Comercial de Argentina no son obligatorias sino complementarias mediando el consentimiento de las partes, y por ende declinan y renuncian a su aplicabilidad a los pagos en relación con las Obligaciones Negociables, las Garantías de las Obligaciones Negociables</w:t>
      </w:r>
      <w:r w:rsidR="004E3A7F">
        <w:rPr>
          <w:rFonts w:ascii="Garamond" w:hAnsi="Garamond" w:cs="Times New Roman"/>
          <w:sz w:val="20"/>
          <w:szCs w:val="20"/>
          <w:lang w:val="es-AR"/>
        </w:rPr>
        <w:t>, el Contrato de Fideicomiso</w:t>
      </w:r>
      <w:r w:rsidRPr="00CA0A60">
        <w:rPr>
          <w:rFonts w:ascii="Garamond" w:hAnsi="Garamond" w:cs="Times New Roman"/>
          <w:sz w:val="20"/>
          <w:szCs w:val="20"/>
          <w:lang w:val="es-AR"/>
        </w:rPr>
        <w:t xml:space="preserve"> y los </w:t>
      </w:r>
      <w:r w:rsidR="004E3A7F">
        <w:rPr>
          <w:rFonts w:ascii="Garamond" w:hAnsi="Garamond" w:cs="Times New Roman"/>
          <w:sz w:val="20"/>
          <w:szCs w:val="20"/>
          <w:lang w:val="es-AR"/>
        </w:rPr>
        <w:t xml:space="preserve">Derechos de Garantía bajo los </w:t>
      </w:r>
      <w:r w:rsidRPr="00CA0A60">
        <w:rPr>
          <w:rFonts w:ascii="Garamond" w:hAnsi="Garamond" w:cs="Times New Roman"/>
          <w:sz w:val="20"/>
          <w:szCs w:val="20"/>
          <w:lang w:val="es-AR"/>
        </w:rPr>
        <w:t>Documentos de Garantía.</w:t>
      </w:r>
    </w:p>
    <w:p w14:paraId="0E494581" w14:textId="77777777" w:rsidR="00202442" w:rsidRPr="00CA0A60" w:rsidRDefault="00202442" w:rsidP="00202442">
      <w:pPr>
        <w:tabs>
          <w:tab w:val="left" w:pos="284"/>
          <w:tab w:val="left" w:pos="709"/>
          <w:tab w:val="left" w:pos="1795"/>
        </w:tabs>
        <w:spacing w:before="120" w:after="120" w:line="240" w:lineRule="auto"/>
        <w:jc w:val="both"/>
        <w:rPr>
          <w:rFonts w:ascii="Garamond" w:hAnsi="Garamond" w:cs="Times New Roman"/>
          <w:b/>
          <w:i/>
          <w:sz w:val="20"/>
          <w:szCs w:val="20"/>
          <w:lang w:val="es-AR"/>
        </w:rPr>
      </w:pPr>
      <w:r w:rsidRPr="00CA0A60">
        <w:rPr>
          <w:rFonts w:ascii="Garamond" w:hAnsi="Garamond" w:cs="Times New Roman"/>
          <w:b/>
          <w:i/>
          <w:sz w:val="20"/>
          <w:szCs w:val="20"/>
          <w:lang w:val="es-AR"/>
        </w:rPr>
        <w:t>Prescripción</w:t>
      </w:r>
    </w:p>
    <w:p w14:paraId="3C570D7E" w14:textId="49BBBCDD" w:rsidR="002C2444" w:rsidRPr="00CA3A3D" w:rsidRDefault="00202442" w:rsidP="002C2444">
      <w:pPr>
        <w:widowControl w:val="0"/>
        <w:tabs>
          <w:tab w:val="left" w:pos="284"/>
          <w:tab w:val="left" w:pos="709"/>
          <w:tab w:val="left" w:pos="8789"/>
        </w:tabs>
        <w:spacing w:before="120" w:after="120" w:line="240" w:lineRule="auto"/>
        <w:jc w:val="both"/>
        <w:rPr>
          <w:rFonts w:ascii="Garamond" w:hAnsi="Garamond" w:cs="Calibri"/>
          <w:sz w:val="20"/>
          <w:szCs w:val="20"/>
          <w:lang w:val="es-AR"/>
        </w:rPr>
      </w:pPr>
      <w:r w:rsidRPr="00CA0A60">
        <w:rPr>
          <w:rFonts w:ascii="Garamond" w:hAnsi="Garamond" w:cs="Times New Roman"/>
          <w:sz w:val="20"/>
          <w:szCs w:val="20"/>
          <w:lang w:val="es-AR"/>
        </w:rPr>
        <w:t xml:space="preserve">Todos los reclamos contra las Co-Emisoras y cualquier Garante por el pago de capital, prima, si hubiera, o intereses, o por otras sumas a pagar respecto de las Obligaciones Negociables (incluyendo Montos Adicionales) prescribirán a menos que se interpongan dentro de los cinco (5) años, en el caso del capital, y </w:t>
      </w:r>
      <w:r w:rsidR="00656F08">
        <w:rPr>
          <w:rFonts w:ascii="Garamond" w:hAnsi="Garamond" w:cs="Times New Roman"/>
          <w:sz w:val="20"/>
          <w:szCs w:val="20"/>
          <w:lang w:val="es-AR"/>
        </w:rPr>
        <w:t>dos</w:t>
      </w:r>
      <w:r w:rsidRPr="00CA0A60">
        <w:rPr>
          <w:rFonts w:ascii="Garamond" w:hAnsi="Garamond" w:cs="Times New Roman"/>
          <w:sz w:val="20"/>
          <w:szCs w:val="20"/>
          <w:lang w:val="es-AR"/>
        </w:rPr>
        <w:t xml:space="preserve"> (</w:t>
      </w:r>
      <w:r w:rsidR="00656F08">
        <w:rPr>
          <w:rFonts w:ascii="Garamond" w:hAnsi="Garamond" w:cs="Times New Roman"/>
          <w:sz w:val="20"/>
          <w:szCs w:val="20"/>
          <w:lang w:val="es-AR"/>
        </w:rPr>
        <w:t>2</w:t>
      </w:r>
      <w:r w:rsidRPr="00CA0A60">
        <w:rPr>
          <w:rFonts w:ascii="Garamond" w:hAnsi="Garamond" w:cs="Times New Roman"/>
          <w:sz w:val="20"/>
          <w:szCs w:val="20"/>
          <w:lang w:val="es-AR"/>
        </w:rPr>
        <w:t xml:space="preserve">) años, en </w:t>
      </w:r>
      <w:r w:rsidRPr="00CA0A60">
        <w:rPr>
          <w:rFonts w:ascii="Garamond" w:hAnsi="Garamond" w:cs="Times New Roman"/>
          <w:sz w:val="20"/>
          <w:szCs w:val="20"/>
          <w:lang w:val="es-AR"/>
        </w:rPr>
        <w:lastRenderedPageBreak/>
        <w:t>el caso de intereses, desde la fecha de vencimiento del pago respectivo, o dentro del plazo menor establecido por la Ley Aplicable.</w:t>
      </w:r>
    </w:p>
    <w:p w14:paraId="2A758A11" w14:textId="77777777" w:rsidR="00202442" w:rsidRPr="00CA0A60" w:rsidRDefault="00202442" w:rsidP="00202442">
      <w:pPr>
        <w:keepNext/>
        <w:keepLines/>
        <w:tabs>
          <w:tab w:val="left" w:pos="284"/>
          <w:tab w:val="left" w:pos="709"/>
          <w:tab w:val="left" w:pos="8789"/>
        </w:tabs>
        <w:spacing w:before="120" w:after="120" w:line="240" w:lineRule="auto"/>
        <w:jc w:val="both"/>
        <w:rPr>
          <w:rFonts w:ascii="Garamond" w:hAnsi="Garamond" w:cs="Times New Roman"/>
          <w:b/>
          <w:i/>
          <w:sz w:val="20"/>
          <w:szCs w:val="20"/>
          <w:lang w:val="es-AR"/>
        </w:rPr>
      </w:pPr>
      <w:bookmarkStart w:id="87" w:name="bookmark171"/>
      <w:r w:rsidRPr="00CA0A60">
        <w:rPr>
          <w:rFonts w:ascii="Garamond" w:hAnsi="Garamond" w:cs="Times New Roman"/>
          <w:b/>
          <w:i/>
          <w:sz w:val="20"/>
          <w:szCs w:val="20"/>
          <w:lang w:val="es-AR"/>
        </w:rPr>
        <w:t>Ciertas Definiciones</w:t>
      </w:r>
      <w:bookmarkEnd w:id="87"/>
    </w:p>
    <w:p w14:paraId="7A3E7235" w14:textId="77777777" w:rsidR="00202442" w:rsidRPr="00CA0A60" w:rsidRDefault="00202442" w:rsidP="00202442">
      <w:pPr>
        <w:widowControl w:val="0"/>
        <w:tabs>
          <w:tab w:val="left" w:pos="284"/>
          <w:tab w:val="left" w:pos="709"/>
          <w:tab w:val="left" w:pos="8789"/>
        </w:tabs>
        <w:spacing w:before="120" w:after="120" w:line="240" w:lineRule="auto"/>
        <w:ind w:right="13"/>
        <w:jc w:val="both"/>
        <w:rPr>
          <w:rFonts w:ascii="Garamond" w:hAnsi="Garamond" w:cs="Times New Roman"/>
          <w:sz w:val="20"/>
          <w:szCs w:val="20"/>
          <w:lang w:val="es-AR"/>
        </w:rPr>
      </w:pPr>
      <w:r w:rsidRPr="00CA0A60">
        <w:rPr>
          <w:rFonts w:ascii="Garamond" w:hAnsi="Garamond" w:cs="Times New Roman"/>
          <w:sz w:val="20"/>
          <w:szCs w:val="20"/>
          <w:lang w:val="es-AR"/>
        </w:rPr>
        <w:t>A continuación se presenta un resumen de algunos términos definidos empleados a lo largo del Contrato de Fideicomiso. Es necesario remitirse al Contrato de Fideicomiso para consultar las definiciones de todos dichos términos.</w:t>
      </w:r>
    </w:p>
    <w:p w14:paraId="48B058C2" w14:textId="77777777" w:rsidR="00202442" w:rsidRPr="00CA0A60" w:rsidRDefault="00202442" w:rsidP="00202442">
      <w:pPr>
        <w:widowControl w:val="0"/>
        <w:tabs>
          <w:tab w:val="left" w:pos="284"/>
          <w:tab w:val="left" w:pos="709"/>
          <w:tab w:val="left" w:pos="8789"/>
        </w:tabs>
        <w:spacing w:before="120" w:after="120" w:line="240" w:lineRule="auto"/>
        <w:ind w:right="13"/>
        <w:jc w:val="both"/>
        <w:rPr>
          <w:rFonts w:ascii="Garamond" w:hAnsi="Garamond" w:cs="Times New Roman"/>
          <w:sz w:val="20"/>
          <w:szCs w:val="20"/>
          <w:lang w:val="es-AR"/>
        </w:rPr>
      </w:pPr>
      <w:r w:rsidRPr="00CA0A60">
        <w:rPr>
          <w:rFonts w:ascii="Garamond" w:hAnsi="Garamond" w:cs="Times New Roman"/>
          <w:i/>
          <w:sz w:val="20"/>
          <w:szCs w:val="20"/>
          <w:lang w:val="es-AR"/>
        </w:rPr>
        <w:t>“Obligaciones Negociables al 9,625%”</w:t>
      </w:r>
      <w:r w:rsidRPr="00CA0A60">
        <w:rPr>
          <w:rFonts w:ascii="Garamond" w:hAnsi="Garamond" w:cs="Times New Roman"/>
          <w:sz w:val="20"/>
          <w:szCs w:val="20"/>
          <w:lang w:val="es-AR"/>
        </w:rPr>
        <w:t xml:space="preserve"> significa las Obligaciones Negociables No Subordinadas al 9,625% con vencimiento en 2023, emitidas bajo el Contrato de Fideicomiso de las Obligaciones Negociables al 9,625%.</w:t>
      </w:r>
    </w:p>
    <w:p w14:paraId="3049EDE8" w14:textId="77777777" w:rsidR="00202442" w:rsidRPr="00CA0A60" w:rsidRDefault="00202442" w:rsidP="00202442">
      <w:pPr>
        <w:widowControl w:val="0"/>
        <w:tabs>
          <w:tab w:val="left" w:pos="284"/>
          <w:tab w:val="left" w:pos="709"/>
          <w:tab w:val="left" w:pos="8789"/>
        </w:tabs>
        <w:spacing w:before="120" w:after="120" w:line="240" w:lineRule="auto"/>
        <w:ind w:right="13"/>
        <w:jc w:val="both"/>
        <w:rPr>
          <w:rFonts w:ascii="Garamond" w:hAnsi="Garamond" w:cs="Times New Roman"/>
          <w:sz w:val="20"/>
          <w:szCs w:val="20"/>
          <w:lang w:val="es-AR"/>
        </w:rPr>
      </w:pPr>
      <w:r w:rsidRPr="00CA0A60">
        <w:rPr>
          <w:rFonts w:ascii="Garamond" w:hAnsi="Garamond" w:cs="Times New Roman"/>
          <w:i/>
          <w:sz w:val="20"/>
          <w:szCs w:val="20"/>
          <w:lang w:val="es-AR"/>
        </w:rPr>
        <w:t>“Contrato de Fideicomiso de las Obligaciones Negociables al 9,625%”</w:t>
      </w:r>
      <w:r w:rsidRPr="00CA0A60">
        <w:rPr>
          <w:rFonts w:ascii="Garamond" w:hAnsi="Garamond" w:cs="Times New Roman"/>
          <w:sz w:val="20"/>
          <w:szCs w:val="20"/>
          <w:lang w:val="es-AR"/>
        </w:rPr>
        <w:t xml:space="preserve"> significa el contrato de fideicomiso de fecha 27 de julio de 2016, celebrado entre las Co-Emisoras y Generación Frías S.A., Deutsche Bank N.A., como fiduciario, agente de registro, agente de transferencia y agente de pago, Banque Internationale à Luxembourg S.A., como agente de cotización de Luxemburgo y agente de transferencia de Luxemburgo, y la Sucursal de Citibank, N.A., establecida en la República Argentina, como agente de registro conjunto, agente de transferencia argentino y representante del fiduciario en Argentina.</w:t>
      </w:r>
    </w:p>
    <w:p w14:paraId="361150F2" w14:textId="3B49A87F" w:rsidR="00F625A4" w:rsidRPr="00CA0A60" w:rsidRDefault="00F625A4" w:rsidP="00F625A4">
      <w:pPr>
        <w:widowControl w:val="0"/>
        <w:tabs>
          <w:tab w:val="left" w:pos="284"/>
          <w:tab w:val="left" w:pos="709"/>
          <w:tab w:val="left" w:pos="8789"/>
        </w:tabs>
        <w:spacing w:before="120" w:after="120" w:line="240" w:lineRule="auto"/>
        <w:ind w:right="13"/>
        <w:jc w:val="both"/>
        <w:rPr>
          <w:rFonts w:ascii="Garamond" w:hAnsi="Garamond" w:cs="Times New Roman"/>
          <w:sz w:val="20"/>
          <w:szCs w:val="20"/>
          <w:lang w:val="es-AR"/>
        </w:rPr>
      </w:pPr>
      <w:r w:rsidRPr="00CA0A60">
        <w:rPr>
          <w:rFonts w:ascii="Garamond" w:hAnsi="Garamond" w:cs="Times New Roman"/>
          <w:i/>
          <w:iCs/>
          <w:sz w:val="20"/>
          <w:szCs w:val="20"/>
          <w:lang w:val="es-AR"/>
        </w:rPr>
        <w:t xml:space="preserve">“Adquirente de Energía Eléctrica Aceptable” </w:t>
      </w:r>
      <w:r w:rsidRPr="00CA0A60">
        <w:rPr>
          <w:rFonts w:ascii="Garamond" w:hAnsi="Garamond" w:cs="Times New Roman"/>
          <w:sz w:val="20"/>
          <w:szCs w:val="20"/>
          <w:lang w:val="es-AR"/>
        </w:rPr>
        <w:t>significa CAMMESA o cualquier Persona razonablemente aceptable</w:t>
      </w:r>
      <w:r w:rsidR="00E96E68" w:rsidRPr="00CA0A60">
        <w:rPr>
          <w:rFonts w:ascii="Garamond" w:hAnsi="Garamond" w:cs="Times New Roman"/>
          <w:sz w:val="20"/>
          <w:szCs w:val="20"/>
          <w:lang w:val="es-AR"/>
        </w:rPr>
        <w:t xml:space="preserve"> </w:t>
      </w:r>
      <w:r w:rsidRPr="00CA0A60">
        <w:rPr>
          <w:rFonts w:ascii="Garamond" w:hAnsi="Garamond" w:cs="Times New Roman"/>
          <w:sz w:val="20"/>
          <w:szCs w:val="20"/>
          <w:lang w:val="es-AR"/>
        </w:rPr>
        <w:t xml:space="preserve">para el Fiduciario (siguiendo las instrucciones de los Tenedores de al menos </w:t>
      </w:r>
      <w:r w:rsidR="004E3A7F">
        <w:rPr>
          <w:rFonts w:ascii="Garamond" w:hAnsi="Garamond" w:cs="Times New Roman"/>
          <w:sz w:val="20"/>
          <w:szCs w:val="20"/>
          <w:lang w:val="es-AR"/>
        </w:rPr>
        <w:t>la mayoría</w:t>
      </w:r>
      <w:r w:rsidRPr="00CA0A60">
        <w:rPr>
          <w:rFonts w:ascii="Garamond" w:hAnsi="Garamond" w:cs="Times New Roman"/>
          <w:sz w:val="20"/>
          <w:szCs w:val="20"/>
          <w:lang w:val="es-AR"/>
        </w:rPr>
        <w:t xml:space="preserve"> del monto de capital de las</w:t>
      </w:r>
      <w:r w:rsidR="00E96E68" w:rsidRPr="00CA0A60">
        <w:rPr>
          <w:rFonts w:ascii="Garamond" w:hAnsi="Garamond" w:cs="Times New Roman"/>
          <w:sz w:val="20"/>
          <w:szCs w:val="20"/>
          <w:lang w:val="es-AR"/>
        </w:rPr>
        <w:t xml:space="preserve"> </w:t>
      </w:r>
      <w:r w:rsidRPr="00CA0A60">
        <w:rPr>
          <w:rFonts w:ascii="Garamond" w:hAnsi="Garamond" w:cs="Times New Roman"/>
          <w:sz w:val="20"/>
          <w:szCs w:val="20"/>
          <w:lang w:val="es-AR"/>
        </w:rPr>
        <w:t>Obligaciones Negociables en circulación en ese momento) que suceda a CAMMESA como administrador del</w:t>
      </w:r>
      <w:r w:rsidR="00E96E68" w:rsidRPr="00CA0A60">
        <w:rPr>
          <w:rFonts w:ascii="Garamond" w:hAnsi="Garamond" w:cs="Times New Roman"/>
          <w:sz w:val="20"/>
          <w:szCs w:val="20"/>
          <w:lang w:val="es-AR"/>
        </w:rPr>
        <w:t xml:space="preserve"> </w:t>
      </w:r>
      <w:r w:rsidRPr="00CA0A60">
        <w:rPr>
          <w:rFonts w:ascii="Garamond" w:hAnsi="Garamond" w:cs="Times New Roman"/>
          <w:sz w:val="20"/>
          <w:szCs w:val="20"/>
          <w:lang w:val="es-AR"/>
        </w:rPr>
        <w:t>Mercado Mayorista Eléctrico de Argentina, de conformidad con los requisitos de la Ley Aplicable y cualquier</w:t>
      </w:r>
      <w:r w:rsidR="00E96E68" w:rsidRPr="00CA0A60">
        <w:rPr>
          <w:rFonts w:ascii="Garamond" w:hAnsi="Garamond" w:cs="Times New Roman"/>
          <w:sz w:val="20"/>
          <w:szCs w:val="20"/>
          <w:lang w:val="es-AR"/>
        </w:rPr>
        <w:t xml:space="preserve"> </w:t>
      </w:r>
      <w:r w:rsidRPr="00CA0A60">
        <w:rPr>
          <w:rFonts w:ascii="Garamond" w:hAnsi="Garamond" w:cs="Times New Roman"/>
          <w:sz w:val="20"/>
          <w:szCs w:val="20"/>
          <w:lang w:val="es-AR"/>
        </w:rPr>
        <w:t xml:space="preserve">otra Persona que se desempeñe en el Mercado Eléctrico argentino, razonablemente aceptable para los Tenedores de al menos </w:t>
      </w:r>
      <w:r w:rsidR="004E3A7F">
        <w:rPr>
          <w:rFonts w:ascii="Garamond" w:hAnsi="Garamond" w:cs="Times New Roman"/>
          <w:sz w:val="20"/>
          <w:szCs w:val="20"/>
          <w:lang w:val="es-AR"/>
        </w:rPr>
        <w:t>la mayoría</w:t>
      </w:r>
      <w:r w:rsidRPr="00CA0A60">
        <w:rPr>
          <w:rFonts w:ascii="Garamond" w:hAnsi="Garamond" w:cs="Times New Roman"/>
          <w:sz w:val="20"/>
          <w:szCs w:val="20"/>
          <w:lang w:val="es-AR"/>
        </w:rPr>
        <w:t xml:space="preserve"> del monto de capital de las Obligaciones</w:t>
      </w:r>
      <w:r w:rsidR="00E96E68" w:rsidRPr="00CA0A60">
        <w:rPr>
          <w:rFonts w:ascii="Garamond" w:hAnsi="Garamond" w:cs="Times New Roman"/>
          <w:sz w:val="20"/>
          <w:szCs w:val="20"/>
          <w:lang w:val="es-AR"/>
        </w:rPr>
        <w:t xml:space="preserve"> </w:t>
      </w:r>
      <w:r w:rsidRPr="00CA0A60">
        <w:rPr>
          <w:rFonts w:ascii="Garamond" w:hAnsi="Garamond" w:cs="Times New Roman"/>
          <w:sz w:val="20"/>
          <w:szCs w:val="20"/>
          <w:lang w:val="es-AR"/>
        </w:rPr>
        <w:t>Negociables en circulación en ese momento).</w:t>
      </w:r>
    </w:p>
    <w:p w14:paraId="22E91323" w14:textId="226E812B" w:rsidR="00202442" w:rsidRPr="00CA0A60" w:rsidRDefault="004E3A7F"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Del="004E3A7F">
        <w:rPr>
          <w:rFonts w:ascii="Garamond" w:hAnsi="Garamond" w:cs="Times New Roman"/>
          <w:sz w:val="20"/>
          <w:szCs w:val="20"/>
          <w:lang w:val="es-AR"/>
        </w:rPr>
        <w:t xml:space="preserve"> </w:t>
      </w:r>
      <w:r w:rsidDel="004E3A7F">
        <w:rPr>
          <w:rFonts w:ascii="Garamond" w:hAnsi="Garamond" w:cs="Times New Roman"/>
          <w:i/>
          <w:sz w:val="20"/>
          <w:szCs w:val="20"/>
          <w:lang w:val="es-AR"/>
        </w:rPr>
        <w:t xml:space="preserve"> </w:t>
      </w:r>
      <w:r w:rsidR="00202442" w:rsidRPr="00CA0A60">
        <w:rPr>
          <w:rFonts w:ascii="Garamond" w:hAnsi="Garamond" w:cs="Times New Roman"/>
          <w:sz w:val="20"/>
          <w:szCs w:val="20"/>
          <w:lang w:val="es-AR"/>
        </w:rPr>
        <w:t>“</w:t>
      </w:r>
      <w:r w:rsidR="00202442" w:rsidRPr="00CA0A60">
        <w:rPr>
          <w:rFonts w:ascii="Garamond" w:hAnsi="Garamond" w:cs="Times New Roman"/>
          <w:i/>
          <w:iCs/>
          <w:color w:val="000000"/>
          <w:sz w:val="20"/>
          <w:szCs w:val="20"/>
          <w:lang w:val="es-AR" w:eastAsia="es-ES" w:bidi="es-ES"/>
        </w:rPr>
        <w:t>Deuda Adquirida</w:t>
      </w:r>
      <w:r w:rsidR="00202442" w:rsidRPr="00CA0A60">
        <w:rPr>
          <w:rFonts w:ascii="Garamond" w:hAnsi="Garamond" w:cs="Times New Roman"/>
          <w:sz w:val="20"/>
          <w:szCs w:val="20"/>
          <w:lang w:val="es-AR"/>
        </w:rPr>
        <w:t xml:space="preserve">” significa la Deuda de una Persona o de cualquiera de sus Subsidiarias que pase a ser una Subsidiaria Restringida del Garante y que ha sido Contraída antes de la Fecha de Emisión y se encuentra pendiente de pago a la Fecha de Emisión, </w:t>
      </w:r>
      <w:r w:rsidR="00202442" w:rsidRPr="00CA0A60">
        <w:rPr>
          <w:rFonts w:ascii="Garamond" w:hAnsi="Garamond" w:cs="Times New Roman"/>
          <w:sz w:val="20"/>
          <w:szCs w:val="20"/>
          <w:u w:val="single"/>
          <w:lang w:val="es-AR"/>
        </w:rPr>
        <w:t>siempre que</w:t>
      </w:r>
      <w:r w:rsidR="00202442" w:rsidRPr="00CA0A60">
        <w:rPr>
          <w:rFonts w:ascii="Garamond" w:hAnsi="Garamond" w:cs="Times New Roman"/>
          <w:sz w:val="20"/>
          <w:szCs w:val="20"/>
          <w:lang w:val="es-AR"/>
        </w:rPr>
        <w:t xml:space="preserve"> </w:t>
      </w:r>
      <w:r w:rsidR="00656F08">
        <w:rPr>
          <w:rFonts w:ascii="Garamond" w:hAnsi="Garamond" w:cs="Times New Roman"/>
          <w:sz w:val="20"/>
          <w:szCs w:val="20"/>
          <w:lang w:val="es-AR"/>
        </w:rPr>
        <w:t xml:space="preserve">(i) </w:t>
      </w:r>
      <w:r w:rsidR="00202442" w:rsidRPr="00CA0A60">
        <w:rPr>
          <w:rFonts w:ascii="Garamond" w:hAnsi="Garamond" w:cs="Times New Roman"/>
          <w:sz w:val="20"/>
          <w:szCs w:val="20"/>
          <w:lang w:val="es-AR"/>
        </w:rPr>
        <w:t>dicha Deuda no hubiera sido Contraída como contraprestación de la transacción o serie de transacciones relacionadas de conformidad con las cuales dicha Persona se fusiona o consolida con el Garante o una Subsidiaria Restringida, o a fin de suministrar todos o parte de los fondos o apoyo crediticio utilizado para consumar dicha operación, o bien previendo su celebración, (ii)</w:t>
      </w:r>
      <w:r w:rsidR="00656F08">
        <w:rPr>
          <w:rFonts w:ascii="Garamond" w:hAnsi="Garamond" w:cs="Times New Roman"/>
          <w:sz w:val="20"/>
          <w:szCs w:val="20"/>
          <w:lang w:val="es-AR"/>
        </w:rPr>
        <w:t xml:space="preserve"> dicha Deuda</w:t>
      </w:r>
      <w:r w:rsidR="00202442" w:rsidRPr="00CA0A60">
        <w:rPr>
          <w:rFonts w:ascii="Garamond" w:hAnsi="Garamond" w:cs="Times New Roman"/>
          <w:sz w:val="20"/>
          <w:szCs w:val="20"/>
          <w:lang w:val="es-AR"/>
        </w:rPr>
        <w:t xml:space="preserve"> (x) no esté garantizada, o (y) esté garantizada únicamente con los activos de dicha Persona o Subsidiaria por Gravámenes del tipo indicado en la cláusula (</w:t>
      </w:r>
      <w:r w:rsidR="00656F08">
        <w:rPr>
          <w:rFonts w:ascii="Garamond" w:hAnsi="Garamond" w:cs="Times New Roman"/>
          <w:sz w:val="20"/>
          <w:szCs w:val="20"/>
          <w:lang w:val="es-AR"/>
        </w:rPr>
        <w:t>h</w:t>
      </w:r>
      <w:r w:rsidR="00202442" w:rsidRPr="00CA0A60">
        <w:rPr>
          <w:rFonts w:ascii="Garamond" w:hAnsi="Garamond" w:cs="Times New Roman"/>
          <w:sz w:val="20"/>
          <w:szCs w:val="20"/>
          <w:lang w:val="es-AR"/>
        </w:rPr>
        <w:t xml:space="preserve">) de la definición del término “Gravámenes Permitidos”, (iii) tenga una Vida Media Ponderada hasta el Vencimiento al menos seis meses mayor que la Vida Media Ponderada hasta el Vencimiento de las Obligaciones Negociables, y (iv) el Vencimiento Expreso de dicha Deuda sea al menos seis meses posterior a la Fecha de Vencimiento.  Dicha Deuda se considerará Contraída al momento en que dicha Persona se convierta en un Subsidiaria Restringida o al momento en el cual se fusione o consolide con el Garante o la Subsidiaria Restringida en cuestión. </w:t>
      </w:r>
    </w:p>
    <w:p w14:paraId="628FFB0E" w14:textId="77777777" w:rsidR="00202442"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“Montos Adicionales”</w:t>
      </w:r>
      <w:r w:rsidRPr="00CA0A60">
        <w:rPr>
          <w:rFonts w:ascii="Garamond" w:hAnsi="Garamond" w:cs="Times New Roman"/>
          <w:sz w:val="20"/>
          <w:szCs w:val="20"/>
          <w:lang w:val="es-AR"/>
        </w:rPr>
        <w:t xml:space="preserve"> tendrá el significado que se le asigna en el apartado “—</w:t>
      </w:r>
      <w:r w:rsidRPr="00CA0A60">
        <w:rPr>
          <w:rFonts w:ascii="Garamond" w:hAnsi="Garamond" w:cs="Times New Roman"/>
          <w:i/>
          <w:sz w:val="20"/>
          <w:szCs w:val="20"/>
          <w:lang w:val="es-AR"/>
        </w:rPr>
        <w:t>Montos Adicionales</w:t>
      </w:r>
      <w:r w:rsidRPr="00CA0A60">
        <w:rPr>
          <w:rFonts w:ascii="Garamond" w:hAnsi="Garamond" w:cs="Times New Roman"/>
          <w:sz w:val="20"/>
          <w:szCs w:val="20"/>
          <w:lang w:val="es-AR"/>
        </w:rPr>
        <w:t xml:space="preserve">” precedente. </w:t>
      </w:r>
    </w:p>
    <w:p w14:paraId="489F4404"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 xml:space="preserve">“Obligaciones Negociables Adicionales” </w:t>
      </w:r>
      <w:r w:rsidRPr="00CA0A60">
        <w:rPr>
          <w:rFonts w:ascii="Garamond" w:hAnsi="Garamond" w:cs="Times New Roman"/>
          <w:sz w:val="20"/>
          <w:szCs w:val="20"/>
          <w:lang w:val="es-AR"/>
        </w:rPr>
        <w:t>tendrá el significado que se le asigna en el apartado “—Obligaciones Negociables Adicionales” precedente.</w:t>
      </w:r>
    </w:p>
    <w:p w14:paraId="210137EE"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“AESA”</w:t>
      </w:r>
      <w:r w:rsidRPr="00CA0A60">
        <w:rPr>
          <w:rFonts w:ascii="Garamond" w:hAnsi="Garamond" w:cs="Times New Roman"/>
          <w:sz w:val="20"/>
          <w:szCs w:val="20"/>
          <w:lang w:val="es-AR"/>
        </w:rPr>
        <w:t xml:space="preserve"> significa Albanesi Energía S.A.</w:t>
      </w:r>
    </w:p>
    <w:p w14:paraId="46CB5D35"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Deuda por Refinanciamiento de AESA”</w:t>
      </w:r>
      <w:r w:rsidRPr="00CA0A60">
        <w:rPr>
          <w:rFonts w:ascii="Garamond" w:hAnsi="Garamond" w:cs="Times New Roman"/>
          <w:sz w:val="20"/>
          <w:szCs w:val="20"/>
          <w:lang w:val="es-AR"/>
        </w:rPr>
        <w:t xml:space="preserve"> es la Deuda de las Co-Emisoras cuyos fondos se utilizan para Refinanciar cualquier Deuda de AESA existente en la Fecha de Emisión, Deuda ésta que es Contraída inmediatamente antes de, o esencialmente en forma simultánea con, la adquisición (ya sea mediante la adquisición de la totalidad o sustancialmente todas las Acciones, o la consolidación, combinación, fusión o adquisición de la totalidad o sustancialmente todas las propiedades) de AESA por parte del Garante, una Co-Emisora o una Subsidiaria Restringida, siempre y cuando la suma de capital total (o el valor de acreción inicial, si procediera) de la Deuda por Refinanciamiento de AESA a la fecha de dicho Refinanciamiento propuesto no supere el monto de capital total (o el valor de acreción inicial, si hubiera) de la Deuda de AESA Refinanciada (</w:t>
      </w:r>
      <w:r w:rsidRPr="00CA0A60">
        <w:rPr>
          <w:rFonts w:ascii="Garamond" w:hAnsi="Garamond" w:cs="Times New Roman"/>
          <w:i/>
          <w:iCs/>
          <w:color w:val="000000"/>
          <w:sz w:val="20"/>
          <w:szCs w:val="20"/>
          <w:lang w:val="es-AR" w:eastAsia="es-ES" w:bidi="es-ES"/>
        </w:rPr>
        <w:t>más</w:t>
      </w:r>
      <w:r w:rsidRPr="00CA0A60">
        <w:rPr>
          <w:rFonts w:ascii="Garamond" w:hAnsi="Garamond" w:cs="Times New Roman"/>
          <w:sz w:val="20"/>
          <w:szCs w:val="20"/>
          <w:lang w:val="es-AR"/>
        </w:rPr>
        <w:t xml:space="preserve"> el importe de la prima que debe pagarse en virtud de los términos del instrumento que regula dicha Deuda Refinanciada y el importe de los honorarios, gastos y costos de cancelación razonables, si los hubiere, en los que se incurra en relación con este Refinanciamiento).</w:t>
      </w:r>
    </w:p>
    <w:p w14:paraId="02C3997E"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Afiliada</w:t>
      </w:r>
      <w:r w:rsidRPr="00CA0A60">
        <w:rPr>
          <w:rFonts w:ascii="Garamond" w:hAnsi="Garamond" w:cs="Times New Roman"/>
          <w:sz w:val="20"/>
          <w:szCs w:val="20"/>
          <w:lang w:val="es-AR"/>
        </w:rPr>
        <w:t>” significará, respecto de cualquier Persona en particular, cualquier otra Persona que, directa o indirectamente a través de uno o varios intermediarios, controle a dicha Persona, sea controlada por ella o se encuentre bajo el control conjunto con dicha Persona específica. El término “control” significará la posesión, ya sea directa o indirecta, de la facultad de dirigir u definir la administración y las políticas de una Persona, ya sea a través de la titularidad de títulos valores con derecho de voto, por contrato o de otro modo. A los efectos de la presente definición, los términos “controlante”, “controlada por” y “bajo el control conjunto con” tendrán acepciones similares.</w:t>
      </w:r>
    </w:p>
    <w:p w14:paraId="24E42515" w14:textId="2C53536A"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lastRenderedPageBreak/>
        <w:t>“Índice de Cobertura de Interés Consolidado Aplicable”</w:t>
      </w:r>
      <w:r w:rsidRPr="00CA0A60">
        <w:rPr>
          <w:rFonts w:ascii="Garamond" w:hAnsi="Garamond" w:cs="Times New Roman"/>
          <w:sz w:val="20"/>
          <w:szCs w:val="20"/>
          <w:lang w:val="es-AR"/>
        </w:rPr>
        <w:t xml:space="preserve"> significa, a cualquier fecha de determinación, el Índice de Cobertura de Interés Consolidado igual a </w:t>
      </w:r>
      <w:r w:rsidR="00656F08">
        <w:rPr>
          <w:rFonts w:ascii="Garamond" w:hAnsi="Garamond" w:cs="Times New Roman"/>
          <w:sz w:val="20"/>
          <w:szCs w:val="20"/>
          <w:lang w:val="es-AR"/>
        </w:rPr>
        <w:t>2</w:t>
      </w:r>
      <w:r w:rsidRPr="00CA0A60">
        <w:rPr>
          <w:rFonts w:ascii="Garamond" w:hAnsi="Garamond" w:cs="Times New Roman"/>
          <w:sz w:val="20"/>
          <w:szCs w:val="20"/>
          <w:lang w:val="es-AR"/>
        </w:rPr>
        <w:t>,</w:t>
      </w:r>
      <w:r w:rsidR="00656F08">
        <w:rPr>
          <w:rFonts w:ascii="Garamond" w:hAnsi="Garamond" w:cs="Times New Roman"/>
          <w:sz w:val="20"/>
          <w:szCs w:val="20"/>
          <w:lang w:val="es-AR"/>
        </w:rPr>
        <w:t>00</w:t>
      </w:r>
      <w:r w:rsidRPr="00CA0A60">
        <w:rPr>
          <w:rFonts w:ascii="Garamond" w:hAnsi="Garamond" w:cs="Times New Roman"/>
          <w:sz w:val="20"/>
          <w:szCs w:val="20"/>
          <w:lang w:val="es-AR"/>
        </w:rPr>
        <w:t xml:space="preserve">:1,00. </w:t>
      </w:r>
    </w:p>
    <w:p w14:paraId="5F6F53D9"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sz w:val="20"/>
          <w:szCs w:val="20"/>
          <w:lang w:val="es-AR"/>
        </w:rPr>
        <w:t>Índice de Apalancamiento Consolidado Aplicable”</w:t>
      </w:r>
      <w:r w:rsidRPr="00CA0A60">
        <w:rPr>
          <w:rFonts w:ascii="Garamond" w:hAnsi="Garamond" w:cs="Times New Roman"/>
          <w:sz w:val="20"/>
          <w:szCs w:val="20"/>
          <w:lang w:val="es-AR"/>
        </w:rPr>
        <w:t xml:space="preserve"> significa, a cualquier fecha de determinación, el Índice de Apalancamiento Consolidado indicado en el siguiente cuadro junto al período al que corresponde el día en cuestión:</w:t>
      </w:r>
    </w:p>
    <w:p w14:paraId="4CF085AC"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“Índice de Apalancamiento Consolidado Aplicable”</w:t>
      </w:r>
      <w:r w:rsidRPr="00CA0A60">
        <w:rPr>
          <w:rFonts w:ascii="Garamond" w:hAnsi="Garamond" w:cs="Times New Roman"/>
          <w:sz w:val="20"/>
          <w:szCs w:val="20"/>
          <w:lang w:val="es-AR"/>
        </w:rPr>
        <w:t xml:space="preserve"> significa, a cualquier fecha de determinación, el Índice de Apalancamiento Consolidado indicado en el siguiente cuadro junto al período al que corresponde el día en cuestión:</w:t>
      </w:r>
    </w:p>
    <w:tbl>
      <w:tblPr>
        <w:tblW w:w="8505" w:type="dxa"/>
        <w:tblLayout w:type="fixed"/>
        <w:tblLook w:val="00A0" w:firstRow="1" w:lastRow="0" w:firstColumn="1" w:lastColumn="0" w:noHBand="0" w:noVBand="0"/>
      </w:tblPr>
      <w:tblGrid>
        <w:gridCol w:w="6804"/>
        <w:gridCol w:w="1701"/>
      </w:tblGrid>
      <w:tr w:rsidR="00202442" w:rsidRPr="00CA0A60" w14:paraId="7C1237F5" w14:textId="77777777" w:rsidTr="00202442">
        <w:trPr>
          <w:tblHeader/>
        </w:trPr>
        <w:tc>
          <w:tcPr>
            <w:tcW w:w="6804" w:type="dxa"/>
            <w:tcMar>
              <w:left w:w="108" w:type="dxa"/>
              <w:right w:w="108" w:type="dxa"/>
            </w:tcMar>
            <w:vAlign w:val="bottom"/>
          </w:tcPr>
          <w:p w14:paraId="4244E928" w14:textId="77777777" w:rsidR="00202442" w:rsidRPr="00CA0A60" w:rsidRDefault="00202442" w:rsidP="00202442">
            <w:pPr>
              <w:widowControl w:val="0"/>
              <w:pBdr>
                <w:bottom w:val="single" w:sz="6" w:space="0" w:color="auto"/>
              </w:pBdr>
              <w:spacing w:after="0" w:line="240" w:lineRule="auto"/>
              <w:rPr>
                <w:rFonts w:ascii="Garamond" w:eastAsia="Times New Roman" w:hAnsi="Garamond" w:cs="Times New Roman"/>
                <w:b/>
                <w:sz w:val="20"/>
                <w:szCs w:val="20"/>
                <w:lang w:val="es-AR" w:eastAsia="zh-CN"/>
              </w:rPr>
            </w:pPr>
            <w:r w:rsidRPr="00CA0A60">
              <w:rPr>
                <w:rFonts w:ascii="Garamond" w:eastAsia="Times New Roman" w:hAnsi="Garamond" w:cs="Times New Roman"/>
                <w:b/>
                <w:sz w:val="20"/>
                <w:szCs w:val="20"/>
                <w:lang w:val="es-AR" w:eastAsia="zh-CN"/>
              </w:rPr>
              <w:t>Período</w:t>
            </w:r>
          </w:p>
        </w:tc>
        <w:tc>
          <w:tcPr>
            <w:tcW w:w="1701" w:type="dxa"/>
            <w:tcMar>
              <w:left w:w="108" w:type="dxa"/>
              <w:right w:w="108" w:type="dxa"/>
            </w:tcMar>
            <w:vAlign w:val="bottom"/>
          </w:tcPr>
          <w:p w14:paraId="68B17CEB" w14:textId="77777777" w:rsidR="00202442" w:rsidRPr="00CA0A60" w:rsidRDefault="00202442" w:rsidP="00202442">
            <w:pPr>
              <w:widowControl w:val="0"/>
              <w:pBdr>
                <w:bottom w:val="single" w:sz="6" w:space="0" w:color="auto"/>
              </w:pBdr>
              <w:spacing w:after="0" w:line="240" w:lineRule="auto"/>
              <w:jc w:val="center"/>
              <w:rPr>
                <w:rFonts w:ascii="Garamond" w:eastAsia="Times New Roman" w:hAnsi="Garamond" w:cs="Times New Roman"/>
                <w:b/>
                <w:sz w:val="20"/>
                <w:szCs w:val="20"/>
                <w:lang w:val="es-AR" w:eastAsia="zh-CN"/>
              </w:rPr>
            </w:pPr>
            <w:r w:rsidRPr="00CA0A60">
              <w:rPr>
                <w:rFonts w:ascii="Garamond" w:eastAsia="Times New Roman" w:hAnsi="Garamond" w:cs="Times New Roman"/>
                <w:b/>
                <w:sz w:val="20"/>
                <w:szCs w:val="20"/>
                <w:lang w:val="es-AR" w:eastAsia="zh-CN"/>
              </w:rPr>
              <w:t>Índice de Apalancamiento Consolidado</w:t>
            </w:r>
          </w:p>
        </w:tc>
      </w:tr>
      <w:tr w:rsidR="00202442" w:rsidRPr="00CA0A60" w14:paraId="1E4AB5EA" w14:textId="77777777" w:rsidTr="00202442">
        <w:tc>
          <w:tcPr>
            <w:tcW w:w="6804" w:type="dxa"/>
            <w:tcMar>
              <w:left w:w="108" w:type="dxa"/>
              <w:right w:w="108" w:type="dxa"/>
            </w:tcMar>
          </w:tcPr>
          <w:p w14:paraId="61F9A41E" w14:textId="76AFC44E" w:rsidR="00202442" w:rsidRPr="00CA0A60" w:rsidRDefault="00202442" w:rsidP="00656F08">
            <w:pPr>
              <w:widowControl w:val="0"/>
              <w:tabs>
                <w:tab w:val="right" w:leader="dot" w:pos="7380"/>
              </w:tabs>
              <w:spacing w:after="0" w:line="240" w:lineRule="auto"/>
              <w:rPr>
                <w:rFonts w:ascii="Garamond" w:eastAsia="Times New Roman" w:hAnsi="Garamond" w:cs="Times New Roman"/>
                <w:sz w:val="20"/>
                <w:szCs w:val="20"/>
                <w:lang w:val="es-AR" w:eastAsia="zh-CN"/>
              </w:rPr>
            </w:pPr>
            <w:r w:rsidRPr="00CA0A60">
              <w:rPr>
                <w:rFonts w:ascii="Garamond" w:eastAsia="Times New Roman" w:hAnsi="Garamond" w:cs="Times New Roman"/>
                <w:sz w:val="20"/>
                <w:szCs w:val="20"/>
                <w:lang w:val="es-AR" w:eastAsia="zh-CN"/>
              </w:rPr>
              <w:t>Desde la Fecha de Emisión inclusive hasta el 3</w:t>
            </w:r>
            <w:r w:rsidR="00656F08">
              <w:rPr>
                <w:rFonts w:ascii="Garamond" w:eastAsia="Times New Roman" w:hAnsi="Garamond" w:cs="Times New Roman"/>
                <w:sz w:val="20"/>
                <w:szCs w:val="20"/>
                <w:lang w:val="es-AR" w:eastAsia="zh-CN"/>
              </w:rPr>
              <w:t>0</w:t>
            </w:r>
            <w:r w:rsidRPr="00CA0A60">
              <w:rPr>
                <w:rFonts w:ascii="Garamond" w:eastAsia="Times New Roman" w:hAnsi="Garamond" w:cs="Times New Roman"/>
                <w:sz w:val="20"/>
                <w:szCs w:val="20"/>
                <w:lang w:val="es-AR" w:eastAsia="zh-CN"/>
              </w:rPr>
              <w:t xml:space="preserve"> de </w:t>
            </w:r>
            <w:r w:rsidR="00656F08">
              <w:rPr>
                <w:rFonts w:ascii="Garamond" w:eastAsia="Times New Roman" w:hAnsi="Garamond" w:cs="Times New Roman"/>
                <w:sz w:val="20"/>
                <w:szCs w:val="20"/>
                <w:lang w:val="es-AR" w:eastAsia="zh-CN"/>
              </w:rPr>
              <w:t xml:space="preserve">junio </w:t>
            </w:r>
            <w:r w:rsidRPr="00CA0A60">
              <w:rPr>
                <w:rFonts w:ascii="Garamond" w:eastAsia="Times New Roman" w:hAnsi="Garamond" w:cs="Times New Roman"/>
                <w:sz w:val="20"/>
                <w:szCs w:val="20"/>
                <w:lang w:val="es-AR" w:eastAsia="zh-CN"/>
              </w:rPr>
              <w:t>de 2020 inclusive</w:t>
            </w:r>
            <w:r w:rsidRPr="00CA0A60">
              <w:rPr>
                <w:rFonts w:ascii="Garamond" w:eastAsia="Times New Roman" w:hAnsi="Garamond" w:cs="Times New Roman"/>
                <w:sz w:val="20"/>
                <w:szCs w:val="20"/>
                <w:lang w:val="es-AR" w:eastAsia="zh-CN"/>
              </w:rPr>
              <w:tab/>
            </w:r>
          </w:p>
        </w:tc>
        <w:tc>
          <w:tcPr>
            <w:tcW w:w="1701" w:type="dxa"/>
            <w:tcMar>
              <w:left w:w="108" w:type="dxa"/>
              <w:right w:w="108" w:type="dxa"/>
            </w:tcMar>
            <w:vAlign w:val="bottom"/>
          </w:tcPr>
          <w:p w14:paraId="411A0550" w14:textId="77777777" w:rsidR="00202442" w:rsidRPr="00CA0A60" w:rsidRDefault="00202442" w:rsidP="00202442">
            <w:pPr>
              <w:widowControl w:val="0"/>
              <w:spacing w:after="0" w:line="240" w:lineRule="auto"/>
              <w:jc w:val="center"/>
              <w:rPr>
                <w:rFonts w:ascii="Garamond" w:eastAsia="Times New Roman" w:hAnsi="Garamond" w:cs="Times New Roman"/>
                <w:sz w:val="20"/>
                <w:szCs w:val="20"/>
                <w:lang w:val="es-AR" w:eastAsia="zh-CN"/>
              </w:rPr>
            </w:pPr>
            <w:r w:rsidRPr="00CA0A60">
              <w:rPr>
                <w:rFonts w:ascii="Garamond" w:eastAsia="Times New Roman" w:hAnsi="Garamond" w:cs="Times New Roman"/>
                <w:sz w:val="20"/>
                <w:szCs w:val="20"/>
                <w:lang w:val="es-AR" w:eastAsia="zh-CN"/>
              </w:rPr>
              <w:t>4,00:1,00</w:t>
            </w:r>
          </w:p>
        </w:tc>
      </w:tr>
      <w:tr w:rsidR="00202442" w:rsidRPr="00CA0A60" w14:paraId="60F29107" w14:textId="77777777" w:rsidTr="00202442">
        <w:tc>
          <w:tcPr>
            <w:tcW w:w="6804" w:type="dxa"/>
            <w:tcMar>
              <w:left w:w="108" w:type="dxa"/>
              <w:right w:w="108" w:type="dxa"/>
            </w:tcMar>
          </w:tcPr>
          <w:p w14:paraId="3331A268" w14:textId="49705C06" w:rsidR="00202442" w:rsidRPr="00CA0A60" w:rsidRDefault="00202442" w:rsidP="00656F08">
            <w:pPr>
              <w:widowControl w:val="0"/>
              <w:tabs>
                <w:tab w:val="right" w:leader="dot" w:pos="7380"/>
              </w:tabs>
              <w:spacing w:after="0" w:line="240" w:lineRule="auto"/>
              <w:rPr>
                <w:rFonts w:ascii="Garamond" w:eastAsia="Times New Roman" w:hAnsi="Garamond" w:cs="Times New Roman"/>
                <w:sz w:val="20"/>
                <w:szCs w:val="20"/>
                <w:lang w:val="es-AR" w:eastAsia="zh-CN"/>
              </w:rPr>
            </w:pPr>
            <w:r w:rsidRPr="00CA0A60">
              <w:rPr>
                <w:rFonts w:ascii="Garamond" w:eastAsia="Times New Roman" w:hAnsi="Garamond" w:cs="Times New Roman"/>
                <w:sz w:val="20"/>
                <w:szCs w:val="20"/>
                <w:lang w:val="es-AR" w:eastAsia="zh-CN"/>
              </w:rPr>
              <w:t xml:space="preserve">Desde el 1 de </w:t>
            </w:r>
            <w:r w:rsidR="00656F08">
              <w:rPr>
                <w:rFonts w:ascii="Garamond" w:eastAsia="Times New Roman" w:hAnsi="Garamond" w:cs="Times New Roman"/>
                <w:sz w:val="20"/>
                <w:szCs w:val="20"/>
                <w:lang w:val="es-AR" w:eastAsia="zh-CN"/>
              </w:rPr>
              <w:t xml:space="preserve">julio </w:t>
            </w:r>
            <w:r w:rsidRPr="00CA0A60">
              <w:rPr>
                <w:rFonts w:ascii="Garamond" w:eastAsia="Times New Roman" w:hAnsi="Garamond" w:cs="Times New Roman"/>
                <w:sz w:val="20"/>
                <w:szCs w:val="20"/>
                <w:lang w:val="es-AR" w:eastAsia="zh-CN"/>
              </w:rPr>
              <w:t>de 202</w:t>
            </w:r>
            <w:r w:rsidR="00656F08">
              <w:rPr>
                <w:rFonts w:ascii="Garamond" w:eastAsia="Times New Roman" w:hAnsi="Garamond" w:cs="Times New Roman"/>
                <w:sz w:val="20"/>
                <w:szCs w:val="20"/>
                <w:lang w:val="es-AR" w:eastAsia="zh-CN"/>
              </w:rPr>
              <w:t>0</w:t>
            </w:r>
            <w:r w:rsidRPr="00CA0A60">
              <w:rPr>
                <w:rFonts w:ascii="Garamond" w:eastAsia="Times New Roman" w:hAnsi="Garamond" w:cs="Times New Roman"/>
                <w:sz w:val="20"/>
                <w:szCs w:val="20"/>
                <w:lang w:val="es-AR" w:eastAsia="zh-CN"/>
              </w:rPr>
              <w:t xml:space="preserve"> inclusive en adelante</w:t>
            </w:r>
            <w:r w:rsidRPr="00CA0A60">
              <w:rPr>
                <w:rFonts w:ascii="Garamond" w:eastAsia="Times New Roman" w:hAnsi="Garamond" w:cs="Times New Roman"/>
                <w:sz w:val="20"/>
                <w:szCs w:val="20"/>
                <w:lang w:val="es-AR" w:eastAsia="zh-CN"/>
              </w:rPr>
              <w:tab/>
            </w:r>
          </w:p>
        </w:tc>
        <w:tc>
          <w:tcPr>
            <w:tcW w:w="1701" w:type="dxa"/>
            <w:tcMar>
              <w:left w:w="108" w:type="dxa"/>
              <w:right w:w="108" w:type="dxa"/>
            </w:tcMar>
            <w:vAlign w:val="bottom"/>
          </w:tcPr>
          <w:p w14:paraId="123045CD" w14:textId="77777777" w:rsidR="00202442" w:rsidRPr="00CA0A60" w:rsidRDefault="00202442" w:rsidP="00202442">
            <w:pPr>
              <w:widowControl w:val="0"/>
              <w:spacing w:after="0" w:line="240" w:lineRule="auto"/>
              <w:jc w:val="center"/>
              <w:rPr>
                <w:rFonts w:ascii="Garamond" w:eastAsia="Times New Roman" w:hAnsi="Garamond" w:cs="Times New Roman"/>
                <w:sz w:val="20"/>
                <w:szCs w:val="20"/>
                <w:lang w:val="es-AR" w:eastAsia="zh-CN"/>
              </w:rPr>
            </w:pPr>
            <w:r w:rsidRPr="00CA0A60">
              <w:rPr>
                <w:rFonts w:ascii="Garamond" w:eastAsia="Times New Roman" w:hAnsi="Garamond" w:cs="Times New Roman"/>
                <w:sz w:val="20"/>
                <w:szCs w:val="20"/>
                <w:lang w:val="es-AR" w:eastAsia="zh-CN"/>
              </w:rPr>
              <w:t>3,75:1,00</w:t>
            </w:r>
          </w:p>
        </w:tc>
      </w:tr>
    </w:tbl>
    <w:p w14:paraId="54B2A54A"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“Ley Aplicable”</w:t>
      </w:r>
      <w:r w:rsidRPr="00CA0A60">
        <w:rPr>
          <w:rFonts w:ascii="Garamond" w:hAnsi="Garamond" w:cs="Times New Roman"/>
          <w:sz w:val="20"/>
          <w:szCs w:val="20"/>
          <w:lang w:val="es-AR"/>
        </w:rPr>
        <w:t xml:space="preserve"> significa cualquier constitución, norma, ley, regla, reglamentación, ordenanza, sentencia, orden o cualquier resolución, directiva o requerimiento con fuerza de ley, u otra restricción gubernamental con fuerza de ley, o cualquier determinación o interpretación de ellas, por parte de una autoridad judicial, aplicable a y/o vinculante para una Persona determinada, sus bienes o negocios, según lo requiera el contexto, tanto vigente a la Fecha de Emisión o con posterioridad y en cada caso con sus modificatorias (incluyendo, sin limitación, todas las Leyes Ambientales y normas relativas al uso de tierras o restricciones de zonificación).</w:t>
      </w:r>
    </w:p>
    <w:p w14:paraId="647BE95D"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Argentina</w:t>
      </w:r>
      <w:r w:rsidRPr="00CA0A60">
        <w:rPr>
          <w:rFonts w:ascii="Garamond" w:hAnsi="Garamond" w:cs="Times New Roman"/>
          <w:sz w:val="20"/>
          <w:szCs w:val="20"/>
          <w:lang w:val="es-AR"/>
        </w:rPr>
        <w:t>” significará la República Argentina.</w:t>
      </w:r>
    </w:p>
    <w:p w14:paraId="00B47AB1"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“Contratos de Prenda en Primer Grado de Privilegio Argentinos”</w:t>
      </w:r>
      <w:r w:rsidRPr="00CA0A60">
        <w:rPr>
          <w:rFonts w:ascii="Garamond" w:hAnsi="Garamond" w:cs="Times New Roman"/>
          <w:sz w:val="20"/>
          <w:szCs w:val="20"/>
          <w:lang w:val="es-AR"/>
        </w:rPr>
        <w:t xml:space="preserve"> tiene el significado que se le asigna en la sección “—</w:t>
      </w:r>
      <w:r w:rsidRPr="00CA0A60">
        <w:rPr>
          <w:rFonts w:ascii="Garamond" w:hAnsi="Garamond" w:cs="Times New Roman"/>
          <w:i/>
          <w:sz w:val="20"/>
          <w:szCs w:val="20"/>
          <w:lang w:val="es-AR"/>
        </w:rPr>
        <w:t>Derechos de Garantía—Contratos de Prenda Argentinos—Contratos de Prenda en Primer Grado de Privilegio Argentinos</w:t>
      </w:r>
      <w:r w:rsidRPr="00CA0A60">
        <w:rPr>
          <w:rFonts w:ascii="Garamond" w:hAnsi="Garamond" w:cs="Times New Roman"/>
          <w:sz w:val="20"/>
          <w:szCs w:val="20"/>
          <w:lang w:val="es-AR"/>
        </w:rPr>
        <w:t>”.</w:t>
      </w:r>
    </w:p>
    <w:p w14:paraId="26D38CFA"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 xml:space="preserve">“Reglamentaciones Cambiarias de Argentina” </w:t>
      </w:r>
      <w:r w:rsidRPr="00CA0A60">
        <w:rPr>
          <w:rFonts w:ascii="Garamond" w:hAnsi="Garamond" w:cs="Times New Roman"/>
          <w:sz w:val="20"/>
          <w:szCs w:val="20"/>
          <w:lang w:val="es-AR"/>
        </w:rPr>
        <w:t>significa cualquier Ley Aplicable en materia de cambio de divisas emitida por el Congreso Argentino, el Poder Ejecutivo del Gobierno Argentino, el Ministerio de Hacienda de Argentina, el Banco Central y/o cualquier otra Autoridad Gubernamental de Argentina aplicable a los Documentos de Financiación o facilidades otorgadas a residentes argentinos, conforme dichas Reglamentaciones Cambiarias de Argentina puedan ser modificadas, complementadas o enmendadas de otra forma (inclusive a través de cartas interpretativas emitidas por cualquier Autoridad Gubernamental de Argentina) periódicamente.</w:t>
      </w:r>
    </w:p>
    <w:p w14:paraId="1CD420E6"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sz w:val="20"/>
          <w:szCs w:val="20"/>
          <w:lang w:val="es-AR"/>
        </w:rPr>
        <w:t>Escritura Hipotecaria Argentina”</w:t>
      </w:r>
      <w:r w:rsidRPr="00CA0A60">
        <w:rPr>
          <w:rFonts w:ascii="Garamond" w:hAnsi="Garamond" w:cs="Times New Roman"/>
          <w:sz w:val="20"/>
          <w:szCs w:val="20"/>
          <w:lang w:val="es-AR"/>
        </w:rPr>
        <w:t xml:space="preserve"> tiene el significado que se le asigna en “―</w:t>
      </w:r>
      <w:r w:rsidRPr="00CA0A60">
        <w:rPr>
          <w:rFonts w:ascii="Garamond" w:hAnsi="Garamond" w:cs="Times New Roman"/>
          <w:i/>
          <w:sz w:val="20"/>
          <w:szCs w:val="20"/>
          <w:lang w:val="es-AR"/>
        </w:rPr>
        <w:t>Derechos de Garantía― Escritura Hipotecaria Argentina</w:t>
      </w:r>
      <w:r w:rsidRPr="00CA0A60">
        <w:rPr>
          <w:rFonts w:ascii="Garamond" w:hAnsi="Garamond" w:cs="Times New Roman"/>
          <w:sz w:val="20"/>
          <w:szCs w:val="20"/>
          <w:lang w:val="es-AR"/>
        </w:rPr>
        <w:t xml:space="preserve">”. </w:t>
      </w:r>
    </w:p>
    <w:p w14:paraId="10FEE0E0" w14:textId="3224CE0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sz w:val="20"/>
          <w:szCs w:val="20"/>
          <w:lang w:val="es-AR"/>
        </w:rPr>
        <w:t>Contratos de Prenda Argentinos</w:t>
      </w:r>
      <w:r w:rsidRPr="00CA0A60">
        <w:rPr>
          <w:rFonts w:ascii="Garamond" w:hAnsi="Garamond" w:cs="Times New Roman"/>
          <w:sz w:val="20"/>
          <w:szCs w:val="20"/>
          <w:lang w:val="es-AR"/>
        </w:rPr>
        <w:t xml:space="preserve">” significa, en conjunto, los Contratos de Prenda en Primer Grado de Privilegio Argentinos y </w:t>
      </w:r>
      <w:r w:rsidR="00102EA6" w:rsidRPr="00CA0A60">
        <w:rPr>
          <w:rFonts w:ascii="Garamond" w:hAnsi="Garamond" w:cs="Times New Roman"/>
          <w:sz w:val="20"/>
          <w:szCs w:val="20"/>
          <w:lang w:val="es-AR"/>
        </w:rPr>
        <w:t>e</w:t>
      </w:r>
      <w:r w:rsidRPr="00CA0A60">
        <w:rPr>
          <w:rFonts w:ascii="Garamond" w:hAnsi="Garamond" w:cs="Times New Roman"/>
          <w:sz w:val="20"/>
          <w:szCs w:val="20"/>
          <w:lang w:val="es-AR"/>
        </w:rPr>
        <w:t xml:space="preserve">l </w:t>
      </w:r>
      <w:r w:rsidR="00411600" w:rsidRPr="00CA0A60">
        <w:rPr>
          <w:rFonts w:ascii="Garamond" w:hAnsi="Garamond" w:cs="Times New Roman"/>
          <w:sz w:val="20"/>
          <w:szCs w:val="20"/>
          <w:lang w:val="es-AR"/>
        </w:rPr>
        <w:t>Contrato de Prenda en Segundo Grado de Privilegio</w:t>
      </w:r>
      <w:r w:rsidR="003B02D7" w:rsidRPr="00CA0A60">
        <w:rPr>
          <w:rFonts w:ascii="Garamond" w:hAnsi="Garamond" w:cs="Times New Roman"/>
          <w:sz w:val="20"/>
          <w:szCs w:val="20"/>
          <w:lang w:val="es-AR"/>
        </w:rPr>
        <w:t xml:space="preserve"> Argentino</w:t>
      </w:r>
      <w:r w:rsidRPr="00CA0A60">
        <w:rPr>
          <w:rFonts w:ascii="Garamond" w:hAnsi="Garamond" w:cs="Times New Roman"/>
          <w:sz w:val="20"/>
          <w:szCs w:val="20"/>
          <w:lang w:val="es-AR"/>
        </w:rPr>
        <w:t>.</w:t>
      </w:r>
    </w:p>
    <w:p w14:paraId="787DA279" w14:textId="374EF55E" w:rsidR="00E96E68" w:rsidRPr="00CA0A60" w:rsidRDefault="00E96E68" w:rsidP="00202442">
      <w:pPr>
        <w:widowControl w:val="0"/>
        <w:tabs>
          <w:tab w:val="left" w:pos="284"/>
          <w:tab w:val="left" w:pos="709"/>
          <w:tab w:val="left" w:pos="8789"/>
        </w:tabs>
        <w:spacing w:before="120" w:after="120" w:line="240" w:lineRule="auto"/>
        <w:jc w:val="both"/>
        <w:rPr>
          <w:rFonts w:ascii="Garamond" w:hAnsi="Garamond" w:cs="Times New Roman"/>
          <w:i/>
          <w:sz w:val="20"/>
          <w:szCs w:val="20"/>
          <w:lang w:val="es-AR"/>
        </w:rPr>
      </w:pPr>
      <w:r w:rsidRPr="00CA0A60">
        <w:rPr>
          <w:rFonts w:ascii="Garamond" w:hAnsi="Garamond" w:cs="Times New Roman"/>
          <w:i/>
          <w:sz w:val="20"/>
          <w:szCs w:val="20"/>
          <w:lang w:val="es-AR"/>
        </w:rPr>
        <w:t>“Contrato de Prenda en Segundo Grado de Privilegio Argentino”</w:t>
      </w:r>
      <w:r w:rsidRPr="00CA0A60">
        <w:rPr>
          <w:rFonts w:ascii="Garamond" w:hAnsi="Garamond" w:cs="Times New Roman"/>
          <w:sz w:val="20"/>
          <w:szCs w:val="20"/>
          <w:lang w:val="es-AR"/>
        </w:rPr>
        <w:t xml:space="preserve"> tiene el significado que se le asigna a dicho término en </w:t>
      </w:r>
      <w:r w:rsidRPr="00CA0A60">
        <w:rPr>
          <w:rFonts w:ascii="Garamond" w:hAnsi="Garamond" w:cs="Times New Roman"/>
          <w:i/>
          <w:sz w:val="20"/>
          <w:szCs w:val="20"/>
          <w:lang w:val="es-AR"/>
        </w:rPr>
        <w:t>“―Derechos de Garantía―Contratos de Prenda Argentinos―Contrato de Prenda en Segundo Grado de Privilegio Argentino”.</w:t>
      </w:r>
    </w:p>
    <w:p w14:paraId="1D05ADE2" w14:textId="62DA36E6"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“Fiduciario Argentino”</w:t>
      </w:r>
      <w:r w:rsidRPr="00CA0A60">
        <w:rPr>
          <w:rFonts w:ascii="Garamond" w:hAnsi="Garamond" w:cs="Times New Roman"/>
          <w:sz w:val="20"/>
          <w:szCs w:val="20"/>
          <w:lang w:val="es-AR"/>
        </w:rPr>
        <w:t xml:space="preserve"> tiene el significado que se le asigna en “―</w:t>
      </w:r>
      <w:r w:rsidRPr="00CA0A60">
        <w:rPr>
          <w:rFonts w:ascii="Garamond" w:hAnsi="Garamond" w:cs="Times New Roman"/>
          <w:i/>
          <w:sz w:val="20"/>
          <w:szCs w:val="20"/>
          <w:lang w:val="es-AR"/>
        </w:rPr>
        <w:t xml:space="preserve">Derechos de Garantía ― </w:t>
      </w:r>
      <w:r w:rsidR="009A16BB" w:rsidRPr="00CA0A60">
        <w:rPr>
          <w:rFonts w:ascii="Garamond" w:hAnsi="Garamond" w:cs="Times New Roman"/>
          <w:i/>
          <w:sz w:val="20"/>
          <w:szCs w:val="20"/>
          <w:lang w:val="es-AR"/>
        </w:rPr>
        <w:t>Contrato de Fideicomiso con Fines de Garantía Argentino</w:t>
      </w:r>
      <w:r w:rsidRPr="00CA0A60">
        <w:rPr>
          <w:rFonts w:ascii="Garamond" w:hAnsi="Garamond" w:cs="Times New Roman"/>
          <w:sz w:val="20"/>
          <w:szCs w:val="20"/>
          <w:lang w:val="es-AR"/>
        </w:rPr>
        <w:t>”.</w:t>
      </w:r>
    </w:p>
    <w:p w14:paraId="7DEC7148" w14:textId="71A30AC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w:t>
      </w:r>
      <w:r w:rsidR="009A16BB" w:rsidRPr="00CA0A60">
        <w:rPr>
          <w:rFonts w:ascii="Garamond" w:hAnsi="Garamond" w:cs="Times New Roman"/>
          <w:i/>
          <w:sz w:val="20"/>
          <w:szCs w:val="20"/>
          <w:lang w:val="es-AR"/>
        </w:rPr>
        <w:t>Contrato de Fideicomiso con Fines de Garantía Argentino</w:t>
      </w:r>
      <w:r w:rsidRPr="00CA0A60">
        <w:rPr>
          <w:rFonts w:ascii="Garamond" w:hAnsi="Garamond" w:cs="Times New Roman"/>
          <w:i/>
          <w:sz w:val="20"/>
          <w:szCs w:val="20"/>
          <w:lang w:val="es-AR"/>
        </w:rPr>
        <w:t>”</w:t>
      </w:r>
      <w:r w:rsidRPr="00CA0A60">
        <w:rPr>
          <w:rFonts w:ascii="Garamond" w:hAnsi="Garamond" w:cs="Times New Roman"/>
          <w:sz w:val="20"/>
          <w:szCs w:val="20"/>
          <w:lang w:val="es-AR"/>
        </w:rPr>
        <w:t xml:space="preserve"> tiene el significado que se le asigna en </w:t>
      </w:r>
      <w:r w:rsidRPr="00CA0A60">
        <w:rPr>
          <w:rFonts w:ascii="Garamond" w:hAnsi="Garamond" w:cs="Times New Roman"/>
          <w:i/>
          <w:sz w:val="20"/>
          <w:szCs w:val="20"/>
          <w:lang w:val="es-AR"/>
        </w:rPr>
        <w:t xml:space="preserve">“―Derechos de Garantía― </w:t>
      </w:r>
      <w:r w:rsidR="009A16BB" w:rsidRPr="00CA0A60">
        <w:rPr>
          <w:rFonts w:ascii="Garamond" w:hAnsi="Garamond" w:cs="Times New Roman"/>
          <w:i/>
          <w:sz w:val="20"/>
          <w:szCs w:val="20"/>
          <w:lang w:val="es-AR"/>
        </w:rPr>
        <w:t>Contrato de Fideicomiso con Fines de Garantía Argentino</w:t>
      </w:r>
      <w:r w:rsidRPr="00CA0A60">
        <w:rPr>
          <w:rFonts w:ascii="Garamond" w:hAnsi="Garamond" w:cs="Times New Roman"/>
          <w:sz w:val="20"/>
          <w:szCs w:val="20"/>
          <w:lang w:val="es-AR"/>
        </w:rPr>
        <w:t>”.</w:t>
      </w:r>
    </w:p>
    <w:p w14:paraId="72C2C5DC"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Venta de Activos</w:t>
      </w:r>
      <w:r w:rsidRPr="00CA0A60">
        <w:rPr>
          <w:rFonts w:ascii="Garamond" w:hAnsi="Garamond" w:cs="Times New Roman"/>
          <w:sz w:val="20"/>
          <w:szCs w:val="20"/>
          <w:lang w:val="es-AR"/>
        </w:rPr>
        <w:t>” significará toda venta, disposición, emisión, transferencia, transmisión, arrendamiento (a excepción de arrendamientos operativos celebrados en el curso ordinario de negocios), cesión o cualquier otro tipo de transferencia (cada una de ellas, un “acto de disposición”) por parte del Garante, cualquiera de las Co-Emisoras o cualquier otra Subsidiaria Restringida, en todos los casos ya sea en forma directa o indirecta, de cualquiera de los siguientes activos, a saber:</w:t>
      </w:r>
    </w:p>
    <w:p w14:paraId="352D8454" w14:textId="77777777" w:rsidR="00202442" w:rsidRPr="00CA0A60" w:rsidRDefault="00202442" w:rsidP="00202442">
      <w:pPr>
        <w:widowControl w:val="0"/>
        <w:numPr>
          <w:ilvl w:val="0"/>
          <w:numId w:val="95"/>
        </w:numPr>
        <w:tabs>
          <w:tab w:val="left" w:pos="284"/>
          <w:tab w:val="left" w:pos="709"/>
          <w:tab w:val="left" w:pos="1560"/>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Acciones de cualquiera de las Co-Emisoras o cualquier otra Subsidiaria Restringida (que no sean acciones calificadas de los directores o acciones que la legislación aplicable imponga que deban ser titularidad de una Persona que no sea el Garante, cualquiera de las Co-Emisoras o cualquier otra Subsidiaria Restringida); o</w:t>
      </w:r>
    </w:p>
    <w:p w14:paraId="2E3A6AA6" w14:textId="77777777" w:rsidR="00202442" w:rsidRPr="00CA0A60" w:rsidRDefault="00202442" w:rsidP="00202442">
      <w:pPr>
        <w:widowControl w:val="0"/>
        <w:numPr>
          <w:ilvl w:val="0"/>
          <w:numId w:val="95"/>
        </w:numPr>
        <w:tabs>
          <w:tab w:val="left" w:pos="284"/>
          <w:tab w:val="left" w:pos="709"/>
          <w:tab w:val="left" w:pos="1560"/>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bienes o activos (a excepción de efectivo, Equivalentes de Efectivo o Acciones) del Garante, las Co-Emisoras o cualquier otra Subsidiaria Restringida.</w:t>
      </w:r>
    </w:p>
    <w:p w14:paraId="121A3DDF" w14:textId="77777777" w:rsidR="00202442" w:rsidRPr="00CA0A60" w:rsidRDefault="00202442" w:rsidP="00202442">
      <w:pPr>
        <w:widowControl w:val="0"/>
        <w:tabs>
          <w:tab w:val="left" w:pos="284"/>
          <w:tab w:val="left" w:pos="709"/>
          <w:tab w:val="left" w:pos="1560"/>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Sin perjuicio de lo dispuesto precedentemente, los siguientes conceptos no se considerarán contemplados dentro del alcance de cualquier Venta de Activos:</w:t>
      </w:r>
    </w:p>
    <w:p w14:paraId="13C44624" w14:textId="77777777" w:rsidR="00202442" w:rsidRPr="00CA0A60" w:rsidRDefault="00202442" w:rsidP="00202442">
      <w:pPr>
        <w:widowControl w:val="0"/>
        <w:numPr>
          <w:ilvl w:val="0"/>
          <w:numId w:val="96"/>
        </w:numPr>
        <w:tabs>
          <w:tab w:val="left" w:pos="284"/>
          <w:tab w:val="left" w:pos="709"/>
          <w:tab w:val="left" w:pos="1476"/>
          <w:tab w:val="left" w:pos="1560"/>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enajenación de activos deteriorados y obsoletos y chatarra;</w:t>
      </w:r>
    </w:p>
    <w:p w14:paraId="6BC39A68" w14:textId="77777777" w:rsidR="00202442" w:rsidRPr="00CA0A60" w:rsidRDefault="00202442" w:rsidP="00202442">
      <w:pPr>
        <w:widowControl w:val="0"/>
        <w:numPr>
          <w:ilvl w:val="0"/>
          <w:numId w:val="96"/>
        </w:numPr>
        <w:tabs>
          <w:tab w:val="left" w:pos="284"/>
          <w:tab w:val="left" w:pos="709"/>
          <w:tab w:val="left" w:pos="1476"/>
          <w:tab w:val="left" w:pos="1560"/>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lastRenderedPageBreak/>
        <w:t>la venta de electricidad (energía y capacidad) en el giro ordinario de los negocios;</w:t>
      </w:r>
    </w:p>
    <w:p w14:paraId="4A0784FC" w14:textId="77777777" w:rsidR="00202442" w:rsidRPr="00CA0A60" w:rsidRDefault="00202442" w:rsidP="00202442">
      <w:pPr>
        <w:widowControl w:val="0"/>
        <w:numPr>
          <w:ilvl w:val="0"/>
          <w:numId w:val="96"/>
        </w:numPr>
        <w:tabs>
          <w:tab w:val="left" w:pos="284"/>
          <w:tab w:val="left" w:pos="709"/>
          <w:tab w:val="left" w:pos="1476"/>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enajenación de todos o sustancialmente todos los activos del Garante, cualquier Co-Emisora y cualquier otra Subsidiaria Restringida, conforme estuviera permitido en “—Ciertos Compromisos— Limitación a la Fusión, Consolidación y Venta de Activos”,</w:t>
      </w:r>
    </w:p>
    <w:p w14:paraId="1D85A578" w14:textId="77777777" w:rsidR="00202442" w:rsidRPr="00CA0A60" w:rsidRDefault="00202442" w:rsidP="00202442">
      <w:pPr>
        <w:widowControl w:val="0"/>
        <w:numPr>
          <w:ilvl w:val="0"/>
          <w:numId w:val="96"/>
        </w:numPr>
        <w:tabs>
          <w:tab w:val="left" w:pos="284"/>
          <w:tab w:val="left" w:pos="709"/>
          <w:tab w:val="left" w:pos="1476"/>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 los efectos del apartado </w:t>
      </w:r>
      <w:r w:rsidRPr="00CA0A60">
        <w:rPr>
          <w:rFonts w:ascii="Garamond" w:hAnsi="Garamond" w:cs="Times New Roman"/>
          <w:i/>
          <w:sz w:val="20"/>
          <w:szCs w:val="20"/>
          <w:lang w:val="es-AR"/>
        </w:rPr>
        <w:t>“—Ciertos Compromisos —Limitación a la Venta de Activos</w:t>
      </w:r>
      <w:r w:rsidRPr="00CA0A60">
        <w:rPr>
          <w:rFonts w:ascii="Garamond" w:hAnsi="Garamond" w:cs="Times New Roman"/>
          <w:sz w:val="20"/>
          <w:szCs w:val="20"/>
          <w:lang w:val="es-AR"/>
        </w:rPr>
        <w:t>” únicamente, la realización de cualquier Inversión Permitida bajo “</w:t>
      </w:r>
      <w:r w:rsidRPr="00CA0A60">
        <w:rPr>
          <w:rFonts w:ascii="Garamond" w:hAnsi="Garamond" w:cs="Times New Roman"/>
          <w:sz w:val="20"/>
          <w:szCs w:val="20"/>
          <w:lang w:val="es-AR"/>
        </w:rPr>
        <w:noBreakHyphen/>
      </w:r>
      <w:r w:rsidRPr="00CA0A60">
        <w:rPr>
          <w:rFonts w:ascii="Garamond" w:hAnsi="Garamond" w:cs="Times New Roman"/>
          <w:i/>
          <w:sz w:val="20"/>
          <w:szCs w:val="20"/>
          <w:lang w:val="es-AR"/>
        </w:rPr>
        <w:t>Ciertos Compromisos—Limitación a Inversiones”</w:t>
      </w:r>
      <w:r w:rsidRPr="00CA0A60">
        <w:rPr>
          <w:rFonts w:ascii="Garamond" w:hAnsi="Garamond" w:cs="Times New Roman"/>
          <w:sz w:val="20"/>
          <w:szCs w:val="20"/>
          <w:lang w:val="es-AR"/>
        </w:rPr>
        <w:t>;</w:t>
      </w:r>
    </w:p>
    <w:p w14:paraId="2B29B1FB" w14:textId="77777777" w:rsidR="00202442" w:rsidRPr="00CA0A60" w:rsidRDefault="00202442" w:rsidP="00202442">
      <w:pPr>
        <w:widowControl w:val="0"/>
        <w:numPr>
          <w:ilvl w:val="0"/>
          <w:numId w:val="96"/>
        </w:numPr>
        <w:tabs>
          <w:tab w:val="left" w:pos="284"/>
          <w:tab w:val="left" w:pos="709"/>
          <w:tab w:val="left" w:pos="1476"/>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cualquier disposición a favor del Garante, las Co-Emisoras u otra Subsidiaria Restringida, incluida cualquier Persona que sea o se convierta en Subsidiaria Restringida inmediatamente con posterioridad a dicho acto de disposición;</w:t>
      </w:r>
    </w:p>
    <w:p w14:paraId="799DA54D" w14:textId="604D0B3D" w:rsidR="00202442" w:rsidRPr="00CA0A60" w:rsidRDefault="00202442" w:rsidP="00202442">
      <w:pPr>
        <w:widowControl w:val="0"/>
        <w:numPr>
          <w:ilvl w:val="0"/>
          <w:numId w:val="96"/>
        </w:numPr>
        <w:tabs>
          <w:tab w:val="left" w:pos="284"/>
          <w:tab w:val="left" w:pos="709"/>
          <w:tab w:val="left" w:pos="1476"/>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 </w:t>
      </w:r>
      <w:r w:rsidR="00445663" w:rsidRPr="00CA0A60">
        <w:rPr>
          <w:rFonts w:ascii="Garamond" w:hAnsi="Garamond" w:cs="Times New Roman"/>
          <w:sz w:val="20"/>
          <w:szCs w:val="20"/>
          <w:lang w:val="es-AR"/>
        </w:rPr>
        <w:t xml:space="preserve">disposición de Capital Social de una subsidiaria No Restringida (incluyendo la </w:t>
      </w:r>
      <w:r w:rsidRPr="00CA0A60">
        <w:rPr>
          <w:rFonts w:ascii="Garamond" w:hAnsi="Garamond" w:cs="Times New Roman"/>
          <w:sz w:val="20"/>
          <w:szCs w:val="20"/>
          <w:lang w:val="es-AR"/>
        </w:rPr>
        <w:t>venta, disposición, transferencia, transmisión, cesión u otro tipo de transferencia, directa o indirecta, en una misma operación o una serie de operaciones, de la totalidad o cualquier parte de (i) las Acciones, o (ii) los activos, de GECE</w:t>
      </w:r>
      <w:r w:rsidR="00445663" w:rsidRPr="00CA0A60">
        <w:rPr>
          <w:rFonts w:ascii="Garamond" w:hAnsi="Garamond" w:cs="Times New Roman"/>
          <w:sz w:val="20"/>
          <w:szCs w:val="20"/>
          <w:lang w:val="es-AR"/>
        </w:rPr>
        <w:t>)</w:t>
      </w:r>
      <w:r w:rsidRPr="00CA0A60">
        <w:rPr>
          <w:rFonts w:ascii="Garamond" w:hAnsi="Garamond" w:cs="Times New Roman"/>
          <w:sz w:val="20"/>
          <w:szCs w:val="20"/>
          <w:lang w:val="es-AR"/>
        </w:rPr>
        <w:t>;</w:t>
      </w:r>
    </w:p>
    <w:p w14:paraId="2FDB60E0" w14:textId="77777777" w:rsidR="00202442" w:rsidRPr="00CA0A60" w:rsidRDefault="00202442" w:rsidP="00202442">
      <w:pPr>
        <w:widowControl w:val="0"/>
        <w:numPr>
          <w:ilvl w:val="0"/>
          <w:numId w:val="96"/>
        </w:numPr>
        <w:tabs>
          <w:tab w:val="left" w:pos="284"/>
          <w:tab w:val="left" w:pos="709"/>
          <w:tab w:val="left" w:pos="1476"/>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venta o disposición de efectivo o Equivalentes de Efectivo;</w:t>
      </w:r>
    </w:p>
    <w:p w14:paraId="0E204C6B" w14:textId="77777777" w:rsidR="00202442" w:rsidRPr="00CA0A60" w:rsidRDefault="00202442" w:rsidP="00202442">
      <w:pPr>
        <w:widowControl w:val="0"/>
        <w:numPr>
          <w:ilvl w:val="0"/>
          <w:numId w:val="96"/>
        </w:numPr>
        <w:tabs>
          <w:tab w:val="left" w:pos="284"/>
          <w:tab w:val="left" w:pos="709"/>
          <w:tab w:val="left" w:pos="1476"/>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disposiciones de créditos y activos o derechos relacionados en el marco de un acuerdo conciliatorio o transaccional o del cobro de los mismos en el giro ordinario del negocio o en el marco de un procedimiento de quiebra o procedimiento similar, a exclusión de acuerdos de cesión de créditos o acuerdos similares;</w:t>
      </w:r>
    </w:p>
    <w:p w14:paraId="08204C96" w14:textId="77777777" w:rsidR="00202442" w:rsidRPr="00CA0A60" w:rsidRDefault="00202442" w:rsidP="00202442">
      <w:pPr>
        <w:widowControl w:val="0"/>
        <w:numPr>
          <w:ilvl w:val="0"/>
          <w:numId w:val="96"/>
        </w:numPr>
        <w:tabs>
          <w:tab w:val="left" w:pos="284"/>
          <w:tab w:val="left" w:pos="709"/>
          <w:tab w:val="left" w:pos="1577"/>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disposiciones consideradas referentes a la constitución de cualquier Gravamen en la medida que estuviese permitido, de acuerdo con el compromiso del Contrato de Fideicomiso descripto en </w:t>
      </w:r>
      <w:r w:rsidRPr="00CA0A60">
        <w:rPr>
          <w:rFonts w:ascii="Garamond" w:hAnsi="Garamond" w:cs="Times New Roman"/>
          <w:i/>
          <w:sz w:val="20"/>
          <w:szCs w:val="20"/>
          <w:lang w:val="es-AR"/>
        </w:rPr>
        <w:t>“—Ciertos Compromisos - Limitación a los Gravámene</w:t>
      </w:r>
      <w:r w:rsidRPr="00CA0A60">
        <w:rPr>
          <w:rFonts w:ascii="Garamond" w:hAnsi="Garamond" w:cs="Times New Roman"/>
          <w:sz w:val="20"/>
          <w:szCs w:val="20"/>
          <w:lang w:val="es-AR"/>
        </w:rPr>
        <w:t>s”;</w:t>
      </w:r>
    </w:p>
    <w:p w14:paraId="5A26D44F" w14:textId="77777777" w:rsidR="00202442" w:rsidRPr="00CA0A60" w:rsidRDefault="00202442" w:rsidP="00202442">
      <w:pPr>
        <w:widowControl w:val="0"/>
        <w:numPr>
          <w:ilvl w:val="0"/>
          <w:numId w:val="96"/>
        </w:numPr>
        <w:tabs>
          <w:tab w:val="left" w:pos="284"/>
          <w:tab w:val="left" w:pos="709"/>
          <w:tab w:val="left" w:pos="1577"/>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toda emisión de Acciones No Calificadas que de otro modo estuviera permitida en </w:t>
      </w:r>
      <w:r w:rsidRPr="00CA0A60">
        <w:rPr>
          <w:rFonts w:ascii="Garamond" w:hAnsi="Garamond" w:cs="Times New Roman"/>
          <w:i/>
          <w:sz w:val="20"/>
          <w:szCs w:val="20"/>
          <w:lang w:val="es-AR"/>
        </w:rPr>
        <w:t>“— Ciertos Compromisos—Limitación de Deuda Adicional</w:t>
      </w:r>
      <w:r w:rsidRPr="00CA0A60">
        <w:rPr>
          <w:rFonts w:ascii="Garamond" w:hAnsi="Garamond" w:cs="Times New Roman"/>
          <w:sz w:val="20"/>
          <w:szCs w:val="20"/>
          <w:lang w:val="es-AR"/>
        </w:rPr>
        <w:t>”;</w:t>
      </w:r>
    </w:p>
    <w:p w14:paraId="1EABAEEC" w14:textId="77777777" w:rsidR="00202442" w:rsidRPr="00CA0A60" w:rsidRDefault="00202442" w:rsidP="00202442">
      <w:pPr>
        <w:widowControl w:val="0"/>
        <w:numPr>
          <w:ilvl w:val="0"/>
          <w:numId w:val="96"/>
        </w:numPr>
        <w:tabs>
          <w:tab w:val="left" w:pos="284"/>
          <w:tab w:val="left" w:pos="709"/>
          <w:tab w:val="left" w:pos="1577"/>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venta, el arrendamiento, la transferencia u otra disposición de activos en una Venta y Pacto de Arrendamiento, en la medida de lo permitido conforme al compromiso del Contrato de Fideicomiso descripto en la sección “</w:t>
      </w:r>
      <w:r w:rsidRPr="00CA0A60">
        <w:rPr>
          <w:rFonts w:ascii="Garamond" w:hAnsi="Garamond" w:cs="Times New Roman"/>
          <w:i/>
          <w:sz w:val="20"/>
          <w:szCs w:val="20"/>
          <w:lang w:val="es-AR"/>
        </w:rPr>
        <w:t>Ciertos Compromisos—Limitación a las Operaciones de Venta y Pacto de Arrendamiento</w:t>
      </w:r>
      <w:r w:rsidRPr="00CA0A60">
        <w:rPr>
          <w:rFonts w:ascii="Garamond" w:hAnsi="Garamond" w:cs="Times New Roman"/>
          <w:sz w:val="20"/>
          <w:szCs w:val="20"/>
          <w:lang w:val="es-AR"/>
        </w:rPr>
        <w:t>”;</w:t>
      </w:r>
    </w:p>
    <w:p w14:paraId="3B624D81" w14:textId="77777777" w:rsidR="00202442" w:rsidRPr="00CA0A60" w:rsidRDefault="00202442" w:rsidP="00202442">
      <w:pPr>
        <w:widowControl w:val="0"/>
        <w:numPr>
          <w:ilvl w:val="0"/>
          <w:numId w:val="96"/>
        </w:numPr>
        <w:tabs>
          <w:tab w:val="left" w:pos="284"/>
          <w:tab w:val="left" w:pos="709"/>
          <w:tab w:val="left" w:pos="1577"/>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ejecución de los activos relacionados con los Gravámenes autorizados en virtud de los Documentos de Financiación;</w:t>
      </w:r>
    </w:p>
    <w:p w14:paraId="4544296D" w14:textId="77777777" w:rsidR="00202442" w:rsidRPr="00CA0A60" w:rsidRDefault="00202442" w:rsidP="00202442">
      <w:pPr>
        <w:widowControl w:val="0"/>
        <w:numPr>
          <w:ilvl w:val="0"/>
          <w:numId w:val="96"/>
        </w:numPr>
        <w:tabs>
          <w:tab w:val="left" w:pos="284"/>
          <w:tab w:val="left" w:pos="709"/>
          <w:tab w:val="left" w:pos="1577"/>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disposición de activos como resultado de una Expropiación o un Supuesto de Pérdida;</w:t>
      </w:r>
    </w:p>
    <w:p w14:paraId="62F61316" w14:textId="77777777" w:rsidR="00202442" w:rsidRPr="00CA0A60" w:rsidRDefault="00202442" w:rsidP="00202442">
      <w:pPr>
        <w:widowControl w:val="0"/>
        <w:numPr>
          <w:ilvl w:val="0"/>
          <w:numId w:val="96"/>
        </w:numPr>
        <w:tabs>
          <w:tab w:val="left" w:pos="284"/>
          <w:tab w:val="left" w:pos="709"/>
          <w:tab w:val="left" w:pos="1577"/>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acuerdo conciliatorio o transaccional, liberación, desestimación o abandono de cualquier acción legal o reclamo judicial planteado contra cualquier Persona;</w:t>
      </w:r>
    </w:p>
    <w:p w14:paraId="154720B1" w14:textId="28C4E540" w:rsidR="00202442" w:rsidRPr="00CA0A60" w:rsidRDefault="00202442" w:rsidP="00202442">
      <w:pPr>
        <w:widowControl w:val="0"/>
        <w:numPr>
          <w:ilvl w:val="0"/>
          <w:numId w:val="96"/>
        </w:numPr>
        <w:tabs>
          <w:tab w:val="left" w:pos="284"/>
          <w:tab w:val="left" w:pos="709"/>
          <w:tab w:val="left" w:pos="1577"/>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 y disposiciones de activos en las cuales el Valor Justo de Mercado de todos los activos transferidos en base a esta cláusula (15) no supere la suma de U$S5 millones en cualquier ejercicio económico del Garante.</w:t>
      </w:r>
    </w:p>
    <w:p w14:paraId="64BDD6C7"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“Operación de Venta de Activos”</w:t>
      </w:r>
      <w:r w:rsidRPr="00CA0A60">
        <w:rPr>
          <w:rFonts w:ascii="Garamond" w:hAnsi="Garamond" w:cs="Times New Roman"/>
          <w:sz w:val="20"/>
          <w:szCs w:val="20"/>
          <w:lang w:val="es-AR"/>
        </w:rPr>
        <w:t xml:space="preserve"> significará cualquier Venta de Activos e, independientemente de si constituye o no una Venta de Activos, (1) cualquier venta o cualquier otro acto de disposición de Acciones; (2) cualquier Designación respecto de una Subsidiaria No Restringida; y (3) cualquier venta o acto de disposición de bienes o activos no contemplados dentro de la definición de Venta de Activos en el punto (5) del segundo párrafo de dicha definición.</w:t>
      </w:r>
    </w:p>
    <w:p w14:paraId="61E57E23"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“CCEE 220 Cedidos”</w:t>
      </w:r>
      <w:r w:rsidRPr="00CA0A60">
        <w:rPr>
          <w:rFonts w:ascii="Garamond" w:hAnsi="Garamond" w:cs="Times New Roman"/>
          <w:sz w:val="20"/>
          <w:szCs w:val="20"/>
          <w:lang w:val="es-AR"/>
        </w:rPr>
        <w:t xml:space="preserve"> significa, en forma colectiva, el CCEE 220 Independencia Cedido y el CCEE 220 Maranzana Cedido.</w:t>
      </w:r>
    </w:p>
    <w:p w14:paraId="3C24E97E" w14:textId="76873B3A"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“CCEE 220 Independencia Cedido”</w:t>
      </w:r>
      <w:r w:rsidRPr="00CA0A60">
        <w:rPr>
          <w:rFonts w:ascii="Garamond" w:hAnsi="Garamond" w:cs="Times New Roman"/>
          <w:sz w:val="20"/>
          <w:szCs w:val="20"/>
          <w:lang w:val="es-AR"/>
        </w:rPr>
        <w:t xml:space="preserve"> significa el contrato de compra de energía de fecha 16 de septiembre de 2010, celebrado entre </w:t>
      </w:r>
      <w:r w:rsidR="00933DAD">
        <w:rPr>
          <w:rFonts w:ascii="Garamond" w:hAnsi="Garamond" w:cs="Times New Roman"/>
          <w:sz w:val="20"/>
          <w:szCs w:val="20"/>
          <w:lang w:val="es-AR"/>
        </w:rPr>
        <w:t>GEMSA</w:t>
      </w:r>
      <w:r w:rsidRPr="00CA0A60">
        <w:rPr>
          <w:rFonts w:ascii="Garamond" w:hAnsi="Garamond" w:cs="Times New Roman"/>
          <w:sz w:val="20"/>
          <w:szCs w:val="20"/>
          <w:lang w:val="es-AR"/>
        </w:rPr>
        <w:t xml:space="preserve"> y CAMMESA bajo la Resolución N° 220, en relación con la central eléctrica de GEMSA denominada “Independencia”, con las modificaciones introducidas el 2</w:t>
      </w:r>
      <w:r w:rsidR="00445663" w:rsidRPr="00CA0A60">
        <w:rPr>
          <w:rFonts w:ascii="Garamond" w:hAnsi="Garamond" w:cs="Times New Roman"/>
          <w:sz w:val="20"/>
          <w:szCs w:val="20"/>
          <w:lang w:val="es-AR"/>
        </w:rPr>
        <w:t>5</w:t>
      </w:r>
      <w:r w:rsidRPr="00CA0A60">
        <w:rPr>
          <w:rFonts w:ascii="Garamond" w:hAnsi="Garamond" w:cs="Times New Roman"/>
          <w:sz w:val="20"/>
          <w:szCs w:val="20"/>
          <w:lang w:val="es-AR"/>
        </w:rPr>
        <w:t xml:space="preserve"> de octubre de 2011.</w:t>
      </w:r>
    </w:p>
    <w:p w14:paraId="6F1E6C60" w14:textId="35B92650"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“CCEE 220 Maranzana Cedido”</w:t>
      </w:r>
      <w:r w:rsidRPr="00CA0A60">
        <w:rPr>
          <w:rFonts w:ascii="Garamond" w:hAnsi="Garamond" w:cs="Times New Roman"/>
          <w:sz w:val="20"/>
          <w:szCs w:val="20"/>
          <w:lang w:val="es-AR"/>
        </w:rPr>
        <w:t xml:space="preserve"> significa el contrato de compra de energía de fecha 16 de septiembre de 2010, celebrado entre GEMSA y CAMMESA bajo la Resolución N° 220, en relación con la central eléctrica de GEMSA denominada “Maranzana”.</w:t>
      </w:r>
    </w:p>
    <w:p w14:paraId="7D308466"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 xml:space="preserve">“Deuda Atribuible” </w:t>
      </w:r>
      <w:r w:rsidRPr="00CA0A60">
        <w:rPr>
          <w:rFonts w:ascii="Garamond" w:hAnsi="Garamond" w:cs="Times New Roman"/>
          <w:sz w:val="20"/>
          <w:szCs w:val="20"/>
          <w:lang w:val="es-AR"/>
        </w:rPr>
        <w:t>significa, con respecto a una Operación de Venta y Pacto de Arrendamiento, a la fecha de determinación, el valor presente (descontado a la tasa de interés implícita de la Operación de Venta y Pacto de Arrendamiento aplicable) del total de las obligaciones del arrendatario en concepto de pagos del arrendamiento durante el plazo remanente del arrendamiento en virtud de dicha Operación de Venta y Pacto de Arrendamiento (incluida toda prórroga de dicho arrendamiento, si la hubiera), determinado con arreglo a las NIIF; quedando establecido, sin embargo, que si dicha Operación de Venta y Pacto de Arrendamiento da lugar a una Obligación de Arrendamiento Financiero, el monto de la Deuda representada por la misma se determinará conforme a la definición de “Obligaciones de Arrendamiento Financiero”.</w:t>
      </w:r>
    </w:p>
    <w:p w14:paraId="4954420D"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lastRenderedPageBreak/>
        <w:t>“</w:t>
      </w:r>
      <w:r w:rsidRPr="00CA0A60">
        <w:rPr>
          <w:rFonts w:ascii="Garamond" w:hAnsi="Garamond" w:cs="Times New Roman"/>
          <w:i/>
          <w:iCs/>
          <w:color w:val="000000"/>
          <w:sz w:val="20"/>
          <w:szCs w:val="20"/>
          <w:lang w:val="es-AR" w:eastAsia="es-ES" w:bidi="es-ES"/>
        </w:rPr>
        <w:t>Directorio</w:t>
      </w:r>
      <w:r w:rsidRPr="00CA0A60">
        <w:rPr>
          <w:rFonts w:ascii="Garamond" w:hAnsi="Garamond" w:cs="Times New Roman"/>
          <w:sz w:val="20"/>
          <w:szCs w:val="20"/>
          <w:lang w:val="es-AR"/>
        </w:rPr>
        <w:t>” significará, en relación con cualquier Persona, el directorio, el consejo de administración o cualquier otro órgano de gobierno similar de dicha Persona o cualquier comité de dicho órgano debidamente autorizado.</w:t>
      </w:r>
    </w:p>
    <w:p w14:paraId="4076D672"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“Resolución del Directorio</w:t>
      </w:r>
      <w:r w:rsidRPr="00CA0A60">
        <w:rPr>
          <w:rFonts w:ascii="Garamond" w:hAnsi="Garamond" w:cs="Times New Roman"/>
          <w:sz w:val="20"/>
          <w:szCs w:val="20"/>
          <w:lang w:val="es-AR"/>
        </w:rPr>
        <w:t>” significará, respecto de cualquier Persona, una copia de cualquier resolución certificada por escribano público que haya sido debidamente adoptada por el Directorio de dicha Persona y que se encuentre en pleno vigor y efecto a la fecha de su correspondiente certificación, y que haya sido remitida al Fiduciario.</w:t>
      </w:r>
    </w:p>
    <w:p w14:paraId="2A0DB892"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“Día Hábil”</w:t>
      </w:r>
      <w:r w:rsidRPr="00CA0A60">
        <w:rPr>
          <w:rFonts w:ascii="Garamond" w:hAnsi="Garamond" w:cs="Times New Roman"/>
          <w:sz w:val="20"/>
          <w:szCs w:val="20"/>
          <w:lang w:val="es-AR"/>
        </w:rPr>
        <w:t xml:space="preserve"> significará cualquier día a excepción de los sábados, domingos o cualquier otro día en el cual las entidades bancarias en la Ciudad de Nueva York, Nueva York, o en la Ciudad Autónoma de Buenos Aires, Argentina, puedan o deban, por ley, permanecer cerradas.</w:t>
      </w:r>
    </w:p>
    <w:p w14:paraId="6B6E74C1"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“CAMMESA”</w:t>
      </w:r>
      <w:r w:rsidRPr="00CA0A60">
        <w:rPr>
          <w:rFonts w:ascii="Garamond" w:hAnsi="Garamond" w:cs="Times New Roman"/>
          <w:sz w:val="20"/>
          <w:szCs w:val="20"/>
          <w:lang w:val="es-AR"/>
        </w:rPr>
        <w:t xml:space="preserve"> significará Compañía Administradora del Mercado Mayorista Eléctrico Sociedad Anónima, la sociedad administradora del mercado mayorista eléctrico de Argentina.</w:t>
      </w:r>
    </w:p>
    <w:p w14:paraId="07820767" w14:textId="1AFFAA13"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Gastos de Capital</w:t>
      </w:r>
      <w:r w:rsidRPr="00CA0A60">
        <w:rPr>
          <w:rFonts w:ascii="Garamond" w:hAnsi="Garamond" w:cs="Times New Roman"/>
          <w:sz w:val="20"/>
          <w:szCs w:val="20"/>
          <w:lang w:val="es-AR"/>
        </w:rPr>
        <w:t xml:space="preserve">” significará, respecto de cualquier Persona, dentro de un período determinado, el monto total de todos los gastos en los que hubiera incurrido en relación con bienes de capital o activos fijos durante un período determinado y que, de conformidad con las NIIF, se clasificarían </w:t>
      </w:r>
      <w:r w:rsidR="00445663" w:rsidRPr="00CA0A60">
        <w:rPr>
          <w:rFonts w:ascii="Garamond" w:hAnsi="Garamond" w:cs="Times New Roman"/>
          <w:sz w:val="20"/>
          <w:szCs w:val="20"/>
          <w:lang w:val="es-AR"/>
        </w:rPr>
        <w:t>en la cuenta de propiedad, planta y equipo (o en una cuenta de activos fijos similar)</w:t>
      </w:r>
      <w:r w:rsidRPr="00CA0A60">
        <w:rPr>
          <w:rFonts w:ascii="Garamond" w:hAnsi="Garamond" w:cs="Times New Roman"/>
          <w:sz w:val="20"/>
          <w:szCs w:val="20"/>
          <w:lang w:val="es-AR"/>
        </w:rPr>
        <w:t>.</w:t>
      </w:r>
    </w:p>
    <w:p w14:paraId="2262B47D"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Acciones</w:t>
      </w:r>
      <w:r w:rsidRPr="00CA0A60">
        <w:rPr>
          <w:rFonts w:ascii="Garamond" w:hAnsi="Garamond" w:cs="Times New Roman"/>
          <w:sz w:val="20"/>
          <w:szCs w:val="20"/>
          <w:lang w:val="es-AR"/>
        </w:rPr>
        <w:t>” significará:</w:t>
      </w:r>
    </w:p>
    <w:p w14:paraId="3FB2F07C" w14:textId="77777777" w:rsidR="00202442" w:rsidRPr="00CA0A60" w:rsidRDefault="00202442" w:rsidP="00202442">
      <w:pPr>
        <w:widowControl w:val="0"/>
        <w:numPr>
          <w:ilvl w:val="0"/>
          <w:numId w:val="97"/>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respecto de cualquier Persona que sea una sociedad anónima, todas y cada una de las acciones, tenencias, participaciones u otros equivalentes (independientemente de su denominación y si otorguen o no derechos de voto) de acciones societarias, incluidas cada una de las clases de Acciones Ordinarias y Acciones Preferidas de dicha Persona;</w:t>
      </w:r>
    </w:p>
    <w:p w14:paraId="4EC08D0D" w14:textId="77777777" w:rsidR="00202442" w:rsidRPr="00CA0A60" w:rsidRDefault="00202442" w:rsidP="00202442">
      <w:pPr>
        <w:widowControl w:val="0"/>
        <w:numPr>
          <w:ilvl w:val="0"/>
          <w:numId w:val="97"/>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respecto de cualquier Persona que no sea una sociedad anónima, todas y cada una de las tenencias o participaciones de capital de dicha Persona; y</w:t>
      </w:r>
    </w:p>
    <w:p w14:paraId="4BF01AEA" w14:textId="77777777" w:rsidR="00202442" w:rsidRPr="00CA0A60" w:rsidRDefault="00202442" w:rsidP="00202442">
      <w:pPr>
        <w:widowControl w:val="0"/>
        <w:numPr>
          <w:ilvl w:val="0"/>
          <w:numId w:val="97"/>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todos los warrants, derechos u opciones de compra o adquisición de cualquiera de los instrumentos o participaciones mencionados en los puntos (a) o (b) precedentes, excluida la Deuda convertible en capital.</w:t>
      </w:r>
    </w:p>
    <w:p w14:paraId="55457220" w14:textId="77777777" w:rsidR="00202442" w:rsidRPr="00CA0A60" w:rsidRDefault="00202442" w:rsidP="00202442">
      <w:pPr>
        <w:widowControl w:val="0"/>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 xml:space="preserve">Obligaciones de Arrendamiento Financiero” </w:t>
      </w:r>
      <w:r w:rsidRPr="00CA0A60">
        <w:rPr>
          <w:rFonts w:ascii="Garamond" w:hAnsi="Garamond" w:cs="Times New Roman"/>
          <w:sz w:val="20"/>
          <w:szCs w:val="20"/>
          <w:lang w:val="es-AR"/>
        </w:rPr>
        <w:t>significará, respecto de cualquier Persona, las obligaciones que dicha Persona tenga en virtud de un arrendamiento financiero y que deban clasificarse o contabilizarse como obligaciones de arrendamiento financiero en virtud de las NIIF. A los efectos de la presente definición, el monto de dichas obligaciones a cualquier fecha será el monto capitalizado de dichas obligaciones a tal fecha, calculado de conformidad con las NIIF.</w:t>
      </w:r>
    </w:p>
    <w:p w14:paraId="64381DC6" w14:textId="77777777" w:rsidR="00202442" w:rsidRPr="00CA0A60" w:rsidRDefault="00202442" w:rsidP="00202442">
      <w:pPr>
        <w:widowControl w:val="0"/>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“Equivalentes de Efectivo</w:t>
      </w:r>
      <w:r w:rsidRPr="00CA0A60">
        <w:rPr>
          <w:rFonts w:ascii="Garamond" w:hAnsi="Garamond" w:cs="Times New Roman"/>
          <w:sz w:val="20"/>
          <w:szCs w:val="20"/>
          <w:lang w:val="es-AR"/>
        </w:rPr>
        <w:t>” se refiere, en todo momento, a cualquiera de los siguientes rubros:</w:t>
      </w:r>
    </w:p>
    <w:p w14:paraId="57DB2133" w14:textId="77777777" w:rsidR="00202442" w:rsidRPr="00CA0A60" w:rsidRDefault="00202442" w:rsidP="00202442">
      <w:pPr>
        <w:widowControl w:val="0"/>
        <w:numPr>
          <w:ilvl w:val="0"/>
          <w:numId w:val="122"/>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Dólares Estadounidenses, Pesos o dinero denominado en otras monedas que se reciban en el curso del giro comercial habitual;</w:t>
      </w:r>
    </w:p>
    <w:p w14:paraId="0C958D6D" w14:textId="0DA67C0F" w:rsidR="00202442" w:rsidRPr="00CA0A60" w:rsidRDefault="00202442" w:rsidP="00202442">
      <w:pPr>
        <w:widowControl w:val="0"/>
        <w:numPr>
          <w:ilvl w:val="0"/>
          <w:numId w:val="122"/>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Títulos de Deuda del Gobierno de </w:t>
      </w:r>
      <w:r w:rsidR="00CA0A60" w:rsidRPr="00CA0A60">
        <w:rPr>
          <w:rFonts w:ascii="Garamond" w:hAnsi="Garamond" w:cs="Times New Roman"/>
          <w:sz w:val="20"/>
          <w:szCs w:val="20"/>
          <w:lang w:val="es-AR"/>
        </w:rPr>
        <w:t>los EE.UU.</w:t>
      </w:r>
      <w:r w:rsidRPr="00CA0A60">
        <w:rPr>
          <w:rFonts w:ascii="Garamond" w:hAnsi="Garamond" w:cs="Times New Roman"/>
          <w:sz w:val="20"/>
          <w:szCs w:val="20"/>
          <w:lang w:val="es-AR"/>
        </w:rPr>
        <w:t xml:space="preserve"> o certificados que representen la titularidad de Títulos de Deuda del Gobierno de </w:t>
      </w:r>
      <w:r w:rsidR="00CA0A60" w:rsidRPr="00CA0A60">
        <w:rPr>
          <w:rFonts w:ascii="Garamond" w:hAnsi="Garamond" w:cs="Times New Roman"/>
          <w:sz w:val="20"/>
          <w:szCs w:val="20"/>
          <w:lang w:val="es-AR"/>
        </w:rPr>
        <w:t>los EE.UU.</w:t>
      </w:r>
      <w:r w:rsidRPr="00CA0A60">
        <w:rPr>
          <w:rFonts w:ascii="Garamond" w:hAnsi="Garamond" w:cs="Times New Roman"/>
          <w:sz w:val="20"/>
          <w:szCs w:val="20"/>
          <w:lang w:val="es-AR"/>
        </w:rPr>
        <w:t xml:space="preserve"> cuyo plazo de vencimiento no sea mayor a un año desde la fecha de adquisición;</w:t>
      </w:r>
    </w:p>
    <w:p w14:paraId="605F57A7" w14:textId="77777777" w:rsidR="00202442" w:rsidRPr="00CA0A60" w:rsidRDefault="00202442" w:rsidP="00202442">
      <w:pPr>
        <w:widowControl w:val="0"/>
        <w:numPr>
          <w:ilvl w:val="0"/>
          <w:numId w:val="122"/>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 depósitos a la vista, (ii) depósitos a plazo fijo y certificados de depósito con vencimiento dentro del año posterior a la fecha de su adquisición, (3) aceptaciones de bancos con vencimiento dentro del año posterior a la fecha de su adquisición, y (iv) depósitos bancarios de un día emitidos por cualquier banco o fideicomiso constituido o habilitado de conformidad con las leyes de (x) Argentina o cualquiera de sus subdivisiones políticas con una de las cuatro calificaciones internacionales o locales más altas otorgadas por S&amp;P, Moody’s o Fitch, o una calificación similar equivalente otorgada por al menos una “organización de calificación estadística reconocida a nivel nacional” registrada de conformidad con el Artículo 15E de la Ley de Mercados de Valores; o (y) los Estados Unidos o cualquiera de sus estados que tenga un capital, un excedente e ingresos indivisos superiores a U$S 500 millones y cuyas deudas de corto plazo hayan recibido una calificación de “A-2” o superior de S&amp;P, de “A-2” o superior por Fitch o de “P-2” o superior de Moody’s (o una calificación similar equivalente otorgada por al menos una organización de calificación estadística reconocida a nivel nacional registrada de conformidad con el Artículo 15E de la Ley de Mercados de Valores);</w:t>
      </w:r>
    </w:p>
    <w:p w14:paraId="44B27F54" w14:textId="77777777" w:rsidR="00202442" w:rsidRPr="00CA0A60" w:rsidRDefault="00202442" w:rsidP="00202442">
      <w:pPr>
        <w:widowControl w:val="0"/>
        <w:numPr>
          <w:ilvl w:val="0"/>
          <w:numId w:val="122"/>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obligaciones de recompra con un plazo de no más de siete días para los títulos valores subyacentes de la clase que se describe en las cláusulas (b) y (c) que anteceden, celebrados con cualquier institución financiera que reúna los requisitos establecidos en la cláusula (c) precedente;</w:t>
      </w:r>
    </w:p>
    <w:p w14:paraId="0ECB954E" w14:textId="77777777" w:rsidR="00202442" w:rsidRPr="00CA0A60" w:rsidRDefault="00202442" w:rsidP="00202442">
      <w:pPr>
        <w:widowControl w:val="0"/>
        <w:numPr>
          <w:ilvl w:val="0"/>
          <w:numId w:val="122"/>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instrumentos negociables con una calificación igual o superior a “P-1” otorgada por Moody’s, de “A-1” otorgada por S&amp;P o de “A-1” o superior otorgada por Fitch con vencimiento dentro del año posterior a la fecha de adquisición;</w:t>
      </w:r>
    </w:p>
    <w:p w14:paraId="332B985E" w14:textId="77777777" w:rsidR="00202442" w:rsidRPr="00CA0A60" w:rsidRDefault="00202442" w:rsidP="00202442">
      <w:pPr>
        <w:widowControl w:val="0"/>
        <w:numPr>
          <w:ilvl w:val="0"/>
          <w:numId w:val="122"/>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lastRenderedPageBreak/>
        <w:t>(i) obligaciones negociables generales emitidas o garantizadas en forma incondicional por Argentina o el Banco Central o cualquier Provincia de Argentina; (ii) depósitos a plazo o certificados de depósito en Pesos o Dólares Estadounidenses emitidos por un banco argentino; (iii) obligaciones de recompra con un plazo no mayor a 30 días para los títulos valores subyacentes de las clases que se describen en la cláusula (i) que antecede; o (iv) instrumentos negociables de emisores argentinos cuyas obligaciones de deuda no garantizadas de largo plazo hayan recibido una calificación igual o más alta que la calificación soberana de Argentina;</w:t>
      </w:r>
    </w:p>
    <w:p w14:paraId="2A812F7B" w14:textId="77777777" w:rsidR="00202442" w:rsidRPr="00CA0A60" w:rsidRDefault="00202442" w:rsidP="00202442">
      <w:pPr>
        <w:widowControl w:val="0"/>
        <w:numPr>
          <w:ilvl w:val="0"/>
          <w:numId w:val="122"/>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fondos del mercado monetario cuyos activos consistan en al menos un 85,0% de inversiones del tipo descripto en las cláusulas (a) a (f); o</w:t>
      </w:r>
    </w:p>
    <w:p w14:paraId="390759A6" w14:textId="77777777" w:rsidR="00202442" w:rsidRPr="00CA0A60" w:rsidRDefault="00202442" w:rsidP="00202442">
      <w:pPr>
        <w:widowControl w:val="0"/>
        <w:numPr>
          <w:ilvl w:val="0"/>
          <w:numId w:val="122"/>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inversiones sustancialmente similares o con una calidad crediticia comparable a las descriptas en las cláusulas (a) a (g) que anteceden, denominadas en la moneda de cualquier jurisdicción en la cual operen el Garante, cualquiera de las Co-Emisoras o cualquier Subsidiaria Restringida, y emitidas por instituciones constituidas en países con una calificación crediticia de “BBB-” (o el grado equivalente a la fecha correspondiente) o superior de S&amp;P o Fitch, y la calificación equivalente de Moody’s.</w:t>
      </w:r>
    </w:p>
    <w:p w14:paraId="6A071895" w14:textId="77777777" w:rsidR="00202442" w:rsidRPr="00CA0A60" w:rsidRDefault="00202442" w:rsidP="00CA3A3D">
      <w:pPr>
        <w:widowControl w:val="0"/>
        <w:tabs>
          <w:tab w:val="left" w:pos="284"/>
          <w:tab w:val="left" w:pos="993"/>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Para evitar dudas, los ítems precedentes descriptos en las cláusulas (a) a (h) depositados periódicamente en la Cuenta de Reserva para Servicio de Deuda serán considerados “Equivalentes de Efectivo” a todos los fines.</w:t>
      </w:r>
    </w:p>
    <w:p w14:paraId="2D46FFD2" w14:textId="77777777" w:rsidR="00202442" w:rsidRPr="00CA0A60" w:rsidRDefault="00202442" w:rsidP="00CA3A3D">
      <w:pPr>
        <w:widowControl w:val="0"/>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Cambio de Control”</w:t>
      </w:r>
      <w:r w:rsidRPr="00CA0A60">
        <w:rPr>
          <w:rFonts w:ascii="Garamond" w:hAnsi="Garamond" w:cs="Times New Roman"/>
          <w:sz w:val="20"/>
          <w:szCs w:val="20"/>
          <w:lang w:val="es-AR"/>
        </w:rPr>
        <w:t xml:space="preserve"> se refiere a la ocurrencia de uno o varios de los siguientes hechos:</w:t>
      </w:r>
    </w:p>
    <w:p w14:paraId="17D0E027" w14:textId="77777777" w:rsidR="00202442" w:rsidRPr="00CA0A60" w:rsidRDefault="00202442" w:rsidP="00202442">
      <w:pPr>
        <w:widowControl w:val="0"/>
        <w:numPr>
          <w:ilvl w:val="0"/>
          <w:numId w:val="123"/>
        </w:numPr>
        <w:tabs>
          <w:tab w:val="left" w:pos="284"/>
          <w:tab w:val="left" w:pos="7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Tenedores Autorizados dejan de ser, por la razón que fuere, en el total, ya sea directa o indirectamente, “titulares beneficiarios” (según se define el término en las Regulaciones 13d-3 y 13d-5 de conformidad con la Ley de Mercados de Valores) de, al menos, el 51,0% de las Acciones con derecho a Voto en circulación del Garante, medidas por su poder de voto en lugar de por su cantidad; o</w:t>
      </w:r>
    </w:p>
    <w:p w14:paraId="4333E8DF" w14:textId="77777777" w:rsidR="00202442" w:rsidRPr="00CA0A60" w:rsidRDefault="00202442" w:rsidP="00202442">
      <w:pPr>
        <w:widowControl w:val="0"/>
        <w:numPr>
          <w:ilvl w:val="0"/>
          <w:numId w:val="123"/>
        </w:numPr>
        <w:tabs>
          <w:tab w:val="left" w:pos="284"/>
          <w:tab w:val="left" w:pos="709"/>
          <w:tab w:val="left" w:pos="809"/>
          <w:tab w:val="left" w:pos="1701"/>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Tenedores Permitidos dejan de ejercer, en el total, ya sea directa o indirectamente, el control necesario para dirigir o disponer la dirección de la administración y políticas de cualquier Co-Emisora y/o del Garante, ya sea a través de la titularidad de títulos con derecho a voto, por contrato o de cualquier otro modo, o</w:t>
      </w:r>
    </w:p>
    <w:p w14:paraId="39798F66" w14:textId="77777777" w:rsidR="00202442" w:rsidRPr="00CA0A60" w:rsidRDefault="00202442" w:rsidP="00202442">
      <w:pPr>
        <w:widowControl w:val="0"/>
        <w:numPr>
          <w:ilvl w:val="0"/>
          <w:numId w:val="123"/>
        </w:numPr>
        <w:tabs>
          <w:tab w:val="left" w:pos="284"/>
          <w:tab w:val="left" w:pos="709"/>
          <w:tab w:val="left" w:pos="809"/>
          <w:tab w:val="left" w:pos="1701"/>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ante la aprobación, por parte de los titulares de Acciones de cualquiera de las Co-Emisoras o del Garante, de cualquier plan o propuesta de liquidación o disolución de cualquier Co-Emisora o el Garante, si fuera aplicable, según el caso, independientemente del cumplimiento de las disposiciones del Contrato de Fideicomiso; o</w:t>
      </w:r>
    </w:p>
    <w:p w14:paraId="077F1479" w14:textId="77777777" w:rsidR="00202442" w:rsidRPr="00CA0A60" w:rsidRDefault="00202442" w:rsidP="00202442">
      <w:pPr>
        <w:widowControl w:val="0"/>
        <w:numPr>
          <w:ilvl w:val="0"/>
          <w:numId w:val="123"/>
        </w:numPr>
        <w:tabs>
          <w:tab w:val="left" w:pos="284"/>
          <w:tab w:val="left" w:pos="709"/>
          <w:tab w:val="left" w:pos="809"/>
          <w:tab w:val="left" w:pos="1701"/>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Tenedores Autorizados dejan de ser, ya sea directa o indirectamente, los “titulares beneficiarios” (según se define el término en las Regulaciones 13d-3 y 13d-5 de conformidad con la Ley de Mercados de Valores) (1) de, al menos el 51,0% de las Acciones con derecho a Voto en circulación de GEMSA (incluida toda Entidad Superviviente, si correspondiere), (2) de, al menos el 51,0% de las Acciones con derecho a Voto en circulación de CTR (incluida toda Entidad Superviviente, si correspondiera), (3) de, al menos, el 51,0% del valor económico de las Acciones en circulación de GEMSA (incluida toda Entidad Superviviente, si correspondiera) o (4) de, al menos, el 51,0% del valor económico de las Acciones en circulación de CTR (incluida toda Entidad Superviviente, si correspondiere); quedando establecido que cualquiera de las Co-Emisoras podrá fusionarse con otra o con el Garante según se describe en “ —Ciertos Compromisos— Limitación a la Fusión, Consolidación y Venta de Activos;” o</w:t>
      </w:r>
    </w:p>
    <w:p w14:paraId="31412652" w14:textId="62DA78BA" w:rsidR="00202442" w:rsidRPr="00CA0A60" w:rsidRDefault="00202442" w:rsidP="00202442">
      <w:pPr>
        <w:widowControl w:val="0"/>
        <w:numPr>
          <w:ilvl w:val="0"/>
          <w:numId w:val="123"/>
        </w:numPr>
        <w:tabs>
          <w:tab w:val="left" w:pos="284"/>
          <w:tab w:val="left" w:pos="709"/>
          <w:tab w:val="left" w:pos="809"/>
          <w:tab w:val="left" w:pos="1701"/>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 se produce la venta, transferencia, locación, cesión o cualquier otro acto de disposición directo o indirecto (salvo mediante una transacción de fusión o consolidación permitida por el compromiso del Contrato de Fideicomiso descripto bajo el título “—Ciertos Compromisos—</w:t>
      </w:r>
      <w:r w:rsidR="00946BE7">
        <w:rPr>
          <w:rFonts w:ascii="Garamond" w:hAnsi="Garamond" w:cs="Times New Roman"/>
          <w:sz w:val="20"/>
          <w:szCs w:val="20"/>
          <w:lang w:val="es-AR"/>
        </w:rPr>
        <w:t xml:space="preserve">Limitación a la Fusión, </w:t>
      </w:r>
      <w:r w:rsidRPr="00CA0A60">
        <w:rPr>
          <w:rFonts w:ascii="Garamond" w:hAnsi="Garamond" w:cs="Times New Roman"/>
          <w:sz w:val="20"/>
          <w:szCs w:val="20"/>
          <w:lang w:val="es-AR"/>
        </w:rPr>
        <w:t xml:space="preserve">Consolidación, Venta </w:t>
      </w:r>
      <w:r w:rsidR="00946BE7">
        <w:rPr>
          <w:rFonts w:ascii="Garamond" w:hAnsi="Garamond" w:cs="Times New Roman"/>
          <w:sz w:val="20"/>
          <w:szCs w:val="20"/>
          <w:lang w:val="es-AR"/>
        </w:rPr>
        <w:t>de Activos</w:t>
      </w:r>
      <w:r w:rsidRPr="00CA0A60">
        <w:rPr>
          <w:rFonts w:ascii="Garamond" w:hAnsi="Garamond" w:cs="Times New Roman"/>
          <w:sz w:val="20"/>
          <w:szCs w:val="20"/>
          <w:lang w:val="es-AR"/>
        </w:rPr>
        <w:t>”), en una única transacción o en una serie de transacciones relacionadas, de la totalidad o prácticamente la totalidad de los bienes o activos del Garante, de las Co-Emisoras y de las Subsidiarias Restringidas, consideradas en conjunto, a cualquier Persona (incluso cualquier “persona” (con los alcances del término tal como se lo emplea en el Artículo 13(d)(3) de la Ley de Mercados de Valores)), con excepción de aquellas a Tenedores Autorizados.</w:t>
      </w:r>
    </w:p>
    <w:p w14:paraId="2B67F2C1" w14:textId="77777777" w:rsidR="00202442" w:rsidRPr="00CA0A60" w:rsidRDefault="00202442" w:rsidP="00202442">
      <w:pPr>
        <w:widowControl w:val="0"/>
        <w:tabs>
          <w:tab w:val="left" w:pos="284"/>
          <w:tab w:val="left" w:pos="709"/>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“Derechos de Garantía”</w:t>
      </w:r>
      <w:r w:rsidRPr="00CA0A60">
        <w:rPr>
          <w:rFonts w:ascii="Garamond" w:hAnsi="Garamond" w:cs="Times New Roman"/>
          <w:sz w:val="20"/>
          <w:szCs w:val="20"/>
          <w:lang w:val="es-AR"/>
        </w:rPr>
        <w:t xml:space="preserve"> tiene el significado que se le asigna en la sección “—Derechos de Garantía”.</w:t>
      </w:r>
    </w:p>
    <w:p w14:paraId="4DD89D38" w14:textId="4D078584" w:rsidR="00202442" w:rsidRDefault="00202442" w:rsidP="00202442">
      <w:pPr>
        <w:widowControl w:val="0"/>
        <w:tabs>
          <w:tab w:val="left" w:pos="284"/>
          <w:tab w:val="left" w:pos="709"/>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CCEE en Garantía”</w:t>
      </w:r>
      <w:r w:rsidRPr="00CA0A60">
        <w:rPr>
          <w:rFonts w:ascii="Garamond" w:hAnsi="Garamond" w:cs="Times New Roman"/>
          <w:sz w:val="20"/>
          <w:szCs w:val="20"/>
          <w:lang w:val="es-AR"/>
        </w:rPr>
        <w:t xml:space="preserve"> tiene el significado que se le asigna en la sección “—Derechos de Garantía”.</w:t>
      </w:r>
    </w:p>
    <w:p w14:paraId="3CEB1B5F" w14:textId="04A2F1B7" w:rsidR="00946BE7" w:rsidRPr="00946BE7" w:rsidRDefault="00946BE7" w:rsidP="00202442">
      <w:pPr>
        <w:widowControl w:val="0"/>
        <w:tabs>
          <w:tab w:val="left" w:pos="284"/>
          <w:tab w:val="left" w:pos="709"/>
          <w:tab w:val="left" w:pos="7938"/>
          <w:tab w:val="left" w:pos="8789"/>
        </w:tabs>
        <w:spacing w:before="120" w:after="120" w:line="240" w:lineRule="auto"/>
        <w:jc w:val="both"/>
        <w:rPr>
          <w:rFonts w:ascii="Garamond" w:hAnsi="Garamond" w:cs="Times New Roman"/>
          <w:sz w:val="20"/>
          <w:szCs w:val="20"/>
          <w:lang w:val="es-AR"/>
        </w:rPr>
      </w:pPr>
      <w:r>
        <w:rPr>
          <w:rFonts w:ascii="Garamond" w:hAnsi="Garamond" w:cs="Times New Roman"/>
          <w:i/>
          <w:sz w:val="20"/>
          <w:szCs w:val="20"/>
          <w:lang w:val="es-AR"/>
        </w:rPr>
        <w:t>“Valor de los Derechos de Garantía”</w:t>
      </w:r>
      <w:r>
        <w:rPr>
          <w:rFonts w:ascii="Garamond" w:hAnsi="Garamond" w:cs="Times New Roman"/>
          <w:sz w:val="20"/>
          <w:szCs w:val="20"/>
          <w:lang w:val="es-AR"/>
        </w:rPr>
        <w:t xml:space="preserve"> significa, a cualquier fecha, el valor total de los Derechos de Garantía sobre los Equipos, de los Derechos de Garantía sobre el Inmueble Independencia y de cualesquiera otros activos fijos o de capital incluidos en los Derechos de Garantía, determinado por referencia al valor contable de esos activos a la fecha de los últimos estados financieros entregados a los Tenedores en virtud del compromiso del Contrato de Fideicomiso descripto bajo el título </w:t>
      </w:r>
      <w:r>
        <w:rPr>
          <w:rFonts w:ascii="Garamond" w:hAnsi="Garamond" w:cs="Times New Roman"/>
          <w:i/>
          <w:sz w:val="20"/>
          <w:szCs w:val="20"/>
          <w:lang w:val="es-AR"/>
        </w:rPr>
        <w:t>“—Ciertos Compromisos—Informes a los Tenedores”.</w:t>
      </w:r>
    </w:p>
    <w:p w14:paraId="0A1455A6" w14:textId="77777777" w:rsidR="00202442" w:rsidRPr="00CA0A60" w:rsidRDefault="00202442" w:rsidP="00202442">
      <w:pPr>
        <w:widowControl w:val="0"/>
        <w:tabs>
          <w:tab w:val="left" w:pos="284"/>
          <w:tab w:val="left" w:pos="709"/>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“Documentos de Garantía”</w:t>
      </w:r>
      <w:r w:rsidRPr="00CA0A60">
        <w:rPr>
          <w:rFonts w:ascii="Garamond" w:hAnsi="Garamond" w:cs="Times New Roman"/>
          <w:sz w:val="20"/>
          <w:szCs w:val="20"/>
          <w:lang w:val="es-AR"/>
        </w:rPr>
        <w:t xml:space="preserve"> tiene el significado que se le asigna en la sección “—Derechos de Garantía”.</w:t>
      </w:r>
    </w:p>
    <w:p w14:paraId="49266EC9" w14:textId="249B9BCC" w:rsidR="00202442" w:rsidRPr="00CA0A60" w:rsidRDefault="00202442" w:rsidP="00445663">
      <w:pPr>
        <w:widowControl w:val="0"/>
        <w:tabs>
          <w:tab w:val="left" w:pos="284"/>
          <w:tab w:val="left" w:pos="709"/>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 xml:space="preserve">“Cuenta Recaudadora” </w:t>
      </w:r>
      <w:r w:rsidRPr="00CA0A60">
        <w:rPr>
          <w:rFonts w:ascii="Garamond" w:hAnsi="Garamond" w:cs="Times New Roman"/>
          <w:sz w:val="20"/>
          <w:szCs w:val="20"/>
          <w:lang w:val="es-AR"/>
        </w:rPr>
        <w:t xml:space="preserve">significa una cuenta fiduciaria denominada “Cuenta Recaudadora” a ser abierta y </w:t>
      </w:r>
      <w:r w:rsidRPr="00CA0A60">
        <w:rPr>
          <w:rFonts w:ascii="Garamond" w:hAnsi="Garamond" w:cs="Times New Roman"/>
          <w:sz w:val="20"/>
          <w:szCs w:val="20"/>
          <w:lang w:val="es-AR"/>
        </w:rPr>
        <w:lastRenderedPageBreak/>
        <w:t xml:space="preserve">mantenida </w:t>
      </w:r>
      <w:r w:rsidR="004E3A7F">
        <w:rPr>
          <w:rFonts w:ascii="Garamond" w:hAnsi="Garamond" w:cs="Times New Roman"/>
          <w:sz w:val="20"/>
          <w:szCs w:val="20"/>
          <w:lang w:val="es-AR"/>
        </w:rPr>
        <w:t>con el Fiduciario</w:t>
      </w:r>
      <w:r w:rsidRPr="00CA0A60">
        <w:rPr>
          <w:rFonts w:ascii="Garamond" w:hAnsi="Garamond" w:cs="Times New Roman"/>
          <w:sz w:val="20"/>
          <w:szCs w:val="20"/>
          <w:lang w:val="es-AR"/>
        </w:rPr>
        <w:t xml:space="preserve"> Argentino para su beneficio en carácter de fiduciario, de acuerdo con el Contrato de Fideicomiso con Fines de Garantía Argentino</w:t>
      </w:r>
      <w:r w:rsidR="00445663" w:rsidRPr="00CA0A60">
        <w:rPr>
          <w:rFonts w:ascii="Garamond" w:hAnsi="Garamond" w:cs="Times New Roman"/>
          <w:sz w:val="20"/>
          <w:szCs w:val="20"/>
          <w:lang w:val="es-AR"/>
        </w:rPr>
        <w:t>; quedando establecido que los montos depositados en la Cuenta Recaudadora no podrán en ningún momento superar, considerados en conjunto con todos los demás Derechos de Garantía, el Monto de Garantía Máximo.</w:t>
      </w:r>
    </w:p>
    <w:p w14:paraId="6274F8AC" w14:textId="77777777" w:rsidR="00202442" w:rsidRPr="00CA0A60" w:rsidRDefault="00202442" w:rsidP="00202442">
      <w:pPr>
        <w:widowControl w:val="0"/>
        <w:tabs>
          <w:tab w:val="left" w:pos="284"/>
          <w:tab w:val="left" w:pos="709"/>
          <w:tab w:val="left" w:pos="1418"/>
          <w:tab w:val="left" w:pos="7938"/>
          <w:tab w:val="left" w:pos="8789"/>
        </w:tabs>
        <w:spacing w:before="120" w:after="120" w:line="240" w:lineRule="auto"/>
        <w:jc w:val="both"/>
        <w:rPr>
          <w:rFonts w:ascii="Garamond" w:hAnsi="Garamond" w:cs="Times New Roman"/>
          <w:sz w:val="20"/>
          <w:szCs w:val="20"/>
          <w:lang w:val="es-AR"/>
        </w:rPr>
      </w:pPr>
      <w:r w:rsidRPr="00CA0A60" w:rsidDel="009E25AE">
        <w:rPr>
          <w:rFonts w:ascii="Garamond" w:hAnsi="Garamond" w:cs="Times New Roman"/>
          <w:i/>
          <w:sz w:val="20"/>
          <w:szCs w:val="20"/>
          <w:lang w:val="es-AR"/>
        </w:rPr>
        <w:t xml:space="preserve"> </w:t>
      </w:r>
      <w:r w:rsidRPr="00CA0A60">
        <w:rPr>
          <w:rFonts w:ascii="Garamond" w:hAnsi="Garamond" w:cs="Times New Roman"/>
          <w:sz w:val="20"/>
          <w:szCs w:val="20"/>
          <w:lang w:val="es-AR"/>
        </w:rPr>
        <w:t>“</w:t>
      </w:r>
      <w:r w:rsidRPr="00CA0A60">
        <w:rPr>
          <w:rFonts w:ascii="Garamond" w:hAnsi="Garamond" w:cs="Times New Roman"/>
          <w:i/>
          <w:iCs/>
          <w:sz w:val="20"/>
          <w:szCs w:val="20"/>
          <w:lang w:val="es-AR"/>
        </w:rPr>
        <w:t>Acciones Ordinarias</w:t>
      </w:r>
      <w:r w:rsidRPr="00CA0A60">
        <w:rPr>
          <w:rFonts w:ascii="Garamond" w:hAnsi="Garamond" w:cs="Times New Roman"/>
          <w:sz w:val="20"/>
          <w:szCs w:val="20"/>
          <w:lang w:val="es-AR"/>
        </w:rPr>
        <w:t>” de una Persona se refiere a todas aquellas acciones, derechos u otras participaciones y bienes equivalentes (cualquiera sea su denominación y sea que otorguen derecho a voto o no) correspondientes a las participaciones patrimoniales ordinarias de dicha Persona, independientemente de que se encuentren en circulación a la Fecha de Emisión o sean emitidas con posterioridad a la Fecha de Emisión; el término comprende, sin limitación alguna, todas las series y clases de tales participaciones patrimoniales ordinarias.</w:t>
      </w:r>
    </w:p>
    <w:p w14:paraId="3C74CEA7" w14:textId="081CECC1" w:rsidR="00202442" w:rsidRPr="00CA0A60" w:rsidRDefault="00202442" w:rsidP="00202442">
      <w:pPr>
        <w:widowControl w:val="0"/>
        <w:tabs>
          <w:tab w:val="left" w:pos="284"/>
          <w:tab w:val="left" w:pos="709"/>
          <w:tab w:val="left" w:pos="1418"/>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“Gastos de Capital Consolidados”</w:t>
      </w:r>
      <w:r w:rsidRPr="00CA0A60">
        <w:rPr>
          <w:rFonts w:ascii="Garamond" w:hAnsi="Garamond" w:cs="Times New Roman"/>
          <w:sz w:val="20"/>
          <w:szCs w:val="20"/>
          <w:lang w:val="es-AR"/>
        </w:rPr>
        <w:t xml:space="preserve"> significa, para cualquier período, con respecto al Garante y sus Subsidiarias Restringidas, en forma consolidada, el total de </w:t>
      </w:r>
      <w:r w:rsidR="00445663" w:rsidRPr="00CA0A60">
        <w:rPr>
          <w:rFonts w:ascii="Garamond" w:hAnsi="Garamond" w:cs="Times New Roman"/>
          <w:sz w:val="20"/>
          <w:szCs w:val="20"/>
          <w:lang w:val="es-AR"/>
        </w:rPr>
        <w:t>G</w:t>
      </w:r>
      <w:r w:rsidRPr="00CA0A60">
        <w:rPr>
          <w:rFonts w:ascii="Garamond" w:hAnsi="Garamond" w:cs="Times New Roman"/>
          <w:sz w:val="20"/>
          <w:szCs w:val="20"/>
          <w:lang w:val="es-AR"/>
        </w:rPr>
        <w:t xml:space="preserve">astos </w:t>
      </w:r>
      <w:r w:rsidR="00445663" w:rsidRPr="00CA0A60">
        <w:rPr>
          <w:rFonts w:ascii="Garamond" w:hAnsi="Garamond" w:cs="Times New Roman"/>
          <w:sz w:val="20"/>
          <w:szCs w:val="20"/>
          <w:lang w:val="es-AR"/>
        </w:rPr>
        <w:t xml:space="preserve">de Capital </w:t>
      </w:r>
      <w:r w:rsidRPr="00CA0A60">
        <w:rPr>
          <w:rFonts w:ascii="Garamond" w:hAnsi="Garamond" w:cs="Times New Roman"/>
          <w:sz w:val="20"/>
          <w:szCs w:val="20"/>
          <w:lang w:val="es-AR"/>
        </w:rPr>
        <w:t>realizados (ya sea pagados en efectivo o devengados como pasivos, e incluyendo Obligaciones de Arrendamiento Financiero) por el Garante y sus Subsidiarias Restringidas durante dicho período</w:t>
      </w:r>
      <w:r w:rsidR="00445663" w:rsidRPr="00CA0A60">
        <w:rPr>
          <w:rFonts w:ascii="Garamond" w:hAnsi="Garamond" w:cs="Times New Roman"/>
          <w:sz w:val="20"/>
          <w:szCs w:val="20"/>
          <w:lang w:val="es-AR"/>
        </w:rPr>
        <w:t>,</w:t>
      </w:r>
      <w:r w:rsidRPr="00CA0A60">
        <w:rPr>
          <w:rFonts w:ascii="Garamond" w:hAnsi="Garamond" w:cs="Times New Roman"/>
          <w:sz w:val="20"/>
          <w:szCs w:val="20"/>
          <w:lang w:val="es-AR"/>
        </w:rPr>
        <w:t xml:space="preserve"> reflejada en el balance consolidado del Garante y sus Subsidiarias Restringidas.</w:t>
      </w:r>
    </w:p>
    <w:p w14:paraId="6828B348" w14:textId="77777777" w:rsidR="00202442" w:rsidRPr="00CA0A60" w:rsidRDefault="00202442" w:rsidP="00202442">
      <w:pPr>
        <w:widowControl w:val="0"/>
        <w:tabs>
          <w:tab w:val="left" w:pos="284"/>
          <w:tab w:val="left" w:pos="709"/>
          <w:tab w:val="left" w:pos="1418"/>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“EBITDA Consolidado”</w:t>
      </w:r>
      <w:r w:rsidRPr="00CA0A60">
        <w:rPr>
          <w:rFonts w:ascii="Garamond" w:hAnsi="Garamond" w:cs="Times New Roman"/>
          <w:sz w:val="20"/>
          <w:szCs w:val="20"/>
          <w:lang w:val="es-AR"/>
        </w:rPr>
        <w:t xml:space="preserve"> significa, con relación a cualquier período, respecto del Garante y sus Subsidiarias Restringidas, en forma consolidada:</w:t>
      </w:r>
    </w:p>
    <w:p w14:paraId="7C72D075" w14:textId="77777777" w:rsidR="00202442" w:rsidRPr="00CA0A60" w:rsidRDefault="00202442" w:rsidP="00202442">
      <w:pPr>
        <w:widowControl w:val="0"/>
        <w:numPr>
          <w:ilvl w:val="0"/>
          <w:numId w:val="124"/>
        </w:numPr>
        <w:tabs>
          <w:tab w:val="left" w:pos="284"/>
          <w:tab w:val="left" w:pos="709"/>
          <w:tab w:val="left" w:pos="809"/>
          <w:tab w:val="left" w:pos="1418"/>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ingresos operativos; </w:t>
      </w:r>
      <w:r w:rsidRPr="00CA0A60">
        <w:rPr>
          <w:rFonts w:ascii="Garamond" w:hAnsi="Garamond" w:cs="Times New Roman"/>
          <w:i/>
          <w:iCs/>
          <w:sz w:val="20"/>
          <w:szCs w:val="20"/>
          <w:lang w:val="es-AR"/>
        </w:rPr>
        <w:t>más</w:t>
      </w:r>
    </w:p>
    <w:p w14:paraId="5BB409A5" w14:textId="77777777" w:rsidR="00202442" w:rsidRPr="00CA0A60" w:rsidRDefault="00202442" w:rsidP="00202442">
      <w:pPr>
        <w:widowControl w:val="0"/>
        <w:numPr>
          <w:ilvl w:val="0"/>
          <w:numId w:val="124"/>
        </w:numPr>
        <w:tabs>
          <w:tab w:val="left" w:pos="284"/>
          <w:tab w:val="left" w:pos="709"/>
          <w:tab w:val="left" w:pos="809"/>
          <w:tab w:val="left" w:pos="1418"/>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depreciaciones y amortizaciones; </w:t>
      </w:r>
      <w:r w:rsidRPr="00CA0A60">
        <w:rPr>
          <w:rFonts w:ascii="Garamond" w:hAnsi="Garamond" w:cs="Times New Roman"/>
          <w:i/>
          <w:iCs/>
          <w:sz w:val="20"/>
          <w:szCs w:val="20"/>
          <w:lang w:val="es-AR"/>
        </w:rPr>
        <w:t>menos o más</w:t>
      </w:r>
    </w:p>
    <w:p w14:paraId="24E2E392" w14:textId="77777777" w:rsidR="00202442" w:rsidRPr="00CA0A60" w:rsidRDefault="00202442" w:rsidP="00202442">
      <w:pPr>
        <w:widowControl w:val="0"/>
        <w:numPr>
          <w:ilvl w:val="0"/>
          <w:numId w:val="124"/>
        </w:numPr>
        <w:tabs>
          <w:tab w:val="left" w:pos="284"/>
          <w:tab w:val="left" w:pos="709"/>
          <w:tab w:val="left" w:pos="809"/>
          <w:tab w:val="left" w:pos="1418"/>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los resultados netos del Garante resultantes de (1) cualquier Subsidiaria No Restringida, y (2) cualquier entidad registrada de conformidad con el método de la participación, en cada caso, en la medida de los dividendos o distribuciones abonados en efectivo al Garante o a la Subsidiaria Restringida aplicable; </w:t>
      </w:r>
      <w:r w:rsidRPr="00CA0A60">
        <w:rPr>
          <w:rFonts w:ascii="Garamond" w:hAnsi="Garamond" w:cs="Times New Roman"/>
          <w:i/>
          <w:iCs/>
          <w:sz w:val="20"/>
          <w:szCs w:val="20"/>
          <w:lang w:val="es-AR"/>
        </w:rPr>
        <w:t>menos o más</w:t>
      </w:r>
    </w:p>
    <w:p w14:paraId="2F412FB5" w14:textId="77777777" w:rsidR="00202442" w:rsidRPr="00CA0A60" w:rsidRDefault="00202442" w:rsidP="00202442">
      <w:pPr>
        <w:widowControl w:val="0"/>
        <w:numPr>
          <w:ilvl w:val="0"/>
          <w:numId w:val="124"/>
        </w:numPr>
        <w:tabs>
          <w:tab w:val="left" w:pos="284"/>
          <w:tab w:val="left" w:pos="709"/>
          <w:tab w:val="left" w:pos="1418"/>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ingresos y egresos no recurrentes incluidos en cualquiera de los rubros anteriores.</w:t>
      </w:r>
    </w:p>
    <w:p w14:paraId="72CFFA28" w14:textId="72567393" w:rsidR="00202442" w:rsidRPr="00CA0A60" w:rsidRDefault="00202442" w:rsidP="00202442">
      <w:pPr>
        <w:widowControl w:val="0"/>
        <w:tabs>
          <w:tab w:val="left" w:pos="284"/>
          <w:tab w:val="left" w:pos="709"/>
          <w:tab w:val="left" w:pos="1418"/>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Ello, según cada rubro aparece informado en los últimos estados financieros consolidados disponibles entregados por el Garante al Fiduciario de conformidad con el compromiso del Contrato de Fideicomiso descripto en </w:t>
      </w:r>
      <w:r w:rsidRPr="00CA0A60">
        <w:rPr>
          <w:rFonts w:ascii="Garamond" w:hAnsi="Garamond" w:cs="Times New Roman"/>
          <w:i/>
          <w:sz w:val="20"/>
          <w:szCs w:val="20"/>
          <w:lang w:val="es-AR"/>
        </w:rPr>
        <w:t>“—Ciertos Compromisos—Informes a los Tenedores</w:t>
      </w:r>
      <w:r w:rsidRPr="00CA0A60">
        <w:rPr>
          <w:rFonts w:ascii="Garamond" w:hAnsi="Garamond" w:cs="Times New Roman"/>
          <w:sz w:val="20"/>
          <w:szCs w:val="20"/>
          <w:lang w:val="es-AR"/>
        </w:rPr>
        <w:t>” y confeccionados de acuerdo con las NIIF.</w:t>
      </w:r>
    </w:p>
    <w:p w14:paraId="2FBCD4B5" w14:textId="77777777" w:rsidR="00202442" w:rsidRPr="00CA0A60" w:rsidRDefault="00202442" w:rsidP="00202442">
      <w:pPr>
        <w:widowControl w:val="0"/>
        <w:tabs>
          <w:tab w:val="left" w:pos="284"/>
          <w:tab w:val="left" w:pos="709"/>
          <w:tab w:val="left" w:pos="1418"/>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 los efectos del cálculo del EBITDA Consolidado en Dólares Estadounidenses, los montos en Pesos para cada trimestre del Período de Cuatro Trimestres serán convertidos a Dólares Estadounidenses al promedio diario del tipo de cambio vendedor para transferencias de fondos (</w:t>
      </w:r>
      <w:r w:rsidRPr="00CA0A60">
        <w:rPr>
          <w:rFonts w:ascii="Garamond" w:hAnsi="Garamond" w:cs="Times New Roman"/>
          <w:i/>
          <w:iCs/>
          <w:sz w:val="20"/>
          <w:szCs w:val="20"/>
          <w:lang w:val="es-AR"/>
        </w:rPr>
        <w:t>divisas</w:t>
      </w:r>
      <w:r w:rsidRPr="00CA0A60">
        <w:rPr>
          <w:rFonts w:ascii="Garamond" w:hAnsi="Garamond" w:cs="Times New Roman"/>
          <w:sz w:val="20"/>
          <w:szCs w:val="20"/>
          <w:lang w:val="es-AR"/>
        </w:rPr>
        <w:t>) publicado por el Banco de la Nación Argentina para el trimestre correspondiente. Luego se sumará el monto en Dólares Estadounidenses para cada uno de los cuatro trimestres del Período de Cuatro Trimestres relevante para obtener el monto en Dólares Estadounidenses correspondiente al Período de Cuatro Trimestres relevante.</w:t>
      </w:r>
    </w:p>
    <w:p w14:paraId="7A38E71C" w14:textId="77777777" w:rsidR="00202442" w:rsidRPr="00CA0A60" w:rsidRDefault="00202442" w:rsidP="00202442">
      <w:pPr>
        <w:widowControl w:val="0"/>
        <w:tabs>
          <w:tab w:val="left" w:pos="284"/>
          <w:tab w:val="left" w:pos="709"/>
          <w:tab w:val="left" w:pos="1418"/>
          <w:tab w:val="left" w:pos="793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Deuda Consolidada</w:t>
      </w:r>
      <w:r w:rsidRPr="00CA0A60">
        <w:rPr>
          <w:rFonts w:ascii="Garamond" w:hAnsi="Garamond" w:cs="Times New Roman"/>
          <w:sz w:val="20"/>
          <w:szCs w:val="20"/>
          <w:lang w:val="es-AR"/>
        </w:rPr>
        <w:t xml:space="preserve">” significa, con respecto al Garante, en cualquier fecha de determinación, la suma equivalente al monto total (sin duplicación) de toda la Deuda (a excepción de la Deuda Sumamente Subordinada y Deuda por Financiación de Compras) del Garante y sus Subsidiarias (distintas de las Subsidiarias Restringidas) que se encuentre pendiente a ese momento, en todos los casos determinada de manera consolidada de conformidad con las NIIF y según lo consignado en el último balance consolidado disponible del Garante y entregado al Fiduciario de conformidad con lo previsto en “—Ciertos Compromisos—Informes a los Tenedores”. </w:t>
      </w:r>
    </w:p>
    <w:p w14:paraId="740728AF"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A efectos de calcular la Deuda Consolidada en Dólares Estadounidenses, los montos en Pesos a la fecha del balance correspondiente (según se define en el párrafo “Índice de Apalancamiento Consolidado”) serán convertidos a Dólares Estadounidenses al tipo de cambio vendedor para transferencias de fondos (</w:t>
      </w:r>
      <w:r w:rsidRPr="00CA0A60">
        <w:rPr>
          <w:rFonts w:ascii="Garamond" w:hAnsi="Garamond" w:cs="Times New Roman"/>
          <w:i/>
          <w:iCs/>
          <w:sz w:val="20"/>
          <w:szCs w:val="20"/>
          <w:lang w:val="es-AR"/>
        </w:rPr>
        <w:t>divisas</w:t>
      </w:r>
      <w:r w:rsidRPr="00CA0A60">
        <w:rPr>
          <w:rFonts w:ascii="Garamond" w:hAnsi="Garamond" w:cs="Times New Roman"/>
          <w:sz w:val="20"/>
          <w:szCs w:val="20"/>
          <w:lang w:val="es-AR"/>
        </w:rPr>
        <w:t>) publicado por el Banco de la Nación Argentina a la fecha de dicho balance.</w:t>
      </w:r>
    </w:p>
    <w:p w14:paraId="51B0CA2B" w14:textId="799CBFD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“Índice Cobertura de Interés Consolidado</w:t>
      </w:r>
      <w:r w:rsidRPr="00CA0A60">
        <w:rPr>
          <w:rFonts w:ascii="Garamond" w:hAnsi="Garamond" w:cs="Times New Roman"/>
          <w:sz w:val="20"/>
          <w:szCs w:val="20"/>
          <w:lang w:val="es-AR"/>
        </w:rPr>
        <w:t>” se refiere, en cualquier fecha de determinación, a la relación entre el monto total de EBITDA Consolidado correspondiente al último periodo cerrado de cuatro trimestres fiscales consecutivos (el “</w:t>
      </w:r>
      <w:r w:rsidRPr="00CA0A60">
        <w:rPr>
          <w:rFonts w:ascii="Garamond" w:hAnsi="Garamond" w:cs="Times New Roman"/>
          <w:sz w:val="20"/>
          <w:szCs w:val="20"/>
          <w:u w:val="single"/>
          <w:lang w:val="es-AR"/>
        </w:rPr>
        <w:t>Período de Cuatro Trimestre</w:t>
      </w:r>
      <w:r w:rsidRPr="00CA0A60">
        <w:rPr>
          <w:rFonts w:ascii="Garamond" w:hAnsi="Garamond" w:cs="Times New Roman"/>
          <w:sz w:val="20"/>
          <w:szCs w:val="20"/>
          <w:lang w:val="es-AR"/>
        </w:rPr>
        <w:t xml:space="preserve">s”), respecto del cual se hayan entregado los estados financieros consolidados del Garante al Fiduciario de conformidad con el compromiso del Contrato de Fideicomiso descripto en “—Ciertos Compromisos—Informes a los Tenedores”, y el Gasto de Intereses Consolidado correspondiente a dicho Período de Cuatro Trimestres, </w:t>
      </w:r>
      <w:r w:rsidRPr="00CA0A60">
        <w:rPr>
          <w:rFonts w:ascii="Garamond" w:hAnsi="Garamond" w:cs="Times New Roman"/>
          <w:color w:val="000000"/>
          <w:sz w:val="20"/>
          <w:szCs w:val="20"/>
          <w:u w:val="single"/>
          <w:lang w:val="es-AR" w:eastAsia="es-ES" w:bidi="es-ES"/>
        </w:rPr>
        <w:t>quedando establecido que</w:t>
      </w:r>
      <w:r w:rsidRPr="00CA0A60">
        <w:rPr>
          <w:rFonts w:ascii="Garamond" w:hAnsi="Garamond" w:cs="Times New Roman"/>
          <w:sz w:val="20"/>
          <w:szCs w:val="20"/>
          <w:lang w:val="es-AR"/>
        </w:rPr>
        <w:t>:</w:t>
      </w:r>
    </w:p>
    <w:p w14:paraId="0648B28F" w14:textId="77777777" w:rsidR="00202442" w:rsidRPr="00CA0A60" w:rsidRDefault="00202442" w:rsidP="00202442">
      <w:pPr>
        <w:widowControl w:val="0"/>
        <w:numPr>
          <w:ilvl w:val="0"/>
          <w:numId w:val="125"/>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caso de que el Garante o cualquier Subsidiaria Restringida hubiera adoptado alguna de las medidas siguientes:</w:t>
      </w:r>
    </w:p>
    <w:p w14:paraId="2DF6D0BF" w14:textId="77777777" w:rsidR="00202442" w:rsidRPr="00CA0A60" w:rsidRDefault="00202442" w:rsidP="00202442">
      <w:pPr>
        <w:widowControl w:val="0"/>
        <w:numPr>
          <w:ilvl w:val="0"/>
          <w:numId w:val="98"/>
        </w:numPr>
        <w:tabs>
          <w:tab w:val="left" w:pos="284"/>
          <w:tab w:val="left" w:pos="709"/>
          <w:tab w:val="left" w:pos="1418"/>
          <w:tab w:val="left" w:pos="1494"/>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si desde el inicio del Periodo de Cuatro Trimestres hubiera Contraído Deuda que se encontrara pendiente a la fecha de la transacción que da origen a la necesidad de calcular el Índice de Cobertura de Interés Consolidado o cuando la transacción que da origen a la necesidad de calcular el Índice de Cobertura de Interés Consolidado constituye una Contracción de Deuda; en tal caso, el EBITDA Consolidado y el Gasto de Intereses Consolidado correspondiente a dicho Período de Cuatro Trimestres se calcularán con carácter </w:t>
      </w:r>
      <w:r w:rsidRPr="00CA0A60">
        <w:rPr>
          <w:rFonts w:ascii="Garamond" w:hAnsi="Garamond" w:cs="Times New Roman"/>
          <w:i/>
          <w:iCs/>
          <w:sz w:val="20"/>
          <w:szCs w:val="20"/>
          <w:lang w:val="es-AR"/>
        </w:rPr>
        <w:t xml:space="preserve">pro </w:t>
      </w:r>
      <w:r w:rsidRPr="00CA0A60">
        <w:rPr>
          <w:rFonts w:ascii="Garamond" w:hAnsi="Garamond" w:cs="Times New Roman"/>
          <w:i/>
          <w:iCs/>
          <w:sz w:val="20"/>
          <w:szCs w:val="20"/>
          <w:lang w:val="es-AR"/>
        </w:rPr>
        <w:lastRenderedPageBreak/>
        <w:t xml:space="preserve">forma </w:t>
      </w:r>
      <w:r w:rsidRPr="00CA0A60">
        <w:rPr>
          <w:rFonts w:ascii="Garamond" w:hAnsi="Garamond" w:cs="Times New Roman"/>
          <w:sz w:val="20"/>
          <w:szCs w:val="20"/>
          <w:lang w:val="es-AR"/>
        </w:rPr>
        <w:t>como si la Deuda se hubiera Contraído el primer día de dicho Período de Cuatro Trimestres; o</w:t>
      </w:r>
    </w:p>
    <w:p w14:paraId="70B2FD16" w14:textId="77777777" w:rsidR="00202442" w:rsidRPr="00CA0A60" w:rsidRDefault="00202442" w:rsidP="00202442">
      <w:pPr>
        <w:widowControl w:val="0"/>
        <w:numPr>
          <w:ilvl w:val="0"/>
          <w:numId w:val="98"/>
        </w:numPr>
        <w:tabs>
          <w:tab w:val="left" w:pos="284"/>
          <w:tab w:val="left" w:pos="709"/>
          <w:tab w:val="left" w:pos="1418"/>
          <w:tab w:val="left" w:pos="1494"/>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si hubiera saldado, recomprado, cancelado o satisfecho por cualquier otro medio una Deuda desde el inicio del Período de Cuatro Trimestres o si correspondiera saldar, recomprar, cancelar o satisfacer por cualquier otro medio una Deuda (en cada caso, que no fuera Deuda Contraída en virtud de línea de crédito rotatorio a menos que tal Deuda hubiera sido saldada con carácter permanente y no hubiera sido reemplazada) en la fecha de la transacción que da origen a la necesidad de calcular el Índice de Cobertura de Interés Consolidado, el EBITDA Consolidado y el Gasto de Intereses Consolidado por dicho período se calcularán con carácter </w:t>
      </w:r>
      <w:r w:rsidRPr="00CA0A60">
        <w:rPr>
          <w:rFonts w:ascii="Garamond" w:hAnsi="Garamond" w:cs="Times New Roman"/>
          <w:i/>
          <w:iCs/>
          <w:sz w:val="20"/>
          <w:szCs w:val="20"/>
          <w:lang w:val="es-AR"/>
        </w:rPr>
        <w:t xml:space="preserve">pro forma </w:t>
      </w:r>
      <w:r w:rsidRPr="00CA0A60">
        <w:rPr>
          <w:rFonts w:ascii="Garamond" w:hAnsi="Garamond" w:cs="Times New Roman"/>
          <w:sz w:val="20"/>
          <w:szCs w:val="20"/>
          <w:lang w:val="es-AR"/>
        </w:rPr>
        <w:t>como si la Deuda se hubiera saldado, recomprado, cancelado o satisfecho por cualquier otro medio el primer día del referido Período de Cuatro Trimestres;</w:t>
      </w:r>
    </w:p>
    <w:p w14:paraId="1DA41CB2" w14:textId="77777777" w:rsidR="00202442" w:rsidRPr="00CA0A60" w:rsidRDefault="00202442" w:rsidP="00202442">
      <w:pPr>
        <w:widowControl w:val="0"/>
        <w:numPr>
          <w:ilvl w:val="0"/>
          <w:numId w:val="125"/>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caso de que, desde el inicio del Periodo de Cuatro Trimestres, el Garante o cualquier Subsidiaria Restringida hubiera efectuado alguna Operación de Venta de Activos, se deberá dar efecto </w:t>
      </w:r>
      <w:r w:rsidRPr="00CA0A60">
        <w:rPr>
          <w:rFonts w:ascii="Garamond" w:hAnsi="Garamond" w:cs="Times New Roman"/>
          <w:i/>
          <w:iCs/>
          <w:color w:val="000000"/>
          <w:sz w:val="20"/>
          <w:szCs w:val="20"/>
          <w:lang w:val="es-AR" w:eastAsia="es-ES" w:bidi="es-ES"/>
        </w:rPr>
        <w:t>pro forma</w:t>
      </w:r>
      <w:r w:rsidRPr="00CA0A60">
        <w:rPr>
          <w:rFonts w:ascii="Garamond" w:hAnsi="Garamond" w:cs="Times New Roman"/>
          <w:sz w:val="20"/>
          <w:szCs w:val="20"/>
          <w:lang w:val="es-AR"/>
        </w:rPr>
        <w:t xml:space="preserve"> a la Operación de Venta de Activos durante dicho período en el EBITDA Consolidado y al Gasto de Intereses Consolidado correspondiente a dicho período.</w:t>
      </w:r>
    </w:p>
    <w:p w14:paraId="3BED9B20" w14:textId="77777777" w:rsidR="00202442" w:rsidRPr="00CA0A60" w:rsidRDefault="00202442" w:rsidP="00202442">
      <w:pPr>
        <w:widowControl w:val="0"/>
        <w:numPr>
          <w:ilvl w:val="0"/>
          <w:numId w:val="125"/>
        </w:numPr>
        <w:tabs>
          <w:tab w:val="left" w:pos="284"/>
          <w:tab w:val="left" w:pos="709"/>
          <w:tab w:val="left" w:pos="79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caso de que, desde el inicio del Periodo de Cuatro Trimestres, el Garante, cualquier Co-Emisora o cualquier Subsidiaria Restringida, por vía de fusión o por otro medio, hubiera efectuado una Inversión en una Persona que se fusiona con el Garante o una Subsidiaria Restringida del Garante o pasa a formar parte de una de ellas (o en cualquier Persona que se transforma en una Subsidiaria Restringida) o una adquisición de activos, incluida cualquier adquisición de activos que tuviera lugar con relación a una transacción que provoque la realización del cálculo que aquí se contempla y que constituya la totalidad o sustancialmente la totalidad de la unidad operativa de un negocio, se deberá dar efecto </w:t>
      </w:r>
      <w:r w:rsidRPr="00CA0A60">
        <w:rPr>
          <w:rFonts w:ascii="Garamond" w:hAnsi="Garamond" w:cs="Times New Roman"/>
          <w:i/>
          <w:iCs/>
          <w:color w:val="000000"/>
          <w:sz w:val="20"/>
          <w:szCs w:val="20"/>
          <w:lang w:val="es-AR" w:eastAsia="es-ES" w:bidi="es-ES"/>
        </w:rPr>
        <w:t>pro forma</w:t>
      </w:r>
      <w:r w:rsidRPr="00CA0A60">
        <w:rPr>
          <w:rFonts w:ascii="Garamond" w:hAnsi="Garamond" w:cs="Times New Roman"/>
          <w:sz w:val="20"/>
          <w:szCs w:val="20"/>
          <w:lang w:val="es-AR"/>
        </w:rPr>
        <w:t xml:space="preserve"> a la Inversión o adquisición en el EBITDA Consolidado y el Gasto de Intereses Consolidado por dicho Período de Cuatro Trimestres, como si dicha Inversión o adquisición hubiera ocurrido el primer día de dicho Período de Cuatro Trimestres; queda entendido que tal cálculo </w:t>
      </w:r>
      <w:r w:rsidRPr="00CA0A60">
        <w:rPr>
          <w:rFonts w:ascii="Garamond" w:hAnsi="Garamond" w:cs="Times New Roman"/>
          <w:i/>
          <w:iCs/>
          <w:color w:val="000000"/>
          <w:sz w:val="20"/>
          <w:szCs w:val="20"/>
          <w:lang w:val="es-AR" w:eastAsia="es-ES" w:bidi="es-ES"/>
        </w:rPr>
        <w:t>pro forma</w:t>
      </w:r>
      <w:r w:rsidRPr="00CA0A60">
        <w:rPr>
          <w:rFonts w:ascii="Garamond" w:hAnsi="Garamond" w:cs="Times New Roman"/>
          <w:sz w:val="20"/>
          <w:szCs w:val="20"/>
          <w:lang w:val="es-AR"/>
        </w:rPr>
        <w:t xml:space="preserve"> puede incluir los ajustes que correspondan para reflejar lo siguiente, sin duplicación:</w:t>
      </w:r>
    </w:p>
    <w:p w14:paraId="2564F8E3" w14:textId="77777777" w:rsidR="00202442" w:rsidRPr="00CA0A60" w:rsidRDefault="00202442" w:rsidP="00202442">
      <w:pPr>
        <w:widowControl w:val="0"/>
        <w:numPr>
          <w:ilvl w:val="0"/>
          <w:numId w:val="99"/>
        </w:numPr>
        <w:tabs>
          <w:tab w:val="left" w:pos="284"/>
          <w:tab w:val="left" w:pos="709"/>
          <w:tab w:val="left" w:pos="1418"/>
          <w:tab w:val="left" w:pos="1474"/>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dicha adquisición, en la medida en que tales ajustes puedan reflejarse en la preparación de la información financiera </w:t>
      </w:r>
      <w:r w:rsidRPr="00CA0A60">
        <w:rPr>
          <w:rFonts w:ascii="Garamond" w:hAnsi="Garamond" w:cs="Times New Roman"/>
          <w:i/>
          <w:sz w:val="20"/>
          <w:szCs w:val="20"/>
          <w:lang w:val="es-AR"/>
        </w:rPr>
        <w:t xml:space="preserve">pro forma </w:t>
      </w:r>
      <w:r w:rsidRPr="00CA0A60">
        <w:rPr>
          <w:rFonts w:ascii="Garamond" w:hAnsi="Garamond" w:cs="Times New Roman"/>
          <w:sz w:val="20"/>
          <w:szCs w:val="20"/>
          <w:lang w:val="es-AR"/>
        </w:rPr>
        <w:t>de conformidad con los requisitos del Artículo 11 de la Regulación S-X según la Ley de Mercados de Valores;</w:t>
      </w:r>
    </w:p>
    <w:p w14:paraId="2DACE346" w14:textId="77777777" w:rsidR="00202442" w:rsidRPr="00CA0A60" w:rsidRDefault="00202442" w:rsidP="00202442">
      <w:pPr>
        <w:widowControl w:val="0"/>
        <w:numPr>
          <w:ilvl w:val="0"/>
          <w:numId w:val="99"/>
        </w:numPr>
        <w:tabs>
          <w:tab w:val="left" w:pos="284"/>
          <w:tab w:val="left" w:pos="709"/>
          <w:tab w:val="left" w:pos="1418"/>
          <w:tab w:val="left" w:pos="1474"/>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monto anualizado de las reducciones de gastos operativos que razonablemente esté previsto realizar en los seis meses siguientes a la adquisición efectuada durante cualquiera de los cuatro trimestres fiscales que conforman el correspondiente Período de Cuatro Trimestres; y</w:t>
      </w:r>
    </w:p>
    <w:p w14:paraId="5C97C0DB" w14:textId="77777777" w:rsidR="00202442" w:rsidRPr="00CA0A60" w:rsidRDefault="00202442" w:rsidP="00202442">
      <w:pPr>
        <w:widowControl w:val="0"/>
        <w:numPr>
          <w:ilvl w:val="0"/>
          <w:numId w:val="99"/>
        </w:numPr>
        <w:tabs>
          <w:tab w:val="left" w:pos="284"/>
          <w:tab w:val="left" w:pos="709"/>
          <w:tab w:val="left" w:pos="1418"/>
          <w:tab w:val="left" w:pos="1474"/>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monto anualizado de las reducciones de gastos operativos que razonablemente esté previsto realizar en los seis meses siguientes a la adquisición efectuada por el Garante, dicha Co-Emisora o dicha Subsidiaria Restringida en cualquiera de los dos trimestres fiscales inmediatamente anteriores al Período de Cuatro Trimestres,</w:t>
      </w:r>
    </w:p>
    <w:p w14:paraId="44CE75E3" w14:textId="4B6AE70A" w:rsidR="00202442" w:rsidRPr="00CA0A60" w:rsidRDefault="00202442" w:rsidP="00202442">
      <w:pPr>
        <w:widowControl w:val="0"/>
        <w:tabs>
          <w:tab w:val="left" w:pos="284"/>
          <w:tab w:val="left" w:pos="709"/>
          <w:tab w:val="left" w:pos="1418"/>
          <w:tab w:val="left" w:pos="8789"/>
        </w:tabs>
        <w:spacing w:before="120" w:after="120" w:line="240" w:lineRule="auto"/>
        <w:ind w:left="760"/>
        <w:jc w:val="both"/>
        <w:rPr>
          <w:rFonts w:ascii="Garamond" w:hAnsi="Garamond" w:cs="Times New Roman"/>
          <w:sz w:val="20"/>
          <w:szCs w:val="20"/>
          <w:lang w:val="es-AR"/>
        </w:rPr>
      </w:pPr>
      <w:r w:rsidRPr="00CA0A60">
        <w:rPr>
          <w:rFonts w:ascii="Garamond" w:hAnsi="Garamond" w:cs="Times New Roman"/>
          <w:color w:val="000000"/>
          <w:sz w:val="20"/>
          <w:szCs w:val="20"/>
          <w:u w:val="single"/>
          <w:lang w:val="es-AR" w:eastAsia="es-ES" w:bidi="es-ES"/>
        </w:rPr>
        <w:t>ello, siempre que</w:t>
      </w:r>
      <w:r w:rsidRPr="00CA0A60">
        <w:rPr>
          <w:rFonts w:ascii="Garamond" w:hAnsi="Garamond" w:cs="Times New Roman"/>
          <w:sz w:val="20"/>
          <w:szCs w:val="20"/>
          <w:lang w:val="es-AR"/>
        </w:rPr>
        <w:t xml:space="preserve">, en cada caso, los ajustes estén consignados en un Certificado de Directivos </w:t>
      </w:r>
      <w:r w:rsidR="004E3A7F">
        <w:rPr>
          <w:rFonts w:ascii="Garamond" w:hAnsi="Garamond" w:cs="Times New Roman"/>
          <w:sz w:val="20"/>
          <w:szCs w:val="20"/>
          <w:lang w:val="es-AR"/>
        </w:rPr>
        <w:t xml:space="preserve">del Garante </w:t>
      </w:r>
      <w:r w:rsidRPr="00CA0A60">
        <w:rPr>
          <w:rFonts w:ascii="Garamond" w:hAnsi="Garamond" w:cs="Times New Roman"/>
          <w:sz w:val="20"/>
          <w:szCs w:val="20"/>
          <w:lang w:val="es-AR"/>
        </w:rPr>
        <w:t>donde se disponga (1) el monto del/de los ajuste/s en cuestión, (2) que dicho/s ajuste/s están calculados de buena fe por los funcionarios que suscriben el Certificado de Directivos al momento de otorgarlo y (3) que cualquier Contracción de Deuda relacionada se encuentra autorizada de conformidad con el Contrato de Fideicomiso; y</w:t>
      </w:r>
    </w:p>
    <w:p w14:paraId="3F8D679F" w14:textId="77777777" w:rsidR="00202442" w:rsidRPr="00CA0A60" w:rsidRDefault="00202442" w:rsidP="00202442">
      <w:pPr>
        <w:widowControl w:val="0"/>
        <w:numPr>
          <w:ilvl w:val="0"/>
          <w:numId w:val="125"/>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caso de que, desde el inicio del Periodo de Cuatro Trimestres, cualquier Persona (que posteriormente se transforme en una Subsidiaria Restringida o se fusione con el Garante o cualquier Subsidiaria Restringida o pase a formar parte de una de ellas desde el inicio de dicho período) hubiera llevado a cabo una Operación de Venta de Activos, Inversión o adquisición de activos que requiriera la realización de un ajuste de conformidad con las cláusulas (a), (b) o (c) que anteceden, si tal acto de disposición hubiera sido realizado por el Garante, cualquier Co-Emisora o cualquier Subsidiaria Restringida durante dicho período, en tal caso el EBITDA Consolidado y el Gasto de Intereses Consolidado por dicho período se calcularán luego de dar validez </w:t>
      </w:r>
      <w:r w:rsidRPr="00CA0A60">
        <w:rPr>
          <w:rFonts w:ascii="Garamond" w:hAnsi="Garamond" w:cs="Times New Roman"/>
          <w:i/>
          <w:sz w:val="20"/>
          <w:szCs w:val="20"/>
          <w:lang w:val="es-AR"/>
        </w:rPr>
        <w:t>pro forma a</w:t>
      </w:r>
      <w:r w:rsidRPr="00CA0A60">
        <w:rPr>
          <w:rFonts w:ascii="Garamond" w:hAnsi="Garamond" w:cs="Times New Roman"/>
          <w:sz w:val="20"/>
          <w:szCs w:val="20"/>
          <w:lang w:val="es-AR"/>
        </w:rPr>
        <w:t xml:space="preserve"> la referida operación, como si la Operación de Venta de Activos, Inversión o adquisición de activos hubiera tenido lugar el primer día de dicho período.</w:t>
      </w:r>
    </w:p>
    <w:p w14:paraId="2ECD16A7"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 los fines de esta definición, cuando corresponda calcular de manera </w:t>
      </w:r>
      <w:r w:rsidRPr="00CA0A60">
        <w:rPr>
          <w:rFonts w:ascii="Garamond" w:hAnsi="Garamond" w:cs="Times New Roman"/>
          <w:i/>
          <w:sz w:val="20"/>
          <w:szCs w:val="20"/>
          <w:lang w:val="es-AR"/>
        </w:rPr>
        <w:t xml:space="preserve">pro forma </w:t>
      </w:r>
      <w:r w:rsidRPr="00CA0A60">
        <w:rPr>
          <w:rFonts w:ascii="Garamond" w:hAnsi="Garamond" w:cs="Times New Roman"/>
          <w:sz w:val="20"/>
          <w:szCs w:val="20"/>
          <w:lang w:val="es-AR"/>
        </w:rPr>
        <w:t xml:space="preserve">el Gasto de Intereses Consolidado o el EBITDA Consolidado, los cálculos </w:t>
      </w:r>
      <w:r w:rsidRPr="00CA0A60">
        <w:rPr>
          <w:rFonts w:ascii="Garamond" w:hAnsi="Garamond" w:cs="Times New Roman"/>
          <w:i/>
          <w:iCs/>
          <w:color w:val="000000"/>
          <w:sz w:val="20"/>
          <w:szCs w:val="20"/>
          <w:lang w:val="es-AR" w:eastAsia="es-ES" w:bidi="es-ES"/>
        </w:rPr>
        <w:t>pro forma</w:t>
      </w:r>
      <w:r w:rsidRPr="00CA0A60">
        <w:rPr>
          <w:rFonts w:ascii="Garamond" w:hAnsi="Garamond" w:cs="Times New Roman"/>
          <w:sz w:val="20"/>
          <w:szCs w:val="20"/>
          <w:lang w:val="es-AR"/>
        </w:rPr>
        <w:t xml:space="preserve"> se determinarán de buena fe y serán preparados por un funcionario responsable del área contable o financiera del Garante. Cuando hubiera Deuda con tasa de interés flotante y los efectos de la referida Deuda deban calcularse de manera </w:t>
      </w:r>
      <w:r w:rsidRPr="00CA0A60">
        <w:rPr>
          <w:rFonts w:ascii="Garamond" w:hAnsi="Garamond" w:cs="Times New Roman"/>
          <w:i/>
          <w:sz w:val="20"/>
          <w:szCs w:val="20"/>
          <w:lang w:val="es-AR"/>
        </w:rPr>
        <w:t>pro forma</w:t>
      </w:r>
      <w:r w:rsidRPr="00CA0A60">
        <w:rPr>
          <w:rFonts w:ascii="Garamond" w:hAnsi="Garamond" w:cs="Times New Roman"/>
          <w:sz w:val="20"/>
          <w:szCs w:val="20"/>
          <w:lang w:val="es-AR"/>
        </w:rPr>
        <w:t xml:space="preserve">, el gasto de intereses relacionado con dicha Deuda se calculará como si la tasa vigente en la fecha de determinación hubiera sido la tasa aplicable para todo el período (teniendo en consideración cualquier acuerdo de tasa de interés que sea de aplicación a la Deuda, siempre que tal acuerdo de tasa de interés tuviera un plazo de validez restante superior a doce meses en la fecha de determinación). Al realizar un cálculo </w:t>
      </w:r>
      <w:r w:rsidRPr="00CA0A60">
        <w:rPr>
          <w:rFonts w:ascii="Garamond" w:hAnsi="Garamond" w:cs="Times New Roman"/>
          <w:i/>
          <w:sz w:val="20"/>
          <w:szCs w:val="20"/>
          <w:lang w:val="es-AR"/>
        </w:rPr>
        <w:t>pro forma</w:t>
      </w:r>
      <w:r w:rsidRPr="00CA0A60">
        <w:rPr>
          <w:rFonts w:ascii="Garamond" w:hAnsi="Garamond" w:cs="Times New Roman"/>
          <w:sz w:val="20"/>
          <w:szCs w:val="20"/>
          <w:lang w:val="es-AR"/>
        </w:rPr>
        <w:t xml:space="preserve">, el monto de la Deuda en virtud de cualquier línea de crédito rotatorio que esté pendiente al día de cálculo será considerado: (i) el saldo diario promedio de dicha Deuda durante dicho Período de Cuatro Trimestres o período más corto respecto del cual </w:t>
      </w:r>
      <w:r w:rsidRPr="00CA0A60">
        <w:rPr>
          <w:rFonts w:ascii="Garamond" w:hAnsi="Garamond" w:cs="Times New Roman"/>
          <w:sz w:val="20"/>
          <w:szCs w:val="20"/>
          <w:lang w:val="es-AR"/>
        </w:rPr>
        <w:lastRenderedPageBreak/>
        <w:t>dicha línea de crédito hubiera estado pendiente, o (ii) si dicha línea de crédito se hubiera generado con posterioridad al fin de dicho Período de Cuatro Trimestres, el saldo diario promedio de dicha Deuda durante el período contado a partir de la fecha de creación de la línea de crédito hasta la fecha de cálculo.</w:t>
      </w:r>
    </w:p>
    <w:p w14:paraId="0CEAE0FC" w14:textId="71609D76"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“Gasto de Intereses Consolidado”</w:t>
      </w:r>
      <w:r w:rsidRPr="00CA0A60">
        <w:rPr>
          <w:rFonts w:ascii="Garamond" w:hAnsi="Garamond" w:cs="Times New Roman"/>
          <w:sz w:val="20"/>
          <w:szCs w:val="20"/>
          <w:lang w:val="es-AR"/>
        </w:rPr>
        <w:t xml:space="preserve"> se refiere, para cualquier período, el gasto de intereses consolidado (excepto </w:t>
      </w:r>
      <w:r w:rsidR="006C2A42" w:rsidRPr="00CA0A60">
        <w:rPr>
          <w:rFonts w:ascii="Garamond" w:hAnsi="Garamond" w:cs="Times New Roman"/>
          <w:sz w:val="20"/>
          <w:szCs w:val="20"/>
          <w:lang w:val="es-AR"/>
        </w:rPr>
        <w:t>los</w:t>
      </w:r>
      <w:r w:rsidRPr="00CA0A60">
        <w:rPr>
          <w:rFonts w:ascii="Garamond" w:hAnsi="Garamond" w:cs="Times New Roman"/>
          <w:sz w:val="20"/>
          <w:szCs w:val="20"/>
          <w:lang w:val="es-AR"/>
        </w:rPr>
        <w:t xml:space="preserve"> pagos en concepto de Deuda por Financiación de Compras) del Garante y sus Subsidiarias Restringidas en forma consolidada, más, en la medida en que el monto no estuviese incluido en dicho gasto de intereses consolidado, y haya sido incurrido, devengado o pagadero (salvo en concepto de Deuda por Financiación de Compras, si hubiera) por el Garante y sus Subsidiarias Restringidas en forma consolidada, sin duplicación:</w:t>
      </w:r>
    </w:p>
    <w:p w14:paraId="29C5CEA2" w14:textId="77777777" w:rsidR="00202442" w:rsidRPr="00CA0A60" w:rsidRDefault="00202442" w:rsidP="00202442">
      <w:pPr>
        <w:widowControl w:val="0"/>
        <w:numPr>
          <w:ilvl w:val="0"/>
          <w:numId w:val="10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gasto de intereses imputable a Obligaciones de Arrendamiento Financiero y la porción de interés por gastos de arrendamiento asociada con la Deuda Atribuible al arrendamiento del cual hubiese surgido, calculado como si dicho arrendamiento fuera un arrendamiento financiero, de acuerdo con las NIIF;</w:t>
      </w:r>
    </w:p>
    <w:p w14:paraId="2494E157" w14:textId="77777777" w:rsidR="00202442" w:rsidRPr="00CA0A60" w:rsidRDefault="00202442" w:rsidP="00202442">
      <w:pPr>
        <w:widowControl w:val="0"/>
        <w:numPr>
          <w:ilvl w:val="0"/>
          <w:numId w:val="10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amortización de costos de descuento y de emisión de deuda o intereses pagados en concepto de Deuda del Garante y sus Subsidiarias Restringidas en forma de Deuda adicional;</w:t>
      </w:r>
    </w:p>
    <w:p w14:paraId="7E957AD4" w14:textId="77777777" w:rsidR="00202442" w:rsidRPr="00CA0A60" w:rsidRDefault="00202442" w:rsidP="00202442">
      <w:pPr>
        <w:widowControl w:val="0"/>
        <w:numPr>
          <w:ilvl w:val="0"/>
          <w:numId w:val="10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amortización de costos de financiamiento diferidos y la porción de intereses por obligaciones de pago diferido, en el marco de una Deuda por Financiación de Compras;</w:t>
      </w:r>
    </w:p>
    <w:p w14:paraId="47960802" w14:textId="77777777" w:rsidR="00202442" w:rsidRPr="00CA0A60" w:rsidRDefault="00202442" w:rsidP="00202442">
      <w:pPr>
        <w:widowControl w:val="0"/>
        <w:numPr>
          <w:ilvl w:val="0"/>
          <w:numId w:val="10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interés capitalizado;</w:t>
      </w:r>
    </w:p>
    <w:p w14:paraId="61BE0B44" w14:textId="77777777" w:rsidR="00202442" w:rsidRPr="00CA0A60" w:rsidRDefault="00202442" w:rsidP="00202442">
      <w:pPr>
        <w:widowControl w:val="0"/>
        <w:numPr>
          <w:ilvl w:val="0"/>
          <w:numId w:val="10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gastos de intereses no desembolsables;</w:t>
      </w:r>
    </w:p>
    <w:p w14:paraId="52C3280A" w14:textId="77777777" w:rsidR="00202442" w:rsidRPr="00CA0A60" w:rsidRDefault="00202442" w:rsidP="00202442">
      <w:pPr>
        <w:widowControl w:val="0"/>
        <w:numPr>
          <w:ilvl w:val="0"/>
          <w:numId w:val="10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comisiones, descuentos y otros pagos y cobros debidos en relación con financiaciones con cartas de crédito y aceptaciones por parte de bancos;</w:t>
      </w:r>
    </w:p>
    <w:p w14:paraId="23E3D689" w14:textId="77777777" w:rsidR="00202442" w:rsidRPr="00CA0A60" w:rsidRDefault="00202442" w:rsidP="00202442">
      <w:pPr>
        <w:widowControl w:val="0"/>
        <w:numPr>
          <w:ilvl w:val="0"/>
          <w:numId w:val="10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costos netos de Obligaciones de Cobertura (incluyendo la amortización de cargos) con respecto a Deuda o que reciban el tratamiento de intereses pagados o su equivalente conforme a las NIIF;</w:t>
      </w:r>
    </w:p>
    <w:p w14:paraId="76AA0382" w14:textId="77777777" w:rsidR="00202442" w:rsidRPr="00CA0A60" w:rsidRDefault="00202442" w:rsidP="00202442">
      <w:pPr>
        <w:widowControl w:val="0"/>
        <w:numPr>
          <w:ilvl w:val="0"/>
          <w:numId w:val="10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cualquiera de los gastos mencionados anteriormente en relación con la Deuda de otra Persona Garantizada por el Garante o cualquier Subsidiaria Restringida; y</w:t>
      </w:r>
    </w:p>
    <w:p w14:paraId="735585D7" w14:textId="77777777" w:rsidR="00202442" w:rsidRPr="00CA0A60" w:rsidRDefault="00202442" w:rsidP="00202442">
      <w:pPr>
        <w:widowControl w:val="0"/>
        <w:numPr>
          <w:ilvl w:val="0"/>
          <w:numId w:val="10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producto de:</w:t>
      </w:r>
    </w:p>
    <w:p w14:paraId="32FC6D70" w14:textId="77777777" w:rsidR="00202442" w:rsidRPr="00CA0A60" w:rsidRDefault="00202442" w:rsidP="00202442">
      <w:pPr>
        <w:widowControl w:val="0"/>
        <w:numPr>
          <w:ilvl w:val="0"/>
          <w:numId w:val="101"/>
        </w:numPr>
        <w:tabs>
          <w:tab w:val="left" w:pos="284"/>
          <w:tab w:val="left" w:pos="709"/>
          <w:tab w:val="left" w:pos="1418"/>
          <w:tab w:val="left" w:pos="1473"/>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dividendos en efectivo y no en efectivo pagados, declarados, devengados o acumulados sobre Acciones Descalificadas del Garante o de una Subsidiaria Restringida, con excepción de aquellos dividendos que deban abonarse en Acciones Calificadas del Garante o que se hayan pagado al Garante o a una Subsidiaria Restringida, y</w:t>
      </w:r>
    </w:p>
    <w:p w14:paraId="18FF1D8F" w14:textId="77777777" w:rsidR="00202442" w:rsidRPr="00CA0A60" w:rsidRDefault="00202442" w:rsidP="00202442">
      <w:pPr>
        <w:widowControl w:val="0"/>
        <w:numPr>
          <w:ilvl w:val="0"/>
          <w:numId w:val="101"/>
        </w:numPr>
        <w:tabs>
          <w:tab w:val="left" w:pos="284"/>
          <w:tab w:val="left" w:pos="709"/>
          <w:tab w:val="left" w:pos="1418"/>
          <w:tab w:val="left" w:pos="1473"/>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una fracción, compuesta por el numerador uno y el denominador resultante de uno menos la suma de la tasa impositiva combinada vigente a nivel federal, provincial, local o internacional aplicable al Garante y a sus Subsidiarias Restringidas.</w:t>
      </w:r>
    </w:p>
    <w:p w14:paraId="0E1DAF73"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 efectos de calcular el Gasto de Intereses Consolidado en Dólares Estadounidenses, los montos en Pesos para cada trimestre del Período de Cuatro Trimestres pertinente serán convertidos a Dólares Estadounidenses al promedio trimestral del tipo de cambio vendedor para transferencias de fondos </w:t>
      </w:r>
      <w:r w:rsidRPr="00CA0A60">
        <w:rPr>
          <w:rFonts w:ascii="Garamond" w:hAnsi="Garamond" w:cs="Times New Roman"/>
          <w:i/>
          <w:iCs/>
          <w:color w:val="000000"/>
          <w:sz w:val="20"/>
          <w:szCs w:val="20"/>
          <w:lang w:val="es-AR" w:eastAsia="es-ES" w:bidi="es-ES"/>
        </w:rPr>
        <w:t xml:space="preserve">(divisas), </w:t>
      </w:r>
      <w:r w:rsidRPr="00CA0A60">
        <w:rPr>
          <w:rFonts w:ascii="Garamond" w:hAnsi="Garamond" w:cs="Times New Roman"/>
          <w:sz w:val="20"/>
          <w:szCs w:val="20"/>
          <w:lang w:val="es-AR"/>
        </w:rPr>
        <w:t>publicado por el Banco de la Nación Argentina para dicho trimestre; y luego se sumará el monto en Dólares Estadounidenses para cada uno de los cuatro trimestres del Período de Cuatro Trimestres relevante, lo que dará como resultado el monto en Dólares Estadounidenses del Período de Cuatro Trimestres.</w:t>
      </w:r>
    </w:p>
    <w:p w14:paraId="23E0809B" w14:textId="0D789B9C"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“Índice de Apalancamiento Consolidado</w:t>
      </w:r>
      <w:r w:rsidRPr="00CA0A60">
        <w:rPr>
          <w:rFonts w:ascii="Garamond" w:hAnsi="Garamond" w:cs="Times New Roman"/>
          <w:sz w:val="20"/>
          <w:szCs w:val="20"/>
          <w:lang w:val="es-AR"/>
        </w:rPr>
        <w:t xml:space="preserve">’ se refiere, en cualquier fecha de determinación, a la relación entre el monto global de Deuda Consolidada al cierre del último trimestre fiscal respecto del cual se hayan entregado los estados financieros consolidados del Garante al Fiduciario en virtud del compromiso del Contrato de Fideicomiso descripto en “—Ciertos Compromisos - Informes a los Tenedores” (la “fecha del balance”) y el EBITDA Consolidado del Período de Cuatro Trimestres que finalizara en la fecha del balance, </w:t>
      </w:r>
      <w:r w:rsidRPr="00CA0A60">
        <w:rPr>
          <w:rFonts w:ascii="Garamond" w:hAnsi="Garamond" w:cs="Times New Roman"/>
          <w:color w:val="000000"/>
          <w:sz w:val="20"/>
          <w:szCs w:val="20"/>
          <w:u w:val="single"/>
          <w:lang w:val="es-AR" w:eastAsia="es-ES" w:bidi="es-ES"/>
        </w:rPr>
        <w:t>quedando establecido que</w:t>
      </w:r>
      <w:r w:rsidRPr="00CA0A60">
        <w:rPr>
          <w:rFonts w:ascii="Garamond" w:hAnsi="Garamond" w:cs="Times New Roman"/>
          <w:sz w:val="20"/>
          <w:szCs w:val="20"/>
          <w:lang w:val="es-AR"/>
        </w:rPr>
        <w:t>:</w:t>
      </w:r>
    </w:p>
    <w:p w14:paraId="76B28C21" w14:textId="77777777" w:rsidR="00202442" w:rsidRPr="00CA0A60" w:rsidRDefault="00202442" w:rsidP="00202442">
      <w:pPr>
        <w:widowControl w:val="0"/>
        <w:numPr>
          <w:ilvl w:val="0"/>
          <w:numId w:val="102"/>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caso de que el Garante o cualquier Subsidiaria Restringida hubiera adoptado alguna de las medidas siguientes:</w:t>
      </w:r>
    </w:p>
    <w:p w14:paraId="3AB6B551" w14:textId="77777777" w:rsidR="00202442" w:rsidRPr="00CA0A60" w:rsidRDefault="00202442" w:rsidP="00202442">
      <w:pPr>
        <w:widowControl w:val="0"/>
        <w:numPr>
          <w:ilvl w:val="0"/>
          <w:numId w:val="103"/>
        </w:numPr>
        <w:tabs>
          <w:tab w:val="left" w:pos="284"/>
          <w:tab w:val="left" w:pos="709"/>
          <w:tab w:val="left" w:pos="1418"/>
          <w:tab w:val="left" w:pos="1476"/>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si desde el inicio del Período de Cuatro Trimestres mencionado hubiera Contraído Deuda que se encontrara pendiente a dicha fecha de determinación o si la transacción que da origen a la necesidad de calcular el Índice de Apalancamiento Consolidado constituye una Contracción de Deuda; en tal caso, la Deuda Consolidada a la fecha del balance se calculará luego de dar efecto </w:t>
      </w:r>
      <w:r w:rsidRPr="00CA0A60">
        <w:rPr>
          <w:rFonts w:ascii="Garamond" w:hAnsi="Garamond" w:cs="Times New Roman"/>
          <w:i/>
          <w:sz w:val="20"/>
          <w:szCs w:val="20"/>
          <w:lang w:val="es-AR"/>
        </w:rPr>
        <w:t xml:space="preserve">pro forma </w:t>
      </w:r>
      <w:r w:rsidRPr="00CA0A60">
        <w:rPr>
          <w:rFonts w:ascii="Garamond" w:hAnsi="Garamond" w:cs="Times New Roman"/>
          <w:sz w:val="20"/>
          <w:szCs w:val="20"/>
          <w:lang w:val="es-AR"/>
        </w:rPr>
        <w:t>a dicha Deuda como si la Deuda se hubiera contraído en la fecha del balance; o</w:t>
      </w:r>
    </w:p>
    <w:p w14:paraId="0E56AA7D" w14:textId="77777777" w:rsidR="00202442" w:rsidRPr="00CA0A60" w:rsidRDefault="00202442" w:rsidP="00202442">
      <w:pPr>
        <w:widowControl w:val="0"/>
        <w:numPr>
          <w:ilvl w:val="0"/>
          <w:numId w:val="103"/>
        </w:numPr>
        <w:tabs>
          <w:tab w:val="left" w:pos="284"/>
          <w:tab w:val="left" w:pos="709"/>
          <w:tab w:val="left" w:pos="1418"/>
          <w:tab w:val="left" w:pos="1476"/>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si hubiera saldado, recomprado, cancelado o satisfecho por cualquier otro medio una Deuda desde el inicio de dicho Período de Cuatro Trimestres o si correspondiera saldar, recomprar, cancelar o satisfacer por cualquier otro medio una Deuda (en cada caso, que no fuera Deuda Contraída en virtud de línea de crédito rotatorio a menos que tal Deuda hubiera sido saldada con carácter permanente y no hubiera sido reemplazada) en la fecha </w:t>
      </w:r>
      <w:r w:rsidRPr="00CA0A60">
        <w:rPr>
          <w:rFonts w:ascii="Garamond" w:hAnsi="Garamond" w:cs="Times New Roman"/>
          <w:sz w:val="20"/>
          <w:szCs w:val="20"/>
          <w:lang w:val="es-AR"/>
        </w:rPr>
        <w:lastRenderedPageBreak/>
        <w:t xml:space="preserve">de la transacción que da origen a la necesidad de calcular el Índice de Apalancamiento Consolidado, la Deuda a la fecha del balance se calculará de manera </w:t>
      </w:r>
      <w:r w:rsidRPr="00CA0A60">
        <w:rPr>
          <w:rFonts w:ascii="Garamond" w:hAnsi="Garamond" w:cs="Times New Roman"/>
          <w:i/>
          <w:sz w:val="20"/>
          <w:szCs w:val="20"/>
          <w:lang w:val="es-AR"/>
        </w:rPr>
        <w:t xml:space="preserve">pro forma </w:t>
      </w:r>
      <w:r w:rsidRPr="00CA0A60">
        <w:rPr>
          <w:rFonts w:ascii="Garamond" w:hAnsi="Garamond" w:cs="Times New Roman"/>
          <w:sz w:val="20"/>
          <w:szCs w:val="20"/>
          <w:lang w:val="es-AR"/>
        </w:rPr>
        <w:t>como si la Deuda se hubiera saldado, recomprado, cancelado o satisfecho por cualquier otro medio en la fecha del balance;</w:t>
      </w:r>
    </w:p>
    <w:p w14:paraId="2DD72A85" w14:textId="77777777" w:rsidR="00202442" w:rsidRPr="00CA0A60" w:rsidRDefault="00202442" w:rsidP="00202442">
      <w:pPr>
        <w:widowControl w:val="0"/>
        <w:numPr>
          <w:ilvl w:val="0"/>
          <w:numId w:val="102"/>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caso de que, desde el inicio del Periodo de Cuatro Trimestres, el Garante o cualquier Subsidiaria Restringida del Garante hubiera efectuado alguna Operación de Venta de Activos, se deberá dar efecto </w:t>
      </w:r>
      <w:r w:rsidRPr="00CA0A60">
        <w:rPr>
          <w:rFonts w:ascii="Garamond" w:hAnsi="Garamond" w:cs="Times New Roman"/>
          <w:i/>
          <w:iCs/>
          <w:color w:val="000000"/>
          <w:sz w:val="20"/>
          <w:szCs w:val="20"/>
          <w:lang w:val="es-AR" w:eastAsia="es-ES" w:bidi="es-ES"/>
        </w:rPr>
        <w:t>pro forma</w:t>
      </w:r>
      <w:r w:rsidRPr="00CA0A60">
        <w:rPr>
          <w:rFonts w:ascii="Garamond" w:hAnsi="Garamond" w:cs="Times New Roman"/>
          <w:sz w:val="20"/>
          <w:szCs w:val="20"/>
          <w:lang w:val="es-AR"/>
        </w:rPr>
        <w:t xml:space="preserve"> a la Operación de Venta de Activos durante dicho período en el EBITDA Consolidado;</w:t>
      </w:r>
    </w:p>
    <w:p w14:paraId="3286F121" w14:textId="77777777" w:rsidR="00202442" w:rsidRPr="00CA0A60" w:rsidRDefault="00202442" w:rsidP="00202442">
      <w:pPr>
        <w:widowControl w:val="0"/>
        <w:numPr>
          <w:ilvl w:val="0"/>
          <w:numId w:val="102"/>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en caso de que, desde el inicio del Periodo de Cuatro Trimestres, el Garante o cualquier Subsidiaria Restringida, por vía de fusión o por otro medio, hubiera efectuado una Inversión en una Persona que se fusiona con el Garante, una Co-Emisora o cualquier Subsidiaria Restringida o pasa a formar parte de una de ellas (o en cualquier Persona que se transforma en una Subsidiaria Restringida) o una adquisición de activos, incluida cualquier adquisición de activos que tuviera lugar con relación a una transacción que provoque la realización del cálculo que aquí se contempla y que constituya la totalidad o sustancialmente la totalidad de la unidad operativa de un negocio, se deberá dar efecto </w:t>
      </w:r>
      <w:r w:rsidRPr="00CA0A60">
        <w:rPr>
          <w:rFonts w:ascii="Garamond" w:hAnsi="Garamond" w:cs="Times New Roman"/>
          <w:i/>
          <w:iCs/>
          <w:color w:val="000000"/>
          <w:sz w:val="20"/>
          <w:szCs w:val="20"/>
          <w:lang w:val="es-AR" w:eastAsia="es-ES" w:bidi="es-ES"/>
        </w:rPr>
        <w:t>pro forma</w:t>
      </w:r>
      <w:r w:rsidRPr="00CA0A60">
        <w:rPr>
          <w:rFonts w:ascii="Garamond" w:hAnsi="Garamond" w:cs="Times New Roman"/>
          <w:sz w:val="20"/>
          <w:szCs w:val="20"/>
          <w:lang w:val="es-AR"/>
        </w:rPr>
        <w:t xml:space="preserve"> a la Inversión o adquisición en el EBITDA Consolidado correspondiente a dicho Período de Cuatro Trimestres como si dicha transacción hubiera ocurrido el primer día de dicho período; queda entendido que tal cálculo </w:t>
      </w:r>
      <w:r w:rsidRPr="00CA0A60">
        <w:rPr>
          <w:rFonts w:ascii="Garamond" w:hAnsi="Garamond" w:cs="Times New Roman"/>
          <w:i/>
          <w:sz w:val="20"/>
          <w:szCs w:val="20"/>
          <w:lang w:val="es-AR"/>
        </w:rPr>
        <w:t xml:space="preserve">pro forma </w:t>
      </w:r>
      <w:r w:rsidRPr="00CA0A60">
        <w:rPr>
          <w:rFonts w:ascii="Garamond" w:hAnsi="Garamond" w:cs="Times New Roman"/>
          <w:sz w:val="20"/>
          <w:szCs w:val="20"/>
          <w:lang w:val="es-AR"/>
        </w:rPr>
        <w:t>puede incluir los ajustes que correspondan para reflejar lo siguiente, sin duplicación:</w:t>
      </w:r>
    </w:p>
    <w:p w14:paraId="7DDD5D65" w14:textId="77777777" w:rsidR="00202442" w:rsidRPr="00CA0A60" w:rsidRDefault="00202442" w:rsidP="00202442">
      <w:pPr>
        <w:widowControl w:val="0"/>
        <w:numPr>
          <w:ilvl w:val="0"/>
          <w:numId w:val="104"/>
        </w:numPr>
        <w:tabs>
          <w:tab w:val="left" w:pos="284"/>
          <w:tab w:val="left" w:pos="709"/>
          <w:tab w:val="left" w:pos="1418"/>
          <w:tab w:val="left" w:pos="1476"/>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dicha adquisición, en la medida en que tales ajustes puedan reflejarse en la preparación de la información financiera </w:t>
      </w:r>
      <w:r w:rsidRPr="00CA0A60">
        <w:rPr>
          <w:rFonts w:ascii="Garamond" w:hAnsi="Garamond" w:cs="Times New Roman"/>
          <w:i/>
          <w:sz w:val="20"/>
          <w:szCs w:val="20"/>
          <w:lang w:val="es-AR"/>
        </w:rPr>
        <w:t xml:space="preserve">pro forma </w:t>
      </w:r>
      <w:r w:rsidRPr="00CA0A60">
        <w:rPr>
          <w:rFonts w:ascii="Garamond" w:hAnsi="Garamond" w:cs="Times New Roman"/>
          <w:sz w:val="20"/>
          <w:szCs w:val="20"/>
          <w:lang w:val="es-AR"/>
        </w:rPr>
        <w:t>de conformidad con los requisitos del Artículo 11 de la Disposición S-X según la Ley de Mercados de Valores;</w:t>
      </w:r>
    </w:p>
    <w:p w14:paraId="3054E6CD" w14:textId="77777777" w:rsidR="00202442" w:rsidRPr="00CA0A60" w:rsidRDefault="00202442" w:rsidP="00202442">
      <w:pPr>
        <w:widowControl w:val="0"/>
        <w:numPr>
          <w:ilvl w:val="0"/>
          <w:numId w:val="104"/>
        </w:numPr>
        <w:tabs>
          <w:tab w:val="left" w:pos="284"/>
          <w:tab w:val="left" w:pos="709"/>
          <w:tab w:val="left" w:pos="1418"/>
          <w:tab w:val="left" w:pos="1476"/>
          <w:tab w:val="left" w:pos="1560"/>
          <w:tab w:val="left" w:pos="2127"/>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monto anualizado de las reducciones de gastos operativos que razonablemente esté previsto realizar en los seis meses siguientes a la adquisición efectuada durante cualquiera de los cuatro trimestres fiscales que conforman el correspondiente Período de Cuatro Trimestres; y</w:t>
      </w:r>
    </w:p>
    <w:p w14:paraId="44270ABB" w14:textId="77777777" w:rsidR="00202442" w:rsidRPr="00CA0A60" w:rsidRDefault="00202442" w:rsidP="00202442">
      <w:pPr>
        <w:widowControl w:val="0"/>
        <w:numPr>
          <w:ilvl w:val="0"/>
          <w:numId w:val="104"/>
        </w:numPr>
        <w:tabs>
          <w:tab w:val="left" w:pos="284"/>
          <w:tab w:val="left" w:pos="709"/>
          <w:tab w:val="left" w:pos="1418"/>
          <w:tab w:val="left" w:pos="1476"/>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monto anualizado de las reducciones de gastos operativos que razonablemente esté previsto realizar en los seis meses siguientes a la adquisición efectuada por el Garante o cualquier Subsidiaria Restringida en cualquiera de los dos trimestres fiscales inmediatamente anteriores al Período de Cuatro Trimestres,</w:t>
      </w:r>
    </w:p>
    <w:p w14:paraId="28D393FB" w14:textId="59A9D615" w:rsidR="00202442" w:rsidRPr="00CA0A60" w:rsidRDefault="00202442" w:rsidP="00202442">
      <w:pPr>
        <w:widowControl w:val="0"/>
        <w:tabs>
          <w:tab w:val="left" w:pos="284"/>
          <w:tab w:val="left" w:pos="709"/>
          <w:tab w:val="left" w:pos="1418"/>
          <w:tab w:val="left" w:pos="8789"/>
        </w:tabs>
        <w:spacing w:before="120" w:after="120" w:line="240" w:lineRule="auto"/>
        <w:ind w:left="760"/>
        <w:jc w:val="both"/>
        <w:rPr>
          <w:rFonts w:ascii="Garamond" w:hAnsi="Garamond" w:cs="Times New Roman"/>
          <w:sz w:val="20"/>
          <w:szCs w:val="20"/>
          <w:lang w:val="es-AR"/>
        </w:rPr>
      </w:pPr>
      <w:r w:rsidRPr="00CA0A60">
        <w:rPr>
          <w:rFonts w:ascii="Garamond" w:hAnsi="Garamond" w:cs="Times New Roman"/>
          <w:color w:val="000000"/>
          <w:sz w:val="20"/>
          <w:szCs w:val="20"/>
          <w:u w:val="single"/>
          <w:lang w:val="es-AR" w:eastAsia="es-ES" w:bidi="es-ES"/>
        </w:rPr>
        <w:t>ello, siempre que</w:t>
      </w:r>
      <w:r w:rsidRPr="00CA0A60">
        <w:rPr>
          <w:rFonts w:ascii="Garamond" w:hAnsi="Garamond" w:cs="Times New Roman"/>
          <w:sz w:val="20"/>
          <w:szCs w:val="20"/>
          <w:lang w:val="es-AR"/>
        </w:rPr>
        <w:t xml:space="preserve">, en cada caso, los ajustes estén consignados en un Certificado de Directivos </w:t>
      </w:r>
      <w:r w:rsidR="004E3A7F">
        <w:rPr>
          <w:rFonts w:ascii="Garamond" w:hAnsi="Garamond" w:cs="Times New Roman"/>
          <w:sz w:val="20"/>
          <w:szCs w:val="20"/>
          <w:lang w:val="es-AR"/>
        </w:rPr>
        <w:t xml:space="preserve">del Garante </w:t>
      </w:r>
      <w:r w:rsidRPr="00CA0A60">
        <w:rPr>
          <w:rFonts w:ascii="Garamond" w:hAnsi="Garamond" w:cs="Times New Roman"/>
          <w:sz w:val="20"/>
          <w:szCs w:val="20"/>
          <w:lang w:val="es-AR"/>
        </w:rPr>
        <w:t>donde se disponga (1) el monto del/los ajustes en cuestión, (2) que el/los ajuste/s están calculados de buena fe por los funcionarios que suscriben el Certificado de Directivos al momento de otorgarlo, y (3) que cualquier Contracción de Deuda relacionada se encuentra permitida en virtud del Contrato de Fideicomiso; y</w:t>
      </w:r>
    </w:p>
    <w:p w14:paraId="57E0DB2D" w14:textId="77777777" w:rsidR="00202442" w:rsidRPr="00CA0A60" w:rsidRDefault="00202442" w:rsidP="00202442">
      <w:pPr>
        <w:widowControl w:val="0"/>
        <w:numPr>
          <w:ilvl w:val="0"/>
          <w:numId w:val="102"/>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caso de que, desde el inicio del Periodo de Cuatro Trimestres, cualquier Persona (que posteriormente se transforme en una Subsidiaria Restringida del Garante o se fusione con el Garante o una Subsidiaria Restringida o pase a formar parte de una de ellas a partir del inicio de dicho período) hubiera Contraído alguna Deuda o cancelado alguna de ellas o llevado a cabo una Operación de Venta de Activos, Inversión o adquisición de activos que requiriera la realización de un ajuste de conformidad con las cláusulas (a), (b) o (c) que anteceden si hubieran sido realizadas durante dicho período, en tal caso el EBITDA Consolidado por dicho período se calculará luego de dar efecto pro forma a la referida operación, como si dicha transacción hubiera tenido lugar el primer día de dicho período.</w:t>
      </w:r>
    </w:p>
    <w:p w14:paraId="684522C4" w14:textId="77777777" w:rsidR="00202442" w:rsidRPr="00CA0A60" w:rsidRDefault="00202442" w:rsidP="00202442">
      <w:pPr>
        <w:widowControl w:val="0"/>
        <w:tabs>
          <w:tab w:val="left" w:pos="284"/>
          <w:tab w:val="left" w:pos="709"/>
          <w:tab w:val="left" w:pos="1116"/>
          <w:tab w:val="left" w:pos="1418"/>
          <w:tab w:val="left" w:pos="1843"/>
          <w:tab w:val="left" w:pos="8789"/>
        </w:tabs>
        <w:spacing w:before="120" w:after="120" w:line="240" w:lineRule="auto"/>
        <w:ind w:left="1120"/>
        <w:jc w:val="both"/>
        <w:rPr>
          <w:rFonts w:ascii="Garamond" w:hAnsi="Garamond" w:cs="Times New Roman"/>
          <w:sz w:val="20"/>
          <w:szCs w:val="20"/>
          <w:lang w:val="es-AR"/>
        </w:rPr>
      </w:pPr>
      <w:r w:rsidRPr="00CA0A60">
        <w:rPr>
          <w:rFonts w:ascii="Garamond" w:hAnsi="Garamond" w:cs="Times New Roman"/>
          <w:sz w:val="20"/>
          <w:szCs w:val="20"/>
          <w:lang w:val="es-AR"/>
        </w:rPr>
        <w:t xml:space="preserve">A los fines de esta definición, cuando corresponda calcular de manera </w:t>
      </w:r>
      <w:r w:rsidRPr="00CA0A60">
        <w:rPr>
          <w:rFonts w:ascii="Garamond" w:hAnsi="Garamond" w:cs="Times New Roman"/>
          <w:i/>
          <w:sz w:val="20"/>
          <w:szCs w:val="20"/>
          <w:lang w:val="es-AR"/>
        </w:rPr>
        <w:t xml:space="preserve">pro forma </w:t>
      </w:r>
      <w:r w:rsidRPr="00CA0A60">
        <w:rPr>
          <w:rFonts w:ascii="Garamond" w:hAnsi="Garamond" w:cs="Times New Roman"/>
          <w:sz w:val="20"/>
          <w:szCs w:val="20"/>
          <w:lang w:val="es-AR"/>
        </w:rPr>
        <w:t xml:space="preserve">el EBITDA Consolidado, los cálculos </w:t>
      </w:r>
      <w:r w:rsidRPr="00CA0A60">
        <w:rPr>
          <w:rFonts w:ascii="Garamond" w:hAnsi="Garamond" w:cs="Times New Roman"/>
          <w:i/>
          <w:iCs/>
          <w:color w:val="000000"/>
          <w:sz w:val="20"/>
          <w:szCs w:val="20"/>
          <w:lang w:val="es-AR" w:eastAsia="es-ES" w:bidi="es-ES"/>
        </w:rPr>
        <w:t>pro forma</w:t>
      </w:r>
      <w:r w:rsidRPr="00CA0A60">
        <w:rPr>
          <w:rFonts w:ascii="Garamond" w:hAnsi="Garamond" w:cs="Times New Roman"/>
          <w:sz w:val="20"/>
          <w:szCs w:val="20"/>
          <w:lang w:val="es-AR"/>
        </w:rPr>
        <w:t xml:space="preserve"> se determinarán de buena fe y serán preparados por un funcionario responsable del área contable o financiera del Garante. Cuando hubiera Deuda con tasa de interés flotante y los efectos de la referida Deuda deban calcularse de manera </w:t>
      </w:r>
      <w:r w:rsidRPr="00CA0A60">
        <w:rPr>
          <w:rFonts w:ascii="Garamond" w:hAnsi="Garamond" w:cs="Times New Roman"/>
          <w:i/>
          <w:sz w:val="20"/>
          <w:szCs w:val="20"/>
          <w:lang w:val="es-AR"/>
        </w:rPr>
        <w:t>pro forma</w:t>
      </w:r>
      <w:r w:rsidRPr="00CA0A60">
        <w:rPr>
          <w:rFonts w:ascii="Garamond" w:hAnsi="Garamond" w:cs="Times New Roman"/>
          <w:sz w:val="20"/>
          <w:szCs w:val="20"/>
          <w:lang w:val="es-AR"/>
        </w:rPr>
        <w:t xml:space="preserve">, el gasto de intereses relacionado con dicha Deuda se calculará como si la tasa vigente en la fecha de determinación hubiera sido la tasa aplicable para todo el período (teniendo en consideración cualquier acuerdo de tasa de interés que sea de aplicación a la Deuda, siempre que tal acuerdo de tasa de interés tuviera un plazo de validez restante superior a doce meses en la fecha de determinación). Al realizar un cálculo </w:t>
      </w:r>
      <w:r w:rsidRPr="00CA0A60">
        <w:rPr>
          <w:rFonts w:ascii="Garamond" w:hAnsi="Garamond" w:cs="Times New Roman"/>
          <w:i/>
          <w:sz w:val="20"/>
          <w:szCs w:val="20"/>
          <w:lang w:val="es-AR"/>
        </w:rPr>
        <w:t>pro forma</w:t>
      </w:r>
      <w:r w:rsidRPr="00CA0A60">
        <w:rPr>
          <w:rFonts w:ascii="Garamond" w:hAnsi="Garamond" w:cs="Times New Roman"/>
          <w:sz w:val="20"/>
          <w:szCs w:val="20"/>
          <w:lang w:val="es-AR"/>
        </w:rPr>
        <w:t>, el monto de la Deuda en virtud de cualquier línea de crédito rotatorio que esté pendiente al día de cálculo será considerado: (i) el saldo diario promedio de dicha Deuda durante dicho Período de Cuatro Trimestres o período más corto respecto del cual dicha línea de crédito hubiera estado pendiente, o (ii) si dicha línea de crédito se hubiera generado con posterioridad al fin de dicho Período de Cuatro Trimestres, el saldo diario promedio de dicha Deuda durante el período contado a partir de la fecha de creación de la línea de crédito hasta la fecha de cálculo.</w:t>
      </w:r>
    </w:p>
    <w:p w14:paraId="3F5395BD"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“Total de Activo Consolidado</w:t>
      </w:r>
      <w:r w:rsidRPr="00CA0A60">
        <w:rPr>
          <w:rFonts w:ascii="Garamond" w:hAnsi="Garamond" w:cs="Times New Roman"/>
          <w:sz w:val="20"/>
          <w:szCs w:val="20"/>
          <w:lang w:val="es-AR"/>
        </w:rPr>
        <w:t xml:space="preserve">” se refiere al monto global de los activos totales del Garante y sus Subsidiarias Restringidas consolidadas, todo ello determinado sobre una base consolidada de conformidad con las NIIF, (1) en función del último balance consolidado que se encuentre disponible del Garante entregado al Fiduciario de conformidad con lo dispuesto en el apartado “—Ciertos Compromisos—Informes a los Tenedores de </w:t>
      </w:r>
      <w:r w:rsidRPr="00CA0A60">
        <w:rPr>
          <w:rFonts w:ascii="Garamond" w:hAnsi="Garamond" w:cs="Times New Roman"/>
          <w:sz w:val="20"/>
          <w:szCs w:val="20"/>
          <w:lang w:val="es-AR"/>
        </w:rPr>
        <w:lastRenderedPageBreak/>
        <w:t xml:space="preserve">Obligaciones Negociables”, y (2) con carácter </w:t>
      </w:r>
      <w:r w:rsidRPr="00CA0A60">
        <w:rPr>
          <w:rFonts w:ascii="Garamond" w:hAnsi="Garamond" w:cs="Times New Roman"/>
          <w:i/>
          <w:iCs/>
          <w:color w:val="000000"/>
          <w:sz w:val="20"/>
          <w:szCs w:val="20"/>
          <w:lang w:val="es-AR" w:eastAsia="es-ES" w:bidi="es-ES"/>
        </w:rPr>
        <w:t>pro forma</w:t>
      </w:r>
      <w:r w:rsidRPr="00CA0A60">
        <w:rPr>
          <w:rFonts w:ascii="Garamond" w:hAnsi="Garamond" w:cs="Times New Roman"/>
          <w:sz w:val="20"/>
          <w:szCs w:val="20"/>
          <w:lang w:val="es-AR"/>
        </w:rPr>
        <w:t xml:space="preserve"> a fin de hacer efectiva cualquier adquisición o acto de disposición de sociedades, divisiones, líneas de negocios u operaciones del Garante o cualquier Subsidiaria Restringida de su propiedad con posterioridad a dicha fecha y con anterioridad a la fecha de determinación.</w:t>
      </w:r>
    </w:p>
    <w:p w14:paraId="04A45A04"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iCs/>
          <w:sz w:val="20"/>
          <w:szCs w:val="20"/>
          <w:lang w:val="es-AR"/>
        </w:rPr>
      </w:pPr>
      <w:r w:rsidRPr="00CA0A60">
        <w:rPr>
          <w:rFonts w:ascii="Garamond" w:hAnsi="Garamond" w:cs="Times New Roman"/>
          <w:i/>
          <w:iCs/>
          <w:sz w:val="20"/>
          <w:szCs w:val="20"/>
          <w:lang w:val="es-AR"/>
        </w:rPr>
        <w:t xml:space="preserve">“Impugnar” </w:t>
      </w:r>
      <w:r w:rsidRPr="00CA0A60">
        <w:rPr>
          <w:rFonts w:ascii="Garamond" w:hAnsi="Garamond" w:cs="Times New Roman"/>
          <w:iCs/>
          <w:sz w:val="20"/>
          <w:szCs w:val="20"/>
          <w:lang w:val="es-AR"/>
        </w:rPr>
        <w:t>significa, con respecto al pago de Impuestos u otros reclamos o pasivos de cualquier Persona, impugnar su validez o monto de buena fe y a través de procedimientos apropiados; siempre que dicha Persona haya otorgado una caución u otra garantía de acuerdo con la Ley Aplicable (de ser requerido), haya obtenido una medida cautelar de un tribunal competente que ordene a la Autoridad Gubernamental correspondiente no cobrar dichos Impuestos, reclamos o pasivos hasta tanto dicho tribunal haya dictado una decisión firme respecto de la validez o el monto de dichos Impuestos, reclamos o pasivos, o haya establecido oportunamente reservas adecuadas con respecto a los rubros impugnados de acuerdo con las NIIF y con el alcance requerido por las mismas. “Impugnado” tiene un significado acorde.</w:t>
      </w:r>
    </w:p>
    <w:p w14:paraId="301E0393" w14:textId="46F21375"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 xml:space="preserve">Cancelación de Compromisos” </w:t>
      </w:r>
      <w:r w:rsidRPr="00CA0A60">
        <w:rPr>
          <w:rFonts w:ascii="Garamond" w:hAnsi="Garamond" w:cs="Times New Roman"/>
          <w:sz w:val="20"/>
          <w:szCs w:val="20"/>
          <w:lang w:val="es-AR"/>
        </w:rPr>
        <w:t>tiene el significado que se le asigna en la Sección “—Cancelación Legal y Cancelación de Compromisos”.</w:t>
      </w:r>
    </w:p>
    <w:p w14:paraId="0A7BFA1E"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“Acuerdo de Divisas</w:t>
      </w:r>
      <w:r w:rsidRPr="00CA0A60">
        <w:rPr>
          <w:rFonts w:ascii="Garamond" w:hAnsi="Garamond" w:cs="Times New Roman"/>
          <w:sz w:val="20"/>
          <w:szCs w:val="20"/>
          <w:lang w:val="es-AR"/>
        </w:rPr>
        <w:t>” se refiere, respecto de cualquier Persona, a cualquier contrato de moneda extranjera, contrato de canje de divisas u otro acuerdo similar en el cual dicha Persona sea una parte que pretende obtener protección contra el riesgo cambiario de dicha Persona.</w:t>
      </w:r>
    </w:p>
    <w:p w14:paraId="7E2E29A3" w14:textId="77777777" w:rsidR="004E3A7F" w:rsidRDefault="004E3A7F" w:rsidP="004E3A7F">
      <w:pPr>
        <w:widowControl w:val="0"/>
        <w:tabs>
          <w:tab w:val="left" w:pos="284"/>
          <w:tab w:val="left" w:pos="709"/>
          <w:tab w:val="left" w:pos="1418"/>
          <w:tab w:val="left" w:pos="8789"/>
        </w:tabs>
        <w:spacing w:before="120" w:after="120"/>
        <w:jc w:val="both"/>
        <w:rPr>
          <w:rFonts w:ascii="Garamond" w:hAnsi="Garamond" w:cs="Times New Roman"/>
          <w:sz w:val="20"/>
          <w:szCs w:val="20"/>
        </w:rPr>
      </w:pPr>
      <w:r>
        <w:rPr>
          <w:rFonts w:ascii="Garamond" w:hAnsi="Garamond" w:cs="Times New Roman"/>
          <w:i/>
          <w:sz w:val="20"/>
          <w:szCs w:val="20"/>
        </w:rPr>
        <w:t>“Cuenta de Reserva para Servicio de Deuda”</w:t>
      </w:r>
      <w:r>
        <w:rPr>
          <w:rFonts w:ascii="Garamond" w:hAnsi="Garamond" w:cs="Times New Roman"/>
          <w:sz w:val="20"/>
          <w:szCs w:val="20"/>
        </w:rPr>
        <w:t xml:space="preserve"> significa la “Cuenta de Reserva para Servicio de la Deuda”  denominada en Dólares Estadounidenses, que no devenga intereses, definida y creada conforme al Contrato de Fideicomiso, la cual estará sujeta a un Gravamen en primer grado de privilegio otorgado al   Agente de Garantía Internacional,  en beneficio de las Partes Garantizadas.</w:t>
      </w:r>
    </w:p>
    <w:p w14:paraId="489292D2" w14:textId="07460260" w:rsidR="00202442" w:rsidRPr="00CA0A60" w:rsidRDefault="004E3A7F"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sidDel="004E3A7F">
        <w:rPr>
          <w:rFonts w:ascii="Garamond" w:hAnsi="Garamond" w:cs="Times New Roman"/>
          <w:i/>
          <w:sz w:val="20"/>
          <w:szCs w:val="20"/>
          <w:lang w:val="es-AR"/>
        </w:rPr>
        <w:t xml:space="preserve"> </w:t>
      </w:r>
      <w:r w:rsidR="00202442" w:rsidRPr="00CA0A60">
        <w:rPr>
          <w:rFonts w:ascii="Garamond" w:hAnsi="Garamond" w:cs="Times New Roman"/>
          <w:i/>
          <w:sz w:val="20"/>
          <w:szCs w:val="20"/>
          <w:lang w:val="es-AR"/>
        </w:rPr>
        <w:t>“Monto de Reserva para Servicio de Deuda”</w:t>
      </w:r>
      <w:r w:rsidR="00202442" w:rsidRPr="00CA0A60">
        <w:rPr>
          <w:rFonts w:ascii="Garamond" w:hAnsi="Garamond" w:cs="Times New Roman"/>
          <w:sz w:val="20"/>
          <w:szCs w:val="20"/>
          <w:lang w:val="es-AR"/>
        </w:rPr>
        <w:t xml:space="preserve"> significa, en cualquier fecha de determinación, un monto igual a los pagos de intereses (más Montos Adicionales, si hubiera) a ser abonados con respecto a las Obligaciones Negociables en las dos Fechas de Pago de Intereses programadas inmediatamente siguientes a dicha fecha de determinación.</w:t>
      </w:r>
    </w:p>
    <w:p w14:paraId="3A1759E2"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Incumplimiento</w:t>
      </w:r>
      <w:r w:rsidRPr="00CA0A60">
        <w:rPr>
          <w:rFonts w:ascii="Garamond" w:hAnsi="Garamond" w:cs="Times New Roman"/>
          <w:sz w:val="20"/>
          <w:szCs w:val="20"/>
          <w:lang w:val="es-AR"/>
        </w:rPr>
        <w:t>” se refiere a cualquier hecho o situación cuyo acaecimiento configure un Supuesto de Incumplimiento o que configuraría un Supuesto de Incumplimiento con el transcurso del tiempo, con el envío de una notificación o con ambos requisitos juntos.</w:t>
      </w:r>
    </w:p>
    <w:p w14:paraId="2CDFF38B"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sz w:val="20"/>
          <w:szCs w:val="20"/>
          <w:lang w:val="es-AR"/>
        </w:rPr>
        <w:t xml:space="preserve">Deuda Sumamente Subordinada” </w:t>
      </w:r>
      <w:r w:rsidRPr="00CA0A60">
        <w:rPr>
          <w:rFonts w:ascii="Garamond" w:hAnsi="Garamond" w:cs="Times New Roman"/>
          <w:sz w:val="20"/>
          <w:szCs w:val="20"/>
          <w:lang w:val="es-AR"/>
        </w:rPr>
        <w:t>alude a cualquier Deuda Subordinada de las Co-Emisoras, el Garante o cualquier Subsidiaria Restringida que (i) esté subordinada en derecho de pago a las Obligaciones Negociables, en virtud de un acuerdo por escrito a tal efecto, (ii) (A) no tenga una fecha de vencimiento final, (b) no exija la amortización, el rescate u otra forma de pago del capital (excepto mediante la conversión o el canje de dicha Deuda en o por Acciones Calificadas de las Co-Emisoras, el Garante o cualquier Subsidiaria Restringida, o toda Deuda que cumpla con los requisitos de esta definición), (C) no exija el pago de intereses o montos similares en efectivo, (D) no contenga cláusulas en materia de cambio de control o similares, y (E) no contenga cláusulas de caducidad de los plazos, no confiera derechos a declarar un incumplimiento o supuesto de incumplimiento o a iniciar acciones ejecutorias, o bien no exija pagos en efectivo de parte de las Co-Emisoras, el Garante o cualquier Subsidiaria Restringida (salvo como resultado de procedimientos concursales de la pertinente Co-Emisora, el Garante o la Subsidiaria Restringida pertinente), en cada caso, antes de la fecha en la que se abonen todas las sumas adeudadas en virtud del Contrato de Fideicomiso y las Obligaciones Negociables, (iii) no disponga o exija la constitución de derechos de garantía o gravámenes sobre cualquier activo de las Co-Emisoras, el Garante o cualquier Subsidiaria Restringida, (iv) no restrinja (incluso ante el acaecimiento de algún supuesto) el pago de las sumas adeudadas en virtud de las Obligaciones Negociables o el cumplimiento de las Co-Emisoras, el Garante o cualquier Subsidiaria Restringida con sus respectivas obligaciones en virtud del Contrato de Fideicomiso y las Obligaciones Negociables, y (v) tenga prioridad exclusivamente respecto a las Acciones de las Co-Emisora pertinente, el Garante o la Subsidiaria Restringida pertinente, según sea el caso</w:t>
      </w:r>
      <w:r w:rsidRPr="00CA0A60">
        <w:rPr>
          <w:rFonts w:ascii="Garamond" w:hAnsi="Garamond" w:cs="Times New Roman"/>
          <w:i/>
          <w:sz w:val="20"/>
          <w:szCs w:val="20"/>
          <w:lang w:val="es-AR"/>
        </w:rPr>
        <w:t>.</w:t>
      </w:r>
    </w:p>
    <w:p w14:paraId="0C633778" w14:textId="77777777" w:rsidR="004E3A7F" w:rsidRDefault="004E3A7F" w:rsidP="004E3A7F">
      <w:pPr>
        <w:widowControl w:val="0"/>
        <w:tabs>
          <w:tab w:val="left" w:pos="284"/>
          <w:tab w:val="left" w:pos="709"/>
          <w:tab w:val="left" w:pos="1418"/>
          <w:tab w:val="left" w:pos="8789"/>
        </w:tabs>
        <w:spacing w:before="120" w:after="120"/>
        <w:jc w:val="both"/>
        <w:rPr>
          <w:rFonts w:ascii="Garamond" w:hAnsi="Garamond" w:cs="Times New Roman"/>
          <w:sz w:val="20"/>
          <w:szCs w:val="20"/>
        </w:rPr>
      </w:pPr>
      <w:r>
        <w:rPr>
          <w:rFonts w:ascii="Garamond" w:hAnsi="Garamond" w:cs="Times New Roman"/>
          <w:i/>
          <w:sz w:val="20"/>
          <w:szCs w:val="20"/>
        </w:rPr>
        <w:t xml:space="preserve">“Banco Depositario” </w:t>
      </w:r>
      <w:r>
        <w:rPr>
          <w:rFonts w:ascii="Garamond" w:hAnsi="Garamond" w:cs="Times New Roman"/>
          <w:sz w:val="20"/>
          <w:szCs w:val="20"/>
        </w:rPr>
        <w:t>significa The Bank of New York Mellon, en su carácter como intermediario de títulos o “banco” para el establecimiento y mantenimiento de la Cuenta de Reserva para Servicio de Deuda en virtud del Contrato de Fideicomiso, o cualquiera de sus sucesores.</w:t>
      </w:r>
    </w:p>
    <w:p w14:paraId="50DD6A29" w14:textId="32F9592E" w:rsidR="00202442" w:rsidRPr="00CA0A60" w:rsidRDefault="004E3A7F"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sidDel="004E3A7F">
        <w:rPr>
          <w:rFonts w:ascii="Garamond" w:hAnsi="Garamond" w:cs="Times New Roman"/>
          <w:i/>
          <w:sz w:val="20"/>
          <w:szCs w:val="20"/>
          <w:lang w:val="es-AR"/>
        </w:rPr>
        <w:t xml:space="preserve"> </w:t>
      </w:r>
      <w:r w:rsidR="00202442" w:rsidRPr="00CA0A60">
        <w:rPr>
          <w:rFonts w:ascii="Garamond" w:hAnsi="Garamond" w:cs="Times New Roman"/>
          <w:sz w:val="20"/>
          <w:szCs w:val="20"/>
          <w:lang w:val="es-AR"/>
        </w:rPr>
        <w:t>“</w:t>
      </w:r>
      <w:r w:rsidR="00202442" w:rsidRPr="00CA0A60">
        <w:rPr>
          <w:rFonts w:ascii="Garamond" w:hAnsi="Garamond" w:cs="Times New Roman"/>
          <w:i/>
          <w:iCs/>
          <w:color w:val="000000"/>
          <w:sz w:val="20"/>
          <w:szCs w:val="20"/>
          <w:lang w:val="es-AR" w:eastAsia="es-ES" w:bidi="es-ES"/>
        </w:rPr>
        <w:t>Designación</w:t>
      </w:r>
      <w:r w:rsidR="00202442" w:rsidRPr="00CA0A60">
        <w:rPr>
          <w:rFonts w:ascii="Garamond" w:hAnsi="Garamond" w:cs="Times New Roman"/>
          <w:sz w:val="20"/>
          <w:szCs w:val="20"/>
          <w:lang w:val="es-AR"/>
        </w:rPr>
        <w:t xml:space="preserve">” tiene el significado que se le asigna en la Sección </w:t>
      </w:r>
      <w:r w:rsidR="00202442" w:rsidRPr="00CA0A60">
        <w:rPr>
          <w:rFonts w:ascii="Garamond" w:hAnsi="Garamond" w:cs="Times New Roman"/>
          <w:i/>
          <w:sz w:val="20"/>
          <w:szCs w:val="20"/>
          <w:lang w:val="es-AR"/>
        </w:rPr>
        <w:t>“—Compromisos—Limitación a la Designación de Subsidiarias no Restringidas</w:t>
      </w:r>
      <w:r w:rsidR="00202442" w:rsidRPr="00CA0A60">
        <w:rPr>
          <w:rFonts w:ascii="Garamond" w:hAnsi="Garamond" w:cs="Times New Roman"/>
          <w:sz w:val="20"/>
          <w:szCs w:val="20"/>
          <w:lang w:val="es-AR"/>
        </w:rPr>
        <w:t>.”</w:t>
      </w:r>
    </w:p>
    <w:p w14:paraId="593E8F91"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“Acciones Descalificadas</w:t>
      </w:r>
      <w:r w:rsidRPr="00CA0A60">
        <w:rPr>
          <w:rFonts w:ascii="Garamond" w:hAnsi="Garamond" w:cs="Times New Roman"/>
          <w:sz w:val="20"/>
          <w:szCs w:val="20"/>
          <w:lang w:val="es-AR"/>
        </w:rPr>
        <w:t>” se refiere a aquellas Acciones que, según sus términos (o según los términos de cualquier título valor al cual pudieran convertirse o por el cual pudieran canjearse a opción de su Tenedor) o que ante el acaecimiento de cualquier hecho, se produzca su vencimiento o pasen a ser rescatables obligatoriamente, de conformidad con una obligación de fondos de amortización o por otra causa, o sean rescatable a opción exclusiva del Tenedor, en cualquier caso, dentro de los 91 días posteriores al vencimiento definitivo de las Obligaciones Negociables.</w:t>
      </w:r>
    </w:p>
    <w:p w14:paraId="5016A45D"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i/>
          <w:iCs/>
          <w:color w:val="000000"/>
          <w:sz w:val="20"/>
          <w:szCs w:val="20"/>
          <w:lang w:val="es-AR" w:eastAsia="es-ES" w:bidi="es-ES"/>
        </w:rPr>
      </w:pPr>
      <w:r w:rsidRPr="00CA0A60">
        <w:rPr>
          <w:rFonts w:ascii="Garamond" w:hAnsi="Garamond" w:cs="Times New Roman"/>
          <w:i/>
          <w:iCs/>
          <w:color w:val="000000"/>
          <w:sz w:val="20"/>
          <w:szCs w:val="20"/>
          <w:lang w:val="es-AR" w:eastAsia="es-ES" w:bidi="es-ES"/>
        </w:rPr>
        <w:lastRenderedPageBreak/>
        <w:t xml:space="preserve">“Acción Ejecutoria” </w:t>
      </w:r>
      <w:r w:rsidRPr="00CA0A60">
        <w:rPr>
          <w:rFonts w:ascii="Garamond" w:hAnsi="Garamond" w:cs="Times New Roman"/>
          <w:iCs/>
          <w:color w:val="000000"/>
          <w:sz w:val="20"/>
          <w:szCs w:val="20"/>
          <w:lang w:val="es-AR" w:eastAsia="es-ES" w:bidi="es-ES"/>
        </w:rPr>
        <w:t xml:space="preserve">tiene el significado que se le asigna en </w:t>
      </w:r>
      <w:r w:rsidRPr="00CA0A60">
        <w:rPr>
          <w:rFonts w:ascii="Garamond" w:hAnsi="Garamond" w:cs="Times New Roman"/>
          <w:i/>
          <w:iCs/>
          <w:color w:val="000000"/>
          <w:sz w:val="20"/>
          <w:szCs w:val="20"/>
          <w:lang w:val="es-AR" w:eastAsia="es-ES" w:bidi="es-ES"/>
        </w:rPr>
        <w:t>“—Derechos de Garantía—Ejercicio de Recursos y Destino de los Fondos”.</w:t>
      </w:r>
    </w:p>
    <w:p w14:paraId="0FAC52D6"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iCs/>
          <w:color w:val="000000"/>
          <w:sz w:val="20"/>
          <w:szCs w:val="20"/>
          <w:lang w:val="es-AR" w:eastAsia="es-ES" w:bidi="es-ES"/>
        </w:rPr>
      </w:pPr>
      <w:r w:rsidRPr="00CA0A60">
        <w:rPr>
          <w:rFonts w:ascii="Garamond" w:hAnsi="Garamond" w:cs="Times New Roman"/>
          <w:i/>
          <w:iCs/>
          <w:color w:val="000000"/>
          <w:sz w:val="20"/>
          <w:szCs w:val="20"/>
          <w:lang w:val="es-AR" w:eastAsia="es-ES" w:bidi="es-ES"/>
        </w:rPr>
        <w:t xml:space="preserve">“Leyes Ambientales” </w:t>
      </w:r>
      <w:r w:rsidRPr="00CA0A60">
        <w:rPr>
          <w:rFonts w:ascii="Garamond" w:hAnsi="Garamond" w:cs="Times New Roman"/>
          <w:iCs/>
          <w:color w:val="000000"/>
          <w:sz w:val="20"/>
          <w:szCs w:val="20"/>
          <w:lang w:val="es-AR" w:eastAsia="es-ES" w:bidi="es-ES"/>
        </w:rPr>
        <w:t>significa todas las normas, leyes, reglamentaciones, reglas, sentencias, normas oficiales, órdenes o resoluciones de cualquier Autoridad Gubernamental, tanto federales, estaduales como locales, en cada caso conforme sean modificadas y complementadas y según su texto vigente periódicamente, que regulen o impongan responsabilidad o normas de conducta en relación con la reglamentación, el uso o la protección del medio ambiente, incluyendo, sin limitación, la atmósfera, el suelo, el agua de superficie o subterránea, humedales, aguas costeras, estratos terrestres y sub-terrestres, o relacionadas de otra forma con la generación, fabricación, procesamiento, distribución, uso, tratamiento, almacenamiento, disposición, transporte o manejo de Materiales Peligrosos o con la protección o seguridad de la salud de personas humanas u otros organismos vivos y recursos naturales relacionados con el medio ambiente, conforme puedan estar vigentes en la actualidad o en cualquier momento en el futuro.</w:t>
      </w:r>
    </w:p>
    <w:p w14:paraId="60F2A76B" w14:textId="66F676ED"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“Equipos”</w:t>
      </w:r>
      <w:r w:rsidRPr="00CA0A60">
        <w:rPr>
          <w:rFonts w:ascii="Garamond" w:hAnsi="Garamond" w:cs="Times New Roman"/>
          <w:sz w:val="20"/>
          <w:szCs w:val="20"/>
          <w:lang w:val="es-AR"/>
        </w:rPr>
        <w:t xml:space="preserve"> significa, en conjunto, los Equipos de Siemens y (a) dos turbinas de gas Pratt y Whitney FT-8 y sus respectivos generadores y caja de engranaje de propiedad de GEMSA y todos los equipos asociados instalados en la central eléctrica de GEMSA denominada “Independencia” a la Fecha de Emisión, según el siguiente detalle (i) turbinas número 80440 y 80438, generador número 919393010</w:t>
      </w:r>
      <w:r w:rsidR="00946BE7">
        <w:rPr>
          <w:rFonts w:ascii="Garamond" w:hAnsi="Garamond" w:cs="Times New Roman"/>
          <w:sz w:val="20"/>
          <w:szCs w:val="20"/>
          <w:lang w:val="es-AR"/>
        </w:rPr>
        <w:t xml:space="preserve"> y</w:t>
      </w:r>
      <w:r w:rsidRPr="00CA0A60">
        <w:rPr>
          <w:rFonts w:ascii="Garamond" w:hAnsi="Garamond" w:cs="Times New Roman"/>
          <w:sz w:val="20"/>
          <w:szCs w:val="20"/>
          <w:lang w:val="es-AR"/>
        </w:rPr>
        <w:t xml:space="preserve"> generadores a gas número P743209 y P743204; y (ii) turbinas número 80439 y 80433, generador número 919394010 y generadores a gas número P743211 y P743210; (b) una turbina de gas SGT-800 y su respectivo generador y caja de engranaje de propiedad de GEMSA y todos los equipos asociados instalados en la central eléctrica de GEMSA denominada “La Rioja” a la Fecha de Emisión, según el siguiente detalle, (i) turbina, generador y caja de engranajes identificados bajo el número BD000295U01, número 8269131, y número DD080090, respectivamente; y (c) tres turbinas de gas Pratt y Whitney FT-8 y sus respectivos generadores y caja de engranaje de propiedad de GEMSA y todos los equipos asociados instalados en la central eléctrica de GEMSA denominada “Modesto Maranzana” a la Fecha de Emisión, según el siguiente detalle (i) turbinas número 80408-CW y 80333-CCW, generador número 914088010 y generadores a gas número P743095 y P743096; (ii) turbinas número 80336-CW y 80337-CCW, generador número 914104010 y generadores a gas número P743187 y P743099, y (iii) turbinas número 80299-CW y 80409-CCW, generador número 916791010 y generadores a gas número P743183 y P743100.</w:t>
      </w:r>
    </w:p>
    <w:p w14:paraId="580D9F3E"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color w:val="000000"/>
          <w:sz w:val="20"/>
          <w:szCs w:val="20"/>
          <w:lang w:val="es-AR" w:eastAsia="es-ES" w:bidi="es-ES"/>
        </w:rPr>
      </w:pPr>
      <w:r w:rsidRPr="00CA0A60">
        <w:rPr>
          <w:rFonts w:ascii="Garamond" w:hAnsi="Garamond" w:cs="Times New Roman"/>
          <w:i/>
          <w:color w:val="000000"/>
          <w:sz w:val="20"/>
          <w:szCs w:val="20"/>
          <w:lang w:val="es-AR" w:eastAsia="es-ES" w:bidi="es-ES"/>
        </w:rPr>
        <w:t>“Derechos de Garantía sobre los Equipos”</w:t>
      </w:r>
      <w:r w:rsidRPr="00CA0A60">
        <w:rPr>
          <w:rFonts w:ascii="Garamond" w:hAnsi="Garamond" w:cs="Times New Roman"/>
          <w:iCs/>
          <w:color w:val="000000"/>
          <w:sz w:val="20"/>
          <w:szCs w:val="20"/>
          <w:lang w:val="es-AR" w:eastAsia="es-ES" w:bidi="es-ES"/>
        </w:rPr>
        <w:t xml:space="preserve"> </w:t>
      </w:r>
      <w:r w:rsidRPr="00CA0A60">
        <w:rPr>
          <w:rFonts w:ascii="Garamond" w:hAnsi="Garamond" w:cs="Times New Roman"/>
          <w:i/>
          <w:iCs/>
          <w:color w:val="000000"/>
          <w:sz w:val="20"/>
          <w:szCs w:val="20"/>
          <w:lang w:val="es-AR" w:eastAsia="es-ES" w:bidi="es-ES"/>
        </w:rPr>
        <w:t xml:space="preserve"> </w:t>
      </w:r>
      <w:r w:rsidRPr="00CA0A60">
        <w:rPr>
          <w:rFonts w:ascii="Garamond" w:hAnsi="Garamond" w:cs="Times New Roman"/>
          <w:color w:val="000000"/>
          <w:sz w:val="20"/>
          <w:szCs w:val="20"/>
          <w:lang w:val="es-AR" w:eastAsia="es-ES" w:bidi="es-ES"/>
        </w:rPr>
        <w:t>tiene el significado que se le asigna en “—Derechos de Garantía”.</w:t>
      </w:r>
    </w:p>
    <w:p w14:paraId="1DA2F287"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“Supuesto de Incumplimiento</w:t>
      </w:r>
      <w:r w:rsidRPr="00CA0A60">
        <w:rPr>
          <w:rFonts w:ascii="Garamond" w:hAnsi="Garamond" w:cs="Times New Roman"/>
          <w:sz w:val="20"/>
          <w:szCs w:val="20"/>
          <w:lang w:val="es-AR"/>
        </w:rPr>
        <w:t>’ tiene el significado que se le asigna en la Sección “Supuestos de incumplimiento”.</w:t>
      </w:r>
    </w:p>
    <w:p w14:paraId="0F3EF931"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“Supuesto de Pérdida”</w:t>
      </w:r>
      <w:r w:rsidRPr="00CA0A60">
        <w:rPr>
          <w:rFonts w:ascii="Garamond" w:hAnsi="Garamond" w:cs="Times New Roman"/>
          <w:sz w:val="20"/>
          <w:szCs w:val="20"/>
          <w:lang w:val="es-AR"/>
        </w:rPr>
        <w:t xml:space="preserve"> significa, con respecto a cualquier Persona, la destrucción o pérdida de los bienes o activos de dicha Persona, un daño económicamente irreparable en los bienes o activos de dicha Persona o el hecho de que cualquiera de los bienes o activos de dicha Persona pase a ser inapropiado para su uso normal de manera permanente.</w:t>
      </w:r>
    </w:p>
    <w:p w14:paraId="7DEA7F99"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“Ley de Mercados de Valores</w:t>
      </w:r>
      <w:r w:rsidRPr="00CA0A60">
        <w:rPr>
          <w:rFonts w:ascii="Garamond" w:hAnsi="Garamond" w:cs="Times New Roman"/>
          <w:sz w:val="20"/>
          <w:szCs w:val="20"/>
          <w:lang w:val="es-AR"/>
        </w:rPr>
        <w:t>” se refiere a la Ley estadounidense del Mercado de Títulos Valores de 1934, con sus modificaciones, o a cualquier ley que la reemplace.</w:t>
      </w:r>
    </w:p>
    <w:p w14:paraId="282E16A1"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“Expropiación”</w:t>
      </w:r>
      <w:r w:rsidRPr="00CA0A60">
        <w:rPr>
          <w:rFonts w:ascii="Garamond" w:hAnsi="Garamond" w:cs="Times New Roman"/>
          <w:sz w:val="20"/>
          <w:szCs w:val="20"/>
          <w:lang w:val="es-AR"/>
        </w:rPr>
        <w:t xml:space="preserve"> significa, con respecto a cualquier Persona, una circunstancia o hecho o serie de circunstancias o hechos como resultado de los cuales (i) todos o cualquier parte de los bienes o activos (incluyendo cualquier derecho sobre ellos asociado a una aprobación gubernamental relativa a los mismos) de dicha Persona fueran expropiados, nacionalizados, confiscados, secuestrados, adquiridos obligatoriamente o expropiados de otra forma por cualquier Autoridad Gubernamental (incluyendo por cuestiones de dominio público o de otra forma), (ii) una Autoridad Gubernamental asumiera el control permanente de todos o una parte de los bienes, activos u operaciones comerciales de dicha Persona, (iii) dicha Persona fuera disuelta como resultado de un acto de una Autoridad Gubernamental, o (iv) dicha Persona se viera impedida de llevar adelante sus negocios u operaciones o una parte sustancial de los mismos como resultado de un acto de una Autoridad Gubernamental.</w:t>
      </w:r>
    </w:p>
    <w:p w14:paraId="0B26F6AF"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“Valor Justo de Mercado</w:t>
      </w:r>
      <w:r w:rsidRPr="00CA0A60">
        <w:rPr>
          <w:rFonts w:ascii="Garamond" w:hAnsi="Garamond" w:cs="Times New Roman"/>
          <w:sz w:val="20"/>
          <w:szCs w:val="20"/>
          <w:lang w:val="es-AR"/>
        </w:rPr>
        <w:t xml:space="preserve">’ se refiere, con relación a cualquier activo, al precio por el cual podría negociarse en condiciones de igualdad en una transacción libre en el mercado, en efectivo, entre un vendedor y un comprador interesados y que no se encuentren forzados a completar la transacción. Asimismo, salvo disposición en contrario que se establezca en la presente, ello procederá </w:t>
      </w:r>
      <w:r w:rsidRPr="00CA0A60">
        <w:rPr>
          <w:rFonts w:ascii="Garamond" w:hAnsi="Garamond" w:cs="Times New Roman"/>
          <w:color w:val="000000"/>
          <w:sz w:val="20"/>
          <w:szCs w:val="20"/>
          <w:u w:val="single"/>
          <w:lang w:val="es-AR" w:eastAsia="es-ES" w:bidi="es-ES"/>
        </w:rPr>
        <w:t>con la salvedad</w:t>
      </w:r>
      <w:r w:rsidRPr="00CA0A60">
        <w:rPr>
          <w:rFonts w:ascii="Garamond" w:hAnsi="Garamond" w:cs="Times New Roman"/>
          <w:sz w:val="20"/>
          <w:szCs w:val="20"/>
          <w:lang w:val="es-AR"/>
        </w:rPr>
        <w:t xml:space="preserve"> de que para cualquier transacción que involucre al Garante o cualquiera de sus Subsidiarias, (1) si el activo tiene un precio inferior a U$S10,0 millones (o el importe equivalente en otras monedas), tal precio será determinado de buena fe por la alta dirección del Garante; (2) si el activo tiene un precio mayor o igual a U$S10,0 millones e inferior a U$S20,0 millones (o su equivalente en otra moneda), tal precio será determinado de buena fe por el Directorio del Garante y ello deberá constar en una resolución del Directorio; o (3) si el activo tiene un precio igual o mayor a U$S20,0 millones (o su equivalente en otras monedas), conforme dicho precio sea determinado por un Asesor Financiero Independiente.</w:t>
      </w:r>
    </w:p>
    <w:p w14:paraId="70D24308"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“FATCA”</w:t>
      </w:r>
      <w:r w:rsidRPr="00CA0A60">
        <w:rPr>
          <w:rFonts w:ascii="Garamond" w:hAnsi="Garamond" w:cs="Times New Roman"/>
          <w:sz w:val="20"/>
          <w:szCs w:val="20"/>
          <w:lang w:val="es-AR"/>
        </w:rPr>
        <w:t xml:space="preserve"> tiene el significado que se establece en el apartado </w:t>
      </w:r>
      <w:r w:rsidRPr="00CA0A60">
        <w:rPr>
          <w:rFonts w:ascii="Garamond" w:hAnsi="Garamond" w:cs="Times New Roman"/>
          <w:i/>
          <w:sz w:val="20"/>
          <w:szCs w:val="20"/>
          <w:lang w:val="es-AR"/>
        </w:rPr>
        <w:t>“—Montos Adicionales</w:t>
      </w:r>
      <w:r w:rsidRPr="00CA0A60">
        <w:rPr>
          <w:rFonts w:ascii="Garamond" w:hAnsi="Garamond" w:cs="Times New Roman"/>
          <w:sz w:val="20"/>
          <w:szCs w:val="20"/>
          <w:lang w:val="es-AR"/>
        </w:rPr>
        <w:t>” anterior.</w:t>
      </w:r>
    </w:p>
    <w:p w14:paraId="4D62713B"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iCs/>
          <w:color w:val="000000"/>
          <w:sz w:val="20"/>
          <w:szCs w:val="20"/>
          <w:lang w:val="es-AR" w:eastAsia="es-ES" w:bidi="es-ES"/>
        </w:rPr>
      </w:pPr>
      <w:r w:rsidRPr="00CA0A60">
        <w:rPr>
          <w:rFonts w:ascii="Garamond" w:hAnsi="Garamond" w:cs="Times New Roman"/>
          <w:i/>
          <w:iCs/>
          <w:color w:val="000000"/>
          <w:sz w:val="20"/>
          <w:szCs w:val="20"/>
          <w:lang w:val="es-AR" w:eastAsia="es-ES" w:bidi="es-ES"/>
        </w:rPr>
        <w:lastRenderedPageBreak/>
        <w:t xml:space="preserve">“Documentos de Financiación” </w:t>
      </w:r>
      <w:r w:rsidRPr="00CA0A60">
        <w:rPr>
          <w:rFonts w:ascii="Garamond" w:hAnsi="Garamond" w:cs="Times New Roman"/>
          <w:iCs/>
          <w:color w:val="000000"/>
          <w:sz w:val="20"/>
          <w:szCs w:val="20"/>
          <w:lang w:val="es-AR" w:eastAsia="es-ES" w:bidi="es-ES"/>
        </w:rPr>
        <w:t>significa, en forma colectiva:</w:t>
      </w:r>
    </w:p>
    <w:p w14:paraId="549ED0DB" w14:textId="77777777" w:rsidR="00202442" w:rsidRPr="00CA0A60" w:rsidRDefault="00202442" w:rsidP="00202442">
      <w:pPr>
        <w:widowControl w:val="0"/>
        <w:numPr>
          <w:ilvl w:val="0"/>
          <w:numId w:val="126"/>
        </w:numPr>
        <w:tabs>
          <w:tab w:val="left" w:pos="284"/>
          <w:tab w:val="left" w:pos="709"/>
          <w:tab w:val="left" w:pos="851"/>
          <w:tab w:val="left" w:pos="1418"/>
          <w:tab w:val="left" w:pos="1701"/>
          <w:tab w:val="left" w:pos="8789"/>
        </w:tabs>
        <w:spacing w:before="120" w:after="120" w:line="240" w:lineRule="auto"/>
        <w:jc w:val="both"/>
        <w:rPr>
          <w:rFonts w:ascii="Garamond" w:hAnsi="Garamond" w:cs="Times New Roman"/>
          <w:iCs/>
          <w:color w:val="000000"/>
          <w:sz w:val="20"/>
          <w:szCs w:val="20"/>
          <w:lang w:val="es-AR" w:eastAsia="es-ES" w:bidi="es-ES"/>
        </w:rPr>
      </w:pPr>
      <w:r w:rsidRPr="00CA0A60">
        <w:rPr>
          <w:rFonts w:ascii="Garamond" w:hAnsi="Garamond" w:cs="Times New Roman"/>
          <w:iCs/>
          <w:color w:val="000000"/>
          <w:sz w:val="20"/>
          <w:szCs w:val="20"/>
          <w:lang w:val="es-AR" w:eastAsia="es-ES" w:bidi="es-ES"/>
        </w:rPr>
        <w:t>el Contrato de Fideicomiso;</w:t>
      </w:r>
    </w:p>
    <w:p w14:paraId="6BBF3507" w14:textId="77777777" w:rsidR="00202442" w:rsidRPr="00CA0A60" w:rsidRDefault="00202442" w:rsidP="00202442">
      <w:pPr>
        <w:widowControl w:val="0"/>
        <w:numPr>
          <w:ilvl w:val="0"/>
          <w:numId w:val="126"/>
        </w:numPr>
        <w:tabs>
          <w:tab w:val="left" w:pos="284"/>
          <w:tab w:val="left" w:pos="709"/>
          <w:tab w:val="left" w:pos="851"/>
          <w:tab w:val="left" w:pos="1418"/>
          <w:tab w:val="left" w:pos="1701"/>
          <w:tab w:val="left" w:pos="8789"/>
        </w:tabs>
        <w:spacing w:before="120" w:after="120" w:line="240" w:lineRule="auto"/>
        <w:jc w:val="both"/>
        <w:rPr>
          <w:rFonts w:ascii="Garamond" w:hAnsi="Garamond" w:cs="Times New Roman"/>
          <w:iCs/>
          <w:color w:val="000000"/>
          <w:sz w:val="20"/>
          <w:szCs w:val="20"/>
          <w:lang w:val="es-AR" w:eastAsia="es-ES" w:bidi="es-ES"/>
        </w:rPr>
      </w:pPr>
      <w:r w:rsidRPr="00CA0A60">
        <w:rPr>
          <w:rFonts w:ascii="Garamond" w:hAnsi="Garamond" w:cs="Times New Roman"/>
          <w:iCs/>
          <w:color w:val="000000"/>
          <w:sz w:val="20"/>
          <w:szCs w:val="20"/>
          <w:lang w:val="es-AR" w:eastAsia="es-ES" w:bidi="es-ES"/>
        </w:rPr>
        <w:t>las Obligaciones Negociables emitidas en la Fecha de Emisión;</w:t>
      </w:r>
    </w:p>
    <w:p w14:paraId="216234B9" w14:textId="77777777" w:rsidR="00202442" w:rsidRPr="00CA0A60" w:rsidRDefault="00202442" w:rsidP="00202442">
      <w:pPr>
        <w:widowControl w:val="0"/>
        <w:numPr>
          <w:ilvl w:val="0"/>
          <w:numId w:val="126"/>
        </w:numPr>
        <w:tabs>
          <w:tab w:val="left" w:pos="284"/>
          <w:tab w:val="left" w:pos="709"/>
          <w:tab w:val="left" w:pos="851"/>
          <w:tab w:val="left" w:pos="1418"/>
          <w:tab w:val="left" w:pos="1701"/>
          <w:tab w:val="left" w:pos="8789"/>
        </w:tabs>
        <w:spacing w:before="120" w:after="120" w:line="240" w:lineRule="auto"/>
        <w:jc w:val="both"/>
        <w:rPr>
          <w:rFonts w:ascii="Garamond" w:hAnsi="Garamond" w:cs="Times New Roman"/>
          <w:color w:val="000000"/>
          <w:sz w:val="20"/>
          <w:szCs w:val="20"/>
          <w:lang w:val="es-AR" w:eastAsia="es-ES" w:bidi="es-ES"/>
        </w:rPr>
      </w:pPr>
      <w:r w:rsidRPr="00CA0A60">
        <w:rPr>
          <w:rFonts w:ascii="Garamond" w:hAnsi="Garamond" w:cs="Times New Roman"/>
          <w:iCs/>
          <w:color w:val="000000"/>
          <w:sz w:val="20"/>
          <w:szCs w:val="20"/>
          <w:lang w:val="es-AR" w:eastAsia="es-ES" w:bidi="es-ES"/>
        </w:rPr>
        <w:t>las Obligaciones Negociables Adicionales y cualquier contrato de fideicomiso complementario celebrado en relación con ellas;</w:t>
      </w:r>
    </w:p>
    <w:p w14:paraId="4F8D5554" w14:textId="77777777" w:rsidR="00202442" w:rsidRPr="00CA0A60" w:rsidRDefault="00202442" w:rsidP="00202442">
      <w:pPr>
        <w:widowControl w:val="0"/>
        <w:numPr>
          <w:ilvl w:val="0"/>
          <w:numId w:val="126"/>
        </w:numPr>
        <w:tabs>
          <w:tab w:val="left" w:pos="284"/>
          <w:tab w:val="left" w:pos="709"/>
          <w:tab w:val="left" w:pos="851"/>
          <w:tab w:val="left" w:pos="1418"/>
          <w:tab w:val="left" w:pos="1701"/>
          <w:tab w:val="left" w:pos="8789"/>
        </w:tabs>
        <w:spacing w:before="120" w:after="120" w:line="240" w:lineRule="auto"/>
        <w:jc w:val="both"/>
        <w:rPr>
          <w:rFonts w:ascii="Garamond" w:hAnsi="Garamond" w:cs="Times New Roman"/>
          <w:color w:val="000000"/>
          <w:sz w:val="20"/>
          <w:szCs w:val="20"/>
          <w:lang w:val="es-AR" w:eastAsia="es-ES" w:bidi="es-ES"/>
        </w:rPr>
      </w:pPr>
      <w:r w:rsidRPr="00CA0A60">
        <w:rPr>
          <w:rFonts w:ascii="Garamond" w:hAnsi="Garamond" w:cs="Times New Roman"/>
          <w:iCs/>
          <w:color w:val="000000"/>
          <w:sz w:val="20"/>
          <w:szCs w:val="20"/>
          <w:lang w:val="es-AR" w:eastAsia="es-ES" w:bidi="es-ES"/>
        </w:rPr>
        <w:t>las Garantías de ASA;</w:t>
      </w:r>
    </w:p>
    <w:p w14:paraId="7C0F5339" w14:textId="62E6DAED" w:rsidR="00202442" w:rsidRPr="00CA0A60" w:rsidRDefault="00202442" w:rsidP="00202442">
      <w:pPr>
        <w:widowControl w:val="0"/>
        <w:numPr>
          <w:ilvl w:val="0"/>
          <w:numId w:val="126"/>
        </w:numPr>
        <w:tabs>
          <w:tab w:val="left" w:pos="284"/>
          <w:tab w:val="left" w:pos="709"/>
          <w:tab w:val="left" w:pos="851"/>
          <w:tab w:val="left" w:pos="1418"/>
          <w:tab w:val="left" w:pos="1701"/>
          <w:tab w:val="left" w:pos="8789"/>
        </w:tabs>
        <w:spacing w:before="120" w:after="120" w:line="240" w:lineRule="auto"/>
        <w:jc w:val="both"/>
        <w:rPr>
          <w:rFonts w:ascii="Garamond" w:hAnsi="Garamond" w:cs="Times New Roman"/>
          <w:color w:val="000000"/>
          <w:sz w:val="20"/>
          <w:szCs w:val="20"/>
          <w:lang w:val="es-AR" w:eastAsia="es-ES" w:bidi="es-ES"/>
        </w:rPr>
      </w:pPr>
      <w:r w:rsidRPr="00CA0A60">
        <w:rPr>
          <w:rFonts w:ascii="Garamond" w:hAnsi="Garamond" w:cs="Times New Roman"/>
          <w:iCs/>
          <w:color w:val="000000"/>
          <w:sz w:val="20"/>
          <w:szCs w:val="20"/>
          <w:lang w:val="es-AR" w:eastAsia="es-ES" w:bidi="es-ES"/>
        </w:rPr>
        <w:t>los Documentos de Garantía y</w:t>
      </w:r>
    </w:p>
    <w:p w14:paraId="72F8BE7F" w14:textId="77777777" w:rsidR="00202442" w:rsidRPr="00CA0A60" w:rsidRDefault="00202442" w:rsidP="00202442">
      <w:pPr>
        <w:widowControl w:val="0"/>
        <w:numPr>
          <w:ilvl w:val="0"/>
          <w:numId w:val="126"/>
        </w:numPr>
        <w:tabs>
          <w:tab w:val="left" w:pos="284"/>
          <w:tab w:val="left" w:pos="709"/>
          <w:tab w:val="left" w:pos="851"/>
          <w:tab w:val="left" w:pos="1418"/>
          <w:tab w:val="left" w:pos="1701"/>
          <w:tab w:val="left" w:pos="8789"/>
        </w:tabs>
        <w:spacing w:before="120" w:after="120" w:line="240" w:lineRule="auto"/>
        <w:jc w:val="both"/>
        <w:rPr>
          <w:rFonts w:ascii="Garamond" w:hAnsi="Garamond" w:cs="Times New Roman"/>
          <w:i/>
          <w:sz w:val="20"/>
          <w:szCs w:val="20"/>
          <w:lang w:val="es-AR"/>
        </w:rPr>
      </w:pPr>
      <w:r w:rsidRPr="00CA0A60">
        <w:rPr>
          <w:rFonts w:ascii="Garamond" w:hAnsi="Garamond" w:cs="Times New Roman"/>
          <w:iCs/>
          <w:color w:val="000000"/>
          <w:sz w:val="20"/>
          <w:szCs w:val="20"/>
          <w:lang w:val="es-AR" w:eastAsia="es-ES" w:bidi="es-ES"/>
        </w:rPr>
        <w:t>cualquier otro documento designado periódicamente por escrito como un “Documento de Financiación” por las Co-Emisoras al Fiduciario.</w:t>
      </w:r>
    </w:p>
    <w:p w14:paraId="4BB0F3AA"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iCs/>
          <w:color w:val="000000"/>
          <w:sz w:val="20"/>
          <w:szCs w:val="20"/>
          <w:lang w:val="es-AR" w:eastAsia="es-ES" w:bidi="es-ES"/>
        </w:rPr>
      </w:pPr>
      <w:r w:rsidRPr="00CA0A60">
        <w:rPr>
          <w:rFonts w:ascii="Garamond" w:hAnsi="Garamond" w:cs="Times New Roman"/>
          <w:i/>
          <w:iCs/>
          <w:color w:val="000000"/>
          <w:sz w:val="20"/>
          <w:szCs w:val="20"/>
          <w:lang w:val="es-AR" w:eastAsia="es-ES" w:bidi="es-ES"/>
        </w:rPr>
        <w:t xml:space="preserve">“Fitch” </w:t>
      </w:r>
      <w:r w:rsidRPr="00CA0A60">
        <w:rPr>
          <w:rFonts w:ascii="Garamond" w:hAnsi="Garamond" w:cs="Times New Roman"/>
          <w:iCs/>
          <w:color w:val="000000"/>
          <w:sz w:val="20"/>
          <w:szCs w:val="20"/>
          <w:lang w:val="es-AR" w:eastAsia="es-ES" w:bidi="es-ES"/>
        </w:rPr>
        <w:t>significa Fitch Ratings Ltd. y sus sucesoras.</w:t>
      </w:r>
    </w:p>
    <w:p w14:paraId="5E809F64"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“Período de Cuatro Trimestres”</w:t>
      </w:r>
      <w:r w:rsidRPr="00CA0A60">
        <w:rPr>
          <w:rFonts w:ascii="Garamond" w:hAnsi="Garamond" w:cs="Times New Roman"/>
          <w:sz w:val="20"/>
          <w:szCs w:val="20"/>
          <w:lang w:val="es-AR"/>
        </w:rPr>
        <w:t xml:space="preserve"> tiene el significado que se establece en la definición de Índice de Cobertura de Interés Consolidado.</w:t>
      </w:r>
    </w:p>
    <w:p w14:paraId="076FA8FB"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Acuerdo de Precio de Combustible</w:t>
      </w:r>
      <w:r w:rsidRPr="00CA0A60">
        <w:rPr>
          <w:rFonts w:ascii="Garamond" w:hAnsi="Garamond" w:cs="Times New Roman"/>
          <w:sz w:val="20"/>
          <w:szCs w:val="20"/>
          <w:lang w:val="es-AR"/>
        </w:rPr>
        <w:t>” de una Persona se refiere a cualquier acuerdo de protección de precio de combustibles (incluidos, con carácter meramente enunciativo, canjes de tasas de interés, precios máximos, precios mínimos, collares, instrumentos derivados y contratos similares) y/u otros tipos de acuerdos de cobertura diseñados para brindar protección frente al riesgo del precio de los combustibles de dicha Persona. Para despejar cualquier duda, el término “Acuerdo de Precio de Combustible” no comprende contratos de compra y suministro de combustible a largo plazo.</w:t>
      </w:r>
    </w:p>
    <w:p w14:paraId="61B25D01" w14:textId="2285990D"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“Garantías de GECE”</w:t>
      </w:r>
      <w:r w:rsidRPr="00CA0A60">
        <w:rPr>
          <w:rFonts w:ascii="Garamond" w:hAnsi="Garamond" w:cs="Times New Roman"/>
          <w:sz w:val="20"/>
          <w:szCs w:val="20"/>
          <w:lang w:val="es-AR"/>
        </w:rPr>
        <w:t xml:space="preserve"> significa las Garantías del Garante por Deuda de GECE existentes a la Fecha de Emisión (incluyendo, sin limitación, una Garantía condicional con respecto a Deuda de GECE existente a la Fecha de Emisión por un monto de capital total no mayor a U$S15,8 millones (o su equivalente en otras monedas) con más los intereses devengados e impagos al momento en que dicha Garantía condicional entre en vigencia), independientemente de que dicha Garantía esté evidenciada por una garantía respecto de un contrato de préstamo, un pagaré o de otra forma</w:t>
      </w:r>
      <w:r w:rsidR="00306D21" w:rsidRPr="00CA0A60">
        <w:rPr>
          <w:rFonts w:ascii="Garamond" w:hAnsi="Garamond" w:cs="Times New Roman"/>
          <w:sz w:val="20"/>
          <w:szCs w:val="20"/>
          <w:lang w:val="es-AR"/>
        </w:rPr>
        <w:t>, o si la Deuda en virtud de la misma fuera objeto de canje, novación, conversión o fuera de otro modo asumida por el Garante o cualquiera de las Co-Emisoras en carácter de obligado principal.</w:t>
      </w:r>
    </w:p>
    <w:p w14:paraId="12A6D592"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sz w:val="20"/>
          <w:szCs w:val="20"/>
          <w:lang w:val="es-AR"/>
        </w:rPr>
        <w:t>Aprobaciones Gubernamentales</w:t>
      </w:r>
      <w:r w:rsidRPr="00CA0A60">
        <w:rPr>
          <w:rFonts w:ascii="Garamond" w:hAnsi="Garamond" w:cs="Times New Roman"/>
          <w:sz w:val="20"/>
          <w:szCs w:val="20"/>
          <w:lang w:val="es-AR"/>
        </w:rPr>
        <w:t>” significa todas las autorizaciones, consentimientos, aprobaciones, renuncias, excepciones, variaciones, presentaciones, permisos, órdenes, licencias, exenciones y declaraciones de o ante cualquier Autoridad Gubernamental, incluso en la medida de lo requerido bajo las Leyes Ambientales.</w:t>
      </w:r>
    </w:p>
    <w:p w14:paraId="255BEC3A"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Autoridad Gubernamental”</w:t>
      </w:r>
      <w:r w:rsidRPr="00CA0A60">
        <w:rPr>
          <w:rFonts w:ascii="Garamond" w:hAnsi="Garamond" w:cs="Times New Roman"/>
          <w:sz w:val="20"/>
          <w:szCs w:val="20"/>
          <w:lang w:val="es-AR"/>
        </w:rPr>
        <w:t xml:space="preserve"> se refiere al Gobierno de los Estados Unidos, de la Argentina o de cualquier otra nación o subdivisión política de ellos, sea a nivel provincial, estadual o local, así como cualquier organismo, autoridad, órgano, ente regulatorio, tribunal, banco central u otra Persona que ejerza funciones ejecutivas, legislativas, judiciales, tributarias, regulatorias o administrativas del gobierno o pertenecientes a él.</w:t>
      </w:r>
    </w:p>
    <w:p w14:paraId="52822AA9"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“Garantía”</w:t>
      </w:r>
      <w:r w:rsidRPr="00CA0A60">
        <w:rPr>
          <w:rFonts w:ascii="Garamond" w:hAnsi="Garamond" w:cs="Times New Roman"/>
          <w:sz w:val="20"/>
          <w:szCs w:val="20"/>
          <w:lang w:val="es-AR"/>
        </w:rPr>
        <w:t xml:space="preserve"> se refiere a cualquier obligación, contingente o de otra índole, correspondiente a cualquier Persona que garantice directa o indirectamente una Deuda de cualquier otra Persona:</w:t>
      </w:r>
    </w:p>
    <w:p w14:paraId="66AB7B12" w14:textId="77777777" w:rsidR="00202442" w:rsidRPr="00CA0A60" w:rsidRDefault="00202442" w:rsidP="00202442">
      <w:pPr>
        <w:widowControl w:val="0"/>
        <w:numPr>
          <w:ilvl w:val="0"/>
          <w:numId w:val="105"/>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para la compra o el pago, el anticipo o la provisión de fondos para la compra o el pago de la Deuda de dicha otra Persona, sea derivada de arreglos asociativos o mediante acuerdos de respaldo financiero, para comprar activos, mercaderías, títulos valores o servicios, compromisos de compra o de mantenimiento de las condiciones de estados financieros, o por otro medio, o</w:t>
      </w:r>
    </w:p>
    <w:p w14:paraId="5B9D4E09" w14:textId="77777777" w:rsidR="00202442" w:rsidRPr="00CA0A60" w:rsidRDefault="00202442" w:rsidP="00202442">
      <w:pPr>
        <w:widowControl w:val="0"/>
        <w:numPr>
          <w:ilvl w:val="0"/>
          <w:numId w:val="105"/>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celebrada a los fines de asegurar de cualquier otro modo al acreedor de dicha Deuda el pago de la misma o para protegerlo frente a pérdidas con relación a ella, total o parcialmente,</w:t>
      </w:r>
    </w:p>
    <w:p w14:paraId="3CC789B5"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u w:val="single"/>
          <w:lang w:val="es-AR"/>
        </w:rPr>
        <w:t>entendiéndose que</w:t>
      </w:r>
      <w:r w:rsidRPr="00CA0A60">
        <w:rPr>
          <w:rFonts w:ascii="Garamond" w:hAnsi="Garamond" w:cs="Times New Roman"/>
          <w:sz w:val="20"/>
          <w:szCs w:val="20"/>
          <w:lang w:val="es-AR"/>
        </w:rPr>
        <w:t xml:space="preserve"> la “Garantía” no incluye respaldos para el cobro ni depósitos en el giro comercial habitual. El verbo “Garantizar” tiene un significado afín.</w:t>
      </w:r>
    </w:p>
    <w:p w14:paraId="4DFAC7CF"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“Garante”</w:t>
      </w:r>
      <w:r w:rsidRPr="00CA0A60">
        <w:rPr>
          <w:rFonts w:ascii="Garamond" w:hAnsi="Garamond" w:cs="Times New Roman"/>
          <w:sz w:val="20"/>
          <w:szCs w:val="20"/>
          <w:lang w:val="es-AR"/>
        </w:rPr>
        <w:t xml:space="preserve"> significa, en cualquier momento y periódicamente, una Persona que brinda una Garantía con respecto de las obligaciones negociables.</w:t>
      </w:r>
    </w:p>
    <w:p w14:paraId="28D02EFC"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“Materiales Peligrosos”</w:t>
      </w:r>
      <w:r w:rsidRPr="00CA0A60">
        <w:rPr>
          <w:rFonts w:ascii="Garamond" w:hAnsi="Garamond" w:cs="Times New Roman"/>
          <w:sz w:val="20"/>
          <w:szCs w:val="20"/>
          <w:lang w:val="es-AR"/>
        </w:rPr>
        <w:t xml:space="preserve"> significa (a) petróleo o productos de petróleo, materiales inflamables, residuos explosivos, materiales radioactivos, asbestos en cualquier forma que es o pueda ser friable, y bifenilos policlorados (PCB) o transformadores u otros equipos que contengan fluido dieléctrico, (b) químicos u otros materiales o sustancias definidas en la actualidad o que puedan definirse en el futuro como o que estén incluidas en la definición de “sustancias peligrosas”, “residuos peligrosos”, “materiales “peligrosos”, “residuos extremadamente peligrosos”, “residuos peligrosos restringidos”, “sustancias tóxicas”, “contaminantes tóxicos”, “contaminantes”, “polucionantes” o expresiones de connotación similar bajo cualquier Ley Ambiental, y (c) cualquier otra </w:t>
      </w:r>
      <w:r w:rsidRPr="00CA0A60">
        <w:rPr>
          <w:rFonts w:ascii="Garamond" w:hAnsi="Garamond" w:cs="Times New Roman"/>
          <w:sz w:val="20"/>
          <w:szCs w:val="20"/>
          <w:lang w:val="es-AR"/>
        </w:rPr>
        <w:lastRenderedPageBreak/>
        <w:t>sustancia química o material cuya exposición esté prohibida o limitada en la actualidad o en el futuro o que esté regulada de otra forma por una Autoridad Gubernamental.</w:t>
      </w:r>
    </w:p>
    <w:p w14:paraId="55A74AC5"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“Obligaciones de Cobertura”</w:t>
      </w:r>
      <w:r w:rsidRPr="00CA0A60">
        <w:rPr>
          <w:rFonts w:ascii="Garamond" w:hAnsi="Garamond" w:cs="Times New Roman"/>
          <w:sz w:val="20"/>
          <w:szCs w:val="20"/>
          <w:lang w:val="es-AR"/>
        </w:rPr>
        <w:t xml:space="preserve"> se refiere a las obligaciones de cualquier Persona de conformidad con cualquier Acuerdo de Tasa de Interés, Acuerdo de Divisas o Acuerdo de Precio de Combustible.</w:t>
      </w:r>
    </w:p>
    <w:p w14:paraId="0DEC3D83"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“NIIF”</w:t>
      </w:r>
      <w:r w:rsidRPr="00CA0A60">
        <w:rPr>
          <w:rFonts w:ascii="Garamond" w:hAnsi="Garamond" w:cs="Times New Roman"/>
          <w:sz w:val="20"/>
          <w:szCs w:val="20"/>
          <w:lang w:val="es-AR"/>
        </w:rPr>
        <w:t xml:space="preserve"> significa Normas Internacionales de Información Financiera, emitidas por el Consejo de Normas Internacionales de Contabilidad.</w:t>
      </w:r>
    </w:p>
    <w:p w14:paraId="3B008B2E"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“Contraer”</w:t>
      </w:r>
      <w:r w:rsidRPr="00CA0A60">
        <w:rPr>
          <w:rFonts w:ascii="Garamond" w:hAnsi="Garamond" w:cs="Times New Roman"/>
          <w:sz w:val="20"/>
          <w:szCs w:val="20"/>
          <w:lang w:val="es-AR"/>
        </w:rPr>
        <w:t xml:space="preserve"> significa, con respecto a cualquier Deuda u otra obligación de cualquier Persona, crear, emitir, contraer (inclusive mediante conversión, canje o de otra manera) asumir, Garantizar o quedar obligado de otro modo con respecto a tal Deuda u obligación en el balance general de dicha Persona (y “Contraída”, “Contracción” y las diferentes conjugaciones del verbo Contraer tendrán significados correlativos a dicho término). Para evitar dudas, la Deuda derivada de la garantía de cumplimiento prestada por una Persona se Contraerá en la fecha en la que la garantía de cumplimiento pase a ser una obligación legal, válida y vinculante de dicha Persona.</w:t>
      </w:r>
    </w:p>
    <w:p w14:paraId="1EE82D38" w14:textId="77777777" w:rsidR="00202442" w:rsidRPr="00CA0A60" w:rsidRDefault="00202442" w:rsidP="00202442">
      <w:pPr>
        <w:widowControl w:val="0"/>
        <w:tabs>
          <w:tab w:val="left" w:pos="284"/>
          <w:tab w:val="left" w:pos="993"/>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“Deuda”</w:t>
      </w:r>
      <w:r w:rsidRPr="00CA0A60">
        <w:rPr>
          <w:rFonts w:ascii="Garamond" w:hAnsi="Garamond" w:cs="Times New Roman"/>
          <w:sz w:val="20"/>
          <w:szCs w:val="20"/>
          <w:lang w:val="es-AR"/>
        </w:rPr>
        <w:t xml:space="preserve"> significa, con respecto a cualquier Persona, sin traslado a otra:</w:t>
      </w:r>
    </w:p>
    <w:p w14:paraId="4C1B7816" w14:textId="77777777" w:rsidR="00202442" w:rsidRPr="00CA0A60" w:rsidRDefault="00202442" w:rsidP="00202442">
      <w:pPr>
        <w:widowControl w:val="0"/>
        <w:numPr>
          <w:ilvl w:val="0"/>
          <w:numId w:val="10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suma de capital (o, si fuese menor, el valor de acreción) de todas las obligaciones de dicha Persona en concepto de dinero prestado;</w:t>
      </w:r>
    </w:p>
    <w:p w14:paraId="54DACD6A" w14:textId="77777777" w:rsidR="00202442" w:rsidRPr="00CA0A60" w:rsidRDefault="00202442" w:rsidP="00202442">
      <w:pPr>
        <w:widowControl w:val="0"/>
        <w:numPr>
          <w:ilvl w:val="0"/>
          <w:numId w:val="10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suma de capital (o, si fuese menor, el valor de acreción) de todas las obligaciones de dicha Persona según resulten de bonos, debentures, obligaciones negociables u otros instrumentos similares;</w:t>
      </w:r>
    </w:p>
    <w:p w14:paraId="69074B26" w14:textId="77777777" w:rsidR="00202442" w:rsidRPr="00CA0A60" w:rsidRDefault="00202442" w:rsidP="00202442">
      <w:pPr>
        <w:widowControl w:val="0"/>
        <w:numPr>
          <w:ilvl w:val="0"/>
          <w:numId w:val="10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todas las Obligaciones de Arrendamiento de Capital de dicha Persona, distintas de las asumidas en virtud de contratos de compra de energía y de suministro y transporte de combustible que son consideradas como tales;</w:t>
      </w:r>
    </w:p>
    <w:p w14:paraId="57DAE35E" w14:textId="77777777" w:rsidR="00202442" w:rsidRPr="00CA0A60" w:rsidRDefault="00202442" w:rsidP="00202442">
      <w:pPr>
        <w:widowControl w:val="0"/>
        <w:numPr>
          <w:ilvl w:val="0"/>
          <w:numId w:val="10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Deuda por Financiación de Compras;</w:t>
      </w:r>
    </w:p>
    <w:p w14:paraId="035182F1" w14:textId="77777777" w:rsidR="00202442" w:rsidRPr="00CA0A60" w:rsidRDefault="00202442" w:rsidP="00202442">
      <w:pPr>
        <w:widowControl w:val="0"/>
        <w:numPr>
          <w:ilvl w:val="0"/>
          <w:numId w:val="10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todas las cartas de crédito, aceptaciones bancarias u operaciones de crédito similares, incluidas las obligaciones de reembolso relacionadas con las anteriores (salvo que la obligación de reembolso en cuestión esté vinculada con una cuenta comercial a pagar y dicha obligación se cancele dentro de los 30 días de Contraída);</w:t>
      </w:r>
    </w:p>
    <w:p w14:paraId="6918F957" w14:textId="77777777" w:rsidR="00202442" w:rsidRPr="00CA0A60" w:rsidRDefault="00202442" w:rsidP="00202442">
      <w:pPr>
        <w:widowControl w:val="0"/>
        <w:numPr>
          <w:ilvl w:val="0"/>
          <w:numId w:val="10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todas las obligaciones netas asumidas en virtud de las Obligaciones de Cobertura (incluido su valor final) de dicha Persona en la medida en que estas Obligaciones de Cobertura sean consideradas un pasivo en el balance general de dicha Persona, preparado de conformidad con las NIIF;</w:t>
      </w:r>
    </w:p>
    <w:p w14:paraId="7E227BBC" w14:textId="77777777" w:rsidR="00202442" w:rsidRPr="00CA0A60" w:rsidRDefault="00202442" w:rsidP="00202442">
      <w:pPr>
        <w:widowControl w:val="0"/>
        <w:numPr>
          <w:ilvl w:val="0"/>
          <w:numId w:val="10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todas las Deudas de cualquier otra Persona que estén garantizadas por medio de un Gravamen sobre un bien o activo de dicha Persona. Se considera que el monto de dicha Deuda es el menor entre el Valor Justo de Mercado de dicho bien o activo y el monto de la Deuda garantizada por este medio;</w:t>
      </w:r>
    </w:p>
    <w:p w14:paraId="0BF1D92E" w14:textId="77777777" w:rsidR="00202442" w:rsidRPr="00CA0A60" w:rsidRDefault="00202442" w:rsidP="00202442">
      <w:pPr>
        <w:widowControl w:val="0"/>
        <w:numPr>
          <w:ilvl w:val="0"/>
          <w:numId w:val="10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todas las Acciones Descalificadas emitidas por dicha Persona cuando el monto de la Deuda representado por dichas Acciones Descalificadas sea igual al mayor valor entre el valor resultante de la liquidación preferencial voluntaria o involuntaria y su precio máximo de recompra fijo, a excepción de los dividendos devengados, si los hubiere; </w:t>
      </w:r>
      <w:r w:rsidRPr="00CA0A60">
        <w:rPr>
          <w:rFonts w:ascii="Garamond" w:hAnsi="Garamond" w:cs="Times New Roman"/>
          <w:color w:val="000000"/>
          <w:sz w:val="20"/>
          <w:szCs w:val="20"/>
          <w:u w:val="single"/>
          <w:lang w:val="es-AR" w:eastAsia="es-ES" w:bidi="es-ES"/>
        </w:rPr>
        <w:t>siempre que</w:t>
      </w:r>
      <w:r w:rsidRPr="00CA0A60">
        <w:rPr>
          <w:rFonts w:ascii="Garamond" w:hAnsi="Garamond" w:cs="Times New Roman"/>
          <w:sz w:val="20"/>
          <w:szCs w:val="20"/>
          <w:lang w:val="es-AR"/>
        </w:rPr>
        <w:t xml:space="preserve"> se cumplan las siguientes condiciones:</w:t>
      </w:r>
    </w:p>
    <w:p w14:paraId="5825732E" w14:textId="77777777" w:rsidR="00202442" w:rsidRPr="00CA0A60" w:rsidRDefault="00202442" w:rsidP="00202442">
      <w:pPr>
        <w:widowControl w:val="0"/>
        <w:numPr>
          <w:ilvl w:val="0"/>
          <w:numId w:val="107"/>
        </w:numPr>
        <w:tabs>
          <w:tab w:val="left" w:pos="284"/>
          <w:tab w:val="left" w:pos="709"/>
          <w:tab w:val="left" w:pos="1418"/>
          <w:tab w:val="left" w:pos="1480"/>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 las Acciones Descalificadas no tienen un precio de recompra fijo, dicho precio máximo de recompra fijo será calculado de acuerdo con los términos de las Acciones Descalificadas como si las Acciones Descalificadas se compraran en cualquier fecha en la que se exija la determinación de la Deuda de conformidad con el Contrato de Fideicomiso, y</w:t>
      </w:r>
    </w:p>
    <w:p w14:paraId="2FC091C4" w14:textId="77777777" w:rsidR="00202442" w:rsidRPr="00CA0A60" w:rsidRDefault="00202442" w:rsidP="00202442">
      <w:pPr>
        <w:widowControl w:val="0"/>
        <w:numPr>
          <w:ilvl w:val="0"/>
          <w:numId w:val="107"/>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 el precio máximo de recompra fijo se basa en el valor justo de mercado de las Acciones Descalificadas, o se mide con este, el valor justo de mercado será su Valor Justo de Mercado; e</w:t>
      </w:r>
    </w:p>
    <w:p w14:paraId="09A4CED1" w14:textId="183D5856" w:rsidR="00202442" w:rsidRPr="00CA0A60" w:rsidRDefault="00202442" w:rsidP="00202442">
      <w:pPr>
        <w:widowControl w:val="0"/>
        <w:numPr>
          <w:ilvl w:val="0"/>
          <w:numId w:val="106"/>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todas las obligaciones a las que se hace referencia en las cláusulas (a) a (</w:t>
      </w:r>
      <w:r w:rsidR="00946BE7">
        <w:rPr>
          <w:rFonts w:ascii="Garamond" w:hAnsi="Garamond" w:cs="Times New Roman"/>
          <w:sz w:val="20"/>
          <w:szCs w:val="20"/>
          <w:lang w:val="es-AR"/>
        </w:rPr>
        <w:t>h</w:t>
      </w:r>
      <w:r w:rsidRPr="00CA0A60">
        <w:rPr>
          <w:rFonts w:ascii="Garamond" w:hAnsi="Garamond" w:cs="Times New Roman"/>
          <w:sz w:val="20"/>
          <w:szCs w:val="20"/>
          <w:lang w:val="es-AR"/>
        </w:rPr>
        <w:t>) de otras Personas Garantizadas por dicha Persona o respecto de las cuales dicha Persona se encuentre obligada de otra manera en calidad de deudor, garante o de otro modo;</w:t>
      </w:r>
    </w:p>
    <w:p w14:paraId="129EEDC3"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monto de la Deuda de cualquier Persona en cualquier fecha será el saldo pendiente a esa fecha de todas las obligaciones incondicionales descriptas anteriormente y el pasivo máximo, tras la ocurrencia de la contingencia que da lugar a la obligación, de las obligaciones contingentes a dicha fecha.</w:t>
      </w:r>
    </w:p>
    <w:p w14:paraId="76141067" w14:textId="59BEB38A" w:rsidR="00202442" w:rsidRPr="00CA0A60" w:rsidRDefault="00202442" w:rsidP="00B73F3E">
      <w:pPr>
        <w:autoSpaceDE w:val="0"/>
        <w:autoSpaceDN w:val="0"/>
        <w:adjustRightInd w:val="0"/>
        <w:spacing w:after="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“Inmueble Independencia”</w:t>
      </w:r>
      <w:r w:rsidRPr="00CA0A60">
        <w:rPr>
          <w:rFonts w:ascii="Garamond" w:hAnsi="Garamond" w:cs="Times New Roman"/>
          <w:sz w:val="20"/>
          <w:szCs w:val="20"/>
          <w:lang w:val="es-AR"/>
        </w:rPr>
        <w:t xml:space="preserve"> </w:t>
      </w:r>
      <w:r w:rsidR="00306D21" w:rsidRPr="00CA0A60">
        <w:rPr>
          <w:rFonts w:ascii="Garamond" w:hAnsi="Garamond" w:cs="Times New Roman"/>
          <w:sz w:val="20"/>
          <w:szCs w:val="20"/>
          <w:lang w:val="es-AR"/>
        </w:rPr>
        <w:t>significa</w:t>
      </w:r>
      <w:r w:rsidR="00696EA3">
        <w:rPr>
          <w:rFonts w:ascii="Garamond" w:hAnsi="Garamond" w:cs="Times New Roman"/>
          <w:sz w:val="20"/>
          <w:szCs w:val="20"/>
          <w:lang w:val="es-AR"/>
        </w:rPr>
        <w:t xml:space="preserve"> (a)</w:t>
      </w:r>
      <w:r w:rsidR="00306D21" w:rsidRPr="00CA0A60">
        <w:rPr>
          <w:rFonts w:ascii="Garamond" w:hAnsi="Garamond" w:cs="Times New Roman"/>
          <w:sz w:val="20"/>
          <w:szCs w:val="20"/>
          <w:lang w:val="es-AR"/>
        </w:rPr>
        <w:t xml:space="preserve"> una fracción de terreno identificada por </w:t>
      </w:r>
      <w:r w:rsidR="006400CB">
        <w:rPr>
          <w:rFonts w:ascii="Garamond" w:hAnsi="Garamond" w:cs="Times New Roman"/>
          <w:sz w:val="20"/>
          <w:szCs w:val="20"/>
          <w:lang w:val="es-AR"/>
        </w:rPr>
        <w:t>la nomenclatura</w:t>
      </w:r>
      <w:r w:rsidR="00306D21" w:rsidRPr="00CA0A60">
        <w:rPr>
          <w:rFonts w:ascii="Garamond" w:hAnsi="Garamond" w:cs="Times New Roman"/>
          <w:sz w:val="20"/>
          <w:szCs w:val="20"/>
          <w:lang w:val="es-AR"/>
        </w:rPr>
        <w:t xml:space="preserve"> catastral Nº “Circunscripción I – Sección 27 – Manzana 6 – Parcela 29” en la Dirección General de Catastro de Tucumán, adquirida por GEMSA en 2018 y cuyo dominio de la propiedad se encuentra registrado en la Escritura Nº </w:t>
      </w:r>
      <w:r w:rsidR="006400CB">
        <w:rPr>
          <w:rFonts w:ascii="Garamond" w:hAnsi="Garamond" w:cs="Times New Roman"/>
          <w:sz w:val="20"/>
          <w:szCs w:val="20"/>
          <w:lang w:val="es-AR"/>
        </w:rPr>
        <w:t>6</w:t>
      </w:r>
      <w:r w:rsidR="00306D21" w:rsidRPr="00CA0A60">
        <w:rPr>
          <w:rFonts w:ascii="Garamond" w:hAnsi="Garamond" w:cs="Times New Roman"/>
          <w:sz w:val="20"/>
          <w:szCs w:val="20"/>
          <w:lang w:val="es-AR"/>
        </w:rPr>
        <w:t xml:space="preserve">38 de 2018 otorgada por el Escribano Público Felipe Manuel Yofre, a cargo del Registro Notarial Nº 2084 de la Ciudad de Buenos Aires, y matriculado en el Colegio de Escribanos de la Ciudad de Buenos Aires bajo el Nº </w:t>
      </w:r>
      <w:r w:rsidR="00306D21" w:rsidRPr="00CA0A60">
        <w:rPr>
          <w:rFonts w:ascii="Garamond" w:hAnsi="Garamond" w:cs="Times New Roman"/>
          <w:sz w:val="20"/>
          <w:szCs w:val="20"/>
          <w:lang w:val="es-AR"/>
        </w:rPr>
        <w:lastRenderedPageBreak/>
        <w:t>4373</w:t>
      </w:r>
      <w:r w:rsidR="00696EA3">
        <w:rPr>
          <w:rFonts w:ascii="Garamond" w:hAnsi="Garamond" w:cs="Times New Roman"/>
          <w:sz w:val="20"/>
          <w:szCs w:val="20"/>
          <w:lang w:val="es-AR"/>
        </w:rPr>
        <w:t>; (b) una fracción de terreno identificad</w:t>
      </w:r>
      <w:r w:rsidR="006400CB">
        <w:rPr>
          <w:rFonts w:ascii="Garamond" w:hAnsi="Garamond" w:cs="Times New Roman"/>
          <w:sz w:val="20"/>
          <w:szCs w:val="20"/>
          <w:lang w:val="es-AR"/>
        </w:rPr>
        <w:t>a</w:t>
      </w:r>
      <w:r w:rsidR="00696EA3">
        <w:rPr>
          <w:rFonts w:ascii="Garamond" w:hAnsi="Garamond" w:cs="Times New Roman"/>
          <w:sz w:val="20"/>
          <w:szCs w:val="20"/>
          <w:lang w:val="es-AR"/>
        </w:rPr>
        <w:t xml:space="preserve"> por l</w:t>
      </w:r>
      <w:r w:rsidR="006400CB">
        <w:rPr>
          <w:rFonts w:ascii="Garamond" w:hAnsi="Garamond" w:cs="Times New Roman"/>
          <w:sz w:val="20"/>
          <w:szCs w:val="20"/>
          <w:lang w:val="es-AR"/>
        </w:rPr>
        <w:t>a</w:t>
      </w:r>
      <w:r w:rsidR="00696EA3">
        <w:rPr>
          <w:rFonts w:ascii="Garamond" w:hAnsi="Garamond" w:cs="Times New Roman"/>
          <w:sz w:val="20"/>
          <w:szCs w:val="20"/>
          <w:lang w:val="es-AR"/>
        </w:rPr>
        <w:t xml:space="preserve"> </w:t>
      </w:r>
      <w:r w:rsidR="006400CB">
        <w:rPr>
          <w:rFonts w:ascii="Garamond" w:hAnsi="Garamond" w:cs="Times New Roman"/>
          <w:sz w:val="20"/>
          <w:szCs w:val="20"/>
          <w:lang w:val="es-AR"/>
        </w:rPr>
        <w:t>nomenclatura</w:t>
      </w:r>
      <w:r w:rsidR="00696EA3">
        <w:rPr>
          <w:rFonts w:ascii="Garamond" w:hAnsi="Garamond" w:cs="Times New Roman"/>
          <w:sz w:val="20"/>
          <w:szCs w:val="20"/>
          <w:lang w:val="es-AR"/>
        </w:rPr>
        <w:t xml:space="preserve"> catastral N° “Circunscripción I – Sección 27 –Manzana 6 – Parcela 29i”</w:t>
      </w:r>
      <w:r w:rsidR="006400CB">
        <w:rPr>
          <w:rFonts w:ascii="Garamond" w:hAnsi="Garamond" w:cs="Times New Roman"/>
          <w:sz w:val="20"/>
          <w:szCs w:val="20"/>
          <w:lang w:val="es-AR"/>
        </w:rPr>
        <w:t xml:space="preserve"> en la </w:t>
      </w:r>
      <w:r w:rsidR="006400CB" w:rsidRPr="00CA0A60">
        <w:rPr>
          <w:rFonts w:ascii="Garamond" w:hAnsi="Garamond" w:cs="Times New Roman"/>
          <w:sz w:val="20"/>
          <w:szCs w:val="20"/>
          <w:lang w:val="es-AR"/>
        </w:rPr>
        <w:t>Dirección General de Catastro de Tucumán</w:t>
      </w:r>
      <w:r w:rsidR="006400CB">
        <w:rPr>
          <w:rFonts w:ascii="Garamond" w:hAnsi="Garamond" w:cs="Times New Roman"/>
          <w:sz w:val="20"/>
          <w:szCs w:val="20"/>
          <w:lang w:val="es-AR"/>
        </w:rPr>
        <w:t>,</w:t>
      </w:r>
      <w:r w:rsidR="006400CB" w:rsidRPr="006400CB">
        <w:rPr>
          <w:rFonts w:ascii="Garamond" w:hAnsi="Garamond" w:cs="Times New Roman"/>
          <w:sz w:val="20"/>
          <w:szCs w:val="20"/>
          <w:lang w:val="es-AR"/>
        </w:rPr>
        <w:t xml:space="preserve"> </w:t>
      </w:r>
      <w:r w:rsidR="006400CB" w:rsidRPr="00CA0A60">
        <w:rPr>
          <w:rFonts w:ascii="Garamond" w:hAnsi="Garamond" w:cs="Times New Roman"/>
          <w:sz w:val="20"/>
          <w:szCs w:val="20"/>
          <w:lang w:val="es-AR"/>
        </w:rPr>
        <w:t xml:space="preserve">adquirida por GEMSA en 2018 y cuyo dominio de la propiedad se encuentra registrado en la Escritura Nº </w:t>
      </w:r>
      <w:r w:rsidR="006400CB">
        <w:rPr>
          <w:rFonts w:ascii="Garamond" w:hAnsi="Garamond" w:cs="Times New Roman"/>
          <w:sz w:val="20"/>
          <w:szCs w:val="20"/>
          <w:lang w:val="es-AR"/>
        </w:rPr>
        <w:t>6</w:t>
      </w:r>
      <w:r w:rsidR="006400CB" w:rsidRPr="00CA0A60">
        <w:rPr>
          <w:rFonts w:ascii="Garamond" w:hAnsi="Garamond" w:cs="Times New Roman"/>
          <w:sz w:val="20"/>
          <w:szCs w:val="20"/>
          <w:lang w:val="es-AR"/>
        </w:rPr>
        <w:t>38 de 2018 otorgada por el Escribano Público Felipe Manuel Yofre, a cargo del Registro Notarial Nº 2084 de la Ciudad de Buenos Aires, y matriculado en el Colegio de Escribanos de la Ciudad de Buenos Aires bajo el Nº 4373</w:t>
      </w:r>
      <w:r w:rsidR="006400CB">
        <w:rPr>
          <w:rFonts w:ascii="Garamond" w:hAnsi="Garamond" w:cs="Times New Roman"/>
          <w:sz w:val="20"/>
          <w:szCs w:val="20"/>
          <w:lang w:val="es-AR"/>
        </w:rPr>
        <w:t>; y (c) una fracción de terreno identificada por la nomenclatura catastral N° “</w:t>
      </w:r>
      <w:r w:rsidR="006400CB" w:rsidRPr="00CA0A60">
        <w:rPr>
          <w:rFonts w:ascii="Garamond" w:hAnsi="Garamond" w:cs="Times New Roman"/>
          <w:sz w:val="20"/>
          <w:szCs w:val="20"/>
          <w:lang w:val="es-AR"/>
        </w:rPr>
        <w:t>Circunscripción I – Sección 27 – Manzana 6 – Parcela 2</w:t>
      </w:r>
      <w:r w:rsidR="006400CB">
        <w:rPr>
          <w:rFonts w:ascii="Garamond" w:hAnsi="Garamond" w:cs="Times New Roman"/>
          <w:sz w:val="20"/>
          <w:szCs w:val="20"/>
          <w:lang w:val="es-AR"/>
        </w:rPr>
        <w:t>7”</w:t>
      </w:r>
      <w:r w:rsidR="006400CB" w:rsidRPr="006400CB">
        <w:rPr>
          <w:rFonts w:ascii="Garamond" w:hAnsi="Garamond" w:cs="Times New Roman"/>
          <w:sz w:val="20"/>
          <w:szCs w:val="20"/>
          <w:lang w:val="es-AR"/>
        </w:rPr>
        <w:t xml:space="preserve"> </w:t>
      </w:r>
      <w:r w:rsidR="006400CB">
        <w:rPr>
          <w:rFonts w:ascii="Garamond" w:hAnsi="Garamond" w:cs="Times New Roman"/>
          <w:sz w:val="20"/>
          <w:szCs w:val="20"/>
          <w:lang w:val="es-AR"/>
        </w:rPr>
        <w:t xml:space="preserve">en la </w:t>
      </w:r>
      <w:r w:rsidR="006400CB" w:rsidRPr="00CA0A60">
        <w:rPr>
          <w:rFonts w:ascii="Garamond" w:hAnsi="Garamond" w:cs="Times New Roman"/>
          <w:sz w:val="20"/>
          <w:szCs w:val="20"/>
          <w:lang w:val="es-AR"/>
        </w:rPr>
        <w:t>Dirección General de Catastro de Tucumán</w:t>
      </w:r>
      <w:r w:rsidR="006400CB">
        <w:rPr>
          <w:rFonts w:ascii="Garamond" w:hAnsi="Garamond" w:cs="Times New Roman"/>
          <w:sz w:val="20"/>
          <w:szCs w:val="20"/>
          <w:lang w:val="es-AR"/>
        </w:rPr>
        <w:t>,</w:t>
      </w:r>
      <w:r w:rsidR="006400CB" w:rsidRPr="006400CB">
        <w:rPr>
          <w:rFonts w:ascii="Garamond" w:hAnsi="Garamond" w:cs="Times New Roman"/>
          <w:sz w:val="20"/>
          <w:szCs w:val="20"/>
          <w:lang w:val="es-AR"/>
        </w:rPr>
        <w:t xml:space="preserve"> </w:t>
      </w:r>
      <w:r w:rsidR="006400CB" w:rsidRPr="00CA0A60">
        <w:rPr>
          <w:rFonts w:ascii="Garamond" w:hAnsi="Garamond" w:cs="Times New Roman"/>
          <w:sz w:val="20"/>
          <w:szCs w:val="20"/>
          <w:lang w:val="es-AR"/>
        </w:rPr>
        <w:t>adquirida por GEMSA en 201</w:t>
      </w:r>
      <w:r w:rsidR="006400CB">
        <w:rPr>
          <w:rFonts w:ascii="Garamond" w:hAnsi="Garamond" w:cs="Times New Roman"/>
          <w:sz w:val="20"/>
          <w:szCs w:val="20"/>
          <w:lang w:val="es-AR"/>
        </w:rPr>
        <w:t>6</w:t>
      </w:r>
      <w:r w:rsidR="006400CB" w:rsidRPr="00CA0A60">
        <w:rPr>
          <w:rFonts w:ascii="Garamond" w:hAnsi="Garamond" w:cs="Times New Roman"/>
          <w:sz w:val="20"/>
          <w:szCs w:val="20"/>
          <w:lang w:val="es-AR"/>
        </w:rPr>
        <w:t xml:space="preserve"> y cuyo dominio de la propiedad se encuentra registrado en la Escritura Nº </w:t>
      </w:r>
      <w:r w:rsidR="006400CB">
        <w:rPr>
          <w:rFonts w:ascii="Garamond" w:hAnsi="Garamond" w:cs="Times New Roman"/>
          <w:sz w:val="20"/>
          <w:szCs w:val="20"/>
          <w:lang w:val="es-AR"/>
        </w:rPr>
        <w:t>23</w:t>
      </w:r>
      <w:r w:rsidR="006400CB" w:rsidRPr="00CA0A60">
        <w:rPr>
          <w:rFonts w:ascii="Garamond" w:hAnsi="Garamond" w:cs="Times New Roman"/>
          <w:sz w:val="20"/>
          <w:szCs w:val="20"/>
          <w:lang w:val="es-AR"/>
        </w:rPr>
        <w:t>8 de 201</w:t>
      </w:r>
      <w:r w:rsidR="006400CB">
        <w:rPr>
          <w:rFonts w:ascii="Garamond" w:hAnsi="Garamond" w:cs="Times New Roman"/>
          <w:sz w:val="20"/>
          <w:szCs w:val="20"/>
          <w:lang w:val="es-AR"/>
        </w:rPr>
        <w:t>6</w:t>
      </w:r>
      <w:r w:rsidR="006400CB" w:rsidRPr="00CA0A60">
        <w:rPr>
          <w:rFonts w:ascii="Garamond" w:hAnsi="Garamond" w:cs="Times New Roman"/>
          <w:sz w:val="20"/>
          <w:szCs w:val="20"/>
          <w:lang w:val="es-AR"/>
        </w:rPr>
        <w:t xml:space="preserve"> otorgada por l</w:t>
      </w:r>
      <w:r w:rsidR="006400CB">
        <w:rPr>
          <w:rFonts w:ascii="Garamond" w:hAnsi="Garamond" w:cs="Times New Roman"/>
          <w:sz w:val="20"/>
          <w:szCs w:val="20"/>
          <w:lang w:val="es-AR"/>
        </w:rPr>
        <w:t>a Escribano Pública</w:t>
      </w:r>
      <w:r w:rsidR="006400CB" w:rsidRPr="00CA0A60">
        <w:rPr>
          <w:rFonts w:ascii="Garamond" w:hAnsi="Garamond" w:cs="Times New Roman"/>
          <w:sz w:val="20"/>
          <w:szCs w:val="20"/>
          <w:lang w:val="es-AR"/>
        </w:rPr>
        <w:t xml:space="preserve"> </w:t>
      </w:r>
      <w:r w:rsidR="006400CB">
        <w:rPr>
          <w:rFonts w:ascii="Garamond" w:hAnsi="Garamond" w:cs="Times New Roman"/>
          <w:sz w:val="20"/>
          <w:szCs w:val="20"/>
          <w:lang w:val="es-AR"/>
        </w:rPr>
        <w:t>María Susana Dip de Figueroa</w:t>
      </w:r>
      <w:r w:rsidR="006400CB" w:rsidRPr="00CA0A60">
        <w:rPr>
          <w:rFonts w:ascii="Garamond" w:hAnsi="Garamond" w:cs="Times New Roman"/>
          <w:sz w:val="20"/>
          <w:szCs w:val="20"/>
          <w:lang w:val="es-AR"/>
        </w:rPr>
        <w:t xml:space="preserve">, a cargo del Registro Notarial Nº </w:t>
      </w:r>
      <w:r w:rsidR="006400CB">
        <w:rPr>
          <w:rFonts w:ascii="Garamond" w:hAnsi="Garamond" w:cs="Times New Roman"/>
          <w:sz w:val="20"/>
          <w:szCs w:val="20"/>
          <w:lang w:val="es-AR"/>
        </w:rPr>
        <w:t>20</w:t>
      </w:r>
      <w:r w:rsidR="006400CB" w:rsidRPr="00CA0A60">
        <w:rPr>
          <w:rFonts w:ascii="Garamond" w:hAnsi="Garamond" w:cs="Times New Roman"/>
          <w:sz w:val="20"/>
          <w:szCs w:val="20"/>
          <w:lang w:val="es-AR"/>
        </w:rPr>
        <w:t xml:space="preserve"> de la </w:t>
      </w:r>
      <w:r w:rsidR="006400CB">
        <w:rPr>
          <w:rFonts w:ascii="Garamond" w:hAnsi="Garamond" w:cs="Times New Roman"/>
          <w:sz w:val="20"/>
          <w:szCs w:val="20"/>
          <w:lang w:val="es-AR"/>
        </w:rPr>
        <w:t>Provincia de Tucumán.</w:t>
      </w:r>
    </w:p>
    <w:p w14:paraId="7AC632F4" w14:textId="0E3B0400"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 xml:space="preserve">“Derechos de Garantía sobre </w:t>
      </w:r>
      <w:r w:rsidR="00B816E3" w:rsidRPr="00CA0A60">
        <w:rPr>
          <w:rFonts w:ascii="Garamond" w:hAnsi="Garamond" w:cs="Times New Roman"/>
          <w:i/>
          <w:iCs/>
          <w:sz w:val="20"/>
          <w:szCs w:val="20"/>
          <w:lang w:val="es-AR"/>
        </w:rPr>
        <w:t>el</w:t>
      </w:r>
      <w:r w:rsidRPr="00CA0A60">
        <w:rPr>
          <w:rFonts w:ascii="Garamond" w:hAnsi="Garamond" w:cs="Times New Roman"/>
          <w:i/>
          <w:iCs/>
          <w:sz w:val="20"/>
          <w:szCs w:val="20"/>
          <w:lang w:val="es-AR"/>
        </w:rPr>
        <w:t xml:space="preserve"> Inmueble Independencia”</w:t>
      </w:r>
      <w:r w:rsidRPr="00CA0A60">
        <w:rPr>
          <w:rFonts w:ascii="Garamond" w:hAnsi="Garamond" w:cs="Times New Roman"/>
          <w:sz w:val="20"/>
          <w:szCs w:val="20"/>
          <w:lang w:val="es-AR"/>
        </w:rPr>
        <w:t xml:space="preserve"> tiene el significado que se le asigna en “—Derechos de Garantía”.</w:t>
      </w:r>
    </w:p>
    <w:p w14:paraId="209DBE71"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Asesor Financiero Independiente</w:t>
      </w:r>
      <w:r w:rsidRPr="00CA0A60">
        <w:rPr>
          <w:rFonts w:ascii="Garamond" w:hAnsi="Garamond" w:cs="Times New Roman"/>
          <w:sz w:val="20"/>
          <w:szCs w:val="20"/>
          <w:lang w:val="es-AR"/>
        </w:rPr>
        <w:t>” es una empresa contable, empresa de tasación, banco de inversiones o consultor que, a juicio del Directorio del Garante, está calificado para realizar la tarea para la que ha sido contratado y que es independiente en relación con la operación en cuestión.</w:t>
      </w:r>
    </w:p>
    <w:p w14:paraId="5E9FBC02"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“Contrato de Tipo de Interés</w:t>
      </w:r>
      <w:r w:rsidRPr="00CA0A60">
        <w:rPr>
          <w:rFonts w:ascii="Garamond" w:hAnsi="Garamond" w:cs="Times New Roman"/>
          <w:sz w:val="20"/>
          <w:szCs w:val="20"/>
          <w:lang w:val="es-AR"/>
        </w:rPr>
        <w:t>” de cualquier Persona se refiere a todo contrato de protección del tipo de interés (incluidos, a mero título enunciativo, los canjes de tipo de interés, tipos de interés máximos y mínimos, instrumentos de cobertura, instrumentos derivados y acuerdos similares) u otros contratos de cobertura cuya finalidad sea cubrir el riesgo de tipo de interés de dicha Persona.</w:t>
      </w:r>
    </w:p>
    <w:p w14:paraId="30FC7317"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Inversión</w:t>
      </w:r>
      <w:r w:rsidRPr="00CA0A60">
        <w:rPr>
          <w:rFonts w:ascii="Garamond" w:hAnsi="Garamond" w:cs="Times New Roman"/>
          <w:sz w:val="20"/>
          <w:szCs w:val="20"/>
          <w:lang w:val="es-AR"/>
        </w:rPr>
        <w:t>” significa, con respecto a cualquier Persona:</w:t>
      </w:r>
    </w:p>
    <w:p w14:paraId="5FD81571" w14:textId="77777777" w:rsidR="00202442" w:rsidRPr="00CA0A60" w:rsidRDefault="00202442" w:rsidP="00202442">
      <w:pPr>
        <w:widowControl w:val="0"/>
        <w:numPr>
          <w:ilvl w:val="0"/>
          <w:numId w:val="108"/>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todo préstamo directo o indirecto, adelanto u otra extensión de crédito (por ejemplo, una Garantía) a cualquier otra Persona (que no se trate de adelantos a clientes o proveedores en el desarrollo normal de la actividad comercial registrados en el balance general como cuentas por cobrar, gastos pagados por adelantado o depósitos),</w:t>
      </w:r>
    </w:p>
    <w:p w14:paraId="7FBB72F4" w14:textId="77777777" w:rsidR="00202442" w:rsidRPr="00CA0A60" w:rsidRDefault="00202442" w:rsidP="00202442">
      <w:pPr>
        <w:widowControl w:val="0"/>
        <w:numPr>
          <w:ilvl w:val="0"/>
          <w:numId w:val="108"/>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todo aporte de capital (por medio de una transferencia de efectivo u otros bienes a otras Personas o el pago por bienes o servicios a cuenta o para el uso de otros) a cualquier otra Persona; o</w:t>
      </w:r>
    </w:p>
    <w:p w14:paraId="5535F1DA" w14:textId="77777777" w:rsidR="00202442" w:rsidRPr="00CA0A60" w:rsidRDefault="00202442" w:rsidP="00202442">
      <w:pPr>
        <w:widowControl w:val="0"/>
        <w:numPr>
          <w:ilvl w:val="0"/>
          <w:numId w:val="108"/>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toda compra o adquisición por parte de dicha Persona de Acciones, bonos, obligaciones negociables, debentures u otros valores o certificados de Deuda emitidos por cualquier otra Persona.</w:t>
      </w:r>
    </w:p>
    <w:p w14:paraId="118C11BD"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Se considerará que el Garante ha realizado una “Inversión” en una Subsidiaria No Restringida en el momento de su Designación, Inversión que será valuada al Valor Justo de Mercado del importe de los activos netos de dicha Subsidiaria No Restringida en el momento de su Designación y el monto de cualquier Deuda de dicha Subsidiaria No Restringida debido al Garante o cualquier Subsidiaria Restringida inmediatamente después de dicha Designación. Todos los bienes transferidos hacia o desde una Subsidiaria No Restringida se valorarán a su Valor Justo de Mercado en el momento de dicha transferencia. Si el Garante o cualquier Subsidiaria Restringida vende o de otra forma enajena las Acciones de cualquier Subsidiaria Restringida (incluida toda emisión y venta de Acciones por parte de una Subsidiaria Restringida) de tal manera que, después de dar efecto a dicha venta o enajenación, la Co-Emisora o Subsidiaria Restringida en cuestión dejara de ser una Subsidiaria del Garante, se considerará que el Garante o la Subsidiaria Restringida, según sea el caso, han realizado una Inversión en la fecha de dicha venta o enajenación por un importe igual al Valor Justo de Mercado de las Acciones de dicha ex Subsidiaria en posesión del Garante, la Co-Emisora pertinente o la Subsidiaria Restringida pertinente inmediatamente después de dicha venta o enajenación y al monto de la Deuda de la ex Subsidiaria Garantizado por el Garante, la Co-Emisora pertinente o la Subsidiaria Restringida pertinente o adeudado a el Garante, la Co-Emisora pertinente o la Subsidiaria Restringida pertinente inmediatamente después de dicha venta o enajenación.</w:t>
      </w:r>
    </w:p>
    <w:p w14:paraId="45913575"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“Fecha de Emisión</w:t>
      </w:r>
      <w:r w:rsidRPr="00CA0A60">
        <w:rPr>
          <w:rFonts w:ascii="Garamond" w:hAnsi="Garamond" w:cs="Times New Roman"/>
          <w:sz w:val="20"/>
          <w:szCs w:val="20"/>
          <w:lang w:val="es-AR"/>
        </w:rPr>
        <w:t>” es la fecha en la que se emiten las Obligaciones Negociables bajo el Contrato de Fideicomiso.</w:t>
      </w:r>
    </w:p>
    <w:p w14:paraId="6EBCB360"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“Cancelación Legal”</w:t>
      </w:r>
      <w:r w:rsidRPr="00CA0A60">
        <w:rPr>
          <w:rFonts w:ascii="Garamond" w:hAnsi="Garamond" w:cs="Times New Roman"/>
          <w:sz w:val="20"/>
          <w:szCs w:val="20"/>
          <w:lang w:val="es-AR"/>
        </w:rPr>
        <w:t xml:space="preserve"> tiene el significado que se establece en el apartado “</w:t>
      </w:r>
      <w:r w:rsidRPr="00CA0A60">
        <w:rPr>
          <w:rFonts w:ascii="Garamond" w:hAnsi="Garamond" w:cs="Times New Roman"/>
          <w:i/>
          <w:sz w:val="20"/>
          <w:szCs w:val="20"/>
          <w:lang w:val="es-AR"/>
        </w:rPr>
        <w:t>Cancelación Legal y Cancelación de Compromisos</w:t>
      </w:r>
      <w:r w:rsidRPr="00CA0A60">
        <w:rPr>
          <w:rFonts w:ascii="Garamond" w:hAnsi="Garamond" w:cs="Times New Roman"/>
          <w:sz w:val="20"/>
          <w:szCs w:val="20"/>
          <w:lang w:val="es-AR"/>
        </w:rPr>
        <w:t>”.</w:t>
      </w:r>
    </w:p>
    <w:p w14:paraId="583A5CF7" w14:textId="77777777" w:rsidR="00202442"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sidDel="007B4C4F">
        <w:rPr>
          <w:rFonts w:ascii="Garamond" w:hAnsi="Garamond" w:cs="Times New Roman"/>
          <w:i/>
          <w:sz w:val="20"/>
          <w:szCs w:val="20"/>
          <w:lang w:val="es-AR"/>
        </w:rPr>
        <w:t xml:space="preserve"> </w:t>
      </w: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Gravamen</w:t>
      </w:r>
      <w:r w:rsidRPr="00CA0A60">
        <w:rPr>
          <w:rFonts w:ascii="Garamond" w:hAnsi="Garamond" w:cs="Times New Roman"/>
          <w:sz w:val="20"/>
          <w:szCs w:val="20"/>
          <w:lang w:val="es-AR"/>
        </w:rPr>
        <w:t xml:space="preserve">” significa, con respecto a cualquier activo (i) cualquier hipoteca, escritura de fideicomiso, cesión fiduciaria con fines de garantía, gravamen, prenda, restricción, carga, cesión fiduciaria o en garantía, con el objeto de constituir un derecho real de garantía o gravamen respecto de dicho activo, (ii) el interés de un proveedor o locador bajo un contrato de venta condicional, arrendamiento financiero o contrato de reserva de dominio (o un arrendamiento financiero que posea esencialmente el mismo efecto económico que cualquiera de los anteriores) en relación con dicho activo, y (iii) en el caso de títulos valores, una opción de compra, </w:t>
      </w:r>
      <w:r w:rsidRPr="00CA0A60">
        <w:rPr>
          <w:rFonts w:ascii="Garamond" w:hAnsi="Garamond" w:cs="Times New Roman"/>
          <w:i/>
          <w:sz w:val="20"/>
          <w:szCs w:val="20"/>
          <w:lang w:val="es-AR"/>
        </w:rPr>
        <w:t xml:space="preserve">call </w:t>
      </w:r>
      <w:r w:rsidRPr="00CA0A60">
        <w:rPr>
          <w:rFonts w:ascii="Garamond" w:hAnsi="Garamond" w:cs="Times New Roman"/>
          <w:sz w:val="20"/>
          <w:szCs w:val="20"/>
          <w:lang w:val="es-AR"/>
        </w:rPr>
        <w:t>o derecho contractual similar de un tercero con respecto a dichos títulos valores.</w:t>
      </w:r>
    </w:p>
    <w:p w14:paraId="628916C8" w14:textId="00610EC2" w:rsidR="00946BE7" w:rsidRPr="00CA0A60" w:rsidRDefault="00946BE7" w:rsidP="00946BE7">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A23B59">
        <w:rPr>
          <w:rFonts w:ascii="Garamond" w:hAnsi="Garamond" w:cs="Times New Roman"/>
          <w:i/>
          <w:sz w:val="20"/>
          <w:szCs w:val="20"/>
          <w:lang w:val="es-AR"/>
        </w:rPr>
        <w:t>“Índice Préstamo Valor”</w:t>
      </w:r>
      <w:r w:rsidRPr="00946BE7">
        <w:rPr>
          <w:rFonts w:ascii="Garamond" w:hAnsi="Garamond" w:cs="Times New Roman"/>
          <w:sz w:val="20"/>
          <w:szCs w:val="20"/>
          <w:lang w:val="es-AR"/>
        </w:rPr>
        <w:t xml:space="preserve"> significa, a cualquier fecha</w:t>
      </w:r>
      <w:r w:rsidR="004A0653">
        <w:rPr>
          <w:rFonts w:ascii="Garamond" w:hAnsi="Garamond" w:cs="Times New Roman"/>
          <w:sz w:val="20"/>
          <w:szCs w:val="20"/>
          <w:lang w:val="es-AR"/>
        </w:rPr>
        <w:t xml:space="preserve"> de determinación</w:t>
      </w:r>
      <w:r w:rsidRPr="00946BE7">
        <w:rPr>
          <w:rFonts w:ascii="Garamond" w:hAnsi="Garamond" w:cs="Times New Roman"/>
          <w:sz w:val="20"/>
          <w:szCs w:val="20"/>
          <w:lang w:val="es-AR"/>
        </w:rPr>
        <w:t>, el índice (expresado como un porcentaje) de (a) el monto</w:t>
      </w:r>
      <w:r>
        <w:rPr>
          <w:rFonts w:ascii="Garamond" w:hAnsi="Garamond" w:cs="Times New Roman"/>
          <w:sz w:val="20"/>
          <w:szCs w:val="20"/>
          <w:lang w:val="es-AR"/>
        </w:rPr>
        <w:t xml:space="preserve"> </w:t>
      </w:r>
      <w:r w:rsidRPr="00946BE7">
        <w:rPr>
          <w:rFonts w:ascii="Garamond" w:hAnsi="Garamond" w:cs="Times New Roman"/>
          <w:sz w:val="20"/>
          <w:szCs w:val="20"/>
          <w:lang w:val="es-AR"/>
        </w:rPr>
        <w:t xml:space="preserve">de capital total de las Obligaciones Negociables en circulación en esa fecha, sobre (b) el Valor </w:t>
      </w:r>
      <w:r w:rsidRPr="00946BE7">
        <w:rPr>
          <w:rFonts w:ascii="Garamond" w:hAnsi="Garamond" w:cs="Times New Roman"/>
          <w:sz w:val="20"/>
          <w:szCs w:val="20"/>
          <w:lang w:val="es-AR"/>
        </w:rPr>
        <w:lastRenderedPageBreak/>
        <w:t>de los Derechos</w:t>
      </w:r>
      <w:r>
        <w:rPr>
          <w:rFonts w:ascii="Garamond" w:hAnsi="Garamond" w:cs="Times New Roman"/>
          <w:sz w:val="20"/>
          <w:szCs w:val="20"/>
          <w:lang w:val="es-AR"/>
        </w:rPr>
        <w:t xml:space="preserve"> </w:t>
      </w:r>
      <w:r w:rsidRPr="00946BE7">
        <w:rPr>
          <w:rFonts w:ascii="Garamond" w:hAnsi="Garamond" w:cs="Times New Roman"/>
          <w:sz w:val="20"/>
          <w:szCs w:val="20"/>
          <w:lang w:val="es-AR"/>
        </w:rPr>
        <w:t>de Garantía en esa fecha.</w:t>
      </w:r>
    </w:p>
    <w:p w14:paraId="520D4992"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“Monto de Garantía Máximo”</w:t>
      </w:r>
      <w:r w:rsidRPr="00CA0A60">
        <w:rPr>
          <w:rFonts w:ascii="Garamond" w:hAnsi="Garamond" w:cs="Times New Roman"/>
          <w:sz w:val="20"/>
          <w:szCs w:val="20"/>
          <w:lang w:val="es-AR"/>
        </w:rPr>
        <w:t xml:space="preserve"> tiene el significado que se indica en “—</w:t>
      </w:r>
      <w:r w:rsidRPr="00CA0A60">
        <w:rPr>
          <w:rFonts w:ascii="Garamond" w:hAnsi="Garamond" w:cs="Times New Roman"/>
          <w:i/>
          <w:sz w:val="20"/>
          <w:szCs w:val="20"/>
          <w:lang w:val="es-AR"/>
        </w:rPr>
        <w:t>Derechos de Garantía—Limitaciones a los Derechos de Garantía</w:t>
      </w:r>
      <w:r w:rsidRPr="00CA0A60">
        <w:rPr>
          <w:rFonts w:ascii="Garamond" w:hAnsi="Garamond" w:cs="Times New Roman"/>
          <w:sz w:val="20"/>
          <w:szCs w:val="20"/>
          <w:lang w:val="es-AR"/>
        </w:rPr>
        <w:t>”.</w:t>
      </w:r>
    </w:p>
    <w:p w14:paraId="62CC37B6" w14:textId="77777777" w:rsidR="00202442" w:rsidRPr="00CA0A60" w:rsidRDefault="00202442" w:rsidP="00202442">
      <w:pPr>
        <w:widowControl w:val="0"/>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“Moody’s”</w:t>
      </w:r>
      <w:r w:rsidRPr="00CA0A60">
        <w:rPr>
          <w:rFonts w:ascii="Garamond" w:hAnsi="Garamond" w:cs="Times New Roman"/>
          <w:sz w:val="20"/>
          <w:szCs w:val="20"/>
          <w:lang w:val="es-AR"/>
        </w:rPr>
        <w:t xml:space="preserve"> es Moody’s Investors Service, Inc. y sus sucesoras.</w:t>
      </w:r>
    </w:p>
    <w:p w14:paraId="4F821A82"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“Fondos Netos en Efectivo”</w:t>
      </w:r>
      <w:r w:rsidRPr="00CA0A60">
        <w:rPr>
          <w:rFonts w:ascii="Garamond" w:hAnsi="Garamond" w:cs="Times New Roman"/>
          <w:sz w:val="20"/>
          <w:szCs w:val="20"/>
          <w:lang w:val="es-AR"/>
        </w:rPr>
        <w:t xml:space="preserve"> significa, con respecto a cualquier Persona:</w:t>
      </w:r>
    </w:p>
    <w:p w14:paraId="4D3FBB74" w14:textId="77777777" w:rsidR="00202442" w:rsidRPr="00CA0A60" w:rsidRDefault="00202442" w:rsidP="00202442">
      <w:pPr>
        <w:widowControl w:val="0"/>
        <w:numPr>
          <w:ilvl w:val="0"/>
          <w:numId w:val="127"/>
        </w:numPr>
        <w:tabs>
          <w:tab w:val="left" w:pos="284"/>
          <w:tab w:val="left" w:pos="709"/>
          <w:tab w:val="left" w:pos="1418"/>
          <w:tab w:val="left" w:pos="1843"/>
          <w:tab w:val="left" w:pos="2268"/>
          <w:tab w:val="left" w:pos="8789"/>
        </w:tabs>
        <w:spacing w:before="120" w:after="120" w:line="240" w:lineRule="auto"/>
        <w:ind w:left="567"/>
        <w:jc w:val="both"/>
        <w:rPr>
          <w:rFonts w:ascii="Garamond" w:hAnsi="Garamond" w:cs="Times New Roman"/>
          <w:sz w:val="20"/>
          <w:szCs w:val="20"/>
          <w:lang w:val="es-AR"/>
        </w:rPr>
      </w:pPr>
      <w:r w:rsidRPr="00CA0A60">
        <w:rPr>
          <w:rFonts w:ascii="Garamond" w:hAnsi="Garamond" w:cs="Times New Roman"/>
          <w:sz w:val="20"/>
          <w:szCs w:val="20"/>
          <w:lang w:val="es-AR"/>
        </w:rPr>
        <w:t>con respecto a cualquier Venta de Activos, el monto total de fondos en efectivo o Equivalentes de Efectivo únicamente (incluyendo pagos en concepto de obligaciones de pago diferido en la forma de efectivo o Equivalentes de Efectivo, tal y cuando fueran recibidos) recibidos por dicha Persona como resultado de dicha Venta de Activos, neto de:</w:t>
      </w:r>
    </w:p>
    <w:p w14:paraId="21071CE5" w14:textId="77777777" w:rsidR="00202442" w:rsidRPr="00CA0A60" w:rsidRDefault="00202442" w:rsidP="00202442">
      <w:pPr>
        <w:widowControl w:val="0"/>
        <w:numPr>
          <w:ilvl w:val="0"/>
          <w:numId w:val="109"/>
        </w:numPr>
        <w:tabs>
          <w:tab w:val="left" w:pos="284"/>
          <w:tab w:val="left" w:pos="709"/>
          <w:tab w:val="left" w:pos="1418"/>
          <w:tab w:val="left" w:pos="1843"/>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gastos y honorarios menores razonables y documentados relativos a dicha Venta de Activos (incluidos, a mero título enunciativo, los honorarios jurídicos, contables y de los bancos de inversión, las comisiones de corretaje y las comisiones por ventas);</w:t>
      </w:r>
    </w:p>
    <w:p w14:paraId="28EC492C" w14:textId="77777777" w:rsidR="00202442" w:rsidRPr="00CA0A60" w:rsidRDefault="00202442" w:rsidP="00202442">
      <w:pPr>
        <w:widowControl w:val="0"/>
        <w:numPr>
          <w:ilvl w:val="0"/>
          <w:numId w:val="109"/>
        </w:numPr>
        <w:tabs>
          <w:tab w:val="left" w:pos="284"/>
          <w:tab w:val="left" w:pos="709"/>
          <w:tab w:val="left" w:pos="1418"/>
          <w:tab w:val="left" w:pos="1843"/>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Impuestos pagados o pagaderos relativos a dicha Venta de Activos después de tomar en cuenta toda reducción de Impuestos derivada de créditos o deducciones fiscales disponibles y arreglos de coparticipación de impuestos;</w:t>
      </w:r>
    </w:p>
    <w:p w14:paraId="0BBFD782" w14:textId="77777777" w:rsidR="00202442" w:rsidRPr="00CA0A60" w:rsidRDefault="00202442" w:rsidP="00202442">
      <w:pPr>
        <w:widowControl w:val="0"/>
        <w:numPr>
          <w:ilvl w:val="0"/>
          <w:numId w:val="109"/>
        </w:numPr>
        <w:tabs>
          <w:tab w:val="left" w:pos="284"/>
          <w:tab w:val="left" w:pos="709"/>
          <w:tab w:val="left" w:pos="1418"/>
          <w:tab w:val="left" w:pos="1843"/>
          <w:tab w:val="left" w:pos="226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pagos de Deuda (incluidas las primas y los intereses devengados) garantizada por medio de cualquier activo sujeto a dicha Venta de Activos, de acuerdo con los términos del Gravamen sobre dichos activos (en la medida permitida por el Contrato de Fideicomiso), o que, conforme a sus términos, o con el fin de obtener el consentimiento necesario para dicha Venta de Activos, o de acuerdo con la ley aplicable, deban ser realizados con el producido de dicha Venta de Activos; y</w:t>
      </w:r>
    </w:p>
    <w:p w14:paraId="59BB4462" w14:textId="77777777" w:rsidR="00202442" w:rsidRPr="00CA0A60" w:rsidRDefault="00202442" w:rsidP="00202442">
      <w:pPr>
        <w:widowControl w:val="0"/>
        <w:numPr>
          <w:ilvl w:val="0"/>
          <w:numId w:val="109"/>
        </w:numPr>
        <w:tabs>
          <w:tab w:val="left" w:pos="284"/>
          <w:tab w:val="left" w:pos="709"/>
          <w:tab w:val="left" w:pos="1418"/>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importes adecuados que sean proporcionados por el vendedor en concepto de reserva, de acuerdo con las NIIF, a cuenta de cualquier pasivo asociado con dicha Venta de Activos y retenido por el Garante, la Co-Emisora pertinente o la Subsidiaria Restringida pertinente, según sea el caso, con posterioridad a dicha Venta de Activos, a excepción de toda reserva con respecto a Deuda.</w:t>
      </w:r>
    </w:p>
    <w:p w14:paraId="003B3940" w14:textId="77777777" w:rsidR="00202442" w:rsidRPr="00CA0A60" w:rsidRDefault="00202442" w:rsidP="00202442">
      <w:pPr>
        <w:widowControl w:val="0"/>
        <w:numPr>
          <w:ilvl w:val="0"/>
          <w:numId w:val="127"/>
        </w:numPr>
        <w:tabs>
          <w:tab w:val="left" w:pos="284"/>
          <w:tab w:val="left" w:pos="709"/>
          <w:tab w:val="left" w:pos="1418"/>
          <w:tab w:val="left" w:pos="2127"/>
          <w:tab w:val="left" w:pos="8789"/>
        </w:tabs>
        <w:spacing w:before="120" w:after="120" w:line="240" w:lineRule="auto"/>
        <w:ind w:left="567"/>
        <w:jc w:val="both"/>
        <w:rPr>
          <w:rFonts w:ascii="Garamond" w:hAnsi="Garamond" w:cs="Times New Roman"/>
          <w:sz w:val="20"/>
          <w:szCs w:val="20"/>
          <w:lang w:val="es-AR"/>
        </w:rPr>
      </w:pPr>
      <w:r w:rsidRPr="00CA0A60">
        <w:rPr>
          <w:rFonts w:ascii="Garamond" w:hAnsi="Garamond" w:cs="Times New Roman"/>
          <w:sz w:val="20"/>
          <w:szCs w:val="20"/>
          <w:lang w:val="es-AR"/>
        </w:rPr>
        <w:t>con respecto a cualquier Supuesto de Pérdida, el monto total de indemnizaciones por seguros, indemnizaciones por expropiación u otra compensación, indemnizaciones, daños y perjuicios y otros pagos o reparaciones recibidos por dicha Persona en relación con dicho Supuesto de Pérdida (excluyendo, en cada caso, indemnizaciones por accidentes de trabajo, responsabilidad hacia empleados, indemnizaciones por seguros de responsabilidad general o hacia terceros y seguros de pérdida de beneficios proyectados e interrupción de la explotación comercial), neto de:</w:t>
      </w:r>
    </w:p>
    <w:p w14:paraId="7B0FF0F6" w14:textId="77777777" w:rsidR="00202442" w:rsidRPr="00CA0A60" w:rsidRDefault="00202442" w:rsidP="00202442">
      <w:pPr>
        <w:widowControl w:val="0"/>
        <w:numPr>
          <w:ilvl w:val="0"/>
          <w:numId w:val="128"/>
        </w:numPr>
        <w:tabs>
          <w:tab w:val="left" w:pos="284"/>
          <w:tab w:val="left" w:pos="709"/>
          <w:tab w:val="left" w:pos="1418"/>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gastos y honorarios menores razonables y documentados relativos a dicho Supuesto de Pérdida (incluidos los costos o gastos asociados a la cobranza, ejecución, negociación, administración, ajuste o conciliación de reclamos de dicha Persona en relación con el mismo);</w:t>
      </w:r>
    </w:p>
    <w:p w14:paraId="2D9C0DB9" w14:textId="77777777" w:rsidR="00202442" w:rsidRPr="00CA0A60" w:rsidRDefault="00202442" w:rsidP="00202442">
      <w:pPr>
        <w:widowControl w:val="0"/>
        <w:numPr>
          <w:ilvl w:val="0"/>
          <w:numId w:val="128"/>
        </w:numPr>
        <w:tabs>
          <w:tab w:val="left" w:pos="284"/>
          <w:tab w:val="left" w:pos="709"/>
          <w:tab w:val="left" w:pos="1418"/>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Impuestos pagados o pagaderos relativos a dicho Supuesto de Pérdida después de tomar en cuenta toda reducción de Impuestos derivada de créditos o deducciones fiscales disponibles y arreglos de coparticipación de impuestos;</w:t>
      </w:r>
    </w:p>
    <w:p w14:paraId="56C739EA" w14:textId="77777777" w:rsidR="00202442" w:rsidRPr="00CA0A60" w:rsidRDefault="00202442" w:rsidP="00202442">
      <w:pPr>
        <w:widowControl w:val="0"/>
        <w:numPr>
          <w:ilvl w:val="0"/>
          <w:numId w:val="128"/>
        </w:numPr>
        <w:tabs>
          <w:tab w:val="left" w:pos="284"/>
          <w:tab w:val="left" w:pos="709"/>
          <w:tab w:val="left" w:pos="1418"/>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pagos de Deuda (incluidas las primas y los intereses devengados) garantizada por medio de cualquier activo sujeto a dicho Supuesto de Pérdida, de acuerdo con los términos del Gravamen sobre dichos activos (en la medida permitida por el Contrato de Fideicomiso), o que, de acuerdo con la ley aplicable, deban ser realizados con el producido de dicho Supuesto de Pérdida.</w:t>
      </w:r>
    </w:p>
    <w:p w14:paraId="34059954" w14:textId="77777777" w:rsidR="00202442" w:rsidRPr="00CA0A60" w:rsidRDefault="00202442" w:rsidP="00202442">
      <w:pPr>
        <w:widowControl w:val="0"/>
        <w:numPr>
          <w:ilvl w:val="0"/>
          <w:numId w:val="127"/>
        </w:numPr>
        <w:tabs>
          <w:tab w:val="left" w:pos="284"/>
          <w:tab w:val="left" w:pos="709"/>
          <w:tab w:val="left" w:pos="1418"/>
          <w:tab w:val="left" w:pos="2127"/>
          <w:tab w:val="left" w:pos="8789"/>
        </w:tabs>
        <w:spacing w:before="120" w:after="120" w:line="240" w:lineRule="auto"/>
        <w:ind w:left="567"/>
        <w:jc w:val="both"/>
        <w:rPr>
          <w:rFonts w:ascii="Garamond" w:hAnsi="Garamond" w:cs="Times New Roman"/>
          <w:sz w:val="20"/>
          <w:szCs w:val="20"/>
          <w:lang w:val="es-AR"/>
        </w:rPr>
      </w:pPr>
      <w:r w:rsidRPr="00CA0A60">
        <w:rPr>
          <w:rFonts w:ascii="Garamond" w:hAnsi="Garamond" w:cs="Times New Roman"/>
          <w:sz w:val="20"/>
          <w:szCs w:val="20"/>
          <w:lang w:val="es-AR"/>
        </w:rPr>
        <w:t>con respecto a cualquier Expropiación, el monto total de indemnizaciones por expropiación u otras compensaciones, indemnizaciones, daños y perjuicios y otros pagos o reparaciones recibidos por dicha Persona en relación con dicha Expropiación, neto de:</w:t>
      </w:r>
    </w:p>
    <w:p w14:paraId="55D804C1" w14:textId="77777777" w:rsidR="00202442" w:rsidRPr="00CA0A60" w:rsidRDefault="00202442" w:rsidP="00202442">
      <w:pPr>
        <w:widowControl w:val="0"/>
        <w:numPr>
          <w:ilvl w:val="0"/>
          <w:numId w:val="129"/>
        </w:numPr>
        <w:tabs>
          <w:tab w:val="left" w:pos="284"/>
          <w:tab w:val="left" w:pos="709"/>
          <w:tab w:val="left" w:pos="1418"/>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gastos y honorarios menores razonables y documentados relacionados con dicha Expropiación (incluidos los costos o gastos asociados a la cobranza, ejecución, negociación, administración, ajuste o conciliación de reclamos de dicha Persona en relación con la misma);</w:t>
      </w:r>
    </w:p>
    <w:p w14:paraId="5B3B46C4" w14:textId="77777777" w:rsidR="00202442" w:rsidRPr="00CA0A60" w:rsidRDefault="00202442" w:rsidP="00202442">
      <w:pPr>
        <w:widowControl w:val="0"/>
        <w:numPr>
          <w:ilvl w:val="0"/>
          <w:numId w:val="129"/>
        </w:numPr>
        <w:tabs>
          <w:tab w:val="left" w:pos="284"/>
          <w:tab w:val="left" w:pos="709"/>
          <w:tab w:val="left" w:pos="1418"/>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Impuestos pagados o pagaderos relativos a dicha Expropiación después de tomar en cuenta toda reducción de Impuestos derivada de créditos o deducciones fiscales disponibles y arreglos de coparticipación de impuestos;</w:t>
      </w:r>
    </w:p>
    <w:p w14:paraId="0C16A134" w14:textId="77777777" w:rsidR="00202442" w:rsidRPr="00CA0A60" w:rsidRDefault="00202442" w:rsidP="00202442">
      <w:pPr>
        <w:widowControl w:val="0"/>
        <w:numPr>
          <w:ilvl w:val="0"/>
          <w:numId w:val="129"/>
        </w:numPr>
        <w:tabs>
          <w:tab w:val="left" w:pos="284"/>
          <w:tab w:val="left" w:pos="709"/>
          <w:tab w:val="left" w:pos="1418"/>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pagos de Deuda (incluidas las primas y los intereses devengados) garantizada por medio de cualquier activo sujeto a dicha Expropiación, de acuerdo con los términos del Gravamen sobre dichos activos (en la medida permitida por el Contrato de Fideicomiso), o que, de acuerdo con la ley aplicable, deban ser realizados con el producido de dicha Expropiación.</w:t>
      </w:r>
    </w:p>
    <w:p w14:paraId="5B32ECC1" w14:textId="2A82A335"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lastRenderedPageBreak/>
        <w:t>“</w:t>
      </w:r>
      <w:r w:rsidRPr="00CA0A60">
        <w:rPr>
          <w:rFonts w:ascii="Garamond" w:hAnsi="Garamond" w:cs="Times New Roman"/>
          <w:i/>
          <w:sz w:val="20"/>
          <w:szCs w:val="20"/>
          <w:lang w:val="es-AR"/>
        </w:rPr>
        <w:t>Garantía de las Obligaciones Negociables”</w:t>
      </w:r>
      <w:r w:rsidRPr="00CA0A60">
        <w:rPr>
          <w:rFonts w:ascii="Garamond" w:hAnsi="Garamond" w:cs="Times New Roman"/>
          <w:sz w:val="20"/>
          <w:szCs w:val="20"/>
          <w:lang w:val="es-AR"/>
        </w:rPr>
        <w:t xml:space="preserve"> alude a la Garantía de las Obligaciones Negociables otorgada por los Garantes</w:t>
      </w:r>
      <w:r w:rsidR="0099360D">
        <w:rPr>
          <w:rFonts w:ascii="Garamond" w:hAnsi="Garamond" w:cs="Times New Roman"/>
          <w:sz w:val="20"/>
          <w:szCs w:val="20"/>
          <w:lang w:val="es-AR"/>
        </w:rPr>
        <w:t xml:space="preserve"> con relación al contrato de fideicomiso</w:t>
      </w:r>
      <w:r w:rsidRPr="00CA0A60">
        <w:rPr>
          <w:rFonts w:ascii="Garamond" w:hAnsi="Garamond" w:cs="Times New Roman"/>
          <w:sz w:val="20"/>
          <w:szCs w:val="20"/>
          <w:lang w:val="es-AR"/>
        </w:rPr>
        <w:t>.</w:t>
      </w:r>
    </w:p>
    <w:p w14:paraId="4BB1900A"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Directivo</w:t>
      </w:r>
      <w:r w:rsidRPr="00CA0A60">
        <w:rPr>
          <w:rFonts w:ascii="Garamond" w:hAnsi="Garamond" w:cs="Times New Roman"/>
          <w:sz w:val="20"/>
          <w:szCs w:val="20"/>
          <w:lang w:val="es-AR"/>
        </w:rPr>
        <w:t>” se refiere al Presidente del Directorio (en caso de que se trate de un ejecutivo), el Director General, el Director Financiero, el Presidente, el Director de Operaciones, el Asesor General, el Director de Contabilidad, el Tesorero, el Controlador o el Secretario del Garante o de cualquier Co-Emisora, según sea el caso.</w:t>
      </w:r>
    </w:p>
    <w:p w14:paraId="058BAB7E" w14:textId="77777777" w:rsidR="0099360D" w:rsidRDefault="0099360D" w:rsidP="0099360D">
      <w:pPr>
        <w:widowControl w:val="0"/>
        <w:tabs>
          <w:tab w:val="left" w:pos="284"/>
          <w:tab w:val="left" w:pos="1418"/>
          <w:tab w:val="left" w:pos="8789"/>
        </w:tabs>
        <w:spacing w:before="120" w:after="120"/>
        <w:jc w:val="both"/>
        <w:rPr>
          <w:rFonts w:ascii="Garamond" w:hAnsi="Garamond" w:cs="Times New Roman"/>
          <w:sz w:val="20"/>
          <w:szCs w:val="20"/>
        </w:rPr>
      </w:pPr>
      <w:r>
        <w:rPr>
          <w:rFonts w:ascii="Garamond" w:hAnsi="Garamond" w:cs="Times New Roman"/>
          <w:i/>
          <w:iCs/>
          <w:color w:val="000000"/>
          <w:sz w:val="20"/>
          <w:szCs w:val="20"/>
          <w:lang w:eastAsia="es-ES" w:bidi="es-ES"/>
        </w:rPr>
        <w:t>“Certificado de Directivos</w:t>
      </w:r>
      <w:r>
        <w:rPr>
          <w:rFonts w:ascii="Garamond" w:hAnsi="Garamond" w:cs="Times New Roman"/>
          <w:sz w:val="20"/>
          <w:szCs w:val="20"/>
        </w:rPr>
        <w:t>” se refiere a un certificado firmado por dos Directivos de la Persona que emita dicho certificado; siempre que las Co-Emisoras puedan efectuar y enviar un Certificado de Directivos actuando conjuntamente.</w:t>
      </w:r>
    </w:p>
    <w:p w14:paraId="05E67CE7" w14:textId="7F197FC7" w:rsidR="00202442" w:rsidRPr="00CA0A60" w:rsidRDefault="0099360D"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sidDel="0099360D">
        <w:rPr>
          <w:rFonts w:ascii="Garamond" w:hAnsi="Garamond" w:cs="Times New Roman"/>
          <w:i/>
          <w:iCs/>
          <w:color w:val="000000"/>
          <w:sz w:val="20"/>
          <w:szCs w:val="20"/>
          <w:lang w:val="es-AR" w:eastAsia="es-ES" w:bidi="es-ES"/>
        </w:rPr>
        <w:t xml:space="preserve"> </w:t>
      </w:r>
      <w:r w:rsidR="00202442" w:rsidRPr="00CA0A60">
        <w:rPr>
          <w:rFonts w:ascii="Garamond" w:hAnsi="Garamond" w:cs="Times New Roman"/>
          <w:i/>
          <w:iCs/>
          <w:color w:val="000000"/>
          <w:sz w:val="20"/>
          <w:szCs w:val="20"/>
          <w:lang w:val="es-AR" w:eastAsia="es-ES" w:bidi="es-ES"/>
        </w:rPr>
        <w:t>“Opinión Legal”</w:t>
      </w:r>
      <w:r w:rsidR="00202442" w:rsidRPr="00CA0A60">
        <w:rPr>
          <w:rFonts w:ascii="Garamond" w:hAnsi="Garamond" w:cs="Times New Roman"/>
          <w:sz w:val="20"/>
          <w:szCs w:val="20"/>
          <w:lang w:val="es-AR"/>
        </w:rPr>
        <w:t xml:space="preserve"> se refiere a la opinión escrita del asesor legal de reconocido prestigio en la jurisdicción que corresponda, que puede ser un empleado o un abogado del Garante y las Co-Emisoras, y que contiene excepciones y reservas corrientes.</w:t>
      </w:r>
    </w:p>
    <w:p w14:paraId="76524B8F" w14:textId="77777777" w:rsidR="00202442" w:rsidRPr="00CA0A60" w:rsidRDefault="00202442" w:rsidP="00202442">
      <w:pPr>
        <w:widowControl w:val="0"/>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w:t>
      </w:r>
      <w:r w:rsidRPr="00CA0A60">
        <w:rPr>
          <w:rFonts w:ascii="Garamond" w:hAnsi="Garamond" w:cs="Times New Roman"/>
          <w:i/>
          <w:sz w:val="20"/>
          <w:szCs w:val="20"/>
          <w:lang w:val="es-AR"/>
        </w:rPr>
        <w:t>Restricción de Pago</w:t>
      </w:r>
      <w:r w:rsidRPr="00CA0A60">
        <w:rPr>
          <w:rFonts w:ascii="Garamond" w:hAnsi="Garamond" w:cs="Times New Roman"/>
          <w:sz w:val="20"/>
          <w:szCs w:val="20"/>
          <w:lang w:val="es-AR"/>
        </w:rPr>
        <w:t>” significa, con respecto al Garante, cualquier Co-Emisora o cualquier Subsidiaria Restringida, una disposición en virtud de (i) la Ley Aplicable o (ii) cualquier documento que acredite Deuda de ese Garante, esa Co-Emisora o esa Subsidiaria Restringida u otra obligación contractual existente (y en efecto) a la Fecha de Emisión y a la fecha en que las Obligaciones Negociables deban ser rescatadas bajo “</w:t>
      </w:r>
      <w:r w:rsidRPr="00CA0A60">
        <w:rPr>
          <w:rFonts w:ascii="Garamond" w:hAnsi="Garamond" w:cs="Times New Roman"/>
          <w:sz w:val="20"/>
          <w:szCs w:val="20"/>
          <w:lang w:val="es-AR"/>
        </w:rPr>
        <w:noBreakHyphen/>
      </w:r>
      <w:r w:rsidRPr="00CA0A60">
        <w:rPr>
          <w:rFonts w:ascii="Garamond" w:hAnsi="Garamond" w:cs="Times New Roman"/>
          <w:sz w:val="20"/>
          <w:szCs w:val="20"/>
          <w:lang w:val="es-AR"/>
        </w:rPr>
        <w:noBreakHyphen/>
      </w:r>
      <w:r w:rsidRPr="00CA0A60">
        <w:rPr>
          <w:rFonts w:ascii="Garamond" w:hAnsi="Garamond" w:cs="Times New Roman"/>
          <w:i/>
          <w:sz w:val="20"/>
          <w:szCs w:val="20"/>
          <w:lang w:val="es-AR"/>
        </w:rPr>
        <w:t>Ofertas Obligatorias de Compra de Obligaciones Negociables—Supuesto de Pérdida, Expropiación y Venta de Activos</w:t>
      </w:r>
      <w:r w:rsidRPr="00CA0A60">
        <w:rPr>
          <w:rFonts w:ascii="Garamond" w:hAnsi="Garamond" w:cs="Times New Roman"/>
          <w:sz w:val="20"/>
          <w:szCs w:val="20"/>
          <w:lang w:val="es-AR"/>
        </w:rPr>
        <w:t xml:space="preserve">”, que, en cada caso, entre en conflicto con las disposiciones de la sección </w:t>
      </w:r>
      <w:r w:rsidRPr="00CA0A60">
        <w:rPr>
          <w:rFonts w:ascii="Garamond" w:hAnsi="Garamond" w:cs="Times New Roman"/>
          <w:i/>
          <w:sz w:val="20"/>
          <w:szCs w:val="20"/>
          <w:lang w:val="es-AR"/>
        </w:rPr>
        <w:t>“—Ofertas Obligatorias de Compra de Obligaciones Negociables—Supuesto de Pérdida, Expropiación y Venta de Activos</w:t>
      </w:r>
      <w:r w:rsidRPr="00CA0A60">
        <w:rPr>
          <w:rFonts w:ascii="Garamond" w:hAnsi="Garamond" w:cs="Times New Roman"/>
          <w:sz w:val="20"/>
          <w:szCs w:val="20"/>
          <w:lang w:val="es-AR"/>
        </w:rPr>
        <w:t>”.</w:t>
      </w:r>
    </w:p>
    <w:p w14:paraId="4E299C24" w14:textId="77777777" w:rsidR="00202442" w:rsidRPr="00CA0A60" w:rsidRDefault="00202442" w:rsidP="00202442">
      <w:pPr>
        <w:widowControl w:val="0"/>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“Pagador”</w:t>
      </w:r>
      <w:r w:rsidRPr="00CA0A60">
        <w:rPr>
          <w:rFonts w:ascii="Garamond" w:hAnsi="Garamond" w:cs="Times New Roman"/>
          <w:sz w:val="20"/>
          <w:szCs w:val="20"/>
          <w:lang w:val="es-AR"/>
        </w:rPr>
        <w:t xml:space="preserve"> tiene el significado establecido en el apartado de </w:t>
      </w:r>
      <w:r w:rsidRPr="00CA0A60">
        <w:rPr>
          <w:rFonts w:ascii="Garamond" w:hAnsi="Garamond" w:cs="Times New Roman"/>
          <w:i/>
          <w:sz w:val="20"/>
          <w:szCs w:val="20"/>
          <w:lang w:val="es-AR"/>
        </w:rPr>
        <w:t>“—Montos Adicionales</w:t>
      </w:r>
      <w:r w:rsidRPr="00CA0A60">
        <w:rPr>
          <w:rFonts w:ascii="Garamond" w:hAnsi="Garamond" w:cs="Times New Roman"/>
          <w:sz w:val="20"/>
          <w:szCs w:val="20"/>
          <w:lang w:val="es-AR"/>
        </w:rPr>
        <w:t>” que antecede.</w:t>
      </w:r>
    </w:p>
    <w:p w14:paraId="2D580033"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 xml:space="preserve">“Permiso” </w:t>
      </w:r>
      <w:r w:rsidRPr="00CA0A60">
        <w:rPr>
          <w:rFonts w:ascii="Garamond" w:hAnsi="Garamond" w:cs="Times New Roman"/>
          <w:sz w:val="20"/>
          <w:szCs w:val="20"/>
          <w:lang w:val="es-AR"/>
        </w:rPr>
        <w:t>significa todas las autorizaciones públicas regulatorias o gubernamentales, concesiones, aprobaciones, certificados, permisos, consentimientos, órdenes, aprobaciones, usufructos, derechos de paso y demás derechos similares sobre el uso de inmuebles y otras autorizaciones emitidas por cualquier Autoridad Gubernamental (incluida CAMMESA).</w:t>
      </w:r>
    </w:p>
    <w:p w14:paraId="240C6651"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“Actividad Comercial Autorizada”</w:t>
      </w:r>
      <w:r w:rsidRPr="00CA0A60">
        <w:rPr>
          <w:rFonts w:ascii="Garamond" w:hAnsi="Garamond" w:cs="Times New Roman"/>
          <w:sz w:val="20"/>
          <w:szCs w:val="20"/>
          <w:lang w:val="es-AR"/>
        </w:rPr>
        <w:t xml:space="preserve"> significa (1) la actividad comercial del Garante, las Co-Emisoras, sus Subsidiarias y otras empresas descriptas en el prospecto informativo a la Fecha de Emisión, (2) la exploración, perforación, refinación, procesamiento, transporte o venta de petróleo y gas natural y (3) cualquier actividad comercial accesoria, complementaria, similar o asociada a la actividad comercial </w:t>
      </w:r>
      <w:r w:rsidRPr="00CA0A60">
        <w:rPr>
          <w:rFonts w:ascii="Garamond" w:hAnsi="Garamond" w:cs="Times New Roman"/>
          <w:color w:val="000000"/>
          <w:sz w:val="20"/>
          <w:szCs w:val="20"/>
          <w:u w:val="single"/>
          <w:lang w:val="es-AR" w:eastAsia="es-ES" w:bidi="es-ES"/>
        </w:rPr>
        <w:t>prevista</w:t>
      </w:r>
      <w:r w:rsidRPr="00CA0A60">
        <w:rPr>
          <w:rFonts w:ascii="Garamond" w:hAnsi="Garamond" w:cs="Times New Roman"/>
          <w:sz w:val="20"/>
          <w:szCs w:val="20"/>
          <w:lang w:val="es-AR"/>
        </w:rPr>
        <w:t xml:space="preserve"> en las cláusulas (1) y (2) que anteceden. Para evitar dudas, la Actividad Comercial Autorizada incluirá las energías renovables.</w:t>
      </w:r>
    </w:p>
    <w:p w14:paraId="0ABDF756"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“Tenedores Autorizados”</w:t>
      </w:r>
      <w:r w:rsidRPr="00CA0A60">
        <w:rPr>
          <w:rFonts w:ascii="Garamond" w:hAnsi="Garamond" w:cs="Times New Roman"/>
          <w:sz w:val="20"/>
          <w:szCs w:val="20"/>
          <w:lang w:val="es-AR"/>
        </w:rPr>
        <w:t xml:space="preserve"> son, colectivamente, uno o más miembros de cada una de las siguientes familias: (1) Losón, (2) Bauzas, (3) Sarti, (4) los descendientes en línea directa, sucesores y herederos, o cualquier fideicomiso u otro medio de inversión diseñado en beneficio principal de cualquiera de las Personas mencionadas en las cláusulas (1) a (3) y (5), cualquier Afiliada cuya mayoría de Acciones con Derecho a Voto sea propiedad, directa o indirectamente, de alguna de las Personas mencionadas en las cláusulas (1) a (4).</w:t>
      </w:r>
    </w:p>
    <w:p w14:paraId="34C663C7"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Deuda Autorizada”</w:t>
      </w:r>
      <w:r w:rsidRPr="00CA0A60">
        <w:rPr>
          <w:rFonts w:ascii="Garamond" w:hAnsi="Garamond" w:cs="Times New Roman"/>
          <w:sz w:val="20"/>
          <w:szCs w:val="20"/>
          <w:lang w:val="es-AR"/>
        </w:rPr>
        <w:t xml:space="preserve"> tiene el significado que se establece en la cláusula (a) de “—Ciertos Compromisos—Limitación de Deuda Adicional”.</w:t>
      </w:r>
    </w:p>
    <w:p w14:paraId="39EE9259" w14:textId="23414699" w:rsidR="00202442" w:rsidRPr="00CA0A60" w:rsidRDefault="00202442" w:rsidP="00202442">
      <w:pPr>
        <w:widowControl w:val="0"/>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sz w:val="20"/>
          <w:szCs w:val="20"/>
          <w:lang w:val="es-AR"/>
        </w:rPr>
        <w:t xml:space="preserve">Inversiones </w:t>
      </w:r>
      <w:r w:rsidR="0030727A">
        <w:rPr>
          <w:rFonts w:ascii="Garamond" w:hAnsi="Garamond" w:cs="Times New Roman"/>
          <w:i/>
          <w:sz w:val="20"/>
          <w:szCs w:val="20"/>
          <w:lang w:val="es-AR"/>
        </w:rPr>
        <w:t>Permitidas</w:t>
      </w: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 xml:space="preserve"> </w:t>
      </w:r>
      <w:r w:rsidRPr="00CA0A60">
        <w:rPr>
          <w:rFonts w:ascii="Garamond" w:hAnsi="Garamond" w:cs="Times New Roman"/>
          <w:iCs/>
          <w:color w:val="000000"/>
          <w:sz w:val="20"/>
          <w:szCs w:val="20"/>
          <w:lang w:val="es-AR" w:eastAsia="es-ES" w:bidi="es-ES"/>
        </w:rPr>
        <w:t>son las siguientes:</w:t>
      </w:r>
    </w:p>
    <w:p w14:paraId="024FE429" w14:textId="0348FE26" w:rsidR="00B20539" w:rsidRPr="00CA0A60" w:rsidRDefault="00202442" w:rsidP="00202442">
      <w:pPr>
        <w:widowControl w:val="0"/>
        <w:numPr>
          <w:ilvl w:val="0"/>
          <w:numId w:val="11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Inversiones realizadas por el Garante, cualquier Co-Emisora u otra Subsidiaria Restringida en cualquier Persona que sea una Subsidiaria Restringida, o que se convierta en una inmediatamente después de dicha Inversión o que se fusione o consolide con el Garante, cualquier Co-Emisora o cualquier otra Subsidiaria Restringida (incluyendo una Inversión de dicha Persona existente al momento en que dicha Persona pase a ser una Subsidiaria Restringida o sea fusionada, en forma propiamente dicha o por absorción, con el Garante, cualquier Co-Emisora o cualquier otra Subsidiaria Restringida) </w:t>
      </w:r>
      <w:r w:rsidRPr="00CA0A60">
        <w:rPr>
          <w:rFonts w:ascii="Garamond" w:hAnsi="Garamond" w:cs="Times New Roman"/>
          <w:color w:val="000000"/>
          <w:sz w:val="20"/>
          <w:szCs w:val="20"/>
          <w:u w:val="single"/>
          <w:lang w:val="es-AR" w:eastAsia="es-ES" w:bidi="es-ES"/>
        </w:rPr>
        <w:t>siempre que</w:t>
      </w:r>
      <w:r w:rsidRPr="00CA0A60">
        <w:rPr>
          <w:rFonts w:ascii="Garamond" w:hAnsi="Garamond" w:cs="Times New Roman"/>
          <w:sz w:val="20"/>
          <w:szCs w:val="20"/>
          <w:lang w:val="es-AR"/>
        </w:rPr>
        <w:t xml:space="preserve"> la actividad comercial principal de dicha Persona sea una Actividad Comercial Autorizada y dicha Inversión no fuera creada como resultado de dicha operación, en relación con la misma o previendo su celebración; y que no se hubiera producido y subsistiera, ni se produjera luego de dar efecto a la realización de dicha Inversión, un Incumplimiento o Supuesto de Incumplimiento;</w:t>
      </w:r>
    </w:p>
    <w:p w14:paraId="0AA5003C" w14:textId="03A108B4" w:rsidR="00A94FE1" w:rsidRPr="00CA0A60" w:rsidRDefault="00202442" w:rsidP="00B73F3E">
      <w:pPr>
        <w:widowControl w:val="0"/>
        <w:numPr>
          <w:ilvl w:val="0"/>
          <w:numId w:val="110"/>
        </w:numPr>
        <w:tabs>
          <w:tab w:val="left" w:pos="284"/>
          <w:tab w:val="left" w:pos="709"/>
          <w:tab w:val="left" w:pos="1418"/>
          <w:tab w:val="left" w:pos="8789"/>
        </w:tabs>
        <w:autoSpaceDE w:val="0"/>
        <w:autoSpaceDN w:val="0"/>
        <w:adjustRightInd w:val="0"/>
        <w:spacing w:before="120"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Inversiones </w:t>
      </w:r>
      <w:r w:rsidR="00A94FE1" w:rsidRPr="00CA0A60">
        <w:rPr>
          <w:rFonts w:ascii="Garamond" w:hAnsi="Garamond" w:cs="Times New Roman"/>
          <w:sz w:val="20"/>
          <w:szCs w:val="20"/>
          <w:lang w:val="es-AR"/>
        </w:rPr>
        <w:t>en el Garante, cualquiera de las Co-Emisoras o cualquier otra Subsidiaria Restringida,</w:t>
      </w:r>
      <w:r w:rsidR="00B20539" w:rsidRPr="00CA0A60">
        <w:rPr>
          <w:rFonts w:ascii="Garamond" w:hAnsi="Garamond" w:cs="Times New Roman"/>
          <w:sz w:val="20"/>
          <w:szCs w:val="20"/>
          <w:lang w:val="es-AR"/>
        </w:rPr>
        <w:t xml:space="preserve"> </w:t>
      </w:r>
      <w:r w:rsidR="00A94FE1" w:rsidRPr="00CA0A60">
        <w:rPr>
          <w:rFonts w:ascii="Garamond" w:hAnsi="Garamond" w:cs="Times New Roman"/>
          <w:sz w:val="20"/>
          <w:szCs w:val="20"/>
          <w:lang w:val="es-AR"/>
        </w:rPr>
        <w:t>incluyendo (i) compras por parte del Garante, cualquiera de las Co-Emisoras o cualquier otra Subsidiaria</w:t>
      </w:r>
    </w:p>
    <w:p w14:paraId="6364150F" w14:textId="5DA467EB" w:rsidR="00202442" w:rsidRPr="00CA0A60" w:rsidRDefault="00A94FE1" w:rsidP="00B73F3E">
      <w:pPr>
        <w:autoSpaceDE w:val="0"/>
        <w:autoSpaceDN w:val="0"/>
        <w:adjustRightInd w:val="0"/>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Restringida de Obligaciones Negociables u otro tipo de Deuda de cualquier Subsidiaria Restringida, y (ii)</w:t>
      </w:r>
      <w:r w:rsidR="00B20539" w:rsidRPr="00CA0A60">
        <w:rPr>
          <w:rFonts w:ascii="Garamond" w:hAnsi="Garamond" w:cs="Times New Roman"/>
          <w:sz w:val="20"/>
          <w:szCs w:val="20"/>
          <w:lang w:val="es-AR"/>
        </w:rPr>
        <w:t xml:space="preserve"> </w:t>
      </w:r>
      <w:r w:rsidRPr="00CA0A60">
        <w:rPr>
          <w:rFonts w:ascii="Garamond" w:hAnsi="Garamond" w:cs="Times New Roman"/>
          <w:sz w:val="20"/>
          <w:szCs w:val="20"/>
          <w:lang w:val="es-AR"/>
        </w:rPr>
        <w:t>Inversiones</w:t>
      </w:r>
      <w:r w:rsidR="00B20539" w:rsidRPr="00CA0A60">
        <w:rPr>
          <w:rFonts w:ascii="Garamond" w:hAnsi="Garamond" w:cs="Times New Roman"/>
          <w:sz w:val="20"/>
          <w:szCs w:val="20"/>
          <w:lang w:val="es-AR"/>
        </w:rPr>
        <w:t xml:space="preserve"> </w:t>
      </w:r>
      <w:r w:rsidR="00202442" w:rsidRPr="00CA0A60">
        <w:rPr>
          <w:rFonts w:ascii="Garamond" w:hAnsi="Garamond" w:cs="Times New Roman"/>
          <w:sz w:val="20"/>
          <w:szCs w:val="20"/>
          <w:lang w:val="es-AR"/>
        </w:rPr>
        <w:t>permitidas bajo el inciso (iii) de la cláusula (a) de “—Ciertos Compromisos—Limitación de Deuda Adicional”;</w:t>
      </w:r>
    </w:p>
    <w:p w14:paraId="1188CDD9" w14:textId="77777777" w:rsidR="00202442" w:rsidRPr="00CA0A60" w:rsidRDefault="00202442" w:rsidP="00202442">
      <w:pPr>
        <w:widowControl w:val="0"/>
        <w:numPr>
          <w:ilvl w:val="0"/>
          <w:numId w:val="11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otorgamiento de créditos comerciales y similares en el giro ordinario de los negocios;</w:t>
      </w:r>
    </w:p>
    <w:p w14:paraId="484DB8CD" w14:textId="77777777" w:rsidR="00202442" w:rsidRPr="00CA0A60" w:rsidRDefault="00202442" w:rsidP="00202442">
      <w:pPr>
        <w:widowControl w:val="0"/>
        <w:numPr>
          <w:ilvl w:val="0"/>
          <w:numId w:val="11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Inversiones en efectivo y Equivalentes de Efectivo;</w:t>
      </w:r>
    </w:p>
    <w:p w14:paraId="68B76870" w14:textId="77777777" w:rsidR="00202442" w:rsidRPr="00CA0A60" w:rsidRDefault="00202442" w:rsidP="00202442">
      <w:pPr>
        <w:widowControl w:val="0"/>
        <w:numPr>
          <w:ilvl w:val="0"/>
          <w:numId w:val="11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lastRenderedPageBreak/>
        <w:t>toda Inversión existente, o realizada en virtud de acuerdos escritos existentes a la Fecha de Emisión y cualquier ampliación, modificación o renovación de dichas Inversiones (pero no las Inversiones que impliquen adelantos adicionales, contribuciones u otras inversiones de dinero en efectivo o bienes u otros aumentos de dichas inversiones (a menos que se haya firmado un compromiso vinculante en la Fecha de Emisión o con anterioridad a ella), siempre que no se realicen como consecuencia de la acumulación o acreción de intereses o descuento de emisión original o pago en especie conforme a los términos de dicha Inversión a la Fecha de Emisión);</w:t>
      </w:r>
    </w:p>
    <w:p w14:paraId="5F2E73F7" w14:textId="5F46A565" w:rsidR="00202442" w:rsidRPr="00CA0A60" w:rsidRDefault="00202442" w:rsidP="00202442">
      <w:pPr>
        <w:widowControl w:val="0"/>
        <w:numPr>
          <w:ilvl w:val="0"/>
          <w:numId w:val="11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las Inversiones </w:t>
      </w:r>
      <w:r w:rsidR="0030727A">
        <w:rPr>
          <w:rFonts w:ascii="Garamond" w:hAnsi="Garamond" w:cs="Times New Roman"/>
          <w:sz w:val="20"/>
          <w:szCs w:val="20"/>
          <w:lang w:val="es-AR"/>
        </w:rPr>
        <w:t>permitidas</w:t>
      </w:r>
      <w:r w:rsidRPr="00CA0A60">
        <w:rPr>
          <w:rFonts w:ascii="Garamond" w:hAnsi="Garamond" w:cs="Times New Roman"/>
          <w:sz w:val="20"/>
          <w:szCs w:val="20"/>
          <w:lang w:val="es-AR"/>
        </w:rPr>
        <w:t xml:space="preserve"> de conformidad con las cláusulas (c) o (d) del segundo párrafo del aparatado “—</w:t>
      </w:r>
      <w:r w:rsidRPr="00CA0A60">
        <w:rPr>
          <w:rFonts w:ascii="Garamond" w:hAnsi="Garamond" w:cs="Times New Roman"/>
          <w:i/>
          <w:sz w:val="20"/>
          <w:szCs w:val="20"/>
          <w:lang w:val="es-AR"/>
        </w:rPr>
        <w:t>Ciertos Compromisos—Limitación a las Operaciones con Afiliadas</w:t>
      </w:r>
      <w:r w:rsidRPr="00CA0A60">
        <w:rPr>
          <w:rFonts w:ascii="Garamond" w:hAnsi="Garamond" w:cs="Times New Roman"/>
          <w:sz w:val="20"/>
          <w:szCs w:val="20"/>
          <w:lang w:val="es-AR"/>
        </w:rPr>
        <w:t>”;</w:t>
      </w:r>
    </w:p>
    <w:p w14:paraId="1423BE6C" w14:textId="77777777" w:rsidR="00202442" w:rsidRPr="00CA0A60" w:rsidRDefault="00202442" w:rsidP="00202442">
      <w:pPr>
        <w:widowControl w:val="0"/>
        <w:numPr>
          <w:ilvl w:val="0"/>
          <w:numId w:val="11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cualesquiera Inversiones recibidas como resultado de un acuerdo o la resolución de (1) las obligaciones de Personas contraídas en el desarrollo normal de la actividad comercial del Garante, cualquier Co-Emisora u otra Subsidiaria Restringida, incluidas aquellas derivadas de cualquier plan de reorganización o acuerdo similar tras la quiebra o el estado de cesación de pagos de cualquier Persona, o (2) litigios, arbitrajes u otros conflictos;</w:t>
      </w:r>
    </w:p>
    <w:p w14:paraId="3A4CFA18" w14:textId="77777777" w:rsidR="00202442" w:rsidRPr="00CA0A60" w:rsidRDefault="00202442" w:rsidP="00202442">
      <w:pPr>
        <w:widowControl w:val="0"/>
        <w:numPr>
          <w:ilvl w:val="0"/>
          <w:numId w:val="11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adquisición de activos o Acciones exclusivamente a cambio de la emisión de Acciones (que no sean Acciones Descalificadas) del Garante;</w:t>
      </w:r>
    </w:p>
    <w:p w14:paraId="362341C9" w14:textId="77777777" w:rsidR="00202442" w:rsidRPr="00CA0A60" w:rsidRDefault="00202442" w:rsidP="00202442">
      <w:pPr>
        <w:widowControl w:val="0"/>
        <w:numPr>
          <w:ilvl w:val="0"/>
          <w:numId w:val="11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Obligaciones de Cobertura, en tanto fueran Contraídas de acuerdo con la sección “—Ciertos Compromisos</w:t>
      </w:r>
      <w:r w:rsidRPr="00CA0A60">
        <w:rPr>
          <w:rFonts w:ascii="Garamond" w:hAnsi="Garamond" w:cs="Times New Roman"/>
          <w:sz w:val="20"/>
          <w:szCs w:val="20"/>
          <w:lang w:val="es-AR"/>
        </w:rPr>
        <w:noBreakHyphen/>
      </w:r>
      <w:r w:rsidRPr="00CA0A60">
        <w:rPr>
          <w:rFonts w:ascii="Garamond" w:hAnsi="Garamond" w:cs="Times New Roman"/>
          <w:sz w:val="20"/>
          <w:szCs w:val="20"/>
          <w:lang w:val="es-AR"/>
        </w:rPr>
        <w:noBreakHyphen/>
        <w:t>Limitación de Deuda Adicional;</w:t>
      </w:r>
    </w:p>
    <w:p w14:paraId="019F9869" w14:textId="77777777" w:rsidR="00202442" w:rsidRPr="00CA0A60" w:rsidRDefault="00202442" w:rsidP="00202442">
      <w:pPr>
        <w:widowControl w:val="0"/>
        <w:numPr>
          <w:ilvl w:val="0"/>
          <w:numId w:val="11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Inversiones en la forma de Garantías de GECE;</w:t>
      </w:r>
    </w:p>
    <w:p w14:paraId="62A6A632" w14:textId="0AFB452E" w:rsidR="00202442" w:rsidRPr="00CA0A60" w:rsidRDefault="00202442" w:rsidP="00202442">
      <w:pPr>
        <w:widowControl w:val="0"/>
        <w:numPr>
          <w:ilvl w:val="0"/>
          <w:numId w:val="11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una Inversión financiada exclusivamente con (i) los fondos resultantes de Deuda Sumamente Subordinada permitida por la subcláusula (xii) de la cláusula (a) de “</w:t>
      </w:r>
      <w:r w:rsidR="00946BE7">
        <w:rPr>
          <w:rFonts w:ascii="Garamond" w:hAnsi="Garamond" w:cs="Times New Roman"/>
          <w:sz w:val="20"/>
          <w:szCs w:val="20"/>
          <w:lang w:val="es-AR"/>
        </w:rPr>
        <w:t>—Ciertos Compromisos—</w:t>
      </w:r>
      <w:r w:rsidRPr="00CA0A60">
        <w:rPr>
          <w:rFonts w:ascii="Garamond" w:hAnsi="Garamond" w:cs="Times New Roman"/>
          <w:sz w:val="20"/>
          <w:szCs w:val="20"/>
          <w:lang w:val="es-AR"/>
        </w:rPr>
        <w:t xml:space="preserve">Limitación de Deuda Adicional” (excepto Deuda Sumamente Subordinada provista por el Garante, una Co-Emisora o una Subsidiaria Restringida); (ii) un aporte en efectivo en el Garante, una Co-Emisora, o la otra Subsidiaria Restringida aplicable realizado por cualquier Persona (excepto un aporte del Garante, una Co-Emisora o una Subsidiaria Restringida) en la forma de una suscripción e integración de nuevas Acciones del Garante, dicha Co-Emisora o la otra Subsidiaria Restringida aplicable, o (iii) una combinación de (i) y (ii); siempre que, con respecto a las cláusulas (i) a (iii) precedentes no se hubiera producido y subsistiera, ni se produjera luego de dar efecto a la realización de dicha Inversión, un Incumplimiento o Supuesto de Incumplimiento; y </w:t>
      </w:r>
    </w:p>
    <w:p w14:paraId="2E42B2E5" w14:textId="34440FA0" w:rsidR="00202442" w:rsidRPr="00CA0A60" w:rsidRDefault="00202442" w:rsidP="00202442">
      <w:pPr>
        <w:widowControl w:val="0"/>
        <w:numPr>
          <w:ilvl w:val="0"/>
          <w:numId w:val="11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Inversiones adicionales por un Valor Justo de Mercado total (considerado junto con todas las demás Inversiones realizadas de acuerdo con este apartado (l) que estén vigentes en ese momento), no superior a </w:t>
      </w:r>
      <w:r w:rsidR="00B20539" w:rsidRPr="00CA0A60">
        <w:rPr>
          <w:rFonts w:ascii="Garamond" w:hAnsi="Garamond" w:cs="Times New Roman"/>
          <w:sz w:val="20"/>
          <w:szCs w:val="20"/>
          <w:lang w:val="es-AR"/>
        </w:rPr>
        <w:t>U$S 500.000</w:t>
      </w:r>
      <w:r w:rsidRPr="00CA0A60">
        <w:rPr>
          <w:rFonts w:ascii="Garamond" w:hAnsi="Garamond" w:cs="Times New Roman"/>
          <w:sz w:val="20"/>
          <w:szCs w:val="20"/>
          <w:lang w:val="es-AR"/>
        </w:rPr>
        <w:t xml:space="preserve"> (o su equivalente en otras monedas), siendo el Valor Justo de Mercado de cada Inversión medido al momento en que fue realizado y sin dar efecto a cambios posteriores en su valor</w:t>
      </w:r>
      <w:r w:rsidR="004A0653">
        <w:rPr>
          <w:rFonts w:ascii="Garamond" w:hAnsi="Garamond" w:cs="Times New Roman"/>
          <w:sz w:val="20"/>
          <w:szCs w:val="20"/>
          <w:lang w:val="es-AR"/>
        </w:rPr>
        <w:t xml:space="preserve">; quedando establecido que, ningún Incumplimiento o Supuesto de Incumplimiento deberá haber ocurrido </w:t>
      </w:r>
      <w:r w:rsidR="003A70FB">
        <w:rPr>
          <w:rFonts w:ascii="Garamond" w:hAnsi="Garamond" w:cs="Times New Roman"/>
          <w:sz w:val="20"/>
          <w:szCs w:val="20"/>
          <w:lang w:val="es-AR"/>
        </w:rPr>
        <w:t>y</w:t>
      </w:r>
      <w:r w:rsidR="004A0653">
        <w:rPr>
          <w:rFonts w:ascii="Garamond" w:hAnsi="Garamond" w:cs="Times New Roman"/>
          <w:sz w:val="20"/>
          <w:szCs w:val="20"/>
          <w:lang w:val="es-AR"/>
        </w:rPr>
        <w:t xml:space="preserve"> continuar</w:t>
      </w:r>
      <w:r w:rsidR="003A70FB">
        <w:rPr>
          <w:rFonts w:ascii="Garamond" w:hAnsi="Garamond" w:cs="Times New Roman"/>
          <w:sz w:val="20"/>
          <w:szCs w:val="20"/>
          <w:lang w:val="es-AR"/>
        </w:rPr>
        <w:t xml:space="preserve"> o haber ocurrido después de dar efecto a la realización de esas Inversiones. </w:t>
      </w:r>
    </w:p>
    <w:p w14:paraId="4FD5BB41" w14:textId="77777777" w:rsidR="00202442" w:rsidRPr="00CA0A60" w:rsidRDefault="00202442" w:rsidP="00202442">
      <w:pPr>
        <w:widowControl w:val="0"/>
        <w:tabs>
          <w:tab w:val="left" w:pos="1418"/>
          <w:tab w:val="left" w:pos="8789"/>
        </w:tabs>
        <w:spacing w:before="120" w:after="120" w:line="240" w:lineRule="auto"/>
        <w:ind w:left="142"/>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“Gravámenes Autorizados</w:t>
      </w:r>
      <w:r w:rsidRPr="00CA0A60">
        <w:rPr>
          <w:rFonts w:ascii="Garamond" w:hAnsi="Garamond" w:cs="Times New Roman"/>
          <w:sz w:val="20"/>
          <w:szCs w:val="20"/>
          <w:lang w:val="es-AR"/>
        </w:rPr>
        <w:t>” son cualquiera de los siguientes:</w:t>
      </w:r>
    </w:p>
    <w:p w14:paraId="557D9211" w14:textId="77777777" w:rsidR="00202442" w:rsidRPr="00CA0A60" w:rsidRDefault="00202442" w:rsidP="00202442">
      <w:pPr>
        <w:widowControl w:val="0"/>
        <w:numPr>
          <w:ilvl w:val="0"/>
          <w:numId w:val="13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legales, incluso los Gravámenes de los propietarios y los Gravámenes de los transportistas, almacenistas, mecánicos, distribuidores, proveedores de materiales, técnicos reparadores y otros Gravámenes similares impuestos por ley y constituidos en el desarrollo normal de la actividad comercial que garantizan el pago de las obligaciones que aún no están en mora o que se hayan Impugnado;</w:t>
      </w:r>
    </w:p>
    <w:p w14:paraId="4D596DC4" w14:textId="77777777" w:rsidR="00202442" w:rsidRPr="00CA0A60" w:rsidRDefault="00202442" w:rsidP="00202442">
      <w:pPr>
        <w:widowControl w:val="0"/>
        <w:numPr>
          <w:ilvl w:val="0"/>
          <w:numId w:val="13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Gravámenes constituidos o los depósitos realizados en el desarrollo normal de la actividad comercial (o aquellos constituidos en cumplimiento de la autoridad estatal aplicable y con relación a las operaciones del Garante, cualquier Co-Emisora u otra Subsidiaria Restringida) (1) relativas a las indemnizaciones por despido, reclamos de indemnización por accidentes de trabajo, obligaciones de pago relativas a los servicios de salud u otros beneficios de seguridad social, el seguro de desempleo u otras obligaciones de autoseguro para los empleados (incluidos los Gravámenes que garantizan cartas de crédito emitidas en el desarrollo normal de la actividad comercial relacionada con ellos) o (2) para asegurar el cumplimiento de concursos, obligaciones legales, garantías de finalización, cumplimiento, ejecución, garantías de caución y apelación, ofertas o asuntos aduaneros o garantías de naturaleza similar, locaciones, contratos con el estado y garantías de cumplimiento y de restitución de fondos y otras obligaciones similares Contraídas de manera coherente con las prácticas del sector, en cada caso, que no se contraigan en relación con préstamos de dinero, la obtención de adelantos o de crédito o el pago del precio de compra diferido de bienes o activos durante el desarrollo normal de la actividad comercial del Garante, cualquier Co-Emisora y cualquier otra Subsidiaria Restringida;</w:t>
      </w:r>
    </w:p>
    <w:p w14:paraId="7AD4DF00" w14:textId="77777777" w:rsidR="00202442" w:rsidRPr="00CA0A60" w:rsidRDefault="00202442" w:rsidP="00202442">
      <w:pPr>
        <w:widowControl w:val="0"/>
        <w:numPr>
          <w:ilvl w:val="0"/>
          <w:numId w:val="13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Gravámenes que garanticen obligaciones de reembolso relativas a cartas de crédito, cumplimiento de ofertas, contratos comerciales, obligaciones legales, garantías de caución y apelación, garantías de cumplimiento y de restitución de fondos, ofertas y otras obligaciones similares asumidas en el </w:t>
      </w:r>
      <w:r w:rsidRPr="00CA0A60">
        <w:rPr>
          <w:rFonts w:ascii="Garamond" w:hAnsi="Garamond" w:cs="Times New Roman"/>
          <w:sz w:val="20"/>
          <w:szCs w:val="20"/>
          <w:lang w:val="es-AR"/>
        </w:rPr>
        <w:lastRenderedPageBreak/>
        <w:t>desarrollo normal de la actividad comercial y que sean coherentes con prácticas pasadas, que en cada caso no hayan sido Contraídas en relación con préstamos de dinero, la obtención de adelantos o de crédito o el pago del precio de compra diferido de bienes o activos en el desarrollo normal de la actividad comercial del Garante, cualquier Co-Emisora y cualquier otra Subsidiaria Restringida;</w:t>
      </w:r>
    </w:p>
    <w:p w14:paraId="537C0B4B" w14:textId="77777777" w:rsidR="00202442" w:rsidRPr="00CA0A60" w:rsidRDefault="00202442" w:rsidP="00202442">
      <w:pPr>
        <w:widowControl w:val="0"/>
        <w:numPr>
          <w:ilvl w:val="0"/>
          <w:numId w:val="13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Gravámenes que surjan únicamente en virtud de cualquier disposición legal o bajo el régimen del </w:t>
      </w:r>
      <w:r w:rsidRPr="00CA0A60">
        <w:rPr>
          <w:rFonts w:ascii="Garamond" w:hAnsi="Garamond" w:cs="Times New Roman"/>
          <w:i/>
          <w:sz w:val="20"/>
          <w:szCs w:val="20"/>
          <w:lang w:val="es-AR"/>
        </w:rPr>
        <w:t xml:space="preserve">common law </w:t>
      </w:r>
      <w:r w:rsidRPr="00CA0A60">
        <w:rPr>
          <w:rFonts w:ascii="Garamond" w:hAnsi="Garamond" w:cs="Times New Roman"/>
          <w:sz w:val="20"/>
          <w:szCs w:val="20"/>
          <w:lang w:val="es-AR"/>
        </w:rPr>
        <w:t xml:space="preserve">en relación con gravámenes bancarios, derechos de compensación o derechos o recursos similares vinculados a las cuentas de captación u otros fondos mantenidos en una entidad depositaría acreedora; </w:t>
      </w:r>
      <w:r w:rsidRPr="00CA0A60">
        <w:rPr>
          <w:rFonts w:ascii="Garamond" w:hAnsi="Garamond" w:cs="Times New Roman"/>
          <w:color w:val="000000"/>
          <w:sz w:val="20"/>
          <w:szCs w:val="20"/>
          <w:u w:val="single"/>
          <w:lang w:val="es-AR" w:eastAsia="es-ES" w:bidi="es-ES"/>
        </w:rPr>
        <w:t>siempre que</w:t>
      </w:r>
      <w:r w:rsidRPr="00CA0A60">
        <w:rPr>
          <w:rFonts w:ascii="Garamond" w:hAnsi="Garamond" w:cs="Times New Roman"/>
          <w:sz w:val="20"/>
          <w:szCs w:val="20"/>
          <w:lang w:val="es-AR"/>
        </w:rPr>
        <w:t xml:space="preserve"> (i) dicha cuenta de captación no sea una cuenta de garantía en efectivo dedicada y no esté sujeta a restricciones impuestas por parte del Garante, cualquier Co-Emisora u otra Subsidiaria Restringida distintas de las fijadas en las resoluciones dictadas por la Junta de Gobernadores de la Reserva Federal de los Estados Unidos, y (ii) la finalidad de dicha cuenta de captación no sea, por decisión del Garante, cualquier Co-Emisora u otra Subsidiaria Restringida, la de prestar garantías a dicha institución depositaria;</w:t>
      </w:r>
    </w:p>
    <w:p w14:paraId="58CA25AB" w14:textId="77777777" w:rsidR="00202442" w:rsidRPr="00CA0A60" w:rsidRDefault="00202442" w:rsidP="00202442">
      <w:pPr>
        <w:widowControl w:val="0"/>
        <w:numPr>
          <w:ilvl w:val="0"/>
          <w:numId w:val="13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que garanticen Obligaciones de Cobertura relacionadas con Deuda Contraída conforme a la sección “Ciertos Compromisos – Limitación de Deuda Adicional”</w:t>
      </w:r>
    </w:p>
    <w:p w14:paraId="5E1400C3" w14:textId="77777777" w:rsidR="00202442" w:rsidRPr="00CA0A60" w:rsidRDefault="00202442" w:rsidP="00202442">
      <w:pPr>
        <w:widowControl w:val="0"/>
        <w:numPr>
          <w:ilvl w:val="0"/>
          <w:numId w:val="13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en vigencia a la Fecha de Emisión;</w:t>
      </w:r>
    </w:p>
    <w:p w14:paraId="406E2B68" w14:textId="77777777" w:rsidR="00202442" w:rsidRPr="00CA0A60" w:rsidRDefault="00202442" w:rsidP="00202442">
      <w:pPr>
        <w:widowControl w:val="0"/>
        <w:numPr>
          <w:ilvl w:val="0"/>
          <w:numId w:val="13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que garanticen cualquier Deuda por Refinanciamiento que pueda Contraerse de acuerdo con el compromiso del Contrato de Fideicomiso descripto en el apartado “—</w:t>
      </w:r>
      <w:r w:rsidRPr="00CA0A60">
        <w:rPr>
          <w:rFonts w:ascii="Garamond" w:hAnsi="Garamond" w:cs="Times New Roman"/>
          <w:i/>
          <w:sz w:val="20"/>
          <w:szCs w:val="20"/>
          <w:lang w:val="es-AR"/>
        </w:rPr>
        <w:t>Ciertos Compromisos</w:t>
      </w:r>
      <w:r w:rsidRPr="00CA0A60">
        <w:rPr>
          <w:rFonts w:ascii="Garamond" w:hAnsi="Garamond" w:cs="Times New Roman"/>
          <w:i/>
          <w:sz w:val="20"/>
          <w:szCs w:val="20"/>
          <w:lang w:val="es-AR"/>
        </w:rPr>
        <w:noBreakHyphen/>
      </w:r>
      <w:r w:rsidRPr="00CA0A60">
        <w:rPr>
          <w:rFonts w:ascii="Garamond" w:hAnsi="Garamond" w:cs="Times New Roman"/>
          <w:i/>
          <w:sz w:val="20"/>
          <w:szCs w:val="20"/>
          <w:lang w:val="es-AR"/>
        </w:rPr>
        <w:noBreakHyphen/>
        <w:t>Limitación de Deuda Adicional</w:t>
      </w:r>
      <w:r w:rsidRPr="00CA0A60">
        <w:rPr>
          <w:rFonts w:ascii="Garamond" w:hAnsi="Garamond" w:cs="Times New Roman"/>
          <w:sz w:val="20"/>
          <w:szCs w:val="20"/>
          <w:lang w:val="es-AR"/>
        </w:rPr>
        <w:t xml:space="preserve">”, </w:t>
      </w:r>
      <w:r w:rsidRPr="00CA0A60">
        <w:rPr>
          <w:rFonts w:ascii="Garamond" w:hAnsi="Garamond" w:cs="Times New Roman"/>
          <w:color w:val="000000"/>
          <w:sz w:val="20"/>
          <w:szCs w:val="20"/>
          <w:u w:val="single"/>
          <w:lang w:val="es-AR" w:eastAsia="es-ES" w:bidi="es-ES"/>
        </w:rPr>
        <w:t>siempre que</w:t>
      </w:r>
      <w:r w:rsidRPr="00CA0A60">
        <w:rPr>
          <w:rFonts w:ascii="Garamond" w:hAnsi="Garamond" w:cs="Times New Roman"/>
          <w:color w:val="000000"/>
          <w:sz w:val="20"/>
          <w:szCs w:val="20"/>
          <w:lang w:val="es-AR" w:eastAsia="es-ES" w:bidi="es-ES"/>
        </w:rPr>
        <w:t xml:space="preserve"> </w:t>
      </w:r>
      <w:r w:rsidRPr="00CA0A60">
        <w:rPr>
          <w:rFonts w:ascii="Garamond" w:hAnsi="Garamond" w:cs="Times New Roman"/>
          <w:sz w:val="20"/>
          <w:szCs w:val="20"/>
          <w:lang w:val="es-AR"/>
        </w:rPr>
        <w:t xml:space="preserve">tales nuevos Gravámenes que garantizan la Deuda por Refinanciamiento: (1) no sean sustancialmente menos favorables para los Tenedores y no sean sustancialmente más favorables para los acreedores en virtud de dichos Gravámenes que los Gravámenes relativos a la Deuda Refinanciada, y (2) no se extiendan a ningún bien o activo (o parte del mismo) distinto de los bienes o activos </w:t>
      </w:r>
      <w:r w:rsidRPr="00CA0A60">
        <w:rPr>
          <w:rFonts w:ascii="Garamond" w:hAnsi="Garamond" w:cs="Times New Roman"/>
          <w:i/>
          <w:iCs/>
          <w:color w:val="000000"/>
          <w:sz w:val="20"/>
          <w:szCs w:val="20"/>
          <w:lang w:val="es-AR" w:eastAsia="es-ES" w:bidi="es-ES"/>
        </w:rPr>
        <w:t>(</w:t>
      </w:r>
      <w:r w:rsidRPr="00CA0A60">
        <w:rPr>
          <w:rFonts w:ascii="Garamond" w:hAnsi="Garamond" w:cs="Times New Roman"/>
          <w:sz w:val="20"/>
          <w:szCs w:val="20"/>
          <w:lang w:val="es-AR"/>
        </w:rPr>
        <w:t xml:space="preserve">o parte de los mismos) </w:t>
      </w:r>
      <w:r w:rsidRPr="00CA0A60">
        <w:rPr>
          <w:rFonts w:ascii="Garamond" w:hAnsi="Garamond" w:cs="Times New Roman"/>
          <w:i/>
          <w:iCs/>
          <w:color w:val="000000"/>
          <w:sz w:val="20"/>
          <w:szCs w:val="20"/>
          <w:lang w:val="es-AR" w:eastAsia="es-ES" w:bidi="es-ES"/>
        </w:rPr>
        <w:t>más</w:t>
      </w:r>
      <w:r w:rsidRPr="00CA0A60">
        <w:rPr>
          <w:rFonts w:ascii="Garamond" w:hAnsi="Garamond" w:cs="Times New Roman"/>
          <w:sz w:val="20"/>
          <w:szCs w:val="20"/>
          <w:lang w:val="es-AR"/>
        </w:rPr>
        <w:t xml:space="preserve"> mejoras o adiciones a dichos bienes o activos que garantizan la Deuda Refinanciada por medio de dicha Deuda por Refinanciamiento;</w:t>
      </w:r>
    </w:p>
    <w:p w14:paraId="5D840434" w14:textId="77777777" w:rsidR="00202442" w:rsidRPr="00CA0A60" w:rsidRDefault="00202442" w:rsidP="00202442">
      <w:pPr>
        <w:widowControl w:val="0"/>
        <w:numPr>
          <w:ilvl w:val="0"/>
          <w:numId w:val="13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que garanticen Deuda Adquirida contraída con arreglo a “—</w:t>
      </w:r>
      <w:r w:rsidRPr="00CA0A60">
        <w:rPr>
          <w:rFonts w:ascii="Garamond" w:hAnsi="Garamond" w:cs="Times New Roman"/>
          <w:i/>
          <w:sz w:val="20"/>
          <w:szCs w:val="20"/>
          <w:lang w:val="es-AR"/>
        </w:rPr>
        <w:t>Ciertos Compromisos</w:t>
      </w:r>
      <w:r w:rsidRPr="00CA0A60">
        <w:rPr>
          <w:rFonts w:ascii="Garamond" w:hAnsi="Garamond" w:cs="Times New Roman"/>
          <w:i/>
          <w:sz w:val="20"/>
          <w:szCs w:val="20"/>
          <w:lang w:val="es-AR"/>
        </w:rPr>
        <w:noBreakHyphen/>
      </w:r>
      <w:r w:rsidRPr="00CA0A60">
        <w:rPr>
          <w:rFonts w:ascii="Garamond" w:hAnsi="Garamond" w:cs="Times New Roman"/>
          <w:i/>
          <w:sz w:val="20"/>
          <w:szCs w:val="20"/>
          <w:lang w:val="es-AR"/>
        </w:rPr>
        <w:noBreakHyphen/>
        <w:t>Limitación de Deuda Adicional</w:t>
      </w:r>
      <w:r w:rsidRPr="00CA0A60">
        <w:rPr>
          <w:rFonts w:ascii="Garamond" w:hAnsi="Garamond" w:cs="Times New Roman"/>
          <w:sz w:val="20"/>
          <w:szCs w:val="20"/>
          <w:lang w:val="es-AR"/>
        </w:rPr>
        <w:t xml:space="preserve">”; </w:t>
      </w:r>
      <w:r w:rsidRPr="00CA0A60">
        <w:rPr>
          <w:rFonts w:ascii="Garamond" w:hAnsi="Garamond" w:cs="Times New Roman"/>
          <w:color w:val="000000"/>
          <w:sz w:val="20"/>
          <w:szCs w:val="20"/>
          <w:u w:val="single"/>
          <w:lang w:val="es-AR" w:eastAsia="es-ES" w:bidi="es-ES"/>
        </w:rPr>
        <w:t>siempre que</w:t>
      </w:r>
      <w:r w:rsidRPr="00CA0A60">
        <w:rPr>
          <w:rFonts w:ascii="Garamond" w:hAnsi="Garamond" w:cs="Times New Roman"/>
          <w:sz w:val="20"/>
          <w:szCs w:val="20"/>
          <w:lang w:val="es-AR"/>
        </w:rPr>
        <w:t xml:space="preserve"> (i) tales Gravámenes hayan garantizado dicha Deuda Adquirida antes de la Fecha de Emisión, estén en vigencia a la Fecha de Emisión y no se hayan constituido en relación con la Contracción de dicha Deuda Adquirida o a la espera de esta por parte del Garante, de dicha Co-Emisora o de otra Subsidiaria Restringida, y (ii) tales Gravámenes no se extiendan a ni cubran ningún bien del Garante, una Co-Emisora u otra Subsidiaria Restringida que no sea el bien garantizado por la Deuda Adquirida antes del momento en que dicha Deuda se haya convertido en Deuda Adquirida del Garante, de dicha Co-Emisora o de otra Subsidiaria Restringida y no sean sustancialmente más favorables a los acreedores en virtud de dichos Gravámenes que los Gravámenes que garantizan la Deuda Adquirida previo a la Contracción de dicha Deuda Adquirida por parte del Garante, cualquier Co-Emisora u otra Subsidiaria Restringida;</w:t>
      </w:r>
    </w:p>
    <w:p w14:paraId="2CA22D69" w14:textId="77777777" w:rsidR="00202442" w:rsidRPr="00CA0A60" w:rsidRDefault="00202442" w:rsidP="00202442">
      <w:pPr>
        <w:widowControl w:val="0"/>
        <w:numPr>
          <w:ilvl w:val="0"/>
          <w:numId w:val="13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Gravámenes por Impuestos, contribuciones u otras cargas gubernamentales aún no sujetas a sanciones por falta de pago o que hayan sido Impugnados, </w:t>
      </w:r>
      <w:r w:rsidRPr="00CA0A60">
        <w:rPr>
          <w:rFonts w:ascii="Garamond" w:hAnsi="Garamond" w:cs="Times New Roman"/>
          <w:color w:val="000000"/>
          <w:sz w:val="20"/>
          <w:szCs w:val="20"/>
          <w:u w:val="single"/>
          <w:lang w:val="es-AR" w:eastAsia="es-ES" w:bidi="es-ES"/>
        </w:rPr>
        <w:t>siempre que</w:t>
      </w:r>
      <w:r w:rsidRPr="00CA0A60">
        <w:rPr>
          <w:rFonts w:ascii="Garamond" w:hAnsi="Garamond" w:cs="Times New Roman"/>
          <w:sz w:val="20"/>
          <w:szCs w:val="20"/>
          <w:lang w:val="es-AR"/>
        </w:rPr>
        <w:t xml:space="preserve"> se hayan efectuado las reservas pertinentes requeridas de conformidad con las NIIF;</w:t>
      </w:r>
    </w:p>
    <w:p w14:paraId="64B4EBE9" w14:textId="77777777" w:rsidR="00202442" w:rsidRPr="00CA0A60" w:rsidRDefault="00202442" w:rsidP="00202442">
      <w:pPr>
        <w:widowControl w:val="0"/>
        <w:numPr>
          <w:ilvl w:val="0"/>
          <w:numId w:val="130"/>
        </w:numPr>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por fallos que no den lugar a un Incumplimiento o un Supuesto de Incumplimiento, siempre que dichos Gravámenes se encuentren adecuadamente garantizados y que las acciones judiciales pertinentes debidamente entabladas para la revisión de dichos fallos no hayan concluido definitivamente o que el plazo durante el cual dicho procedimiento puede haberse iniciado no haya expirado, y que se hayan efectuado las previsiones pertinentes requeridas de conformidad con las NIIF;</w:t>
      </w:r>
    </w:p>
    <w:p w14:paraId="0BCB3086" w14:textId="77777777" w:rsidR="00202442" w:rsidRPr="00CA0A60" w:rsidRDefault="00202442" w:rsidP="00202442">
      <w:pPr>
        <w:widowControl w:val="0"/>
        <w:numPr>
          <w:ilvl w:val="0"/>
          <w:numId w:val="13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que establezcan algún interés de un arrendador, un cedente de licencia o los acreedores de cualquiera de ellos en el bien o activo sujeto a cualquier contrato de arrendamiento (que no se trate de un contrato de arrendamiento financiero);</w:t>
      </w:r>
    </w:p>
    <w:p w14:paraId="0D114738" w14:textId="0472A6D9" w:rsidR="00202442" w:rsidRPr="00CA0A60" w:rsidRDefault="00202442" w:rsidP="00202442">
      <w:pPr>
        <w:widowControl w:val="0"/>
        <w:numPr>
          <w:ilvl w:val="0"/>
          <w:numId w:val="13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que garanticen Deuda Contraída para cancelar las Obligaciones Negociables según lo permitido conforme al apartado “</w:t>
      </w:r>
      <w:r w:rsidR="00133BDE">
        <w:rPr>
          <w:rFonts w:ascii="Garamond" w:hAnsi="Garamond" w:cs="Times New Roman"/>
          <w:sz w:val="20"/>
          <w:szCs w:val="20"/>
          <w:lang w:val="es-AR"/>
        </w:rPr>
        <w:t>—</w:t>
      </w:r>
      <w:r w:rsidRPr="00CA0A60">
        <w:rPr>
          <w:rFonts w:ascii="Garamond" w:hAnsi="Garamond" w:cs="Times New Roman"/>
          <w:sz w:val="20"/>
          <w:szCs w:val="20"/>
          <w:lang w:val="es-AR"/>
        </w:rPr>
        <w:t>Cancelación</w:t>
      </w:r>
      <w:r w:rsidR="00133BDE">
        <w:rPr>
          <w:rFonts w:ascii="Garamond" w:hAnsi="Garamond" w:cs="Times New Roman"/>
          <w:sz w:val="20"/>
          <w:szCs w:val="20"/>
          <w:lang w:val="es-AR"/>
        </w:rPr>
        <w:t xml:space="preserve"> Legal y Cancelación de Compromisos</w:t>
      </w:r>
      <w:r w:rsidRPr="00CA0A60">
        <w:rPr>
          <w:rFonts w:ascii="Garamond" w:hAnsi="Garamond" w:cs="Times New Roman"/>
          <w:sz w:val="20"/>
          <w:szCs w:val="20"/>
          <w:lang w:val="es-AR"/>
        </w:rPr>
        <w:t xml:space="preserve">” en la medida en que los fondos correspondientes se utilicen simultáneamente para cancelar las Obligaciones Negociables; </w:t>
      </w:r>
    </w:p>
    <w:p w14:paraId="6AE5EE35" w14:textId="77777777" w:rsidR="00202442" w:rsidRPr="00CA0A60" w:rsidRDefault="00202442" w:rsidP="00202442">
      <w:pPr>
        <w:widowControl w:val="0"/>
        <w:numPr>
          <w:ilvl w:val="0"/>
          <w:numId w:val="13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irregularidades menores en el título de bienes inmuebles que no garanticen obligaciones monetarias y que no interfieran significativamente con la ocupación, uso o goce por parte del Garante, cualquier Co-Emisora u otra Subsidiaria Restringida de cualquiera de sus bienes;</w:t>
      </w:r>
    </w:p>
    <w:p w14:paraId="11F0504E" w14:textId="77777777" w:rsidR="00202442" w:rsidRPr="00CA0A60" w:rsidRDefault="00202442" w:rsidP="00202442">
      <w:pPr>
        <w:widowControl w:val="0"/>
        <w:numPr>
          <w:ilvl w:val="0"/>
          <w:numId w:val="13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usufructos, restricciones de zonificación, derechos de paso y gravámenes similares sobre bienes </w:t>
      </w:r>
      <w:r w:rsidRPr="00CA0A60">
        <w:rPr>
          <w:rFonts w:ascii="Garamond" w:hAnsi="Garamond" w:cs="Times New Roman"/>
          <w:sz w:val="20"/>
          <w:szCs w:val="20"/>
          <w:lang w:val="es-AR"/>
        </w:rPr>
        <w:lastRenderedPageBreak/>
        <w:t>inmuebles impuestos por ley o emergentes del giro ordinario de los negocios que no garanticen obligaciones monetarias y no reduzcan significativamente el valor del bien afectado ni interfieran con el giro ordinario de los negocios del Garante, cualquier Co-Emisora o cualquier otra Subsidiaria Restringida;</w:t>
      </w:r>
    </w:p>
    <w:p w14:paraId="4B458D49" w14:textId="77777777" w:rsidR="00202442" w:rsidRPr="00CA0A60" w:rsidRDefault="00202442" w:rsidP="00202442">
      <w:pPr>
        <w:widowControl w:val="0"/>
        <w:numPr>
          <w:ilvl w:val="0"/>
          <w:numId w:val="13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cualquier extensión, renovación o sustitución (o sucesivas extensiones, renovaciones o sustituciones), en todo o en parte, de cualquier Gravamen referido a las cláusulas anteriores (e), (f), (g) y (h) y las cláusulas (p), (q) y (r) a continuación o de cualquier Deuda garantizada por el mismo; </w:t>
      </w:r>
      <w:r w:rsidRPr="00CA0A60">
        <w:rPr>
          <w:rFonts w:ascii="Garamond" w:hAnsi="Garamond" w:cs="Times New Roman"/>
          <w:sz w:val="20"/>
          <w:szCs w:val="20"/>
          <w:u w:val="single"/>
          <w:lang w:val="es-AR"/>
        </w:rPr>
        <w:t>quedando establecido que</w:t>
      </w:r>
      <w:r w:rsidRPr="00CA0A60">
        <w:rPr>
          <w:rFonts w:ascii="Garamond" w:hAnsi="Garamond" w:cs="Times New Roman"/>
          <w:sz w:val="20"/>
          <w:szCs w:val="20"/>
          <w:lang w:val="es-AR"/>
        </w:rPr>
        <w:t xml:space="preserve"> el monto de capital de la Deuda garantizada de tal forma no podrá superar el monto de capital de Deuda garantizada al momento de dicha extensión, renovación o sustitución, y que el Gravamen correspondiente a la extensión, renovación o reemplazo deberá estar limitado a todo o parte del bien que aseguraba el Gravamen extendido, renovado o sustituido;</w:t>
      </w:r>
    </w:p>
    <w:p w14:paraId="464A1843" w14:textId="7337671F" w:rsidR="00202442" w:rsidRPr="00CA0A60" w:rsidRDefault="00202442" w:rsidP="00202442">
      <w:pPr>
        <w:widowControl w:val="0"/>
        <w:numPr>
          <w:ilvl w:val="0"/>
          <w:numId w:val="13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creados de acuerdo con los Documentos de Garantía</w:t>
      </w:r>
      <w:r w:rsidR="00B20539" w:rsidRPr="00CA0A60">
        <w:rPr>
          <w:rFonts w:ascii="Garamond" w:hAnsi="Garamond" w:cs="Times New Roman"/>
          <w:sz w:val="20"/>
          <w:szCs w:val="20"/>
          <w:lang w:val="es-AR"/>
        </w:rPr>
        <w:t xml:space="preserve"> con respecto a las Obligaciones Negociables (incluyendo las Obligaciones Negociables Adicionales)</w:t>
      </w:r>
      <w:r w:rsidRPr="00CA0A60">
        <w:rPr>
          <w:rFonts w:ascii="Garamond" w:hAnsi="Garamond" w:cs="Times New Roman"/>
          <w:sz w:val="20"/>
          <w:szCs w:val="20"/>
          <w:lang w:val="es-AR"/>
        </w:rPr>
        <w:t>;</w:t>
      </w:r>
    </w:p>
    <w:p w14:paraId="2391AE04" w14:textId="65E95D38" w:rsidR="00202442" w:rsidRPr="00CA0A60" w:rsidRDefault="00202442" w:rsidP="00202442">
      <w:pPr>
        <w:widowControl w:val="0"/>
        <w:numPr>
          <w:ilvl w:val="0"/>
          <w:numId w:val="13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sobre contratos de compra de energía (distintos de contratos de compra de energía que formen parte de los Derechos de Garantía) que garanticen Deuda por un monto de capital total que no supere en ningún momento la suma de U$S10 millones, siempre que no se haya producido y subsista un Incumplimiento o Supuesto de Incumplimiento ni pudiera producirse un Incumplimiento o Supuesto de Incumplimiento después de la Contracción de dichos Gravámenes; y</w:t>
      </w:r>
    </w:p>
    <w:p w14:paraId="26CD839B" w14:textId="44AA29F3" w:rsidR="00202442" w:rsidRPr="00CA0A60" w:rsidRDefault="00202442" w:rsidP="00202442">
      <w:pPr>
        <w:widowControl w:val="0"/>
        <w:numPr>
          <w:ilvl w:val="0"/>
          <w:numId w:val="130"/>
        </w:numPr>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Gravámenes que garanticen Deuda que pueda Contraerse de acuerdo con la cláusula (a)(xiii) del compromiso del Contrato de Fideicomiso descripto en “Ciertos Compromisos—Limitación de Deuda Adicional”</w:t>
      </w:r>
      <w:r w:rsidR="00047471">
        <w:rPr>
          <w:rFonts w:ascii="Garamond" w:hAnsi="Garamond" w:cs="Times New Roman"/>
          <w:sz w:val="20"/>
          <w:szCs w:val="20"/>
          <w:lang w:val="es-AR"/>
        </w:rPr>
        <w:t xml:space="preserve">; siempre que esos Gravámenes no se constituyan sobre bienes o activos (o una parte de estos) distintos de bienes o activos (o parte de estos) que garanticen Deuda adeudada a Siemens en proceso de cancelación. </w:t>
      </w:r>
      <w:r w:rsidRPr="00CA0A60" w:rsidDel="009E25AE">
        <w:rPr>
          <w:rFonts w:ascii="Garamond" w:hAnsi="Garamond" w:cs="Times New Roman"/>
          <w:sz w:val="20"/>
          <w:szCs w:val="20"/>
          <w:lang w:val="es-AR"/>
        </w:rPr>
        <w:t xml:space="preserve"> </w:t>
      </w:r>
    </w:p>
    <w:p w14:paraId="353E94F8" w14:textId="77777777" w:rsidR="00202442" w:rsidRPr="00CA0A60" w:rsidRDefault="00202442" w:rsidP="00202442">
      <w:pPr>
        <w:widowControl w:val="0"/>
        <w:tabs>
          <w:tab w:val="left" w:pos="284"/>
          <w:tab w:val="left" w:pos="709"/>
          <w:tab w:val="left" w:pos="8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u w:val="single"/>
          <w:lang w:val="es-AR"/>
        </w:rPr>
        <w:t>quedando establecido, sin embargo</w:t>
      </w:r>
      <w:r w:rsidRPr="00CA0A60">
        <w:rPr>
          <w:rFonts w:ascii="Garamond" w:hAnsi="Garamond" w:cs="Times New Roman"/>
          <w:sz w:val="20"/>
          <w:szCs w:val="20"/>
          <w:lang w:val="es-AR"/>
        </w:rPr>
        <w:t>, que salvo por lo previsto expresamente en las cláusulas (e), (f), (g), (o), (p), (q) y (r) anteriores, el término “Gravámenes Permitidos” no incluirá ningún Gravamen que garantice Deudas.</w:t>
      </w:r>
    </w:p>
    <w:p w14:paraId="3CE5C8C2"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“Persona”</w:t>
      </w:r>
      <w:r w:rsidRPr="00CA0A60">
        <w:rPr>
          <w:rFonts w:ascii="Garamond" w:hAnsi="Garamond" w:cs="Times New Roman"/>
          <w:sz w:val="20"/>
          <w:szCs w:val="20"/>
          <w:lang w:val="es-AR"/>
        </w:rPr>
        <w:t xml:space="preserve"> significa una persona física, asociación, sociedad en comandita simple, sociedad anónima, sociedad de responsabilidad limitada, otra sociedad, asociación sin personalidad jurídica, fideicomiso o sociedad de riesgo compartido, o una Autoridad Gubernamental.</w:t>
      </w:r>
    </w:p>
    <w:p w14:paraId="56538C13"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“CCEE”</w:t>
      </w:r>
      <w:r w:rsidRPr="00CA0A60">
        <w:rPr>
          <w:rFonts w:ascii="Garamond" w:hAnsi="Garamond" w:cs="Times New Roman"/>
          <w:sz w:val="20"/>
          <w:szCs w:val="20"/>
          <w:lang w:val="es-AR"/>
        </w:rPr>
        <w:t xml:space="preserve"> significa, en conjunto, los CCEE 220 Cedidos y los CCEE de Siemens.</w:t>
      </w:r>
    </w:p>
    <w:p w14:paraId="5E318752"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“Acciones Preferidas”</w:t>
      </w:r>
      <w:r w:rsidRPr="00CA0A60">
        <w:rPr>
          <w:rFonts w:ascii="Garamond" w:hAnsi="Garamond" w:cs="Times New Roman"/>
          <w:sz w:val="20"/>
          <w:szCs w:val="20"/>
          <w:lang w:val="es-AR"/>
        </w:rPr>
        <w:t xml:space="preserve"> de cualquier Persona son las Acciones de dicha Persona que tienen un derecho preferente sobre cualesquiera otras Acciones de la misma Persona con respecto a los dividendos, las distribuciones o los reembolsos o en caso de liquidación.</w:t>
      </w:r>
    </w:p>
    <w:p w14:paraId="2D214D80" w14:textId="74C464B9"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w:t>
      </w:r>
      <w:r w:rsidRPr="00CA0A60">
        <w:rPr>
          <w:rFonts w:ascii="Garamond" w:hAnsi="Garamond" w:cs="Times New Roman"/>
          <w:i/>
          <w:sz w:val="20"/>
          <w:szCs w:val="20"/>
          <w:lang w:val="es-AR"/>
        </w:rPr>
        <w:t>Deuda por Financiación de Compras”</w:t>
      </w:r>
      <w:r w:rsidRPr="00CA0A60">
        <w:rPr>
          <w:rFonts w:ascii="Garamond" w:hAnsi="Garamond" w:cs="Times New Roman"/>
          <w:sz w:val="20"/>
          <w:szCs w:val="20"/>
          <w:lang w:val="es-AR"/>
        </w:rPr>
        <w:t xml:space="preserve"> significa  con respecto a cualquier Persona y a la adquisición por dicha Persona de activos fijos o de capital, (a) todas las obligaciones de dicha Persona en concepto de pago diferido del precio de compra de bienes, todas las obligaciones bajo ventas condicionales, todas las obligaciones bajo contratos de reserva de dominio o contratos de ingeniería, compra y construcción, o cualquier obligación por cualquier tipo de financiación de propietarios, fabricantes o vendedores, en la medida que dichas obligaciones sean adeudadas al propietario, fabricante o vendedor de los activos fijos o de capital en cuestión, según corresponda,</w:t>
      </w:r>
      <w:r w:rsidR="00B20539" w:rsidRPr="00CA0A60">
        <w:rPr>
          <w:rFonts w:ascii="Garamond" w:hAnsi="Garamond" w:cs="Times New Roman"/>
          <w:sz w:val="20"/>
          <w:szCs w:val="20"/>
          <w:lang w:val="es-AR"/>
        </w:rPr>
        <w:t xml:space="preserve"> en cada caso,</w:t>
      </w:r>
      <w:r w:rsidRPr="00CA0A60">
        <w:rPr>
          <w:rFonts w:ascii="Garamond" w:hAnsi="Garamond" w:cs="Times New Roman"/>
          <w:sz w:val="20"/>
          <w:szCs w:val="20"/>
          <w:lang w:val="es-AR"/>
        </w:rPr>
        <w:t xml:space="preserve"> que posean pagos a ser realizados en cualquier momento después de cumplidos seis meses de la fecha en que se Contrajo o se asumió la obligación, y excluyendo cuentas comerciales a pagar y otros pasivos devengados emergentes en el giro ordinario de los negocios y que no registren retrasos mayores a 60 días</w:t>
      </w:r>
      <w:r w:rsidR="00B20539" w:rsidRPr="00CA0A60">
        <w:rPr>
          <w:rFonts w:ascii="Garamond" w:hAnsi="Garamond" w:cs="Times New Roman"/>
          <w:sz w:val="20"/>
          <w:szCs w:val="20"/>
          <w:lang w:val="es-AR"/>
        </w:rPr>
        <w:t xml:space="preserve"> (o plazos superiores si esos pasivos estuvieran siendo objetados de buena fe mediante procedimientos adecuados instituidos de forma inmediata y desarrollados diligentemente)</w:t>
      </w:r>
      <w:r w:rsidRPr="00CA0A60">
        <w:rPr>
          <w:rFonts w:ascii="Garamond" w:hAnsi="Garamond" w:cs="Times New Roman"/>
          <w:sz w:val="20"/>
          <w:szCs w:val="20"/>
          <w:lang w:val="es-AR"/>
        </w:rPr>
        <w:t>, y (b) todas las obligaciones del tipo referido en la cláusula (a) anterior de otras Personas Garantizadas por dicha Persona o por las cuales dicha Persona esté obligada de otra forma, ya sea como obligado, garante o en otro carácter.</w:t>
      </w:r>
    </w:p>
    <w:p w14:paraId="71A6F2E0"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“Acciones Calificadas”</w:t>
      </w:r>
      <w:r w:rsidRPr="00CA0A60">
        <w:rPr>
          <w:rFonts w:ascii="Garamond" w:hAnsi="Garamond" w:cs="Times New Roman"/>
          <w:sz w:val="20"/>
          <w:szCs w:val="20"/>
          <w:lang w:val="es-AR"/>
        </w:rPr>
        <w:t xml:space="preserve"> son las Acciones que no están Descalificadas y cualesquiera warrants, derechos u opciones de compra de Acciones que no estén Descalificadas o que no puedan convertirse en Acciones Descalificadas o canjearse por estas.</w:t>
      </w:r>
    </w:p>
    <w:p w14:paraId="2CC0713D"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Refinanciar</w:t>
      </w:r>
      <w:r w:rsidRPr="00CA0A60">
        <w:rPr>
          <w:rFonts w:ascii="Garamond" w:hAnsi="Garamond" w:cs="Times New Roman"/>
          <w:sz w:val="20"/>
          <w:szCs w:val="20"/>
          <w:lang w:val="es-AR"/>
        </w:rPr>
        <w:t>” significa, respecto de cualquier Deuda, contraer Deuda a fin de canjear o refinanciar, reemplazar, cancelar o reembolsar dicha Deuda en su totalidad o en parte, o, en el caso de una línea de crédito rotatorio, cualquier re-endeudamiento relativo a importes previamente adelantados y los pagos efectuados en virtud del mismo. “Refinanciada” y “Refinanciamiento” tendrá significados correlativos.</w:t>
      </w:r>
    </w:p>
    <w:p w14:paraId="6DC5005B"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color w:val="000000"/>
          <w:sz w:val="20"/>
          <w:szCs w:val="20"/>
          <w:lang w:val="es-AR" w:eastAsia="es-ES" w:bidi="es-ES"/>
        </w:rPr>
        <w:t>Deuda por Refinanciamiento”</w:t>
      </w:r>
      <w:r w:rsidRPr="00CA0A60">
        <w:rPr>
          <w:rFonts w:ascii="Garamond" w:hAnsi="Garamond" w:cs="Times New Roman"/>
          <w:sz w:val="20"/>
          <w:szCs w:val="20"/>
          <w:lang w:val="es-AR"/>
        </w:rPr>
        <w:t xml:space="preserve"> es la Deuda del Garante, de cualquier Co-Emisora o de cualquier otra Subsidiaria Restringida Contraída para Refinanciar cualquier otra Deuda del Garante, de una Co-Emisora o de otra Subsidiaria Restringida, ya sea que se encuentre pendiente de pago a la Fecha de Emisión o que haya sido </w:t>
      </w:r>
      <w:r w:rsidRPr="00CA0A60">
        <w:rPr>
          <w:rFonts w:ascii="Garamond" w:hAnsi="Garamond" w:cs="Times New Roman"/>
          <w:sz w:val="20"/>
          <w:szCs w:val="20"/>
          <w:lang w:val="es-AR"/>
        </w:rPr>
        <w:lastRenderedPageBreak/>
        <w:t>Contraída de conformidad con el Contrato de Fideicomiso, siempre y cuando:</w:t>
      </w:r>
    </w:p>
    <w:p w14:paraId="39ABA309" w14:textId="77777777" w:rsidR="00202442" w:rsidRPr="00CA0A60" w:rsidRDefault="00202442" w:rsidP="00202442">
      <w:pPr>
        <w:widowControl w:val="0"/>
        <w:numPr>
          <w:ilvl w:val="0"/>
          <w:numId w:val="111"/>
        </w:numPr>
        <w:tabs>
          <w:tab w:val="left" w:pos="284"/>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suma de capital total (o el valor de acreción inicial, si procediera) de dicha Deuda por Refinanciamiento a la fecha de dicha propuesta de Refinanciamiento (neta de efectivo y Equivalentes de Efectivo consolidados y títulos valores negociables consolidados registrados como activos corrientes, a excepción de las Acciones en cualquier Persona, en todos los casos conforme a las NIIF y según constan en el último balance general consolidado del Garante) no exceda la suma de capital total (o valor de acreción inicial, si procediera) de la Deuda Refinanciada (</w:t>
      </w:r>
      <w:r w:rsidRPr="00CA0A60">
        <w:rPr>
          <w:rFonts w:ascii="Garamond" w:hAnsi="Garamond" w:cs="Times New Roman"/>
          <w:i/>
          <w:iCs/>
          <w:color w:val="000000"/>
          <w:sz w:val="20"/>
          <w:szCs w:val="20"/>
          <w:lang w:val="es-AR" w:eastAsia="es-ES" w:bidi="es-ES"/>
        </w:rPr>
        <w:t>más</w:t>
      </w:r>
      <w:r w:rsidRPr="00CA0A60">
        <w:rPr>
          <w:rFonts w:ascii="Garamond" w:hAnsi="Garamond" w:cs="Times New Roman"/>
          <w:sz w:val="20"/>
          <w:szCs w:val="20"/>
          <w:lang w:val="es-AR"/>
        </w:rPr>
        <w:t xml:space="preserve"> el importe de la prima que debe pagarse en virtud de los términos del instrumento que regula dicha Deuda Refinanciada y el importe de los honorarios, gastos y costos de cancelación razonables, si los hubiere, en los que se incurra en relación con este Refinanciamiento);</w:t>
      </w:r>
    </w:p>
    <w:p w14:paraId="089A7367" w14:textId="77777777" w:rsidR="00202442" w:rsidRPr="00CA0A60" w:rsidRDefault="00202442" w:rsidP="00202442">
      <w:pPr>
        <w:widowControl w:val="0"/>
        <w:numPr>
          <w:ilvl w:val="0"/>
          <w:numId w:val="111"/>
        </w:numPr>
        <w:tabs>
          <w:tab w:val="left" w:pos="284"/>
          <w:tab w:val="left" w:pos="709"/>
          <w:tab w:val="left" w:pos="1470"/>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dicha Deuda por Refinanciamiento tenga una Vida Media Ponderada hasta el Vencimiento igual o mayor a la Vida Media Ponderada remanente hasta el Vencimiento de la Deuda Refinanciada o de las Obligaciones Negociables, </w:t>
      </w:r>
    </w:p>
    <w:p w14:paraId="2849F5CF" w14:textId="77777777" w:rsidR="00202442" w:rsidRPr="00CA0A60" w:rsidRDefault="00202442" w:rsidP="00202442">
      <w:pPr>
        <w:widowControl w:val="0"/>
        <w:numPr>
          <w:ilvl w:val="0"/>
          <w:numId w:val="111"/>
        </w:numPr>
        <w:tabs>
          <w:tab w:val="left" w:pos="284"/>
          <w:tab w:val="left" w:pos="709"/>
          <w:tab w:val="left" w:pos="1418"/>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si la Deuda Refinanciada es:</w:t>
      </w:r>
    </w:p>
    <w:p w14:paraId="3867D34D" w14:textId="77777777" w:rsidR="00202442" w:rsidRPr="00CA0A60" w:rsidRDefault="00202442" w:rsidP="00202442">
      <w:pPr>
        <w:widowControl w:val="0"/>
        <w:numPr>
          <w:ilvl w:val="0"/>
          <w:numId w:val="112"/>
        </w:numPr>
        <w:tabs>
          <w:tab w:val="left" w:pos="284"/>
          <w:tab w:val="left" w:pos="709"/>
          <w:tab w:val="left" w:pos="1418"/>
          <w:tab w:val="left" w:pos="1470"/>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Deuda del Garante, de cualquier Co-Emisora u otra Subsidiaria Restringida, dicha Deuda por Refinanciamiento será Deuda del Garante o de dicha Co-Emisora,</w:t>
      </w:r>
    </w:p>
    <w:p w14:paraId="0222074B" w14:textId="77777777" w:rsidR="00202442" w:rsidRPr="00CA0A60" w:rsidRDefault="00202442" w:rsidP="00202442">
      <w:pPr>
        <w:widowControl w:val="0"/>
        <w:numPr>
          <w:ilvl w:val="0"/>
          <w:numId w:val="112"/>
        </w:numPr>
        <w:tabs>
          <w:tab w:val="left" w:pos="284"/>
          <w:tab w:val="left" w:pos="709"/>
          <w:tab w:val="left" w:pos="1418"/>
          <w:tab w:val="left" w:pos="1470"/>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Deuda de una Subsidiaria, dicha Deuda por Refinanciamiento será Deuda del Garante, de cualquier Co-Emisora o dicha Subsidiaria Restringida, y</w:t>
      </w:r>
    </w:p>
    <w:p w14:paraId="6E7E854F" w14:textId="77777777" w:rsidR="00202442" w:rsidRPr="00CA0A60" w:rsidRDefault="00202442" w:rsidP="00202442">
      <w:pPr>
        <w:widowControl w:val="0"/>
        <w:numPr>
          <w:ilvl w:val="0"/>
          <w:numId w:val="112"/>
        </w:numPr>
        <w:tabs>
          <w:tab w:val="left" w:pos="284"/>
          <w:tab w:val="left" w:pos="709"/>
          <w:tab w:val="left" w:pos="1418"/>
          <w:tab w:val="left" w:pos="1470"/>
          <w:tab w:val="left" w:pos="2127"/>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Deuda Subordinada, dicha Deuda por Refinanciamiento estará subordinada en cuanto al derecho de pago a las Obligaciones Negociables y las Garantías de ASA, según sea el caso, al menos en la misma medida y en los mismos términos que la Deuda Refinanciada.</w:t>
      </w:r>
    </w:p>
    <w:p w14:paraId="06CD2955" w14:textId="4F182BBD"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(iv)</w:t>
      </w:r>
      <w:r w:rsidRPr="00CA0A60">
        <w:rPr>
          <w:rFonts w:ascii="Garamond" w:hAnsi="Garamond" w:cs="Times New Roman"/>
          <w:sz w:val="20"/>
          <w:szCs w:val="20"/>
          <w:lang w:val="es-AR"/>
        </w:rPr>
        <w:tab/>
        <w:t>La Deuda por Refinanciamiento no incluirá la Deuda del Garante, de cualquier Co-Emisora o de cualquier otra Subsidiaria Restringida que Refinancie Deuda de una Subsidiaria No Restringida del Garante.</w:t>
      </w:r>
    </w:p>
    <w:p w14:paraId="07B74F37"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“Jurisdicción Fiscal Pertinente”</w:t>
      </w:r>
      <w:r w:rsidRPr="00CA0A60">
        <w:rPr>
          <w:rFonts w:ascii="Garamond" w:hAnsi="Garamond" w:cs="Times New Roman"/>
          <w:sz w:val="20"/>
          <w:szCs w:val="20"/>
          <w:lang w:val="es-AR"/>
        </w:rPr>
        <w:t xml:space="preserve"> se refiere a lo establecido en el apartado “—</w:t>
      </w:r>
      <w:r w:rsidRPr="00CA0A60">
        <w:rPr>
          <w:rFonts w:ascii="Garamond" w:hAnsi="Garamond" w:cs="Times New Roman"/>
          <w:i/>
          <w:sz w:val="20"/>
          <w:szCs w:val="20"/>
          <w:lang w:val="es-AR"/>
        </w:rPr>
        <w:t>Montos Adicionales</w:t>
      </w:r>
      <w:r w:rsidRPr="00CA0A60">
        <w:rPr>
          <w:rFonts w:ascii="Garamond" w:hAnsi="Garamond" w:cs="Times New Roman"/>
          <w:sz w:val="20"/>
          <w:szCs w:val="20"/>
          <w:lang w:val="es-AR"/>
        </w:rPr>
        <w:t>” anterior.</w:t>
      </w:r>
    </w:p>
    <w:p w14:paraId="47004DC0"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“Pago Restringido”</w:t>
      </w:r>
      <w:r w:rsidRPr="00CA0A60">
        <w:rPr>
          <w:rFonts w:ascii="Garamond" w:hAnsi="Garamond" w:cs="Times New Roman"/>
          <w:sz w:val="20"/>
          <w:szCs w:val="20"/>
          <w:lang w:val="es-AR"/>
        </w:rPr>
        <w:t xml:space="preserve"> tiene el significado que se establece en el apartado </w:t>
      </w:r>
      <w:r w:rsidRPr="00CA0A60">
        <w:rPr>
          <w:rFonts w:ascii="Garamond" w:hAnsi="Garamond" w:cs="Times New Roman"/>
          <w:i/>
          <w:sz w:val="20"/>
          <w:szCs w:val="20"/>
          <w:lang w:val="es-AR"/>
        </w:rPr>
        <w:t>“—Ciertos Compromisos—Limitación a Pagos Restringidos</w:t>
      </w:r>
      <w:r w:rsidRPr="00CA0A60">
        <w:rPr>
          <w:rFonts w:ascii="Garamond" w:hAnsi="Garamond" w:cs="Times New Roman"/>
          <w:sz w:val="20"/>
          <w:szCs w:val="20"/>
          <w:lang w:val="es-AR"/>
        </w:rPr>
        <w:t>”.</w:t>
      </w:r>
    </w:p>
    <w:p w14:paraId="71B39EBB"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“Subsidiaria Restringida”</w:t>
      </w:r>
      <w:r w:rsidRPr="00CA0A60">
        <w:rPr>
          <w:rFonts w:ascii="Garamond" w:hAnsi="Garamond" w:cs="Times New Roman"/>
          <w:sz w:val="20"/>
          <w:szCs w:val="20"/>
          <w:lang w:val="es-AR"/>
        </w:rPr>
        <w:t xml:space="preserve"> es cada una de las Subsidiarias del Garante que no sea una Subsidiaria No Restringida, incluidas GEMSA y CTR.</w:t>
      </w:r>
    </w:p>
    <w:p w14:paraId="12DD5FED"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 “</w:t>
      </w:r>
      <w:r w:rsidRPr="00CA0A60">
        <w:rPr>
          <w:rFonts w:ascii="Garamond" w:hAnsi="Garamond" w:cs="Times New Roman"/>
          <w:i/>
          <w:sz w:val="20"/>
          <w:szCs w:val="20"/>
          <w:lang w:val="es-AR"/>
        </w:rPr>
        <w:t>S&amp;P</w:t>
      </w:r>
      <w:r w:rsidRPr="00CA0A60">
        <w:rPr>
          <w:rFonts w:ascii="Garamond" w:hAnsi="Garamond" w:cs="Times New Roman"/>
          <w:sz w:val="20"/>
          <w:szCs w:val="20"/>
          <w:lang w:val="es-AR"/>
        </w:rPr>
        <w:t xml:space="preserve">” alude a Standard &amp; Poor’s Ratings Group, una división de McGraw Hill, Inc. y sus sucesoras. </w:t>
      </w:r>
    </w:p>
    <w:p w14:paraId="51B5C177"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Venta y Pacto de Arrendamiento</w:t>
      </w:r>
      <w:r w:rsidRPr="00CA0A60">
        <w:rPr>
          <w:rFonts w:ascii="Garamond" w:hAnsi="Garamond" w:cs="Times New Roman"/>
          <w:sz w:val="20"/>
          <w:szCs w:val="20"/>
          <w:lang w:val="es-AR"/>
        </w:rPr>
        <w:t>” es cualquier acuerdo directo o indirecto celebrado con una Persona o en el que esta Persona sea parte en virtud del cual se disponga el arrendamiento, al Garante, cualquier Co-Emisora o a cualquier otra Subsidiaria Restringida, de una propiedad, adquirida o a adquirirse a partir de la Fecha de Emisión por parte del Garante, cualquier Co-Emisora u otra Subsidiaria Restringida, que haya sido o que será vendida o transferida por el Garante, cualquier Co-Emisora o cualquier otra Subsidiaria Restringida a dicha Persona o a cualquier otra Persona que haya adelantado o que adelantará fondos para la garantía de esta propiedad.</w:t>
      </w:r>
    </w:p>
    <w:p w14:paraId="44CBDF2D"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SEC</w:t>
      </w:r>
      <w:r w:rsidRPr="00CA0A60">
        <w:rPr>
          <w:rFonts w:ascii="Garamond" w:hAnsi="Garamond" w:cs="Times New Roman"/>
          <w:sz w:val="20"/>
          <w:szCs w:val="20"/>
          <w:lang w:val="es-AR"/>
        </w:rPr>
        <w:t>’ significa la Comisión de Valores de los Estados Unidos.</w:t>
      </w:r>
    </w:p>
    <w:p w14:paraId="43128B20" w14:textId="7DFCB7DA"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“Partes Garantizadas”</w:t>
      </w:r>
      <w:r w:rsidRPr="00CA0A60">
        <w:rPr>
          <w:rFonts w:ascii="Garamond" w:hAnsi="Garamond" w:cs="Times New Roman"/>
          <w:sz w:val="20"/>
          <w:szCs w:val="20"/>
          <w:lang w:val="es-AR"/>
        </w:rPr>
        <w:t xml:space="preserve"> significa los Tenedores y el Fiduciario, el Agente de Garantía Internacional, </w:t>
      </w:r>
      <w:r w:rsidR="0099360D">
        <w:rPr>
          <w:rFonts w:ascii="Garamond" w:hAnsi="Garamond" w:cs="Times New Roman"/>
          <w:sz w:val="20"/>
          <w:szCs w:val="20"/>
          <w:lang w:val="es-AR"/>
        </w:rPr>
        <w:t xml:space="preserve">el Banco Depositario, </w:t>
      </w:r>
      <w:r w:rsidRPr="00CA0A60">
        <w:rPr>
          <w:rFonts w:ascii="Garamond" w:hAnsi="Garamond" w:cs="Times New Roman"/>
          <w:sz w:val="20"/>
          <w:szCs w:val="20"/>
          <w:lang w:val="es-AR"/>
        </w:rPr>
        <w:t>el Agente de Garantía Local, el Fiduciario Argentino y todos los demás agentes bajo el Contrato de Fideicomiso.</w:t>
      </w:r>
    </w:p>
    <w:p w14:paraId="39702BA8"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“Ley de Títulos Valores Estadounidense</w:t>
      </w:r>
      <w:r w:rsidRPr="00CA0A60">
        <w:rPr>
          <w:rFonts w:ascii="Garamond" w:hAnsi="Garamond" w:cs="Times New Roman"/>
          <w:sz w:val="20"/>
          <w:szCs w:val="20"/>
          <w:lang w:val="es-AR"/>
        </w:rPr>
        <w:t>” es la Ley de Títulos Valores Estadounidense de Estados Unidos de 1933 y sus modificaciones.</w:t>
      </w:r>
    </w:p>
    <w:p w14:paraId="1F47AE7D" w14:textId="36C8DE2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Deuda No Subordinada</w:t>
      </w:r>
      <w:r w:rsidRPr="00CA0A60">
        <w:rPr>
          <w:rFonts w:ascii="Garamond" w:hAnsi="Garamond" w:cs="Times New Roman"/>
          <w:sz w:val="20"/>
          <w:szCs w:val="20"/>
          <w:lang w:val="es-AR"/>
        </w:rPr>
        <w:t>” hace referencia a las Obligaciones Negociables, las Garantías de ASA y cualquier otra Deuda no garantizada y no subordinada del Garante, cualquier Co-Emisora o cualquier otra Subsidiaria Restringida, según sea el caso, que tenga el mismo orden de privilegio de pago que las Obligaciones Negociables, las Garantías de las Obligaciones Negociables o cualquier otra Deuda no garantizada y no subordinada del Garante, cualquier Co-Emisora o cualquier otra Subsidiaria Restringida, según corresponda.</w:t>
      </w:r>
    </w:p>
    <w:p w14:paraId="1BFDBED0" w14:textId="6525A8E8"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“Siemens”</w:t>
      </w:r>
      <w:r w:rsidRPr="00CA0A60">
        <w:rPr>
          <w:rFonts w:ascii="Garamond" w:hAnsi="Garamond" w:cs="Times New Roman"/>
          <w:sz w:val="20"/>
          <w:szCs w:val="20"/>
          <w:lang w:val="es-AR"/>
        </w:rPr>
        <w:t xml:space="preserve"> significa Siemens Industrial Turbomachinery AB.</w:t>
      </w:r>
    </w:p>
    <w:p w14:paraId="708DFD63" w14:textId="6AC36167" w:rsidR="00202442" w:rsidRPr="00CA0A60" w:rsidRDefault="00202442" w:rsidP="00CA3A3D">
      <w:pPr>
        <w:autoSpaceDE w:val="0"/>
        <w:autoSpaceDN w:val="0"/>
        <w:adjustRightInd w:val="0"/>
        <w:spacing w:after="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“Contratos de Siemens”</w:t>
      </w:r>
      <w:r w:rsidR="00306460" w:rsidRPr="00CA0A60">
        <w:rPr>
          <w:rFonts w:ascii="Garamond" w:hAnsi="Garamond" w:cs="Times New Roman"/>
          <w:sz w:val="20"/>
          <w:szCs w:val="20"/>
          <w:lang w:val="es-AR"/>
        </w:rPr>
        <w:t xml:space="preserve"> hace referencia a los siguientes contratos: (i) el acuerdo de pago diferido relacionado con el contrato de suministro de fecha 2 de mayo de 2016, instrumentado mediante la carta oferta “Oferta DPA Nº 04/2016”, de fecha 13 de septiembre de 2016, suscripta y otorgada por Siemens y aceptada por GEMSA en la misma fecha, (ii) el acuerdo de pago diferido relacionado con el contrato de suministro originalmente de fecha 9 de agosto de 2016, instrumentado mediante la carta oferta “Oferta DPA Nº 05/2016”, de fecha 13 de septiembre de 2016, suscripta y otorgada por Siemens y aceptada por GEMSA en la misma fecha, (iii) el acuerdo </w:t>
      </w:r>
      <w:r w:rsidR="00306460" w:rsidRPr="00CA0A60">
        <w:rPr>
          <w:rFonts w:ascii="Garamond" w:hAnsi="Garamond" w:cs="Times New Roman"/>
          <w:sz w:val="20"/>
          <w:szCs w:val="20"/>
          <w:lang w:val="es-AR"/>
        </w:rPr>
        <w:lastRenderedPageBreak/>
        <w:t>de pago diferido relacionado con el contrato de suministro de fecha 9 de agosto de 2016, instrumentado mediante la carta oferta “Oferta DPA Nº 04/2016”, de fecha 13 de septiembre de 2016, suscripta y otorgada por Siemens y aceptada por GEMSA en la misma fecha, y (iv) el acuerdo de pago diferido relacionado con el contrato de suministro de fecha 28 de marzo de 2016, instrumentado mediante la carta oferta “Oferta DPA Nº 01/2016”, de fecha 14 de junio de 2016, suscripta y otorgada por Siemens y aceptada por GEMSA en la misma fecha</w:t>
      </w:r>
      <w:r w:rsidRPr="00CA0A60">
        <w:rPr>
          <w:rFonts w:ascii="Garamond" w:hAnsi="Garamond" w:cs="Times New Roman"/>
          <w:sz w:val="20"/>
          <w:szCs w:val="20"/>
          <w:lang w:val="es-AR"/>
        </w:rPr>
        <w:t>.</w:t>
      </w:r>
    </w:p>
    <w:p w14:paraId="123EB847" w14:textId="77777777" w:rsidR="00202442" w:rsidRPr="00CA0A60" w:rsidRDefault="00202442" w:rsidP="00202442">
      <w:pPr>
        <w:widowControl w:val="0"/>
        <w:tabs>
          <w:tab w:val="left" w:pos="284"/>
          <w:tab w:val="left" w:pos="709"/>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“Equipos de Siemens”</w:t>
      </w:r>
      <w:r w:rsidRPr="00CA0A60">
        <w:rPr>
          <w:rFonts w:ascii="Garamond" w:hAnsi="Garamond" w:cs="Times New Roman"/>
          <w:sz w:val="20"/>
          <w:szCs w:val="20"/>
          <w:lang w:val="es-AR"/>
        </w:rPr>
        <w:t xml:space="preserve"> significa dos turbinas de gas Siemens SGT-800 y sus respectivos generadores y cajas de engranaje de propiedad de GEMSA y los equipos asociados instalados en la central eléctrica Independencia a la Fecha de Emisión, según el siguiente detalle (i) turbina, generador y caja de engranaje identificados bajo el número BD000262U02, el número 8269130 y el número DD080089, respectivamente; y (ii) turbina, generador y caja de engranaje identificados bajo el número BD000395U01, el número 8269267 y el número DD080151, respectivamente.</w:t>
      </w:r>
    </w:p>
    <w:p w14:paraId="0B303245" w14:textId="38489ADF"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009A16BB" w:rsidRPr="00CA0A60">
        <w:rPr>
          <w:rFonts w:ascii="Garamond" w:hAnsi="Garamond" w:cs="Times New Roman"/>
          <w:i/>
          <w:sz w:val="20"/>
          <w:szCs w:val="20"/>
          <w:lang w:val="es-AR"/>
        </w:rPr>
        <w:t>Deuda</w:t>
      </w:r>
      <w:r w:rsidRPr="00CA0A60">
        <w:rPr>
          <w:rFonts w:ascii="Garamond" w:hAnsi="Garamond" w:cs="Times New Roman"/>
          <w:i/>
          <w:sz w:val="20"/>
          <w:szCs w:val="20"/>
          <w:lang w:val="es-AR"/>
        </w:rPr>
        <w:t xml:space="preserve"> de Siemens</w:t>
      </w:r>
      <w:r w:rsidRPr="00CA0A60">
        <w:rPr>
          <w:rFonts w:ascii="Garamond" w:hAnsi="Garamond" w:cs="Times New Roman"/>
          <w:sz w:val="20"/>
          <w:szCs w:val="20"/>
          <w:lang w:val="es-AR"/>
        </w:rPr>
        <w:t>” significa las obligaciones de pago de GEMSA hacia Siemens bajo los Contratos de Siemens</w:t>
      </w:r>
      <w:r w:rsidRPr="00CA0A60">
        <w:rPr>
          <w:rFonts w:ascii="Garamond" w:hAnsi="Garamond" w:cs="Times New Roman"/>
          <w:i/>
          <w:sz w:val="20"/>
          <w:szCs w:val="20"/>
          <w:lang w:val="es-AR"/>
        </w:rPr>
        <w:t>.</w:t>
      </w:r>
      <w:r w:rsidRPr="00CA0A60">
        <w:rPr>
          <w:rFonts w:ascii="Garamond" w:hAnsi="Garamond" w:cs="Times New Roman"/>
          <w:sz w:val="20"/>
          <w:szCs w:val="20"/>
          <w:lang w:val="es-AR"/>
        </w:rPr>
        <w:t xml:space="preserve"> </w:t>
      </w:r>
    </w:p>
    <w:p w14:paraId="53053690" w14:textId="5914ED72" w:rsidR="00202442"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sz w:val="20"/>
          <w:szCs w:val="20"/>
          <w:lang w:val="es-AR"/>
        </w:rPr>
        <w:t>“Contratos de Prenda de Siemens”</w:t>
      </w:r>
      <w:r w:rsidRPr="00CA0A60">
        <w:rPr>
          <w:rFonts w:ascii="Garamond" w:hAnsi="Garamond" w:cs="Times New Roman"/>
          <w:sz w:val="20"/>
          <w:szCs w:val="20"/>
          <w:lang w:val="es-AR"/>
        </w:rPr>
        <w:t xml:space="preserve"> tiene el significado que se le asigna a dicho término en </w:t>
      </w:r>
      <w:r w:rsidRPr="00CA0A60">
        <w:rPr>
          <w:rFonts w:ascii="Garamond" w:hAnsi="Garamond" w:cs="Times New Roman"/>
          <w:i/>
          <w:sz w:val="20"/>
          <w:szCs w:val="20"/>
          <w:lang w:val="es-AR"/>
        </w:rPr>
        <w:t>“Derechos de Garantía—Contratos de Prenda Argentinos—</w:t>
      </w:r>
      <w:r w:rsidR="00411600" w:rsidRPr="00CA0A60">
        <w:rPr>
          <w:rFonts w:ascii="Garamond" w:hAnsi="Garamond" w:cs="Times New Roman"/>
          <w:i/>
          <w:sz w:val="20"/>
          <w:szCs w:val="20"/>
          <w:lang w:val="es-AR"/>
        </w:rPr>
        <w:t>Contrato de Prenda en Segundo Grado de Privilegio</w:t>
      </w:r>
      <w:r w:rsidR="003B02D7" w:rsidRPr="00CA0A60">
        <w:rPr>
          <w:rFonts w:ascii="Garamond" w:hAnsi="Garamond" w:cs="Times New Roman"/>
          <w:i/>
          <w:sz w:val="20"/>
          <w:szCs w:val="20"/>
          <w:lang w:val="es-AR"/>
        </w:rPr>
        <w:t xml:space="preserve"> Argentino</w:t>
      </w:r>
      <w:r w:rsidRPr="00CA0A60">
        <w:rPr>
          <w:rFonts w:ascii="Garamond" w:hAnsi="Garamond" w:cs="Times New Roman"/>
          <w:i/>
          <w:sz w:val="20"/>
          <w:szCs w:val="20"/>
          <w:lang w:val="es-AR"/>
        </w:rPr>
        <w:t>”</w:t>
      </w:r>
      <w:r w:rsidRPr="00CA0A60">
        <w:rPr>
          <w:rFonts w:ascii="Garamond" w:hAnsi="Garamond" w:cs="Times New Roman"/>
          <w:sz w:val="20"/>
          <w:szCs w:val="20"/>
          <w:lang w:val="es-AR"/>
        </w:rPr>
        <w:t>.</w:t>
      </w:r>
    </w:p>
    <w:p w14:paraId="0E7A55D7" w14:textId="6A276FD4" w:rsidR="00D170F4" w:rsidRPr="00D170F4" w:rsidRDefault="00D170F4"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Pr>
          <w:rFonts w:ascii="Garamond" w:hAnsi="Garamond" w:cs="Times New Roman"/>
          <w:i/>
          <w:sz w:val="20"/>
          <w:szCs w:val="20"/>
          <w:lang w:val="es-AR"/>
        </w:rPr>
        <w:t>“Contrato de Prenda de CCEE de Siemens”</w:t>
      </w:r>
      <w:r>
        <w:rPr>
          <w:rFonts w:ascii="Garamond" w:hAnsi="Garamond" w:cs="Times New Roman"/>
          <w:sz w:val="20"/>
          <w:szCs w:val="20"/>
          <w:lang w:val="es-AR"/>
        </w:rPr>
        <w:t xml:space="preserve"> tiene el significado que se le asigna a dicho término en </w:t>
      </w:r>
      <w:r>
        <w:rPr>
          <w:rFonts w:ascii="Garamond" w:hAnsi="Garamond" w:cs="Times New Roman"/>
          <w:i/>
          <w:sz w:val="20"/>
          <w:szCs w:val="20"/>
          <w:lang w:val="es-AR"/>
        </w:rPr>
        <w:t xml:space="preserve">“—Derechos de Garantía—Contrato de Fideicomiso con Fines de Garantía Argentino”. </w:t>
      </w:r>
    </w:p>
    <w:p w14:paraId="0A0B26AE" w14:textId="3EB77D0C"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 xml:space="preserve">“CCEE de Siemens” </w:t>
      </w:r>
      <w:r w:rsidRPr="00CA0A60">
        <w:rPr>
          <w:rFonts w:ascii="Garamond" w:hAnsi="Garamond" w:cs="Times New Roman"/>
          <w:sz w:val="20"/>
          <w:szCs w:val="20"/>
          <w:lang w:val="es-AR"/>
        </w:rPr>
        <w:t>significa, en conjunto, (i) el contrato de compra de energía de fecha 30 de junio de 2016, celebrado entre GEMSA y CAMMESA bajo la Resolución N° 21/2016, en relación con la Etapa I de la central eléctrica de GEMSA denominada “Independencia”; (ii) ) el contrato de compra de energía de fecha 30 de junio de 2016, celebrado entre GEMSA y CAMMESA bajo la Resolución N° 21/2016, en relación con la Etapa II de la central eléctrica de GEMSA denominada “Independencia”; y (iii) ) el contrato de compra de energía de fecha 30 de junio de 2016, celebrado entre GEMSA y CAMMESA bajo la Resolución N° 21/2016, en relación con la Etapa II de la central eléctrica de GEMSA denominada “Ezeiza”.</w:t>
      </w:r>
    </w:p>
    <w:p w14:paraId="68D7980E"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Subsidiaria Significativa</w:t>
      </w:r>
      <w:r w:rsidRPr="00CA0A60">
        <w:rPr>
          <w:rFonts w:ascii="Garamond" w:hAnsi="Garamond" w:cs="Times New Roman"/>
          <w:sz w:val="20"/>
          <w:szCs w:val="20"/>
          <w:lang w:val="es-AR"/>
        </w:rPr>
        <w:t>” significa, con respecto a cualquier Persona, una Subsidiaria de esa Persona que sea una “Subsidiaria Significativa” de conformidad con la Regla l-02 (w) del Reglamento S-X en virtud de la Ley de Títulos Valores Estadounidense vigente a la fecha del presente documento, suponiendo, a los efectos de esa definición, que el Garante es el registrante mencionado en dicha definición.</w:t>
      </w:r>
    </w:p>
    <w:p w14:paraId="31F14FCA"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“Vencimiento Expreso</w:t>
      </w:r>
      <w:r w:rsidRPr="00CA0A60">
        <w:rPr>
          <w:rFonts w:ascii="Garamond" w:hAnsi="Garamond" w:cs="Times New Roman"/>
          <w:sz w:val="20"/>
          <w:szCs w:val="20"/>
          <w:lang w:val="es-AR"/>
        </w:rPr>
        <w:t>” significa, con respecto a cualquier Deuda, la fecha indicada en dicha Deuda como la fecha fija en la que se torna exigible el pago de capital final relativo a dicha Deuda, incluida, con respecto a cualquier suma de capital que sea exigible en ese momento en virtud de cualquier disposición de rescate obligatorio o precancelación, la fecha prevista para su pago (sin incluir disposiciones que prevean la recompra o el pago anticipado de dicha Deuda a opción de su tenedor tras la ocurrencia de cualquier contingencia que esté fuera del control del deudor respectivo a menos que se haya producido tal contingencia).</w:t>
      </w:r>
    </w:p>
    <w:p w14:paraId="118ED825"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Deuda Subordinada</w:t>
      </w:r>
      <w:r w:rsidRPr="00CA0A60">
        <w:rPr>
          <w:rFonts w:ascii="Garamond" w:hAnsi="Garamond" w:cs="Times New Roman"/>
          <w:sz w:val="20"/>
          <w:szCs w:val="20"/>
          <w:lang w:val="es-AR"/>
        </w:rPr>
        <w:t>” es cualquier Deuda de una Co-Emisora, el Garante o cualquier otra Subsidiaria Restringida (existente en la Fecha de Emisión o Contraída posteriormente), según sea el caso, que esté expresamente subordinada, en cuanto al derecho de pago, y en caso de insolvencia, al pago total preferente de las Obligaciones Negociables y las Garantías de ASA, según sea el caso.</w:t>
      </w:r>
    </w:p>
    <w:p w14:paraId="3006BC2A"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sz w:val="20"/>
          <w:szCs w:val="20"/>
          <w:lang w:val="es-AR"/>
        </w:rPr>
        <w:t>“</w:t>
      </w:r>
      <w:r w:rsidRPr="00CA0A60">
        <w:rPr>
          <w:rFonts w:ascii="Garamond" w:hAnsi="Garamond" w:cs="Times New Roman"/>
          <w:i/>
          <w:iCs/>
          <w:sz w:val="20"/>
          <w:szCs w:val="20"/>
          <w:lang w:val="es-AR"/>
        </w:rPr>
        <w:t>Subsidiaria</w:t>
      </w:r>
      <w:r w:rsidRPr="00CA0A60">
        <w:rPr>
          <w:rFonts w:ascii="Garamond" w:hAnsi="Garamond" w:cs="Times New Roman"/>
          <w:sz w:val="20"/>
          <w:szCs w:val="20"/>
          <w:lang w:val="es-AR"/>
        </w:rPr>
        <w:t>” significa, con respecto a cualquier Persona (la “controlante”) en cualquier fecha, cualquier Persona cuyas cuentas se consolidarían con las cuentas de la controlante en los estados financieros consolidados de la controlante si tales estados financieros se prepararan de acuerdo con las NIIF a dicha fecha.</w:t>
      </w:r>
    </w:p>
    <w:p w14:paraId="0D6D5DFE"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“Entidad Superviviente</w:t>
      </w:r>
      <w:r w:rsidRPr="00CA0A60">
        <w:rPr>
          <w:rFonts w:ascii="Garamond" w:hAnsi="Garamond" w:cs="Times New Roman"/>
          <w:sz w:val="20"/>
          <w:szCs w:val="20"/>
          <w:lang w:val="es-AR"/>
        </w:rPr>
        <w:t>” significa cualquier Persona (distinta del Garante o una Co-Emisora) con la que el Garante o cualquier Co-Emisora se fusiona o que adquiere por venta, cesión, transferencia, locación, transmisión u otra enajenación de los bienes y activos del Garante o de las Co-Emisoras sustancialmente como un todo, con respecto a cualquier operación permitida bajo el apartado “—Ciertos Compromisos - Limitación a la Fusión, Consolidación y Venta de Activos.”</w:t>
      </w:r>
    </w:p>
    <w:p w14:paraId="37BB9EBC" w14:textId="5656641B" w:rsidR="00202442"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A23B59">
        <w:rPr>
          <w:rFonts w:ascii="Garamond" w:hAnsi="Garamond" w:cs="Times New Roman"/>
          <w:i/>
          <w:sz w:val="20"/>
          <w:szCs w:val="20"/>
          <w:lang w:val="es-AR"/>
        </w:rPr>
        <w:t>“</w:t>
      </w:r>
      <w:r w:rsidRPr="00CA0A60">
        <w:rPr>
          <w:rFonts w:ascii="Garamond" w:hAnsi="Garamond" w:cs="Times New Roman"/>
          <w:i/>
          <w:iCs/>
          <w:sz w:val="20"/>
          <w:szCs w:val="20"/>
          <w:lang w:val="es-AR"/>
        </w:rPr>
        <w:t xml:space="preserve">Impuestos” </w:t>
      </w:r>
      <w:r w:rsidRPr="00CA0A60">
        <w:rPr>
          <w:rFonts w:ascii="Garamond" w:hAnsi="Garamond" w:cs="Times New Roman"/>
          <w:sz w:val="20"/>
          <w:szCs w:val="20"/>
          <w:lang w:val="es-AR"/>
        </w:rPr>
        <w:t>tiene el significado que se establece en el apartado “—Montos Adicionales” anterior.</w:t>
      </w:r>
    </w:p>
    <w:p w14:paraId="33C55462"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“EE.UU.</w:t>
      </w:r>
      <w:r w:rsidRPr="00CA0A60">
        <w:rPr>
          <w:rFonts w:ascii="Garamond" w:hAnsi="Garamond" w:cs="Times New Roman"/>
          <w:sz w:val="20"/>
          <w:szCs w:val="20"/>
          <w:lang w:val="es-AR"/>
        </w:rPr>
        <w:t>” o “</w:t>
      </w:r>
      <w:r w:rsidRPr="00CA0A60">
        <w:rPr>
          <w:rFonts w:ascii="Garamond" w:hAnsi="Garamond" w:cs="Times New Roman"/>
          <w:i/>
          <w:iCs/>
          <w:sz w:val="20"/>
          <w:szCs w:val="20"/>
          <w:lang w:val="es-AR"/>
        </w:rPr>
        <w:t>Estados Unidos</w:t>
      </w:r>
      <w:r w:rsidRPr="00CA0A60">
        <w:rPr>
          <w:rFonts w:ascii="Garamond" w:hAnsi="Garamond" w:cs="Times New Roman"/>
          <w:sz w:val="20"/>
          <w:szCs w:val="20"/>
          <w:lang w:val="es-AR"/>
        </w:rPr>
        <w:t>” hacen referencia a los Estados Unidos de América.</w:t>
      </w:r>
    </w:p>
    <w:p w14:paraId="61A5FA66" w14:textId="2C3FAAF5" w:rsidR="002E1C33" w:rsidRPr="00CA0A60" w:rsidRDefault="00202442" w:rsidP="00B73F3E">
      <w:pPr>
        <w:autoSpaceDE w:val="0"/>
        <w:autoSpaceDN w:val="0"/>
        <w:adjustRightInd w:val="0"/>
        <w:spacing w:after="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“Títulos de Deuda del Gobierno de los EE. UU.</w:t>
      </w:r>
      <w:r w:rsidRPr="00CA0A60">
        <w:rPr>
          <w:rFonts w:ascii="Garamond" w:hAnsi="Garamond" w:cs="Times New Roman"/>
          <w:sz w:val="20"/>
          <w:szCs w:val="20"/>
          <w:lang w:val="es-AR"/>
        </w:rPr>
        <w:t>”</w:t>
      </w:r>
      <w:r w:rsidR="002E1C33" w:rsidRPr="00CA0A60">
        <w:rPr>
          <w:rFonts w:ascii="Garamond" w:hAnsi="Garamond" w:cs="Times New Roman"/>
          <w:sz w:val="20"/>
          <w:szCs w:val="20"/>
          <w:lang w:val="es-AR"/>
        </w:rPr>
        <w:t xml:space="preserve"> hace referencia a títulos valores que (i) son obligaciones directas (o certificados que representan un porcentaje de participación en dichas obligaciones) de los Estados Unidos</w:t>
      </w:r>
    </w:p>
    <w:p w14:paraId="3784163D" w14:textId="77777777" w:rsidR="002E1C33" w:rsidRPr="00CA0A60" w:rsidRDefault="002E1C33" w:rsidP="00B73F3E">
      <w:pPr>
        <w:autoSpaceDE w:val="0"/>
        <w:autoSpaceDN w:val="0"/>
        <w:adjustRightInd w:val="0"/>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(incluidas sus dependencias o divisiones) para el cumplimiento de las cuales se han comprometido la plena</w:t>
      </w:r>
    </w:p>
    <w:p w14:paraId="34431562" w14:textId="32249EC8" w:rsidR="00202442" w:rsidRPr="00CA0A60" w:rsidRDefault="002E1C33" w:rsidP="00B73F3E">
      <w:pPr>
        <w:autoSpaceDE w:val="0"/>
        <w:autoSpaceDN w:val="0"/>
        <w:adjustRightInd w:val="0"/>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confianza y cuyo pago se constituye una prenda sobre su plena confianza y credibilidad o (ii) obligaciones de una Persona sujeta al control o supervisión de una dependencia o división de los Estados Unidos, y que actúa en tal carácter, cuyo pago en tiempo y forma está garantizado en forma incondicional como una obligación de plena confianza y credibilidad </w:t>
      </w:r>
      <w:r w:rsidR="00713D6E">
        <w:rPr>
          <w:rFonts w:ascii="Garamond" w:hAnsi="Garamond" w:cs="Times New Roman"/>
          <w:sz w:val="20"/>
          <w:szCs w:val="20"/>
          <w:lang w:val="es-AR"/>
        </w:rPr>
        <w:t>por</w:t>
      </w:r>
      <w:r w:rsidRPr="00713D6E">
        <w:rPr>
          <w:rFonts w:ascii="Garamond" w:hAnsi="Garamond" w:cs="Times New Roman"/>
          <w:sz w:val="20"/>
          <w:szCs w:val="20"/>
          <w:lang w:val="es-AR"/>
        </w:rPr>
        <w:t xml:space="preserve"> los Estados Unidos y, las cuales, en cualquiera de los casos descriptos en los </w:t>
      </w:r>
      <w:r w:rsidRPr="00713D6E">
        <w:rPr>
          <w:rFonts w:ascii="Garamond" w:hAnsi="Garamond" w:cs="Times New Roman"/>
          <w:sz w:val="20"/>
          <w:szCs w:val="20"/>
          <w:lang w:val="es-AR"/>
        </w:rPr>
        <w:lastRenderedPageBreak/>
        <w:t>incisos (i) o (ii), no son rescatables o canjeables a opción de la emisora, y también incluye recibos de depósito emitidos por un banco o una sociedad fiduciaria en carácter de custodios con respecto a esos Títulos de Deuda del Gobierno de los EE. UU. o el pago de intereses o capital de esos Títulos de Deuda del Gobierno de los EE. UU. detentados por ese custodio a cuenta del tenedor de un recibo de depósito; quedando establecido que (a excepción d</w:t>
      </w:r>
      <w:r w:rsidRPr="00CA0A60">
        <w:rPr>
          <w:rFonts w:ascii="Garamond" w:hAnsi="Garamond" w:cs="Times New Roman"/>
          <w:sz w:val="20"/>
          <w:szCs w:val="20"/>
          <w:lang w:val="es-AR"/>
        </w:rPr>
        <w:t>e lo requerido por ley) ese custodio no estará autorizado a realizar ninguna deducción del monto pagadero al tenedor de dicho recibo de depósito de los montos recibidos por el custodio con respecto a los Títulos de Deuda del Gobierno de los EE. UU. o el pago específico de intereses o capital en relación con los Títulos de Deuda del Gobierno de los EE. UU. evidenciados por ese recibo de depósito</w:t>
      </w:r>
      <w:r w:rsidR="00202442" w:rsidRPr="00CA0A60">
        <w:rPr>
          <w:rFonts w:ascii="Garamond" w:hAnsi="Garamond" w:cs="Times New Roman"/>
          <w:sz w:val="20"/>
          <w:szCs w:val="20"/>
          <w:lang w:val="es-AR"/>
        </w:rPr>
        <w:t>.</w:t>
      </w:r>
    </w:p>
    <w:p w14:paraId="0C982C04"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sz w:val="20"/>
          <w:szCs w:val="20"/>
          <w:lang w:val="es-AR"/>
        </w:rPr>
        <w:t>“Subsidiaria No Restringida</w:t>
      </w:r>
      <w:r w:rsidRPr="00CA0A60">
        <w:rPr>
          <w:rFonts w:ascii="Garamond" w:hAnsi="Garamond" w:cs="Times New Roman"/>
          <w:sz w:val="20"/>
          <w:szCs w:val="20"/>
          <w:lang w:val="es-AR"/>
        </w:rPr>
        <w:t>” es cualquier Subsidiaria del Garante Designada como tal de conformidad con el apartado “—</w:t>
      </w:r>
      <w:r w:rsidRPr="00CA0A60">
        <w:rPr>
          <w:rFonts w:ascii="Garamond" w:hAnsi="Garamond" w:cs="Times New Roman"/>
          <w:i/>
          <w:sz w:val="20"/>
          <w:szCs w:val="20"/>
          <w:lang w:val="es-AR"/>
        </w:rPr>
        <w:t>Ciertos Compromisos - Limitación a la Designación de Subsidiarias No Restringidas</w:t>
      </w:r>
      <w:r w:rsidRPr="00CA0A60">
        <w:rPr>
          <w:rFonts w:ascii="Garamond" w:hAnsi="Garamond" w:cs="Times New Roman"/>
          <w:sz w:val="20"/>
          <w:szCs w:val="20"/>
          <w:lang w:val="es-AR"/>
        </w:rPr>
        <w:t>”.</w:t>
      </w:r>
    </w:p>
    <w:p w14:paraId="44DD6002"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“Acciones con Derecho a Voto</w:t>
      </w:r>
      <w:r w:rsidRPr="00CA0A60">
        <w:rPr>
          <w:rFonts w:ascii="Garamond" w:hAnsi="Garamond" w:cs="Times New Roman"/>
          <w:sz w:val="20"/>
          <w:szCs w:val="20"/>
          <w:lang w:val="es-AR"/>
        </w:rPr>
        <w:t>”, con respecto a cualquier Persona, son los títulos valores de cualquier clase que representan las Acciones de dicha Persona y que conceden a sus tenedores (ya sea en todo momento o solo mientras no exista ninguna clase preferente de acciones con derecho a voto en virtud de cualquier contingencia) el derecho a votar en la elección de los miembros del Directorio (u órgano de gobierno equivalente) de dicha Persona.</w:t>
      </w:r>
    </w:p>
    <w:p w14:paraId="7BB8FC4C" w14:textId="77777777" w:rsidR="00202442" w:rsidRPr="00CA0A60" w:rsidRDefault="00202442" w:rsidP="00202442">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0A60">
        <w:rPr>
          <w:rFonts w:ascii="Garamond" w:hAnsi="Garamond" w:cs="Times New Roman"/>
          <w:i/>
          <w:iCs/>
          <w:color w:val="000000"/>
          <w:sz w:val="20"/>
          <w:szCs w:val="20"/>
          <w:lang w:val="es-AR" w:eastAsia="es-ES" w:bidi="es-ES"/>
        </w:rPr>
        <w:t>“Vida Media Ponderada hasta el Vencimiento”</w:t>
      </w:r>
      <w:r w:rsidRPr="00CA0A60">
        <w:rPr>
          <w:rFonts w:ascii="Garamond" w:hAnsi="Garamond" w:cs="Times New Roman"/>
          <w:sz w:val="20"/>
          <w:szCs w:val="20"/>
          <w:lang w:val="es-AR"/>
        </w:rPr>
        <w:t xml:space="preserve"> significa, cuando se aplica a cualquier Deuda en cualquier fecha, la cantidad de años (calculada a la doceava parte más cercana) que se obtiene dividiendo (1) la suma de los productos de la cantidad de años a partir de la fecha de determinación hasta las fechas de cada pago programado sucesivo de capital de dicha Deuda o rescate o pago similar relacionado con dichas Acciones Preferidas, multiplicado por el importe de dicho pago, por (2) la suma de todos estos pagos.</w:t>
      </w:r>
    </w:p>
    <w:p w14:paraId="3382A365" w14:textId="1A751FAE" w:rsidR="00E10103" w:rsidRPr="00CA3A3D" w:rsidRDefault="00202442" w:rsidP="002B1E31">
      <w:pPr>
        <w:widowControl w:val="0"/>
        <w:tabs>
          <w:tab w:val="left" w:pos="284"/>
          <w:tab w:val="left" w:pos="709"/>
          <w:tab w:val="left" w:pos="1418"/>
          <w:tab w:val="left" w:pos="8789"/>
        </w:tabs>
        <w:spacing w:before="120" w:after="120" w:line="240" w:lineRule="auto"/>
        <w:jc w:val="both"/>
        <w:rPr>
          <w:rFonts w:ascii="Garamond" w:hAnsi="Garamond" w:cs="Times New Roman"/>
          <w:sz w:val="20"/>
          <w:szCs w:val="20"/>
          <w:lang w:val="es-AR"/>
        </w:rPr>
      </w:pPr>
      <w:r w:rsidRPr="00CA3A3D" w:rsidDel="00202442">
        <w:rPr>
          <w:rFonts w:ascii="Garamond" w:hAnsi="Garamond" w:cs="Calibri"/>
          <w:i/>
          <w:sz w:val="20"/>
          <w:szCs w:val="20"/>
          <w:lang w:val="es-AR"/>
        </w:rPr>
        <w:t xml:space="preserve"> </w:t>
      </w:r>
      <w:r w:rsidR="00E10103" w:rsidRPr="00CA3A3D">
        <w:rPr>
          <w:rFonts w:ascii="Garamond" w:hAnsi="Garamond" w:cs="Times New Roman"/>
          <w:sz w:val="20"/>
          <w:szCs w:val="20"/>
          <w:lang w:val="es-AR"/>
        </w:rPr>
        <w:br w:type="page"/>
      </w:r>
    </w:p>
    <w:p w14:paraId="673FCB80" w14:textId="77777777" w:rsidR="00354069" w:rsidRPr="00CA0A60" w:rsidRDefault="00B95BD9" w:rsidP="00354069">
      <w:pPr>
        <w:spacing w:after="0" w:line="240" w:lineRule="auto"/>
        <w:contextualSpacing/>
        <w:rPr>
          <w:rFonts w:ascii="Garamond" w:eastAsia="MS Mincho" w:hAnsi="Garamond" w:cs="Times New Roman"/>
          <w:b/>
          <w:szCs w:val="20"/>
          <w:lang w:val="es-AR" w:eastAsia="es-ES"/>
        </w:rPr>
      </w:pPr>
      <w:r w:rsidRPr="00CA0A60">
        <w:rPr>
          <w:rFonts w:ascii="Garamond" w:eastAsia="MS Mincho" w:hAnsi="Garamond" w:cs="Times New Roman"/>
          <w:b/>
          <w:i/>
          <w:sz w:val="20"/>
          <w:szCs w:val="20"/>
          <w:lang w:val="es-AR" w:eastAsia="es-ES"/>
        </w:rPr>
        <w:lastRenderedPageBreak/>
        <w:t xml:space="preserve">Descripción del </w:t>
      </w:r>
      <w:r w:rsidR="009A4332" w:rsidRPr="00CA0A60">
        <w:rPr>
          <w:rFonts w:ascii="Garamond" w:eastAsia="MS Mincho" w:hAnsi="Garamond" w:cs="Times New Roman"/>
          <w:b/>
          <w:i/>
          <w:sz w:val="20"/>
          <w:szCs w:val="20"/>
          <w:lang w:val="es-AR" w:eastAsia="es-ES"/>
        </w:rPr>
        <w:t>Garante</w:t>
      </w:r>
      <w:r w:rsidRPr="00713D6E">
        <w:rPr>
          <w:rFonts w:ascii="Garamond" w:eastAsia="MS Mincho" w:hAnsi="Garamond" w:cs="Times New Roman"/>
          <w:b/>
          <w:szCs w:val="20"/>
          <w:lang w:val="es-AR" w:eastAsia="es-ES"/>
        </w:rPr>
        <w:t xml:space="preserve"> </w:t>
      </w:r>
    </w:p>
    <w:p w14:paraId="62199465" w14:textId="77777777" w:rsidR="00FD327B" w:rsidRPr="00CA0A60" w:rsidRDefault="00FD327B" w:rsidP="002C15E0">
      <w:pPr>
        <w:spacing w:after="0" w:line="240" w:lineRule="auto"/>
        <w:contextualSpacing/>
        <w:jc w:val="both"/>
        <w:rPr>
          <w:rFonts w:ascii="Garamond" w:eastAsia="MS Mincho" w:hAnsi="Garamond" w:cs="Times New Roman"/>
          <w:b/>
          <w:sz w:val="24"/>
          <w:szCs w:val="20"/>
          <w:lang w:val="es-AR" w:eastAsia="es-ES"/>
        </w:rPr>
      </w:pPr>
    </w:p>
    <w:p w14:paraId="13806848" w14:textId="77777777" w:rsidR="00B95BD9" w:rsidRPr="00CA0A60" w:rsidRDefault="00B95BD9" w:rsidP="00B95BD9">
      <w:pPr>
        <w:suppressAutoHyphens/>
        <w:spacing w:after="0" w:line="240" w:lineRule="auto"/>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t>Albanesi es una sociedad anónima que no cotiza en ninguna bolsa de Argentina ni del extranjero. Albanesi se encuentra inscripta desde el 28 de junio de 1994 en la Inspección General de Justicia (la “</w:t>
      </w:r>
      <w:r w:rsidRPr="00CA0A60">
        <w:rPr>
          <w:rFonts w:ascii="Garamond" w:eastAsia="MS Mincho" w:hAnsi="Garamond" w:cs="Times New Roman"/>
          <w:spacing w:val="-2"/>
          <w:sz w:val="20"/>
          <w:szCs w:val="20"/>
          <w:u w:val="single"/>
          <w:lang w:val="es-AR" w:eastAsia="es-ES"/>
        </w:rPr>
        <w:t>IGJ</w:t>
      </w:r>
      <w:r w:rsidRPr="00CA0A60">
        <w:rPr>
          <w:rFonts w:ascii="Garamond" w:eastAsia="MS Mincho" w:hAnsi="Garamond" w:cs="Times New Roman"/>
          <w:spacing w:val="-2"/>
          <w:sz w:val="20"/>
          <w:szCs w:val="20"/>
          <w:lang w:val="es-AR" w:eastAsia="es-ES"/>
        </w:rPr>
        <w:t>”), bajo el número 6216, Tomo A, de Sociedades Anónimas, con el objeto de sociedad inversora y financiera en Argentina. Su plazo de duración es de 99 (noventa y nueve) años contados desde su inscripción en la IGJ.</w:t>
      </w:r>
    </w:p>
    <w:p w14:paraId="0DA123B1" w14:textId="77777777" w:rsidR="00B95BD9" w:rsidRPr="00CA0A60" w:rsidRDefault="00B95BD9" w:rsidP="00354069">
      <w:pPr>
        <w:suppressAutoHyphens/>
        <w:spacing w:after="0" w:line="240" w:lineRule="auto"/>
        <w:jc w:val="both"/>
        <w:rPr>
          <w:rFonts w:ascii="Garamond" w:eastAsia="MS Mincho" w:hAnsi="Garamond" w:cs="Times New Roman"/>
          <w:sz w:val="20"/>
          <w:szCs w:val="20"/>
          <w:lang w:val="es-AR" w:eastAsia="es-ES"/>
        </w:rPr>
      </w:pPr>
    </w:p>
    <w:p w14:paraId="74DB78C3" w14:textId="43CC3F25" w:rsidR="00354069" w:rsidRPr="00CA0A60" w:rsidRDefault="00354069" w:rsidP="00354069">
      <w:pPr>
        <w:suppressAutoHyphens/>
        <w:spacing w:after="0" w:line="240" w:lineRule="auto"/>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t xml:space="preserve">Albanesi </w:t>
      </w:r>
      <w:r w:rsidR="00B95BD9" w:rsidRPr="00CA0A60">
        <w:rPr>
          <w:rFonts w:ascii="Garamond" w:eastAsia="MS Mincho" w:hAnsi="Garamond" w:cs="Times New Roman"/>
          <w:spacing w:val="-2"/>
          <w:sz w:val="20"/>
          <w:szCs w:val="20"/>
          <w:lang w:val="es-AR" w:eastAsia="es-ES"/>
        </w:rPr>
        <w:t>cuenta</w:t>
      </w:r>
      <w:r w:rsidR="009A2C8B" w:rsidRPr="00CA0A60">
        <w:rPr>
          <w:rFonts w:ascii="Garamond" w:eastAsia="MS Mincho" w:hAnsi="Garamond" w:cs="Times New Roman"/>
          <w:spacing w:val="-2"/>
          <w:sz w:val="20"/>
          <w:szCs w:val="20"/>
          <w:lang w:val="es-AR" w:eastAsia="es-ES"/>
        </w:rPr>
        <w:t xml:space="preserve"> con más de 20 años de trayectoria en el sector energético argentino</w:t>
      </w:r>
      <w:r w:rsidRPr="00CA0A60">
        <w:rPr>
          <w:rFonts w:ascii="Garamond" w:eastAsia="MS Mincho" w:hAnsi="Garamond" w:cs="Times New Roman"/>
          <w:spacing w:val="-2"/>
          <w:sz w:val="20"/>
          <w:szCs w:val="20"/>
          <w:lang w:val="es-AR" w:eastAsia="es-ES"/>
        </w:rPr>
        <w:t>.</w:t>
      </w:r>
      <w:r w:rsidR="006D276E" w:rsidRPr="00CA0A60">
        <w:rPr>
          <w:rFonts w:ascii="Garamond" w:eastAsia="MS Mincho" w:hAnsi="Garamond" w:cs="Times New Roman"/>
          <w:spacing w:val="-2"/>
          <w:sz w:val="20"/>
          <w:szCs w:val="20"/>
          <w:lang w:val="es-AR" w:eastAsia="es-ES"/>
        </w:rPr>
        <w:t xml:space="preserve"> </w:t>
      </w:r>
      <w:r w:rsidR="00B95BD9" w:rsidRPr="00CA0A60">
        <w:rPr>
          <w:rFonts w:ascii="Garamond" w:eastAsia="MS Mincho" w:hAnsi="Garamond" w:cs="Times New Roman"/>
          <w:spacing w:val="-2"/>
          <w:sz w:val="20"/>
          <w:szCs w:val="20"/>
          <w:lang w:val="es-AR" w:eastAsia="es-ES"/>
        </w:rPr>
        <w:t>El Grupo Albanesi –tal como dicho término se define al final del presente párrafo-</w:t>
      </w:r>
      <w:r w:rsidR="009A2C8B" w:rsidRPr="00CA0A60">
        <w:rPr>
          <w:rFonts w:ascii="Garamond" w:eastAsia="MS Mincho" w:hAnsi="Garamond" w:cs="Times New Roman"/>
          <w:spacing w:val="-2"/>
          <w:sz w:val="20"/>
          <w:szCs w:val="20"/>
          <w:lang w:val="es-AR" w:eastAsia="es-ES"/>
        </w:rPr>
        <w:t xml:space="preserve"> inició sus operaciones en el sector de distribución de gas y, a la luz de su experiencia y reputación en el sector gasífero argentino, vislumbró su incursión en el rubro de generación de energía eléctrica como un paso posterior natural. </w:t>
      </w:r>
      <w:r w:rsidRPr="00CA0A60">
        <w:rPr>
          <w:rFonts w:ascii="Garamond" w:eastAsia="MS Mincho" w:hAnsi="Garamond" w:cs="Times New Roman"/>
          <w:spacing w:val="-2"/>
          <w:sz w:val="20"/>
          <w:szCs w:val="20"/>
          <w:lang w:val="es-AR" w:eastAsia="es-ES"/>
        </w:rPr>
        <w:t>ASA es</w:t>
      </w:r>
      <w:r w:rsidR="006D276E" w:rsidRPr="00CA0A60">
        <w:rPr>
          <w:rFonts w:ascii="Garamond" w:eastAsia="MS Mincho" w:hAnsi="Garamond" w:cs="Times New Roman"/>
          <w:spacing w:val="-2"/>
          <w:sz w:val="20"/>
          <w:szCs w:val="20"/>
          <w:lang w:val="es-AR" w:eastAsia="es-ES"/>
        </w:rPr>
        <w:t xml:space="preserve"> la principal accionista de las Co-Emisoras, sociedades a las que controla, </w:t>
      </w:r>
      <w:r w:rsidR="00203E4C" w:rsidRPr="00CA0A60">
        <w:rPr>
          <w:rFonts w:ascii="Garamond" w:eastAsia="MS Mincho" w:hAnsi="Garamond" w:cs="Times New Roman"/>
          <w:spacing w:val="-2"/>
          <w:sz w:val="20"/>
          <w:szCs w:val="20"/>
          <w:lang w:val="es-AR" w:eastAsia="es-ES"/>
        </w:rPr>
        <w:t xml:space="preserve">y forma, </w:t>
      </w:r>
      <w:r w:rsidR="006D276E" w:rsidRPr="00CA0A60">
        <w:rPr>
          <w:rFonts w:ascii="Garamond" w:eastAsia="MS Mincho" w:hAnsi="Garamond" w:cs="Times New Roman"/>
          <w:spacing w:val="-2"/>
          <w:sz w:val="20"/>
          <w:szCs w:val="20"/>
          <w:lang w:val="es-AR" w:eastAsia="es-ES"/>
        </w:rPr>
        <w:t xml:space="preserve">junto </w:t>
      </w:r>
      <w:r w:rsidR="00203E4C" w:rsidRPr="00CA0A60">
        <w:rPr>
          <w:rFonts w:ascii="Garamond" w:eastAsia="MS Mincho" w:hAnsi="Garamond" w:cs="Times New Roman"/>
          <w:spacing w:val="-2"/>
          <w:sz w:val="20"/>
          <w:szCs w:val="20"/>
          <w:lang w:val="es-AR" w:eastAsia="es-ES"/>
        </w:rPr>
        <w:t xml:space="preserve">al resto de sus </w:t>
      </w:r>
      <w:r w:rsidRPr="00CA3A3D">
        <w:rPr>
          <w:rFonts w:ascii="Garamond" w:hAnsi="Garamond"/>
          <w:sz w:val="20"/>
          <w:szCs w:val="20"/>
          <w:lang w:val="es-AR"/>
        </w:rPr>
        <w:t>sociedades controladas (</w:t>
      </w:r>
      <w:r w:rsidR="00E70E82" w:rsidRPr="00CA3A3D">
        <w:rPr>
          <w:rFonts w:ascii="Garamond" w:hAnsi="Garamond"/>
          <w:sz w:val="20"/>
          <w:szCs w:val="20"/>
          <w:lang w:val="es-AR"/>
        </w:rPr>
        <w:t>Generación Litoral S.A.</w:t>
      </w:r>
      <w:r w:rsidR="00203E4C" w:rsidRPr="00CA3A3D">
        <w:rPr>
          <w:rFonts w:ascii="Garamond" w:hAnsi="Garamond"/>
          <w:sz w:val="20"/>
          <w:szCs w:val="20"/>
          <w:lang w:val="es-AR"/>
        </w:rPr>
        <w:t xml:space="preserve"> (“</w:t>
      </w:r>
      <w:r w:rsidR="00203E4C" w:rsidRPr="00CA3A3D">
        <w:rPr>
          <w:rFonts w:ascii="Garamond" w:hAnsi="Garamond"/>
          <w:sz w:val="20"/>
          <w:szCs w:val="20"/>
          <w:u w:val="single"/>
          <w:lang w:val="es-AR"/>
        </w:rPr>
        <w:t>GLSA</w:t>
      </w:r>
      <w:r w:rsidR="00203E4C" w:rsidRPr="00CA3A3D">
        <w:rPr>
          <w:rFonts w:ascii="Garamond" w:hAnsi="Garamond"/>
          <w:sz w:val="20"/>
          <w:szCs w:val="20"/>
          <w:lang w:val="es-AR"/>
        </w:rPr>
        <w:t>”)</w:t>
      </w:r>
      <w:r w:rsidR="00E70E82" w:rsidRPr="00CA3A3D">
        <w:rPr>
          <w:rFonts w:ascii="Garamond" w:hAnsi="Garamond"/>
          <w:sz w:val="20"/>
          <w:szCs w:val="20"/>
          <w:lang w:val="es-AR"/>
        </w:rPr>
        <w:t>, Generación Rosario S.A.</w:t>
      </w:r>
      <w:r w:rsidR="00203E4C" w:rsidRPr="00CA3A3D">
        <w:rPr>
          <w:rFonts w:ascii="Garamond" w:hAnsi="Garamond"/>
          <w:sz w:val="20"/>
          <w:szCs w:val="20"/>
          <w:lang w:val="es-AR"/>
        </w:rPr>
        <w:t xml:space="preserve"> (“</w:t>
      </w:r>
      <w:r w:rsidR="00203E4C" w:rsidRPr="00CA3A3D">
        <w:rPr>
          <w:rFonts w:ascii="Garamond" w:hAnsi="Garamond"/>
          <w:sz w:val="20"/>
          <w:szCs w:val="20"/>
          <w:u w:val="single"/>
          <w:lang w:val="es-AR"/>
        </w:rPr>
        <w:t>GROSA</w:t>
      </w:r>
      <w:r w:rsidR="00203E4C" w:rsidRPr="00CA3A3D">
        <w:rPr>
          <w:rFonts w:ascii="Garamond" w:hAnsi="Garamond"/>
          <w:sz w:val="20"/>
          <w:szCs w:val="20"/>
          <w:lang w:val="es-AR"/>
        </w:rPr>
        <w:t>”)</w:t>
      </w:r>
      <w:r w:rsidR="00957B8F" w:rsidRPr="00CA3A3D">
        <w:rPr>
          <w:rFonts w:ascii="Garamond" w:hAnsi="Garamond"/>
          <w:sz w:val="20"/>
          <w:szCs w:val="20"/>
          <w:lang w:val="es-AR"/>
        </w:rPr>
        <w:t xml:space="preserve">, </w:t>
      </w:r>
      <w:r w:rsidRPr="00CA3A3D">
        <w:rPr>
          <w:rFonts w:ascii="Garamond" w:hAnsi="Garamond"/>
          <w:sz w:val="20"/>
          <w:szCs w:val="20"/>
          <w:lang w:val="es-AR"/>
        </w:rPr>
        <w:t>GECE, y</w:t>
      </w:r>
      <w:r w:rsidR="00E70E82" w:rsidRPr="00CA3A3D">
        <w:rPr>
          <w:rFonts w:ascii="Garamond" w:hAnsi="Garamond"/>
          <w:sz w:val="20"/>
          <w:szCs w:val="20"/>
          <w:lang w:val="es-AR"/>
        </w:rPr>
        <w:t xml:space="preserve"> Solalban Energía S.A. </w:t>
      </w:r>
      <w:r w:rsidR="00203E4C" w:rsidRPr="00CA3A3D">
        <w:rPr>
          <w:rFonts w:ascii="Garamond" w:hAnsi="Garamond"/>
          <w:sz w:val="20"/>
          <w:szCs w:val="20"/>
          <w:lang w:val="es-AR"/>
        </w:rPr>
        <w:t>(“</w:t>
      </w:r>
      <w:r w:rsidR="00203E4C" w:rsidRPr="00CA3A3D">
        <w:rPr>
          <w:rFonts w:ascii="Garamond" w:hAnsi="Garamond"/>
          <w:sz w:val="20"/>
          <w:szCs w:val="20"/>
          <w:u w:val="single"/>
          <w:lang w:val="es-AR"/>
        </w:rPr>
        <w:t>Solalban</w:t>
      </w:r>
      <w:r w:rsidR="00203E4C" w:rsidRPr="00CA3A3D">
        <w:rPr>
          <w:rFonts w:ascii="Garamond" w:hAnsi="Garamond"/>
          <w:sz w:val="20"/>
          <w:szCs w:val="20"/>
          <w:lang w:val="es-AR"/>
        </w:rPr>
        <w:t>”)</w:t>
      </w:r>
      <w:r w:rsidRPr="00CA3A3D">
        <w:rPr>
          <w:rFonts w:ascii="Garamond" w:hAnsi="Garamond"/>
          <w:sz w:val="20"/>
          <w:szCs w:val="20"/>
          <w:lang w:val="es-AR"/>
        </w:rPr>
        <w:t>, sobre la cual tiene una participación no-controlante,</w:t>
      </w:r>
      <w:r w:rsidR="000D4B32" w:rsidRPr="00CA3A3D">
        <w:rPr>
          <w:rFonts w:ascii="Garamond" w:hAnsi="Garamond"/>
          <w:sz w:val="20"/>
          <w:szCs w:val="20"/>
          <w:lang w:val="es-AR"/>
        </w:rPr>
        <w:t xml:space="preserve"> </w:t>
      </w:r>
      <w:r w:rsidR="00203E4C" w:rsidRPr="00CA3A3D">
        <w:rPr>
          <w:rFonts w:ascii="Garamond" w:hAnsi="Garamond"/>
          <w:sz w:val="20"/>
          <w:szCs w:val="20"/>
          <w:lang w:val="es-AR"/>
        </w:rPr>
        <w:t>el g</w:t>
      </w:r>
      <w:r w:rsidR="00E70E82" w:rsidRPr="00CA3A3D">
        <w:rPr>
          <w:rFonts w:ascii="Garamond" w:hAnsi="Garamond"/>
          <w:sz w:val="20"/>
          <w:szCs w:val="20"/>
          <w:lang w:val="es-AR"/>
        </w:rPr>
        <w:t>rupo Albanesi (</w:t>
      </w:r>
      <w:r w:rsidR="00B95BD9" w:rsidRPr="00CA3A3D">
        <w:rPr>
          <w:rFonts w:ascii="Garamond" w:hAnsi="Garamond"/>
          <w:sz w:val="20"/>
          <w:szCs w:val="20"/>
          <w:lang w:val="es-AR"/>
        </w:rPr>
        <w:t xml:space="preserve">en adelante, </w:t>
      </w:r>
      <w:r w:rsidR="00E70E82" w:rsidRPr="00CA3A3D">
        <w:rPr>
          <w:rFonts w:ascii="Garamond" w:hAnsi="Garamond"/>
          <w:sz w:val="20"/>
          <w:szCs w:val="20"/>
          <w:lang w:val="es-AR"/>
        </w:rPr>
        <w:t>el “</w:t>
      </w:r>
      <w:r w:rsidR="00E70E82" w:rsidRPr="00CA3A3D">
        <w:rPr>
          <w:rFonts w:ascii="Garamond" w:hAnsi="Garamond"/>
          <w:sz w:val="20"/>
          <w:szCs w:val="20"/>
          <w:u w:val="single"/>
          <w:lang w:val="es-AR"/>
        </w:rPr>
        <w:t>Grupo Albanesi</w:t>
      </w:r>
      <w:r w:rsidR="00E70E82" w:rsidRPr="00CA3A3D">
        <w:rPr>
          <w:rFonts w:ascii="Garamond" w:hAnsi="Garamond"/>
          <w:sz w:val="20"/>
          <w:szCs w:val="20"/>
          <w:lang w:val="es-AR"/>
        </w:rPr>
        <w:t>”)</w:t>
      </w:r>
      <w:r w:rsidR="00203E4C" w:rsidRPr="00CA3A3D">
        <w:rPr>
          <w:rFonts w:ascii="Garamond" w:hAnsi="Garamond"/>
          <w:sz w:val="20"/>
          <w:szCs w:val="20"/>
          <w:lang w:val="es-AR"/>
        </w:rPr>
        <w:t>.</w:t>
      </w:r>
    </w:p>
    <w:p w14:paraId="4C4CEA3D" w14:textId="77777777" w:rsidR="00C96EE3" w:rsidRPr="00CA0A60" w:rsidRDefault="00C96EE3" w:rsidP="00354069">
      <w:pPr>
        <w:suppressAutoHyphens/>
        <w:spacing w:after="0" w:line="240" w:lineRule="auto"/>
        <w:jc w:val="both"/>
        <w:rPr>
          <w:rFonts w:ascii="Garamond" w:eastAsia="MS Mincho" w:hAnsi="Garamond" w:cs="Times New Roman"/>
          <w:spacing w:val="-2"/>
          <w:sz w:val="20"/>
          <w:szCs w:val="20"/>
          <w:lang w:val="es-AR" w:eastAsia="es-ES"/>
        </w:rPr>
      </w:pPr>
    </w:p>
    <w:p w14:paraId="7F1AF519" w14:textId="29153723" w:rsidR="00354069" w:rsidRPr="00CA0A60" w:rsidRDefault="00B95BD9" w:rsidP="00354069">
      <w:pPr>
        <w:suppressAutoHyphens/>
        <w:spacing w:after="0" w:line="240" w:lineRule="auto"/>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t>Albanesi f</w:t>
      </w:r>
      <w:r w:rsidR="00354069" w:rsidRPr="00CA0A60">
        <w:rPr>
          <w:rFonts w:ascii="Garamond" w:eastAsia="MS Mincho" w:hAnsi="Garamond" w:cs="Times New Roman"/>
          <w:spacing w:val="-2"/>
          <w:sz w:val="20"/>
          <w:szCs w:val="20"/>
          <w:lang w:val="es-AR" w:eastAsia="es-ES"/>
        </w:rPr>
        <w:t xml:space="preserve">ue admitida al </w:t>
      </w:r>
      <w:r w:rsidRPr="00CA0A60">
        <w:rPr>
          <w:rFonts w:ascii="Garamond" w:eastAsia="MS Mincho" w:hAnsi="Garamond" w:cs="Times New Roman"/>
          <w:spacing w:val="-2"/>
          <w:sz w:val="20"/>
          <w:szCs w:val="20"/>
          <w:lang w:val="es-AR" w:eastAsia="es-ES"/>
        </w:rPr>
        <w:t>r</w:t>
      </w:r>
      <w:r w:rsidR="00354069" w:rsidRPr="00CA0A60">
        <w:rPr>
          <w:rFonts w:ascii="Garamond" w:eastAsia="MS Mincho" w:hAnsi="Garamond" w:cs="Times New Roman"/>
          <w:spacing w:val="-2"/>
          <w:sz w:val="20"/>
          <w:szCs w:val="20"/>
          <w:lang w:val="es-AR" w:eastAsia="es-ES"/>
        </w:rPr>
        <w:t xml:space="preserve">égimen de </w:t>
      </w:r>
      <w:r w:rsidRPr="00CA0A60">
        <w:rPr>
          <w:rFonts w:ascii="Garamond" w:eastAsia="MS Mincho" w:hAnsi="Garamond" w:cs="Times New Roman"/>
          <w:spacing w:val="-2"/>
          <w:sz w:val="20"/>
          <w:szCs w:val="20"/>
          <w:lang w:val="es-AR" w:eastAsia="es-ES"/>
        </w:rPr>
        <w:t>o</w:t>
      </w:r>
      <w:r w:rsidR="00354069" w:rsidRPr="00CA0A60">
        <w:rPr>
          <w:rFonts w:ascii="Garamond" w:eastAsia="MS Mincho" w:hAnsi="Garamond" w:cs="Times New Roman"/>
          <w:spacing w:val="-2"/>
          <w:sz w:val="20"/>
          <w:szCs w:val="20"/>
          <w:lang w:val="es-AR" w:eastAsia="es-ES"/>
        </w:rPr>
        <w:t xml:space="preserve">ferta </w:t>
      </w:r>
      <w:r w:rsidRPr="00CA0A60">
        <w:rPr>
          <w:rFonts w:ascii="Garamond" w:eastAsia="MS Mincho" w:hAnsi="Garamond" w:cs="Times New Roman"/>
          <w:spacing w:val="-2"/>
          <w:sz w:val="20"/>
          <w:szCs w:val="20"/>
          <w:lang w:val="es-AR" w:eastAsia="es-ES"/>
        </w:rPr>
        <w:t>p</w:t>
      </w:r>
      <w:r w:rsidR="00354069" w:rsidRPr="00CA0A60">
        <w:rPr>
          <w:rFonts w:ascii="Garamond" w:eastAsia="MS Mincho" w:hAnsi="Garamond" w:cs="Times New Roman"/>
          <w:spacing w:val="-2"/>
          <w:sz w:val="20"/>
          <w:szCs w:val="20"/>
          <w:lang w:val="es-AR" w:eastAsia="es-ES"/>
        </w:rPr>
        <w:t>ública de deuda</w:t>
      </w:r>
      <w:r w:rsidRPr="00CA0A60">
        <w:rPr>
          <w:rFonts w:ascii="Garamond" w:eastAsia="MS Mincho" w:hAnsi="Garamond" w:cs="Times New Roman"/>
          <w:spacing w:val="-2"/>
          <w:sz w:val="20"/>
          <w:szCs w:val="20"/>
          <w:lang w:val="es-AR" w:eastAsia="es-ES"/>
        </w:rPr>
        <w:t xml:space="preserve"> en la República Argentina</w:t>
      </w:r>
      <w:r w:rsidR="00354069" w:rsidRPr="00CA0A60">
        <w:rPr>
          <w:rFonts w:ascii="Garamond" w:eastAsia="MS Mincho" w:hAnsi="Garamond" w:cs="Times New Roman"/>
          <w:spacing w:val="-2"/>
          <w:sz w:val="20"/>
          <w:szCs w:val="20"/>
          <w:lang w:val="es-AR" w:eastAsia="es-ES"/>
        </w:rPr>
        <w:t xml:space="preserve"> el 20 de noviembre de 2015,</w:t>
      </w:r>
      <w:r w:rsidR="009D607C" w:rsidRPr="00CA0A60">
        <w:rPr>
          <w:rFonts w:ascii="Garamond" w:eastAsia="MS Mincho" w:hAnsi="Garamond" w:cs="Times New Roman"/>
          <w:spacing w:val="-2"/>
          <w:sz w:val="20"/>
          <w:szCs w:val="20"/>
          <w:lang w:val="es-AR" w:eastAsia="es-ES"/>
        </w:rPr>
        <w:t xml:space="preserve"> donde obtuvo la autorización para el ingreso al régimen de oferta pública y creación de un programa de obligaciones negociables simples (no convertibles en acciones) de hasta USD 100.000.000 o su equivalente en otras monedas. </w:t>
      </w:r>
      <w:r w:rsidR="00FC4A53" w:rsidRPr="00CA0A60">
        <w:rPr>
          <w:rFonts w:ascii="Garamond" w:eastAsia="MS Mincho" w:hAnsi="Garamond" w:cs="Times New Roman"/>
          <w:spacing w:val="-2"/>
          <w:sz w:val="20"/>
          <w:szCs w:val="20"/>
          <w:lang w:val="es-AR" w:eastAsia="es-ES"/>
        </w:rPr>
        <w:t>En el marco de dicho programa</w:t>
      </w:r>
      <w:r w:rsidR="009D607C" w:rsidRPr="00CA0A60">
        <w:rPr>
          <w:rFonts w:ascii="Garamond" w:eastAsia="MS Mincho" w:hAnsi="Garamond" w:cs="Times New Roman"/>
          <w:spacing w:val="-2"/>
          <w:sz w:val="20"/>
          <w:szCs w:val="20"/>
          <w:lang w:val="es-AR" w:eastAsia="es-ES"/>
        </w:rPr>
        <w:t>,</w:t>
      </w:r>
      <w:r w:rsidR="00354069" w:rsidRPr="00CA0A60">
        <w:rPr>
          <w:rFonts w:ascii="Garamond" w:eastAsia="MS Mincho" w:hAnsi="Garamond" w:cs="Times New Roman"/>
          <w:spacing w:val="-2"/>
          <w:sz w:val="20"/>
          <w:szCs w:val="20"/>
          <w:lang w:val="es-AR" w:eastAsia="es-ES"/>
        </w:rPr>
        <w:t xml:space="preserve"> emiti</w:t>
      </w:r>
      <w:r w:rsidR="00FC4A53" w:rsidRPr="00CA0A60">
        <w:rPr>
          <w:rFonts w:ascii="Garamond" w:eastAsia="MS Mincho" w:hAnsi="Garamond" w:cs="Times New Roman"/>
          <w:spacing w:val="-2"/>
          <w:sz w:val="20"/>
          <w:szCs w:val="20"/>
          <w:lang w:val="es-AR" w:eastAsia="es-ES"/>
        </w:rPr>
        <w:t>ó</w:t>
      </w:r>
      <w:r w:rsidR="00354069" w:rsidRPr="00CA0A60">
        <w:rPr>
          <w:rFonts w:ascii="Garamond" w:eastAsia="MS Mincho" w:hAnsi="Garamond" w:cs="Times New Roman"/>
          <w:spacing w:val="-2"/>
          <w:sz w:val="20"/>
          <w:szCs w:val="20"/>
          <w:lang w:val="es-AR" w:eastAsia="es-ES"/>
        </w:rPr>
        <w:t xml:space="preserve"> su primera clase de obligaciones negociables por $70.000.000 (Pesos setenta millones) el 29 de diciembre de 2015</w:t>
      </w:r>
      <w:r w:rsidR="00FC4A53" w:rsidRPr="00CA0A60">
        <w:rPr>
          <w:rFonts w:ascii="Garamond" w:eastAsia="MS Mincho" w:hAnsi="Garamond" w:cs="Times New Roman"/>
          <w:spacing w:val="-2"/>
          <w:sz w:val="20"/>
          <w:szCs w:val="20"/>
          <w:lang w:val="es-AR" w:eastAsia="es-ES"/>
        </w:rPr>
        <w:t xml:space="preserve">, su segunda clase el 25 de octubre de 2016 por $220.000.000 (Pesos doscientos veinte millones de </w:t>
      </w:r>
      <w:r w:rsidR="00F54D73" w:rsidRPr="00CA0A60">
        <w:rPr>
          <w:rFonts w:ascii="Garamond" w:eastAsia="MS Mincho" w:hAnsi="Garamond" w:cs="Times New Roman"/>
          <w:spacing w:val="-2"/>
          <w:sz w:val="20"/>
          <w:szCs w:val="20"/>
          <w:lang w:val="es-AR" w:eastAsia="es-ES"/>
        </w:rPr>
        <w:t>P</w:t>
      </w:r>
      <w:r w:rsidR="00FC4A53" w:rsidRPr="00CA0A60">
        <w:rPr>
          <w:rFonts w:ascii="Garamond" w:eastAsia="MS Mincho" w:hAnsi="Garamond" w:cs="Times New Roman"/>
          <w:spacing w:val="-2"/>
          <w:sz w:val="20"/>
          <w:szCs w:val="20"/>
          <w:lang w:val="es-AR" w:eastAsia="es-ES"/>
        </w:rPr>
        <w:t>esos) y su tercera clase el 15 de junio de 2017 por $25</w:t>
      </w:r>
      <w:r w:rsidR="00301127" w:rsidRPr="00CA0A60">
        <w:rPr>
          <w:rFonts w:ascii="Garamond" w:eastAsia="MS Mincho" w:hAnsi="Garamond" w:cs="Times New Roman"/>
          <w:spacing w:val="-2"/>
          <w:sz w:val="20"/>
          <w:szCs w:val="20"/>
          <w:lang w:val="es-AR" w:eastAsia="es-ES"/>
        </w:rPr>
        <w:t>5</w:t>
      </w:r>
      <w:r w:rsidR="00FC4A53" w:rsidRPr="00CA0A60">
        <w:rPr>
          <w:rFonts w:ascii="Garamond" w:eastAsia="MS Mincho" w:hAnsi="Garamond" w:cs="Times New Roman"/>
          <w:spacing w:val="-2"/>
          <w:sz w:val="20"/>
          <w:szCs w:val="20"/>
          <w:lang w:val="es-AR" w:eastAsia="es-ES"/>
        </w:rPr>
        <w:t>.</w:t>
      </w:r>
      <w:r w:rsidR="00301127" w:rsidRPr="00CA0A60">
        <w:rPr>
          <w:rFonts w:ascii="Garamond" w:eastAsia="MS Mincho" w:hAnsi="Garamond" w:cs="Times New Roman"/>
          <w:spacing w:val="-2"/>
          <w:sz w:val="20"/>
          <w:szCs w:val="20"/>
          <w:lang w:val="es-AR" w:eastAsia="es-ES"/>
        </w:rPr>
        <w:t>826</w:t>
      </w:r>
      <w:r w:rsidR="00FC4A53" w:rsidRPr="00CA0A60">
        <w:rPr>
          <w:rFonts w:ascii="Garamond" w:eastAsia="MS Mincho" w:hAnsi="Garamond" w:cs="Times New Roman"/>
          <w:spacing w:val="-2"/>
          <w:sz w:val="20"/>
          <w:szCs w:val="20"/>
          <w:lang w:val="es-AR" w:eastAsia="es-ES"/>
        </w:rPr>
        <w:t>.</w:t>
      </w:r>
      <w:r w:rsidR="00301127" w:rsidRPr="00CA0A60">
        <w:rPr>
          <w:rFonts w:ascii="Garamond" w:eastAsia="MS Mincho" w:hAnsi="Garamond" w:cs="Times New Roman"/>
          <w:spacing w:val="-2"/>
          <w:sz w:val="20"/>
          <w:szCs w:val="20"/>
          <w:lang w:val="es-AR" w:eastAsia="es-ES"/>
        </w:rPr>
        <w:t>342</w:t>
      </w:r>
      <w:r w:rsidR="00FC4A53" w:rsidRPr="00CA0A60">
        <w:rPr>
          <w:rFonts w:ascii="Garamond" w:eastAsia="MS Mincho" w:hAnsi="Garamond" w:cs="Times New Roman"/>
          <w:spacing w:val="-2"/>
          <w:sz w:val="20"/>
          <w:szCs w:val="20"/>
          <w:lang w:val="es-AR" w:eastAsia="es-ES"/>
        </w:rPr>
        <w:t xml:space="preserve"> (Pesos doscientos cincuenta </w:t>
      </w:r>
      <w:r w:rsidR="00301127" w:rsidRPr="00CA0A60">
        <w:rPr>
          <w:rFonts w:ascii="Garamond" w:eastAsia="MS Mincho" w:hAnsi="Garamond" w:cs="Times New Roman"/>
          <w:spacing w:val="-2"/>
          <w:sz w:val="20"/>
          <w:szCs w:val="20"/>
          <w:lang w:val="es-AR" w:eastAsia="es-ES"/>
        </w:rPr>
        <w:t xml:space="preserve">y cinco </w:t>
      </w:r>
      <w:r w:rsidR="00FC4A53" w:rsidRPr="00CA0A60">
        <w:rPr>
          <w:rFonts w:ascii="Garamond" w:eastAsia="MS Mincho" w:hAnsi="Garamond" w:cs="Times New Roman"/>
          <w:spacing w:val="-2"/>
          <w:sz w:val="20"/>
          <w:szCs w:val="20"/>
          <w:lang w:val="es-AR" w:eastAsia="es-ES"/>
        </w:rPr>
        <w:t>millones</w:t>
      </w:r>
      <w:r w:rsidR="00301127" w:rsidRPr="00CA0A60">
        <w:rPr>
          <w:rFonts w:ascii="Garamond" w:eastAsia="MS Mincho" w:hAnsi="Garamond" w:cs="Times New Roman"/>
          <w:spacing w:val="-2"/>
          <w:sz w:val="20"/>
          <w:szCs w:val="20"/>
          <w:lang w:val="es-AR" w:eastAsia="es-ES"/>
        </w:rPr>
        <w:t xml:space="preserve"> ochocientos </w:t>
      </w:r>
      <w:r w:rsidR="00134899" w:rsidRPr="00CA0A60">
        <w:rPr>
          <w:rFonts w:ascii="Garamond" w:eastAsia="MS Mincho" w:hAnsi="Garamond" w:cs="Times New Roman"/>
          <w:spacing w:val="-2"/>
          <w:sz w:val="20"/>
          <w:szCs w:val="20"/>
          <w:lang w:val="es-AR" w:eastAsia="es-ES"/>
        </w:rPr>
        <w:t>veintiséis</w:t>
      </w:r>
      <w:r w:rsidR="00301127" w:rsidRPr="00CA0A60">
        <w:rPr>
          <w:rFonts w:ascii="Garamond" w:eastAsia="MS Mincho" w:hAnsi="Garamond" w:cs="Times New Roman"/>
          <w:spacing w:val="-2"/>
          <w:sz w:val="20"/>
          <w:szCs w:val="20"/>
          <w:lang w:val="es-AR" w:eastAsia="es-ES"/>
        </w:rPr>
        <w:t xml:space="preserve"> mil trescientos cuarenta y dos</w:t>
      </w:r>
      <w:r w:rsidR="00FC4A53" w:rsidRPr="00CA0A60">
        <w:rPr>
          <w:rFonts w:ascii="Garamond" w:eastAsia="MS Mincho" w:hAnsi="Garamond" w:cs="Times New Roman"/>
          <w:spacing w:val="-2"/>
          <w:sz w:val="20"/>
          <w:szCs w:val="20"/>
          <w:lang w:val="es-AR" w:eastAsia="es-ES"/>
        </w:rPr>
        <w:t>)</w:t>
      </w:r>
      <w:r w:rsidR="00354069" w:rsidRPr="00CA0A60">
        <w:rPr>
          <w:rFonts w:ascii="Garamond" w:eastAsia="MS Mincho" w:hAnsi="Garamond" w:cs="Times New Roman"/>
          <w:spacing w:val="-2"/>
          <w:sz w:val="20"/>
          <w:szCs w:val="20"/>
          <w:lang w:val="es-AR" w:eastAsia="es-ES"/>
        </w:rPr>
        <w:t xml:space="preserve"> Para mayor información sobre dicha</w:t>
      </w:r>
      <w:r w:rsidR="00FC4A53" w:rsidRPr="00CA0A60">
        <w:rPr>
          <w:rFonts w:ascii="Garamond" w:eastAsia="MS Mincho" w:hAnsi="Garamond" w:cs="Times New Roman"/>
          <w:spacing w:val="-2"/>
          <w:sz w:val="20"/>
          <w:szCs w:val="20"/>
          <w:lang w:val="es-AR" w:eastAsia="es-ES"/>
        </w:rPr>
        <w:t>s</w:t>
      </w:r>
      <w:r w:rsidR="00354069" w:rsidRPr="00CA0A60">
        <w:rPr>
          <w:rFonts w:ascii="Garamond" w:eastAsia="MS Mincho" w:hAnsi="Garamond" w:cs="Times New Roman"/>
          <w:spacing w:val="-2"/>
          <w:sz w:val="20"/>
          <w:szCs w:val="20"/>
          <w:lang w:val="es-AR" w:eastAsia="es-ES"/>
        </w:rPr>
        <w:t xml:space="preserve"> emisi</w:t>
      </w:r>
      <w:r w:rsidR="00D8762C" w:rsidRPr="00CA0A60">
        <w:rPr>
          <w:rFonts w:ascii="Garamond" w:eastAsia="MS Mincho" w:hAnsi="Garamond" w:cs="Times New Roman"/>
          <w:spacing w:val="-2"/>
          <w:sz w:val="20"/>
          <w:szCs w:val="20"/>
          <w:lang w:val="es-AR" w:eastAsia="es-ES"/>
        </w:rPr>
        <w:t>o</w:t>
      </w:r>
      <w:r w:rsidR="00354069" w:rsidRPr="00CA0A60">
        <w:rPr>
          <w:rFonts w:ascii="Garamond" w:eastAsia="MS Mincho" w:hAnsi="Garamond" w:cs="Times New Roman"/>
          <w:spacing w:val="-2"/>
          <w:sz w:val="20"/>
          <w:szCs w:val="20"/>
          <w:lang w:val="es-AR" w:eastAsia="es-ES"/>
        </w:rPr>
        <w:t>n</w:t>
      </w:r>
      <w:r w:rsidR="00D8762C" w:rsidRPr="00CA0A60">
        <w:rPr>
          <w:rFonts w:ascii="Garamond" w:eastAsia="MS Mincho" w:hAnsi="Garamond" w:cs="Times New Roman"/>
          <w:spacing w:val="-2"/>
          <w:sz w:val="20"/>
          <w:szCs w:val="20"/>
          <w:lang w:val="es-AR" w:eastAsia="es-ES"/>
        </w:rPr>
        <w:t>es</w:t>
      </w:r>
      <w:r w:rsidR="00354069" w:rsidRPr="00CA0A60">
        <w:rPr>
          <w:rFonts w:ascii="Garamond" w:eastAsia="MS Mincho" w:hAnsi="Garamond" w:cs="Times New Roman"/>
          <w:spacing w:val="-2"/>
          <w:sz w:val="20"/>
          <w:szCs w:val="20"/>
          <w:lang w:val="es-AR" w:eastAsia="es-ES"/>
        </w:rPr>
        <w:t>, ingresar en la Página Web de la CNV, en el ítem “Información Financiera”.</w:t>
      </w:r>
      <w:r w:rsidR="00FC4A53" w:rsidRPr="00CA0A60">
        <w:rPr>
          <w:rFonts w:ascii="Garamond" w:eastAsia="MS Mincho" w:hAnsi="Garamond" w:cs="Times New Roman"/>
          <w:spacing w:val="-2"/>
          <w:sz w:val="20"/>
          <w:szCs w:val="20"/>
          <w:lang w:val="es-AR" w:eastAsia="es-ES"/>
        </w:rPr>
        <w:t xml:space="preserve"> Para mayor información sobre el endeudamiento de Albanesi, véase más abajo “</w:t>
      </w:r>
      <w:r w:rsidR="00FC4A53" w:rsidRPr="00CA0A60">
        <w:rPr>
          <w:rFonts w:ascii="Garamond" w:eastAsia="MS Mincho" w:hAnsi="Garamond" w:cs="Times New Roman"/>
          <w:i/>
          <w:spacing w:val="-2"/>
          <w:sz w:val="20"/>
          <w:szCs w:val="20"/>
          <w:lang w:val="es-AR" w:eastAsia="es-ES"/>
        </w:rPr>
        <w:t>Descripción del Garante – Endeudamiento</w:t>
      </w:r>
      <w:r w:rsidR="00FC4A53" w:rsidRPr="00CA0A60">
        <w:rPr>
          <w:rFonts w:ascii="Garamond" w:eastAsia="MS Mincho" w:hAnsi="Garamond" w:cs="Times New Roman"/>
          <w:spacing w:val="-2"/>
          <w:sz w:val="20"/>
          <w:szCs w:val="20"/>
          <w:lang w:val="es-AR" w:eastAsia="es-ES"/>
        </w:rPr>
        <w:t>”.</w:t>
      </w:r>
    </w:p>
    <w:p w14:paraId="50895670" w14:textId="77777777" w:rsidR="003C3893" w:rsidRPr="00CA0A60" w:rsidRDefault="003C3893" w:rsidP="00354069">
      <w:pPr>
        <w:suppressAutoHyphens/>
        <w:spacing w:after="0" w:line="240" w:lineRule="auto"/>
        <w:jc w:val="both"/>
        <w:rPr>
          <w:rFonts w:ascii="Garamond" w:eastAsia="MS Mincho" w:hAnsi="Garamond" w:cs="Times New Roman"/>
          <w:spacing w:val="-2"/>
          <w:sz w:val="20"/>
          <w:szCs w:val="20"/>
          <w:lang w:val="es-AR" w:eastAsia="es-ES"/>
        </w:rPr>
      </w:pPr>
    </w:p>
    <w:p w14:paraId="6EAD8AB1" w14:textId="77777777" w:rsidR="003C3893" w:rsidRPr="00CA0A60" w:rsidRDefault="003C3893" w:rsidP="003C3893">
      <w:pPr>
        <w:suppressAutoHyphens/>
        <w:spacing w:after="0" w:line="240" w:lineRule="auto"/>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t>Con fecha 18 de octubre de 2017, la Asamblea General Extraordinaria de Albanesi y Albanesi Inversora S.A. (“</w:t>
      </w:r>
      <w:r w:rsidRPr="00CA0A60">
        <w:rPr>
          <w:rFonts w:ascii="Garamond" w:eastAsia="MS Mincho" w:hAnsi="Garamond" w:cs="Times New Roman"/>
          <w:spacing w:val="-2"/>
          <w:sz w:val="20"/>
          <w:szCs w:val="20"/>
          <w:u w:val="single"/>
          <w:lang w:val="es-AR" w:eastAsia="es-ES"/>
        </w:rPr>
        <w:t>AISA</w:t>
      </w:r>
      <w:r w:rsidRPr="00CA0A60">
        <w:rPr>
          <w:rFonts w:ascii="Garamond" w:eastAsia="MS Mincho" w:hAnsi="Garamond" w:cs="Times New Roman"/>
          <w:spacing w:val="-2"/>
          <w:sz w:val="20"/>
          <w:szCs w:val="20"/>
          <w:lang w:val="es-AR" w:eastAsia="es-ES"/>
        </w:rPr>
        <w:t>” y, junto con Albanesi, las “</w:t>
      </w:r>
      <w:r w:rsidRPr="00CA0A60">
        <w:rPr>
          <w:rFonts w:ascii="Garamond" w:eastAsia="MS Mincho" w:hAnsi="Garamond" w:cs="Times New Roman"/>
          <w:spacing w:val="-2"/>
          <w:sz w:val="20"/>
          <w:szCs w:val="20"/>
          <w:u w:val="single"/>
          <w:lang w:val="es-AR" w:eastAsia="es-ES"/>
        </w:rPr>
        <w:t>Sociedades Participantes</w:t>
      </w:r>
      <w:r w:rsidRPr="00CA0A60">
        <w:rPr>
          <w:rFonts w:ascii="Garamond" w:eastAsia="MS Mincho" w:hAnsi="Garamond" w:cs="Times New Roman"/>
          <w:spacing w:val="-2"/>
          <w:sz w:val="20"/>
          <w:szCs w:val="20"/>
          <w:lang w:val="es-AR" w:eastAsia="es-ES"/>
        </w:rPr>
        <w:t>”) aprobó la fusión por absorción de Albanesi con AlSA</w:t>
      </w:r>
      <w:r w:rsidR="008360BD" w:rsidRPr="00CA0A60">
        <w:rPr>
          <w:rFonts w:ascii="Garamond" w:eastAsia="MS Mincho" w:hAnsi="Garamond" w:cs="Times New Roman"/>
          <w:spacing w:val="-2"/>
          <w:sz w:val="20"/>
          <w:szCs w:val="20"/>
          <w:lang w:val="es-AR" w:eastAsia="es-ES"/>
        </w:rPr>
        <w:t xml:space="preserve"> (“</w:t>
      </w:r>
      <w:r w:rsidR="008360BD" w:rsidRPr="00CA0A60">
        <w:rPr>
          <w:rFonts w:ascii="Garamond" w:eastAsia="MS Mincho" w:hAnsi="Garamond" w:cs="Times New Roman"/>
          <w:spacing w:val="-2"/>
          <w:sz w:val="20"/>
          <w:szCs w:val="20"/>
          <w:u w:val="single"/>
          <w:lang w:val="es-AR" w:eastAsia="es-ES"/>
        </w:rPr>
        <w:t>Fusión ASA/AISA</w:t>
      </w:r>
      <w:r w:rsidR="008360BD" w:rsidRPr="00CA0A60">
        <w:rPr>
          <w:rFonts w:ascii="Garamond" w:eastAsia="MS Mincho" w:hAnsi="Garamond" w:cs="Times New Roman"/>
          <w:spacing w:val="-2"/>
          <w:sz w:val="20"/>
          <w:szCs w:val="20"/>
          <w:lang w:val="es-AR" w:eastAsia="es-ES"/>
        </w:rPr>
        <w:t>”)</w:t>
      </w:r>
      <w:r w:rsidRPr="00CA0A60">
        <w:rPr>
          <w:rFonts w:ascii="Garamond" w:eastAsia="MS Mincho" w:hAnsi="Garamond" w:cs="Times New Roman"/>
          <w:spacing w:val="-2"/>
          <w:sz w:val="20"/>
          <w:szCs w:val="20"/>
          <w:lang w:val="es-AR" w:eastAsia="es-ES"/>
        </w:rPr>
        <w:t>. La fecha efectiva de fusión fue el 1 de enero de 2018, fecha a partir de la cual las Sociedades Participantes pasaron a considerarse únicamente como Albanesi S.A., sociedad absorbente. Toda la información de Albanesi expuesta en este Suplemento anterior a esta fecha, no incluye información de A</w:t>
      </w:r>
      <w:r w:rsidR="0063223E" w:rsidRPr="00CA0A60">
        <w:rPr>
          <w:rFonts w:ascii="Garamond" w:eastAsia="MS Mincho" w:hAnsi="Garamond" w:cs="Times New Roman"/>
          <w:spacing w:val="-2"/>
          <w:sz w:val="20"/>
          <w:szCs w:val="20"/>
          <w:lang w:val="es-AR" w:eastAsia="es-ES"/>
        </w:rPr>
        <w:t>ISA</w:t>
      </w:r>
      <w:r w:rsidRPr="00CA0A60">
        <w:rPr>
          <w:rFonts w:ascii="Garamond" w:eastAsia="MS Mincho" w:hAnsi="Garamond" w:cs="Times New Roman"/>
          <w:spacing w:val="-2"/>
          <w:sz w:val="20"/>
          <w:szCs w:val="20"/>
          <w:lang w:val="es-AR" w:eastAsia="es-ES"/>
        </w:rPr>
        <w:t>.</w:t>
      </w:r>
    </w:p>
    <w:p w14:paraId="38C1F859" w14:textId="77777777" w:rsidR="003C3893" w:rsidRPr="00CA0A60" w:rsidRDefault="003C3893" w:rsidP="003C3893">
      <w:pPr>
        <w:suppressAutoHyphens/>
        <w:spacing w:after="0" w:line="240" w:lineRule="auto"/>
        <w:jc w:val="both"/>
        <w:rPr>
          <w:rFonts w:ascii="Garamond" w:eastAsia="MS Mincho" w:hAnsi="Garamond" w:cs="Times New Roman"/>
          <w:spacing w:val="-2"/>
          <w:sz w:val="20"/>
          <w:szCs w:val="20"/>
          <w:lang w:val="es-AR" w:eastAsia="es-ES"/>
        </w:rPr>
      </w:pPr>
    </w:p>
    <w:p w14:paraId="5E3CC1E5" w14:textId="77777777" w:rsidR="003C3893" w:rsidRPr="00CA0A60" w:rsidRDefault="003C3893" w:rsidP="003C3893">
      <w:pPr>
        <w:suppressAutoHyphens/>
        <w:spacing w:after="0" w:line="240" w:lineRule="auto"/>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t xml:space="preserve">El prospecto de esta fusión fue aprobado por la Subgerencia de Emisoras de CNV </w:t>
      </w:r>
      <w:r w:rsidR="003B5F2A" w:rsidRPr="00CA0A60">
        <w:rPr>
          <w:rFonts w:ascii="Garamond" w:eastAsia="MS Mincho" w:hAnsi="Garamond" w:cs="Times New Roman"/>
          <w:spacing w:val="-2"/>
          <w:sz w:val="20"/>
          <w:szCs w:val="20"/>
          <w:lang w:val="es-AR" w:eastAsia="es-ES"/>
        </w:rPr>
        <w:t xml:space="preserve">de </w:t>
      </w:r>
      <w:r w:rsidRPr="00CA0A60">
        <w:rPr>
          <w:rFonts w:ascii="Garamond" w:eastAsia="MS Mincho" w:hAnsi="Garamond" w:cs="Times New Roman"/>
          <w:spacing w:val="-2"/>
          <w:sz w:val="20"/>
          <w:szCs w:val="20"/>
          <w:lang w:val="es-AR" w:eastAsia="es-ES"/>
        </w:rPr>
        <w:t xml:space="preserve">fecha 2 de octubre de 2017. </w:t>
      </w:r>
    </w:p>
    <w:p w14:paraId="0C8FE7CE" w14:textId="77777777" w:rsidR="003C3893" w:rsidRPr="00CA0A60" w:rsidRDefault="003C3893" w:rsidP="003C3893">
      <w:pPr>
        <w:suppressAutoHyphens/>
        <w:spacing w:after="0" w:line="240" w:lineRule="auto"/>
        <w:jc w:val="both"/>
        <w:rPr>
          <w:rFonts w:ascii="Garamond" w:eastAsia="MS Mincho" w:hAnsi="Garamond" w:cs="Times New Roman"/>
          <w:spacing w:val="-2"/>
          <w:sz w:val="20"/>
          <w:szCs w:val="20"/>
          <w:lang w:val="es-AR" w:eastAsia="es-ES"/>
        </w:rPr>
      </w:pPr>
    </w:p>
    <w:p w14:paraId="602F7E29" w14:textId="77777777" w:rsidR="003C3893" w:rsidRPr="00CA0A60" w:rsidRDefault="003C3893" w:rsidP="003C3893">
      <w:pPr>
        <w:suppressAutoHyphens/>
        <w:spacing w:after="0" w:line="240" w:lineRule="auto"/>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t>Con fecha 16 de enero de 2018, mediante Resolución RESFC- 2018–19281-APN-DIR#CNV de fecha 11 de enero de 2018 la CNV aprobó la Fusión por absorción antes descripta en los términos del Artículo 82 de la Ley General de Sociedades y el aumento de capital social con reforma de estatuto social decidido en el marco de la fusión, la cual se inscribió en IGJ en fecha 23 de febrero de 2018 bajo el número 3452 del libro 88, tomo: - de Sociedades por Acciones. En fecha 23 de febrero de 2018 la IGJ registró la disolución sin liquidación de AISA y su cancelación registral bajo el número 3453 del libro 88, tomo: - de Sociedades por Acciones.</w:t>
      </w:r>
    </w:p>
    <w:p w14:paraId="41004F19" w14:textId="77777777" w:rsidR="003C3893" w:rsidRPr="00CA0A60" w:rsidRDefault="003C3893" w:rsidP="003C3893">
      <w:pPr>
        <w:suppressAutoHyphens/>
        <w:spacing w:after="0" w:line="240" w:lineRule="auto"/>
        <w:jc w:val="both"/>
        <w:rPr>
          <w:rFonts w:ascii="Garamond" w:eastAsia="MS Mincho" w:hAnsi="Garamond" w:cs="Times New Roman"/>
          <w:spacing w:val="-2"/>
          <w:sz w:val="20"/>
          <w:szCs w:val="20"/>
          <w:lang w:val="es-AR" w:eastAsia="es-ES"/>
        </w:rPr>
      </w:pPr>
    </w:p>
    <w:p w14:paraId="3172CAF2" w14:textId="77777777" w:rsidR="003C3893" w:rsidRPr="00CA0A60" w:rsidRDefault="003C3893" w:rsidP="003C3893">
      <w:pPr>
        <w:suppressAutoHyphens/>
        <w:spacing w:after="0" w:line="240" w:lineRule="auto"/>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t>Todos los documentos relativos a esta fusión se encuentran disponibles en la página de la CNV (</w:t>
      </w:r>
      <w:hyperlink r:id="rId28" w:history="1">
        <w:r w:rsidRPr="00CA0A60">
          <w:rPr>
            <w:rStyle w:val="Hipervnculo"/>
            <w:rFonts w:ascii="Garamond" w:eastAsia="MS Mincho" w:hAnsi="Garamond" w:cs="Times New Roman"/>
            <w:spacing w:val="-2"/>
            <w:sz w:val="20"/>
            <w:szCs w:val="20"/>
            <w:lang w:val="es-AR" w:eastAsia="es-ES"/>
          </w:rPr>
          <w:t>http//www.cnv.go</w:t>
        </w:r>
        <w:r w:rsidR="00F317D5" w:rsidRPr="00713D6E">
          <w:rPr>
            <w:rStyle w:val="Hipervnculo"/>
            <w:rFonts w:ascii="Garamond" w:eastAsia="MS Mincho" w:hAnsi="Garamond" w:cs="Times New Roman"/>
            <w:spacing w:val="-2"/>
            <w:sz w:val="20"/>
            <w:szCs w:val="20"/>
            <w:lang w:val="es-AR" w:eastAsia="es-ES"/>
          </w:rPr>
          <w:t>v</w:t>
        </w:r>
        <w:r w:rsidRPr="00CA0A60">
          <w:rPr>
            <w:rStyle w:val="Hipervnculo"/>
            <w:rFonts w:ascii="Garamond" w:eastAsia="MS Mincho" w:hAnsi="Garamond" w:cs="Times New Roman"/>
            <w:spacing w:val="-2"/>
            <w:sz w:val="20"/>
            <w:szCs w:val="20"/>
            <w:lang w:val="es-AR" w:eastAsia="es-ES"/>
          </w:rPr>
          <w:t>.ar</w:t>
        </w:r>
      </w:hyperlink>
      <w:r w:rsidRPr="00CA0A60">
        <w:rPr>
          <w:rFonts w:ascii="Garamond" w:eastAsia="MS Mincho" w:hAnsi="Garamond" w:cs="Times New Roman"/>
          <w:spacing w:val="-2"/>
          <w:sz w:val="20"/>
          <w:szCs w:val="20"/>
          <w:lang w:val="es-AR" w:eastAsia="es-ES"/>
        </w:rPr>
        <w:t>) en el ítem “Hechos Relevantes”.</w:t>
      </w:r>
    </w:p>
    <w:p w14:paraId="67C0C651" w14:textId="77777777" w:rsidR="003C3893" w:rsidRPr="00CA0A60" w:rsidRDefault="003C3893" w:rsidP="003C3893">
      <w:pPr>
        <w:suppressAutoHyphens/>
        <w:spacing w:after="0" w:line="240" w:lineRule="auto"/>
        <w:jc w:val="both"/>
        <w:rPr>
          <w:rFonts w:ascii="Garamond" w:eastAsia="MS Mincho" w:hAnsi="Garamond" w:cs="Times New Roman"/>
          <w:spacing w:val="-2"/>
          <w:sz w:val="20"/>
          <w:szCs w:val="20"/>
          <w:lang w:val="es-AR" w:eastAsia="es-ES"/>
        </w:rPr>
      </w:pPr>
    </w:p>
    <w:p w14:paraId="5C55AA94" w14:textId="77777777" w:rsidR="003C3893" w:rsidRPr="00CA0A60" w:rsidRDefault="00B50259" w:rsidP="003C3893">
      <w:pPr>
        <w:suppressAutoHyphens/>
        <w:spacing w:after="0" w:line="240" w:lineRule="auto"/>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t>L</w:t>
      </w:r>
      <w:r w:rsidR="003C3893" w:rsidRPr="00CA0A60">
        <w:rPr>
          <w:rFonts w:ascii="Garamond" w:eastAsia="MS Mincho" w:hAnsi="Garamond" w:cs="Times New Roman"/>
          <w:spacing w:val="-2"/>
          <w:sz w:val="20"/>
          <w:szCs w:val="20"/>
          <w:lang w:val="es-AR" w:eastAsia="es-ES"/>
        </w:rPr>
        <w:t>a Fusión</w:t>
      </w:r>
      <w:r w:rsidR="008360BD" w:rsidRPr="00CA0A60">
        <w:rPr>
          <w:rFonts w:ascii="Garamond" w:eastAsia="MS Mincho" w:hAnsi="Garamond" w:cs="Times New Roman"/>
          <w:spacing w:val="-2"/>
          <w:sz w:val="20"/>
          <w:szCs w:val="20"/>
          <w:lang w:val="es-AR" w:eastAsia="es-ES"/>
        </w:rPr>
        <w:t xml:space="preserve"> ASA/AISA</w:t>
      </w:r>
      <w:r w:rsidR="003C3893" w:rsidRPr="00CA0A60">
        <w:rPr>
          <w:rFonts w:ascii="Garamond" w:eastAsia="MS Mincho" w:hAnsi="Garamond" w:cs="Times New Roman"/>
          <w:spacing w:val="-2"/>
          <w:sz w:val="20"/>
          <w:szCs w:val="20"/>
          <w:lang w:val="es-AR" w:eastAsia="es-ES"/>
        </w:rPr>
        <w:t xml:space="preserve"> </w:t>
      </w:r>
      <w:r w:rsidRPr="00CA0A60">
        <w:rPr>
          <w:rFonts w:ascii="Garamond" w:eastAsia="MS Mincho" w:hAnsi="Garamond" w:cs="Times New Roman"/>
          <w:spacing w:val="-2"/>
          <w:sz w:val="20"/>
          <w:szCs w:val="20"/>
          <w:lang w:val="es-AR" w:eastAsia="es-ES"/>
        </w:rPr>
        <w:t xml:space="preserve">permitió perfeccionar y </w:t>
      </w:r>
      <w:r w:rsidR="003B5F2A" w:rsidRPr="00CA0A60">
        <w:rPr>
          <w:rFonts w:ascii="Garamond" w:eastAsia="MS Mincho" w:hAnsi="Garamond" w:cs="Times New Roman"/>
          <w:spacing w:val="-2"/>
          <w:sz w:val="20"/>
          <w:szCs w:val="20"/>
          <w:lang w:val="es-AR" w:eastAsia="es-ES"/>
        </w:rPr>
        <w:t>optimizar</w:t>
      </w:r>
      <w:r w:rsidR="003C3893" w:rsidRPr="00CA0A60">
        <w:rPr>
          <w:rFonts w:ascii="Garamond" w:eastAsia="MS Mincho" w:hAnsi="Garamond" w:cs="Times New Roman"/>
          <w:spacing w:val="-2"/>
          <w:sz w:val="20"/>
          <w:szCs w:val="20"/>
          <w:lang w:val="es-AR" w:eastAsia="es-ES"/>
        </w:rPr>
        <w:t xml:space="preserve"> la explotación de las actividades económicas y las estructuras operativas, administrativas y técnicas de las Sociedades Participantes con el propósito de lograr sinergias y eficiencias en el desarrollo de las operaciones a través de una sola unidad operativa. Atendiendo a que las sociedades participantes tienen como </w:t>
      </w:r>
      <w:r w:rsidRPr="00CA0A60">
        <w:rPr>
          <w:rFonts w:ascii="Garamond" w:eastAsia="MS Mincho" w:hAnsi="Garamond" w:cs="Times New Roman"/>
          <w:spacing w:val="-2"/>
          <w:sz w:val="20"/>
          <w:szCs w:val="20"/>
          <w:lang w:val="es-AR" w:eastAsia="es-ES"/>
        </w:rPr>
        <w:t>actividad</w:t>
      </w:r>
      <w:r w:rsidR="003C3893" w:rsidRPr="00CA0A60">
        <w:rPr>
          <w:rFonts w:ascii="Garamond" w:eastAsia="MS Mincho" w:hAnsi="Garamond" w:cs="Times New Roman"/>
          <w:spacing w:val="-2"/>
          <w:sz w:val="20"/>
          <w:szCs w:val="20"/>
          <w:lang w:val="es-AR" w:eastAsia="es-ES"/>
        </w:rPr>
        <w:t xml:space="preserve"> principal el de inversión y resultando que las compañías que controlan son agentes generadores de energía eléctrica del MEM, compartiendo éstas últimas como la actividad consistente en la generación y comercialización de energía eléctrica, la conveniencia de la fusión se basa en los siguientes motivos: a) la identidad de la actividad desarrollada por las sociedades participantes y, a su vez, de las sociedades que ambas controlan, lo que permite la integración y complementación que redundará en una mayor eficiencia en las operaciones; b) simplificar la estructura societaria de las sociedades participantes consolidando las actividades de las sociedades en una única sociedad controlante; c) la sinergia que conformará la unión de las distintas sociedades del grupo permitirá hacer más eficiente el ejercicio de control, dirección y administración del negocio energético; d) obtención de una mayor escala, permitiendo el incremento de la capacidad financiera para desarrollar nuevos proyectos; e) optimización en la asignación de los recursos existentes; y f) aprovechar los beneficios resultantes de una dirección centralizada, unificando la toma de decisiones políticas y estratégicas que hacen al negocio, y eliminar así las multiplicaciones de costos (de índole legal, contable, administrativo, financiero, etc.). Por otra parte, los beneficios indicados serán obtenidos sin implicar costos impositivos, en virtud de estar incluidos dentro del artículo 77 y siguientes de la Ley N</w:t>
      </w:r>
      <w:r w:rsidR="003B5F2A" w:rsidRPr="00CA0A60">
        <w:rPr>
          <w:rFonts w:ascii="Garamond" w:eastAsia="MS Mincho" w:hAnsi="Garamond" w:cs="Times New Roman"/>
          <w:spacing w:val="-2"/>
          <w:sz w:val="20"/>
          <w:szCs w:val="20"/>
          <w:lang w:val="es-AR" w:eastAsia="es-ES"/>
        </w:rPr>
        <w:t>º</w:t>
      </w:r>
      <w:r w:rsidR="003C3893" w:rsidRPr="00CA0A60">
        <w:rPr>
          <w:rFonts w:ascii="Garamond" w:eastAsia="MS Mincho" w:hAnsi="Garamond" w:cs="Times New Roman"/>
          <w:spacing w:val="-2"/>
          <w:sz w:val="20"/>
          <w:szCs w:val="20"/>
          <w:lang w:val="es-AR" w:eastAsia="es-ES"/>
        </w:rPr>
        <w:t xml:space="preserve"> 20.628 de Impuesto a las Ganancias.</w:t>
      </w:r>
    </w:p>
    <w:p w14:paraId="308D56CC" w14:textId="77777777" w:rsidR="003C3893" w:rsidRPr="00CA0A60" w:rsidRDefault="003C3893" w:rsidP="00354069">
      <w:pPr>
        <w:suppressAutoHyphens/>
        <w:spacing w:after="0" w:line="240" w:lineRule="auto"/>
        <w:jc w:val="both"/>
        <w:rPr>
          <w:rFonts w:ascii="Garamond" w:eastAsia="MS Mincho" w:hAnsi="Garamond" w:cs="Times New Roman"/>
          <w:spacing w:val="-2"/>
          <w:sz w:val="20"/>
          <w:szCs w:val="20"/>
          <w:lang w:val="es-AR" w:eastAsia="es-ES"/>
        </w:rPr>
      </w:pPr>
    </w:p>
    <w:p w14:paraId="41511BD9" w14:textId="77777777" w:rsidR="00203E4C" w:rsidRPr="00CA0A60" w:rsidRDefault="00203E4C" w:rsidP="00354069">
      <w:pPr>
        <w:suppressAutoHyphens/>
        <w:spacing w:after="0" w:line="240" w:lineRule="auto"/>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lastRenderedPageBreak/>
        <w:t>Para mayor información sobre la historia del Grupo Albanesi, véase la sección “</w:t>
      </w:r>
      <w:r w:rsidRPr="00CA0A60">
        <w:rPr>
          <w:rFonts w:ascii="Garamond" w:eastAsia="MS Mincho" w:hAnsi="Garamond" w:cs="Times New Roman"/>
          <w:i/>
          <w:spacing w:val="-2"/>
          <w:sz w:val="20"/>
          <w:szCs w:val="20"/>
          <w:lang w:val="es-AR" w:eastAsia="es-ES"/>
        </w:rPr>
        <w:t>Información sobre las Co-Emisoras – Reseña Histórica</w:t>
      </w:r>
      <w:r w:rsidRPr="00CA0A60">
        <w:rPr>
          <w:rFonts w:ascii="Garamond" w:eastAsia="MS Mincho" w:hAnsi="Garamond" w:cs="Times New Roman"/>
          <w:spacing w:val="-2"/>
          <w:sz w:val="20"/>
          <w:szCs w:val="20"/>
          <w:lang w:val="es-AR" w:eastAsia="es-ES"/>
        </w:rPr>
        <w:t>” del Prospecto.</w:t>
      </w:r>
    </w:p>
    <w:p w14:paraId="797E50C6" w14:textId="77777777" w:rsidR="00354069" w:rsidRPr="00CA0A60" w:rsidRDefault="00354069" w:rsidP="00354069">
      <w:pPr>
        <w:suppressAutoHyphens/>
        <w:spacing w:after="0" w:line="240" w:lineRule="auto"/>
        <w:jc w:val="both"/>
        <w:rPr>
          <w:rFonts w:ascii="Garamond" w:eastAsia="MS Mincho" w:hAnsi="Garamond" w:cs="Times New Roman"/>
          <w:b/>
          <w:spacing w:val="-2"/>
          <w:sz w:val="20"/>
          <w:szCs w:val="20"/>
          <w:u w:val="single"/>
          <w:lang w:val="es-AR" w:eastAsia="es-ES"/>
        </w:rPr>
      </w:pPr>
    </w:p>
    <w:p w14:paraId="19F0509F" w14:textId="77777777" w:rsidR="00354069" w:rsidRPr="00CA0A60" w:rsidRDefault="00354069" w:rsidP="002B1E31">
      <w:pPr>
        <w:keepNext/>
        <w:keepLines/>
        <w:suppressAutoHyphens/>
        <w:spacing w:after="0" w:line="240" w:lineRule="auto"/>
        <w:jc w:val="both"/>
        <w:rPr>
          <w:rFonts w:ascii="Garamond" w:eastAsia="MS Mincho" w:hAnsi="Garamond" w:cs="Times New Roman"/>
          <w:b/>
          <w:spacing w:val="-2"/>
          <w:sz w:val="20"/>
          <w:szCs w:val="20"/>
          <w:u w:val="single"/>
          <w:lang w:val="es-AR" w:eastAsia="es-ES"/>
        </w:rPr>
      </w:pPr>
      <w:r w:rsidRPr="00CA0A60">
        <w:rPr>
          <w:rFonts w:ascii="Garamond" w:eastAsia="MS Mincho" w:hAnsi="Garamond" w:cs="Times New Roman"/>
          <w:b/>
          <w:spacing w:val="-2"/>
          <w:sz w:val="20"/>
          <w:szCs w:val="20"/>
          <w:u w:val="single"/>
          <w:lang w:val="es-AR" w:eastAsia="es-ES"/>
        </w:rPr>
        <w:t>Capital social. Accionistas principales</w:t>
      </w:r>
    </w:p>
    <w:p w14:paraId="7B04FA47" w14:textId="77777777" w:rsidR="00354069" w:rsidRPr="00CA0A60" w:rsidRDefault="00354069" w:rsidP="002B1E31">
      <w:pPr>
        <w:keepNext/>
        <w:keepLines/>
        <w:suppressAutoHyphens/>
        <w:spacing w:after="0" w:line="240" w:lineRule="auto"/>
        <w:jc w:val="both"/>
        <w:rPr>
          <w:rFonts w:ascii="Garamond" w:eastAsia="MS Mincho" w:hAnsi="Garamond" w:cs="Times New Roman"/>
          <w:spacing w:val="-2"/>
          <w:sz w:val="20"/>
          <w:szCs w:val="20"/>
          <w:lang w:val="es-AR" w:eastAsia="es-ES"/>
        </w:rPr>
      </w:pPr>
    </w:p>
    <w:p w14:paraId="533F5E64" w14:textId="77777777" w:rsidR="00B55B12" w:rsidRPr="00CA0A60" w:rsidRDefault="00B55B12" w:rsidP="002B1E31">
      <w:pPr>
        <w:keepNext/>
        <w:keepLines/>
        <w:spacing w:after="240"/>
        <w:jc w:val="both"/>
        <w:rPr>
          <w:rFonts w:ascii="Garamond" w:eastAsia="Times New Roman" w:hAnsi="Garamond" w:cs="Times New Roman"/>
          <w:sz w:val="20"/>
          <w:szCs w:val="20"/>
          <w:lang w:val="es-AR"/>
        </w:rPr>
      </w:pPr>
      <w:r w:rsidRPr="00CA0A60">
        <w:rPr>
          <w:rFonts w:ascii="Garamond" w:eastAsia="Times New Roman" w:hAnsi="Garamond" w:cs="Times New Roman"/>
          <w:sz w:val="20"/>
          <w:szCs w:val="20"/>
          <w:lang w:val="es-AR"/>
        </w:rPr>
        <w:t xml:space="preserve">El capital social de Albanesi a la fecha del presente Suplemento está representado por 64.451.745 acciones ordinarias en circulación de un valor nominal de ARS 1 cada una y de un voto por acción. </w:t>
      </w:r>
    </w:p>
    <w:tbl>
      <w:tblPr>
        <w:tblW w:w="8390" w:type="dxa"/>
        <w:tblInd w:w="115" w:type="dxa"/>
        <w:tblLayout w:type="fixed"/>
        <w:tblCellMar>
          <w:left w:w="115" w:type="dxa"/>
          <w:right w:w="115" w:type="dxa"/>
        </w:tblCellMar>
        <w:tblLook w:val="00A0" w:firstRow="1" w:lastRow="0" w:firstColumn="1" w:lastColumn="0" w:noHBand="0" w:noVBand="0"/>
      </w:tblPr>
      <w:tblGrid>
        <w:gridCol w:w="2977"/>
        <w:gridCol w:w="1864"/>
        <w:gridCol w:w="2247"/>
        <w:gridCol w:w="1302"/>
      </w:tblGrid>
      <w:tr w:rsidR="00B55B12" w:rsidRPr="00CA0A60" w14:paraId="6575F0A9" w14:textId="77777777" w:rsidTr="002C15E0">
        <w:trPr>
          <w:cantSplit/>
          <w:trHeight w:val="20"/>
          <w:tblHeader/>
        </w:trPr>
        <w:tc>
          <w:tcPr>
            <w:tcW w:w="2977" w:type="dxa"/>
            <w:tcMar>
              <w:left w:w="115" w:type="dxa"/>
              <w:right w:w="115" w:type="dxa"/>
            </w:tcMar>
            <w:vAlign w:val="bottom"/>
          </w:tcPr>
          <w:p w14:paraId="3359F316" w14:textId="77777777" w:rsidR="00B55B12" w:rsidRPr="00CA0A60" w:rsidRDefault="00B55B12" w:rsidP="002B1E31">
            <w:pPr>
              <w:keepNext/>
              <w:keepLines/>
              <w:pBdr>
                <w:bottom w:val="single" w:sz="6" w:space="0" w:color="000000"/>
              </w:pBdr>
              <w:jc w:val="both"/>
              <w:rPr>
                <w:rFonts w:ascii="Garamond" w:eastAsia="SimSun" w:hAnsi="Garamond" w:cs="Times New Roman"/>
                <w:b/>
                <w:sz w:val="20"/>
                <w:szCs w:val="20"/>
                <w:lang w:val="es-AR" w:eastAsia="zh-CN"/>
              </w:rPr>
            </w:pPr>
            <w:r w:rsidRPr="00CA0A60">
              <w:rPr>
                <w:rFonts w:ascii="Garamond" w:eastAsia="SimSun" w:hAnsi="Garamond" w:cs="Times New Roman"/>
                <w:b/>
                <w:sz w:val="20"/>
                <w:szCs w:val="20"/>
                <w:lang w:val="es-AR" w:eastAsia="zh-CN"/>
              </w:rPr>
              <w:t>Accionista</w:t>
            </w:r>
          </w:p>
        </w:tc>
        <w:tc>
          <w:tcPr>
            <w:tcW w:w="1864" w:type="dxa"/>
          </w:tcPr>
          <w:p w14:paraId="226E1C91" w14:textId="77777777" w:rsidR="00B55B12" w:rsidRPr="00CA0A60" w:rsidRDefault="00B55B12" w:rsidP="002B1E31">
            <w:pPr>
              <w:keepNext/>
              <w:keepLines/>
              <w:pBdr>
                <w:bottom w:val="single" w:sz="6" w:space="0" w:color="000000"/>
              </w:pBdr>
              <w:jc w:val="both"/>
              <w:rPr>
                <w:rFonts w:ascii="Garamond" w:eastAsia="SimSun" w:hAnsi="Garamond" w:cs="Times New Roman"/>
                <w:b/>
                <w:sz w:val="20"/>
                <w:szCs w:val="20"/>
                <w:lang w:val="es-AR" w:eastAsia="zh-CN"/>
              </w:rPr>
            </w:pPr>
            <w:r w:rsidRPr="00CA0A60">
              <w:rPr>
                <w:rFonts w:ascii="Garamond" w:eastAsia="SimSun" w:hAnsi="Garamond" w:cs="Times New Roman"/>
                <w:b/>
                <w:sz w:val="20"/>
                <w:szCs w:val="20"/>
                <w:lang w:val="es-AR" w:eastAsia="zh-CN"/>
              </w:rPr>
              <w:t>Clase de Acciones</w:t>
            </w:r>
          </w:p>
        </w:tc>
        <w:tc>
          <w:tcPr>
            <w:tcW w:w="2247" w:type="dxa"/>
            <w:vAlign w:val="bottom"/>
          </w:tcPr>
          <w:p w14:paraId="40105E84" w14:textId="77777777" w:rsidR="00B55B12" w:rsidRPr="00CA0A60" w:rsidRDefault="00B55B12" w:rsidP="002B1E31">
            <w:pPr>
              <w:keepNext/>
              <w:keepLines/>
              <w:pBdr>
                <w:bottom w:val="single" w:sz="6" w:space="0" w:color="000000"/>
              </w:pBdr>
              <w:jc w:val="both"/>
              <w:rPr>
                <w:rFonts w:ascii="Garamond" w:eastAsia="SimSun" w:hAnsi="Garamond" w:cs="Times New Roman"/>
                <w:b/>
                <w:sz w:val="20"/>
                <w:szCs w:val="20"/>
                <w:lang w:val="es-AR" w:eastAsia="zh-CN"/>
              </w:rPr>
            </w:pPr>
            <w:r w:rsidRPr="00CA0A60">
              <w:rPr>
                <w:rFonts w:ascii="Garamond" w:eastAsia="SimSun" w:hAnsi="Garamond" w:cs="Times New Roman"/>
                <w:b/>
                <w:sz w:val="20"/>
                <w:szCs w:val="20"/>
                <w:lang w:val="es-AR" w:eastAsia="zh-CN"/>
              </w:rPr>
              <w:t>Número de acciones</w:t>
            </w:r>
          </w:p>
        </w:tc>
        <w:tc>
          <w:tcPr>
            <w:tcW w:w="1302" w:type="dxa"/>
            <w:tcMar>
              <w:left w:w="115" w:type="dxa"/>
              <w:right w:w="115" w:type="dxa"/>
            </w:tcMar>
            <w:vAlign w:val="bottom"/>
          </w:tcPr>
          <w:p w14:paraId="3F27C703" w14:textId="77777777" w:rsidR="00B55B12" w:rsidRPr="00CA0A60" w:rsidRDefault="00B55B12" w:rsidP="002B1E31">
            <w:pPr>
              <w:keepNext/>
              <w:keepLines/>
              <w:pBdr>
                <w:bottom w:val="single" w:sz="6" w:space="0" w:color="000000"/>
              </w:pBdr>
              <w:jc w:val="both"/>
              <w:rPr>
                <w:rFonts w:ascii="Garamond" w:eastAsia="SimSun" w:hAnsi="Garamond" w:cs="Times New Roman"/>
                <w:b/>
                <w:sz w:val="20"/>
                <w:szCs w:val="20"/>
                <w:lang w:val="es-AR" w:eastAsia="zh-CN"/>
              </w:rPr>
            </w:pPr>
            <w:r w:rsidRPr="00CA0A60">
              <w:rPr>
                <w:rFonts w:ascii="Garamond" w:eastAsia="SimSun" w:hAnsi="Garamond" w:cs="Times New Roman"/>
                <w:b/>
                <w:sz w:val="20"/>
                <w:szCs w:val="20"/>
                <w:lang w:val="es-AR" w:eastAsia="zh-CN"/>
              </w:rPr>
              <w:t>Porcentaje</w:t>
            </w:r>
          </w:p>
        </w:tc>
      </w:tr>
      <w:tr w:rsidR="00B55B12" w:rsidRPr="00CA0A60" w14:paraId="790B23BD" w14:textId="77777777" w:rsidTr="002C15E0">
        <w:trPr>
          <w:cantSplit/>
          <w:trHeight w:val="20"/>
        </w:trPr>
        <w:tc>
          <w:tcPr>
            <w:tcW w:w="2977" w:type="dxa"/>
            <w:tcMar>
              <w:left w:w="115" w:type="dxa"/>
              <w:right w:w="115" w:type="dxa"/>
            </w:tcMar>
          </w:tcPr>
          <w:p w14:paraId="18C23D70" w14:textId="77777777" w:rsidR="00B55B12" w:rsidRPr="00CA0A60" w:rsidRDefault="00B55B12" w:rsidP="002B1E31">
            <w:pPr>
              <w:keepNext/>
              <w:keepLines/>
              <w:jc w:val="both"/>
              <w:rPr>
                <w:rFonts w:ascii="Garamond" w:hAnsi="Garamond" w:cs="Times New Roman"/>
                <w:sz w:val="20"/>
                <w:szCs w:val="20"/>
                <w:lang w:val="es-AR"/>
              </w:rPr>
            </w:pPr>
            <w:r w:rsidRPr="00CA0A60">
              <w:rPr>
                <w:rFonts w:ascii="Garamond" w:hAnsi="Garamond" w:cs="Times New Roman"/>
                <w:sz w:val="20"/>
                <w:szCs w:val="20"/>
                <w:lang w:val="es-AR"/>
              </w:rPr>
              <w:t xml:space="preserve">Armando Roberto Losón </w:t>
            </w:r>
          </w:p>
        </w:tc>
        <w:tc>
          <w:tcPr>
            <w:tcW w:w="1864" w:type="dxa"/>
          </w:tcPr>
          <w:p w14:paraId="45BD1317" w14:textId="77777777" w:rsidR="00B55B12" w:rsidRPr="00CA0A60" w:rsidRDefault="00B55B12" w:rsidP="002B1E31">
            <w:pPr>
              <w:keepNext/>
              <w:keepLines/>
              <w:tabs>
                <w:tab w:val="left" w:pos="245"/>
                <w:tab w:val="decimal" w:pos="785"/>
              </w:tabs>
              <w:jc w:val="both"/>
              <w:rPr>
                <w:rFonts w:ascii="Garamond" w:eastAsia="Times New Roman" w:hAnsi="Garamond" w:cs="Times New Roman"/>
                <w:sz w:val="20"/>
                <w:szCs w:val="20"/>
                <w:lang w:val="es-AR"/>
              </w:rPr>
            </w:pPr>
            <w:r w:rsidRPr="00CA0A60">
              <w:rPr>
                <w:rFonts w:ascii="Garamond" w:eastAsia="Times New Roman" w:hAnsi="Garamond" w:cs="Times New Roman"/>
                <w:sz w:val="20"/>
                <w:szCs w:val="20"/>
                <w:lang w:val="es-AR"/>
              </w:rPr>
              <w:t>Acciones ordinarias</w:t>
            </w:r>
          </w:p>
        </w:tc>
        <w:tc>
          <w:tcPr>
            <w:tcW w:w="2247" w:type="dxa"/>
            <w:vAlign w:val="bottom"/>
          </w:tcPr>
          <w:p w14:paraId="15AC7CE8" w14:textId="77777777" w:rsidR="00B55B12" w:rsidRPr="00CA0A60" w:rsidRDefault="00B55B12" w:rsidP="002B1E31">
            <w:pPr>
              <w:keepNext/>
              <w:keepLines/>
              <w:tabs>
                <w:tab w:val="left" w:pos="155"/>
                <w:tab w:val="decimal" w:pos="1415"/>
              </w:tabs>
              <w:ind w:left="1540" w:hanging="947"/>
              <w:jc w:val="both"/>
              <w:rPr>
                <w:rFonts w:ascii="Garamond" w:eastAsia="SimSun" w:hAnsi="Garamond" w:cs="Times New Roman"/>
                <w:sz w:val="20"/>
                <w:szCs w:val="20"/>
                <w:lang w:val="es-AR" w:eastAsia="zh-CN"/>
              </w:rPr>
            </w:pPr>
            <w:r w:rsidRPr="00CA0A60">
              <w:rPr>
                <w:rFonts w:ascii="Garamond" w:hAnsi="Garamond" w:cs="Times New Roman"/>
                <w:sz w:val="20"/>
                <w:szCs w:val="20"/>
                <w:lang w:val="es-AR"/>
              </w:rPr>
              <w:t>32.225.873</w:t>
            </w:r>
          </w:p>
        </w:tc>
        <w:tc>
          <w:tcPr>
            <w:tcW w:w="1302" w:type="dxa"/>
            <w:tcMar>
              <w:left w:w="115" w:type="dxa"/>
              <w:right w:w="115" w:type="dxa"/>
            </w:tcMar>
            <w:vAlign w:val="bottom"/>
          </w:tcPr>
          <w:p w14:paraId="3A174C5D" w14:textId="77777777" w:rsidR="00B55B12" w:rsidRPr="00CA0A60" w:rsidRDefault="00B55B12" w:rsidP="002B1E31">
            <w:pPr>
              <w:keepNext/>
              <w:keepLines/>
              <w:tabs>
                <w:tab w:val="left" w:pos="245"/>
                <w:tab w:val="decimal" w:pos="785"/>
              </w:tabs>
              <w:ind w:left="1540" w:hanging="1770"/>
              <w:jc w:val="center"/>
              <w:rPr>
                <w:rFonts w:ascii="Garamond" w:eastAsia="SimSun" w:hAnsi="Garamond" w:cs="Times New Roman"/>
                <w:sz w:val="20"/>
                <w:szCs w:val="20"/>
                <w:lang w:val="es-AR" w:eastAsia="zh-CN"/>
              </w:rPr>
            </w:pPr>
            <w:r w:rsidRPr="00CA0A60">
              <w:rPr>
                <w:rFonts w:ascii="Garamond" w:hAnsi="Garamond" w:cs="Times New Roman"/>
                <w:sz w:val="20"/>
                <w:szCs w:val="20"/>
                <w:lang w:val="es-AR"/>
              </w:rPr>
              <w:t>50</w:t>
            </w:r>
            <w:r w:rsidRPr="00CA0A60">
              <w:rPr>
                <w:rFonts w:ascii="Garamond" w:eastAsia="SimSun" w:hAnsi="Garamond" w:cs="Times New Roman"/>
                <w:sz w:val="20"/>
                <w:szCs w:val="20"/>
                <w:lang w:val="es-AR" w:eastAsia="zh-CN"/>
              </w:rPr>
              <w:t>%</w:t>
            </w:r>
          </w:p>
        </w:tc>
      </w:tr>
      <w:tr w:rsidR="00B55B12" w:rsidRPr="00CA0A60" w14:paraId="7184BBAE" w14:textId="77777777" w:rsidTr="002C15E0">
        <w:trPr>
          <w:cantSplit/>
          <w:trHeight w:val="20"/>
        </w:trPr>
        <w:tc>
          <w:tcPr>
            <w:tcW w:w="2977" w:type="dxa"/>
            <w:tcMar>
              <w:left w:w="115" w:type="dxa"/>
              <w:right w:w="115" w:type="dxa"/>
            </w:tcMar>
          </w:tcPr>
          <w:p w14:paraId="178DFB1A" w14:textId="77777777" w:rsidR="00B55B12" w:rsidRPr="00CA0A60" w:rsidRDefault="00B55B12" w:rsidP="002B1E31">
            <w:pPr>
              <w:keepNext/>
              <w:keepLines/>
              <w:jc w:val="both"/>
              <w:rPr>
                <w:rFonts w:ascii="Garamond" w:hAnsi="Garamond" w:cs="Times New Roman"/>
                <w:sz w:val="20"/>
                <w:szCs w:val="20"/>
                <w:lang w:val="es-AR"/>
              </w:rPr>
            </w:pPr>
            <w:r w:rsidRPr="00CA0A60">
              <w:rPr>
                <w:rFonts w:ascii="Garamond" w:hAnsi="Garamond" w:cs="Times New Roman"/>
                <w:sz w:val="20"/>
                <w:szCs w:val="20"/>
                <w:lang w:val="es-AR"/>
              </w:rPr>
              <w:t xml:space="preserve">Carlos Alfredo Bauzas </w:t>
            </w:r>
          </w:p>
        </w:tc>
        <w:tc>
          <w:tcPr>
            <w:tcW w:w="1864" w:type="dxa"/>
          </w:tcPr>
          <w:p w14:paraId="6913E92E" w14:textId="77777777" w:rsidR="00B55B12" w:rsidRPr="00CA0A60" w:rsidRDefault="00B55B12" w:rsidP="002B1E31">
            <w:pPr>
              <w:keepNext/>
              <w:keepLines/>
              <w:tabs>
                <w:tab w:val="left" w:pos="245"/>
                <w:tab w:val="decimal" w:pos="785"/>
              </w:tabs>
              <w:jc w:val="both"/>
              <w:rPr>
                <w:rFonts w:ascii="Garamond" w:eastAsia="Times New Roman" w:hAnsi="Garamond" w:cs="Times New Roman"/>
                <w:sz w:val="20"/>
                <w:szCs w:val="20"/>
                <w:lang w:val="es-AR"/>
              </w:rPr>
            </w:pPr>
            <w:r w:rsidRPr="00CA0A60">
              <w:rPr>
                <w:rFonts w:ascii="Garamond" w:eastAsia="Times New Roman" w:hAnsi="Garamond" w:cs="Times New Roman"/>
                <w:sz w:val="20"/>
                <w:szCs w:val="20"/>
                <w:lang w:val="es-AR"/>
              </w:rPr>
              <w:t>Acciones ordinarias</w:t>
            </w:r>
          </w:p>
        </w:tc>
        <w:tc>
          <w:tcPr>
            <w:tcW w:w="2247" w:type="dxa"/>
          </w:tcPr>
          <w:p w14:paraId="068670B3" w14:textId="77777777" w:rsidR="00B55B12" w:rsidRPr="00CA0A60" w:rsidRDefault="00B55B12" w:rsidP="002B1E31">
            <w:pPr>
              <w:keepNext/>
              <w:keepLines/>
              <w:ind w:left="1540" w:hanging="947"/>
              <w:jc w:val="both"/>
              <w:rPr>
                <w:rFonts w:ascii="Garamond" w:eastAsia="SimSun" w:hAnsi="Garamond" w:cs="Times New Roman"/>
                <w:sz w:val="20"/>
                <w:szCs w:val="20"/>
                <w:lang w:val="es-AR" w:eastAsia="zh-CN"/>
              </w:rPr>
            </w:pPr>
            <w:r w:rsidRPr="00CA0A60">
              <w:rPr>
                <w:rFonts w:ascii="Garamond" w:hAnsi="Garamond" w:cs="Times New Roman"/>
                <w:sz w:val="20"/>
                <w:szCs w:val="20"/>
                <w:lang w:val="es-AR"/>
              </w:rPr>
              <w:t>12.890.348</w:t>
            </w:r>
          </w:p>
        </w:tc>
        <w:tc>
          <w:tcPr>
            <w:tcW w:w="1302" w:type="dxa"/>
            <w:tcMar>
              <w:left w:w="115" w:type="dxa"/>
              <w:right w:w="115" w:type="dxa"/>
            </w:tcMar>
          </w:tcPr>
          <w:p w14:paraId="17DCED26" w14:textId="77777777" w:rsidR="00B55B12" w:rsidRPr="00CA0A60" w:rsidRDefault="00B55B12" w:rsidP="002B1E31">
            <w:pPr>
              <w:keepNext/>
              <w:keepLines/>
              <w:ind w:left="1540" w:hanging="1770"/>
              <w:jc w:val="center"/>
              <w:rPr>
                <w:rFonts w:ascii="Garamond" w:eastAsia="SimSun" w:hAnsi="Garamond" w:cs="Times New Roman"/>
                <w:sz w:val="20"/>
                <w:szCs w:val="20"/>
                <w:lang w:val="es-AR" w:eastAsia="zh-CN"/>
              </w:rPr>
            </w:pPr>
            <w:r w:rsidRPr="00CA0A60">
              <w:rPr>
                <w:rFonts w:ascii="Garamond" w:hAnsi="Garamond" w:cs="Times New Roman"/>
                <w:sz w:val="20"/>
                <w:szCs w:val="20"/>
                <w:lang w:val="es-AR"/>
              </w:rPr>
              <w:t>20%</w:t>
            </w:r>
          </w:p>
        </w:tc>
      </w:tr>
      <w:tr w:rsidR="00B55B12" w:rsidRPr="00CA0A60" w14:paraId="308FD052" w14:textId="77777777" w:rsidTr="002C15E0">
        <w:trPr>
          <w:cantSplit/>
          <w:trHeight w:val="20"/>
        </w:trPr>
        <w:tc>
          <w:tcPr>
            <w:tcW w:w="2977" w:type="dxa"/>
            <w:tcMar>
              <w:left w:w="115" w:type="dxa"/>
              <w:right w:w="115" w:type="dxa"/>
            </w:tcMar>
          </w:tcPr>
          <w:p w14:paraId="1593D851" w14:textId="77777777" w:rsidR="00B55B12" w:rsidRPr="00CA0A60" w:rsidRDefault="00B55B12" w:rsidP="004C1C4F">
            <w:pPr>
              <w:jc w:val="both"/>
              <w:rPr>
                <w:rFonts w:ascii="Garamond" w:hAnsi="Garamond" w:cs="Times New Roman"/>
                <w:sz w:val="20"/>
                <w:szCs w:val="20"/>
                <w:lang w:val="es-AR"/>
              </w:rPr>
            </w:pPr>
            <w:r w:rsidRPr="00CA0A60">
              <w:rPr>
                <w:rFonts w:ascii="Garamond" w:hAnsi="Garamond" w:cs="Times New Roman"/>
                <w:sz w:val="20"/>
                <w:szCs w:val="20"/>
                <w:lang w:val="es-AR"/>
              </w:rPr>
              <w:t xml:space="preserve">Holen S.A. </w:t>
            </w:r>
            <w:r w:rsidRPr="00CA0A60">
              <w:rPr>
                <w:rFonts w:ascii="Garamond" w:eastAsia="Times New Roman" w:hAnsi="Garamond" w:cs="Times New Roman"/>
                <w:sz w:val="20"/>
                <w:szCs w:val="20"/>
                <w:vertAlign w:val="superscript"/>
                <w:lang w:val="es-AR"/>
              </w:rPr>
              <w:t>(</w:t>
            </w:r>
            <w:r w:rsidRPr="00713D6E">
              <w:rPr>
                <w:rFonts w:ascii="Garamond" w:hAnsi="Garamond" w:cs="Times New Roman"/>
                <w:sz w:val="20"/>
                <w:szCs w:val="20"/>
                <w:vertAlign w:val="superscript"/>
                <w:lang w:val="es-AR" w:eastAsia="zh-CN"/>
              </w:rPr>
              <w:t>1)</w:t>
            </w:r>
          </w:p>
        </w:tc>
        <w:tc>
          <w:tcPr>
            <w:tcW w:w="1864" w:type="dxa"/>
          </w:tcPr>
          <w:p w14:paraId="58F81E7F" w14:textId="77777777" w:rsidR="00B55B12" w:rsidRPr="00CA0A60" w:rsidRDefault="00B55B12" w:rsidP="004C1C4F">
            <w:pPr>
              <w:tabs>
                <w:tab w:val="left" w:pos="245"/>
                <w:tab w:val="decimal" w:pos="785"/>
              </w:tabs>
              <w:jc w:val="both"/>
              <w:rPr>
                <w:rFonts w:ascii="Garamond" w:eastAsia="Times New Roman" w:hAnsi="Garamond" w:cs="Times New Roman"/>
                <w:sz w:val="20"/>
                <w:szCs w:val="20"/>
                <w:lang w:val="es-AR"/>
              </w:rPr>
            </w:pPr>
            <w:r w:rsidRPr="00CA0A60">
              <w:rPr>
                <w:rFonts w:ascii="Garamond" w:eastAsia="Times New Roman" w:hAnsi="Garamond" w:cs="Times New Roman"/>
                <w:sz w:val="20"/>
                <w:szCs w:val="20"/>
                <w:lang w:val="es-AR"/>
              </w:rPr>
              <w:t>Acciones ordinarias</w:t>
            </w:r>
          </w:p>
        </w:tc>
        <w:tc>
          <w:tcPr>
            <w:tcW w:w="2247" w:type="dxa"/>
          </w:tcPr>
          <w:p w14:paraId="1A0822FB" w14:textId="77777777" w:rsidR="00B55B12" w:rsidRPr="00CA0A60" w:rsidRDefault="00B55B12" w:rsidP="004C1C4F">
            <w:pPr>
              <w:pBdr>
                <w:bottom w:val="single" w:sz="6" w:space="0" w:color="000000"/>
              </w:pBdr>
              <w:ind w:left="1540" w:hanging="947"/>
              <w:jc w:val="both"/>
              <w:rPr>
                <w:rFonts w:ascii="Garamond" w:eastAsia="SimSun" w:hAnsi="Garamond" w:cs="Times New Roman"/>
                <w:sz w:val="20"/>
                <w:szCs w:val="20"/>
                <w:lang w:val="es-AR" w:eastAsia="zh-CN"/>
              </w:rPr>
            </w:pPr>
            <w:r w:rsidRPr="00CA0A60">
              <w:rPr>
                <w:rFonts w:ascii="Garamond" w:hAnsi="Garamond" w:cs="Times New Roman"/>
                <w:sz w:val="20"/>
                <w:szCs w:val="20"/>
                <w:lang w:val="es-AR"/>
              </w:rPr>
              <w:t>19.335.524</w:t>
            </w:r>
          </w:p>
        </w:tc>
        <w:tc>
          <w:tcPr>
            <w:tcW w:w="1302" w:type="dxa"/>
            <w:tcMar>
              <w:left w:w="115" w:type="dxa"/>
              <w:right w:w="115" w:type="dxa"/>
            </w:tcMar>
          </w:tcPr>
          <w:p w14:paraId="498DFBC8" w14:textId="77777777" w:rsidR="00B55B12" w:rsidRPr="00CA0A60" w:rsidRDefault="00B55B12" w:rsidP="002C15E0">
            <w:pPr>
              <w:pBdr>
                <w:bottom w:val="single" w:sz="6" w:space="0" w:color="000000"/>
              </w:pBdr>
              <w:ind w:left="1540" w:hanging="1770"/>
              <w:jc w:val="center"/>
              <w:rPr>
                <w:rFonts w:ascii="Garamond" w:eastAsia="SimSun" w:hAnsi="Garamond" w:cs="Times New Roman"/>
                <w:sz w:val="20"/>
                <w:szCs w:val="20"/>
                <w:lang w:val="es-AR" w:eastAsia="zh-CN"/>
              </w:rPr>
            </w:pPr>
            <w:r w:rsidRPr="00CA0A60">
              <w:rPr>
                <w:rFonts w:ascii="Garamond" w:hAnsi="Garamond" w:cs="Times New Roman"/>
                <w:sz w:val="20"/>
                <w:szCs w:val="20"/>
                <w:lang w:val="es-AR"/>
              </w:rPr>
              <w:t>30</w:t>
            </w:r>
            <w:r w:rsidRPr="00CA0A60">
              <w:rPr>
                <w:rFonts w:ascii="Garamond" w:eastAsia="SimSun" w:hAnsi="Garamond" w:cs="Times New Roman"/>
                <w:sz w:val="20"/>
                <w:szCs w:val="20"/>
                <w:lang w:val="es-AR" w:eastAsia="zh-CN"/>
              </w:rPr>
              <w:t>%</w:t>
            </w:r>
          </w:p>
        </w:tc>
      </w:tr>
      <w:tr w:rsidR="00B55B12" w:rsidRPr="00CA0A60" w14:paraId="13AD668B" w14:textId="77777777" w:rsidTr="002C15E0">
        <w:trPr>
          <w:cantSplit/>
          <w:trHeight w:val="20"/>
        </w:trPr>
        <w:tc>
          <w:tcPr>
            <w:tcW w:w="4841" w:type="dxa"/>
            <w:gridSpan w:val="2"/>
            <w:tcMar>
              <w:left w:w="115" w:type="dxa"/>
              <w:right w:w="115" w:type="dxa"/>
            </w:tcMar>
            <w:vAlign w:val="bottom"/>
          </w:tcPr>
          <w:p w14:paraId="46FE0C09" w14:textId="77777777" w:rsidR="00B55B12" w:rsidRPr="00CA0A60" w:rsidRDefault="00B55B12" w:rsidP="004C1C4F">
            <w:pPr>
              <w:tabs>
                <w:tab w:val="left" w:leader="dot" w:pos="5195"/>
              </w:tabs>
              <w:jc w:val="both"/>
              <w:rPr>
                <w:rFonts w:ascii="Garamond" w:eastAsia="SimSun" w:hAnsi="Garamond" w:cs="Times New Roman"/>
                <w:sz w:val="20"/>
                <w:szCs w:val="20"/>
                <w:lang w:val="es-AR" w:eastAsia="zh-CN"/>
              </w:rPr>
            </w:pPr>
            <w:r w:rsidRPr="00CA0A60">
              <w:rPr>
                <w:rFonts w:ascii="Garamond" w:eastAsia="Times New Roman" w:hAnsi="Garamond" w:cs="Times New Roman"/>
                <w:b/>
                <w:sz w:val="20"/>
                <w:szCs w:val="20"/>
                <w:lang w:val="es-AR"/>
              </w:rPr>
              <w:t>Total</w:t>
            </w:r>
            <w:r w:rsidRPr="00CA0A60">
              <w:rPr>
                <w:rFonts w:ascii="Garamond" w:eastAsia="SimSun" w:hAnsi="Garamond" w:cs="Times New Roman"/>
                <w:sz w:val="20"/>
                <w:szCs w:val="20"/>
                <w:lang w:val="es-AR" w:eastAsia="zh-CN"/>
              </w:rPr>
              <w:tab/>
            </w:r>
          </w:p>
        </w:tc>
        <w:tc>
          <w:tcPr>
            <w:tcW w:w="2247" w:type="dxa"/>
            <w:vAlign w:val="bottom"/>
          </w:tcPr>
          <w:p w14:paraId="13DA0305" w14:textId="77777777" w:rsidR="00B55B12" w:rsidRPr="00CA0A60" w:rsidRDefault="00B55B12" w:rsidP="004C1C4F">
            <w:pPr>
              <w:tabs>
                <w:tab w:val="left" w:pos="155"/>
                <w:tab w:val="decimal" w:pos="1415"/>
              </w:tabs>
              <w:ind w:left="1540" w:hanging="947"/>
              <w:jc w:val="both"/>
              <w:rPr>
                <w:rFonts w:ascii="Garamond" w:eastAsia="SimSun" w:hAnsi="Garamond" w:cs="Times New Roman"/>
                <w:b/>
                <w:sz w:val="20"/>
                <w:szCs w:val="20"/>
                <w:lang w:val="es-AR" w:eastAsia="zh-CN"/>
              </w:rPr>
            </w:pPr>
            <w:r w:rsidRPr="00CA0A60">
              <w:rPr>
                <w:rFonts w:ascii="Garamond" w:hAnsi="Garamond" w:cs="Times New Roman"/>
                <w:b/>
                <w:sz w:val="20"/>
                <w:szCs w:val="20"/>
                <w:lang w:val="es-AR"/>
              </w:rPr>
              <w:t xml:space="preserve">64.451.745 </w:t>
            </w:r>
          </w:p>
        </w:tc>
        <w:tc>
          <w:tcPr>
            <w:tcW w:w="1302" w:type="dxa"/>
            <w:tcMar>
              <w:left w:w="115" w:type="dxa"/>
              <w:right w:w="115" w:type="dxa"/>
            </w:tcMar>
            <w:vAlign w:val="bottom"/>
          </w:tcPr>
          <w:p w14:paraId="135237C8" w14:textId="77777777" w:rsidR="00B55B12" w:rsidRPr="00CA0A60" w:rsidRDefault="00B55B12" w:rsidP="00810CA3">
            <w:pPr>
              <w:tabs>
                <w:tab w:val="left" w:pos="245"/>
                <w:tab w:val="decimal" w:pos="785"/>
              </w:tabs>
              <w:ind w:left="1540" w:hanging="1770"/>
              <w:jc w:val="center"/>
              <w:rPr>
                <w:rFonts w:ascii="Garamond" w:eastAsia="SimSun" w:hAnsi="Garamond" w:cs="Times New Roman"/>
                <w:b/>
                <w:sz w:val="20"/>
                <w:szCs w:val="20"/>
                <w:lang w:val="es-AR" w:eastAsia="zh-CN"/>
              </w:rPr>
            </w:pPr>
            <w:r w:rsidRPr="00CA0A60">
              <w:rPr>
                <w:rFonts w:ascii="Garamond" w:eastAsia="SimSun" w:hAnsi="Garamond" w:cs="Times New Roman"/>
                <w:b/>
                <w:sz w:val="20"/>
                <w:szCs w:val="20"/>
                <w:lang w:val="es-AR" w:eastAsia="zh-CN"/>
              </w:rPr>
              <w:t>100%</w:t>
            </w:r>
          </w:p>
        </w:tc>
      </w:tr>
    </w:tbl>
    <w:p w14:paraId="0F7D057D" w14:textId="77777777" w:rsidR="00B55B12" w:rsidRPr="00713D6E" w:rsidRDefault="00B55B12" w:rsidP="002830AF">
      <w:pPr>
        <w:pStyle w:val="Tablenotes"/>
        <w:numPr>
          <w:ilvl w:val="0"/>
          <w:numId w:val="2"/>
        </w:numPr>
        <w:rPr>
          <w:rFonts w:ascii="Garamond" w:hAnsi="Garamond"/>
          <w:lang w:val="es-AR"/>
        </w:rPr>
      </w:pPr>
      <w:r w:rsidRPr="00CA0A60">
        <w:rPr>
          <w:rFonts w:ascii="Garamond" w:hAnsi="Garamond"/>
          <w:lang w:val="es-AR"/>
        </w:rPr>
        <w:t xml:space="preserve">A la fecha del presente </w:t>
      </w:r>
      <w:r w:rsidR="001E0275" w:rsidRPr="00CA0A60">
        <w:rPr>
          <w:rFonts w:ascii="Garamond" w:hAnsi="Garamond"/>
          <w:lang w:val="es-AR"/>
        </w:rPr>
        <w:t>Suplemento</w:t>
      </w:r>
      <w:r w:rsidRPr="00713D6E">
        <w:rPr>
          <w:rFonts w:ascii="Garamond" w:hAnsi="Garamond"/>
          <w:lang w:val="es-AR"/>
        </w:rPr>
        <w:t xml:space="preserve">, Fernando Sarti tiene la propiedad del 95% de las acciones ordinarias de Holen S.A. </w:t>
      </w:r>
    </w:p>
    <w:p w14:paraId="568C698B" w14:textId="77777777" w:rsidR="00B55B12" w:rsidRPr="00CA0A60" w:rsidRDefault="00B55B12" w:rsidP="00354069">
      <w:pPr>
        <w:suppressAutoHyphens/>
        <w:spacing w:after="0" w:line="240" w:lineRule="auto"/>
        <w:jc w:val="both"/>
        <w:rPr>
          <w:rFonts w:ascii="Garamond" w:eastAsia="MS Mincho" w:hAnsi="Garamond" w:cs="Times New Roman"/>
          <w:spacing w:val="-2"/>
          <w:sz w:val="20"/>
          <w:szCs w:val="20"/>
          <w:lang w:val="es-AR" w:eastAsia="es-ES"/>
        </w:rPr>
      </w:pPr>
    </w:p>
    <w:p w14:paraId="75BE1DE7" w14:textId="77777777" w:rsidR="00354069" w:rsidRPr="00CA0A60" w:rsidRDefault="00354069">
      <w:pPr>
        <w:suppressAutoHyphens/>
        <w:spacing w:after="0" w:line="240" w:lineRule="auto"/>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t xml:space="preserve">A través de sus sociedades controladas y relacionadas, Albanesi ha invertido en el mercado energético principalmente en el segmento de generación eléctrica. </w:t>
      </w:r>
    </w:p>
    <w:p w14:paraId="1A939487" w14:textId="77777777" w:rsidR="00354069" w:rsidRPr="00CA0A60" w:rsidRDefault="00354069">
      <w:pPr>
        <w:suppressAutoHyphens/>
        <w:spacing w:after="0" w:line="240" w:lineRule="auto"/>
        <w:jc w:val="both"/>
        <w:rPr>
          <w:rFonts w:ascii="Garamond" w:eastAsia="MS Mincho" w:hAnsi="Garamond" w:cs="Times New Roman"/>
          <w:b/>
          <w:spacing w:val="-2"/>
          <w:sz w:val="20"/>
          <w:szCs w:val="20"/>
          <w:u w:val="single"/>
          <w:lang w:val="es-AR" w:eastAsia="es-ES"/>
        </w:rPr>
      </w:pPr>
    </w:p>
    <w:p w14:paraId="563B89C2" w14:textId="77777777" w:rsidR="00354069" w:rsidRPr="00CA0A60" w:rsidRDefault="00354069">
      <w:pPr>
        <w:suppressAutoHyphens/>
        <w:spacing w:after="0" w:line="240" w:lineRule="auto"/>
        <w:jc w:val="both"/>
        <w:rPr>
          <w:rFonts w:ascii="Garamond" w:eastAsia="MS Mincho" w:hAnsi="Garamond" w:cs="Times New Roman"/>
          <w:b/>
          <w:spacing w:val="-2"/>
          <w:sz w:val="20"/>
          <w:szCs w:val="20"/>
          <w:u w:val="single"/>
          <w:lang w:val="es-AR" w:eastAsia="es-ES"/>
        </w:rPr>
      </w:pPr>
      <w:r w:rsidRPr="00CA0A60">
        <w:rPr>
          <w:rFonts w:ascii="Garamond" w:eastAsia="MS Mincho" w:hAnsi="Garamond" w:cs="Times New Roman"/>
          <w:b/>
          <w:spacing w:val="-2"/>
          <w:sz w:val="20"/>
          <w:szCs w:val="20"/>
          <w:u w:val="single"/>
          <w:lang w:val="es-AR" w:eastAsia="es-ES"/>
        </w:rPr>
        <w:t xml:space="preserve">Descripción de </w:t>
      </w:r>
      <w:r w:rsidR="00EE6C95" w:rsidRPr="00CA0A60">
        <w:rPr>
          <w:rFonts w:ascii="Garamond" w:eastAsia="MS Mincho" w:hAnsi="Garamond" w:cs="Times New Roman"/>
          <w:b/>
          <w:spacing w:val="-2"/>
          <w:sz w:val="20"/>
          <w:szCs w:val="20"/>
          <w:u w:val="single"/>
          <w:lang w:val="es-AR" w:eastAsia="es-ES"/>
        </w:rPr>
        <w:t xml:space="preserve">Albanesi y sus </w:t>
      </w:r>
      <w:r w:rsidRPr="00CA0A60">
        <w:rPr>
          <w:rFonts w:ascii="Garamond" w:eastAsia="MS Mincho" w:hAnsi="Garamond" w:cs="Times New Roman"/>
          <w:b/>
          <w:spacing w:val="-2"/>
          <w:sz w:val="20"/>
          <w:szCs w:val="20"/>
          <w:u w:val="single"/>
          <w:lang w:val="es-AR" w:eastAsia="es-ES"/>
        </w:rPr>
        <w:t xml:space="preserve">activos más importantes </w:t>
      </w:r>
    </w:p>
    <w:p w14:paraId="6AA258D8" w14:textId="77777777" w:rsidR="00EE6C95" w:rsidRPr="00CA0A60" w:rsidRDefault="00EE6C95" w:rsidP="002C15E0">
      <w:pPr>
        <w:spacing w:after="0" w:line="240" w:lineRule="auto"/>
        <w:jc w:val="both"/>
        <w:rPr>
          <w:rFonts w:ascii="Garamond" w:hAnsi="Garamond" w:cs="Times New Roman"/>
          <w:b/>
          <w:sz w:val="20"/>
          <w:szCs w:val="20"/>
          <w:u w:val="single"/>
          <w:lang w:val="es-AR"/>
        </w:rPr>
      </w:pPr>
    </w:p>
    <w:p w14:paraId="31BBBD2F" w14:textId="77777777" w:rsidR="00EE6C95" w:rsidRPr="00CA0A60" w:rsidRDefault="00203E4C" w:rsidP="002C15E0">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El Grupo </w:t>
      </w:r>
      <w:r w:rsidR="00EE6C95" w:rsidRPr="00CA0A60">
        <w:rPr>
          <w:rFonts w:ascii="Garamond" w:hAnsi="Garamond" w:cs="Times New Roman"/>
          <w:sz w:val="20"/>
          <w:szCs w:val="20"/>
          <w:lang w:val="es-AR"/>
        </w:rPr>
        <w:t xml:space="preserve">Albanesi es uno de los grupos líderes de generación de energía eléctrica en Argentina en base a la capacidad instalada, operando nueve centrales termoeléctricas ubicadas en diversas provincias de Argentina, ocho de las cuales son propias (incluyendo la planta generadora de Solalban, de la cual es propietaria de un 42%). Actualmente, estas centrales generadoras poseen una capacidad de generación instalada total de </w:t>
      </w:r>
      <w:r w:rsidR="00EE6C95" w:rsidRPr="00CA0A60">
        <w:rPr>
          <w:rFonts w:ascii="Garamond" w:hAnsi="Garamond"/>
          <w:sz w:val="20"/>
          <w:szCs w:val="20"/>
          <w:lang w:val="es-AR"/>
        </w:rPr>
        <w:t>1.</w:t>
      </w:r>
      <w:r w:rsidR="00EE6C95" w:rsidRPr="00CA0A60">
        <w:rPr>
          <w:rFonts w:ascii="Garamond" w:hAnsi="Garamond" w:cs="Times New Roman"/>
          <w:sz w:val="20"/>
          <w:szCs w:val="20"/>
          <w:lang w:val="es-AR"/>
        </w:rPr>
        <w:t xml:space="preserve">350 MW. Todas las centrales generadoras que </w:t>
      </w:r>
      <w:r w:rsidR="00E70E82" w:rsidRPr="00CA0A60">
        <w:rPr>
          <w:rFonts w:ascii="Garamond" w:hAnsi="Garamond" w:cs="Times New Roman"/>
          <w:sz w:val="20"/>
          <w:szCs w:val="20"/>
          <w:lang w:val="es-AR"/>
        </w:rPr>
        <w:t>opera el G</w:t>
      </w:r>
      <w:r w:rsidRPr="00CA0A60">
        <w:rPr>
          <w:rFonts w:ascii="Garamond" w:hAnsi="Garamond" w:cs="Times New Roman"/>
          <w:sz w:val="20"/>
          <w:szCs w:val="20"/>
          <w:lang w:val="es-AR"/>
        </w:rPr>
        <w:t>rupo Albanesi</w:t>
      </w:r>
      <w:r w:rsidR="00EE6C95" w:rsidRPr="00CA0A60">
        <w:rPr>
          <w:rFonts w:ascii="Garamond" w:hAnsi="Garamond" w:cs="Times New Roman"/>
          <w:sz w:val="20"/>
          <w:szCs w:val="20"/>
          <w:lang w:val="es-AR"/>
        </w:rPr>
        <w:t xml:space="preserve"> son de combustible dual (usan tanto gas natural como gasoil o, en el caso de GROSA, gas natural o fueloil) y están en pleno funcionamiento.</w:t>
      </w:r>
    </w:p>
    <w:p w14:paraId="6FFBD3EC" w14:textId="77777777" w:rsidR="00EE6C95" w:rsidRPr="00CA0A60" w:rsidRDefault="00EE6C95" w:rsidP="002C15E0">
      <w:pPr>
        <w:spacing w:after="0" w:line="240" w:lineRule="auto"/>
        <w:jc w:val="both"/>
        <w:rPr>
          <w:rFonts w:ascii="Garamond" w:hAnsi="Garamond" w:cs="Times New Roman"/>
          <w:sz w:val="20"/>
          <w:szCs w:val="20"/>
          <w:lang w:val="es-AR"/>
        </w:rPr>
      </w:pPr>
    </w:p>
    <w:p w14:paraId="209086C6" w14:textId="77777777" w:rsidR="00EE6C95" w:rsidRPr="00CA0A60" w:rsidRDefault="00EE6C95" w:rsidP="002C15E0">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Actualmente, </w:t>
      </w:r>
      <w:r w:rsidR="00E70E82" w:rsidRPr="00CA0A60">
        <w:rPr>
          <w:rFonts w:ascii="Garamond" w:hAnsi="Garamond" w:cs="Times New Roman"/>
          <w:sz w:val="20"/>
          <w:szCs w:val="20"/>
          <w:lang w:val="es-AR"/>
        </w:rPr>
        <w:t>Albanesi</w:t>
      </w:r>
      <w:r w:rsidRPr="00CA0A60">
        <w:rPr>
          <w:rFonts w:ascii="Garamond" w:hAnsi="Garamond" w:cs="Times New Roman"/>
          <w:sz w:val="20"/>
          <w:szCs w:val="20"/>
          <w:lang w:val="es-AR"/>
        </w:rPr>
        <w:t xml:space="preserve"> genera el EBITDA Ajustado principalmente a partir de: (i) la venta de capacidad de generación y energía eléctrica a CAMMESA en el marco de la Resolución SE 220/2007, de conformidad con CCEE a largo plazo denominados en Dólares que contemplan un esquema “</w:t>
      </w:r>
      <w:r w:rsidRPr="00CA0A60">
        <w:rPr>
          <w:rFonts w:ascii="Garamond" w:hAnsi="Garamond" w:cs="Times New Roman"/>
          <w:i/>
          <w:sz w:val="20"/>
          <w:szCs w:val="20"/>
          <w:lang w:val="es-AR"/>
        </w:rPr>
        <w:t>take or pay</w:t>
      </w:r>
      <w:r w:rsidRPr="00CA0A60">
        <w:rPr>
          <w:rFonts w:ascii="Garamond" w:hAnsi="Garamond" w:cs="Times New Roman"/>
          <w:sz w:val="20"/>
          <w:szCs w:val="20"/>
          <w:lang w:val="es-AR"/>
        </w:rPr>
        <w:t xml:space="preserve">”; (ii) la venta de energía eléctrica a grandes usuarios privados de conformidad con CCEE de uno o dos años de plazo, denominados en Dólares en virtud del marco regulatorio de Energía Plus; (iii) la venta de capacidad de generación y energía a CAMMESA en virtud del marco regulatorio de Energía Base para capacidad de generación instalada con anterioridad al 17 de marzo de 2006, de conformidad con la </w:t>
      </w:r>
      <w:r w:rsidR="00313867" w:rsidRPr="00CA0A60">
        <w:rPr>
          <w:rFonts w:ascii="Garamond" w:hAnsi="Garamond" w:cs="Times New Roman"/>
          <w:sz w:val="20"/>
          <w:szCs w:val="20"/>
          <w:lang w:val="es-AR"/>
        </w:rPr>
        <w:t xml:space="preserve">Resolución SE 01/2019 que modifica el esquema de remuneraciones que establecía la </w:t>
      </w:r>
      <w:r w:rsidRPr="00CA0A60">
        <w:rPr>
          <w:rFonts w:ascii="Garamond" w:hAnsi="Garamond" w:cs="Times New Roman"/>
          <w:sz w:val="20"/>
          <w:szCs w:val="20"/>
          <w:lang w:val="es-AR"/>
        </w:rPr>
        <w:t>Resolución SEE 19/2017, denominados en Dólares (sin celebrar CCEE) a las tarifas establecidas por la Secretaría de Energía; y (iv) la venta de capacidad de generación y energía a CAMMESA en el marco regulatorio de la Resolución SEE 21/2016, adjudicados en el marco de una licitación pública, de conformidad con CCEE a largo plazo denominados en Dólares que contemplan un esquema “</w:t>
      </w:r>
      <w:r w:rsidRPr="00CA0A60">
        <w:rPr>
          <w:rFonts w:ascii="Garamond" w:hAnsi="Garamond" w:cs="Times New Roman"/>
          <w:i/>
          <w:sz w:val="20"/>
          <w:szCs w:val="20"/>
          <w:lang w:val="es-AR"/>
        </w:rPr>
        <w:t>take or pay</w:t>
      </w:r>
      <w:r w:rsidRPr="00CA0A60">
        <w:rPr>
          <w:rFonts w:ascii="Garamond" w:hAnsi="Garamond" w:cs="Times New Roman"/>
          <w:sz w:val="20"/>
          <w:szCs w:val="20"/>
          <w:lang w:val="es-AR"/>
        </w:rPr>
        <w:t>”.</w:t>
      </w:r>
    </w:p>
    <w:p w14:paraId="30DCCCAD" w14:textId="77777777" w:rsidR="00EE6C95" w:rsidRPr="00CA0A60" w:rsidRDefault="00EE6C95" w:rsidP="002C15E0">
      <w:pPr>
        <w:spacing w:after="0" w:line="240" w:lineRule="auto"/>
        <w:jc w:val="both"/>
        <w:rPr>
          <w:rFonts w:ascii="Garamond" w:hAnsi="Garamond" w:cs="Times New Roman"/>
          <w:sz w:val="20"/>
          <w:szCs w:val="20"/>
          <w:lang w:val="es-AR"/>
        </w:rPr>
      </w:pPr>
    </w:p>
    <w:p w14:paraId="4B509264" w14:textId="775A1BA9" w:rsidR="00EE6C95" w:rsidRPr="00713D6E" w:rsidRDefault="00EE6C95" w:rsidP="002C15E0">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A partir de 2020 se estima se agregará el EBITDA proveniente de los proyectos recientemente adjudicados y actualmente en construcción bajo Resolución SEE 287/2017</w:t>
      </w:r>
      <w:r w:rsidR="00D654A1" w:rsidRPr="00CA0A60">
        <w:rPr>
          <w:rFonts w:ascii="Garamond" w:hAnsi="Garamond" w:cs="Times New Roman"/>
          <w:sz w:val="20"/>
          <w:szCs w:val="20"/>
          <w:lang w:val="es-AR"/>
        </w:rPr>
        <w:t xml:space="preserve"> para </w:t>
      </w:r>
      <w:r w:rsidR="00421038" w:rsidRPr="00CA0A60">
        <w:rPr>
          <w:rFonts w:ascii="Garamond" w:hAnsi="Garamond" w:cs="Times New Roman"/>
          <w:sz w:val="20"/>
          <w:szCs w:val="20"/>
          <w:lang w:val="es-AR"/>
        </w:rPr>
        <w:t>Central Térmica Ezeiza (“</w:t>
      </w:r>
      <w:r w:rsidR="00D654A1" w:rsidRPr="00CA3A3D">
        <w:rPr>
          <w:rFonts w:ascii="Garamond" w:hAnsi="Garamond" w:cs="Times New Roman"/>
          <w:sz w:val="20"/>
          <w:szCs w:val="20"/>
          <w:u w:val="single"/>
          <w:lang w:val="es-AR"/>
        </w:rPr>
        <w:t>CTE</w:t>
      </w:r>
      <w:r w:rsidR="00421038" w:rsidRPr="00CA0A60">
        <w:rPr>
          <w:rFonts w:ascii="Garamond" w:hAnsi="Garamond" w:cs="Times New Roman"/>
          <w:sz w:val="20"/>
          <w:szCs w:val="20"/>
          <w:lang w:val="es-AR"/>
        </w:rPr>
        <w:t>”)</w:t>
      </w:r>
      <w:r w:rsidR="00D654A1" w:rsidRPr="00CA0A60">
        <w:rPr>
          <w:rFonts w:ascii="Garamond" w:hAnsi="Garamond" w:cs="Times New Roman"/>
          <w:sz w:val="20"/>
          <w:szCs w:val="20"/>
          <w:lang w:val="es-AR"/>
        </w:rPr>
        <w:t xml:space="preserve"> y </w:t>
      </w:r>
      <w:r w:rsidR="00421038" w:rsidRPr="00713D6E">
        <w:rPr>
          <w:rFonts w:ascii="Garamond" w:hAnsi="Garamond" w:cs="Times New Roman"/>
          <w:sz w:val="20"/>
          <w:szCs w:val="20"/>
          <w:lang w:val="es-AR"/>
        </w:rPr>
        <w:t>Central T</w:t>
      </w:r>
      <w:r w:rsidR="00421038" w:rsidRPr="00CA0A60">
        <w:rPr>
          <w:rFonts w:ascii="Garamond" w:hAnsi="Garamond" w:cs="Times New Roman"/>
          <w:sz w:val="20"/>
          <w:szCs w:val="20"/>
          <w:lang w:val="es-AR"/>
        </w:rPr>
        <w:t>érmica Modesto Maranzana (“</w:t>
      </w:r>
      <w:r w:rsidR="00D654A1" w:rsidRPr="00CA3A3D">
        <w:rPr>
          <w:rFonts w:ascii="Garamond" w:hAnsi="Garamond" w:cs="Times New Roman"/>
          <w:sz w:val="20"/>
          <w:szCs w:val="20"/>
          <w:u w:val="single"/>
          <w:lang w:val="es-AR"/>
        </w:rPr>
        <w:t>CTMM</w:t>
      </w:r>
      <w:r w:rsidR="00421038" w:rsidRPr="00CA0A60">
        <w:rPr>
          <w:rFonts w:ascii="Garamond" w:hAnsi="Garamond" w:cs="Times New Roman"/>
          <w:sz w:val="20"/>
          <w:szCs w:val="20"/>
          <w:lang w:val="es-AR"/>
        </w:rPr>
        <w:t>”)</w:t>
      </w:r>
      <w:r w:rsidRPr="00CA0A60">
        <w:rPr>
          <w:rFonts w:ascii="Garamond" w:hAnsi="Garamond" w:cs="Times New Roman"/>
          <w:sz w:val="20"/>
          <w:szCs w:val="20"/>
          <w:lang w:val="es-AR"/>
        </w:rPr>
        <w:t>, los cuales tienen similares características a los correspond</w:t>
      </w:r>
      <w:r w:rsidRPr="00713D6E">
        <w:rPr>
          <w:rFonts w:ascii="Garamond" w:hAnsi="Garamond" w:cs="Times New Roman"/>
          <w:sz w:val="20"/>
          <w:szCs w:val="20"/>
          <w:lang w:val="es-AR"/>
        </w:rPr>
        <w:t>ientes bajo las resoluciones SE 220/2007 y SEE 21/2016 con un plazo contractual de 15 años.</w:t>
      </w:r>
    </w:p>
    <w:p w14:paraId="36AF6883" w14:textId="77777777" w:rsidR="00EE6C95" w:rsidRPr="00CA0A60" w:rsidRDefault="00EE6C95" w:rsidP="002C15E0">
      <w:pPr>
        <w:spacing w:after="0" w:line="240" w:lineRule="auto"/>
        <w:jc w:val="both"/>
        <w:rPr>
          <w:rFonts w:ascii="Garamond" w:hAnsi="Garamond" w:cs="Times New Roman"/>
          <w:sz w:val="20"/>
          <w:szCs w:val="20"/>
          <w:lang w:val="es-AR"/>
        </w:rPr>
      </w:pPr>
    </w:p>
    <w:p w14:paraId="0238EBE8" w14:textId="77777777" w:rsidR="00EE6C95" w:rsidRPr="00CA0A60" w:rsidRDefault="00EE6C95" w:rsidP="002C15E0">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Los marcos regulatorios de las Resoluciones SE 220/2007, SEE 21/2016, SEE 287/2017 y Energía Plus corresponden a la capacidad de generación instalada a partir de septiembre de 2006 y generan retornos más altos en comparación con el marco regulatorio de Energía Base; además, el marco regulatorio de las resoluciones SE 220/2007, SEE 21/2016 y SEE 287/2017 también ofrecen retornos más estables y prioridad de pago frente a la Energía Base. Para obtener una descripción de los marcos regulatorios y de </w:t>
      </w:r>
      <w:r w:rsidR="00D654A1" w:rsidRPr="00CA0A60">
        <w:rPr>
          <w:rFonts w:ascii="Garamond" w:hAnsi="Garamond" w:cs="Times New Roman"/>
          <w:sz w:val="20"/>
          <w:szCs w:val="20"/>
          <w:lang w:val="es-AR"/>
        </w:rPr>
        <w:t xml:space="preserve">los </w:t>
      </w:r>
      <w:r w:rsidRPr="00CA0A60">
        <w:rPr>
          <w:rFonts w:ascii="Garamond" w:hAnsi="Garamond" w:cs="Times New Roman"/>
          <w:sz w:val="20"/>
          <w:szCs w:val="20"/>
          <w:lang w:val="es-AR"/>
        </w:rPr>
        <w:t>CCEE</w:t>
      </w:r>
      <w:r w:rsidR="00D654A1" w:rsidRPr="00CA0A60">
        <w:rPr>
          <w:rFonts w:ascii="Garamond" w:hAnsi="Garamond" w:cs="Times New Roman"/>
          <w:sz w:val="20"/>
          <w:szCs w:val="20"/>
          <w:lang w:val="es-AR"/>
        </w:rPr>
        <w:t xml:space="preserve"> del Grupo Albanesi</w:t>
      </w:r>
      <w:r w:rsidRPr="00CA0A60">
        <w:rPr>
          <w:rFonts w:ascii="Garamond" w:hAnsi="Garamond" w:cs="Times New Roman"/>
          <w:sz w:val="20"/>
          <w:szCs w:val="20"/>
          <w:lang w:val="es-AR"/>
        </w:rPr>
        <w:t xml:space="preserve">, </w:t>
      </w:r>
      <w:r w:rsidRPr="00CA0A60">
        <w:rPr>
          <w:rFonts w:ascii="Garamond" w:hAnsi="Garamond"/>
          <w:sz w:val="20"/>
          <w:szCs w:val="20"/>
          <w:lang w:val="es-AR"/>
        </w:rPr>
        <w:t>v</w:t>
      </w:r>
      <w:r w:rsidR="00D654A1" w:rsidRPr="00CA0A60">
        <w:rPr>
          <w:rFonts w:ascii="Garamond" w:hAnsi="Garamond"/>
          <w:sz w:val="20"/>
          <w:szCs w:val="20"/>
          <w:lang w:val="es-AR"/>
        </w:rPr>
        <w:t xml:space="preserve">éase </w:t>
      </w:r>
      <w:r w:rsidR="00842171" w:rsidRPr="00CA0A60">
        <w:rPr>
          <w:rFonts w:ascii="Garamond" w:hAnsi="Garamond"/>
          <w:sz w:val="20"/>
          <w:szCs w:val="20"/>
          <w:lang w:val="es-AR"/>
        </w:rPr>
        <w:t xml:space="preserve">más abajo </w:t>
      </w:r>
      <w:r w:rsidR="00D654A1" w:rsidRPr="00CA0A60">
        <w:rPr>
          <w:rFonts w:ascii="Garamond" w:hAnsi="Garamond"/>
          <w:sz w:val="20"/>
          <w:szCs w:val="20"/>
          <w:lang w:val="es-AR"/>
        </w:rPr>
        <w:t>la sección</w:t>
      </w:r>
      <w:r w:rsidRPr="00CA0A60">
        <w:rPr>
          <w:rFonts w:ascii="Garamond" w:hAnsi="Garamond"/>
          <w:sz w:val="20"/>
          <w:szCs w:val="20"/>
          <w:lang w:val="es-AR"/>
        </w:rPr>
        <w:t xml:space="preserve"> </w:t>
      </w:r>
      <w:r w:rsidRPr="00CA0A60">
        <w:rPr>
          <w:rFonts w:ascii="Garamond" w:hAnsi="Garamond"/>
          <w:color w:val="000000"/>
          <w:sz w:val="20"/>
          <w:szCs w:val="20"/>
          <w:lang w:val="es-AR"/>
        </w:rPr>
        <w:t>“</w:t>
      </w:r>
      <w:r w:rsidR="008360BD" w:rsidRPr="00CA0A60">
        <w:rPr>
          <w:rFonts w:ascii="Garamond" w:hAnsi="Garamond"/>
          <w:i/>
          <w:color w:val="000000"/>
          <w:sz w:val="20"/>
          <w:szCs w:val="20"/>
          <w:lang w:val="es-AR"/>
        </w:rPr>
        <w:t xml:space="preserve">Descripción del Garante - </w:t>
      </w:r>
      <w:r w:rsidR="00D654A1" w:rsidRPr="00CA0A60">
        <w:rPr>
          <w:rFonts w:ascii="Garamond" w:hAnsi="Garamond"/>
          <w:i/>
          <w:color w:val="000000"/>
          <w:sz w:val="20"/>
          <w:szCs w:val="20"/>
          <w:lang w:val="es-AR"/>
        </w:rPr>
        <w:t>Los</w:t>
      </w:r>
      <w:r w:rsidRPr="00CA0A60">
        <w:rPr>
          <w:rFonts w:ascii="Garamond" w:hAnsi="Garamond"/>
          <w:i/>
          <w:color w:val="000000"/>
          <w:sz w:val="20"/>
          <w:szCs w:val="20"/>
          <w:lang w:val="es-AR"/>
        </w:rPr>
        <w:t xml:space="preserve"> </w:t>
      </w:r>
      <w:r w:rsidR="00D654A1" w:rsidRPr="00CA0A60">
        <w:rPr>
          <w:rFonts w:ascii="Garamond" w:hAnsi="Garamond"/>
          <w:i/>
          <w:color w:val="000000"/>
          <w:sz w:val="20"/>
          <w:szCs w:val="20"/>
          <w:lang w:val="es-AR"/>
        </w:rPr>
        <w:t>C</w:t>
      </w:r>
      <w:r w:rsidRPr="00CA0A60">
        <w:rPr>
          <w:rFonts w:ascii="Garamond" w:hAnsi="Garamond"/>
          <w:i/>
          <w:color w:val="000000"/>
          <w:sz w:val="20"/>
          <w:szCs w:val="20"/>
          <w:lang w:val="es-AR"/>
        </w:rPr>
        <w:t>lientes</w:t>
      </w:r>
      <w:r w:rsidR="00D654A1" w:rsidRPr="00CA0A60">
        <w:rPr>
          <w:rFonts w:ascii="Garamond" w:hAnsi="Garamond"/>
          <w:i/>
          <w:color w:val="000000"/>
          <w:sz w:val="20"/>
          <w:szCs w:val="20"/>
          <w:lang w:val="es-AR"/>
        </w:rPr>
        <w:t xml:space="preserve"> de</w:t>
      </w:r>
      <w:r w:rsidR="00842171" w:rsidRPr="00CA0A60">
        <w:rPr>
          <w:rFonts w:ascii="Garamond" w:hAnsi="Garamond"/>
          <w:i/>
          <w:color w:val="000000"/>
          <w:sz w:val="20"/>
          <w:szCs w:val="20"/>
          <w:lang w:val="es-AR"/>
        </w:rPr>
        <w:t>l Grupo Albanesi</w:t>
      </w:r>
      <w:r w:rsidRPr="00CA0A60">
        <w:rPr>
          <w:rFonts w:ascii="Garamond" w:hAnsi="Garamond"/>
          <w:color w:val="000000"/>
          <w:sz w:val="20"/>
          <w:szCs w:val="20"/>
          <w:lang w:val="es-AR"/>
        </w:rPr>
        <w:t xml:space="preserve">” </w:t>
      </w:r>
      <w:r w:rsidR="00842171" w:rsidRPr="00CA0A60">
        <w:rPr>
          <w:rFonts w:ascii="Garamond" w:hAnsi="Garamond"/>
          <w:color w:val="000000"/>
          <w:sz w:val="20"/>
          <w:szCs w:val="20"/>
          <w:lang w:val="es-AR"/>
        </w:rPr>
        <w:t xml:space="preserve">en el presente Suplemento </w:t>
      </w:r>
      <w:r w:rsidR="003B5F2A" w:rsidRPr="00CA0A60">
        <w:rPr>
          <w:rFonts w:ascii="Garamond" w:hAnsi="Garamond"/>
          <w:color w:val="000000"/>
          <w:sz w:val="20"/>
          <w:szCs w:val="20"/>
          <w:lang w:val="es-AR"/>
        </w:rPr>
        <w:t>e</w:t>
      </w:r>
      <w:r w:rsidRPr="00CA0A60">
        <w:rPr>
          <w:rFonts w:ascii="Garamond" w:hAnsi="Garamond"/>
          <w:color w:val="000000"/>
          <w:sz w:val="20"/>
          <w:szCs w:val="20"/>
          <w:lang w:val="es-AR"/>
        </w:rPr>
        <w:t xml:space="preserve"> “</w:t>
      </w:r>
      <w:r w:rsidR="00D654A1" w:rsidRPr="00CA0A60">
        <w:rPr>
          <w:rFonts w:ascii="Garamond" w:hAnsi="Garamond"/>
          <w:i/>
          <w:color w:val="000000"/>
          <w:sz w:val="20"/>
          <w:szCs w:val="20"/>
          <w:lang w:val="es-AR"/>
        </w:rPr>
        <w:t>Información sobre las Co-Emisoras - Descripción del Sector en que se Desarrolla la Actividad de las Co-Emisoras - La Industria Eléctrica en Argentina y su Regulación</w:t>
      </w:r>
      <w:r w:rsidRPr="00CA0A60">
        <w:rPr>
          <w:rFonts w:ascii="Garamond" w:eastAsia="Times New Roman" w:hAnsi="Garamond" w:cs="Times New Roman"/>
          <w:color w:val="000000"/>
          <w:sz w:val="20"/>
          <w:szCs w:val="20"/>
          <w:lang w:val="es-AR"/>
        </w:rPr>
        <w:t>”</w:t>
      </w:r>
      <w:r w:rsidR="00D654A1" w:rsidRPr="00CA0A60">
        <w:rPr>
          <w:rFonts w:ascii="Garamond" w:eastAsia="Times New Roman" w:hAnsi="Garamond" w:cs="Times New Roman"/>
          <w:color w:val="000000"/>
          <w:sz w:val="20"/>
          <w:szCs w:val="20"/>
          <w:lang w:val="es-AR"/>
        </w:rPr>
        <w:t xml:space="preserve"> del Prospecto</w:t>
      </w:r>
      <w:r w:rsidRPr="00CA0A60">
        <w:rPr>
          <w:rFonts w:ascii="Garamond" w:eastAsia="Times New Roman" w:hAnsi="Garamond" w:cs="Times New Roman"/>
          <w:color w:val="000000"/>
          <w:sz w:val="20"/>
          <w:szCs w:val="20"/>
          <w:lang w:val="es-AR"/>
        </w:rPr>
        <w:t xml:space="preserve">. </w:t>
      </w:r>
      <w:r w:rsidRPr="00CA0A60">
        <w:rPr>
          <w:rFonts w:ascii="Garamond" w:hAnsi="Garamond" w:cs="Times New Roman"/>
          <w:sz w:val="20"/>
          <w:szCs w:val="20"/>
          <w:lang w:val="es-AR"/>
        </w:rPr>
        <w:t>Estos</w:t>
      </w:r>
      <w:r w:rsidRPr="00CA0A60">
        <w:rPr>
          <w:rFonts w:ascii="Garamond" w:hAnsi="Garamond"/>
          <w:sz w:val="20"/>
          <w:szCs w:val="20"/>
          <w:lang w:val="es-AR"/>
        </w:rPr>
        <w:t xml:space="preserve"> marcos regulatorios pueden </w:t>
      </w:r>
      <w:r w:rsidRPr="00CA0A60">
        <w:rPr>
          <w:rFonts w:ascii="Garamond" w:hAnsi="Garamond" w:cs="Times New Roman"/>
          <w:sz w:val="20"/>
          <w:szCs w:val="20"/>
          <w:lang w:val="es-AR"/>
        </w:rPr>
        <w:t>sufrir cambios</w:t>
      </w:r>
      <w:r w:rsidRPr="00CA0A60">
        <w:rPr>
          <w:rFonts w:ascii="Garamond" w:hAnsi="Garamond"/>
          <w:sz w:val="20"/>
          <w:szCs w:val="20"/>
          <w:lang w:val="es-AR"/>
        </w:rPr>
        <w:t xml:space="preserve"> en el futuro</w:t>
      </w:r>
      <w:r w:rsidRPr="00CA0A60">
        <w:rPr>
          <w:rFonts w:ascii="Garamond" w:eastAsia="Arial" w:hAnsi="Garamond" w:cs="Times New Roman"/>
          <w:sz w:val="20"/>
          <w:szCs w:val="20"/>
          <w:lang w:val="es-AR"/>
        </w:rPr>
        <w:t xml:space="preserve">; </w:t>
      </w:r>
      <w:r w:rsidR="00D654A1" w:rsidRPr="00CA0A60">
        <w:rPr>
          <w:rFonts w:ascii="Garamond" w:eastAsia="Arial" w:hAnsi="Garamond" w:cs="Times New Roman"/>
          <w:sz w:val="20"/>
          <w:szCs w:val="20"/>
          <w:lang w:val="es-AR"/>
        </w:rPr>
        <w:t xml:space="preserve">por favor, </w:t>
      </w:r>
      <w:r w:rsidRPr="00CA0A60">
        <w:rPr>
          <w:rFonts w:ascii="Garamond" w:hAnsi="Garamond" w:cs="Times New Roman"/>
          <w:sz w:val="20"/>
          <w:szCs w:val="20"/>
          <w:lang w:val="es-AR"/>
        </w:rPr>
        <w:t>v</w:t>
      </w:r>
      <w:r w:rsidR="00D654A1" w:rsidRPr="00CA0A60">
        <w:rPr>
          <w:rFonts w:ascii="Garamond" w:hAnsi="Garamond" w:cs="Times New Roman"/>
          <w:sz w:val="20"/>
          <w:szCs w:val="20"/>
          <w:lang w:val="es-AR"/>
        </w:rPr>
        <w:t>éase</w:t>
      </w:r>
      <w:r w:rsidRPr="00CA0A60">
        <w:rPr>
          <w:rFonts w:ascii="Garamond" w:hAnsi="Garamond" w:cs="Times New Roman"/>
          <w:sz w:val="20"/>
          <w:szCs w:val="20"/>
          <w:lang w:val="es-AR"/>
        </w:rPr>
        <w:t xml:space="preserve"> la sección</w:t>
      </w:r>
      <w:r w:rsidRPr="00CA0A60">
        <w:rPr>
          <w:rFonts w:ascii="Garamond" w:hAnsi="Garamond"/>
          <w:sz w:val="20"/>
          <w:szCs w:val="20"/>
          <w:lang w:val="es-AR"/>
        </w:rPr>
        <w:t xml:space="preserve"> “</w:t>
      </w:r>
      <w:r w:rsidRPr="00CA0A60">
        <w:rPr>
          <w:rFonts w:ascii="Garamond" w:hAnsi="Garamond"/>
          <w:i/>
          <w:sz w:val="20"/>
          <w:szCs w:val="20"/>
          <w:lang w:val="es-AR"/>
        </w:rPr>
        <w:t xml:space="preserve">Factores de Riesgo—Riesgos relacionados con </w:t>
      </w:r>
      <w:r w:rsidR="00D654A1" w:rsidRPr="00CA0A60">
        <w:rPr>
          <w:rFonts w:ascii="Garamond" w:hAnsi="Garamond"/>
          <w:i/>
          <w:sz w:val="20"/>
          <w:szCs w:val="20"/>
          <w:lang w:val="es-AR"/>
        </w:rPr>
        <w:t>la industria de generación de energía y electricidad en Argentina</w:t>
      </w:r>
      <w:r w:rsidRPr="00CA0A60">
        <w:rPr>
          <w:rFonts w:ascii="Garamond" w:hAnsi="Garamond"/>
          <w:i/>
          <w:sz w:val="20"/>
          <w:szCs w:val="20"/>
          <w:lang w:val="es-AR"/>
        </w:rPr>
        <w:t>—</w:t>
      </w:r>
      <w:r w:rsidR="00D654A1" w:rsidRPr="00CA0A60">
        <w:rPr>
          <w:rFonts w:ascii="Garamond" w:hAnsi="Garamond"/>
          <w:i/>
          <w:sz w:val="20"/>
          <w:szCs w:val="20"/>
          <w:lang w:val="es-AR"/>
        </w:rPr>
        <w:t>Riesgo regulatorio</w:t>
      </w:r>
      <w:r w:rsidR="00D654A1" w:rsidRPr="00CA0A60">
        <w:rPr>
          <w:rFonts w:ascii="Garamond" w:hAnsi="Garamond"/>
          <w:sz w:val="20"/>
          <w:szCs w:val="20"/>
          <w:lang w:val="es-AR"/>
        </w:rPr>
        <w:t>”</w:t>
      </w:r>
      <w:r w:rsidR="003B5F2A" w:rsidRPr="00CA0A60">
        <w:rPr>
          <w:rFonts w:ascii="Garamond" w:hAnsi="Garamond"/>
          <w:sz w:val="20"/>
          <w:szCs w:val="20"/>
          <w:lang w:val="es-AR"/>
        </w:rPr>
        <w:t>.</w:t>
      </w:r>
    </w:p>
    <w:p w14:paraId="54C529ED" w14:textId="77777777" w:rsidR="00EE6C95" w:rsidRPr="00CA0A60" w:rsidRDefault="00EE6C95" w:rsidP="002C15E0">
      <w:pPr>
        <w:spacing w:after="0" w:line="240" w:lineRule="auto"/>
        <w:jc w:val="both"/>
        <w:rPr>
          <w:rFonts w:ascii="Garamond" w:hAnsi="Garamond" w:cs="Times New Roman"/>
          <w:sz w:val="20"/>
          <w:szCs w:val="20"/>
          <w:lang w:val="es-AR"/>
        </w:rPr>
      </w:pPr>
    </w:p>
    <w:p w14:paraId="1EFE7DD8" w14:textId="2635EDD0" w:rsidR="00EE6C95" w:rsidRPr="00CA0A60" w:rsidRDefault="00EE6C95" w:rsidP="002C15E0">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lastRenderedPageBreak/>
        <w:t xml:space="preserve">En el ejercicio finalizado el 31 de diciembre de 2017, el Grupo </w:t>
      </w:r>
      <w:r w:rsidR="00842171" w:rsidRPr="00CA0A60">
        <w:rPr>
          <w:rFonts w:ascii="Garamond" w:hAnsi="Garamond" w:cs="Times New Roman"/>
          <w:sz w:val="20"/>
          <w:szCs w:val="20"/>
          <w:lang w:val="es-AR"/>
        </w:rPr>
        <w:t xml:space="preserve">Albanesi </w:t>
      </w:r>
      <w:r w:rsidRPr="00CA0A60">
        <w:rPr>
          <w:rFonts w:ascii="Garamond" w:hAnsi="Garamond" w:cs="Times New Roman"/>
          <w:sz w:val="20"/>
          <w:szCs w:val="20"/>
          <w:lang w:val="es-AR"/>
        </w:rPr>
        <w:t>generó el 71%, el 10%, el 10% y el 9% del EBITDA Ajustado en virtud de los regímenes de la Resolución SE 220/2007, Resolución SEE 21/2016, Energía Base y Energía Plus, respectivamente. Asimismo, al 3</w:t>
      </w:r>
      <w:r w:rsidR="00301127" w:rsidRPr="00CA0A60">
        <w:rPr>
          <w:rFonts w:ascii="Garamond" w:hAnsi="Garamond" w:cs="Times New Roman"/>
          <w:sz w:val="20"/>
          <w:szCs w:val="20"/>
          <w:lang w:val="es-AR"/>
        </w:rPr>
        <w:t>1</w:t>
      </w:r>
      <w:r w:rsidRPr="00CA0A60">
        <w:rPr>
          <w:rFonts w:ascii="Garamond" w:hAnsi="Garamond" w:cs="Times New Roman"/>
          <w:sz w:val="20"/>
          <w:szCs w:val="20"/>
          <w:lang w:val="es-AR"/>
        </w:rPr>
        <w:t xml:space="preserve"> de </w:t>
      </w:r>
      <w:r w:rsidR="00301127" w:rsidRPr="00CA0A60">
        <w:rPr>
          <w:rFonts w:ascii="Garamond" w:hAnsi="Garamond" w:cs="Times New Roman"/>
          <w:sz w:val="20"/>
          <w:szCs w:val="20"/>
          <w:lang w:val="es-AR"/>
        </w:rPr>
        <w:t>diciembre</w:t>
      </w:r>
      <w:r w:rsidRPr="00CA0A60">
        <w:rPr>
          <w:rFonts w:ascii="Garamond" w:hAnsi="Garamond" w:cs="Times New Roman"/>
          <w:sz w:val="20"/>
          <w:szCs w:val="20"/>
          <w:lang w:val="es-AR"/>
        </w:rPr>
        <w:t xml:space="preserve"> de 2018, generó el 5</w:t>
      </w:r>
      <w:r w:rsidR="005014EB" w:rsidRPr="00CA0A60">
        <w:rPr>
          <w:rFonts w:ascii="Garamond" w:hAnsi="Garamond" w:cs="Times New Roman"/>
          <w:sz w:val="20"/>
          <w:szCs w:val="20"/>
          <w:lang w:val="es-AR"/>
        </w:rPr>
        <w:t>1</w:t>
      </w:r>
      <w:r w:rsidRPr="00CA0A60">
        <w:rPr>
          <w:rFonts w:ascii="Garamond" w:hAnsi="Garamond" w:cs="Times New Roman"/>
          <w:sz w:val="20"/>
          <w:szCs w:val="20"/>
          <w:lang w:val="es-AR"/>
        </w:rPr>
        <w:t>%, el 3</w:t>
      </w:r>
      <w:r w:rsidR="005014EB" w:rsidRPr="00CA0A60">
        <w:rPr>
          <w:rFonts w:ascii="Garamond" w:hAnsi="Garamond" w:cs="Times New Roman"/>
          <w:sz w:val="20"/>
          <w:szCs w:val="20"/>
          <w:lang w:val="es-AR"/>
        </w:rPr>
        <w:t>8</w:t>
      </w:r>
      <w:r w:rsidRPr="00CA0A60">
        <w:rPr>
          <w:rFonts w:ascii="Garamond" w:hAnsi="Garamond" w:cs="Times New Roman"/>
          <w:sz w:val="20"/>
          <w:szCs w:val="20"/>
          <w:lang w:val="es-AR"/>
        </w:rPr>
        <w:t xml:space="preserve">%, el </w:t>
      </w:r>
      <w:r w:rsidR="005014EB" w:rsidRPr="00CA0A60">
        <w:rPr>
          <w:rFonts w:ascii="Garamond" w:hAnsi="Garamond" w:cs="Times New Roman"/>
          <w:sz w:val="20"/>
          <w:szCs w:val="20"/>
          <w:lang w:val="es-AR"/>
        </w:rPr>
        <w:t>6</w:t>
      </w:r>
      <w:r w:rsidRPr="00CA0A60">
        <w:rPr>
          <w:rFonts w:ascii="Garamond" w:hAnsi="Garamond" w:cs="Times New Roman"/>
          <w:sz w:val="20"/>
          <w:szCs w:val="20"/>
          <w:lang w:val="es-AR"/>
        </w:rPr>
        <w:t xml:space="preserve">% y el </w:t>
      </w:r>
      <w:r w:rsidR="005014EB" w:rsidRPr="00CA0A60">
        <w:rPr>
          <w:rFonts w:ascii="Garamond" w:hAnsi="Garamond" w:cs="Times New Roman"/>
          <w:sz w:val="20"/>
          <w:szCs w:val="20"/>
          <w:lang w:val="es-AR"/>
        </w:rPr>
        <w:t>5</w:t>
      </w:r>
      <w:r w:rsidRPr="00CA0A60">
        <w:rPr>
          <w:rFonts w:ascii="Garamond" w:hAnsi="Garamond" w:cs="Times New Roman"/>
          <w:sz w:val="20"/>
          <w:szCs w:val="20"/>
          <w:lang w:val="es-AR"/>
        </w:rPr>
        <w:t xml:space="preserve">% del EBITDA Ajustado en virtud de los regímenes de la Resolución SE 220/2007, Resolución SEE 21/2016, Energía Base y Energía Plus respectivamente. En este último caso se incluyen las expansiones que comenzaron a operar durante el 2018 en dos centrales del Grupo </w:t>
      </w:r>
      <w:r w:rsidR="00842171" w:rsidRPr="00CA0A60">
        <w:rPr>
          <w:rFonts w:ascii="Garamond" w:hAnsi="Garamond" w:cs="Times New Roman"/>
          <w:sz w:val="20"/>
          <w:szCs w:val="20"/>
          <w:lang w:val="es-AR"/>
        </w:rPr>
        <w:t xml:space="preserve">Albanesi </w:t>
      </w:r>
      <w:r w:rsidRPr="00CA0A60">
        <w:rPr>
          <w:rFonts w:ascii="Garamond" w:hAnsi="Garamond" w:cs="Times New Roman"/>
          <w:sz w:val="20"/>
          <w:szCs w:val="20"/>
          <w:lang w:val="es-AR"/>
        </w:rPr>
        <w:t xml:space="preserve">por un total de 100 MW, que incluye: </w:t>
      </w:r>
      <w:r w:rsidRPr="00CA0A60">
        <w:rPr>
          <w:rFonts w:ascii="Garamond" w:hAnsi="Garamond" w:cs="Times New Roman"/>
          <w:i/>
          <w:sz w:val="20"/>
          <w:szCs w:val="20"/>
          <w:lang w:val="es-AR"/>
        </w:rPr>
        <w:t>(i)</w:t>
      </w:r>
      <w:r w:rsidRPr="00CA0A60">
        <w:rPr>
          <w:rFonts w:ascii="Garamond" w:hAnsi="Garamond" w:cs="Times New Roman"/>
          <w:sz w:val="20"/>
          <w:szCs w:val="20"/>
          <w:lang w:val="es-AR"/>
        </w:rPr>
        <w:t xml:space="preserve"> la segunda etapa de Central Térmica Independencia (50 MW) en febrero de 2018 bajo Resolución SEE 21/2016; y </w:t>
      </w:r>
      <w:r w:rsidRPr="00CA0A60">
        <w:rPr>
          <w:rFonts w:ascii="Garamond" w:hAnsi="Garamond" w:cs="Times New Roman"/>
          <w:i/>
          <w:sz w:val="20"/>
          <w:szCs w:val="20"/>
          <w:lang w:val="es-AR"/>
        </w:rPr>
        <w:t>(ii)</w:t>
      </w:r>
      <w:r w:rsidRPr="00CA0A60">
        <w:rPr>
          <w:rFonts w:ascii="Garamond" w:hAnsi="Garamond" w:cs="Times New Roman"/>
          <w:sz w:val="20"/>
          <w:szCs w:val="20"/>
          <w:lang w:val="es-AR"/>
        </w:rPr>
        <w:t xml:space="preserve"> la segunda etapa de Central Térmica Ezeiza (50 MW) en febrero de 2018 bajo Resolución SEE 21/2016.</w:t>
      </w:r>
      <w:r w:rsidRPr="00CA0A60">
        <w:rPr>
          <w:rFonts w:ascii="Garamond" w:hAnsi="Garamond"/>
          <w:i/>
          <w:sz w:val="20"/>
          <w:szCs w:val="20"/>
          <w:lang w:val="es-AR"/>
        </w:rPr>
        <w:t xml:space="preserve"> </w:t>
      </w:r>
      <w:r w:rsidRPr="00CA0A60">
        <w:rPr>
          <w:rFonts w:ascii="Garamond" w:hAnsi="Garamond" w:cs="Times New Roman"/>
          <w:sz w:val="20"/>
          <w:szCs w:val="20"/>
          <w:lang w:val="es-AR"/>
        </w:rPr>
        <w:t xml:space="preserve">Asimismo, en agosto 2018 entró en operación comercial el cierre de ciclo de CTR (60 MW) bajo Resolución SE 220/2007. </w:t>
      </w:r>
      <w:r w:rsidRPr="00CA0A60">
        <w:rPr>
          <w:rFonts w:ascii="Garamond" w:hAnsi="Garamond"/>
          <w:sz w:val="20"/>
          <w:szCs w:val="20"/>
          <w:lang w:val="es-AR"/>
        </w:rPr>
        <w:t xml:space="preserve">Para mayor información </w:t>
      </w:r>
      <w:r w:rsidR="00842171" w:rsidRPr="00CA0A60">
        <w:rPr>
          <w:rFonts w:ascii="Garamond" w:hAnsi="Garamond"/>
          <w:sz w:val="20"/>
          <w:szCs w:val="20"/>
          <w:lang w:val="es-AR"/>
        </w:rPr>
        <w:t xml:space="preserve">sobre las centrales eléctricas del Grupo Albanesi, véase más abajo </w:t>
      </w:r>
      <w:r w:rsidRPr="00CA0A60">
        <w:rPr>
          <w:rFonts w:ascii="Garamond" w:hAnsi="Garamond"/>
          <w:sz w:val="20"/>
          <w:szCs w:val="20"/>
          <w:lang w:val="es-AR"/>
        </w:rPr>
        <w:t>la sección “</w:t>
      </w:r>
      <w:r w:rsidR="008360BD" w:rsidRPr="00CA0A60">
        <w:rPr>
          <w:rFonts w:ascii="Garamond" w:hAnsi="Garamond"/>
          <w:i/>
          <w:sz w:val="20"/>
          <w:szCs w:val="20"/>
          <w:lang w:val="es-AR"/>
        </w:rPr>
        <w:t xml:space="preserve">Descripción del Garante - </w:t>
      </w:r>
      <w:r w:rsidR="00842171" w:rsidRPr="00CA0A60">
        <w:rPr>
          <w:rFonts w:ascii="Garamond" w:hAnsi="Garamond"/>
          <w:i/>
          <w:sz w:val="20"/>
          <w:szCs w:val="20"/>
          <w:lang w:val="es-AR"/>
        </w:rPr>
        <w:t>Las Centrales Eléctricas del Grupo Albanesi</w:t>
      </w:r>
      <w:r w:rsidRPr="00CA0A60">
        <w:rPr>
          <w:rFonts w:ascii="Garamond" w:hAnsi="Garamond"/>
          <w:sz w:val="20"/>
          <w:szCs w:val="20"/>
          <w:lang w:val="es-AR"/>
        </w:rPr>
        <w:t>”.</w:t>
      </w:r>
    </w:p>
    <w:p w14:paraId="1C0157D6" w14:textId="77777777" w:rsidR="00EE6C95" w:rsidRPr="00CA0A60" w:rsidRDefault="00EE6C95" w:rsidP="002C15E0">
      <w:pPr>
        <w:spacing w:after="0" w:line="240" w:lineRule="auto"/>
        <w:jc w:val="both"/>
        <w:rPr>
          <w:rFonts w:ascii="Garamond" w:hAnsi="Garamond" w:cs="Times New Roman"/>
          <w:sz w:val="20"/>
          <w:szCs w:val="20"/>
          <w:lang w:val="es-AR"/>
        </w:rPr>
      </w:pPr>
    </w:p>
    <w:p w14:paraId="52BA4FFD" w14:textId="77777777" w:rsidR="00EE6C95" w:rsidRPr="00CA0A60" w:rsidRDefault="00EE6C95" w:rsidP="002C15E0">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Al </w:t>
      </w:r>
      <w:r w:rsidRPr="00CA0A60">
        <w:rPr>
          <w:rFonts w:ascii="Garamond" w:hAnsi="Garamond"/>
          <w:sz w:val="20"/>
          <w:szCs w:val="20"/>
          <w:lang w:val="es-AR"/>
        </w:rPr>
        <w:t>3</w:t>
      </w:r>
      <w:r w:rsidR="00313867" w:rsidRPr="00CA0A60">
        <w:rPr>
          <w:rFonts w:ascii="Garamond" w:hAnsi="Garamond"/>
          <w:sz w:val="20"/>
          <w:szCs w:val="20"/>
          <w:lang w:val="es-AR"/>
        </w:rPr>
        <w:t>1</w:t>
      </w:r>
      <w:r w:rsidRPr="00CA0A60">
        <w:rPr>
          <w:rFonts w:ascii="Garamond" w:hAnsi="Garamond"/>
          <w:sz w:val="20"/>
          <w:szCs w:val="20"/>
          <w:lang w:val="es-AR"/>
        </w:rPr>
        <w:t xml:space="preserve"> de </w:t>
      </w:r>
      <w:r w:rsidR="005014EB" w:rsidRPr="00CA0A60">
        <w:rPr>
          <w:rFonts w:ascii="Garamond" w:hAnsi="Garamond" w:cs="Times New Roman"/>
          <w:sz w:val="20"/>
          <w:szCs w:val="20"/>
          <w:lang w:val="es-AR"/>
        </w:rPr>
        <w:t>diciembre</w:t>
      </w:r>
      <w:r w:rsidR="005014EB" w:rsidRPr="00CA0A60">
        <w:rPr>
          <w:rFonts w:ascii="Garamond" w:hAnsi="Garamond"/>
          <w:sz w:val="20"/>
          <w:szCs w:val="20"/>
          <w:lang w:val="es-AR"/>
        </w:rPr>
        <w:t xml:space="preserve"> </w:t>
      </w:r>
      <w:r w:rsidRPr="00CA0A60">
        <w:rPr>
          <w:rFonts w:ascii="Garamond" w:hAnsi="Garamond"/>
          <w:sz w:val="20"/>
          <w:szCs w:val="20"/>
          <w:lang w:val="es-AR"/>
        </w:rPr>
        <w:t xml:space="preserve">de </w:t>
      </w:r>
      <w:r w:rsidRPr="00CA0A60">
        <w:rPr>
          <w:rFonts w:ascii="Garamond" w:hAnsi="Garamond" w:cs="Times New Roman"/>
          <w:sz w:val="20"/>
          <w:szCs w:val="20"/>
          <w:lang w:val="es-AR"/>
        </w:rPr>
        <w:t>2018, los CCEE del Grupo</w:t>
      </w:r>
      <w:r w:rsidR="00842171" w:rsidRPr="00CA0A60">
        <w:rPr>
          <w:rFonts w:ascii="Garamond" w:hAnsi="Garamond" w:cs="Times New Roman"/>
          <w:sz w:val="20"/>
          <w:szCs w:val="20"/>
          <w:lang w:val="es-AR"/>
        </w:rPr>
        <w:t xml:space="preserve"> Albanesi</w:t>
      </w:r>
      <w:r w:rsidRPr="00CA0A60">
        <w:rPr>
          <w:rFonts w:ascii="Garamond" w:hAnsi="Garamond" w:cs="Times New Roman"/>
          <w:sz w:val="20"/>
          <w:szCs w:val="20"/>
          <w:lang w:val="es-AR"/>
        </w:rPr>
        <w:t xml:space="preserve"> con CAMMESA, en virtud de las </w:t>
      </w:r>
      <w:r w:rsidR="00842171" w:rsidRPr="00CA0A60">
        <w:rPr>
          <w:rFonts w:ascii="Garamond" w:hAnsi="Garamond" w:cs="Times New Roman"/>
          <w:sz w:val="20"/>
          <w:szCs w:val="20"/>
          <w:lang w:val="es-AR"/>
        </w:rPr>
        <w:t>R</w:t>
      </w:r>
      <w:r w:rsidRPr="00CA0A60">
        <w:rPr>
          <w:rFonts w:ascii="Garamond" w:hAnsi="Garamond" w:cs="Times New Roman"/>
          <w:sz w:val="20"/>
          <w:szCs w:val="20"/>
          <w:lang w:val="es-AR"/>
        </w:rPr>
        <w:t>esoluciones SE 220/2007 y SEE 21/2016 para las plantas generadoras en funcionamiento, tenían en promedio un plazo de aproximadamente 6,</w:t>
      </w:r>
      <w:r w:rsidR="005014EB" w:rsidRPr="00CA0A60">
        <w:rPr>
          <w:rFonts w:ascii="Garamond" w:hAnsi="Garamond" w:cs="Times New Roman"/>
          <w:sz w:val="20"/>
          <w:szCs w:val="20"/>
          <w:lang w:val="es-AR"/>
        </w:rPr>
        <w:t>6</w:t>
      </w:r>
      <w:r w:rsidRPr="00CA0A60">
        <w:rPr>
          <w:rFonts w:ascii="Garamond" w:hAnsi="Garamond" w:cs="Times New Roman"/>
          <w:sz w:val="20"/>
          <w:szCs w:val="20"/>
          <w:lang w:val="es-AR"/>
        </w:rPr>
        <w:t xml:space="preserve"> años, medidos según el promedio ponderado de la disponibilidad de MW comprometida en virtud de cada contrato. Este valor no incluye los CCEE a 15 años recientemente adjudicados en el marco de la Resolución SEE 287/2017 para las ampliaciones por cierre de ciclo en </w:t>
      </w:r>
      <w:r w:rsidR="00842171" w:rsidRPr="00CA0A60">
        <w:rPr>
          <w:rFonts w:ascii="Garamond" w:hAnsi="Garamond" w:cs="Times New Roman"/>
          <w:sz w:val="20"/>
          <w:szCs w:val="20"/>
          <w:lang w:val="es-AR"/>
        </w:rPr>
        <w:t>CTMM</w:t>
      </w:r>
      <w:r w:rsidRPr="00CA0A60">
        <w:rPr>
          <w:rFonts w:ascii="Garamond" w:hAnsi="Garamond" w:cs="Times New Roman"/>
          <w:sz w:val="20"/>
          <w:szCs w:val="20"/>
          <w:lang w:val="es-AR"/>
        </w:rPr>
        <w:t xml:space="preserve"> y en </w:t>
      </w:r>
      <w:r w:rsidR="00842171" w:rsidRPr="00CA0A60">
        <w:rPr>
          <w:rFonts w:ascii="Garamond" w:hAnsi="Garamond" w:cs="Times New Roman"/>
          <w:sz w:val="20"/>
          <w:szCs w:val="20"/>
          <w:lang w:val="es-AR"/>
        </w:rPr>
        <w:t>CTE</w:t>
      </w:r>
      <w:r w:rsidRPr="00CA0A60">
        <w:rPr>
          <w:rFonts w:ascii="Garamond" w:hAnsi="Garamond" w:cs="Times New Roman"/>
          <w:sz w:val="20"/>
          <w:szCs w:val="20"/>
          <w:lang w:val="es-AR"/>
        </w:rPr>
        <w:t xml:space="preserve"> que se espera que estén operativos en 2020. Esto implica que el plazo promedio de </w:t>
      </w:r>
      <w:r w:rsidR="00DF0A28" w:rsidRPr="00CA0A60">
        <w:rPr>
          <w:rFonts w:ascii="Garamond" w:hAnsi="Garamond" w:cs="Times New Roman"/>
          <w:sz w:val="20"/>
          <w:szCs w:val="20"/>
          <w:lang w:val="es-AR"/>
        </w:rPr>
        <w:t xml:space="preserve">los </w:t>
      </w:r>
      <w:r w:rsidRPr="00CA0A60">
        <w:rPr>
          <w:rFonts w:ascii="Garamond" w:hAnsi="Garamond" w:cs="Times New Roman"/>
          <w:sz w:val="20"/>
          <w:szCs w:val="20"/>
          <w:lang w:val="es-AR"/>
        </w:rPr>
        <w:t>CCEE</w:t>
      </w:r>
      <w:r w:rsidR="00DF0A28" w:rsidRPr="00CA0A60">
        <w:rPr>
          <w:rFonts w:ascii="Garamond" w:hAnsi="Garamond" w:cs="Times New Roman"/>
          <w:sz w:val="20"/>
          <w:szCs w:val="20"/>
          <w:lang w:val="es-AR"/>
        </w:rPr>
        <w:t xml:space="preserve"> del Grupo Albanesi</w:t>
      </w:r>
      <w:r w:rsidRPr="00CA0A60">
        <w:rPr>
          <w:rFonts w:ascii="Garamond" w:hAnsi="Garamond" w:cs="Times New Roman"/>
          <w:sz w:val="20"/>
          <w:szCs w:val="20"/>
          <w:lang w:val="es-AR"/>
        </w:rPr>
        <w:t xml:space="preserve"> en operación aumentará una vez que dicha capacidad de generación se torne operativa.</w:t>
      </w:r>
      <w:r w:rsidR="00DF0A28" w:rsidRPr="00CA0A60">
        <w:rPr>
          <w:rFonts w:ascii="Garamond" w:hAnsi="Garamond" w:cs="Times New Roman"/>
          <w:sz w:val="20"/>
          <w:szCs w:val="20"/>
          <w:lang w:val="es-AR"/>
        </w:rPr>
        <w:t xml:space="preserve"> Para mayor información sobre los CCEE del Grupo Albanesi, véase la sección “</w:t>
      </w:r>
      <w:r w:rsidR="00DF0A28" w:rsidRPr="00CA0A60">
        <w:rPr>
          <w:rFonts w:ascii="Garamond" w:hAnsi="Garamond" w:cs="Times New Roman"/>
          <w:i/>
          <w:sz w:val="20"/>
          <w:szCs w:val="20"/>
          <w:lang w:val="es-AR"/>
        </w:rPr>
        <w:t>Los Clientes del Grupo Albanesi</w:t>
      </w:r>
      <w:r w:rsidR="00DF0A28" w:rsidRPr="00CA0A60">
        <w:rPr>
          <w:rFonts w:ascii="Garamond" w:hAnsi="Garamond" w:cs="Times New Roman"/>
          <w:sz w:val="20"/>
          <w:szCs w:val="20"/>
          <w:lang w:val="es-AR"/>
        </w:rPr>
        <w:t>” en el presente Suplemento, mientras que para mayor información sobre los proyectos de expansión del Grupo Albanesi, véase la sección “</w:t>
      </w:r>
      <w:r w:rsidR="00DF0A28" w:rsidRPr="00CA0A60">
        <w:rPr>
          <w:rFonts w:ascii="Garamond" w:hAnsi="Garamond" w:cs="Times New Roman"/>
          <w:i/>
          <w:sz w:val="20"/>
          <w:szCs w:val="20"/>
          <w:lang w:val="es-AR"/>
        </w:rPr>
        <w:t>Información de las Co-Emisoras – Descripción de las Actividades y Negocios de las Co-Emisoras – Expansión de Capacidad</w:t>
      </w:r>
      <w:r w:rsidR="00DF0A28" w:rsidRPr="00CA0A60">
        <w:rPr>
          <w:rFonts w:ascii="Garamond" w:hAnsi="Garamond" w:cs="Times New Roman"/>
          <w:sz w:val="20"/>
          <w:szCs w:val="20"/>
          <w:lang w:val="es-AR"/>
        </w:rPr>
        <w:t>” del Prospecto.</w:t>
      </w:r>
    </w:p>
    <w:p w14:paraId="3691E7B2" w14:textId="77777777" w:rsidR="00EE6C95" w:rsidRPr="00CA0A60" w:rsidRDefault="00EE6C95" w:rsidP="002C15E0">
      <w:pPr>
        <w:spacing w:after="0" w:line="240" w:lineRule="auto"/>
        <w:jc w:val="both"/>
        <w:rPr>
          <w:rFonts w:ascii="Garamond" w:hAnsi="Garamond" w:cs="Times New Roman"/>
          <w:sz w:val="20"/>
          <w:szCs w:val="20"/>
          <w:lang w:val="es-AR"/>
        </w:rPr>
      </w:pPr>
    </w:p>
    <w:p w14:paraId="0EB6347F" w14:textId="77777777" w:rsidR="00EE6C95" w:rsidRPr="00CA0A60" w:rsidRDefault="00EE6C95" w:rsidP="002C15E0">
      <w:pPr>
        <w:spacing w:after="0" w:line="240" w:lineRule="auto"/>
        <w:jc w:val="both"/>
        <w:rPr>
          <w:rFonts w:ascii="Garamond" w:hAnsi="Garamond" w:cs="Times New Roman"/>
          <w:sz w:val="20"/>
          <w:szCs w:val="20"/>
          <w:lang w:val="es-AR"/>
        </w:rPr>
      </w:pPr>
      <w:r w:rsidRPr="00CA0A60">
        <w:rPr>
          <w:rFonts w:ascii="Garamond" w:eastAsia="Times New Roman" w:hAnsi="Garamond" w:cs="Times New Roman"/>
          <w:sz w:val="20"/>
          <w:szCs w:val="20"/>
          <w:lang w:val="es-AR"/>
        </w:rPr>
        <w:t xml:space="preserve">El siguiente cuadro </w:t>
      </w:r>
      <w:r w:rsidRPr="00CA0A60">
        <w:rPr>
          <w:rFonts w:ascii="Garamond" w:hAnsi="Garamond" w:cs="Times New Roman"/>
          <w:sz w:val="20"/>
          <w:szCs w:val="20"/>
          <w:lang w:val="es-AR"/>
        </w:rPr>
        <w:t>presenta una breve descripción de las plantas generadoras que opera el Grupo</w:t>
      </w:r>
      <w:r w:rsidR="00DF0A28" w:rsidRPr="00CA0A60">
        <w:rPr>
          <w:rFonts w:ascii="Garamond" w:hAnsi="Garamond" w:cs="Times New Roman"/>
          <w:sz w:val="20"/>
          <w:szCs w:val="20"/>
          <w:lang w:val="es-AR"/>
        </w:rPr>
        <w:t xml:space="preserve"> Albanesi</w:t>
      </w:r>
      <w:r w:rsidRPr="00CA0A60">
        <w:rPr>
          <w:rFonts w:ascii="Garamond" w:hAnsi="Garamond" w:cs="Times New Roman"/>
          <w:sz w:val="20"/>
          <w:szCs w:val="20"/>
          <w:lang w:val="es-AR"/>
        </w:rPr>
        <w:t xml:space="preserve">, incluyendo aquellas que iniciaron operaciones recientemente: </w:t>
      </w:r>
    </w:p>
    <w:p w14:paraId="7CBEED82" w14:textId="77777777" w:rsidR="00017878" w:rsidRPr="00CA0A60" w:rsidRDefault="00017878" w:rsidP="002C15E0">
      <w:pPr>
        <w:spacing w:after="0" w:line="240" w:lineRule="auto"/>
        <w:jc w:val="both"/>
        <w:rPr>
          <w:rFonts w:ascii="Garamond" w:hAnsi="Garamond" w:cs="Times New Roman"/>
          <w:sz w:val="20"/>
          <w:szCs w:val="20"/>
          <w:lang w:val="es-AR"/>
        </w:rPr>
      </w:pPr>
    </w:p>
    <w:tbl>
      <w:tblPr>
        <w:tblW w:w="4446" w:type="pct"/>
        <w:jc w:val="center"/>
        <w:tblCellMar>
          <w:left w:w="58" w:type="dxa"/>
          <w:right w:w="58" w:type="dxa"/>
        </w:tblCellMar>
        <w:tblLook w:val="00A0" w:firstRow="1" w:lastRow="0" w:firstColumn="1" w:lastColumn="0" w:noHBand="0" w:noVBand="0"/>
      </w:tblPr>
      <w:tblGrid>
        <w:gridCol w:w="1061"/>
        <w:gridCol w:w="2001"/>
        <w:gridCol w:w="1021"/>
        <w:gridCol w:w="1340"/>
        <w:gridCol w:w="2140"/>
      </w:tblGrid>
      <w:tr w:rsidR="00EE6C95" w:rsidRPr="00CA0A60" w14:paraId="2FF14D6F" w14:textId="77777777" w:rsidTr="00B441B1">
        <w:trPr>
          <w:cantSplit/>
          <w:trHeight w:val="689"/>
          <w:tblHeader/>
          <w:jc w:val="center"/>
        </w:trPr>
        <w:tc>
          <w:tcPr>
            <w:tcW w:w="701" w:type="pct"/>
            <w:vAlign w:val="bottom"/>
            <w:hideMark/>
          </w:tcPr>
          <w:p w14:paraId="35058995" w14:textId="77777777" w:rsidR="00EE6C95" w:rsidRPr="00CA0A60" w:rsidRDefault="00EE6C95" w:rsidP="002C15E0">
            <w:pPr>
              <w:keepNext/>
              <w:pBdr>
                <w:bottom w:val="single" w:sz="4" w:space="1" w:color="auto"/>
              </w:pBdr>
              <w:spacing w:after="0" w:line="240" w:lineRule="auto"/>
              <w:jc w:val="center"/>
              <w:rPr>
                <w:rFonts w:ascii="Garamond" w:hAnsi="Garamond" w:cs="Times New Roman"/>
                <w:b/>
                <w:sz w:val="20"/>
                <w:szCs w:val="20"/>
                <w:lang w:val="es-AR"/>
              </w:rPr>
            </w:pPr>
            <w:r w:rsidRPr="00CA0A60">
              <w:rPr>
                <w:rFonts w:ascii="Garamond" w:hAnsi="Garamond" w:cs="Times New Roman"/>
                <w:b/>
                <w:sz w:val="20"/>
                <w:szCs w:val="20"/>
                <w:lang w:val="es-AR"/>
              </w:rPr>
              <w:t>Propietario</w:t>
            </w:r>
          </w:p>
        </w:tc>
        <w:tc>
          <w:tcPr>
            <w:tcW w:w="1323" w:type="pct"/>
            <w:vAlign w:val="bottom"/>
            <w:hideMark/>
          </w:tcPr>
          <w:p w14:paraId="52AC7F0F" w14:textId="77777777" w:rsidR="00EE6C95" w:rsidRPr="00CA0A60" w:rsidRDefault="00EE6C95" w:rsidP="002C15E0">
            <w:pPr>
              <w:keepNext/>
              <w:pBdr>
                <w:bottom w:val="single" w:sz="4" w:space="1" w:color="auto"/>
              </w:pBdr>
              <w:spacing w:after="0" w:line="240" w:lineRule="auto"/>
              <w:jc w:val="center"/>
              <w:rPr>
                <w:rFonts w:ascii="Garamond" w:hAnsi="Garamond" w:cs="Times New Roman"/>
                <w:b/>
                <w:sz w:val="20"/>
                <w:szCs w:val="20"/>
                <w:lang w:val="es-AR"/>
              </w:rPr>
            </w:pPr>
            <w:r w:rsidRPr="00CA0A60">
              <w:rPr>
                <w:rFonts w:ascii="Garamond" w:hAnsi="Garamond" w:cs="Times New Roman"/>
                <w:b/>
                <w:sz w:val="20"/>
                <w:szCs w:val="20"/>
                <w:lang w:val="es-AR"/>
              </w:rPr>
              <w:t>Planta generadora</w:t>
            </w:r>
          </w:p>
        </w:tc>
        <w:tc>
          <w:tcPr>
            <w:tcW w:w="675" w:type="pct"/>
            <w:vAlign w:val="bottom"/>
            <w:hideMark/>
          </w:tcPr>
          <w:p w14:paraId="6B5A0977" w14:textId="77777777" w:rsidR="00EE6C95" w:rsidRPr="00CA0A60" w:rsidRDefault="00EE6C95" w:rsidP="002C15E0">
            <w:pPr>
              <w:keepNext/>
              <w:pBdr>
                <w:bottom w:val="single" w:sz="4" w:space="1" w:color="auto"/>
              </w:pBdr>
              <w:spacing w:after="0" w:line="240" w:lineRule="auto"/>
              <w:jc w:val="center"/>
              <w:rPr>
                <w:rFonts w:ascii="Garamond" w:hAnsi="Garamond" w:cs="Times New Roman"/>
                <w:b/>
                <w:sz w:val="20"/>
                <w:szCs w:val="20"/>
                <w:lang w:val="es-AR"/>
              </w:rPr>
            </w:pPr>
            <w:r w:rsidRPr="00CA0A60">
              <w:rPr>
                <w:rFonts w:ascii="Garamond" w:hAnsi="Garamond" w:cs="Times New Roman"/>
                <w:b/>
                <w:sz w:val="20"/>
                <w:szCs w:val="20"/>
                <w:lang w:val="es-AR"/>
              </w:rPr>
              <w:t>Capacidad instalada (MW)</w:t>
            </w:r>
          </w:p>
        </w:tc>
        <w:tc>
          <w:tcPr>
            <w:tcW w:w="886" w:type="pct"/>
            <w:vAlign w:val="bottom"/>
            <w:hideMark/>
          </w:tcPr>
          <w:p w14:paraId="1FB7FFA3" w14:textId="77777777" w:rsidR="00EE6C95" w:rsidRPr="00CA0A60" w:rsidRDefault="00EE6C95" w:rsidP="005014EB">
            <w:pPr>
              <w:keepNext/>
              <w:pBdr>
                <w:bottom w:val="single" w:sz="4" w:space="1" w:color="auto"/>
              </w:pBdr>
              <w:spacing w:after="0" w:line="240" w:lineRule="auto"/>
              <w:jc w:val="center"/>
              <w:rPr>
                <w:rFonts w:ascii="Garamond" w:hAnsi="Garamond" w:cs="Times New Roman"/>
                <w:b/>
                <w:sz w:val="20"/>
                <w:szCs w:val="20"/>
                <w:lang w:val="es-AR"/>
              </w:rPr>
            </w:pPr>
            <w:r w:rsidRPr="00CA0A60">
              <w:rPr>
                <w:rFonts w:ascii="Garamond" w:hAnsi="Garamond" w:cs="Times New Roman"/>
                <w:b/>
                <w:sz w:val="20"/>
                <w:szCs w:val="20"/>
                <w:lang w:val="es-AR"/>
              </w:rPr>
              <w:t xml:space="preserve">Factor de disponibilidad </w:t>
            </w:r>
            <w:r w:rsidR="005014EB" w:rsidRPr="00CA0A60">
              <w:rPr>
                <w:rFonts w:ascii="Garamond" w:hAnsi="Garamond" w:cs="Times New Roman"/>
                <w:b/>
                <w:sz w:val="20"/>
                <w:szCs w:val="20"/>
                <w:lang w:val="es-AR"/>
              </w:rPr>
              <w:t xml:space="preserve">Diciembre </w:t>
            </w:r>
            <w:r w:rsidRPr="00CA0A60">
              <w:rPr>
                <w:rFonts w:ascii="Garamond" w:hAnsi="Garamond" w:cs="Times New Roman"/>
                <w:b/>
                <w:sz w:val="20"/>
                <w:szCs w:val="20"/>
                <w:lang w:val="es-AR"/>
              </w:rPr>
              <w:t xml:space="preserve">2018 </w:t>
            </w:r>
            <w:r w:rsidRPr="00CA0A60">
              <w:rPr>
                <w:rFonts w:ascii="Garamond" w:hAnsi="Garamond" w:cs="Times New Roman"/>
                <w:b/>
                <w:sz w:val="20"/>
                <w:szCs w:val="20"/>
                <w:vertAlign w:val="superscript"/>
                <w:lang w:val="es-AR"/>
              </w:rPr>
              <w:t>(1)</w:t>
            </w:r>
          </w:p>
        </w:tc>
        <w:tc>
          <w:tcPr>
            <w:tcW w:w="1415" w:type="pct"/>
            <w:vAlign w:val="bottom"/>
            <w:hideMark/>
          </w:tcPr>
          <w:p w14:paraId="6313105D" w14:textId="77777777" w:rsidR="00EE6C95" w:rsidRPr="00CA0A60" w:rsidRDefault="00EE6C95" w:rsidP="002C15E0">
            <w:pPr>
              <w:keepNext/>
              <w:pBdr>
                <w:bottom w:val="single" w:sz="4" w:space="1" w:color="auto"/>
              </w:pBdr>
              <w:spacing w:after="0" w:line="240" w:lineRule="auto"/>
              <w:jc w:val="center"/>
              <w:rPr>
                <w:rFonts w:ascii="Garamond" w:hAnsi="Garamond" w:cs="Times New Roman"/>
                <w:b/>
                <w:sz w:val="20"/>
                <w:szCs w:val="20"/>
                <w:lang w:val="es-AR"/>
              </w:rPr>
            </w:pPr>
            <w:r w:rsidRPr="00CA0A60">
              <w:rPr>
                <w:rFonts w:ascii="Garamond" w:hAnsi="Garamond" w:cs="Times New Roman"/>
                <w:b/>
                <w:sz w:val="20"/>
                <w:szCs w:val="20"/>
                <w:lang w:val="es-AR"/>
              </w:rPr>
              <w:t>Marco regulatorio relativo a la capacidad de generación</w:t>
            </w:r>
          </w:p>
        </w:tc>
      </w:tr>
      <w:tr w:rsidR="00EE6C95" w:rsidRPr="00CA0A60" w14:paraId="529AA424" w14:textId="77777777" w:rsidTr="00B441B1">
        <w:trPr>
          <w:cantSplit/>
          <w:trHeight w:val="508"/>
          <w:jc w:val="center"/>
        </w:trPr>
        <w:tc>
          <w:tcPr>
            <w:tcW w:w="701" w:type="pct"/>
            <w:vAlign w:val="center"/>
            <w:hideMark/>
          </w:tcPr>
          <w:p w14:paraId="210BF424" w14:textId="77777777" w:rsidR="00EE6C95" w:rsidRPr="00713D6E"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GEMSA</w:t>
            </w:r>
            <w:r w:rsidRPr="00CA0A60">
              <w:rPr>
                <w:rFonts w:ascii="Garamond" w:hAnsi="Garamond" w:cs="Times New Roman"/>
                <w:sz w:val="20"/>
                <w:szCs w:val="20"/>
                <w:vertAlign w:val="superscript"/>
                <w:lang w:val="es-AR"/>
              </w:rPr>
              <w:t>(2)</w:t>
            </w:r>
          </w:p>
        </w:tc>
        <w:tc>
          <w:tcPr>
            <w:tcW w:w="1323" w:type="pct"/>
            <w:vAlign w:val="center"/>
            <w:hideMark/>
          </w:tcPr>
          <w:p w14:paraId="74489950" w14:textId="77777777" w:rsidR="00EE6C95" w:rsidRPr="00CA0A60" w:rsidRDefault="00EE6C95" w:rsidP="00017878">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Central Térmica M. Maranzana</w:t>
            </w:r>
          </w:p>
        </w:tc>
        <w:tc>
          <w:tcPr>
            <w:tcW w:w="675" w:type="pct"/>
            <w:vAlign w:val="center"/>
            <w:hideMark/>
          </w:tcPr>
          <w:p w14:paraId="37592866" w14:textId="77777777" w:rsidR="00EE6C95" w:rsidRPr="00CA0A60" w:rsidRDefault="00EE6C95" w:rsidP="00C2017C">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350</w:t>
            </w:r>
          </w:p>
        </w:tc>
        <w:tc>
          <w:tcPr>
            <w:tcW w:w="886" w:type="pct"/>
            <w:vAlign w:val="center"/>
          </w:tcPr>
          <w:p w14:paraId="6E36661F" w14:textId="77777777" w:rsidR="00EE6C95" w:rsidRPr="00CA0A60" w:rsidRDefault="00EE6C95" w:rsidP="005824A4">
            <w:pPr>
              <w:spacing w:after="0" w:line="240" w:lineRule="auto"/>
              <w:jc w:val="center"/>
              <w:rPr>
                <w:rFonts w:ascii="Garamond" w:hAnsi="Garamond" w:cs="Times New Roman"/>
                <w:sz w:val="20"/>
                <w:szCs w:val="20"/>
                <w:highlight w:val="yellow"/>
                <w:lang w:val="es-AR"/>
              </w:rPr>
            </w:pPr>
          </w:p>
          <w:p w14:paraId="4D7C0CF7" w14:textId="77777777" w:rsidR="00EE6C95" w:rsidRPr="00CA0A60" w:rsidRDefault="00EE6C95" w:rsidP="00E935DD">
            <w:pPr>
              <w:tabs>
                <w:tab w:val="decimal" w:pos="201"/>
              </w:tabs>
              <w:spacing w:after="0" w:line="240" w:lineRule="auto"/>
              <w:jc w:val="center"/>
              <w:rPr>
                <w:rFonts w:ascii="Garamond" w:hAnsi="Garamond" w:cs="Times New Roman"/>
                <w:sz w:val="20"/>
                <w:szCs w:val="20"/>
                <w:highlight w:val="yellow"/>
                <w:lang w:val="es-AR"/>
              </w:rPr>
            </w:pPr>
            <w:r w:rsidRPr="00CA0A60">
              <w:rPr>
                <w:rFonts w:ascii="Garamond" w:hAnsi="Garamond" w:cs="Times New Roman"/>
                <w:sz w:val="20"/>
                <w:szCs w:val="20"/>
                <w:lang w:val="es-AR"/>
              </w:rPr>
              <w:t>99,</w:t>
            </w:r>
            <w:r w:rsidR="005014EB" w:rsidRPr="00CA0A60">
              <w:rPr>
                <w:rFonts w:ascii="Garamond" w:hAnsi="Garamond" w:cs="Times New Roman"/>
                <w:sz w:val="20"/>
                <w:szCs w:val="20"/>
                <w:lang w:val="es-AR"/>
              </w:rPr>
              <w:t>0</w:t>
            </w:r>
            <w:r w:rsidRPr="00CA0A60">
              <w:rPr>
                <w:rFonts w:ascii="Garamond" w:hAnsi="Garamond" w:cs="Times New Roman"/>
                <w:sz w:val="20"/>
                <w:szCs w:val="20"/>
                <w:lang w:val="es-AR"/>
              </w:rPr>
              <w:t>%</w:t>
            </w:r>
          </w:p>
        </w:tc>
        <w:tc>
          <w:tcPr>
            <w:tcW w:w="1415" w:type="pct"/>
            <w:vAlign w:val="center"/>
            <w:hideMark/>
          </w:tcPr>
          <w:p w14:paraId="366949A2" w14:textId="77777777" w:rsidR="00EE6C95" w:rsidRPr="00CA0A60"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Resolución SE 220/2007 / Energía Plus / Energía Base</w:t>
            </w:r>
          </w:p>
        </w:tc>
      </w:tr>
      <w:tr w:rsidR="00EE6C95" w:rsidRPr="00CA0A60" w14:paraId="0588BC87" w14:textId="77777777" w:rsidTr="00B441B1">
        <w:trPr>
          <w:cantSplit/>
          <w:trHeight w:val="253"/>
          <w:jc w:val="center"/>
        </w:trPr>
        <w:tc>
          <w:tcPr>
            <w:tcW w:w="701" w:type="pct"/>
            <w:vAlign w:val="center"/>
            <w:hideMark/>
          </w:tcPr>
          <w:p w14:paraId="4EEC9AD3" w14:textId="77777777" w:rsidR="00EE6C95" w:rsidRPr="00713D6E"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GEMSA</w:t>
            </w:r>
            <w:r w:rsidRPr="00CA0A60">
              <w:rPr>
                <w:rFonts w:ascii="Garamond" w:hAnsi="Garamond" w:cs="Times New Roman"/>
                <w:sz w:val="20"/>
                <w:szCs w:val="20"/>
                <w:vertAlign w:val="superscript"/>
                <w:lang w:val="es-AR"/>
              </w:rPr>
              <w:t>(2)</w:t>
            </w:r>
          </w:p>
        </w:tc>
        <w:tc>
          <w:tcPr>
            <w:tcW w:w="1323" w:type="pct"/>
            <w:vAlign w:val="center"/>
            <w:hideMark/>
          </w:tcPr>
          <w:p w14:paraId="02A5D1C1" w14:textId="77777777" w:rsidR="00EE6C95" w:rsidRPr="00CA0A60" w:rsidRDefault="00EE6C95" w:rsidP="00017878">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Central Térmica Independencia</w:t>
            </w:r>
          </w:p>
        </w:tc>
        <w:tc>
          <w:tcPr>
            <w:tcW w:w="675" w:type="pct"/>
            <w:vAlign w:val="center"/>
            <w:hideMark/>
          </w:tcPr>
          <w:p w14:paraId="3103C4DE" w14:textId="77777777" w:rsidR="00EE6C95" w:rsidRPr="00CA0A60" w:rsidRDefault="00EE6C95" w:rsidP="00C2017C">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220</w:t>
            </w:r>
          </w:p>
        </w:tc>
        <w:tc>
          <w:tcPr>
            <w:tcW w:w="886" w:type="pct"/>
            <w:shd w:val="clear" w:color="auto" w:fill="FFFFFF" w:themeFill="background1"/>
            <w:vAlign w:val="center"/>
            <w:hideMark/>
          </w:tcPr>
          <w:p w14:paraId="23AB27F6" w14:textId="77777777" w:rsidR="00EE6C95" w:rsidRPr="00CA0A60" w:rsidRDefault="00EE6C95" w:rsidP="005824A4">
            <w:pPr>
              <w:spacing w:after="0" w:line="240" w:lineRule="auto"/>
              <w:jc w:val="center"/>
              <w:rPr>
                <w:rFonts w:ascii="Garamond" w:hAnsi="Garamond" w:cs="Times New Roman"/>
                <w:sz w:val="20"/>
                <w:szCs w:val="20"/>
                <w:highlight w:val="yellow"/>
                <w:lang w:val="es-AR"/>
              </w:rPr>
            </w:pPr>
            <w:r w:rsidRPr="00CA0A60">
              <w:rPr>
                <w:rFonts w:ascii="Garamond" w:hAnsi="Garamond" w:cs="Times New Roman"/>
                <w:sz w:val="20"/>
                <w:szCs w:val="20"/>
                <w:lang w:val="es-AR"/>
              </w:rPr>
              <w:t>98,</w:t>
            </w:r>
            <w:r w:rsidR="005014EB" w:rsidRPr="00CA0A60">
              <w:rPr>
                <w:rFonts w:ascii="Garamond" w:hAnsi="Garamond" w:cs="Times New Roman"/>
                <w:sz w:val="20"/>
                <w:szCs w:val="20"/>
                <w:lang w:val="es-AR"/>
              </w:rPr>
              <w:t>8</w:t>
            </w:r>
            <w:r w:rsidRPr="00CA0A60">
              <w:rPr>
                <w:rFonts w:ascii="Garamond" w:hAnsi="Garamond" w:cs="Times New Roman"/>
                <w:sz w:val="20"/>
                <w:szCs w:val="20"/>
                <w:lang w:val="es-AR"/>
              </w:rPr>
              <w:t>%</w:t>
            </w:r>
          </w:p>
        </w:tc>
        <w:tc>
          <w:tcPr>
            <w:tcW w:w="1415" w:type="pct"/>
            <w:vAlign w:val="center"/>
            <w:hideMark/>
          </w:tcPr>
          <w:p w14:paraId="6474A4EB" w14:textId="77777777" w:rsidR="00EE6C95" w:rsidRPr="00CA0A60"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Resolución SE 220/2007 / Resolución SEE 21/2016</w:t>
            </w:r>
          </w:p>
        </w:tc>
      </w:tr>
      <w:tr w:rsidR="00EE6C95" w:rsidRPr="00CA0A60" w14:paraId="5F1B6D08" w14:textId="77777777" w:rsidTr="00B441B1">
        <w:trPr>
          <w:cantSplit/>
          <w:trHeight w:val="253"/>
          <w:jc w:val="center"/>
        </w:trPr>
        <w:tc>
          <w:tcPr>
            <w:tcW w:w="701" w:type="pct"/>
            <w:vAlign w:val="center"/>
            <w:hideMark/>
          </w:tcPr>
          <w:p w14:paraId="03DCFCA2" w14:textId="77777777" w:rsidR="00EE6C95" w:rsidRPr="00713D6E"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GEMSA</w:t>
            </w:r>
            <w:r w:rsidRPr="00CA0A60">
              <w:rPr>
                <w:rFonts w:ascii="Garamond" w:hAnsi="Garamond" w:cs="Times New Roman"/>
                <w:sz w:val="20"/>
                <w:szCs w:val="20"/>
                <w:vertAlign w:val="superscript"/>
                <w:lang w:val="es-AR"/>
              </w:rPr>
              <w:t>(2)</w:t>
            </w:r>
          </w:p>
        </w:tc>
        <w:tc>
          <w:tcPr>
            <w:tcW w:w="1323" w:type="pct"/>
            <w:vAlign w:val="center"/>
            <w:hideMark/>
          </w:tcPr>
          <w:p w14:paraId="5FE22270" w14:textId="77777777" w:rsidR="00EE6C95" w:rsidRPr="00CA0A60" w:rsidRDefault="00EE6C95" w:rsidP="00017878">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Central Térmica Ezeiza</w:t>
            </w:r>
          </w:p>
        </w:tc>
        <w:tc>
          <w:tcPr>
            <w:tcW w:w="675" w:type="pct"/>
            <w:vAlign w:val="center"/>
            <w:hideMark/>
          </w:tcPr>
          <w:p w14:paraId="6A89157D" w14:textId="77777777" w:rsidR="00EE6C95" w:rsidRPr="00CA0A60" w:rsidRDefault="00EE6C95" w:rsidP="00C2017C">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150</w:t>
            </w:r>
          </w:p>
        </w:tc>
        <w:tc>
          <w:tcPr>
            <w:tcW w:w="886" w:type="pct"/>
            <w:vAlign w:val="center"/>
            <w:hideMark/>
          </w:tcPr>
          <w:p w14:paraId="0BF0EBEA" w14:textId="77777777" w:rsidR="00EE6C95" w:rsidRPr="00CA0A60" w:rsidRDefault="00EE6C95" w:rsidP="005824A4">
            <w:pPr>
              <w:spacing w:after="0" w:line="240" w:lineRule="auto"/>
              <w:jc w:val="center"/>
              <w:rPr>
                <w:rFonts w:ascii="Garamond" w:hAnsi="Garamond" w:cs="Times New Roman"/>
                <w:sz w:val="20"/>
                <w:szCs w:val="20"/>
                <w:highlight w:val="yellow"/>
                <w:lang w:val="es-AR"/>
              </w:rPr>
            </w:pPr>
            <w:r w:rsidRPr="00CA0A60">
              <w:rPr>
                <w:rFonts w:ascii="Garamond" w:hAnsi="Garamond" w:cs="Times New Roman"/>
                <w:sz w:val="20"/>
                <w:szCs w:val="20"/>
                <w:lang w:val="es-AR"/>
              </w:rPr>
              <w:t>99,9%</w:t>
            </w:r>
          </w:p>
        </w:tc>
        <w:tc>
          <w:tcPr>
            <w:tcW w:w="1415" w:type="pct"/>
            <w:vAlign w:val="center"/>
            <w:hideMark/>
          </w:tcPr>
          <w:p w14:paraId="3F4230A5" w14:textId="77777777" w:rsidR="00EE6C95" w:rsidRPr="00CA0A60"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Resolución SEE 21/2016</w:t>
            </w:r>
          </w:p>
        </w:tc>
      </w:tr>
      <w:tr w:rsidR="00EE6C95" w:rsidRPr="00CA0A60" w14:paraId="4B7758BC" w14:textId="77777777" w:rsidTr="00B441B1">
        <w:trPr>
          <w:cantSplit/>
          <w:trHeight w:val="253"/>
          <w:jc w:val="center"/>
        </w:trPr>
        <w:tc>
          <w:tcPr>
            <w:tcW w:w="701" w:type="pct"/>
            <w:vAlign w:val="center"/>
            <w:hideMark/>
          </w:tcPr>
          <w:p w14:paraId="0139F26F" w14:textId="77777777" w:rsidR="00EE6C95" w:rsidRPr="00713D6E"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GEMSA</w:t>
            </w:r>
            <w:r w:rsidRPr="00CA0A60">
              <w:rPr>
                <w:rFonts w:ascii="Garamond" w:hAnsi="Garamond" w:cs="Times New Roman"/>
                <w:sz w:val="20"/>
                <w:szCs w:val="20"/>
                <w:vertAlign w:val="superscript"/>
                <w:lang w:val="es-AR"/>
              </w:rPr>
              <w:t>(2)</w:t>
            </w:r>
          </w:p>
        </w:tc>
        <w:tc>
          <w:tcPr>
            <w:tcW w:w="1323" w:type="pct"/>
            <w:vAlign w:val="center"/>
            <w:hideMark/>
          </w:tcPr>
          <w:p w14:paraId="0AD55305" w14:textId="77777777" w:rsidR="00EE6C95" w:rsidRPr="00CA0A60" w:rsidRDefault="00EE6C95" w:rsidP="00017878">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Central Térmica Riojana</w:t>
            </w:r>
          </w:p>
        </w:tc>
        <w:tc>
          <w:tcPr>
            <w:tcW w:w="675" w:type="pct"/>
            <w:vAlign w:val="center"/>
            <w:hideMark/>
          </w:tcPr>
          <w:p w14:paraId="5AA05B6E" w14:textId="77777777" w:rsidR="00EE6C95" w:rsidRPr="00CA0A60" w:rsidRDefault="00EE6C95" w:rsidP="00C2017C">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90</w:t>
            </w:r>
          </w:p>
        </w:tc>
        <w:tc>
          <w:tcPr>
            <w:tcW w:w="886" w:type="pct"/>
            <w:vAlign w:val="center"/>
            <w:hideMark/>
          </w:tcPr>
          <w:p w14:paraId="6C913DA1" w14:textId="77777777" w:rsidR="00EE6C95" w:rsidRPr="00CA0A60" w:rsidRDefault="00EE6C95" w:rsidP="005824A4">
            <w:pPr>
              <w:spacing w:after="0" w:line="240" w:lineRule="auto"/>
              <w:jc w:val="center"/>
              <w:rPr>
                <w:rFonts w:ascii="Garamond" w:hAnsi="Garamond" w:cs="Times New Roman"/>
                <w:sz w:val="20"/>
                <w:szCs w:val="20"/>
                <w:highlight w:val="yellow"/>
                <w:lang w:val="es-AR"/>
              </w:rPr>
            </w:pPr>
            <w:r w:rsidRPr="00CA0A60">
              <w:rPr>
                <w:rFonts w:ascii="Garamond" w:hAnsi="Garamond" w:cs="Times New Roman"/>
                <w:sz w:val="20"/>
                <w:szCs w:val="20"/>
                <w:lang w:val="es-AR"/>
              </w:rPr>
              <w:t>99,</w:t>
            </w:r>
            <w:r w:rsidR="005014EB" w:rsidRPr="00CA0A60">
              <w:rPr>
                <w:rFonts w:ascii="Garamond" w:hAnsi="Garamond" w:cs="Times New Roman"/>
                <w:sz w:val="20"/>
                <w:szCs w:val="20"/>
                <w:lang w:val="es-AR"/>
              </w:rPr>
              <w:t>3</w:t>
            </w:r>
            <w:r w:rsidRPr="00CA0A60">
              <w:rPr>
                <w:rFonts w:ascii="Garamond" w:hAnsi="Garamond" w:cs="Times New Roman"/>
                <w:sz w:val="20"/>
                <w:szCs w:val="20"/>
                <w:lang w:val="es-AR"/>
              </w:rPr>
              <w:t>%</w:t>
            </w:r>
          </w:p>
        </w:tc>
        <w:tc>
          <w:tcPr>
            <w:tcW w:w="1415" w:type="pct"/>
            <w:vAlign w:val="center"/>
            <w:hideMark/>
          </w:tcPr>
          <w:p w14:paraId="01D1C839" w14:textId="77777777" w:rsidR="00EE6C95" w:rsidRPr="00CA0A60"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Resolución SE 220/2007 / Energía Base</w:t>
            </w:r>
          </w:p>
        </w:tc>
      </w:tr>
      <w:tr w:rsidR="00EE6C95" w:rsidRPr="00CA0A60" w14:paraId="6F44D407" w14:textId="77777777" w:rsidTr="00B441B1">
        <w:trPr>
          <w:cantSplit/>
          <w:trHeight w:val="236"/>
          <w:jc w:val="center"/>
        </w:trPr>
        <w:tc>
          <w:tcPr>
            <w:tcW w:w="701" w:type="pct"/>
            <w:vAlign w:val="center"/>
            <w:hideMark/>
          </w:tcPr>
          <w:p w14:paraId="03951879" w14:textId="77777777" w:rsidR="00EE6C95" w:rsidRPr="00713D6E"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GEMSA</w:t>
            </w:r>
            <w:r w:rsidRPr="00CA0A60">
              <w:rPr>
                <w:rFonts w:ascii="Garamond" w:hAnsi="Garamond" w:cs="Times New Roman"/>
                <w:sz w:val="20"/>
                <w:szCs w:val="20"/>
                <w:vertAlign w:val="superscript"/>
                <w:lang w:val="es-AR"/>
              </w:rPr>
              <w:t>(2)</w:t>
            </w:r>
          </w:p>
        </w:tc>
        <w:tc>
          <w:tcPr>
            <w:tcW w:w="1323" w:type="pct"/>
            <w:vAlign w:val="center"/>
            <w:hideMark/>
          </w:tcPr>
          <w:p w14:paraId="448A46C1" w14:textId="77777777" w:rsidR="00EE6C95" w:rsidRPr="00CA0A60" w:rsidRDefault="00EE6C95" w:rsidP="00017878">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Central Térmica La Banda</w:t>
            </w:r>
            <w:r w:rsidRPr="00CA0A60">
              <w:rPr>
                <w:rFonts w:ascii="Garamond" w:hAnsi="Garamond" w:cs="Times New Roman"/>
                <w:sz w:val="20"/>
                <w:szCs w:val="20"/>
                <w:vertAlign w:val="superscript"/>
                <w:lang w:val="es-AR"/>
              </w:rPr>
              <w:t>(5)</w:t>
            </w:r>
          </w:p>
        </w:tc>
        <w:tc>
          <w:tcPr>
            <w:tcW w:w="675" w:type="pct"/>
            <w:vAlign w:val="center"/>
            <w:hideMark/>
          </w:tcPr>
          <w:p w14:paraId="219897CE" w14:textId="77777777" w:rsidR="00EE6C95" w:rsidRPr="00CA0A60" w:rsidRDefault="00EE6C95" w:rsidP="00C2017C">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30</w:t>
            </w:r>
          </w:p>
        </w:tc>
        <w:tc>
          <w:tcPr>
            <w:tcW w:w="886" w:type="pct"/>
            <w:vAlign w:val="center"/>
            <w:hideMark/>
          </w:tcPr>
          <w:p w14:paraId="7917ACA8" w14:textId="77777777" w:rsidR="00EE6C95" w:rsidRPr="00CA0A60" w:rsidRDefault="00EE6C95" w:rsidP="005824A4">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99,</w:t>
            </w:r>
            <w:r w:rsidR="005014EB" w:rsidRPr="00CA0A60">
              <w:rPr>
                <w:rFonts w:ascii="Garamond" w:hAnsi="Garamond" w:cs="Times New Roman"/>
                <w:sz w:val="20"/>
                <w:szCs w:val="20"/>
                <w:lang w:val="es-AR"/>
              </w:rPr>
              <w:t>7</w:t>
            </w:r>
            <w:r w:rsidRPr="00CA0A60">
              <w:rPr>
                <w:rFonts w:ascii="Garamond" w:hAnsi="Garamond" w:cs="Times New Roman"/>
                <w:sz w:val="20"/>
                <w:szCs w:val="20"/>
                <w:lang w:val="es-AR"/>
              </w:rPr>
              <w:t>%</w:t>
            </w:r>
          </w:p>
        </w:tc>
        <w:tc>
          <w:tcPr>
            <w:tcW w:w="1415" w:type="pct"/>
            <w:vAlign w:val="center"/>
            <w:hideMark/>
          </w:tcPr>
          <w:p w14:paraId="19A61461" w14:textId="77777777" w:rsidR="00EE6C95" w:rsidRPr="00CA0A60"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Energía Base</w:t>
            </w:r>
          </w:p>
        </w:tc>
      </w:tr>
      <w:tr w:rsidR="00EE6C95" w:rsidRPr="00CA0A60" w14:paraId="73F8F8DE" w14:textId="77777777" w:rsidTr="00B441B1">
        <w:trPr>
          <w:cantSplit/>
          <w:trHeight w:val="253"/>
          <w:jc w:val="center"/>
        </w:trPr>
        <w:tc>
          <w:tcPr>
            <w:tcW w:w="701" w:type="pct"/>
            <w:vAlign w:val="center"/>
            <w:hideMark/>
          </w:tcPr>
          <w:p w14:paraId="30B6C2EE" w14:textId="77777777" w:rsidR="00EE6C95" w:rsidRPr="00713D6E"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GEMSA</w:t>
            </w:r>
            <w:r w:rsidRPr="00CA0A60">
              <w:rPr>
                <w:rFonts w:ascii="Garamond" w:hAnsi="Garamond" w:cs="Times New Roman"/>
                <w:sz w:val="20"/>
                <w:szCs w:val="20"/>
                <w:vertAlign w:val="superscript"/>
                <w:lang w:val="es-AR"/>
              </w:rPr>
              <w:t>(2)</w:t>
            </w:r>
          </w:p>
        </w:tc>
        <w:tc>
          <w:tcPr>
            <w:tcW w:w="1323" w:type="pct"/>
            <w:vAlign w:val="center"/>
            <w:hideMark/>
          </w:tcPr>
          <w:p w14:paraId="4A5059EC" w14:textId="77777777" w:rsidR="00EE6C95" w:rsidRPr="00CA0A60" w:rsidRDefault="00EE6C95" w:rsidP="00017878">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Central Térmica Frías</w:t>
            </w:r>
          </w:p>
        </w:tc>
        <w:tc>
          <w:tcPr>
            <w:tcW w:w="675" w:type="pct"/>
            <w:vAlign w:val="center"/>
            <w:hideMark/>
          </w:tcPr>
          <w:p w14:paraId="174B1212" w14:textId="77777777" w:rsidR="00EE6C95" w:rsidRPr="00CA0A60" w:rsidRDefault="00EE6C95" w:rsidP="00C2017C">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60</w:t>
            </w:r>
          </w:p>
        </w:tc>
        <w:tc>
          <w:tcPr>
            <w:tcW w:w="886" w:type="pct"/>
            <w:vAlign w:val="center"/>
            <w:hideMark/>
          </w:tcPr>
          <w:p w14:paraId="3DC6A532" w14:textId="77777777" w:rsidR="00EE6C95" w:rsidRPr="00CA0A60" w:rsidRDefault="00EE6C95" w:rsidP="005824A4">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9</w:t>
            </w:r>
            <w:r w:rsidR="005014EB" w:rsidRPr="00CA0A60">
              <w:rPr>
                <w:rFonts w:ascii="Garamond" w:hAnsi="Garamond" w:cs="Times New Roman"/>
                <w:sz w:val="20"/>
                <w:szCs w:val="20"/>
                <w:lang w:val="es-AR"/>
              </w:rPr>
              <w:t>4</w:t>
            </w:r>
            <w:r w:rsidRPr="00CA0A60">
              <w:rPr>
                <w:rFonts w:ascii="Garamond" w:hAnsi="Garamond" w:cs="Times New Roman"/>
                <w:sz w:val="20"/>
                <w:szCs w:val="20"/>
                <w:lang w:val="es-AR"/>
              </w:rPr>
              <w:t>,</w:t>
            </w:r>
            <w:r w:rsidR="005014EB" w:rsidRPr="00CA0A60">
              <w:rPr>
                <w:rFonts w:ascii="Garamond" w:hAnsi="Garamond" w:cs="Times New Roman"/>
                <w:sz w:val="20"/>
                <w:szCs w:val="20"/>
                <w:lang w:val="es-AR"/>
              </w:rPr>
              <w:t>6</w:t>
            </w:r>
            <w:r w:rsidRPr="00CA0A60">
              <w:rPr>
                <w:rFonts w:ascii="Garamond" w:hAnsi="Garamond" w:cs="Times New Roman"/>
                <w:sz w:val="20"/>
                <w:szCs w:val="20"/>
                <w:lang w:val="es-AR"/>
              </w:rPr>
              <w:t>%</w:t>
            </w:r>
          </w:p>
        </w:tc>
        <w:tc>
          <w:tcPr>
            <w:tcW w:w="1415" w:type="pct"/>
            <w:vAlign w:val="center"/>
            <w:hideMark/>
          </w:tcPr>
          <w:p w14:paraId="61FA8124" w14:textId="77777777" w:rsidR="00EE6C95" w:rsidRPr="00CA0A60"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Resolución SE 220/2007</w:t>
            </w:r>
          </w:p>
        </w:tc>
      </w:tr>
      <w:tr w:rsidR="00EE6C95" w:rsidRPr="00CA0A60" w14:paraId="5F4EA592" w14:textId="77777777" w:rsidTr="00B441B1">
        <w:trPr>
          <w:cantSplit/>
          <w:trHeight w:val="253"/>
          <w:jc w:val="center"/>
        </w:trPr>
        <w:tc>
          <w:tcPr>
            <w:tcW w:w="701" w:type="pct"/>
            <w:vAlign w:val="center"/>
            <w:hideMark/>
          </w:tcPr>
          <w:p w14:paraId="2B635823" w14:textId="77777777" w:rsidR="00EE6C95" w:rsidRPr="00713D6E"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CTR</w:t>
            </w:r>
            <w:r w:rsidRPr="00CA0A60">
              <w:rPr>
                <w:rFonts w:ascii="Garamond" w:hAnsi="Garamond" w:cs="Times New Roman"/>
                <w:sz w:val="20"/>
                <w:szCs w:val="20"/>
                <w:vertAlign w:val="superscript"/>
                <w:lang w:val="es-AR"/>
              </w:rPr>
              <w:t>(2)</w:t>
            </w:r>
          </w:p>
        </w:tc>
        <w:tc>
          <w:tcPr>
            <w:tcW w:w="1323" w:type="pct"/>
            <w:vAlign w:val="center"/>
            <w:hideMark/>
          </w:tcPr>
          <w:p w14:paraId="3381F2DC" w14:textId="77777777" w:rsidR="00EE6C95" w:rsidRPr="00CA0A60" w:rsidRDefault="00EE6C95" w:rsidP="00017878">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Central Térmica Roca</w:t>
            </w:r>
          </w:p>
        </w:tc>
        <w:tc>
          <w:tcPr>
            <w:tcW w:w="675" w:type="pct"/>
            <w:vAlign w:val="center"/>
            <w:hideMark/>
          </w:tcPr>
          <w:p w14:paraId="66710ED8" w14:textId="77777777" w:rsidR="00EE6C95" w:rsidRPr="00CA0A60" w:rsidRDefault="00EE6C95" w:rsidP="00C2017C">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190</w:t>
            </w:r>
          </w:p>
        </w:tc>
        <w:tc>
          <w:tcPr>
            <w:tcW w:w="886" w:type="pct"/>
            <w:vAlign w:val="center"/>
            <w:hideMark/>
          </w:tcPr>
          <w:p w14:paraId="0FFE6116" w14:textId="77777777" w:rsidR="00EE6C95" w:rsidRPr="00CA0A60" w:rsidRDefault="00EE6C95" w:rsidP="005824A4">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8</w:t>
            </w:r>
            <w:r w:rsidR="005014EB" w:rsidRPr="00CA0A60">
              <w:rPr>
                <w:rFonts w:ascii="Garamond" w:hAnsi="Garamond" w:cs="Times New Roman"/>
                <w:sz w:val="20"/>
                <w:szCs w:val="20"/>
                <w:lang w:val="es-AR"/>
              </w:rPr>
              <w:t>9</w:t>
            </w:r>
            <w:r w:rsidRPr="00CA0A60">
              <w:rPr>
                <w:rFonts w:ascii="Garamond" w:hAnsi="Garamond" w:cs="Times New Roman"/>
                <w:sz w:val="20"/>
                <w:szCs w:val="20"/>
                <w:lang w:val="es-AR"/>
              </w:rPr>
              <w:t>,</w:t>
            </w:r>
            <w:r w:rsidR="005014EB" w:rsidRPr="00CA0A60">
              <w:rPr>
                <w:rFonts w:ascii="Garamond" w:hAnsi="Garamond" w:cs="Times New Roman"/>
                <w:sz w:val="20"/>
                <w:szCs w:val="20"/>
                <w:lang w:val="es-AR"/>
              </w:rPr>
              <w:t>9</w:t>
            </w:r>
            <w:r w:rsidRPr="00CA0A60">
              <w:rPr>
                <w:rFonts w:ascii="Garamond" w:hAnsi="Garamond" w:cs="Times New Roman"/>
                <w:sz w:val="20"/>
                <w:szCs w:val="20"/>
                <w:lang w:val="es-AR"/>
              </w:rPr>
              <w:t>%</w:t>
            </w:r>
            <w:r w:rsidRPr="00CA0A60">
              <w:rPr>
                <w:rFonts w:ascii="Garamond" w:hAnsi="Garamond" w:cs="Times New Roman"/>
                <w:sz w:val="20"/>
                <w:szCs w:val="20"/>
                <w:vertAlign w:val="superscript"/>
                <w:lang w:val="es-AR"/>
              </w:rPr>
              <w:t xml:space="preserve"> (6)</w:t>
            </w:r>
          </w:p>
        </w:tc>
        <w:tc>
          <w:tcPr>
            <w:tcW w:w="1415" w:type="pct"/>
            <w:vAlign w:val="center"/>
            <w:hideMark/>
          </w:tcPr>
          <w:p w14:paraId="78C1B372" w14:textId="77777777" w:rsidR="00EE6C95" w:rsidRPr="00CA0A60"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Resolución SE 220/2007</w:t>
            </w:r>
          </w:p>
        </w:tc>
      </w:tr>
      <w:tr w:rsidR="00EE6C95" w:rsidRPr="00CA0A60" w14:paraId="33FFA14E" w14:textId="77777777" w:rsidTr="00B441B1">
        <w:trPr>
          <w:cantSplit/>
          <w:trHeight w:val="253"/>
          <w:jc w:val="center"/>
        </w:trPr>
        <w:tc>
          <w:tcPr>
            <w:tcW w:w="701" w:type="pct"/>
            <w:vAlign w:val="center"/>
            <w:hideMark/>
          </w:tcPr>
          <w:p w14:paraId="24ED6CA8" w14:textId="77777777" w:rsidR="00EE6C95" w:rsidRPr="00713D6E"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GROSA</w:t>
            </w:r>
            <w:r w:rsidRPr="00CA0A60">
              <w:rPr>
                <w:rFonts w:ascii="Garamond" w:hAnsi="Garamond" w:cs="Times New Roman"/>
                <w:sz w:val="20"/>
                <w:szCs w:val="20"/>
                <w:vertAlign w:val="superscript"/>
                <w:lang w:val="es-AR"/>
              </w:rPr>
              <w:t>(3)</w:t>
            </w:r>
          </w:p>
        </w:tc>
        <w:tc>
          <w:tcPr>
            <w:tcW w:w="1323" w:type="pct"/>
            <w:vAlign w:val="center"/>
            <w:hideMark/>
          </w:tcPr>
          <w:p w14:paraId="7E7D11D7" w14:textId="77777777" w:rsidR="00EE6C95" w:rsidRPr="00CA0A60" w:rsidRDefault="00EE6C95" w:rsidP="00017878">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Central Térmica Generación Rosario</w:t>
            </w:r>
          </w:p>
        </w:tc>
        <w:tc>
          <w:tcPr>
            <w:tcW w:w="675" w:type="pct"/>
            <w:vAlign w:val="center"/>
            <w:hideMark/>
          </w:tcPr>
          <w:p w14:paraId="7705F89A" w14:textId="77777777" w:rsidR="00EE6C95" w:rsidRPr="00CA0A60" w:rsidRDefault="00EE6C95" w:rsidP="00C2017C">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140</w:t>
            </w:r>
          </w:p>
        </w:tc>
        <w:tc>
          <w:tcPr>
            <w:tcW w:w="886" w:type="pct"/>
            <w:vAlign w:val="center"/>
            <w:hideMark/>
          </w:tcPr>
          <w:p w14:paraId="0D3EC0A1" w14:textId="77777777" w:rsidR="00EE6C95" w:rsidRPr="00CA0A60" w:rsidRDefault="00EE6C95" w:rsidP="005824A4">
            <w:pPr>
              <w:spacing w:after="0" w:line="240" w:lineRule="auto"/>
              <w:jc w:val="center"/>
              <w:rPr>
                <w:rFonts w:ascii="Garamond" w:hAnsi="Garamond" w:cs="Times New Roman"/>
                <w:sz w:val="20"/>
                <w:szCs w:val="20"/>
                <w:highlight w:val="yellow"/>
                <w:lang w:val="es-AR"/>
              </w:rPr>
            </w:pPr>
            <w:r w:rsidRPr="00CA0A60">
              <w:rPr>
                <w:rFonts w:ascii="Garamond" w:hAnsi="Garamond" w:cs="Times New Roman"/>
                <w:sz w:val="20"/>
                <w:szCs w:val="20"/>
                <w:lang w:val="es-AR"/>
              </w:rPr>
              <w:t>99,</w:t>
            </w:r>
            <w:r w:rsidR="005014EB" w:rsidRPr="00CA0A60">
              <w:rPr>
                <w:rFonts w:ascii="Garamond" w:hAnsi="Garamond" w:cs="Times New Roman"/>
                <w:sz w:val="20"/>
                <w:szCs w:val="20"/>
                <w:lang w:val="es-AR"/>
              </w:rPr>
              <w:t>4</w:t>
            </w:r>
            <w:r w:rsidRPr="00CA0A60">
              <w:rPr>
                <w:rFonts w:ascii="Garamond" w:hAnsi="Garamond" w:cs="Times New Roman"/>
                <w:sz w:val="20"/>
                <w:szCs w:val="20"/>
                <w:lang w:val="es-AR"/>
              </w:rPr>
              <w:t>%</w:t>
            </w:r>
          </w:p>
        </w:tc>
        <w:tc>
          <w:tcPr>
            <w:tcW w:w="1415" w:type="pct"/>
            <w:vAlign w:val="center"/>
            <w:hideMark/>
          </w:tcPr>
          <w:p w14:paraId="37A13BE5" w14:textId="77777777" w:rsidR="00EE6C95" w:rsidRPr="00CA0A60"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Energía Base</w:t>
            </w:r>
          </w:p>
        </w:tc>
      </w:tr>
      <w:tr w:rsidR="00EE6C95" w:rsidRPr="00CA0A60" w14:paraId="591105D2" w14:textId="77777777" w:rsidTr="00B441B1">
        <w:trPr>
          <w:cantSplit/>
          <w:trHeight w:val="253"/>
          <w:jc w:val="center"/>
        </w:trPr>
        <w:tc>
          <w:tcPr>
            <w:tcW w:w="701" w:type="pct"/>
            <w:vAlign w:val="center"/>
            <w:hideMark/>
          </w:tcPr>
          <w:p w14:paraId="3BF2D637" w14:textId="77777777" w:rsidR="00EE6C95" w:rsidRPr="00713D6E" w:rsidRDefault="00EE6C95" w:rsidP="00B441B1">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Solalban</w:t>
            </w:r>
            <w:r w:rsidRPr="00CA0A60">
              <w:rPr>
                <w:rFonts w:ascii="Garamond" w:hAnsi="Garamond" w:cs="Times New Roman"/>
                <w:sz w:val="20"/>
                <w:szCs w:val="20"/>
                <w:vertAlign w:val="superscript"/>
                <w:lang w:val="es-AR"/>
              </w:rPr>
              <w:t>(4)</w:t>
            </w:r>
          </w:p>
        </w:tc>
        <w:tc>
          <w:tcPr>
            <w:tcW w:w="1323" w:type="pct"/>
            <w:vAlign w:val="center"/>
            <w:hideMark/>
          </w:tcPr>
          <w:p w14:paraId="3FFEB9FE" w14:textId="77777777" w:rsidR="00EE6C95" w:rsidRPr="00CA0A60" w:rsidRDefault="00EE6C95" w:rsidP="00017878">
            <w:pP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Solalban Energía</w:t>
            </w:r>
          </w:p>
        </w:tc>
        <w:tc>
          <w:tcPr>
            <w:tcW w:w="675" w:type="pct"/>
            <w:vAlign w:val="center"/>
            <w:hideMark/>
          </w:tcPr>
          <w:p w14:paraId="6CC8039C" w14:textId="77777777" w:rsidR="00EE6C95" w:rsidRPr="00CA0A60" w:rsidRDefault="00EE6C95" w:rsidP="00C2017C">
            <w:pPr>
              <w:pBdr>
                <w:bottom w:val="single" w:sz="4" w:space="1" w:color="auto"/>
              </w:pBdr>
              <w:spacing w:after="0" w:line="240" w:lineRule="auto"/>
              <w:jc w:val="center"/>
              <w:rPr>
                <w:rFonts w:ascii="Garamond" w:hAnsi="Garamond" w:cs="Times New Roman"/>
                <w:sz w:val="20"/>
                <w:szCs w:val="20"/>
                <w:lang w:val="es-AR"/>
              </w:rPr>
            </w:pPr>
            <w:r w:rsidRPr="00CA0A60">
              <w:rPr>
                <w:rFonts w:ascii="Garamond" w:hAnsi="Garamond" w:cs="Times New Roman"/>
                <w:sz w:val="20"/>
                <w:szCs w:val="20"/>
                <w:lang w:val="es-AR"/>
              </w:rPr>
              <w:t>120</w:t>
            </w:r>
          </w:p>
        </w:tc>
        <w:tc>
          <w:tcPr>
            <w:tcW w:w="886" w:type="pct"/>
            <w:vAlign w:val="center"/>
            <w:hideMark/>
          </w:tcPr>
          <w:p w14:paraId="6DB75988" w14:textId="77777777" w:rsidR="00EE6C95" w:rsidRPr="00CA0A60" w:rsidRDefault="00EE6C95" w:rsidP="005824A4">
            <w:pPr>
              <w:spacing w:after="0" w:line="240" w:lineRule="auto"/>
              <w:jc w:val="center"/>
              <w:rPr>
                <w:rFonts w:ascii="Garamond" w:hAnsi="Garamond" w:cs="Times New Roman"/>
                <w:sz w:val="20"/>
                <w:szCs w:val="20"/>
                <w:highlight w:val="yellow"/>
                <w:lang w:val="es-AR"/>
              </w:rPr>
            </w:pPr>
            <w:r w:rsidRPr="00CA0A60">
              <w:rPr>
                <w:rFonts w:ascii="Garamond" w:hAnsi="Garamond" w:cs="Times New Roman"/>
                <w:sz w:val="20"/>
                <w:szCs w:val="20"/>
                <w:lang w:val="es-AR"/>
              </w:rPr>
              <w:t>8</w:t>
            </w:r>
            <w:r w:rsidR="005014EB" w:rsidRPr="00CA0A60">
              <w:rPr>
                <w:rFonts w:ascii="Garamond" w:hAnsi="Garamond" w:cs="Times New Roman"/>
                <w:sz w:val="20"/>
                <w:szCs w:val="20"/>
                <w:lang w:val="es-AR"/>
              </w:rPr>
              <w:t>3</w:t>
            </w:r>
            <w:r w:rsidRPr="00CA0A60">
              <w:rPr>
                <w:rFonts w:ascii="Garamond" w:hAnsi="Garamond" w:cs="Times New Roman"/>
                <w:sz w:val="20"/>
                <w:szCs w:val="20"/>
                <w:lang w:val="es-AR"/>
              </w:rPr>
              <w:t>,</w:t>
            </w:r>
            <w:r w:rsidR="005014EB" w:rsidRPr="00CA0A60">
              <w:rPr>
                <w:rFonts w:ascii="Garamond" w:hAnsi="Garamond" w:cs="Times New Roman"/>
                <w:sz w:val="20"/>
                <w:szCs w:val="20"/>
                <w:lang w:val="es-AR"/>
              </w:rPr>
              <w:t>6</w:t>
            </w:r>
            <w:r w:rsidRPr="00CA0A60">
              <w:rPr>
                <w:rFonts w:ascii="Garamond" w:hAnsi="Garamond" w:cs="Times New Roman"/>
                <w:sz w:val="20"/>
                <w:szCs w:val="20"/>
                <w:lang w:val="es-AR"/>
              </w:rPr>
              <w:t>%</w:t>
            </w:r>
          </w:p>
        </w:tc>
        <w:tc>
          <w:tcPr>
            <w:tcW w:w="1415" w:type="pct"/>
            <w:vAlign w:val="center"/>
            <w:hideMark/>
          </w:tcPr>
          <w:p w14:paraId="146380F8" w14:textId="77777777" w:rsidR="00EE6C95" w:rsidRPr="00CA0A60" w:rsidRDefault="00EE6C95" w:rsidP="00B441B1">
            <w:pPr>
              <w:spacing w:after="0" w:line="240" w:lineRule="auto"/>
              <w:jc w:val="center"/>
              <w:rPr>
                <w:rFonts w:ascii="Garamond" w:hAnsi="Garamond" w:cs="Times New Roman"/>
                <w:sz w:val="20"/>
                <w:szCs w:val="20"/>
                <w:vertAlign w:val="superscript"/>
                <w:lang w:val="es-AR"/>
              </w:rPr>
            </w:pPr>
            <w:r w:rsidRPr="00CA0A60">
              <w:rPr>
                <w:rFonts w:ascii="Garamond" w:hAnsi="Garamond" w:cs="Times New Roman"/>
                <w:sz w:val="20"/>
                <w:szCs w:val="20"/>
                <w:lang w:val="es-AR"/>
              </w:rPr>
              <w:t>Energía Plus / Autoconsumo</w:t>
            </w:r>
            <w:r w:rsidRPr="00CA0A60">
              <w:rPr>
                <w:rFonts w:ascii="Garamond" w:hAnsi="Garamond" w:cs="Times New Roman"/>
                <w:sz w:val="20"/>
                <w:szCs w:val="20"/>
                <w:vertAlign w:val="superscript"/>
                <w:lang w:val="es-AR"/>
              </w:rPr>
              <w:t>(7)</w:t>
            </w:r>
          </w:p>
        </w:tc>
      </w:tr>
      <w:tr w:rsidR="00EE6C95" w:rsidRPr="00CA0A60" w14:paraId="2A35AA4A" w14:textId="77777777" w:rsidTr="00B441B1">
        <w:trPr>
          <w:cantSplit/>
          <w:trHeight w:val="252"/>
          <w:jc w:val="center"/>
        </w:trPr>
        <w:tc>
          <w:tcPr>
            <w:tcW w:w="701" w:type="pct"/>
            <w:vAlign w:val="bottom"/>
            <w:hideMark/>
          </w:tcPr>
          <w:p w14:paraId="51E8FDB7" w14:textId="77777777" w:rsidR="00EE6C95" w:rsidRPr="00CA0A60" w:rsidRDefault="00EE6C95" w:rsidP="002C15E0">
            <w:pPr>
              <w:spacing w:after="0" w:line="240" w:lineRule="auto"/>
              <w:jc w:val="both"/>
              <w:rPr>
                <w:rFonts w:ascii="Garamond" w:hAnsi="Garamond" w:cs="Times New Roman"/>
                <w:sz w:val="20"/>
                <w:szCs w:val="20"/>
                <w:lang w:val="es-AR"/>
              </w:rPr>
            </w:pPr>
            <w:r w:rsidRPr="00CA0A60">
              <w:rPr>
                <w:rFonts w:ascii="Garamond" w:hAnsi="Garamond" w:cs="Times New Roman"/>
                <w:b/>
                <w:sz w:val="20"/>
                <w:szCs w:val="20"/>
                <w:lang w:val="es-AR"/>
              </w:rPr>
              <w:t>Total</w:t>
            </w:r>
          </w:p>
        </w:tc>
        <w:tc>
          <w:tcPr>
            <w:tcW w:w="1323" w:type="pct"/>
            <w:vAlign w:val="bottom"/>
          </w:tcPr>
          <w:p w14:paraId="38645DC7" w14:textId="77777777" w:rsidR="00EE6C95" w:rsidRPr="00CA0A60" w:rsidRDefault="00EE6C95" w:rsidP="002C15E0">
            <w:pPr>
              <w:spacing w:after="0" w:line="240" w:lineRule="auto"/>
              <w:jc w:val="both"/>
              <w:rPr>
                <w:rFonts w:ascii="Garamond" w:hAnsi="Garamond" w:cs="Times New Roman"/>
                <w:sz w:val="20"/>
                <w:szCs w:val="20"/>
                <w:lang w:val="es-AR"/>
              </w:rPr>
            </w:pPr>
          </w:p>
        </w:tc>
        <w:tc>
          <w:tcPr>
            <w:tcW w:w="675" w:type="pct"/>
            <w:vAlign w:val="bottom"/>
            <w:hideMark/>
          </w:tcPr>
          <w:p w14:paraId="6B4B3944" w14:textId="77777777" w:rsidR="00EE6C95" w:rsidRPr="00CA0A60" w:rsidRDefault="00EE6C95">
            <w:pPr>
              <w:spacing w:after="0" w:line="240" w:lineRule="auto"/>
              <w:jc w:val="both"/>
              <w:rPr>
                <w:rFonts w:ascii="Garamond" w:hAnsi="Garamond" w:cs="Times New Roman"/>
                <w:b/>
                <w:sz w:val="20"/>
                <w:szCs w:val="20"/>
                <w:lang w:val="es-AR"/>
              </w:rPr>
            </w:pPr>
            <w:r w:rsidRPr="00CA0A60">
              <w:rPr>
                <w:rFonts w:ascii="Garamond" w:hAnsi="Garamond" w:cs="Times New Roman"/>
                <w:b/>
                <w:sz w:val="20"/>
                <w:szCs w:val="20"/>
                <w:lang w:val="es-AR"/>
              </w:rPr>
              <w:t>1.350 MW</w:t>
            </w:r>
          </w:p>
        </w:tc>
        <w:tc>
          <w:tcPr>
            <w:tcW w:w="886" w:type="pct"/>
            <w:vAlign w:val="bottom"/>
          </w:tcPr>
          <w:p w14:paraId="135E58C4" w14:textId="77777777" w:rsidR="00EE6C95" w:rsidRPr="00CA0A60" w:rsidRDefault="00EE6C95" w:rsidP="002C15E0">
            <w:pPr>
              <w:tabs>
                <w:tab w:val="decimal" w:pos="557"/>
              </w:tabs>
              <w:spacing w:after="0" w:line="240" w:lineRule="auto"/>
              <w:jc w:val="both"/>
              <w:rPr>
                <w:rFonts w:ascii="Garamond" w:hAnsi="Garamond" w:cs="Times New Roman"/>
                <w:sz w:val="20"/>
                <w:szCs w:val="20"/>
                <w:lang w:val="es-AR"/>
              </w:rPr>
            </w:pPr>
          </w:p>
        </w:tc>
        <w:tc>
          <w:tcPr>
            <w:tcW w:w="1415" w:type="pct"/>
            <w:vAlign w:val="bottom"/>
          </w:tcPr>
          <w:p w14:paraId="62EBF9A1" w14:textId="77777777" w:rsidR="00EE6C95" w:rsidRPr="00CA0A60" w:rsidRDefault="00EE6C95" w:rsidP="002C15E0">
            <w:pPr>
              <w:spacing w:after="0" w:line="240" w:lineRule="auto"/>
              <w:jc w:val="both"/>
              <w:rPr>
                <w:rFonts w:ascii="Garamond" w:hAnsi="Garamond" w:cs="Times New Roman"/>
                <w:sz w:val="20"/>
                <w:szCs w:val="20"/>
                <w:lang w:val="es-AR"/>
              </w:rPr>
            </w:pPr>
          </w:p>
        </w:tc>
      </w:tr>
    </w:tbl>
    <w:p w14:paraId="0C6C2CD5" w14:textId="77777777" w:rsidR="00EE6C95" w:rsidRPr="00CA0A60" w:rsidRDefault="00EE6C95">
      <w:pPr>
        <w:pStyle w:val="Tablenotes"/>
        <w:ind w:left="0" w:firstLine="0"/>
        <w:jc w:val="both"/>
        <w:rPr>
          <w:rFonts w:ascii="Garamond" w:hAnsi="Garamond"/>
          <w:sz w:val="20"/>
          <w:szCs w:val="20"/>
          <w:lang w:val="es-AR"/>
        </w:rPr>
      </w:pPr>
    </w:p>
    <w:p w14:paraId="6B69D87B" w14:textId="77777777" w:rsidR="00EE6C95" w:rsidRPr="00CA0A60" w:rsidRDefault="00EE6C95" w:rsidP="002830AF">
      <w:pPr>
        <w:pStyle w:val="Tablenotes"/>
        <w:numPr>
          <w:ilvl w:val="0"/>
          <w:numId w:val="69"/>
        </w:numPr>
        <w:tabs>
          <w:tab w:val="left" w:pos="284"/>
        </w:tabs>
        <w:ind w:left="0" w:firstLine="0"/>
        <w:jc w:val="both"/>
        <w:rPr>
          <w:rFonts w:ascii="Garamond" w:hAnsi="Garamond"/>
          <w:color w:val="FF0000"/>
          <w:sz w:val="18"/>
          <w:szCs w:val="20"/>
          <w:lang w:val="es-AR"/>
        </w:rPr>
      </w:pPr>
      <w:r w:rsidRPr="00CA0A60">
        <w:rPr>
          <w:rFonts w:ascii="Garamond" w:hAnsi="Garamond"/>
          <w:sz w:val="18"/>
          <w:szCs w:val="20"/>
          <w:lang w:val="es-AR"/>
        </w:rPr>
        <w:t>El factor de disponibilidad (primordialmente de relevancia a los fines de la venta de la capacidad disponible en virtud de las resoluciones SE 220/2007 y SEE 21/2016 y Energía Base) se calcula como las horas disponibles por horas de un período (es decir, el porcentaje de horas en las que una planta generadora se encuentra disponible para la generación de electricidad en el período relevante, ya sea que la unidad sea despachada o utilizada para la generación de energía o no). No se consideran las variaciones que puedan surgir por factores externos que afecten el rendimiento de las turbinas.</w:t>
      </w:r>
    </w:p>
    <w:p w14:paraId="5040F8F4" w14:textId="77777777" w:rsidR="00EE6C95" w:rsidRPr="00CA0A60" w:rsidRDefault="00EE6C95" w:rsidP="002830AF">
      <w:pPr>
        <w:pStyle w:val="Tablenotes"/>
        <w:numPr>
          <w:ilvl w:val="0"/>
          <w:numId w:val="69"/>
        </w:numPr>
        <w:tabs>
          <w:tab w:val="left" w:pos="284"/>
        </w:tabs>
        <w:ind w:left="0" w:firstLine="0"/>
        <w:jc w:val="both"/>
        <w:rPr>
          <w:rFonts w:ascii="Garamond" w:hAnsi="Garamond"/>
          <w:sz w:val="18"/>
          <w:szCs w:val="20"/>
          <w:lang w:val="es-AR"/>
        </w:rPr>
      </w:pPr>
      <w:r w:rsidRPr="00CA0A60">
        <w:rPr>
          <w:rFonts w:ascii="Garamond" w:hAnsi="Garamond"/>
          <w:sz w:val="18"/>
          <w:szCs w:val="20"/>
          <w:lang w:val="es-AR"/>
        </w:rPr>
        <w:t>Co-emisora de las Obligaciones Negociables.</w:t>
      </w:r>
    </w:p>
    <w:p w14:paraId="2E83451A" w14:textId="77777777" w:rsidR="00EE6C95" w:rsidRPr="00CA0A60" w:rsidRDefault="00EE6C95" w:rsidP="002830AF">
      <w:pPr>
        <w:pStyle w:val="Tablenotes"/>
        <w:numPr>
          <w:ilvl w:val="0"/>
          <w:numId w:val="69"/>
        </w:numPr>
        <w:tabs>
          <w:tab w:val="left" w:pos="284"/>
        </w:tabs>
        <w:ind w:left="0" w:firstLine="0"/>
        <w:jc w:val="both"/>
        <w:rPr>
          <w:rFonts w:ascii="Garamond" w:hAnsi="Garamond"/>
          <w:sz w:val="18"/>
          <w:szCs w:val="20"/>
          <w:lang w:val="es-AR"/>
        </w:rPr>
      </w:pPr>
      <w:r w:rsidRPr="00CA0A60">
        <w:rPr>
          <w:rFonts w:ascii="Garamond" w:hAnsi="Garamond"/>
          <w:sz w:val="18"/>
          <w:szCs w:val="20"/>
          <w:lang w:val="es-AR"/>
        </w:rPr>
        <w:t>GROSA opera esta planta generadora en virtud de un contrato de locación de diez años de plazo (renovable a su discreción por un plazo adicional de siete años) que GROSA celebró en abril de 2011 con Central Térmica Sorrento S.A., Central Térmica Sorrento S.A inició el procedimiento judicial de reorganización en diciembre de 2015. Para conocer mayor información sobre este contrato de locación, v</w:t>
      </w:r>
      <w:r w:rsidR="00DF0A28" w:rsidRPr="00CA0A60">
        <w:rPr>
          <w:rFonts w:ascii="Garamond" w:hAnsi="Garamond"/>
          <w:sz w:val="18"/>
          <w:szCs w:val="20"/>
          <w:lang w:val="es-AR"/>
        </w:rPr>
        <w:t>éase</w:t>
      </w:r>
      <w:r w:rsidRPr="00CA0A60">
        <w:rPr>
          <w:rFonts w:ascii="Garamond" w:hAnsi="Garamond"/>
          <w:sz w:val="18"/>
          <w:szCs w:val="20"/>
          <w:lang w:val="es-AR"/>
        </w:rPr>
        <w:t xml:space="preserve"> la sección “</w:t>
      </w:r>
      <w:r w:rsidR="008360BD" w:rsidRPr="00CA0A60">
        <w:rPr>
          <w:rFonts w:ascii="Garamond" w:hAnsi="Garamond"/>
          <w:i/>
          <w:sz w:val="18"/>
          <w:szCs w:val="20"/>
          <w:lang w:val="es-AR"/>
        </w:rPr>
        <w:t>Descripción del Garante -</w:t>
      </w:r>
      <w:r w:rsidR="00DF0A28" w:rsidRPr="00CA0A60">
        <w:rPr>
          <w:rFonts w:ascii="Garamond" w:hAnsi="Garamond"/>
          <w:i/>
          <w:sz w:val="18"/>
          <w:szCs w:val="20"/>
          <w:lang w:val="es-AR"/>
        </w:rPr>
        <w:t>La</w:t>
      </w:r>
      <w:r w:rsidRPr="00CA0A60">
        <w:rPr>
          <w:rFonts w:ascii="Garamond" w:hAnsi="Garamond"/>
          <w:i/>
          <w:sz w:val="18"/>
          <w:szCs w:val="20"/>
          <w:lang w:val="es-AR"/>
        </w:rPr>
        <w:t>s Centrales Eléctricas</w:t>
      </w:r>
      <w:r w:rsidR="00DF0A28" w:rsidRPr="00CA0A60">
        <w:rPr>
          <w:rFonts w:ascii="Garamond" w:hAnsi="Garamond"/>
          <w:i/>
          <w:sz w:val="18"/>
          <w:szCs w:val="20"/>
          <w:lang w:val="es-AR"/>
        </w:rPr>
        <w:t xml:space="preserve"> del Grupo Albanesi</w:t>
      </w:r>
      <w:r w:rsidRPr="00CA0A60">
        <w:rPr>
          <w:rFonts w:ascii="Garamond" w:hAnsi="Garamond"/>
          <w:i/>
          <w:sz w:val="18"/>
          <w:szCs w:val="20"/>
          <w:lang w:val="es-AR"/>
        </w:rPr>
        <w:t>—Central Térmica Generación Rosario</w:t>
      </w:r>
      <w:r w:rsidRPr="00CA0A60">
        <w:rPr>
          <w:rFonts w:ascii="Garamond" w:hAnsi="Garamond"/>
          <w:sz w:val="18"/>
          <w:szCs w:val="20"/>
          <w:lang w:val="es-AR"/>
        </w:rPr>
        <w:t>”</w:t>
      </w:r>
      <w:r w:rsidR="00DF0A28" w:rsidRPr="00CA0A60">
        <w:rPr>
          <w:rFonts w:ascii="Garamond" w:hAnsi="Garamond"/>
          <w:sz w:val="18"/>
          <w:szCs w:val="20"/>
          <w:lang w:val="es-AR"/>
        </w:rPr>
        <w:t xml:space="preserve"> del presente Suplemento.</w:t>
      </w:r>
      <w:r w:rsidRPr="00CA0A60">
        <w:rPr>
          <w:rFonts w:ascii="Garamond" w:hAnsi="Garamond"/>
          <w:sz w:val="18"/>
          <w:szCs w:val="20"/>
          <w:lang w:val="es-AR"/>
        </w:rPr>
        <w:t xml:space="preserve"> </w:t>
      </w:r>
    </w:p>
    <w:p w14:paraId="1C51A1E3" w14:textId="77777777" w:rsidR="00EE6C95" w:rsidRPr="00CA0A60" w:rsidRDefault="00DF0A28" w:rsidP="002830AF">
      <w:pPr>
        <w:pStyle w:val="Tablenotes"/>
        <w:numPr>
          <w:ilvl w:val="0"/>
          <w:numId w:val="69"/>
        </w:numPr>
        <w:tabs>
          <w:tab w:val="left" w:pos="284"/>
        </w:tabs>
        <w:ind w:left="0" w:firstLine="0"/>
        <w:jc w:val="both"/>
        <w:rPr>
          <w:rFonts w:ascii="Garamond" w:hAnsi="Garamond"/>
          <w:sz w:val="18"/>
          <w:szCs w:val="20"/>
          <w:lang w:val="es-AR"/>
        </w:rPr>
      </w:pPr>
      <w:r w:rsidRPr="00CA0A60">
        <w:rPr>
          <w:rFonts w:ascii="Garamond" w:hAnsi="Garamond"/>
          <w:sz w:val="18"/>
          <w:szCs w:val="20"/>
          <w:lang w:val="es-AR"/>
        </w:rPr>
        <w:t>El Grupo Albanesi es propietario</w:t>
      </w:r>
      <w:r w:rsidR="00EE6C95" w:rsidRPr="00CA0A60">
        <w:rPr>
          <w:rFonts w:ascii="Garamond" w:hAnsi="Garamond"/>
          <w:sz w:val="18"/>
          <w:szCs w:val="20"/>
          <w:lang w:val="es-AR"/>
        </w:rPr>
        <w:t xml:space="preserve"> de un 42% de Solalban.</w:t>
      </w:r>
    </w:p>
    <w:p w14:paraId="1AD38B12" w14:textId="77777777" w:rsidR="00EE6C95" w:rsidRPr="00CA0A60" w:rsidRDefault="00EE6C95" w:rsidP="002830AF">
      <w:pPr>
        <w:pStyle w:val="Tablenotes"/>
        <w:numPr>
          <w:ilvl w:val="0"/>
          <w:numId w:val="69"/>
        </w:numPr>
        <w:tabs>
          <w:tab w:val="left" w:pos="284"/>
        </w:tabs>
        <w:ind w:left="0" w:firstLine="0"/>
        <w:jc w:val="both"/>
        <w:rPr>
          <w:rFonts w:ascii="Garamond" w:hAnsi="Garamond"/>
          <w:sz w:val="18"/>
          <w:szCs w:val="20"/>
          <w:lang w:val="es-AR"/>
        </w:rPr>
      </w:pPr>
      <w:r w:rsidRPr="00CA0A60">
        <w:rPr>
          <w:rFonts w:ascii="Garamond" w:hAnsi="Garamond"/>
          <w:sz w:val="18"/>
          <w:szCs w:val="20"/>
          <w:lang w:val="es-AR"/>
        </w:rPr>
        <w:lastRenderedPageBreak/>
        <w:t xml:space="preserve">El terreno donde se ubica la planta no </w:t>
      </w:r>
      <w:r w:rsidR="005014EB" w:rsidRPr="00CA0A60">
        <w:rPr>
          <w:rFonts w:ascii="Garamond" w:hAnsi="Garamond"/>
          <w:sz w:val="18"/>
          <w:szCs w:val="20"/>
          <w:lang w:val="es-AR"/>
        </w:rPr>
        <w:t xml:space="preserve">es </w:t>
      </w:r>
      <w:r w:rsidR="00DF0A28" w:rsidRPr="00CA0A60">
        <w:rPr>
          <w:rFonts w:ascii="Garamond" w:hAnsi="Garamond"/>
          <w:sz w:val="18"/>
          <w:szCs w:val="20"/>
          <w:lang w:val="es-AR"/>
        </w:rPr>
        <w:t>de</w:t>
      </w:r>
      <w:r w:rsidRPr="00CA0A60">
        <w:rPr>
          <w:rFonts w:ascii="Garamond" w:hAnsi="Garamond"/>
          <w:sz w:val="18"/>
          <w:szCs w:val="20"/>
          <w:lang w:val="es-AR"/>
        </w:rPr>
        <w:t xml:space="preserve"> propiedad</w:t>
      </w:r>
      <w:r w:rsidR="00DF0A28" w:rsidRPr="00CA0A60">
        <w:rPr>
          <w:rFonts w:ascii="Garamond" w:hAnsi="Garamond"/>
          <w:sz w:val="18"/>
          <w:szCs w:val="20"/>
          <w:lang w:val="es-AR"/>
        </w:rPr>
        <w:t xml:space="preserve"> del Grupo Albanesi</w:t>
      </w:r>
      <w:r w:rsidRPr="00CA0A60">
        <w:rPr>
          <w:rFonts w:ascii="Garamond" w:hAnsi="Garamond"/>
          <w:sz w:val="18"/>
          <w:szCs w:val="20"/>
          <w:lang w:val="es-AR"/>
        </w:rPr>
        <w:t xml:space="preserve">. </w:t>
      </w:r>
      <w:r w:rsidR="00DF0A28" w:rsidRPr="00CA0A60">
        <w:rPr>
          <w:rFonts w:ascii="Garamond" w:hAnsi="Garamond"/>
          <w:sz w:val="18"/>
          <w:szCs w:val="20"/>
          <w:lang w:val="es-AR"/>
        </w:rPr>
        <w:t>Para mayor información, véase</w:t>
      </w:r>
      <w:r w:rsidRPr="00CA0A60">
        <w:rPr>
          <w:rFonts w:ascii="Garamond" w:hAnsi="Garamond"/>
          <w:sz w:val="18"/>
          <w:szCs w:val="20"/>
          <w:lang w:val="es-AR"/>
        </w:rPr>
        <w:t xml:space="preserve"> la sección </w:t>
      </w:r>
      <w:r w:rsidR="00DF0A28" w:rsidRPr="00CA0A60">
        <w:rPr>
          <w:rFonts w:ascii="Garamond" w:hAnsi="Garamond"/>
          <w:sz w:val="18"/>
          <w:szCs w:val="20"/>
          <w:lang w:val="es-AR"/>
        </w:rPr>
        <w:t xml:space="preserve">más abajo en el presente Suplemento </w:t>
      </w:r>
      <w:r w:rsidRPr="00CA0A60">
        <w:rPr>
          <w:rFonts w:ascii="Garamond" w:hAnsi="Garamond"/>
          <w:sz w:val="18"/>
          <w:szCs w:val="20"/>
          <w:lang w:val="es-AR"/>
        </w:rPr>
        <w:t>“</w:t>
      </w:r>
      <w:r w:rsidR="008360BD" w:rsidRPr="00CA0A60">
        <w:rPr>
          <w:rFonts w:ascii="Garamond" w:hAnsi="Garamond"/>
          <w:i/>
          <w:sz w:val="18"/>
          <w:szCs w:val="20"/>
          <w:lang w:val="es-AR"/>
        </w:rPr>
        <w:t>Descripción del Garante -</w:t>
      </w:r>
      <w:r w:rsidR="00DF0A28" w:rsidRPr="00CA0A60">
        <w:rPr>
          <w:rFonts w:ascii="Garamond" w:hAnsi="Garamond"/>
          <w:i/>
          <w:sz w:val="18"/>
          <w:szCs w:val="20"/>
          <w:lang w:val="es-AR"/>
        </w:rPr>
        <w:t>Las</w:t>
      </w:r>
      <w:r w:rsidRPr="00CA0A60">
        <w:rPr>
          <w:rFonts w:ascii="Garamond" w:hAnsi="Garamond"/>
          <w:i/>
          <w:sz w:val="18"/>
          <w:szCs w:val="20"/>
          <w:lang w:val="es-AR"/>
        </w:rPr>
        <w:t xml:space="preserve"> Centrales Eléctricas</w:t>
      </w:r>
      <w:r w:rsidR="00DF0A28" w:rsidRPr="00CA0A60">
        <w:rPr>
          <w:rFonts w:ascii="Garamond" w:hAnsi="Garamond"/>
          <w:i/>
          <w:sz w:val="18"/>
          <w:szCs w:val="20"/>
          <w:lang w:val="es-AR"/>
        </w:rPr>
        <w:t xml:space="preserve"> del Grupo Albanesi</w:t>
      </w:r>
      <w:r w:rsidRPr="00CA0A60">
        <w:rPr>
          <w:rFonts w:ascii="Garamond" w:hAnsi="Garamond"/>
          <w:sz w:val="18"/>
          <w:szCs w:val="20"/>
          <w:lang w:val="es-AR"/>
        </w:rPr>
        <w:t>”</w:t>
      </w:r>
      <w:r w:rsidR="00DF0A28" w:rsidRPr="00CA0A60">
        <w:rPr>
          <w:rFonts w:ascii="Garamond" w:hAnsi="Garamond"/>
          <w:sz w:val="18"/>
          <w:szCs w:val="20"/>
          <w:lang w:val="es-AR"/>
        </w:rPr>
        <w:t>.</w:t>
      </w:r>
    </w:p>
    <w:p w14:paraId="1BEDBFF3" w14:textId="77777777" w:rsidR="00EE6C95" w:rsidRPr="00CA0A60" w:rsidRDefault="00EE6C95" w:rsidP="002830AF">
      <w:pPr>
        <w:pStyle w:val="Tablenotes"/>
        <w:numPr>
          <w:ilvl w:val="0"/>
          <w:numId w:val="69"/>
        </w:numPr>
        <w:tabs>
          <w:tab w:val="left" w:pos="284"/>
        </w:tabs>
        <w:ind w:left="0" w:firstLine="0"/>
        <w:jc w:val="both"/>
        <w:rPr>
          <w:rFonts w:ascii="Garamond" w:hAnsi="Garamond"/>
          <w:sz w:val="18"/>
          <w:szCs w:val="20"/>
          <w:lang w:val="es-AR"/>
        </w:rPr>
      </w:pPr>
      <w:r w:rsidRPr="00CA0A60">
        <w:rPr>
          <w:rFonts w:ascii="Garamond" w:hAnsi="Garamond"/>
          <w:sz w:val="18"/>
          <w:szCs w:val="20"/>
          <w:lang w:val="es-AR"/>
        </w:rPr>
        <w:t>Corresponde a los 130 MW de Ciclo Abierto hasta Agosto de 2018. A partir de septiembre incluye también los 60 MW de Ciclo Combinado.</w:t>
      </w:r>
    </w:p>
    <w:p w14:paraId="628A5C94" w14:textId="77777777" w:rsidR="00EE6C95" w:rsidRPr="00CA0A60" w:rsidRDefault="00EE6C95" w:rsidP="002830AF">
      <w:pPr>
        <w:pStyle w:val="Tablenotes"/>
        <w:numPr>
          <w:ilvl w:val="0"/>
          <w:numId w:val="69"/>
        </w:numPr>
        <w:tabs>
          <w:tab w:val="left" w:pos="284"/>
        </w:tabs>
        <w:ind w:left="0" w:firstLine="0"/>
        <w:jc w:val="both"/>
        <w:rPr>
          <w:rFonts w:ascii="Garamond" w:hAnsi="Garamond"/>
          <w:sz w:val="18"/>
          <w:szCs w:val="20"/>
          <w:lang w:val="es-AR"/>
        </w:rPr>
      </w:pPr>
      <w:r w:rsidRPr="00CA0A60">
        <w:rPr>
          <w:rFonts w:ascii="Garamond" w:hAnsi="Garamond"/>
          <w:sz w:val="18"/>
          <w:szCs w:val="20"/>
          <w:lang w:val="es-AR"/>
        </w:rPr>
        <w:t xml:space="preserve">Una parte de la electricidad generada por esta planta es vendida directamente a Unipar Indupa S.A. fuera de cualquier marco regulatorio específico. </w:t>
      </w:r>
      <w:r w:rsidR="00430884" w:rsidRPr="00CA0A60">
        <w:rPr>
          <w:rFonts w:ascii="Garamond" w:hAnsi="Garamond"/>
          <w:sz w:val="18"/>
          <w:szCs w:val="20"/>
          <w:lang w:val="es-AR"/>
        </w:rPr>
        <w:t>Para mayor información, véase</w:t>
      </w:r>
      <w:r w:rsidRPr="00CA0A60">
        <w:rPr>
          <w:rFonts w:ascii="Garamond" w:hAnsi="Garamond"/>
          <w:sz w:val="18"/>
          <w:szCs w:val="20"/>
          <w:lang w:val="es-AR"/>
        </w:rPr>
        <w:t xml:space="preserve"> “</w:t>
      </w:r>
      <w:r w:rsidR="008360BD" w:rsidRPr="00CA0A60">
        <w:rPr>
          <w:rFonts w:ascii="Garamond" w:hAnsi="Garamond"/>
          <w:i/>
          <w:sz w:val="18"/>
          <w:szCs w:val="20"/>
          <w:lang w:val="es-AR"/>
        </w:rPr>
        <w:t>Descripción del Garante -</w:t>
      </w:r>
      <w:r w:rsidR="00430884" w:rsidRPr="00CA0A60">
        <w:rPr>
          <w:rFonts w:ascii="Garamond" w:hAnsi="Garamond"/>
          <w:i/>
          <w:sz w:val="18"/>
          <w:szCs w:val="20"/>
          <w:lang w:val="es-AR"/>
        </w:rPr>
        <w:t>La</w:t>
      </w:r>
      <w:r w:rsidRPr="00CA0A60">
        <w:rPr>
          <w:rFonts w:ascii="Garamond" w:hAnsi="Garamond"/>
          <w:i/>
          <w:sz w:val="18"/>
          <w:szCs w:val="20"/>
          <w:lang w:val="es-AR"/>
        </w:rPr>
        <w:t>s Centrales Eléctricas</w:t>
      </w:r>
      <w:r w:rsidRPr="00CA0A60" w:rsidDel="00461AB7">
        <w:rPr>
          <w:rFonts w:ascii="Garamond" w:hAnsi="Garamond"/>
          <w:i/>
          <w:sz w:val="18"/>
          <w:szCs w:val="20"/>
          <w:lang w:val="es-AR"/>
        </w:rPr>
        <w:t xml:space="preserve"> </w:t>
      </w:r>
      <w:r w:rsidR="00430884" w:rsidRPr="00CA0A60">
        <w:rPr>
          <w:rFonts w:ascii="Garamond" w:hAnsi="Garamond"/>
          <w:i/>
          <w:sz w:val="18"/>
          <w:szCs w:val="20"/>
          <w:lang w:val="es-AR"/>
        </w:rPr>
        <w:t>del Grupo Albanesi</w:t>
      </w:r>
      <w:r w:rsidRPr="00CA0A60">
        <w:rPr>
          <w:rFonts w:ascii="Garamond" w:hAnsi="Garamond"/>
          <w:i/>
          <w:sz w:val="18"/>
          <w:szCs w:val="20"/>
          <w:lang w:val="es-AR"/>
        </w:rPr>
        <w:t>–Solalban Energía</w:t>
      </w:r>
      <w:r w:rsidRPr="00CA0A60">
        <w:rPr>
          <w:rFonts w:ascii="Garamond" w:hAnsi="Garamond"/>
          <w:sz w:val="18"/>
          <w:szCs w:val="20"/>
          <w:lang w:val="es-AR"/>
        </w:rPr>
        <w:t>”</w:t>
      </w:r>
      <w:r w:rsidR="008360BD" w:rsidRPr="00CA0A60">
        <w:rPr>
          <w:rFonts w:ascii="Garamond" w:hAnsi="Garamond"/>
          <w:sz w:val="18"/>
          <w:szCs w:val="20"/>
          <w:lang w:val="es-AR"/>
        </w:rPr>
        <w:t xml:space="preserve"> en el presente Suplemento</w:t>
      </w:r>
      <w:r w:rsidRPr="00CA0A60">
        <w:rPr>
          <w:rFonts w:ascii="Garamond" w:hAnsi="Garamond"/>
          <w:sz w:val="18"/>
          <w:szCs w:val="20"/>
          <w:lang w:val="es-AR"/>
        </w:rPr>
        <w:t>.</w:t>
      </w:r>
    </w:p>
    <w:p w14:paraId="709E88E4" w14:textId="77777777" w:rsidR="00EE6C95" w:rsidRPr="00CA0A60" w:rsidRDefault="00EE6C95" w:rsidP="002C15E0">
      <w:pPr>
        <w:spacing w:after="0" w:line="240" w:lineRule="auto"/>
        <w:rPr>
          <w:rFonts w:ascii="Garamond" w:hAnsi="Garamond" w:cs="Times New Roman"/>
          <w:sz w:val="20"/>
          <w:szCs w:val="20"/>
          <w:lang w:val="es-AR"/>
        </w:rPr>
      </w:pPr>
    </w:p>
    <w:p w14:paraId="508C98E9" w14:textId="77777777" w:rsidR="00EE6C95" w:rsidRPr="00CA0A60" w:rsidRDefault="00EE6C95" w:rsidP="002C15E0">
      <w:pPr>
        <w:pStyle w:val="Tablenotes"/>
        <w:ind w:firstLine="0"/>
        <w:rPr>
          <w:rFonts w:ascii="Garamond" w:hAnsi="Garamond"/>
          <w:sz w:val="20"/>
          <w:szCs w:val="20"/>
          <w:lang w:val="es-AR"/>
        </w:rPr>
      </w:pPr>
    </w:p>
    <w:p w14:paraId="5945CA36" w14:textId="77777777" w:rsidR="00EE6C95" w:rsidRPr="00CA0A60" w:rsidRDefault="00EE6C95">
      <w:pPr>
        <w:pStyle w:val="Tablenotes"/>
        <w:ind w:left="0" w:firstLine="0"/>
        <w:jc w:val="both"/>
        <w:rPr>
          <w:rFonts w:ascii="Garamond" w:eastAsia="Calibri" w:hAnsi="Garamond"/>
          <w:sz w:val="20"/>
          <w:szCs w:val="20"/>
          <w:lang w:val="es-AR" w:eastAsia="en-US"/>
        </w:rPr>
      </w:pPr>
      <w:r w:rsidRPr="00CA0A60">
        <w:rPr>
          <w:rFonts w:ascii="Garamond" w:eastAsia="Calibri" w:hAnsi="Garamond"/>
          <w:sz w:val="20"/>
          <w:szCs w:val="20"/>
          <w:lang w:val="es-AR" w:eastAsia="en-US"/>
        </w:rPr>
        <w:t>El siguiente mapa muestra la ubicación de las plantas generadoras que opera el Grupo Albanesi:</w:t>
      </w:r>
    </w:p>
    <w:p w14:paraId="779F8E76" w14:textId="77777777" w:rsidR="00EE6C95" w:rsidRPr="00CA0A60" w:rsidRDefault="00EE6C95">
      <w:pPr>
        <w:pStyle w:val="Tablenotes"/>
        <w:ind w:left="0" w:firstLine="0"/>
        <w:jc w:val="center"/>
        <w:rPr>
          <w:rFonts w:ascii="Garamond" w:eastAsia="Calibri" w:hAnsi="Garamond"/>
          <w:sz w:val="20"/>
          <w:szCs w:val="20"/>
          <w:lang w:val="es-AR" w:eastAsia="en-US"/>
        </w:rPr>
      </w:pPr>
    </w:p>
    <w:p w14:paraId="7818863E" w14:textId="77777777" w:rsidR="00EE6C95" w:rsidRPr="00CA0A60" w:rsidRDefault="00EE6C95">
      <w:pPr>
        <w:pStyle w:val="Tablenotes"/>
        <w:ind w:left="0" w:firstLine="0"/>
        <w:jc w:val="both"/>
        <w:rPr>
          <w:rFonts w:ascii="Garamond" w:hAnsi="Garamond"/>
          <w:sz w:val="20"/>
          <w:szCs w:val="20"/>
          <w:lang w:val="es-AR"/>
        </w:rPr>
      </w:pPr>
      <w:r w:rsidRPr="00CA3A3D">
        <w:rPr>
          <w:rFonts w:ascii="Garamond" w:hAnsi="Garamond"/>
          <w:noProof/>
          <w:sz w:val="20"/>
          <w:szCs w:val="20"/>
          <w:lang w:val="es-AR" w:eastAsia="es-AR"/>
        </w:rPr>
        <w:drawing>
          <wp:inline distT="0" distB="0" distL="0" distR="0" wp14:anchorId="25EB3FA4" wp14:editId="4CF530B9">
            <wp:extent cx="5796000" cy="3600000"/>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6000" cy="3600000"/>
                    </a:xfrm>
                    <a:prstGeom prst="rect">
                      <a:avLst/>
                    </a:prstGeom>
                    <a:noFill/>
                  </pic:spPr>
                </pic:pic>
              </a:graphicData>
            </a:graphic>
          </wp:inline>
        </w:drawing>
      </w:r>
    </w:p>
    <w:p w14:paraId="44F69B9A" w14:textId="77777777" w:rsidR="00E44305" w:rsidRPr="00CA0A60" w:rsidRDefault="00E44305" w:rsidP="00002289">
      <w:pPr>
        <w:pStyle w:val="Tablenotes"/>
        <w:ind w:left="0" w:firstLine="0"/>
        <w:jc w:val="both"/>
        <w:rPr>
          <w:rFonts w:ascii="Garamond" w:hAnsi="Garamond"/>
          <w:sz w:val="20"/>
          <w:lang w:val="es-AR"/>
        </w:rPr>
      </w:pPr>
    </w:p>
    <w:p w14:paraId="5F07D11E" w14:textId="77777777" w:rsidR="00EE6C95" w:rsidRPr="00CA0A60" w:rsidRDefault="00EE6C95" w:rsidP="002C15E0">
      <w:pPr>
        <w:spacing w:after="0" w:line="240" w:lineRule="auto"/>
        <w:jc w:val="both"/>
        <w:rPr>
          <w:rFonts w:ascii="Garamond" w:hAnsi="Garamond" w:cs="Times New Roman"/>
          <w:b/>
          <w:sz w:val="20"/>
          <w:szCs w:val="20"/>
          <w:lang w:val="es-AR"/>
        </w:rPr>
      </w:pPr>
    </w:p>
    <w:p w14:paraId="39537D72" w14:textId="77777777" w:rsidR="00EE6C95" w:rsidRPr="00CA3A3D" w:rsidRDefault="00EE6C95" w:rsidP="00060DAB">
      <w:pPr>
        <w:pStyle w:val="Textoindependiente"/>
        <w:keepNext/>
        <w:ind w:firstLine="0"/>
        <w:jc w:val="both"/>
        <w:rPr>
          <w:rFonts w:ascii="Garamond" w:hAnsi="Garamond"/>
          <w:b/>
          <w:u w:val="single"/>
          <w:lang w:val="es-AR"/>
        </w:rPr>
      </w:pPr>
      <w:r w:rsidRPr="00CA3A3D">
        <w:rPr>
          <w:rFonts w:ascii="Garamond" w:hAnsi="Garamond"/>
          <w:b/>
          <w:u w:val="single"/>
          <w:lang w:val="es-AR"/>
        </w:rPr>
        <w:lastRenderedPageBreak/>
        <w:t>Estructura organizativa</w:t>
      </w:r>
    </w:p>
    <w:p w14:paraId="25AE95A1" w14:textId="77777777" w:rsidR="00EE6C95" w:rsidRPr="00CA0A60" w:rsidRDefault="00EE6C95">
      <w:pPr>
        <w:keepNext/>
        <w:keepLines/>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El siguiente cuadro ilustra la estructura organizativa del Grupo Albanesi, detallando las capacidades nominales instaladas de cada sociedad.</w:t>
      </w:r>
    </w:p>
    <w:p w14:paraId="0A6959E7" w14:textId="77777777" w:rsidR="00EE6C95" w:rsidRPr="00CA0A60" w:rsidRDefault="001F1B85" w:rsidP="00060DAB">
      <w:pPr>
        <w:keepNext/>
        <w:spacing w:after="0" w:line="240" w:lineRule="auto"/>
        <w:jc w:val="right"/>
        <w:rPr>
          <w:rFonts w:ascii="Garamond" w:hAnsi="Garamond"/>
          <w:sz w:val="20"/>
          <w:szCs w:val="20"/>
          <w:lang w:val="es-AR"/>
        </w:rPr>
      </w:pPr>
      <w:r w:rsidRPr="00CA0A60">
        <w:rPr>
          <w:noProof/>
          <w:lang w:val="es-AR" w:eastAsia="es-AR"/>
        </w:rPr>
        <w:drawing>
          <wp:inline distT="0" distB="0" distL="0" distR="0" wp14:anchorId="755B013F" wp14:editId="3F4BB823">
            <wp:extent cx="4786630" cy="3171825"/>
            <wp:effectExtent l="0" t="0" r="0" b="9525"/>
            <wp:docPr id="1138" name="Imagen 1138"/>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86630" cy="3171825"/>
                    </a:xfrm>
                    <a:prstGeom prst="rect">
                      <a:avLst/>
                    </a:prstGeom>
                    <a:noFill/>
                  </pic:spPr>
                </pic:pic>
              </a:graphicData>
            </a:graphic>
          </wp:inline>
        </w:drawing>
      </w:r>
      <w:r w:rsidRPr="00CA3A3D" w:rsidDel="001F1B85">
        <w:rPr>
          <w:rFonts w:ascii="Garamond" w:hAnsi="Garamond"/>
          <w:sz w:val="20"/>
          <w:szCs w:val="20"/>
          <w:lang w:val="es-AR"/>
        </w:rPr>
        <w:t xml:space="preserve"> </w:t>
      </w:r>
    </w:p>
    <w:p w14:paraId="7F069D6C" w14:textId="77777777" w:rsidR="00EE6C95" w:rsidRPr="00CA0A60" w:rsidRDefault="00EE6C95" w:rsidP="00060DAB">
      <w:pPr>
        <w:pStyle w:val="BlockTextSgl"/>
        <w:keepNext/>
        <w:tabs>
          <w:tab w:val="left" w:pos="0"/>
        </w:tabs>
        <w:spacing w:after="0"/>
        <w:rPr>
          <w:rFonts w:ascii="Garamond" w:hAnsi="Garamond"/>
          <w:sz w:val="18"/>
          <w:lang w:val="es-AR"/>
        </w:rPr>
      </w:pPr>
      <w:r w:rsidRPr="00CA0A60">
        <w:rPr>
          <w:rFonts w:ascii="Garamond" w:hAnsi="Garamond"/>
          <w:sz w:val="18"/>
          <w:lang w:val="es-AR"/>
        </w:rPr>
        <w:t>(1) Son accionistas de Holen S.A.: Fernando Sarti (95%), Jose L. Sarti (1,67%), J</w:t>
      </w:r>
      <w:r w:rsidR="009A2C8B" w:rsidRPr="00CA0A60">
        <w:rPr>
          <w:rFonts w:ascii="Garamond" w:hAnsi="Garamond"/>
          <w:sz w:val="18"/>
          <w:lang w:val="es-AR"/>
        </w:rPr>
        <w:t>ulián</w:t>
      </w:r>
      <w:r w:rsidRPr="00CA0A60">
        <w:rPr>
          <w:rFonts w:ascii="Garamond" w:hAnsi="Garamond"/>
          <w:sz w:val="18"/>
          <w:lang w:val="es-AR"/>
        </w:rPr>
        <w:t xml:space="preserve"> P. Sarti (1,67%) y Adolfo Subieta (1,67%). </w:t>
      </w:r>
    </w:p>
    <w:p w14:paraId="629968FB" w14:textId="77777777" w:rsidR="00EE6C95" w:rsidRPr="00CA0A60" w:rsidRDefault="00EE6C95" w:rsidP="00060DAB">
      <w:pPr>
        <w:pStyle w:val="BlockTextSgl"/>
        <w:keepNext/>
        <w:tabs>
          <w:tab w:val="left" w:pos="0"/>
        </w:tabs>
        <w:spacing w:after="0"/>
        <w:rPr>
          <w:rFonts w:ascii="Garamond" w:hAnsi="Garamond"/>
          <w:sz w:val="18"/>
          <w:lang w:val="es-AR"/>
        </w:rPr>
      </w:pPr>
      <w:r w:rsidRPr="00CA0A60">
        <w:rPr>
          <w:rFonts w:ascii="Garamond" w:hAnsi="Garamond"/>
          <w:sz w:val="18"/>
          <w:lang w:val="es-AR"/>
        </w:rPr>
        <w:t>(2) Albanesi S.A se fusionó con Albanesi Inversora con efecto a enero de 2018.</w:t>
      </w:r>
    </w:p>
    <w:p w14:paraId="64DC98DC" w14:textId="77777777" w:rsidR="00EE6C95" w:rsidRPr="00CA0A60" w:rsidRDefault="00EE6C95" w:rsidP="00060DAB">
      <w:pPr>
        <w:pStyle w:val="BlockTextSgl"/>
        <w:keepNext/>
        <w:tabs>
          <w:tab w:val="left" w:pos="0"/>
        </w:tabs>
        <w:spacing w:after="0"/>
        <w:rPr>
          <w:rFonts w:ascii="Garamond" w:hAnsi="Garamond"/>
          <w:sz w:val="18"/>
          <w:lang w:val="es-AR"/>
        </w:rPr>
      </w:pPr>
      <w:r w:rsidRPr="00CA0A60">
        <w:rPr>
          <w:rFonts w:ascii="Garamond" w:hAnsi="Garamond"/>
          <w:sz w:val="18"/>
          <w:lang w:val="es-AR"/>
        </w:rPr>
        <w:t>(3) Tefu S.A. posee una participación del 25% en CTR.</w:t>
      </w:r>
    </w:p>
    <w:p w14:paraId="0DDEFFF0" w14:textId="77777777" w:rsidR="00EE6C95" w:rsidRPr="00CA0A60" w:rsidRDefault="00EE6C95" w:rsidP="00060DAB">
      <w:pPr>
        <w:pStyle w:val="BlockTextSgl"/>
        <w:keepNext/>
        <w:tabs>
          <w:tab w:val="left" w:pos="0"/>
        </w:tabs>
        <w:spacing w:after="0"/>
        <w:rPr>
          <w:rFonts w:ascii="Garamond" w:hAnsi="Garamond"/>
          <w:sz w:val="18"/>
          <w:lang w:val="es-AR"/>
        </w:rPr>
      </w:pPr>
      <w:r w:rsidRPr="00CA0A60">
        <w:rPr>
          <w:rFonts w:ascii="Garamond" w:hAnsi="Garamond"/>
          <w:sz w:val="18"/>
          <w:lang w:val="es-AR"/>
        </w:rPr>
        <w:t>(4) Holen S.A., Armando Losón y Carlos Bauzas poseen el 5% restante de GEMSA, Generación Rosario S.A. y Generación Centro S.A.</w:t>
      </w:r>
    </w:p>
    <w:p w14:paraId="286B8CD7" w14:textId="77777777" w:rsidR="00EE6C95" w:rsidRPr="00CA0A60" w:rsidRDefault="00EE6C95" w:rsidP="00060DAB">
      <w:pPr>
        <w:pStyle w:val="BlockTextSgl"/>
        <w:keepNext/>
        <w:tabs>
          <w:tab w:val="left" w:pos="0"/>
        </w:tabs>
        <w:spacing w:after="0"/>
        <w:rPr>
          <w:rFonts w:ascii="Garamond" w:hAnsi="Garamond"/>
          <w:sz w:val="18"/>
          <w:lang w:val="es-AR"/>
        </w:rPr>
      </w:pPr>
      <w:r w:rsidRPr="00CA0A60">
        <w:rPr>
          <w:rFonts w:ascii="Garamond" w:hAnsi="Garamond"/>
          <w:sz w:val="18"/>
          <w:lang w:val="es-AR"/>
        </w:rPr>
        <w:t>(5) Unipar Indupa S.A. controla el 58% de Solalban.</w:t>
      </w:r>
    </w:p>
    <w:p w14:paraId="41508A3C" w14:textId="147D2F65" w:rsidR="003B5F2A" w:rsidRPr="00CA0A60" w:rsidRDefault="00170EB6" w:rsidP="002C15E0">
      <w:pPr>
        <w:pStyle w:val="Textoindependiente"/>
        <w:ind w:firstLine="0"/>
        <w:jc w:val="both"/>
        <w:rPr>
          <w:rFonts w:ascii="Garamond" w:hAnsi="Garamond"/>
          <w:b/>
          <w:u w:val="single"/>
          <w:lang w:val="es-AR"/>
        </w:rPr>
      </w:pPr>
      <w:r w:rsidRPr="00CA0A60">
        <w:rPr>
          <w:rFonts w:ascii="Garamond" w:hAnsi="Garamond"/>
          <w:b/>
          <w:u w:val="single"/>
          <w:lang w:val="es-AR"/>
        </w:rPr>
        <w:t xml:space="preserve"> </w:t>
      </w:r>
    </w:p>
    <w:p w14:paraId="6EAD2C4F" w14:textId="77777777" w:rsidR="00EE6C95" w:rsidRPr="00CA3A3D" w:rsidRDefault="00EE6C95" w:rsidP="002C15E0">
      <w:pPr>
        <w:pStyle w:val="Textoindependiente"/>
        <w:ind w:firstLine="0"/>
        <w:jc w:val="both"/>
        <w:rPr>
          <w:rFonts w:ascii="Garamond" w:hAnsi="Garamond"/>
          <w:u w:val="single"/>
          <w:lang w:val="es-AR"/>
        </w:rPr>
      </w:pPr>
      <w:r w:rsidRPr="00CA3A3D">
        <w:rPr>
          <w:rFonts w:ascii="Garamond" w:hAnsi="Garamond"/>
          <w:b/>
          <w:u w:val="single"/>
          <w:lang w:val="es-AR"/>
        </w:rPr>
        <w:t xml:space="preserve">Las </w:t>
      </w:r>
      <w:r w:rsidR="00C7329A" w:rsidRPr="00CA3A3D">
        <w:rPr>
          <w:rFonts w:ascii="Garamond" w:hAnsi="Garamond"/>
          <w:b/>
          <w:u w:val="single"/>
          <w:lang w:val="es-AR"/>
        </w:rPr>
        <w:t>C</w:t>
      </w:r>
      <w:r w:rsidRPr="00CA3A3D">
        <w:rPr>
          <w:rFonts w:ascii="Garamond" w:hAnsi="Garamond"/>
          <w:b/>
          <w:u w:val="single"/>
          <w:lang w:val="es-AR"/>
        </w:rPr>
        <w:t xml:space="preserve">entrales </w:t>
      </w:r>
      <w:r w:rsidR="00C7329A" w:rsidRPr="00CA3A3D">
        <w:rPr>
          <w:rFonts w:ascii="Garamond" w:hAnsi="Garamond"/>
          <w:b/>
          <w:u w:val="single"/>
          <w:lang w:val="es-AR"/>
        </w:rPr>
        <w:t>E</w:t>
      </w:r>
      <w:r w:rsidRPr="00CA3A3D">
        <w:rPr>
          <w:rFonts w:ascii="Garamond" w:hAnsi="Garamond"/>
          <w:b/>
          <w:u w:val="single"/>
          <w:lang w:val="es-AR"/>
        </w:rPr>
        <w:t>léctricas del Grupo Albanesi</w:t>
      </w:r>
    </w:p>
    <w:p w14:paraId="2D15E2D6" w14:textId="77777777" w:rsidR="00EE6C95" w:rsidRPr="00CA0A60" w:rsidRDefault="00EE6C95" w:rsidP="002C15E0">
      <w:pPr>
        <w:pStyle w:val="BodyText2Sgl"/>
        <w:spacing w:after="0"/>
        <w:ind w:firstLine="0"/>
        <w:jc w:val="both"/>
        <w:rPr>
          <w:rFonts w:ascii="Garamond" w:eastAsia="Times New Roman" w:hAnsi="Garamond"/>
          <w:lang w:val="es-AR"/>
        </w:rPr>
      </w:pPr>
      <w:r w:rsidRPr="00CA0A60">
        <w:rPr>
          <w:rFonts w:ascii="Garamond" w:eastAsia="Times New Roman" w:hAnsi="Garamond"/>
          <w:lang w:val="es-AR"/>
        </w:rPr>
        <w:t>En la actualidad el Grupo Albanesi opera nueve centrales termoeléctricas en pleno funcionamiento situadas en diversas provincias argentinas.</w:t>
      </w:r>
    </w:p>
    <w:p w14:paraId="43D6B1D6" w14:textId="77777777" w:rsidR="00EE6C95" w:rsidRPr="00CA0A60" w:rsidRDefault="00EE6C95" w:rsidP="002C15E0">
      <w:pPr>
        <w:pStyle w:val="BodyText2Sgl"/>
        <w:spacing w:after="0"/>
        <w:ind w:firstLine="0"/>
        <w:jc w:val="both"/>
        <w:rPr>
          <w:rFonts w:ascii="Garamond" w:hAnsi="Garamond"/>
          <w:lang w:val="es-AR"/>
        </w:rPr>
      </w:pPr>
    </w:p>
    <w:p w14:paraId="301ADBDD" w14:textId="77777777" w:rsidR="00EE6C95" w:rsidRPr="00CA0A60" w:rsidRDefault="00EE6C95" w:rsidP="002C15E0">
      <w:pPr>
        <w:pStyle w:val="TitleI"/>
        <w:spacing w:after="0"/>
        <w:jc w:val="both"/>
        <w:rPr>
          <w:rFonts w:ascii="Garamond" w:eastAsia="Times New Roman" w:hAnsi="Garamond" w:cs="Times New Roman"/>
          <w:i w:val="0"/>
          <w:szCs w:val="20"/>
          <w:lang w:val="es-AR"/>
        </w:rPr>
      </w:pPr>
      <w:r w:rsidRPr="00CA0A60">
        <w:rPr>
          <w:rFonts w:ascii="Garamond" w:eastAsia="Times New Roman" w:hAnsi="Garamond" w:cs="Times New Roman"/>
          <w:i w:val="0"/>
          <w:szCs w:val="20"/>
          <w:lang w:val="es-AR"/>
        </w:rPr>
        <w:t xml:space="preserve">La información </w:t>
      </w:r>
      <w:r w:rsidR="00C7329A" w:rsidRPr="00CA0A60">
        <w:rPr>
          <w:rFonts w:ascii="Garamond" w:eastAsia="Times New Roman" w:hAnsi="Garamond" w:cs="Times New Roman"/>
          <w:i w:val="0"/>
          <w:szCs w:val="20"/>
          <w:lang w:val="es-AR"/>
        </w:rPr>
        <w:t>relativa a</w:t>
      </w:r>
      <w:r w:rsidRPr="00CA0A60">
        <w:rPr>
          <w:rFonts w:ascii="Garamond" w:eastAsia="Times New Roman" w:hAnsi="Garamond" w:cs="Times New Roman"/>
          <w:i w:val="0"/>
          <w:szCs w:val="20"/>
          <w:lang w:val="es-AR"/>
        </w:rPr>
        <w:t xml:space="preserve"> las centrales “Central Modesto Maranzana”; “Central Térmica Independencia”; “Central Térmica Ezeiza”; “Central Térmica Riojana”; “Central Térmica Generación Frías”</w:t>
      </w:r>
      <w:r w:rsidRPr="00CA0A60">
        <w:rPr>
          <w:rFonts w:ascii="Garamond" w:eastAsia="Times New Roman" w:hAnsi="Garamond"/>
          <w:i w:val="0"/>
          <w:color w:val="000000"/>
          <w:szCs w:val="20"/>
          <w:lang w:val="es-AR"/>
        </w:rPr>
        <w:t xml:space="preserve">; </w:t>
      </w:r>
      <w:r w:rsidRPr="00CA0A60">
        <w:rPr>
          <w:rFonts w:ascii="Garamond" w:eastAsia="Times New Roman" w:hAnsi="Garamond" w:cs="Times New Roman"/>
          <w:i w:val="0"/>
          <w:szCs w:val="20"/>
          <w:lang w:val="es-AR"/>
        </w:rPr>
        <w:t>“Central Térmica La Banda”; y “Central Térmica Roca” se encuentra descripta en la sección “</w:t>
      </w:r>
      <w:r w:rsidRPr="00CA0A60">
        <w:rPr>
          <w:rFonts w:ascii="Garamond" w:eastAsia="Times New Roman" w:hAnsi="Garamond" w:cs="Times New Roman"/>
          <w:szCs w:val="20"/>
          <w:lang w:val="es-AR"/>
        </w:rPr>
        <w:t xml:space="preserve">Información de las Co-Emisoras - Las centrales </w:t>
      </w:r>
      <w:r w:rsidR="00C7329A" w:rsidRPr="00CA0A60">
        <w:rPr>
          <w:rFonts w:ascii="Garamond" w:eastAsia="Times New Roman" w:hAnsi="Garamond" w:cs="Times New Roman"/>
          <w:szCs w:val="20"/>
          <w:lang w:val="es-AR"/>
        </w:rPr>
        <w:t>eléctr</w:t>
      </w:r>
      <w:r w:rsidRPr="00CA0A60">
        <w:rPr>
          <w:rFonts w:ascii="Garamond" w:eastAsia="Times New Roman" w:hAnsi="Garamond" w:cs="Times New Roman"/>
          <w:szCs w:val="20"/>
          <w:lang w:val="es-AR"/>
        </w:rPr>
        <w:t>icas de las Co-Emisoras</w:t>
      </w:r>
      <w:r w:rsidRPr="00CA0A60">
        <w:rPr>
          <w:rFonts w:ascii="Garamond" w:eastAsia="Times New Roman" w:hAnsi="Garamond" w:cs="Times New Roman"/>
          <w:i w:val="0"/>
          <w:szCs w:val="20"/>
          <w:lang w:val="es-AR"/>
        </w:rPr>
        <w:t>”.</w:t>
      </w:r>
    </w:p>
    <w:p w14:paraId="17DBC151" w14:textId="77777777" w:rsidR="00EE6C95" w:rsidRPr="00CA0A60" w:rsidRDefault="00EE6C95" w:rsidP="002C15E0">
      <w:pPr>
        <w:pStyle w:val="TitleI"/>
        <w:keepNext w:val="0"/>
        <w:spacing w:after="0"/>
        <w:jc w:val="both"/>
        <w:rPr>
          <w:rFonts w:ascii="Garamond" w:eastAsia="Times New Roman" w:hAnsi="Garamond" w:cs="Times New Roman"/>
          <w:i w:val="0"/>
          <w:szCs w:val="20"/>
          <w:lang w:val="es-AR"/>
        </w:rPr>
      </w:pPr>
    </w:p>
    <w:p w14:paraId="4B6FA0DA" w14:textId="77777777" w:rsidR="00EE6C95" w:rsidRPr="00CA0A60" w:rsidRDefault="00EE6C95" w:rsidP="002C15E0">
      <w:pPr>
        <w:pStyle w:val="TitleI"/>
        <w:keepNext w:val="0"/>
        <w:spacing w:after="0"/>
        <w:jc w:val="both"/>
        <w:rPr>
          <w:rFonts w:ascii="Garamond" w:eastAsia="Times New Roman" w:hAnsi="Garamond" w:cs="Times New Roman"/>
          <w:szCs w:val="20"/>
          <w:u w:val="single"/>
          <w:lang w:val="es-AR"/>
        </w:rPr>
      </w:pPr>
      <w:r w:rsidRPr="00CA0A60">
        <w:rPr>
          <w:rFonts w:ascii="Garamond" w:eastAsia="Times New Roman" w:hAnsi="Garamond" w:cs="Times New Roman"/>
          <w:szCs w:val="20"/>
          <w:u w:val="single"/>
          <w:lang w:val="es-AR"/>
        </w:rPr>
        <w:t xml:space="preserve">Central Térmica </w:t>
      </w:r>
      <w:r w:rsidR="004C7AB5" w:rsidRPr="00CA0A60">
        <w:rPr>
          <w:rFonts w:ascii="Garamond" w:eastAsia="Times New Roman" w:hAnsi="Garamond" w:cs="Times New Roman"/>
          <w:szCs w:val="20"/>
          <w:u w:val="single"/>
          <w:lang w:val="es-AR"/>
        </w:rPr>
        <w:t>Sorrento</w:t>
      </w:r>
      <w:r w:rsidRPr="00CA0A60">
        <w:rPr>
          <w:rFonts w:ascii="Garamond" w:eastAsia="Times New Roman" w:hAnsi="Garamond" w:cs="Times New Roman"/>
          <w:szCs w:val="20"/>
          <w:u w:val="single"/>
          <w:lang w:val="es-AR"/>
        </w:rPr>
        <w:t xml:space="preserve"> </w:t>
      </w:r>
    </w:p>
    <w:p w14:paraId="6F8BD81B" w14:textId="77777777" w:rsidR="00EE6C95" w:rsidRPr="00CA0A60" w:rsidRDefault="00EE6C95" w:rsidP="002C15E0">
      <w:pPr>
        <w:pStyle w:val="TitleI"/>
        <w:keepNext w:val="0"/>
        <w:spacing w:after="0"/>
        <w:jc w:val="both"/>
        <w:rPr>
          <w:rFonts w:ascii="Garamond" w:hAnsi="Garamond" w:cs="Times New Roman"/>
          <w:i w:val="0"/>
          <w:szCs w:val="20"/>
          <w:u w:val="single"/>
          <w:lang w:val="es-AR"/>
        </w:rPr>
      </w:pPr>
    </w:p>
    <w:p w14:paraId="582BB4A7" w14:textId="77777777" w:rsidR="00EE6C95" w:rsidRPr="00CA0A60" w:rsidRDefault="00EE6C95" w:rsidP="002C15E0">
      <w:pPr>
        <w:pStyle w:val="BodyText2Sgl"/>
        <w:spacing w:after="0"/>
        <w:ind w:firstLine="0"/>
        <w:jc w:val="both"/>
        <w:rPr>
          <w:rFonts w:ascii="Garamond" w:eastAsia="Times New Roman" w:hAnsi="Garamond"/>
          <w:lang w:val="es-AR"/>
        </w:rPr>
      </w:pPr>
      <w:r w:rsidRPr="00CA0A60">
        <w:rPr>
          <w:rFonts w:ascii="Garamond" w:eastAsia="Times New Roman" w:hAnsi="Garamond"/>
          <w:lang w:val="es-AR"/>
        </w:rPr>
        <w:t xml:space="preserve">Esta central termoeléctrica de combustible dual se sitúa en la ciudad de Rosario, provincia de Santa Fe. La central se construyó en 1981 y entró en pleno funcionamiento en agosto de 2009. Se trata de una central de ciclo simple con una turbina vapor con capacidad 140 MW. El Grupo Albanesi opera </w:t>
      </w:r>
      <w:r w:rsidR="004C7AB5" w:rsidRPr="00CA0A60">
        <w:rPr>
          <w:rFonts w:ascii="Garamond" w:eastAsia="Times New Roman" w:hAnsi="Garamond"/>
          <w:lang w:val="es-AR"/>
        </w:rPr>
        <w:t>dicha central a través de su subsidiaria GROSA</w:t>
      </w:r>
      <w:r w:rsidRPr="00CA0A60">
        <w:rPr>
          <w:rFonts w:ascii="Garamond" w:eastAsia="Times New Roman" w:hAnsi="Garamond"/>
          <w:lang w:val="es-AR"/>
        </w:rPr>
        <w:t xml:space="preserve"> en virtud de un contrato de locación celebrado en abril</w:t>
      </w:r>
      <w:r w:rsidRPr="00CA0A60">
        <w:rPr>
          <w:rFonts w:ascii="Garamond" w:hAnsi="Garamond"/>
          <w:lang w:val="es-AR"/>
        </w:rPr>
        <w:t xml:space="preserve"> de 2011</w:t>
      </w:r>
      <w:r w:rsidRPr="00CA0A60">
        <w:rPr>
          <w:rFonts w:ascii="Garamond" w:eastAsia="Times New Roman" w:hAnsi="Garamond"/>
          <w:lang w:val="es-AR"/>
        </w:rPr>
        <w:t xml:space="preserve"> con Sorrento S.A., habiéndola puesto nuevamente en servicio mediante trabajos de reparación y acondicionamiento por un valor de USD 36 millones. El plazo de vigencia del contrato es de diez años, renovable a elección del Grupo Albanesi por un plazo adicional de siete años. En diciembre de 2015, Sorrento S.A. solicitó la apertura de concurso preventivo ante la justicia en lo comercial de la Ciudad de Buenos Aires. El Grupo Albanesi estima que dicho proceso no afectará la capacidad del mismo para continuar operando la planta en virtud del contrato de locación.</w:t>
      </w:r>
    </w:p>
    <w:p w14:paraId="2613E9C1" w14:textId="77777777" w:rsidR="00EE6C95" w:rsidRPr="00CA0A60" w:rsidRDefault="00EE6C95" w:rsidP="002C15E0">
      <w:pPr>
        <w:pStyle w:val="BodyText2Sgl"/>
        <w:keepNext/>
        <w:keepLines/>
        <w:spacing w:after="0"/>
        <w:ind w:firstLine="0"/>
        <w:jc w:val="both"/>
        <w:rPr>
          <w:rFonts w:ascii="Garamond" w:eastAsia="Times New Roman" w:hAnsi="Garamond"/>
          <w:lang w:val="es-AR"/>
        </w:rPr>
      </w:pPr>
    </w:p>
    <w:p w14:paraId="525D6E39" w14:textId="77777777" w:rsidR="00EE6C95" w:rsidRPr="00CA0A60" w:rsidRDefault="00EE6C95" w:rsidP="002C15E0">
      <w:pPr>
        <w:pStyle w:val="BodyText2Sgl"/>
        <w:spacing w:after="0"/>
        <w:ind w:firstLine="0"/>
        <w:jc w:val="both"/>
        <w:rPr>
          <w:rFonts w:ascii="Garamond" w:eastAsia="Times New Roman" w:hAnsi="Garamond"/>
          <w:lang w:val="es-AR"/>
        </w:rPr>
      </w:pPr>
      <w:r w:rsidRPr="00CA0A60">
        <w:rPr>
          <w:rFonts w:ascii="Garamond" w:eastAsia="Times New Roman" w:hAnsi="Garamond"/>
          <w:lang w:val="es-AR"/>
        </w:rPr>
        <w:t xml:space="preserve">En 2011 se concluyó la primera etapa de las tareas de reparación y mantenimiento que requería la caldera de la central, que comenzó sus operaciones con una capacidad de generación instalada de 80 MW. Entre 2012 y 2015 se realizaron nuevos trabajos de reacondicionamiento de la central, lo que elevó su capacidad de generación a los 140 MW actuales. Esta central cuenta con una turbina de vapor Ansaldo de combustible dual con 140 MW </w:t>
      </w:r>
      <w:r w:rsidRPr="00CA0A60">
        <w:rPr>
          <w:rFonts w:ascii="Garamond" w:eastAsia="Times New Roman" w:hAnsi="Garamond"/>
          <w:lang w:val="es-AR"/>
        </w:rPr>
        <w:lastRenderedPageBreak/>
        <w:t xml:space="preserve">de capacidad nominal. La turbina puede funcionar tanto a gas como a fuel oil. La central cuenta con una capacidad de almacenamiento de fueloil total de 17.400 toneladas, lo que permite hasta veinte días de operaciones a máxima capacidad. </w:t>
      </w:r>
    </w:p>
    <w:p w14:paraId="1037B8A3" w14:textId="77777777" w:rsidR="00EE6C95" w:rsidRPr="00CA0A60" w:rsidRDefault="00EE6C95" w:rsidP="002C15E0">
      <w:pPr>
        <w:pStyle w:val="BodyText2Sgl"/>
        <w:spacing w:after="0"/>
        <w:ind w:firstLine="0"/>
        <w:jc w:val="both"/>
        <w:rPr>
          <w:rFonts w:ascii="Garamond" w:hAnsi="Garamond"/>
          <w:lang w:val="es-AR"/>
        </w:rPr>
      </w:pPr>
    </w:p>
    <w:p w14:paraId="50951F32" w14:textId="77777777" w:rsidR="00EE6C95" w:rsidRPr="00CA0A60" w:rsidRDefault="00EE6C95" w:rsidP="002C15E0">
      <w:pPr>
        <w:pStyle w:val="TitleI"/>
        <w:keepNext w:val="0"/>
        <w:spacing w:after="0"/>
        <w:jc w:val="both"/>
        <w:rPr>
          <w:rFonts w:ascii="Garamond" w:eastAsia="Times New Roman" w:hAnsi="Garamond" w:cs="Times New Roman"/>
          <w:szCs w:val="20"/>
          <w:u w:val="single"/>
          <w:lang w:val="es-AR"/>
        </w:rPr>
      </w:pPr>
      <w:r w:rsidRPr="00CA0A60">
        <w:rPr>
          <w:rFonts w:ascii="Garamond" w:eastAsia="Times New Roman" w:hAnsi="Garamond" w:cs="Times New Roman"/>
          <w:szCs w:val="20"/>
          <w:u w:val="single"/>
          <w:lang w:val="es-AR"/>
        </w:rPr>
        <w:t>Solalban Energía</w:t>
      </w:r>
    </w:p>
    <w:p w14:paraId="687C6DE0" w14:textId="77777777" w:rsidR="00EE6C95" w:rsidRPr="00CA0A60" w:rsidRDefault="00EE6C95" w:rsidP="002C15E0">
      <w:pPr>
        <w:pStyle w:val="BodyText2Sgl"/>
        <w:spacing w:after="0"/>
        <w:ind w:firstLine="0"/>
        <w:jc w:val="both"/>
        <w:rPr>
          <w:rFonts w:ascii="Garamond" w:eastAsia="Times New Roman" w:hAnsi="Garamond"/>
          <w:lang w:val="es-AR"/>
        </w:rPr>
      </w:pPr>
    </w:p>
    <w:p w14:paraId="0D24D18A" w14:textId="77777777" w:rsidR="00EE6C95" w:rsidRPr="00CA0A60" w:rsidRDefault="00EE6C95" w:rsidP="002C15E0">
      <w:pPr>
        <w:pStyle w:val="BodyText2Sgl"/>
        <w:spacing w:after="0"/>
        <w:ind w:firstLine="0"/>
        <w:jc w:val="both"/>
        <w:rPr>
          <w:rFonts w:ascii="Garamond" w:eastAsia="Times New Roman" w:hAnsi="Garamond"/>
          <w:lang w:val="es-AR"/>
        </w:rPr>
      </w:pPr>
      <w:r w:rsidRPr="00CA0A60">
        <w:rPr>
          <w:rFonts w:ascii="Garamond" w:eastAsia="Times New Roman" w:hAnsi="Garamond"/>
          <w:lang w:val="es-AR"/>
        </w:rPr>
        <w:t>En 2008 se constituyó Solalban, conjuntamente con Unipar Indupa, con el objeto planificar, construir y operar una central termoeléctrica de combustible dual en Bahía Blanca, provincia de Buenos Aires. Albanesi es propietaria de acciones representativas del 42% de Solalban, en tanto que Unipar Indupa lo es del 58% restante. La central eléctrica Solalban entró en pleno funcionamiento en 2009, con dos turbinas de combustible dual Pratt &amp; Whitney (modelo SWIFTPAC FT8-3) de 60 MW. El total invertido en esta central fue de</w:t>
      </w:r>
      <w:r w:rsidRPr="00CA0A60">
        <w:rPr>
          <w:rFonts w:ascii="Garamond" w:eastAsia="Times New Roman" w:hAnsi="Garamond"/>
          <w:color w:val="000000" w:themeColor="text1"/>
          <w:lang w:val="es-AR"/>
        </w:rPr>
        <w:t xml:space="preserve"> USD 90 millones</w:t>
      </w:r>
      <w:r w:rsidRPr="00CA0A60">
        <w:rPr>
          <w:rFonts w:ascii="Garamond" w:eastAsia="Times New Roman" w:hAnsi="Garamond"/>
          <w:lang w:val="es-AR"/>
        </w:rPr>
        <w:t>, suma que se destinó a la instalación de las dos turbinas mencionadas, al desarrollo de las obras eléctricas y civiles y a la instalación de un gasoducto de 11 kilómetros de extensión que se conecta al gasoducto troncal de Transportadora Gas del Sur S.A.(empresa de transmisión/distribución que opera en la región sur de Argentina).</w:t>
      </w:r>
    </w:p>
    <w:p w14:paraId="5B2F9378" w14:textId="77777777" w:rsidR="00EE6C95" w:rsidRPr="00CA0A60" w:rsidRDefault="00EE6C95" w:rsidP="002C15E0">
      <w:pPr>
        <w:pStyle w:val="BodyText2Sgl"/>
        <w:spacing w:after="0"/>
        <w:ind w:firstLine="0"/>
        <w:jc w:val="both"/>
        <w:rPr>
          <w:rFonts w:ascii="Garamond" w:hAnsi="Garamond"/>
          <w:lang w:val="es-AR"/>
        </w:rPr>
      </w:pPr>
    </w:p>
    <w:p w14:paraId="38C80F24" w14:textId="77777777" w:rsidR="00EE6C95" w:rsidRPr="00CA0A60" w:rsidRDefault="00EE6C95" w:rsidP="002C15E0">
      <w:pPr>
        <w:pStyle w:val="BodyText2Sgl"/>
        <w:spacing w:after="0"/>
        <w:ind w:firstLine="0"/>
        <w:jc w:val="both"/>
        <w:rPr>
          <w:rFonts w:ascii="Garamond" w:eastAsia="Times New Roman" w:hAnsi="Garamond"/>
          <w:color w:val="000000"/>
          <w:lang w:val="es-AR"/>
        </w:rPr>
      </w:pPr>
      <w:r w:rsidRPr="00CA0A60">
        <w:rPr>
          <w:rFonts w:ascii="Garamond" w:eastAsia="Times New Roman" w:hAnsi="Garamond"/>
          <w:color w:val="000000"/>
          <w:lang w:val="es-AR"/>
        </w:rPr>
        <w:t xml:space="preserve">Solalban vende la energía eléctrica que genera esta central a Unipar Indupa mediante una línea de transmisión interna e independiente (sin ingresar al </w:t>
      </w:r>
      <w:r w:rsidR="00C83085" w:rsidRPr="00CA0A60">
        <w:rPr>
          <w:rFonts w:ascii="Garamond" w:eastAsia="Times New Roman" w:hAnsi="Garamond"/>
          <w:color w:val="000000"/>
          <w:lang w:val="es-AR"/>
        </w:rPr>
        <w:t>Sistema Argentino de Interconexión (“</w:t>
      </w:r>
      <w:r w:rsidR="00C83085" w:rsidRPr="00CA0A60">
        <w:rPr>
          <w:rFonts w:ascii="Garamond" w:eastAsia="Times New Roman" w:hAnsi="Garamond"/>
          <w:color w:val="000000"/>
          <w:u w:val="single"/>
          <w:lang w:val="es-AR"/>
        </w:rPr>
        <w:t>SADI</w:t>
      </w:r>
      <w:r w:rsidR="00C83085" w:rsidRPr="00CA0A60">
        <w:rPr>
          <w:rFonts w:ascii="Garamond" w:eastAsia="Times New Roman" w:hAnsi="Garamond"/>
          <w:color w:val="000000"/>
          <w:lang w:val="es-AR"/>
        </w:rPr>
        <w:t>”)</w:t>
      </w:r>
      <w:r w:rsidRPr="00CA0A60">
        <w:rPr>
          <w:rFonts w:ascii="Garamond" w:eastAsia="Times New Roman" w:hAnsi="Garamond"/>
          <w:color w:val="000000"/>
          <w:lang w:val="es-AR"/>
        </w:rPr>
        <w:t xml:space="preserve">), en virtud de un contrato de venta de energía suscripto en 2009 con un plazo de vigencia de quince años, en tanto que la restante energía generada se vende a grandes consumidores industriales bajo el programa Energía Plus. Durante el ejercicio económico finalizado el 31 de diciembre de 2017, Solalban destinó el 79% de los MWh anuales de energía eléctrica generada a </w:t>
      </w:r>
      <w:r w:rsidRPr="00CA0A60">
        <w:rPr>
          <w:rFonts w:ascii="Garamond" w:eastAsia="Times New Roman" w:hAnsi="Garamond"/>
          <w:lang w:val="es-AR"/>
        </w:rPr>
        <w:t>Unipar</w:t>
      </w:r>
      <w:r w:rsidRPr="00CA0A60">
        <w:rPr>
          <w:rFonts w:ascii="Garamond" w:hAnsi="Garamond"/>
          <w:lang w:val="es-AR"/>
        </w:rPr>
        <w:t xml:space="preserve"> Indupa </w:t>
      </w:r>
      <w:r w:rsidRPr="00CA0A60">
        <w:rPr>
          <w:rFonts w:ascii="Garamond" w:eastAsia="Times New Roman" w:hAnsi="Garamond"/>
          <w:color w:val="000000"/>
          <w:lang w:val="es-AR"/>
        </w:rPr>
        <w:t>y el remanente lo comercializó el programa Energía Plus a través del SADI. Durante el trimestre finalizado el 3</w:t>
      </w:r>
      <w:r w:rsidR="00C83085" w:rsidRPr="00CA0A60">
        <w:rPr>
          <w:rFonts w:ascii="Garamond" w:eastAsia="Times New Roman" w:hAnsi="Garamond"/>
          <w:color w:val="000000"/>
          <w:lang w:val="es-AR"/>
        </w:rPr>
        <w:t>1</w:t>
      </w:r>
      <w:r w:rsidRPr="00CA0A60">
        <w:rPr>
          <w:rFonts w:ascii="Garamond" w:eastAsia="Times New Roman" w:hAnsi="Garamond"/>
          <w:color w:val="000000"/>
          <w:lang w:val="es-AR"/>
        </w:rPr>
        <w:t xml:space="preserve"> de </w:t>
      </w:r>
      <w:r w:rsidR="00C83085" w:rsidRPr="00CA0A60">
        <w:rPr>
          <w:rFonts w:ascii="Garamond" w:eastAsia="Times New Roman" w:hAnsi="Garamond"/>
          <w:color w:val="000000"/>
          <w:lang w:val="es-AR"/>
        </w:rPr>
        <w:t>dici</w:t>
      </w:r>
      <w:r w:rsidRPr="00CA0A60">
        <w:rPr>
          <w:rFonts w:ascii="Garamond" w:eastAsia="Times New Roman" w:hAnsi="Garamond"/>
          <w:color w:val="000000"/>
          <w:lang w:val="es-AR"/>
        </w:rPr>
        <w:t>embre de 2018, Solalban destinó el 9</w:t>
      </w:r>
      <w:r w:rsidR="00C83085" w:rsidRPr="00CA0A60">
        <w:rPr>
          <w:rFonts w:ascii="Garamond" w:eastAsia="Times New Roman" w:hAnsi="Garamond"/>
          <w:color w:val="000000"/>
          <w:lang w:val="es-AR"/>
        </w:rPr>
        <w:t>6,5</w:t>
      </w:r>
      <w:r w:rsidRPr="00CA0A60">
        <w:rPr>
          <w:rFonts w:ascii="Garamond" w:eastAsia="Times New Roman" w:hAnsi="Garamond"/>
          <w:color w:val="000000"/>
          <w:lang w:val="es-AR"/>
        </w:rPr>
        <w:t xml:space="preserve">% de los MWh anuales de energía eléctrica generada a </w:t>
      </w:r>
      <w:r w:rsidRPr="00CA0A60">
        <w:rPr>
          <w:rFonts w:ascii="Garamond" w:eastAsia="Times New Roman" w:hAnsi="Garamond"/>
          <w:lang w:val="es-AR"/>
        </w:rPr>
        <w:t>Unipar</w:t>
      </w:r>
      <w:r w:rsidRPr="00CA0A60">
        <w:rPr>
          <w:rFonts w:ascii="Garamond" w:hAnsi="Garamond"/>
          <w:lang w:val="es-AR"/>
        </w:rPr>
        <w:t xml:space="preserve"> Indupa </w:t>
      </w:r>
      <w:r w:rsidRPr="00CA0A60">
        <w:rPr>
          <w:rFonts w:ascii="Garamond" w:eastAsia="Times New Roman" w:hAnsi="Garamond"/>
          <w:color w:val="000000"/>
          <w:lang w:val="es-AR"/>
        </w:rPr>
        <w:t>y el remanente lo comercializó el programa Energía Plus a través del SADI.</w:t>
      </w:r>
    </w:p>
    <w:p w14:paraId="58E6DD4E" w14:textId="77777777" w:rsidR="004C7AB5" w:rsidRPr="00CA0A60" w:rsidRDefault="004C7AB5" w:rsidP="002C15E0">
      <w:pPr>
        <w:pStyle w:val="BodyText2Sgl"/>
        <w:spacing w:after="0"/>
        <w:ind w:firstLine="0"/>
        <w:jc w:val="both"/>
        <w:rPr>
          <w:rFonts w:ascii="Garamond" w:eastAsia="Times New Roman" w:hAnsi="Garamond"/>
          <w:color w:val="000000"/>
          <w:lang w:val="es-AR"/>
        </w:rPr>
      </w:pPr>
    </w:p>
    <w:p w14:paraId="7DB397FE" w14:textId="77777777" w:rsidR="008F44C9" w:rsidRPr="00CA0A60" w:rsidRDefault="00237FAA" w:rsidP="002C15E0">
      <w:pPr>
        <w:pStyle w:val="BodyText2Sgl"/>
        <w:spacing w:after="0"/>
        <w:ind w:firstLine="0"/>
        <w:jc w:val="both"/>
        <w:rPr>
          <w:rFonts w:ascii="Garamond" w:eastAsia="Times New Roman" w:hAnsi="Garamond"/>
          <w:i/>
          <w:color w:val="000000"/>
          <w:u w:val="single"/>
          <w:lang w:val="es-AR"/>
        </w:rPr>
      </w:pPr>
      <w:r w:rsidRPr="00CA0A60">
        <w:rPr>
          <w:rFonts w:ascii="Garamond" w:eastAsia="Times New Roman" w:hAnsi="Garamond"/>
          <w:i/>
          <w:color w:val="000000"/>
          <w:u w:val="single"/>
          <w:lang w:val="es-AR"/>
        </w:rPr>
        <w:t>Proyecto de Cogeneración Arroyo Seco</w:t>
      </w:r>
    </w:p>
    <w:p w14:paraId="7D3BEE8F" w14:textId="77777777" w:rsidR="008F44C9" w:rsidRPr="00CA0A60" w:rsidRDefault="008F44C9" w:rsidP="002C15E0">
      <w:pPr>
        <w:pStyle w:val="BodyText2Sgl"/>
        <w:spacing w:after="0"/>
        <w:ind w:firstLine="0"/>
        <w:jc w:val="both"/>
        <w:rPr>
          <w:rFonts w:ascii="Garamond" w:eastAsia="Times New Roman" w:hAnsi="Garamond"/>
          <w:i/>
          <w:color w:val="000000"/>
          <w:u w:val="single"/>
          <w:lang w:val="es-AR"/>
        </w:rPr>
      </w:pPr>
    </w:p>
    <w:p w14:paraId="1474FA99" w14:textId="77777777" w:rsidR="00237FAA" w:rsidRPr="00CA0A60" w:rsidRDefault="00237FAA" w:rsidP="002C15E0">
      <w:pPr>
        <w:pStyle w:val="BodyText2Sgl"/>
        <w:spacing w:after="0"/>
        <w:ind w:firstLine="0"/>
        <w:jc w:val="both"/>
        <w:rPr>
          <w:rFonts w:ascii="Garamond" w:hAnsi="Garamond"/>
          <w:color w:val="000000"/>
          <w:lang w:val="es-AR"/>
        </w:rPr>
      </w:pPr>
      <w:r w:rsidRPr="00CA0A60">
        <w:rPr>
          <w:rFonts w:ascii="Garamond" w:hAnsi="Garamond"/>
          <w:color w:val="000000"/>
          <w:lang w:val="es-AR"/>
        </w:rPr>
        <w:t xml:space="preserve">A través de la Resolución SE 287/2017 la SE solicitó ofertas para la instalación de proyectos de generación mediante el cierre de ciclos abiertos y cogeneración. En ese marco, el Grupo Albanesi, a través de GECE, presentó un proyecto de cogeneración en Arroyo Seco, Provincia de Santa Fe por 100 MW de potencia. </w:t>
      </w:r>
    </w:p>
    <w:p w14:paraId="3B88899E" w14:textId="77777777" w:rsidR="00237FAA" w:rsidRPr="00CA0A60" w:rsidRDefault="00237FAA" w:rsidP="002C15E0">
      <w:pPr>
        <w:pStyle w:val="BodyText2Sgl"/>
        <w:spacing w:after="0"/>
        <w:ind w:firstLine="0"/>
        <w:jc w:val="both"/>
        <w:rPr>
          <w:rFonts w:ascii="Garamond" w:hAnsi="Garamond"/>
          <w:color w:val="000000"/>
          <w:lang w:val="es-AR"/>
        </w:rPr>
      </w:pPr>
    </w:p>
    <w:p w14:paraId="6ED8ACBF" w14:textId="77777777" w:rsidR="00237FAA" w:rsidRPr="00CA0A60" w:rsidRDefault="00237FAA" w:rsidP="002C15E0">
      <w:pPr>
        <w:pStyle w:val="BodyText2Sgl"/>
        <w:spacing w:after="0"/>
        <w:ind w:firstLine="0"/>
        <w:jc w:val="both"/>
        <w:rPr>
          <w:rFonts w:ascii="Garamond" w:hAnsi="Garamond"/>
          <w:color w:val="000000"/>
          <w:lang w:val="es-AR"/>
        </w:rPr>
      </w:pPr>
      <w:r w:rsidRPr="00CA0A60">
        <w:rPr>
          <w:rFonts w:ascii="Garamond" w:hAnsi="Garamond"/>
          <w:color w:val="000000"/>
          <w:lang w:val="es-AR"/>
        </w:rPr>
        <w:t>El proyecto presentado por GECE fue adjudicado por medio de la Resoluci6n SE 820/2017 y consiste en la instalaci6n de dos turbinas de gas Siemens modelo SGT800 de 100 MW de capacidad nominal y una caldera de recuperaci6n del calor que, mediante el uso de los gases de escape de la turbina, generará vapor. De este modo la Sociedad genera</w:t>
      </w:r>
      <w:r w:rsidR="009C47C9" w:rsidRPr="00CA0A60">
        <w:rPr>
          <w:rFonts w:ascii="Garamond" w:hAnsi="Garamond"/>
          <w:color w:val="000000"/>
          <w:lang w:val="es-AR"/>
        </w:rPr>
        <w:t>r</w:t>
      </w:r>
      <w:r w:rsidRPr="00CA0A60">
        <w:rPr>
          <w:rFonts w:ascii="Garamond" w:hAnsi="Garamond"/>
          <w:color w:val="000000"/>
          <w:lang w:val="es-AR"/>
        </w:rPr>
        <w:t>á (i) energía eléctrica, que será comercializada (a) bajo un contrato suscripto con CAMMESA en el marco de la licitaci6n publica bajo la Resoluci6n SEE N° 287/2017 y adjudicado por Resoluci6n SEE N° 820/2017, con una duraci6n de 15 años, y (b) bajo un acuerdo con LDC Argentina S.A. (ii) vapor, que será suministrado a LDC Argentina S.A. para su planta ubicada en Arroyo Seco mediante un acuerdo de generaci6n tanto de vapor como de energía eléctrica.</w:t>
      </w:r>
    </w:p>
    <w:p w14:paraId="69E2BB2B" w14:textId="77777777" w:rsidR="00237FAA" w:rsidRPr="00CA0A60" w:rsidRDefault="00237FAA" w:rsidP="00237FAA">
      <w:pPr>
        <w:pStyle w:val="BodyText2Sgl"/>
        <w:spacing w:after="0"/>
        <w:jc w:val="both"/>
        <w:rPr>
          <w:rFonts w:ascii="Garamond" w:hAnsi="Garamond"/>
          <w:color w:val="000000"/>
          <w:lang w:val="es-AR"/>
        </w:rPr>
      </w:pPr>
    </w:p>
    <w:p w14:paraId="5149AED0" w14:textId="77777777" w:rsidR="00237FAA" w:rsidRPr="00CA0A60" w:rsidRDefault="00237FAA" w:rsidP="002C15E0">
      <w:pPr>
        <w:pStyle w:val="BodyText2Sgl"/>
        <w:spacing w:after="0"/>
        <w:ind w:firstLine="0"/>
        <w:jc w:val="both"/>
        <w:rPr>
          <w:rFonts w:ascii="Garamond" w:hAnsi="Garamond"/>
          <w:color w:val="000000"/>
          <w:lang w:val="es-AR"/>
        </w:rPr>
      </w:pPr>
      <w:r w:rsidRPr="00CA0A60">
        <w:rPr>
          <w:rFonts w:ascii="Garamond" w:hAnsi="Garamond"/>
          <w:color w:val="000000"/>
          <w:lang w:val="es-AR"/>
        </w:rPr>
        <w:t>El CCEE entre GECE y CAMMESA fue firmado el</w:t>
      </w:r>
      <w:r w:rsidR="0095445C" w:rsidRPr="00CA0A60">
        <w:rPr>
          <w:rFonts w:ascii="Garamond" w:hAnsi="Garamond"/>
          <w:color w:val="000000"/>
          <w:lang w:val="es-AR"/>
        </w:rPr>
        <w:t xml:space="preserve"> </w:t>
      </w:r>
      <w:r w:rsidRPr="00CA0A60">
        <w:rPr>
          <w:rFonts w:ascii="Garamond" w:hAnsi="Garamond"/>
          <w:color w:val="000000"/>
          <w:lang w:val="es-AR"/>
        </w:rPr>
        <w:t>28 de noviembre de 2017.</w:t>
      </w:r>
    </w:p>
    <w:p w14:paraId="57C0D796" w14:textId="77777777" w:rsidR="00237FAA" w:rsidRPr="00CA0A60" w:rsidRDefault="00237FAA" w:rsidP="00237FAA">
      <w:pPr>
        <w:pStyle w:val="BodyText2Sgl"/>
        <w:spacing w:after="0"/>
        <w:jc w:val="both"/>
        <w:rPr>
          <w:rFonts w:ascii="Garamond" w:hAnsi="Garamond"/>
          <w:color w:val="000000"/>
          <w:lang w:val="es-AR"/>
        </w:rPr>
      </w:pPr>
    </w:p>
    <w:p w14:paraId="1D1D104E" w14:textId="0D9F4895" w:rsidR="00237FAA" w:rsidRPr="00CA0A60" w:rsidRDefault="00237FAA" w:rsidP="002C15E0">
      <w:pPr>
        <w:pStyle w:val="BodyText2Sgl"/>
        <w:spacing w:after="0"/>
        <w:ind w:firstLine="0"/>
        <w:jc w:val="both"/>
        <w:rPr>
          <w:rFonts w:ascii="Garamond" w:hAnsi="Garamond"/>
          <w:color w:val="000000"/>
          <w:lang w:val="es-AR"/>
        </w:rPr>
      </w:pPr>
      <w:r w:rsidRPr="00CA0A60">
        <w:rPr>
          <w:rFonts w:ascii="Garamond" w:hAnsi="Garamond"/>
          <w:color w:val="000000"/>
          <w:lang w:val="es-AR"/>
        </w:rPr>
        <w:t>Como consecuencia</w:t>
      </w:r>
      <w:r w:rsidR="000D4B32" w:rsidRPr="00CA0A60">
        <w:rPr>
          <w:rFonts w:ascii="Garamond" w:hAnsi="Garamond"/>
          <w:color w:val="000000"/>
          <w:lang w:val="es-AR"/>
        </w:rPr>
        <w:t xml:space="preserve"> </w:t>
      </w:r>
      <w:r w:rsidRPr="00CA0A60">
        <w:rPr>
          <w:rFonts w:ascii="Garamond" w:hAnsi="Garamond"/>
          <w:color w:val="000000"/>
          <w:lang w:val="es-AR"/>
        </w:rPr>
        <w:t>del contexto macroecon</w:t>
      </w:r>
      <w:r w:rsidR="00CC4CFB" w:rsidRPr="00CA0A60">
        <w:rPr>
          <w:rFonts w:ascii="Garamond" w:hAnsi="Garamond"/>
          <w:color w:val="000000"/>
          <w:lang w:val="es-AR"/>
        </w:rPr>
        <w:t>ó</w:t>
      </w:r>
      <w:r w:rsidRPr="00CA0A60">
        <w:rPr>
          <w:rFonts w:ascii="Garamond" w:hAnsi="Garamond"/>
          <w:color w:val="000000"/>
          <w:lang w:val="es-AR"/>
        </w:rPr>
        <w:t>mico observado en el mes de mayo de 2018, según el acta de fecha 28 de septiembre de 2018, el Directorio de GECE ha decidido iniciar un proceso de venta del proyecto de cogeneraci6n de energía térmica denominado Arroyo Seco. A tales efectos, se ha contratado un asesor financiero que, entre otros servicios, le brindará asistencia en la identificaci6n de potenciales adquirientes y los pasos posteriores hasta alcanzar la potencial venta.</w:t>
      </w:r>
    </w:p>
    <w:p w14:paraId="0D142F6F" w14:textId="77777777" w:rsidR="00237FAA" w:rsidRPr="00CA0A60" w:rsidRDefault="00237FAA" w:rsidP="00237FAA">
      <w:pPr>
        <w:pStyle w:val="BodyText2Sgl"/>
        <w:spacing w:after="0"/>
        <w:jc w:val="both"/>
        <w:rPr>
          <w:rFonts w:ascii="Garamond" w:hAnsi="Garamond"/>
          <w:color w:val="000000"/>
          <w:lang w:val="es-AR"/>
        </w:rPr>
      </w:pPr>
    </w:p>
    <w:p w14:paraId="3E483E76" w14:textId="32B04350" w:rsidR="00237FAA" w:rsidRPr="00CA0A60" w:rsidRDefault="00237FAA" w:rsidP="002C15E0">
      <w:pPr>
        <w:pStyle w:val="BodyText2Sgl"/>
        <w:spacing w:after="0"/>
        <w:ind w:firstLine="0"/>
        <w:jc w:val="both"/>
        <w:rPr>
          <w:rFonts w:ascii="Garamond" w:hAnsi="Garamond"/>
          <w:color w:val="000000"/>
          <w:lang w:val="es-AR"/>
        </w:rPr>
      </w:pPr>
      <w:r w:rsidRPr="00CA0A60">
        <w:rPr>
          <w:rFonts w:ascii="Garamond" w:hAnsi="Garamond"/>
          <w:color w:val="000000"/>
          <w:lang w:val="es-AR"/>
        </w:rPr>
        <w:t>Dicho proceso busca conseguir</w:t>
      </w:r>
      <w:r w:rsidR="000D4B32" w:rsidRPr="00CA0A60">
        <w:rPr>
          <w:rFonts w:ascii="Garamond" w:hAnsi="Garamond"/>
          <w:color w:val="000000"/>
          <w:lang w:val="es-AR"/>
        </w:rPr>
        <w:t xml:space="preserve"> </w:t>
      </w:r>
      <w:r w:rsidRPr="00CA0A60">
        <w:rPr>
          <w:rFonts w:ascii="Garamond" w:hAnsi="Garamond"/>
          <w:color w:val="000000"/>
          <w:lang w:val="es-AR"/>
        </w:rPr>
        <w:t>los fondos necesarios para que GECE pueda hacer frente a las obligaciones financieras que asumi</w:t>
      </w:r>
      <w:r w:rsidR="008F2059" w:rsidRPr="00CA0A60">
        <w:rPr>
          <w:rFonts w:ascii="Garamond" w:hAnsi="Garamond"/>
          <w:color w:val="000000"/>
          <w:lang w:val="es-AR"/>
        </w:rPr>
        <w:t>ó</w:t>
      </w:r>
      <w:r w:rsidRPr="00CA0A60">
        <w:rPr>
          <w:rFonts w:ascii="Garamond" w:hAnsi="Garamond"/>
          <w:color w:val="000000"/>
          <w:lang w:val="es-AR"/>
        </w:rPr>
        <w:t xml:space="preserve"> exclusivamente en el marco de dicho proyecto.</w:t>
      </w:r>
    </w:p>
    <w:p w14:paraId="4475AD14" w14:textId="77777777" w:rsidR="00237FAA" w:rsidRPr="00CA0A60" w:rsidRDefault="00237FAA" w:rsidP="00237FAA">
      <w:pPr>
        <w:pStyle w:val="BodyText2Sgl"/>
        <w:spacing w:after="0"/>
        <w:jc w:val="both"/>
        <w:rPr>
          <w:rFonts w:ascii="Garamond" w:hAnsi="Garamond"/>
          <w:color w:val="000000"/>
          <w:lang w:val="es-AR"/>
        </w:rPr>
      </w:pPr>
    </w:p>
    <w:p w14:paraId="0714B149" w14:textId="77777777" w:rsidR="00237FAA" w:rsidRPr="00CA0A60" w:rsidRDefault="00237FAA" w:rsidP="002C15E0">
      <w:pPr>
        <w:pStyle w:val="BodyText2Sgl"/>
        <w:spacing w:after="0"/>
        <w:ind w:firstLine="0"/>
        <w:jc w:val="both"/>
        <w:rPr>
          <w:rFonts w:ascii="Garamond" w:hAnsi="Garamond"/>
          <w:color w:val="000000"/>
          <w:lang w:val="es-AR"/>
        </w:rPr>
      </w:pPr>
      <w:r w:rsidRPr="00CA0A60">
        <w:rPr>
          <w:rFonts w:ascii="Garamond" w:hAnsi="Garamond"/>
          <w:color w:val="000000"/>
          <w:lang w:val="es-AR"/>
        </w:rPr>
        <w:t xml:space="preserve">Es importante destacar que GECE es una </w:t>
      </w:r>
      <w:r w:rsidR="001E401E" w:rsidRPr="00CA0A60">
        <w:rPr>
          <w:rFonts w:ascii="Garamond" w:hAnsi="Garamond"/>
          <w:color w:val="000000"/>
          <w:lang w:val="es-AR"/>
        </w:rPr>
        <w:t>“</w:t>
      </w:r>
      <w:r w:rsidRPr="00CA0A60">
        <w:rPr>
          <w:rFonts w:ascii="Garamond" w:hAnsi="Garamond"/>
          <w:color w:val="000000"/>
          <w:lang w:val="es-AR"/>
        </w:rPr>
        <w:t>Subsidiaria No Restringida</w:t>
      </w:r>
      <w:r w:rsidR="001E401E" w:rsidRPr="00CA0A60">
        <w:rPr>
          <w:rFonts w:ascii="Garamond" w:hAnsi="Garamond"/>
          <w:color w:val="000000"/>
          <w:lang w:val="es-AR"/>
        </w:rPr>
        <w:t>”</w:t>
      </w:r>
      <w:r w:rsidRPr="00CA0A60">
        <w:rPr>
          <w:rFonts w:ascii="Garamond" w:hAnsi="Garamond"/>
          <w:color w:val="000000"/>
          <w:lang w:val="es-AR"/>
        </w:rPr>
        <w:t xml:space="preserve"> de ASA bajo los </w:t>
      </w:r>
      <w:r w:rsidR="00900CB4" w:rsidRPr="00CA0A60">
        <w:rPr>
          <w:rFonts w:ascii="Garamond" w:hAnsi="Garamond"/>
          <w:color w:val="000000"/>
          <w:lang w:val="es-AR"/>
        </w:rPr>
        <w:t>términos</w:t>
      </w:r>
      <w:r w:rsidRPr="00CA0A60">
        <w:rPr>
          <w:rFonts w:ascii="Garamond" w:hAnsi="Garamond"/>
          <w:color w:val="000000"/>
          <w:lang w:val="es-AR"/>
        </w:rPr>
        <w:t xml:space="preserve"> del bono inte</w:t>
      </w:r>
      <w:r w:rsidR="001E401E" w:rsidRPr="00CA0A60">
        <w:rPr>
          <w:rFonts w:ascii="Garamond" w:hAnsi="Garamond"/>
          <w:color w:val="000000"/>
          <w:lang w:val="es-AR"/>
        </w:rPr>
        <w:t>rna</w:t>
      </w:r>
      <w:r w:rsidRPr="00CA0A60">
        <w:rPr>
          <w:rFonts w:ascii="Garamond" w:hAnsi="Garamond"/>
          <w:color w:val="000000"/>
          <w:lang w:val="es-AR"/>
        </w:rPr>
        <w:t>cional, lo que significa que sus acreedores no tienen recurso contra ASA ni sus subsidiarias.</w:t>
      </w:r>
    </w:p>
    <w:p w14:paraId="120C4E94" w14:textId="77777777" w:rsidR="00237FAA" w:rsidRPr="00CA0A60" w:rsidRDefault="00237FAA" w:rsidP="00237FAA">
      <w:pPr>
        <w:pStyle w:val="BodyText2Sgl"/>
        <w:spacing w:after="0"/>
        <w:jc w:val="both"/>
        <w:rPr>
          <w:rFonts w:ascii="Garamond" w:hAnsi="Garamond"/>
          <w:color w:val="000000"/>
          <w:lang w:val="es-AR"/>
        </w:rPr>
      </w:pPr>
    </w:p>
    <w:p w14:paraId="1EFCB136" w14:textId="7C8E3389" w:rsidR="00237FAA" w:rsidRPr="00CA0A60" w:rsidRDefault="007D42CB" w:rsidP="002C15E0">
      <w:pPr>
        <w:pStyle w:val="BodyText2Sgl"/>
        <w:spacing w:after="0"/>
        <w:ind w:firstLine="0"/>
        <w:jc w:val="both"/>
        <w:rPr>
          <w:rFonts w:ascii="Garamond" w:hAnsi="Garamond"/>
          <w:b/>
          <w:color w:val="000000"/>
          <w:lang w:val="es-AR"/>
        </w:rPr>
      </w:pPr>
      <w:r w:rsidRPr="00CA0A60">
        <w:rPr>
          <w:rFonts w:ascii="Garamond" w:hAnsi="Garamond"/>
          <w:color w:val="000000"/>
          <w:lang w:val="es-AR"/>
        </w:rPr>
        <w:t>Al 31 de diciembre de 2018 el resultado del ejercicio anual arrojó una pérdida de $ 546.602.401.</w:t>
      </w:r>
      <w:r w:rsidR="00237FAA" w:rsidRPr="00CA0A60">
        <w:rPr>
          <w:rFonts w:ascii="Garamond" w:hAnsi="Garamond"/>
          <w:color w:val="000000"/>
          <w:lang w:val="es-AR"/>
        </w:rPr>
        <w:t xml:space="preserve"> </w:t>
      </w:r>
      <w:r w:rsidR="006D60FE" w:rsidRPr="00CA0A60">
        <w:rPr>
          <w:rFonts w:ascii="Garamond" w:hAnsi="Garamond"/>
          <w:color w:val="000000"/>
          <w:lang w:val="es-AR"/>
        </w:rPr>
        <w:t xml:space="preserve">A su vez, </w:t>
      </w:r>
      <w:r w:rsidRPr="00CA0A60">
        <w:rPr>
          <w:rFonts w:ascii="Garamond" w:hAnsi="Garamond"/>
          <w:color w:val="000000"/>
          <w:lang w:val="es-AR"/>
        </w:rPr>
        <w:t>como las pérdidas acumuladas insumen más del 50% de capital social, t</w:t>
      </w:r>
      <w:r w:rsidR="00900CB4" w:rsidRPr="00CA0A60">
        <w:rPr>
          <w:rFonts w:ascii="Garamond" w:hAnsi="Garamond"/>
          <w:color w:val="000000"/>
          <w:lang w:val="es-AR"/>
        </w:rPr>
        <w:t>al situación hace encuadrar a l</w:t>
      </w:r>
      <w:r w:rsidR="00237FAA" w:rsidRPr="00CA0A60">
        <w:rPr>
          <w:rFonts w:ascii="Garamond" w:hAnsi="Garamond"/>
          <w:color w:val="000000"/>
          <w:lang w:val="es-AR"/>
        </w:rPr>
        <w:t xml:space="preserve">a sociedad en </w:t>
      </w:r>
      <w:r w:rsidR="00900CB4" w:rsidRPr="00CA0A60">
        <w:rPr>
          <w:rFonts w:ascii="Garamond" w:hAnsi="Garamond"/>
          <w:color w:val="000000"/>
          <w:lang w:val="es-AR"/>
        </w:rPr>
        <w:t>la disposició</w:t>
      </w:r>
      <w:r w:rsidR="00237FAA" w:rsidRPr="00CA0A60">
        <w:rPr>
          <w:rFonts w:ascii="Garamond" w:hAnsi="Garamond"/>
          <w:color w:val="000000"/>
          <w:lang w:val="es-AR"/>
        </w:rPr>
        <w:t xml:space="preserve">n del inciso 5 del </w:t>
      </w:r>
      <w:r w:rsidR="00900CB4" w:rsidRPr="00CA0A60">
        <w:rPr>
          <w:rFonts w:ascii="Garamond" w:hAnsi="Garamond"/>
          <w:color w:val="000000"/>
          <w:lang w:val="es-AR"/>
        </w:rPr>
        <w:t>artículo</w:t>
      </w:r>
      <w:r w:rsidR="00237FAA" w:rsidRPr="00CA0A60">
        <w:rPr>
          <w:rFonts w:ascii="Garamond" w:hAnsi="Garamond"/>
          <w:color w:val="000000"/>
          <w:lang w:val="es-AR"/>
        </w:rPr>
        <w:t xml:space="preserve"> 94 y el </w:t>
      </w:r>
      <w:r w:rsidR="00900CB4" w:rsidRPr="00CA0A60">
        <w:rPr>
          <w:rFonts w:ascii="Garamond" w:hAnsi="Garamond"/>
          <w:color w:val="000000"/>
          <w:lang w:val="es-AR"/>
        </w:rPr>
        <w:t>artículo 206 de l</w:t>
      </w:r>
      <w:r w:rsidR="00237FAA" w:rsidRPr="00CA0A60">
        <w:rPr>
          <w:rFonts w:ascii="Garamond" w:hAnsi="Garamond"/>
          <w:color w:val="000000"/>
          <w:lang w:val="es-AR"/>
        </w:rPr>
        <w:t>a Ley General</w:t>
      </w:r>
      <w:r w:rsidR="00900CB4" w:rsidRPr="00CA0A60">
        <w:rPr>
          <w:rFonts w:ascii="Garamond" w:hAnsi="Garamond"/>
          <w:color w:val="000000"/>
          <w:lang w:val="es-AR"/>
        </w:rPr>
        <w:t xml:space="preserve"> de Sociedades</w:t>
      </w:r>
      <w:r w:rsidR="00237FAA" w:rsidRPr="00CA0A60">
        <w:rPr>
          <w:rFonts w:ascii="Garamond" w:hAnsi="Garamond"/>
          <w:color w:val="000000"/>
          <w:lang w:val="es-AR"/>
        </w:rPr>
        <w:t>. Esta circunst</w:t>
      </w:r>
      <w:r w:rsidR="00900CB4" w:rsidRPr="00CA0A60">
        <w:rPr>
          <w:rFonts w:ascii="Garamond" w:hAnsi="Garamond"/>
          <w:color w:val="000000"/>
          <w:lang w:val="es-AR"/>
        </w:rPr>
        <w:t xml:space="preserve">ancia indica una incertidumbre </w:t>
      </w:r>
      <w:r w:rsidR="00237FAA" w:rsidRPr="00CA0A60">
        <w:rPr>
          <w:rFonts w:ascii="Garamond" w:hAnsi="Garamond"/>
          <w:color w:val="000000"/>
          <w:lang w:val="es-AR"/>
        </w:rPr>
        <w:t xml:space="preserve">significativa que </w:t>
      </w:r>
      <w:r w:rsidR="00900CB4" w:rsidRPr="00CA0A60">
        <w:rPr>
          <w:rFonts w:ascii="Garamond" w:hAnsi="Garamond"/>
          <w:color w:val="000000"/>
          <w:lang w:val="es-AR"/>
        </w:rPr>
        <w:t>podrá</w:t>
      </w:r>
      <w:r w:rsidR="00237FAA" w:rsidRPr="00CA0A60">
        <w:rPr>
          <w:rFonts w:ascii="Garamond" w:hAnsi="Garamond"/>
          <w:color w:val="000000"/>
          <w:lang w:val="es-AR"/>
        </w:rPr>
        <w:t xml:space="preserve"> generar</w:t>
      </w:r>
      <w:r w:rsidR="000D4B32" w:rsidRPr="00CA0A60">
        <w:rPr>
          <w:rFonts w:ascii="Garamond" w:hAnsi="Garamond"/>
          <w:color w:val="000000"/>
          <w:lang w:val="es-AR"/>
        </w:rPr>
        <w:t xml:space="preserve"> </w:t>
      </w:r>
      <w:r w:rsidR="00237FAA" w:rsidRPr="00CA0A60">
        <w:rPr>
          <w:rFonts w:ascii="Garamond" w:hAnsi="Garamond"/>
          <w:color w:val="000000"/>
          <w:lang w:val="es-AR"/>
        </w:rPr>
        <w:t xml:space="preserve">una duda sustancial sobre </w:t>
      </w:r>
      <w:r w:rsidR="00900CB4" w:rsidRPr="00CA0A60">
        <w:rPr>
          <w:rFonts w:ascii="Garamond" w:hAnsi="Garamond"/>
          <w:color w:val="000000"/>
          <w:lang w:val="es-AR"/>
        </w:rPr>
        <w:t>l</w:t>
      </w:r>
      <w:r w:rsidR="00237FAA" w:rsidRPr="00CA0A60">
        <w:rPr>
          <w:rFonts w:ascii="Garamond" w:hAnsi="Garamond"/>
          <w:color w:val="000000"/>
          <w:lang w:val="es-AR"/>
        </w:rPr>
        <w:t xml:space="preserve">a capacidad de </w:t>
      </w:r>
      <w:r w:rsidR="00900CB4" w:rsidRPr="00CA0A60">
        <w:rPr>
          <w:rFonts w:ascii="Garamond" w:hAnsi="Garamond"/>
          <w:color w:val="000000"/>
          <w:lang w:val="es-AR"/>
        </w:rPr>
        <w:t>l</w:t>
      </w:r>
      <w:r w:rsidR="00237FAA" w:rsidRPr="00CA0A60">
        <w:rPr>
          <w:rFonts w:ascii="Garamond" w:hAnsi="Garamond"/>
          <w:color w:val="000000"/>
          <w:lang w:val="es-AR"/>
        </w:rPr>
        <w:t>a entidad para continuar como empresa en funcionamiento</w:t>
      </w:r>
      <w:r w:rsidR="000D4B32" w:rsidRPr="00CA0A60">
        <w:rPr>
          <w:rFonts w:ascii="Garamond" w:hAnsi="Garamond"/>
          <w:color w:val="000000"/>
          <w:lang w:val="es-AR"/>
        </w:rPr>
        <w:t xml:space="preserve"> </w:t>
      </w:r>
      <w:r w:rsidR="00237FAA" w:rsidRPr="00CA0A60">
        <w:rPr>
          <w:rFonts w:ascii="Garamond" w:hAnsi="Garamond"/>
          <w:color w:val="000000"/>
          <w:lang w:val="es-AR"/>
        </w:rPr>
        <w:t>en el caso de</w:t>
      </w:r>
      <w:r w:rsidR="00900CB4" w:rsidRPr="00CA0A60">
        <w:rPr>
          <w:rFonts w:ascii="Garamond" w:hAnsi="Garamond"/>
          <w:color w:val="000000"/>
          <w:lang w:val="es-AR"/>
        </w:rPr>
        <w:t xml:space="preserve"> no poder recomponer su situación econó</w:t>
      </w:r>
      <w:r w:rsidR="00237FAA" w:rsidRPr="00CA0A60">
        <w:rPr>
          <w:rFonts w:ascii="Garamond" w:hAnsi="Garamond"/>
          <w:color w:val="000000"/>
          <w:lang w:val="es-AR"/>
        </w:rPr>
        <w:t>mica y financiera. ASA como accionista se encuentra abocada al estudio de distintas alte</w:t>
      </w:r>
      <w:r w:rsidR="00900CB4" w:rsidRPr="00CA0A60">
        <w:rPr>
          <w:rFonts w:ascii="Garamond" w:hAnsi="Garamond"/>
          <w:color w:val="000000"/>
          <w:lang w:val="es-AR"/>
        </w:rPr>
        <w:t xml:space="preserve">rnativas, </w:t>
      </w:r>
      <w:r w:rsidR="00237FAA" w:rsidRPr="00CA0A60">
        <w:rPr>
          <w:rFonts w:ascii="Garamond" w:hAnsi="Garamond"/>
          <w:color w:val="000000"/>
          <w:lang w:val="es-AR"/>
        </w:rPr>
        <w:t>entre el</w:t>
      </w:r>
      <w:r w:rsidR="00900CB4" w:rsidRPr="00CA0A60">
        <w:rPr>
          <w:rFonts w:ascii="Garamond" w:hAnsi="Garamond"/>
          <w:color w:val="000000"/>
          <w:lang w:val="es-AR"/>
        </w:rPr>
        <w:t>l</w:t>
      </w:r>
      <w:r w:rsidR="00237FAA" w:rsidRPr="00CA0A60">
        <w:rPr>
          <w:rFonts w:ascii="Garamond" w:hAnsi="Garamond"/>
          <w:color w:val="000000"/>
          <w:lang w:val="es-AR"/>
        </w:rPr>
        <w:t>as la venta de activos</w:t>
      </w:r>
      <w:r w:rsidR="00900CB4" w:rsidRPr="00CA0A60">
        <w:rPr>
          <w:rFonts w:ascii="Garamond" w:hAnsi="Garamond"/>
          <w:color w:val="000000"/>
          <w:lang w:val="es-AR"/>
        </w:rPr>
        <w:t>, para recomponer dicha situació</w:t>
      </w:r>
      <w:r w:rsidR="00237FAA" w:rsidRPr="00CA0A60">
        <w:rPr>
          <w:rFonts w:ascii="Garamond" w:hAnsi="Garamond"/>
          <w:color w:val="000000"/>
          <w:lang w:val="es-AR"/>
        </w:rPr>
        <w:t xml:space="preserve">n. </w:t>
      </w:r>
    </w:p>
    <w:p w14:paraId="42AFC42D" w14:textId="77777777" w:rsidR="005457B9" w:rsidRPr="00CA0A60" w:rsidRDefault="005457B9" w:rsidP="002C15E0">
      <w:pPr>
        <w:pStyle w:val="BodyText2Sgl"/>
        <w:spacing w:after="0"/>
        <w:ind w:firstLine="0"/>
        <w:jc w:val="both"/>
        <w:rPr>
          <w:rFonts w:ascii="Garamond" w:hAnsi="Garamond"/>
          <w:color w:val="000000"/>
          <w:lang w:val="es-AR"/>
        </w:rPr>
      </w:pPr>
    </w:p>
    <w:p w14:paraId="2D031B4B" w14:textId="77777777" w:rsidR="00223E71" w:rsidRPr="00CA0A60" w:rsidRDefault="00223E71" w:rsidP="002C15E0">
      <w:pPr>
        <w:pStyle w:val="BodyText2Sgl"/>
        <w:spacing w:after="0"/>
        <w:ind w:firstLine="0"/>
        <w:jc w:val="both"/>
        <w:rPr>
          <w:rFonts w:ascii="Garamond" w:hAnsi="Garamond"/>
          <w:i/>
          <w:color w:val="000000"/>
          <w:u w:val="single"/>
          <w:lang w:val="es-AR"/>
        </w:rPr>
      </w:pPr>
      <w:r w:rsidRPr="00CA0A60">
        <w:rPr>
          <w:rFonts w:ascii="Garamond" w:hAnsi="Garamond"/>
          <w:i/>
          <w:color w:val="000000"/>
          <w:u w:val="single"/>
          <w:lang w:val="es-AR"/>
        </w:rPr>
        <w:t>Proyectos de Expansión Capacidad del Grupo Albanesi</w:t>
      </w:r>
    </w:p>
    <w:p w14:paraId="271CA723" w14:textId="77777777" w:rsidR="00223E71" w:rsidRPr="00CA0A60" w:rsidRDefault="00223E71" w:rsidP="002C15E0">
      <w:pPr>
        <w:pStyle w:val="BodyText2Sgl"/>
        <w:spacing w:after="0"/>
        <w:ind w:firstLine="0"/>
        <w:jc w:val="both"/>
        <w:rPr>
          <w:rFonts w:ascii="Garamond" w:hAnsi="Garamond"/>
          <w:i/>
          <w:color w:val="000000"/>
          <w:u w:val="single"/>
          <w:lang w:val="es-AR"/>
        </w:rPr>
      </w:pPr>
    </w:p>
    <w:p w14:paraId="6EA4CEF8" w14:textId="77777777" w:rsidR="00223E71" w:rsidRPr="00CA0A60" w:rsidRDefault="00223E71" w:rsidP="002C15E0">
      <w:pPr>
        <w:pStyle w:val="BodyText2Sgl"/>
        <w:spacing w:after="0"/>
        <w:ind w:firstLine="0"/>
        <w:jc w:val="both"/>
        <w:rPr>
          <w:rFonts w:ascii="Garamond" w:hAnsi="Garamond"/>
          <w:color w:val="000000"/>
          <w:lang w:val="es-AR"/>
        </w:rPr>
      </w:pPr>
      <w:r w:rsidRPr="00CA0A60">
        <w:rPr>
          <w:rFonts w:ascii="Garamond" w:hAnsi="Garamond"/>
          <w:color w:val="000000"/>
          <w:lang w:val="es-AR"/>
        </w:rPr>
        <w:t>En el marco de la licitación pública bajo la Resolución SEE 287</w:t>
      </w:r>
      <w:r w:rsidR="001E6388" w:rsidRPr="00CA0A60">
        <w:rPr>
          <w:rFonts w:ascii="Garamond" w:hAnsi="Garamond"/>
          <w:color w:val="000000"/>
          <w:lang w:val="es-AR"/>
        </w:rPr>
        <w:t>-E</w:t>
      </w:r>
      <w:r w:rsidRPr="00CA0A60">
        <w:rPr>
          <w:rFonts w:ascii="Garamond" w:hAnsi="Garamond"/>
          <w:color w:val="000000"/>
          <w:lang w:val="es-AR"/>
        </w:rPr>
        <w:t xml:space="preserve">/2017, GEMSA fue adjudicada con nuevos CCEE </w:t>
      </w:r>
      <w:r w:rsidR="001E6388" w:rsidRPr="00CA0A60">
        <w:rPr>
          <w:rFonts w:ascii="Garamond" w:hAnsi="Garamond"/>
          <w:color w:val="000000"/>
          <w:lang w:val="es-AR"/>
        </w:rPr>
        <w:t xml:space="preserve">por 15 años </w:t>
      </w:r>
      <w:r w:rsidRPr="00CA0A60">
        <w:rPr>
          <w:rFonts w:ascii="Garamond" w:hAnsi="Garamond"/>
          <w:color w:val="000000"/>
          <w:lang w:val="es-AR"/>
        </w:rPr>
        <w:t>con CAMMESA por un total de 251 MW que implicarán la instalación de 2</w:t>
      </w:r>
      <w:r w:rsidR="007F1496" w:rsidRPr="00CA0A60">
        <w:rPr>
          <w:rFonts w:ascii="Garamond" w:hAnsi="Garamond"/>
          <w:color w:val="000000"/>
          <w:lang w:val="es-AR"/>
        </w:rPr>
        <w:t>83</w:t>
      </w:r>
      <w:r w:rsidRPr="00CA0A60">
        <w:rPr>
          <w:rFonts w:ascii="Garamond" w:hAnsi="Garamond"/>
          <w:color w:val="000000"/>
          <w:lang w:val="es-AR"/>
        </w:rPr>
        <w:t xml:space="preserve"> MW de nueva capacidad nominal en CTMM (12</w:t>
      </w:r>
      <w:r w:rsidR="007F1496" w:rsidRPr="00CA0A60">
        <w:rPr>
          <w:rFonts w:ascii="Garamond" w:hAnsi="Garamond"/>
          <w:color w:val="000000"/>
          <w:lang w:val="es-AR"/>
        </w:rPr>
        <w:t>9</w:t>
      </w:r>
      <w:r w:rsidRPr="00CA0A60">
        <w:rPr>
          <w:rFonts w:ascii="Garamond" w:hAnsi="Garamond"/>
          <w:color w:val="000000"/>
          <w:lang w:val="es-AR"/>
        </w:rPr>
        <w:t xml:space="preserve"> MW) y CTE (15</w:t>
      </w:r>
      <w:r w:rsidR="007F1496" w:rsidRPr="00CA0A60">
        <w:rPr>
          <w:rFonts w:ascii="Garamond" w:hAnsi="Garamond"/>
          <w:color w:val="000000"/>
          <w:lang w:val="es-AR"/>
        </w:rPr>
        <w:t>4</w:t>
      </w:r>
      <w:r w:rsidRPr="00CA0A60">
        <w:rPr>
          <w:rFonts w:ascii="Garamond" w:hAnsi="Garamond"/>
          <w:color w:val="000000"/>
          <w:lang w:val="es-AR"/>
        </w:rPr>
        <w:t xml:space="preserve"> MW). Dicha licitación pública tuvo como objetivo la mejora en la eficiencia del sistema de generación eléctrica, por lo que se focalizó en cierres de ciclos existentes y proyectos de cogeneración. En el caso de las expansiones de las Co-Emisoras, en ambos casos involucra cierres de ciclo de turbinas que operan actualmente a ciclo abierto bajo las Resoluciones SEE 21/2017 (CTE) y SE 220/2007 (CTMM).</w:t>
      </w:r>
    </w:p>
    <w:p w14:paraId="75FBE423" w14:textId="77777777" w:rsidR="00223E71" w:rsidRPr="00CA0A60" w:rsidRDefault="00223E71" w:rsidP="002C15E0">
      <w:pPr>
        <w:pStyle w:val="BodyText2Sgl"/>
        <w:spacing w:after="0"/>
        <w:ind w:firstLine="0"/>
        <w:jc w:val="both"/>
        <w:rPr>
          <w:rFonts w:ascii="Garamond" w:hAnsi="Garamond"/>
          <w:color w:val="000000"/>
          <w:lang w:val="es-AR"/>
        </w:rPr>
      </w:pPr>
    </w:p>
    <w:p w14:paraId="4771391E" w14:textId="39DC4739" w:rsidR="00223E71" w:rsidRPr="00CA0A60" w:rsidRDefault="00223E71" w:rsidP="002C15E0">
      <w:pPr>
        <w:pStyle w:val="BodyText2Sgl"/>
        <w:spacing w:after="0"/>
        <w:ind w:firstLine="0"/>
        <w:jc w:val="both"/>
        <w:rPr>
          <w:rFonts w:ascii="Garamond" w:hAnsi="Garamond"/>
          <w:szCs w:val="18"/>
          <w:lang w:val="es-AR"/>
        </w:rPr>
      </w:pPr>
      <w:r w:rsidRPr="00CA0A60">
        <w:rPr>
          <w:rFonts w:ascii="Garamond" w:hAnsi="Garamond"/>
          <w:color w:val="000000"/>
          <w:lang w:val="es-AR"/>
        </w:rPr>
        <w:t xml:space="preserve">Para mayor información por favor véase </w:t>
      </w:r>
      <w:r w:rsidRPr="00CA0A60">
        <w:rPr>
          <w:rFonts w:ascii="Garamond" w:hAnsi="Garamond"/>
          <w:i/>
          <w:szCs w:val="18"/>
          <w:lang w:val="es-AR"/>
        </w:rPr>
        <w:t xml:space="preserve">“Información de las Co-Emisores – Descripción de las Actividades y Negocios de las Co-Emisoras - Expansión de Capacidad” </w:t>
      </w:r>
      <w:r w:rsidRPr="00CA0A60">
        <w:rPr>
          <w:rFonts w:ascii="Garamond" w:hAnsi="Garamond"/>
          <w:szCs w:val="18"/>
          <w:lang w:val="es-AR"/>
        </w:rPr>
        <w:t xml:space="preserve">del Prospecto. </w:t>
      </w:r>
    </w:p>
    <w:p w14:paraId="2D3F0BEC" w14:textId="77777777" w:rsidR="0095445C" w:rsidRPr="00CA3A3D" w:rsidRDefault="0095445C" w:rsidP="002C15E0">
      <w:pPr>
        <w:pStyle w:val="BodyText2Sgl"/>
        <w:spacing w:after="0"/>
        <w:ind w:firstLine="0"/>
        <w:jc w:val="both"/>
        <w:rPr>
          <w:rFonts w:ascii="Garamond" w:hAnsi="Garamond"/>
          <w:color w:val="000000"/>
          <w:sz w:val="22"/>
          <w:lang w:val="es-AR"/>
        </w:rPr>
      </w:pPr>
    </w:p>
    <w:p w14:paraId="07AF6E9E" w14:textId="77777777" w:rsidR="00EE6C95" w:rsidRPr="00CA3A3D" w:rsidRDefault="00EE6C95" w:rsidP="002C15E0">
      <w:pPr>
        <w:pStyle w:val="Textoindependiente"/>
        <w:ind w:firstLine="0"/>
        <w:jc w:val="both"/>
        <w:rPr>
          <w:lang w:val="es-AR"/>
        </w:rPr>
      </w:pPr>
      <w:r w:rsidRPr="00CA3A3D">
        <w:rPr>
          <w:rFonts w:ascii="Garamond" w:hAnsi="Garamond"/>
          <w:b/>
          <w:u w:val="single"/>
          <w:lang w:val="es-AR"/>
        </w:rPr>
        <w:t>La tecnología del Grupo Albanesi</w:t>
      </w:r>
    </w:p>
    <w:p w14:paraId="45D10559" w14:textId="77777777" w:rsidR="00EE6C95" w:rsidRPr="00CA0A60" w:rsidRDefault="00EE6C95" w:rsidP="002C15E0">
      <w:pPr>
        <w:pStyle w:val="BodyText2Sgl"/>
        <w:spacing w:after="0"/>
        <w:ind w:firstLine="0"/>
        <w:jc w:val="both"/>
        <w:rPr>
          <w:rFonts w:ascii="Garamond" w:hAnsi="Garamond"/>
          <w:lang w:val="es-AR"/>
        </w:rPr>
      </w:pPr>
      <w:r w:rsidRPr="00CA0A60">
        <w:rPr>
          <w:rFonts w:ascii="Garamond" w:eastAsia="Times New Roman" w:hAnsi="Garamond"/>
          <w:lang w:val="es-AR"/>
        </w:rPr>
        <w:t>El Grupo Albanesi procura comprar sus equipos a proveedores que cuenten con experiencia y una trayectoria reconocida a nivel internacional. Las turbinas de combustible dual permiten generar energía eléctrica, ya sea utilizando gas natural o gasoil. Parte de la capacidad de las compañías del Grupo se compone de turbinas modulares que brindan flexibilidad operativa y permiten que las turbinas continúen funcionando en niveles normales aun en el caso de que se requiera reparar o reemplazar un módulo en particular. Por otra parte, se han equipado las centrales eléctricas con turbinas de menos de 60 MW de capacidad de generación instalada, lo que brinda flexibilidad para llevar a cabo interrupciones de planta para mantenimiento programado y no programado sin afectar la disponibilidad de la mayor parte de nuestra capacidad de generación instalada.</w:t>
      </w:r>
    </w:p>
    <w:p w14:paraId="75CF4315" w14:textId="77777777" w:rsidR="00EE6C95" w:rsidRPr="00CA0A60" w:rsidRDefault="00EE6C95" w:rsidP="002C15E0">
      <w:pPr>
        <w:pStyle w:val="BodyText2Sgl"/>
        <w:spacing w:after="0"/>
        <w:ind w:firstLine="0"/>
        <w:jc w:val="both"/>
        <w:rPr>
          <w:rFonts w:ascii="Garamond" w:eastAsia="Times New Roman" w:hAnsi="Garamond"/>
          <w:lang w:val="es-AR"/>
        </w:rPr>
      </w:pPr>
    </w:p>
    <w:p w14:paraId="781238F0" w14:textId="77777777" w:rsidR="00EE6C95" w:rsidRPr="00CA0A60" w:rsidRDefault="00EE6C95" w:rsidP="002C15E0">
      <w:pPr>
        <w:pStyle w:val="BodyText2Sgl"/>
        <w:spacing w:after="0"/>
        <w:ind w:firstLine="0"/>
        <w:jc w:val="both"/>
        <w:rPr>
          <w:rFonts w:ascii="Garamond" w:eastAsia="Times New Roman" w:hAnsi="Garamond"/>
          <w:lang w:val="es-AR"/>
        </w:rPr>
      </w:pPr>
      <w:r w:rsidRPr="00CA0A60">
        <w:rPr>
          <w:rFonts w:ascii="Garamond" w:eastAsia="Times New Roman" w:hAnsi="Garamond"/>
          <w:lang w:val="es-AR"/>
        </w:rPr>
        <w:t>La siguiente tabla presenta una síntesis de la tecnología de las turbinas actualmente en operación comercial de aquellas centrales del Grupo Albanesi que no fueran descriptas en el Prospecto. Para más información véase la sección “</w:t>
      </w:r>
      <w:r w:rsidRPr="00CA0A60">
        <w:rPr>
          <w:rFonts w:ascii="Garamond" w:eastAsia="Times New Roman" w:hAnsi="Garamond"/>
          <w:i/>
          <w:lang w:val="es-AR"/>
        </w:rPr>
        <w:t>Información de las Co-Emisoras - La Tecnología de las Co-Emisoras”</w:t>
      </w:r>
      <w:r w:rsidRPr="00CA0A60">
        <w:rPr>
          <w:rFonts w:ascii="Garamond" w:eastAsia="Times New Roman" w:hAnsi="Garamond"/>
          <w:lang w:val="es-AR"/>
        </w:rPr>
        <w:t xml:space="preserve"> del Prospecto:</w:t>
      </w:r>
    </w:p>
    <w:tbl>
      <w:tblPr>
        <w:tblW w:w="8479" w:type="dxa"/>
        <w:jc w:val="center"/>
        <w:tblLayout w:type="fixed"/>
        <w:tblCellMar>
          <w:left w:w="0" w:type="dxa"/>
          <w:right w:w="0" w:type="dxa"/>
        </w:tblCellMar>
        <w:tblLook w:val="0600" w:firstRow="0" w:lastRow="0" w:firstColumn="0" w:lastColumn="0" w:noHBand="1" w:noVBand="1"/>
      </w:tblPr>
      <w:tblGrid>
        <w:gridCol w:w="1593"/>
        <w:gridCol w:w="1602"/>
        <w:gridCol w:w="399"/>
        <w:gridCol w:w="1062"/>
        <w:gridCol w:w="54"/>
        <w:gridCol w:w="955"/>
        <w:gridCol w:w="1327"/>
        <w:gridCol w:w="1487"/>
      </w:tblGrid>
      <w:tr w:rsidR="00EE6C95" w:rsidRPr="00CA0A60" w14:paraId="6444E871" w14:textId="77777777" w:rsidTr="002B1E31">
        <w:trPr>
          <w:trHeight w:val="1215"/>
          <w:tblHeader/>
          <w:jc w:val="center"/>
        </w:trPr>
        <w:tc>
          <w:tcPr>
            <w:tcW w:w="1593" w:type="dxa"/>
            <w:tcMar>
              <w:top w:w="12" w:type="dxa"/>
              <w:left w:w="12" w:type="dxa"/>
              <w:bottom w:w="0" w:type="dxa"/>
              <w:right w:w="12" w:type="dxa"/>
            </w:tcMar>
            <w:vAlign w:val="bottom"/>
            <w:hideMark/>
          </w:tcPr>
          <w:p w14:paraId="3FE7AAAC" w14:textId="77777777" w:rsidR="00EE6C95" w:rsidRPr="00CA3A3D" w:rsidRDefault="00EE6C95" w:rsidP="002C15E0">
            <w:pPr>
              <w:pBdr>
                <w:bottom w:val="single" w:sz="4" w:space="1" w:color="auto"/>
              </w:pBdr>
              <w:spacing w:after="0" w:line="240" w:lineRule="auto"/>
              <w:ind w:left="168" w:right="200"/>
              <w:jc w:val="center"/>
              <w:textAlignment w:val="center"/>
              <w:rPr>
                <w:rFonts w:ascii="Garamond" w:eastAsia="Times New Roman" w:hAnsi="Garamond" w:cs="Times New Roman"/>
                <w:b/>
                <w:color w:val="000000"/>
                <w:sz w:val="20"/>
                <w:szCs w:val="20"/>
                <w:lang w:val="es-AR"/>
              </w:rPr>
            </w:pPr>
            <w:r w:rsidRPr="00CA0A60">
              <w:rPr>
                <w:rFonts w:ascii="Garamond" w:eastAsia="MS PGothic" w:hAnsi="Garamond" w:cs="Times New Roman"/>
                <w:b/>
                <w:color w:val="000000"/>
                <w:kern w:val="24"/>
                <w:sz w:val="20"/>
                <w:szCs w:val="20"/>
                <w:lang w:val="es-AR"/>
              </w:rPr>
              <w:t>Central eléctrica</w:t>
            </w:r>
          </w:p>
        </w:tc>
        <w:tc>
          <w:tcPr>
            <w:tcW w:w="2001" w:type="dxa"/>
            <w:gridSpan w:val="2"/>
            <w:vAlign w:val="bottom"/>
          </w:tcPr>
          <w:p w14:paraId="43EC6238" w14:textId="77777777" w:rsidR="00EE6C95" w:rsidRPr="00CA0A60" w:rsidRDefault="00EE6C95" w:rsidP="002C15E0">
            <w:pPr>
              <w:pBdr>
                <w:bottom w:val="single" w:sz="4" w:space="1" w:color="auto"/>
              </w:pBdr>
              <w:spacing w:after="0" w:line="240" w:lineRule="auto"/>
              <w:ind w:left="168" w:right="200"/>
              <w:jc w:val="center"/>
              <w:textAlignment w:val="center"/>
              <w:rPr>
                <w:rFonts w:ascii="Garamond" w:eastAsia="MS PGothic" w:hAnsi="Garamond" w:cs="Times New Roman"/>
                <w:b/>
                <w:color w:val="000000"/>
                <w:kern w:val="24"/>
                <w:sz w:val="20"/>
                <w:szCs w:val="20"/>
                <w:lang w:val="es-AR"/>
              </w:rPr>
            </w:pPr>
            <w:r w:rsidRPr="00CA0A60">
              <w:rPr>
                <w:rFonts w:ascii="Garamond" w:eastAsia="MS PGothic" w:hAnsi="Garamond" w:cs="Times New Roman"/>
                <w:b/>
                <w:color w:val="000000"/>
                <w:kern w:val="24"/>
                <w:sz w:val="20"/>
                <w:szCs w:val="20"/>
                <w:lang w:val="es-AR"/>
              </w:rPr>
              <w:t>Tipo de tecnología</w:t>
            </w:r>
          </w:p>
        </w:tc>
        <w:tc>
          <w:tcPr>
            <w:tcW w:w="1116" w:type="dxa"/>
            <w:gridSpan w:val="2"/>
            <w:vAlign w:val="bottom"/>
          </w:tcPr>
          <w:p w14:paraId="2761E82E" w14:textId="77777777" w:rsidR="00EE6C95" w:rsidRPr="00CA0A60" w:rsidRDefault="00EE6C95" w:rsidP="002C15E0">
            <w:pPr>
              <w:pBdr>
                <w:bottom w:val="single" w:sz="4" w:space="1" w:color="auto"/>
              </w:pBdr>
              <w:spacing w:after="0" w:line="240" w:lineRule="auto"/>
              <w:ind w:left="168" w:right="200"/>
              <w:jc w:val="center"/>
              <w:textAlignment w:val="center"/>
              <w:rPr>
                <w:rFonts w:ascii="Garamond" w:eastAsia="MS PGothic" w:hAnsi="Garamond" w:cs="Times New Roman"/>
                <w:b/>
                <w:color w:val="000000"/>
                <w:kern w:val="24"/>
                <w:sz w:val="20"/>
                <w:szCs w:val="20"/>
                <w:lang w:val="es-AR"/>
              </w:rPr>
            </w:pPr>
            <w:r w:rsidRPr="00CA0A60">
              <w:rPr>
                <w:rFonts w:ascii="Garamond" w:eastAsia="MS PGothic" w:hAnsi="Garamond" w:cs="Times New Roman"/>
                <w:b/>
                <w:color w:val="000000"/>
                <w:kern w:val="24"/>
                <w:sz w:val="20"/>
                <w:szCs w:val="20"/>
                <w:lang w:val="es-AR"/>
              </w:rPr>
              <w:t>Combustible</w:t>
            </w:r>
          </w:p>
        </w:tc>
        <w:tc>
          <w:tcPr>
            <w:tcW w:w="955" w:type="dxa"/>
            <w:vAlign w:val="bottom"/>
          </w:tcPr>
          <w:p w14:paraId="6C2598D4" w14:textId="77777777" w:rsidR="00EE6C95" w:rsidRPr="00CA0A60" w:rsidRDefault="00EE6C95" w:rsidP="002C15E0">
            <w:pPr>
              <w:pBdr>
                <w:bottom w:val="single" w:sz="4" w:space="1" w:color="auto"/>
              </w:pBdr>
              <w:spacing w:after="0" w:line="240" w:lineRule="auto"/>
              <w:ind w:left="168" w:right="200"/>
              <w:jc w:val="center"/>
              <w:textAlignment w:val="center"/>
              <w:rPr>
                <w:rFonts w:ascii="Garamond" w:eastAsia="MS PGothic" w:hAnsi="Garamond" w:cs="Times New Roman"/>
                <w:b/>
                <w:color w:val="000000"/>
                <w:kern w:val="24"/>
                <w:sz w:val="20"/>
                <w:szCs w:val="20"/>
                <w:lang w:val="es-AR"/>
              </w:rPr>
            </w:pPr>
            <w:r w:rsidRPr="00CA0A60">
              <w:rPr>
                <w:rFonts w:ascii="Garamond" w:eastAsia="MS PGothic" w:hAnsi="Garamond" w:cs="Times New Roman"/>
                <w:b/>
                <w:color w:val="000000"/>
                <w:kern w:val="24"/>
                <w:sz w:val="20"/>
                <w:szCs w:val="20"/>
                <w:lang w:val="es-AR"/>
              </w:rPr>
              <w:t>Capacidad</w:t>
            </w:r>
          </w:p>
        </w:tc>
        <w:tc>
          <w:tcPr>
            <w:tcW w:w="1327" w:type="dxa"/>
            <w:tcMar>
              <w:top w:w="12" w:type="dxa"/>
              <w:left w:w="12" w:type="dxa"/>
              <w:bottom w:w="0" w:type="dxa"/>
              <w:right w:w="12" w:type="dxa"/>
            </w:tcMar>
            <w:vAlign w:val="bottom"/>
            <w:hideMark/>
          </w:tcPr>
          <w:p w14:paraId="70EC280A" w14:textId="77777777" w:rsidR="00EE6C95" w:rsidRPr="00CA0A60" w:rsidRDefault="00EE6C95" w:rsidP="002C15E0">
            <w:pPr>
              <w:pBdr>
                <w:bottom w:val="single" w:sz="4" w:space="1" w:color="auto"/>
              </w:pBdr>
              <w:spacing w:after="0" w:line="240" w:lineRule="auto"/>
              <w:ind w:left="168" w:right="200"/>
              <w:jc w:val="center"/>
              <w:textAlignment w:val="center"/>
              <w:rPr>
                <w:rFonts w:ascii="Garamond" w:eastAsia="MS PGothic" w:hAnsi="Garamond" w:cs="Times New Roman"/>
                <w:b/>
                <w:color w:val="000000"/>
                <w:kern w:val="24"/>
                <w:sz w:val="20"/>
                <w:szCs w:val="20"/>
                <w:lang w:val="es-AR"/>
              </w:rPr>
            </w:pPr>
            <w:r w:rsidRPr="00CA0A60">
              <w:rPr>
                <w:rFonts w:ascii="Garamond" w:eastAsia="MS PGothic" w:hAnsi="Garamond" w:cs="Times New Roman"/>
                <w:b/>
                <w:color w:val="000000"/>
                <w:kern w:val="24"/>
                <w:sz w:val="20"/>
                <w:szCs w:val="20"/>
                <w:lang w:val="es-AR"/>
              </w:rPr>
              <w:t>Consumo específico actual</w:t>
            </w:r>
          </w:p>
          <w:p w14:paraId="58CDD870" w14:textId="77777777" w:rsidR="00EE6C95" w:rsidRPr="00CA0A60" w:rsidRDefault="00EE6C95" w:rsidP="002C15E0">
            <w:pPr>
              <w:pBdr>
                <w:bottom w:val="single" w:sz="4" w:space="1" w:color="auto"/>
              </w:pBdr>
              <w:spacing w:after="0" w:line="240" w:lineRule="auto"/>
              <w:ind w:left="168" w:right="200"/>
              <w:jc w:val="center"/>
              <w:textAlignment w:val="center"/>
              <w:rPr>
                <w:rFonts w:ascii="Garamond" w:eastAsia="Times New Roman" w:hAnsi="Garamond" w:cs="Times New Roman"/>
                <w:b/>
                <w:color w:val="000000"/>
                <w:sz w:val="20"/>
                <w:szCs w:val="20"/>
                <w:lang w:val="es-AR"/>
              </w:rPr>
            </w:pPr>
            <w:r w:rsidRPr="00CA0A60">
              <w:rPr>
                <w:rFonts w:ascii="Garamond" w:eastAsia="MS PGothic" w:hAnsi="Garamond" w:cs="Times New Roman"/>
                <w:b/>
                <w:color w:val="000000"/>
                <w:kern w:val="24"/>
                <w:sz w:val="20"/>
                <w:szCs w:val="20"/>
                <w:lang w:val="es-AR"/>
              </w:rPr>
              <w:t>kcal / kWh</w:t>
            </w:r>
          </w:p>
        </w:tc>
        <w:tc>
          <w:tcPr>
            <w:tcW w:w="1487" w:type="dxa"/>
            <w:vAlign w:val="bottom"/>
          </w:tcPr>
          <w:p w14:paraId="1FEC2A37" w14:textId="77777777" w:rsidR="00EE6C95" w:rsidRPr="00CA0A60" w:rsidRDefault="00EE6C95" w:rsidP="002C15E0">
            <w:pPr>
              <w:pBdr>
                <w:bottom w:val="single" w:sz="4" w:space="1" w:color="auto"/>
              </w:pBdr>
              <w:spacing w:after="0" w:line="240" w:lineRule="auto"/>
              <w:ind w:left="168" w:right="200"/>
              <w:jc w:val="center"/>
              <w:textAlignment w:val="center"/>
              <w:rPr>
                <w:rFonts w:ascii="Garamond" w:eastAsia="MS PGothic" w:hAnsi="Garamond" w:cs="Times New Roman"/>
                <w:b/>
                <w:color w:val="000000"/>
                <w:kern w:val="24"/>
                <w:sz w:val="20"/>
                <w:szCs w:val="20"/>
                <w:lang w:val="es-AR"/>
              </w:rPr>
            </w:pPr>
            <w:r w:rsidRPr="00CA0A60">
              <w:rPr>
                <w:rFonts w:ascii="Garamond" w:eastAsia="MS PGothic" w:hAnsi="Garamond" w:cs="Times New Roman"/>
                <w:b/>
                <w:color w:val="000000"/>
                <w:kern w:val="24"/>
                <w:sz w:val="20"/>
                <w:szCs w:val="20"/>
                <w:lang w:val="es-AR"/>
              </w:rPr>
              <w:t>Consumo específico pro-forma 2020</w:t>
            </w:r>
            <w:r w:rsidRPr="00CA0A60">
              <w:rPr>
                <w:rFonts w:ascii="Garamond" w:eastAsia="MS PGothic" w:hAnsi="Garamond" w:cs="Times New Roman"/>
                <w:b/>
                <w:color w:val="000000"/>
                <w:kern w:val="24"/>
                <w:sz w:val="20"/>
                <w:szCs w:val="20"/>
                <w:lang w:val="es-AR"/>
              </w:rPr>
              <w:br/>
              <w:t xml:space="preserve"> kcal / kWh </w:t>
            </w:r>
          </w:p>
        </w:tc>
      </w:tr>
      <w:tr w:rsidR="00EE6C95" w:rsidRPr="00CA0A60" w14:paraId="2A15684C" w14:textId="77777777" w:rsidTr="002B1E31">
        <w:trPr>
          <w:trHeight w:val="236"/>
          <w:jc w:val="center"/>
        </w:trPr>
        <w:tc>
          <w:tcPr>
            <w:tcW w:w="1593" w:type="dxa"/>
            <w:vMerge w:val="restart"/>
            <w:tcBorders>
              <w:top w:val="single" w:sz="4" w:space="0" w:color="auto"/>
              <w:bottom w:val="single" w:sz="4" w:space="0" w:color="auto"/>
            </w:tcBorders>
            <w:tcMar>
              <w:top w:w="12" w:type="dxa"/>
              <w:left w:w="170" w:type="dxa"/>
              <w:bottom w:w="0" w:type="dxa"/>
              <w:right w:w="12" w:type="dxa"/>
            </w:tcMar>
            <w:hideMark/>
          </w:tcPr>
          <w:p w14:paraId="33C56721" w14:textId="77777777" w:rsidR="00EE6C95" w:rsidRPr="00CA3A3D" w:rsidRDefault="00EE6C95" w:rsidP="002C15E0">
            <w:pPr>
              <w:spacing w:after="0" w:line="240" w:lineRule="auto"/>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 xml:space="preserve">Solalban </w:t>
            </w:r>
          </w:p>
        </w:tc>
        <w:tc>
          <w:tcPr>
            <w:tcW w:w="1602" w:type="dxa"/>
            <w:tcBorders>
              <w:top w:val="single" w:sz="4" w:space="0" w:color="auto"/>
            </w:tcBorders>
          </w:tcPr>
          <w:p w14:paraId="38D08D0E" w14:textId="77777777" w:rsidR="00EE6C95" w:rsidRPr="00CA3A3D" w:rsidRDefault="00EE6C95" w:rsidP="002C15E0">
            <w:pPr>
              <w:spacing w:after="0" w:line="240" w:lineRule="auto"/>
              <w:jc w:val="center"/>
              <w:rPr>
                <w:rFonts w:ascii="Garamond" w:hAnsi="Garamond" w:cs="Times New Roman"/>
                <w:sz w:val="20"/>
                <w:szCs w:val="20"/>
                <w:lang w:val="es-AR"/>
              </w:rPr>
            </w:pPr>
            <w:r w:rsidRPr="00CA3A3D">
              <w:rPr>
                <w:rFonts w:ascii="Garamond" w:hAnsi="Garamond" w:cs="Times New Roman"/>
                <w:sz w:val="20"/>
                <w:szCs w:val="20"/>
                <w:lang w:val="es-AR"/>
              </w:rPr>
              <w:t>Pratt &amp; Whitney</w:t>
            </w:r>
          </w:p>
        </w:tc>
        <w:tc>
          <w:tcPr>
            <w:tcW w:w="398" w:type="dxa"/>
            <w:tcBorders>
              <w:top w:val="single" w:sz="4" w:space="0" w:color="auto"/>
            </w:tcBorders>
            <w:vAlign w:val="center"/>
          </w:tcPr>
          <w:p w14:paraId="66418240" w14:textId="77777777" w:rsidR="00EE6C95" w:rsidRPr="00CA3A3D" w:rsidRDefault="00EE6C95" w:rsidP="002C15E0">
            <w:pPr>
              <w:spacing w:after="0" w:line="240" w:lineRule="auto"/>
              <w:jc w:val="center"/>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TG</w:t>
            </w:r>
          </w:p>
        </w:tc>
        <w:tc>
          <w:tcPr>
            <w:tcW w:w="1062" w:type="dxa"/>
            <w:tcBorders>
              <w:top w:val="single" w:sz="4" w:space="0" w:color="auto"/>
            </w:tcBorders>
          </w:tcPr>
          <w:p w14:paraId="5C70D8E8" w14:textId="77777777" w:rsidR="00EE6C95" w:rsidRPr="00CA3A3D" w:rsidRDefault="00EE6C95" w:rsidP="002C15E0">
            <w:pPr>
              <w:spacing w:after="0" w:line="240" w:lineRule="auto"/>
              <w:jc w:val="center"/>
              <w:rPr>
                <w:rFonts w:ascii="Garamond" w:hAnsi="Garamond" w:cs="Times New Roman"/>
                <w:sz w:val="20"/>
                <w:szCs w:val="20"/>
                <w:lang w:val="es-AR"/>
              </w:rPr>
            </w:pPr>
            <w:r w:rsidRPr="00CA3A3D">
              <w:rPr>
                <w:rFonts w:ascii="Garamond" w:hAnsi="Garamond" w:cs="Times New Roman"/>
                <w:sz w:val="20"/>
                <w:szCs w:val="20"/>
                <w:lang w:val="es-AR"/>
              </w:rPr>
              <w:t>Dual</w:t>
            </w:r>
          </w:p>
        </w:tc>
        <w:tc>
          <w:tcPr>
            <w:tcW w:w="1009" w:type="dxa"/>
            <w:gridSpan w:val="2"/>
            <w:tcBorders>
              <w:top w:val="single" w:sz="4" w:space="0" w:color="auto"/>
            </w:tcBorders>
            <w:vAlign w:val="center"/>
          </w:tcPr>
          <w:p w14:paraId="17F5F855" w14:textId="77777777" w:rsidR="00EE6C95" w:rsidRPr="00CA3A3D" w:rsidRDefault="00EE6C95" w:rsidP="002C15E0">
            <w:pPr>
              <w:spacing w:after="0" w:line="240" w:lineRule="auto"/>
              <w:jc w:val="center"/>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60 MW</w:t>
            </w:r>
            <w:r w:rsidRPr="00CA0A60">
              <w:rPr>
                <w:rFonts w:ascii="Garamond" w:eastAsia="MS PGothic" w:hAnsi="Garamond" w:cs="Times New Roman"/>
                <w:color w:val="000000"/>
                <w:kern w:val="24"/>
                <w:sz w:val="20"/>
                <w:szCs w:val="20"/>
                <w:vertAlign w:val="superscript"/>
                <w:lang w:val="es-AR"/>
              </w:rPr>
              <w:t>(*)</w:t>
            </w:r>
          </w:p>
        </w:tc>
        <w:tc>
          <w:tcPr>
            <w:tcW w:w="1327" w:type="dxa"/>
            <w:tcBorders>
              <w:top w:val="single" w:sz="4" w:space="0" w:color="auto"/>
            </w:tcBorders>
            <w:tcMar>
              <w:top w:w="12" w:type="dxa"/>
              <w:left w:w="12" w:type="dxa"/>
              <w:bottom w:w="0" w:type="dxa"/>
              <w:right w:w="12" w:type="dxa"/>
            </w:tcMar>
            <w:vAlign w:val="center"/>
            <w:hideMark/>
          </w:tcPr>
          <w:p w14:paraId="7F95920E" w14:textId="77777777" w:rsidR="00EE6C95" w:rsidRPr="00CA3A3D" w:rsidRDefault="00EE6C95" w:rsidP="002C15E0">
            <w:pPr>
              <w:spacing w:after="0" w:line="240" w:lineRule="auto"/>
              <w:jc w:val="center"/>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 xml:space="preserve">2.400 </w:t>
            </w:r>
          </w:p>
        </w:tc>
        <w:tc>
          <w:tcPr>
            <w:tcW w:w="1487" w:type="dxa"/>
            <w:tcBorders>
              <w:top w:val="single" w:sz="4" w:space="0" w:color="auto"/>
            </w:tcBorders>
            <w:vAlign w:val="center"/>
          </w:tcPr>
          <w:p w14:paraId="2E33928B" w14:textId="77777777" w:rsidR="00EE6C95" w:rsidRPr="00CA3A3D" w:rsidRDefault="00EE6C95" w:rsidP="002C15E0">
            <w:pPr>
              <w:spacing w:after="0" w:line="240" w:lineRule="auto"/>
              <w:jc w:val="center"/>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 xml:space="preserve">2.400 </w:t>
            </w:r>
          </w:p>
        </w:tc>
      </w:tr>
      <w:tr w:rsidR="00EE6C95" w:rsidRPr="00CA0A60" w14:paraId="7C505BF3" w14:textId="77777777" w:rsidTr="002B1E31">
        <w:trPr>
          <w:trHeight w:val="244"/>
          <w:jc w:val="center"/>
        </w:trPr>
        <w:tc>
          <w:tcPr>
            <w:tcW w:w="1593" w:type="dxa"/>
            <w:vMerge/>
            <w:tcBorders>
              <w:bottom w:val="single" w:sz="4" w:space="0" w:color="auto"/>
            </w:tcBorders>
            <w:vAlign w:val="center"/>
            <w:hideMark/>
          </w:tcPr>
          <w:p w14:paraId="3CB648E9" w14:textId="77777777" w:rsidR="00EE6C95" w:rsidRPr="00CA3A3D" w:rsidRDefault="00EE6C95" w:rsidP="002C15E0">
            <w:pPr>
              <w:spacing w:after="0" w:line="240" w:lineRule="auto"/>
              <w:rPr>
                <w:rFonts w:ascii="Garamond" w:eastAsia="Times New Roman" w:hAnsi="Garamond" w:cs="Times New Roman"/>
                <w:color w:val="000000"/>
                <w:sz w:val="20"/>
                <w:szCs w:val="20"/>
                <w:lang w:val="es-AR"/>
              </w:rPr>
            </w:pPr>
          </w:p>
        </w:tc>
        <w:tc>
          <w:tcPr>
            <w:tcW w:w="1602" w:type="dxa"/>
            <w:tcBorders>
              <w:bottom w:val="single" w:sz="4" w:space="0" w:color="auto"/>
            </w:tcBorders>
          </w:tcPr>
          <w:p w14:paraId="1E8FCEFC" w14:textId="77777777" w:rsidR="00EE6C95" w:rsidRPr="00CA3A3D" w:rsidRDefault="00EE6C95" w:rsidP="002C15E0">
            <w:pPr>
              <w:spacing w:after="0" w:line="240" w:lineRule="auto"/>
              <w:jc w:val="center"/>
              <w:rPr>
                <w:rFonts w:ascii="Garamond" w:hAnsi="Garamond" w:cs="Times New Roman"/>
                <w:sz w:val="20"/>
                <w:szCs w:val="20"/>
                <w:lang w:val="es-AR"/>
              </w:rPr>
            </w:pPr>
            <w:r w:rsidRPr="00CA3A3D">
              <w:rPr>
                <w:rFonts w:ascii="Garamond" w:hAnsi="Garamond" w:cs="Times New Roman"/>
                <w:sz w:val="20"/>
                <w:szCs w:val="20"/>
                <w:lang w:val="es-AR"/>
              </w:rPr>
              <w:t>Pratt &amp; Whitney</w:t>
            </w:r>
          </w:p>
        </w:tc>
        <w:tc>
          <w:tcPr>
            <w:tcW w:w="398" w:type="dxa"/>
            <w:tcBorders>
              <w:bottom w:val="single" w:sz="4" w:space="0" w:color="auto"/>
            </w:tcBorders>
            <w:vAlign w:val="center"/>
          </w:tcPr>
          <w:p w14:paraId="64912A94" w14:textId="77777777" w:rsidR="00EE6C95" w:rsidRPr="00CA0A60" w:rsidRDefault="00EE6C95" w:rsidP="002C15E0">
            <w:pPr>
              <w:spacing w:after="0" w:line="240" w:lineRule="auto"/>
              <w:jc w:val="center"/>
              <w:textAlignment w:val="center"/>
              <w:rPr>
                <w:rFonts w:ascii="Garamond" w:hAnsi="Garamond" w:cs="Times New Roman"/>
                <w:color w:val="000000"/>
                <w:kern w:val="24"/>
                <w:sz w:val="20"/>
                <w:szCs w:val="20"/>
                <w:lang w:val="es-AR"/>
              </w:rPr>
            </w:pPr>
            <w:r w:rsidRPr="00CA0A60">
              <w:rPr>
                <w:rFonts w:ascii="Garamond" w:eastAsia="MS PGothic" w:hAnsi="Garamond" w:cs="Times New Roman"/>
                <w:color w:val="000000"/>
                <w:kern w:val="24"/>
                <w:sz w:val="20"/>
                <w:szCs w:val="20"/>
                <w:lang w:val="es-AR"/>
              </w:rPr>
              <w:t>TG</w:t>
            </w:r>
          </w:p>
        </w:tc>
        <w:tc>
          <w:tcPr>
            <w:tcW w:w="1062" w:type="dxa"/>
            <w:tcBorders>
              <w:bottom w:val="single" w:sz="4" w:space="0" w:color="auto"/>
            </w:tcBorders>
          </w:tcPr>
          <w:p w14:paraId="15237F92" w14:textId="77777777" w:rsidR="00EE6C95" w:rsidRPr="00CA3A3D" w:rsidRDefault="00EE6C95" w:rsidP="002C15E0">
            <w:pPr>
              <w:spacing w:after="0" w:line="240" w:lineRule="auto"/>
              <w:jc w:val="center"/>
              <w:rPr>
                <w:rFonts w:ascii="Garamond" w:hAnsi="Garamond" w:cs="Times New Roman"/>
                <w:sz w:val="20"/>
                <w:szCs w:val="20"/>
                <w:lang w:val="es-AR"/>
              </w:rPr>
            </w:pPr>
            <w:r w:rsidRPr="00CA3A3D">
              <w:rPr>
                <w:rFonts w:ascii="Garamond" w:hAnsi="Garamond" w:cs="Times New Roman"/>
                <w:sz w:val="20"/>
                <w:szCs w:val="20"/>
                <w:lang w:val="es-AR"/>
              </w:rPr>
              <w:t>Dual</w:t>
            </w:r>
          </w:p>
        </w:tc>
        <w:tc>
          <w:tcPr>
            <w:tcW w:w="1009" w:type="dxa"/>
            <w:gridSpan w:val="2"/>
            <w:tcBorders>
              <w:bottom w:val="single" w:sz="4" w:space="0" w:color="auto"/>
            </w:tcBorders>
            <w:vAlign w:val="center"/>
          </w:tcPr>
          <w:p w14:paraId="087C5685" w14:textId="77777777" w:rsidR="00EE6C95" w:rsidRPr="00CA0A60" w:rsidRDefault="00EE6C95" w:rsidP="002C15E0">
            <w:pPr>
              <w:spacing w:after="0" w:line="240" w:lineRule="auto"/>
              <w:jc w:val="center"/>
              <w:textAlignment w:val="center"/>
              <w:rPr>
                <w:rFonts w:ascii="Garamond" w:hAnsi="Garamond" w:cs="Times New Roman"/>
                <w:color w:val="000000"/>
                <w:kern w:val="24"/>
                <w:sz w:val="20"/>
                <w:szCs w:val="20"/>
                <w:lang w:val="es-AR"/>
              </w:rPr>
            </w:pPr>
            <w:r w:rsidRPr="00CA0A60">
              <w:rPr>
                <w:rFonts w:ascii="Garamond" w:eastAsia="MS PGothic" w:hAnsi="Garamond" w:cs="Times New Roman"/>
                <w:color w:val="000000"/>
                <w:kern w:val="24"/>
                <w:sz w:val="20"/>
                <w:szCs w:val="20"/>
                <w:lang w:val="es-AR"/>
              </w:rPr>
              <w:t>60 MW</w:t>
            </w:r>
            <w:r w:rsidRPr="00CA0A60">
              <w:rPr>
                <w:rFonts w:ascii="Garamond" w:eastAsia="MS PGothic" w:hAnsi="Garamond" w:cs="Times New Roman"/>
                <w:color w:val="000000"/>
                <w:kern w:val="24"/>
                <w:sz w:val="20"/>
                <w:szCs w:val="20"/>
                <w:vertAlign w:val="superscript"/>
                <w:lang w:val="es-AR"/>
              </w:rPr>
              <w:t>(*)</w:t>
            </w:r>
          </w:p>
        </w:tc>
        <w:tc>
          <w:tcPr>
            <w:tcW w:w="1327" w:type="dxa"/>
            <w:tcBorders>
              <w:bottom w:val="single" w:sz="4" w:space="0" w:color="auto"/>
            </w:tcBorders>
            <w:tcMar>
              <w:top w:w="12" w:type="dxa"/>
              <w:left w:w="12" w:type="dxa"/>
              <w:bottom w:w="0" w:type="dxa"/>
              <w:right w:w="12" w:type="dxa"/>
            </w:tcMar>
            <w:vAlign w:val="center"/>
            <w:hideMark/>
          </w:tcPr>
          <w:p w14:paraId="36DAD71E" w14:textId="77777777" w:rsidR="00EE6C95" w:rsidRPr="00CA0A60" w:rsidRDefault="00EE6C95" w:rsidP="002C15E0">
            <w:pPr>
              <w:spacing w:after="0" w:line="240" w:lineRule="auto"/>
              <w:jc w:val="center"/>
              <w:textAlignment w:val="center"/>
              <w:rPr>
                <w:rFonts w:ascii="Garamond" w:hAnsi="Garamond" w:cs="Times New Roman"/>
                <w:color w:val="000000"/>
                <w:kern w:val="24"/>
                <w:sz w:val="20"/>
                <w:szCs w:val="20"/>
                <w:lang w:val="es-AR"/>
              </w:rPr>
            </w:pPr>
            <w:r w:rsidRPr="00CA0A60">
              <w:rPr>
                <w:rFonts w:ascii="Garamond" w:eastAsia="MS PGothic" w:hAnsi="Garamond" w:cs="Times New Roman"/>
                <w:color w:val="000000"/>
                <w:kern w:val="24"/>
                <w:sz w:val="20"/>
                <w:szCs w:val="20"/>
                <w:lang w:val="es-AR"/>
              </w:rPr>
              <w:t>2.400</w:t>
            </w:r>
          </w:p>
        </w:tc>
        <w:tc>
          <w:tcPr>
            <w:tcW w:w="1487" w:type="dxa"/>
            <w:tcBorders>
              <w:bottom w:val="single" w:sz="4" w:space="0" w:color="auto"/>
            </w:tcBorders>
            <w:vAlign w:val="center"/>
          </w:tcPr>
          <w:p w14:paraId="083FB244" w14:textId="77777777" w:rsidR="00EE6C95" w:rsidRPr="00CA0A60" w:rsidRDefault="00EE6C95" w:rsidP="002C15E0">
            <w:pPr>
              <w:spacing w:after="0" w:line="240" w:lineRule="auto"/>
              <w:jc w:val="center"/>
              <w:textAlignment w:val="center"/>
              <w:rPr>
                <w:rFonts w:ascii="Garamond" w:hAnsi="Garamond" w:cs="Times New Roman"/>
                <w:color w:val="000000"/>
                <w:kern w:val="24"/>
                <w:sz w:val="20"/>
                <w:szCs w:val="20"/>
                <w:lang w:val="es-AR"/>
              </w:rPr>
            </w:pPr>
            <w:r w:rsidRPr="00CA0A60">
              <w:rPr>
                <w:rFonts w:ascii="Garamond" w:eastAsia="MS PGothic" w:hAnsi="Garamond" w:cs="Times New Roman"/>
                <w:color w:val="000000"/>
                <w:kern w:val="24"/>
                <w:sz w:val="20"/>
                <w:szCs w:val="20"/>
                <w:lang w:val="es-AR"/>
              </w:rPr>
              <w:t>2.400</w:t>
            </w:r>
          </w:p>
        </w:tc>
      </w:tr>
      <w:tr w:rsidR="00EE6C95" w:rsidRPr="00CA0A60" w14:paraId="4E962AA0" w14:textId="77777777" w:rsidTr="002B1E31">
        <w:trPr>
          <w:trHeight w:val="471"/>
          <w:jc w:val="center"/>
        </w:trPr>
        <w:tc>
          <w:tcPr>
            <w:tcW w:w="1593" w:type="dxa"/>
            <w:tcBorders>
              <w:top w:val="single" w:sz="4" w:space="0" w:color="auto"/>
              <w:bottom w:val="single" w:sz="4" w:space="0" w:color="auto"/>
            </w:tcBorders>
            <w:tcMar>
              <w:top w:w="12" w:type="dxa"/>
              <w:left w:w="170" w:type="dxa"/>
              <w:bottom w:w="0" w:type="dxa"/>
              <w:right w:w="12" w:type="dxa"/>
            </w:tcMar>
            <w:hideMark/>
          </w:tcPr>
          <w:p w14:paraId="6C84213A" w14:textId="77777777" w:rsidR="00EE6C95" w:rsidRPr="00CA0A60" w:rsidRDefault="00EE6C95" w:rsidP="002C15E0">
            <w:pPr>
              <w:spacing w:after="0" w:line="240" w:lineRule="auto"/>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 xml:space="preserve">Generación Rosario </w:t>
            </w:r>
          </w:p>
        </w:tc>
        <w:tc>
          <w:tcPr>
            <w:tcW w:w="1602" w:type="dxa"/>
            <w:tcBorders>
              <w:top w:val="single" w:sz="4" w:space="0" w:color="auto"/>
              <w:bottom w:val="single" w:sz="4" w:space="0" w:color="auto"/>
            </w:tcBorders>
            <w:vAlign w:val="center"/>
          </w:tcPr>
          <w:p w14:paraId="275F8952" w14:textId="77777777" w:rsidR="00EE6C95" w:rsidRPr="00CA0A60" w:rsidRDefault="00EE6C95" w:rsidP="002C15E0">
            <w:pPr>
              <w:spacing w:after="0" w:line="240" w:lineRule="auto"/>
              <w:jc w:val="center"/>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Ansaldo</w:t>
            </w:r>
          </w:p>
        </w:tc>
        <w:tc>
          <w:tcPr>
            <w:tcW w:w="398" w:type="dxa"/>
            <w:tcBorders>
              <w:top w:val="single" w:sz="4" w:space="0" w:color="auto"/>
              <w:bottom w:val="single" w:sz="4" w:space="0" w:color="auto"/>
            </w:tcBorders>
            <w:vAlign w:val="center"/>
          </w:tcPr>
          <w:p w14:paraId="07E03E0E" w14:textId="77777777" w:rsidR="00EE6C95" w:rsidRPr="00CA0A60" w:rsidRDefault="00EE6C95" w:rsidP="002C15E0">
            <w:pPr>
              <w:spacing w:after="0" w:line="240" w:lineRule="auto"/>
              <w:jc w:val="center"/>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TV</w:t>
            </w:r>
          </w:p>
        </w:tc>
        <w:tc>
          <w:tcPr>
            <w:tcW w:w="1062" w:type="dxa"/>
            <w:tcBorders>
              <w:top w:val="single" w:sz="4" w:space="0" w:color="auto"/>
              <w:bottom w:val="single" w:sz="4" w:space="0" w:color="auto"/>
            </w:tcBorders>
          </w:tcPr>
          <w:p w14:paraId="3B2952E8" w14:textId="77777777" w:rsidR="00EE6C95" w:rsidRPr="00CA0A60" w:rsidRDefault="00EE6C95" w:rsidP="002C15E0">
            <w:pPr>
              <w:spacing w:after="0" w:line="240" w:lineRule="auto"/>
              <w:jc w:val="center"/>
              <w:textAlignment w:val="center"/>
              <w:rPr>
                <w:rFonts w:ascii="Garamond" w:eastAsia="MS PGothic" w:hAnsi="Garamond" w:cs="Times New Roman"/>
                <w:color w:val="000000"/>
                <w:kern w:val="24"/>
                <w:sz w:val="20"/>
                <w:szCs w:val="20"/>
                <w:lang w:val="es-AR"/>
              </w:rPr>
            </w:pPr>
            <w:r w:rsidRPr="00CA0A60">
              <w:rPr>
                <w:rFonts w:ascii="Garamond" w:eastAsia="MS PGothic" w:hAnsi="Garamond" w:cs="Times New Roman"/>
                <w:color w:val="000000"/>
                <w:kern w:val="24"/>
                <w:sz w:val="20"/>
                <w:szCs w:val="20"/>
                <w:lang w:val="es-AR"/>
              </w:rPr>
              <w:t>Gas y Fueloil</w:t>
            </w:r>
          </w:p>
        </w:tc>
        <w:tc>
          <w:tcPr>
            <w:tcW w:w="1009" w:type="dxa"/>
            <w:gridSpan w:val="2"/>
            <w:tcBorders>
              <w:top w:val="single" w:sz="4" w:space="0" w:color="auto"/>
              <w:bottom w:val="single" w:sz="4" w:space="0" w:color="auto"/>
            </w:tcBorders>
            <w:vAlign w:val="center"/>
          </w:tcPr>
          <w:p w14:paraId="47D84451" w14:textId="77777777" w:rsidR="00EE6C95" w:rsidRPr="00CA0A60" w:rsidRDefault="00EE6C95" w:rsidP="002C15E0">
            <w:pPr>
              <w:spacing w:after="0" w:line="240" w:lineRule="auto"/>
              <w:jc w:val="center"/>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140 MW</w:t>
            </w:r>
          </w:p>
        </w:tc>
        <w:tc>
          <w:tcPr>
            <w:tcW w:w="1327" w:type="dxa"/>
            <w:tcBorders>
              <w:top w:val="single" w:sz="4" w:space="0" w:color="auto"/>
              <w:bottom w:val="single" w:sz="4" w:space="0" w:color="auto"/>
            </w:tcBorders>
            <w:tcMar>
              <w:top w:w="12" w:type="dxa"/>
              <w:left w:w="12" w:type="dxa"/>
              <w:bottom w:w="0" w:type="dxa"/>
              <w:right w:w="12" w:type="dxa"/>
            </w:tcMar>
            <w:vAlign w:val="center"/>
            <w:hideMark/>
          </w:tcPr>
          <w:p w14:paraId="583C47C9" w14:textId="77777777" w:rsidR="00EE6C95" w:rsidRPr="00CA0A60" w:rsidRDefault="00EE6C95" w:rsidP="002C15E0">
            <w:pPr>
              <w:spacing w:after="0" w:line="240" w:lineRule="auto"/>
              <w:jc w:val="center"/>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 xml:space="preserve">2.665 </w:t>
            </w:r>
          </w:p>
        </w:tc>
        <w:tc>
          <w:tcPr>
            <w:tcW w:w="1487" w:type="dxa"/>
            <w:tcBorders>
              <w:top w:val="single" w:sz="4" w:space="0" w:color="auto"/>
              <w:bottom w:val="single" w:sz="4" w:space="0" w:color="auto"/>
            </w:tcBorders>
            <w:vAlign w:val="center"/>
          </w:tcPr>
          <w:p w14:paraId="34D12C85" w14:textId="77777777" w:rsidR="00EE6C95" w:rsidRPr="00CA0A60" w:rsidRDefault="00EE6C95" w:rsidP="002C15E0">
            <w:pPr>
              <w:spacing w:after="0" w:line="240" w:lineRule="auto"/>
              <w:jc w:val="center"/>
              <w:textAlignment w:val="center"/>
              <w:rPr>
                <w:rFonts w:ascii="Garamond" w:eastAsia="Times New Roman" w:hAnsi="Garamond" w:cs="Times New Roman"/>
                <w:color w:val="000000"/>
                <w:sz w:val="20"/>
                <w:szCs w:val="20"/>
                <w:lang w:val="es-AR"/>
              </w:rPr>
            </w:pPr>
            <w:r w:rsidRPr="00CA0A60">
              <w:rPr>
                <w:rFonts w:ascii="Garamond" w:eastAsia="MS PGothic" w:hAnsi="Garamond" w:cs="Times New Roman"/>
                <w:color w:val="000000"/>
                <w:kern w:val="24"/>
                <w:sz w:val="20"/>
                <w:szCs w:val="20"/>
                <w:lang w:val="es-AR"/>
              </w:rPr>
              <w:t xml:space="preserve">2.665 </w:t>
            </w:r>
          </w:p>
        </w:tc>
      </w:tr>
    </w:tbl>
    <w:p w14:paraId="6226F22A" w14:textId="77777777" w:rsidR="00EE6C95" w:rsidRPr="00CA0A60" w:rsidRDefault="00EE6C95" w:rsidP="002C15E0">
      <w:pPr>
        <w:pStyle w:val="BlockTextSgl"/>
        <w:rPr>
          <w:rFonts w:ascii="Garamond" w:eastAsia="Times New Roman" w:hAnsi="Garamond"/>
          <w:b/>
          <w:lang w:val="es-AR"/>
        </w:rPr>
      </w:pPr>
      <w:r w:rsidRPr="00CA0A60">
        <w:rPr>
          <w:rFonts w:ascii="Garamond" w:eastAsia="Times New Roman" w:hAnsi="Garamond"/>
          <w:lang w:val="es-AR"/>
        </w:rPr>
        <w:t>TG: Turbina de Gas; TV: Turbina de Vapor</w:t>
      </w:r>
    </w:p>
    <w:p w14:paraId="40D037BA" w14:textId="77777777" w:rsidR="00EE6C95" w:rsidRPr="00CA0A60" w:rsidRDefault="00EE6C95" w:rsidP="002C15E0">
      <w:pPr>
        <w:pStyle w:val="BlockTextSgl"/>
        <w:rPr>
          <w:rFonts w:ascii="Garamond" w:eastAsia="Times New Roman" w:hAnsi="Garamond"/>
          <w:b/>
          <w:lang w:val="es-AR"/>
        </w:rPr>
      </w:pPr>
      <w:r w:rsidRPr="00CA0A60">
        <w:rPr>
          <w:rFonts w:ascii="Garamond" w:eastAsia="Times New Roman" w:hAnsi="Garamond"/>
          <w:lang w:val="es-AR"/>
        </w:rPr>
        <w:t>(*) Capacidad instalada desde 2008</w:t>
      </w:r>
    </w:p>
    <w:p w14:paraId="18F42C45" w14:textId="77777777" w:rsidR="00EE6C95" w:rsidRPr="00CA0A60" w:rsidRDefault="00EE6C95" w:rsidP="002C15E0">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El Grupo selecciona cuidadosamente los proveedores de turbinas y equipos mediante un detallado proceso de evaluación, que se centra en su trayectoria comercial y relaciones previas. En este sentido, </w:t>
      </w:r>
      <w:r w:rsidR="001A4CF4" w:rsidRPr="00CA0A60">
        <w:rPr>
          <w:rFonts w:ascii="Garamond" w:hAnsi="Garamond" w:cs="Times New Roman"/>
          <w:sz w:val="20"/>
          <w:szCs w:val="20"/>
          <w:lang w:val="es-AR"/>
        </w:rPr>
        <w:t>celebra con</w:t>
      </w:r>
      <w:r w:rsidRPr="00CA0A60">
        <w:rPr>
          <w:rFonts w:ascii="Garamond" w:hAnsi="Garamond" w:cs="Times New Roman"/>
          <w:sz w:val="20"/>
          <w:szCs w:val="20"/>
          <w:lang w:val="es-AR"/>
        </w:rPr>
        <w:t xml:space="preserve"> los mismos contratos por mantenimiento y asistencia técnica, que tienen un plazo promedio aproximado de cinco años, para la provisión de asistencia técnica y la disponibilidad permanente de los componentes y repuestos para el adecuado funcionamiento y mantenimiento de las turbinas. Esto le permite contar con niveles mínimos de indisponibilidad de generación eléctrica y predecir más fácilmente los costos de mantenimiento. Como ejemplo se pueden citar aquellos vigentes con PW Power y Siemens. El Grupo considera a sus proveedores como socios en los negocio</w:t>
      </w:r>
      <w:r w:rsidR="001A4CF4" w:rsidRPr="00CA0A60">
        <w:rPr>
          <w:rFonts w:ascii="Garamond" w:hAnsi="Garamond" w:cs="Times New Roman"/>
          <w:sz w:val="20"/>
          <w:szCs w:val="20"/>
          <w:lang w:val="es-AR"/>
        </w:rPr>
        <w:t>s</w:t>
      </w:r>
      <w:r w:rsidRPr="00CA0A60">
        <w:rPr>
          <w:rFonts w:ascii="Garamond" w:hAnsi="Garamond" w:cs="Times New Roman"/>
          <w:sz w:val="20"/>
          <w:szCs w:val="20"/>
          <w:lang w:val="es-AR"/>
        </w:rPr>
        <w:t xml:space="preserve"> y procura desarrollar y mantener con ellos relaciones sostenidas en el tiempo. Se puede observar la disponibilidad de las centrales de las Co-Emisoras en la sección </w:t>
      </w:r>
      <w:r w:rsidRPr="00CA0A60">
        <w:rPr>
          <w:rFonts w:ascii="Garamond" w:eastAsia="Times New Roman" w:hAnsi="Garamond"/>
          <w:sz w:val="20"/>
          <w:szCs w:val="20"/>
          <w:lang w:val="es-AR"/>
        </w:rPr>
        <w:t>“</w:t>
      </w:r>
      <w:r w:rsidRPr="00CA0A60">
        <w:rPr>
          <w:rFonts w:ascii="Garamond" w:eastAsia="Times New Roman" w:hAnsi="Garamond" w:cs="Times New Roman"/>
          <w:i/>
          <w:sz w:val="20"/>
          <w:szCs w:val="20"/>
          <w:lang w:val="es-AR"/>
        </w:rPr>
        <w:t xml:space="preserve">Información de las Co-Emisoras - </w:t>
      </w:r>
      <w:r w:rsidRPr="00CA0A60">
        <w:rPr>
          <w:rFonts w:ascii="Garamond" w:eastAsia="Times New Roman" w:hAnsi="Garamond"/>
          <w:i/>
          <w:sz w:val="20"/>
          <w:szCs w:val="20"/>
          <w:lang w:val="es-AR"/>
        </w:rPr>
        <w:t>La Tecnología de las Co-Emisoras”</w:t>
      </w:r>
      <w:r w:rsidRPr="00CA0A60">
        <w:rPr>
          <w:rFonts w:ascii="Garamond" w:eastAsia="Times New Roman" w:hAnsi="Garamond"/>
          <w:sz w:val="20"/>
          <w:szCs w:val="20"/>
          <w:lang w:val="es-AR"/>
        </w:rPr>
        <w:t xml:space="preserve"> del Prospecto.</w:t>
      </w:r>
      <w:r w:rsidRPr="00CA0A60">
        <w:rPr>
          <w:rFonts w:ascii="Garamond" w:hAnsi="Garamond" w:cs="Times New Roman"/>
          <w:sz w:val="20"/>
          <w:szCs w:val="20"/>
          <w:lang w:val="es-AR"/>
        </w:rPr>
        <w:t xml:space="preserve"> </w:t>
      </w:r>
    </w:p>
    <w:p w14:paraId="0C178E9E" w14:textId="77777777" w:rsidR="00EE6C95" w:rsidRPr="00CA0A60" w:rsidRDefault="00EE6C95" w:rsidP="002C15E0">
      <w:pPr>
        <w:spacing w:after="0" w:line="240" w:lineRule="auto"/>
        <w:jc w:val="both"/>
        <w:rPr>
          <w:rFonts w:ascii="Garamond" w:hAnsi="Garamond" w:cs="Times New Roman"/>
          <w:sz w:val="20"/>
          <w:szCs w:val="20"/>
          <w:lang w:val="es-AR"/>
        </w:rPr>
      </w:pPr>
    </w:p>
    <w:p w14:paraId="2F746B31" w14:textId="77777777" w:rsidR="00EE6C95" w:rsidRPr="00CA3A3D" w:rsidRDefault="00EE6C95" w:rsidP="005E14F3">
      <w:pPr>
        <w:pStyle w:val="Textoindependiente"/>
        <w:keepNext/>
        <w:ind w:firstLine="0"/>
        <w:jc w:val="both"/>
        <w:rPr>
          <w:rFonts w:ascii="Garamond" w:hAnsi="Garamond"/>
          <w:u w:val="single"/>
          <w:lang w:val="es-AR"/>
        </w:rPr>
      </w:pPr>
      <w:r w:rsidRPr="00CA3A3D">
        <w:rPr>
          <w:rFonts w:ascii="Garamond" w:hAnsi="Garamond"/>
          <w:b/>
          <w:u w:val="single"/>
          <w:lang w:val="es-AR"/>
        </w:rPr>
        <w:lastRenderedPageBreak/>
        <w:t>Los clientes del Grupo Albanesi</w:t>
      </w:r>
    </w:p>
    <w:p w14:paraId="4E24E144" w14:textId="77777777" w:rsidR="00EE6C95" w:rsidRPr="00CA0A60" w:rsidRDefault="00EE6C95" w:rsidP="005E14F3">
      <w:pPr>
        <w:pStyle w:val="BodyText2Sgl"/>
        <w:keepNext/>
        <w:spacing w:after="0"/>
        <w:ind w:firstLine="0"/>
        <w:jc w:val="both"/>
        <w:rPr>
          <w:rFonts w:ascii="Garamond" w:eastAsia="Times New Roman" w:hAnsi="Garamond"/>
          <w:b/>
          <w:lang w:val="es-AR"/>
        </w:rPr>
      </w:pPr>
      <w:r w:rsidRPr="00CA0A60">
        <w:rPr>
          <w:rFonts w:ascii="Garamond" w:eastAsia="Times New Roman" w:hAnsi="Garamond"/>
          <w:b/>
          <w:lang w:val="es-AR"/>
        </w:rPr>
        <w:t>Marcos Regulatorios</w:t>
      </w:r>
    </w:p>
    <w:p w14:paraId="3C0395D3" w14:textId="77777777" w:rsidR="00EE6C95" w:rsidRPr="00CA0A60" w:rsidRDefault="00EE6C95" w:rsidP="005E14F3">
      <w:pPr>
        <w:pStyle w:val="BodyText2Sgl"/>
        <w:keepNext/>
        <w:spacing w:after="0"/>
        <w:ind w:firstLine="0"/>
        <w:jc w:val="both"/>
        <w:rPr>
          <w:rFonts w:ascii="Garamond" w:eastAsia="Times New Roman" w:hAnsi="Garamond"/>
          <w:b/>
          <w:i/>
          <w:lang w:val="es-AR"/>
        </w:rPr>
      </w:pPr>
    </w:p>
    <w:p w14:paraId="4A0C8E3A" w14:textId="77777777" w:rsidR="00EE6C95" w:rsidRPr="00CA0A60" w:rsidRDefault="00EE6C95" w:rsidP="005E14F3">
      <w:pPr>
        <w:pStyle w:val="BodyText2Sgl"/>
        <w:keepNext/>
        <w:spacing w:after="0"/>
        <w:ind w:firstLine="0"/>
        <w:jc w:val="both"/>
        <w:rPr>
          <w:rFonts w:ascii="Garamond" w:hAnsi="Garamond"/>
          <w:lang w:val="es-AR"/>
        </w:rPr>
      </w:pPr>
      <w:r w:rsidRPr="00CA0A60">
        <w:rPr>
          <w:rFonts w:ascii="Garamond" w:eastAsia="Times New Roman" w:hAnsi="Garamond"/>
          <w:lang w:val="es-AR"/>
        </w:rPr>
        <w:t>La actividad comercial de las centrales del Grupo</w:t>
      </w:r>
      <w:r w:rsidR="001A4CF4" w:rsidRPr="00CA0A60">
        <w:rPr>
          <w:rFonts w:ascii="Garamond" w:eastAsia="Times New Roman" w:hAnsi="Garamond"/>
          <w:lang w:val="es-AR"/>
        </w:rPr>
        <w:t xml:space="preserve"> Albanesi</w:t>
      </w:r>
      <w:r w:rsidRPr="00CA0A60">
        <w:rPr>
          <w:rFonts w:ascii="Garamond" w:eastAsia="Times New Roman" w:hAnsi="Garamond"/>
          <w:lang w:val="es-AR"/>
        </w:rPr>
        <w:t xml:space="preserve"> se desarrolla bajo distintos marcos regulatorios, los cuales determinan los clientes a los cuales se les vende capacidad de generación y/o energía eléctrica.</w:t>
      </w:r>
    </w:p>
    <w:p w14:paraId="3254BC2F" w14:textId="77777777" w:rsidR="00EE6C95" w:rsidRPr="00CA0A60" w:rsidRDefault="00EE6C95" w:rsidP="002C15E0">
      <w:pPr>
        <w:pStyle w:val="TitleI"/>
        <w:spacing w:after="0"/>
        <w:jc w:val="both"/>
        <w:rPr>
          <w:rFonts w:ascii="Garamond" w:eastAsia="Times New Roman" w:hAnsi="Garamond" w:cs="Times New Roman"/>
          <w:szCs w:val="20"/>
          <w:lang w:val="es-AR"/>
        </w:rPr>
      </w:pPr>
    </w:p>
    <w:p w14:paraId="325FE7C1" w14:textId="77777777" w:rsidR="00EE6C95" w:rsidRPr="00CA0A60" w:rsidRDefault="00EE6C95" w:rsidP="002C15E0">
      <w:pPr>
        <w:pStyle w:val="TitleI"/>
        <w:spacing w:after="0"/>
        <w:jc w:val="both"/>
        <w:rPr>
          <w:rFonts w:ascii="Garamond" w:eastAsia="Times New Roman" w:hAnsi="Garamond" w:cs="Times New Roman"/>
          <w:szCs w:val="20"/>
          <w:lang w:val="es-AR"/>
        </w:rPr>
      </w:pPr>
      <w:r w:rsidRPr="00CA0A60">
        <w:rPr>
          <w:rFonts w:ascii="Garamond" w:eastAsia="Times New Roman" w:hAnsi="Garamond" w:cs="Times New Roman"/>
          <w:szCs w:val="20"/>
          <w:lang w:val="es-AR"/>
        </w:rPr>
        <w:t>Resolución SE 220/2007</w:t>
      </w:r>
    </w:p>
    <w:p w14:paraId="651E9592" w14:textId="77777777" w:rsidR="00EE6C95" w:rsidRPr="00CA0A60" w:rsidRDefault="00EE6C95" w:rsidP="002C15E0">
      <w:pPr>
        <w:pStyle w:val="TitleI"/>
        <w:spacing w:after="0"/>
        <w:jc w:val="both"/>
        <w:rPr>
          <w:rFonts w:ascii="Garamond" w:hAnsi="Garamond" w:cs="Times New Roman"/>
          <w:szCs w:val="20"/>
          <w:lang w:val="es-AR"/>
        </w:rPr>
      </w:pPr>
    </w:p>
    <w:p w14:paraId="7215FE90" w14:textId="77777777" w:rsidR="00EE6C95" w:rsidRPr="00CA0A60" w:rsidRDefault="00EE6C95" w:rsidP="002C15E0">
      <w:pPr>
        <w:pStyle w:val="TitleI"/>
        <w:spacing w:after="0"/>
        <w:jc w:val="both"/>
        <w:rPr>
          <w:rFonts w:ascii="Garamond" w:eastAsia="Times New Roman" w:hAnsi="Garamond" w:cs="Times New Roman"/>
          <w:i w:val="0"/>
          <w:szCs w:val="20"/>
          <w:lang w:val="es-AR"/>
        </w:rPr>
      </w:pPr>
      <w:r w:rsidRPr="00CA0A60">
        <w:rPr>
          <w:rFonts w:ascii="Garamond" w:hAnsi="Garamond" w:cs="Times New Roman"/>
          <w:i w:val="0"/>
          <w:szCs w:val="20"/>
          <w:lang w:val="es-AR"/>
        </w:rPr>
        <w:t xml:space="preserve">Para información sobre esta Resolución véase </w:t>
      </w:r>
      <w:r w:rsidR="001A4CF4" w:rsidRPr="00CA0A60">
        <w:rPr>
          <w:rFonts w:ascii="Garamond" w:hAnsi="Garamond" w:cs="Times New Roman"/>
          <w:i w:val="0"/>
          <w:szCs w:val="20"/>
          <w:lang w:val="es-AR"/>
        </w:rPr>
        <w:t xml:space="preserve">la </w:t>
      </w:r>
      <w:r w:rsidR="0095445C" w:rsidRPr="00CA0A60">
        <w:rPr>
          <w:rFonts w:ascii="Garamond" w:hAnsi="Garamond" w:cs="Times New Roman"/>
          <w:i w:val="0"/>
          <w:szCs w:val="20"/>
          <w:lang w:val="es-AR"/>
        </w:rPr>
        <w:t>sección</w:t>
      </w:r>
      <w:r w:rsidR="0095445C" w:rsidRPr="00CA0A60">
        <w:rPr>
          <w:rFonts w:ascii="Garamond" w:hAnsi="Garamond" w:cs="Times New Roman"/>
          <w:szCs w:val="20"/>
          <w:lang w:val="es-AR"/>
        </w:rPr>
        <w:t xml:space="preserve"> “Información</w:t>
      </w:r>
      <w:r w:rsidR="001A4CF4" w:rsidRPr="00CA0A60">
        <w:rPr>
          <w:rFonts w:ascii="Garamond" w:hAnsi="Garamond" w:cs="Times New Roman"/>
          <w:szCs w:val="20"/>
          <w:lang w:val="es-AR"/>
        </w:rPr>
        <w:t xml:space="preserve"> de las Co-Emisoras – Los Clientes de las Co-Emisoras – Marcos Regulatorios - </w:t>
      </w:r>
      <w:r w:rsidRPr="00CA0A60">
        <w:rPr>
          <w:rFonts w:ascii="Garamond" w:eastAsia="Times New Roman" w:hAnsi="Garamond" w:cs="Times New Roman"/>
          <w:szCs w:val="20"/>
          <w:lang w:val="es-AR"/>
        </w:rPr>
        <w:t>Resolución SE 220/2007</w:t>
      </w:r>
      <w:r w:rsidRPr="00CA0A60">
        <w:rPr>
          <w:rFonts w:ascii="Garamond" w:hAnsi="Garamond" w:cs="Times New Roman"/>
          <w:szCs w:val="20"/>
          <w:lang w:val="es-AR"/>
        </w:rPr>
        <w:t>”</w:t>
      </w:r>
      <w:r w:rsidRPr="00CA0A60">
        <w:rPr>
          <w:rFonts w:ascii="Garamond" w:hAnsi="Garamond" w:cs="Times New Roman"/>
          <w:i w:val="0"/>
          <w:szCs w:val="20"/>
          <w:lang w:val="es-AR"/>
        </w:rPr>
        <w:t xml:space="preserve"> del Prospecto</w:t>
      </w:r>
      <w:r w:rsidRPr="00CA0A60">
        <w:rPr>
          <w:rFonts w:ascii="Garamond" w:hAnsi="Garamond" w:cs="Times New Roman"/>
          <w:szCs w:val="20"/>
          <w:lang w:val="es-AR"/>
        </w:rPr>
        <w:t xml:space="preserve">. </w:t>
      </w:r>
    </w:p>
    <w:p w14:paraId="269E314A" w14:textId="77777777" w:rsidR="00EE6C95" w:rsidRPr="00CA0A60" w:rsidRDefault="00EE6C95" w:rsidP="002C15E0">
      <w:pPr>
        <w:pStyle w:val="BodyText2Sgl"/>
        <w:spacing w:after="0"/>
        <w:ind w:firstLine="0"/>
        <w:jc w:val="both"/>
        <w:rPr>
          <w:rFonts w:ascii="Garamond" w:eastAsia="Times New Roman" w:hAnsi="Garamond"/>
          <w:lang w:val="es-AR"/>
        </w:rPr>
      </w:pPr>
    </w:p>
    <w:p w14:paraId="3390F8E3" w14:textId="77777777" w:rsidR="00EE6C95" w:rsidRPr="00CA0A60" w:rsidRDefault="00EE6C95" w:rsidP="002C15E0">
      <w:pPr>
        <w:pStyle w:val="BodyText2Sgl"/>
        <w:spacing w:after="0"/>
        <w:ind w:firstLine="0"/>
        <w:jc w:val="both"/>
        <w:rPr>
          <w:rFonts w:ascii="Garamond" w:eastAsia="Times New Roman" w:hAnsi="Garamond"/>
          <w:lang w:val="es-AR"/>
        </w:rPr>
      </w:pPr>
      <w:r w:rsidRPr="00CA0A60">
        <w:rPr>
          <w:rFonts w:ascii="Garamond" w:eastAsia="Times New Roman" w:hAnsi="Garamond"/>
          <w:lang w:val="es-AR"/>
        </w:rPr>
        <w:t>En virtud de los CCEE suscriptos con CAMMESA bajo el marco regulatorio de la Resolución SE 220/2007, para los ejercicios finalizados el 31 de diciembre de 2016, 31 de diciembre de 2017 y 3</w:t>
      </w:r>
      <w:r w:rsidR="00C83085" w:rsidRPr="00CA0A60">
        <w:rPr>
          <w:rFonts w:ascii="Garamond" w:eastAsia="Times New Roman" w:hAnsi="Garamond"/>
          <w:lang w:val="es-AR"/>
        </w:rPr>
        <w:t>1</w:t>
      </w:r>
      <w:r w:rsidRPr="00CA0A60">
        <w:rPr>
          <w:rFonts w:ascii="Garamond" w:eastAsia="Times New Roman" w:hAnsi="Garamond"/>
          <w:lang w:val="es-AR"/>
        </w:rPr>
        <w:t xml:space="preserve"> de </w:t>
      </w:r>
      <w:r w:rsidR="00C83085" w:rsidRPr="00CA0A60">
        <w:rPr>
          <w:rFonts w:ascii="Garamond" w:eastAsia="Times New Roman" w:hAnsi="Garamond"/>
          <w:lang w:val="es-AR"/>
        </w:rPr>
        <w:t>dici</w:t>
      </w:r>
      <w:r w:rsidRPr="00CA0A60">
        <w:rPr>
          <w:rFonts w:ascii="Garamond" w:eastAsia="Times New Roman" w:hAnsi="Garamond"/>
          <w:lang w:val="es-AR"/>
        </w:rPr>
        <w:t xml:space="preserve">embre de 2018, el Grupo Albanesi generó el 75%, el 71% y el </w:t>
      </w:r>
      <w:r w:rsidRPr="00CA0A60">
        <w:rPr>
          <w:rFonts w:ascii="Garamond" w:hAnsi="Garamond"/>
          <w:lang w:val="es-AR"/>
        </w:rPr>
        <w:t>5</w:t>
      </w:r>
      <w:r w:rsidR="00C83085" w:rsidRPr="00CA0A60">
        <w:rPr>
          <w:rFonts w:ascii="Garamond" w:hAnsi="Garamond"/>
          <w:lang w:val="es-AR"/>
        </w:rPr>
        <w:t>1</w:t>
      </w:r>
      <w:r w:rsidRPr="00CA0A60">
        <w:rPr>
          <w:rFonts w:ascii="Garamond" w:eastAsia="Times New Roman" w:hAnsi="Garamond"/>
          <w:lang w:val="es-AR"/>
        </w:rPr>
        <w:t>% del EBITDA Ajustado, respectivamente.</w:t>
      </w:r>
    </w:p>
    <w:p w14:paraId="47341341" w14:textId="77777777" w:rsidR="00EE6C95" w:rsidRPr="00CA0A60" w:rsidRDefault="00EE6C95" w:rsidP="002C15E0">
      <w:pPr>
        <w:pStyle w:val="BodyText2Sgl"/>
        <w:spacing w:after="0"/>
        <w:ind w:firstLine="0"/>
        <w:jc w:val="both"/>
        <w:rPr>
          <w:rFonts w:ascii="Garamond" w:hAnsi="Garamond"/>
          <w:lang w:val="es-AR"/>
        </w:rPr>
      </w:pPr>
    </w:p>
    <w:p w14:paraId="27E18B2F" w14:textId="77777777" w:rsidR="00EE6C95" w:rsidRPr="00CA0A60" w:rsidRDefault="00EE6C95" w:rsidP="002C15E0">
      <w:pPr>
        <w:pStyle w:val="TitleI"/>
        <w:spacing w:after="0"/>
        <w:jc w:val="both"/>
        <w:rPr>
          <w:rFonts w:ascii="Garamond" w:hAnsi="Garamond" w:cs="Times New Roman"/>
          <w:szCs w:val="20"/>
          <w:lang w:val="es-AR"/>
        </w:rPr>
      </w:pPr>
      <w:r w:rsidRPr="00CA0A60">
        <w:rPr>
          <w:rFonts w:ascii="Garamond" w:eastAsia="Times New Roman" w:hAnsi="Garamond" w:cs="Times New Roman"/>
          <w:szCs w:val="20"/>
          <w:lang w:val="es-AR"/>
        </w:rPr>
        <w:t>Resolución SE 1281/2006 - Energía Plus</w:t>
      </w:r>
    </w:p>
    <w:p w14:paraId="42EF2083" w14:textId="77777777" w:rsidR="00EE6C95" w:rsidRPr="00CA0A60" w:rsidRDefault="00EE6C95" w:rsidP="002C15E0">
      <w:pPr>
        <w:pStyle w:val="BodyText2Sgl"/>
        <w:spacing w:after="0"/>
        <w:ind w:firstLine="0"/>
        <w:jc w:val="both"/>
        <w:rPr>
          <w:rFonts w:ascii="Garamond" w:eastAsia="Times New Roman" w:hAnsi="Garamond"/>
          <w:lang w:val="es-AR"/>
        </w:rPr>
      </w:pPr>
    </w:p>
    <w:p w14:paraId="7A671043" w14:textId="77777777" w:rsidR="00EE6C95" w:rsidRPr="00CA0A60" w:rsidRDefault="00EE6C95" w:rsidP="002C15E0">
      <w:pPr>
        <w:pStyle w:val="TitleI"/>
        <w:spacing w:after="0"/>
        <w:jc w:val="both"/>
        <w:rPr>
          <w:rFonts w:ascii="Garamond" w:eastAsia="Times New Roman" w:hAnsi="Garamond" w:cs="Times New Roman"/>
          <w:i w:val="0"/>
          <w:szCs w:val="20"/>
          <w:lang w:val="es-AR"/>
        </w:rPr>
      </w:pPr>
      <w:r w:rsidRPr="00CA0A60">
        <w:rPr>
          <w:rFonts w:ascii="Garamond" w:eastAsia="Times New Roman" w:hAnsi="Garamond"/>
          <w:i w:val="0"/>
          <w:szCs w:val="20"/>
          <w:lang w:val="es-AR"/>
        </w:rPr>
        <w:t xml:space="preserve">Durante los ejercicios finalizados el 31 de diciembre de 2016, 31 de diciembre de 2017 y </w:t>
      </w:r>
      <w:r w:rsidR="00C83085" w:rsidRPr="00CA0A60">
        <w:rPr>
          <w:rFonts w:ascii="Garamond" w:eastAsia="Times New Roman" w:hAnsi="Garamond"/>
          <w:i w:val="0"/>
          <w:szCs w:val="20"/>
          <w:lang w:val="es-AR"/>
        </w:rPr>
        <w:t>31 de diciembre</w:t>
      </w:r>
      <w:r w:rsidR="00C83085" w:rsidRPr="00CA0A60">
        <w:rPr>
          <w:rFonts w:ascii="Garamond" w:eastAsia="Times New Roman" w:hAnsi="Garamond"/>
          <w:lang w:val="es-AR"/>
        </w:rPr>
        <w:t xml:space="preserve"> </w:t>
      </w:r>
      <w:r w:rsidRPr="00CA0A60">
        <w:rPr>
          <w:rFonts w:ascii="Garamond" w:eastAsia="Times New Roman" w:hAnsi="Garamond"/>
          <w:i w:val="0"/>
          <w:szCs w:val="20"/>
          <w:lang w:val="es-AR"/>
        </w:rPr>
        <w:t xml:space="preserve">de 2018, el Grupo Albanesi generó el 14%, el 9% y el </w:t>
      </w:r>
      <w:r w:rsidR="00C83085" w:rsidRPr="00CA0A60">
        <w:rPr>
          <w:rFonts w:ascii="Garamond" w:hAnsi="Garamond"/>
          <w:i w:val="0"/>
          <w:szCs w:val="20"/>
          <w:lang w:val="es-AR"/>
        </w:rPr>
        <w:t>5</w:t>
      </w:r>
      <w:r w:rsidRPr="00CA0A60">
        <w:rPr>
          <w:rFonts w:ascii="Garamond" w:eastAsia="Times New Roman" w:hAnsi="Garamond"/>
          <w:i w:val="0"/>
          <w:szCs w:val="20"/>
          <w:lang w:val="es-AR"/>
        </w:rPr>
        <w:t xml:space="preserve">% de </w:t>
      </w:r>
      <w:r w:rsidR="001347CB" w:rsidRPr="00CA0A60">
        <w:rPr>
          <w:rFonts w:ascii="Garamond" w:eastAsia="Times New Roman" w:hAnsi="Garamond"/>
          <w:i w:val="0"/>
          <w:szCs w:val="20"/>
          <w:lang w:val="es-AR"/>
        </w:rPr>
        <w:t>su</w:t>
      </w:r>
      <w:r w:rsidR="0095445C" w:rsidRPr="00CA0A60">
        <w:rPr>
          <w:rFonts w:ascii="Garamond" w:eastAsia="Times New Roman" w:hAnsi="Garamond"/>
          <w:i w:val="0"/>
          <w:szCs w:val="20"/>
          <w:lang w:val="es-AR"/>
        </w:rPr>
        <w:t xml:space="preserve"> </w:t>
      </w:r>
      <w:r w:rsidRPr="00CA0A60">
        <w:rPr>
          <w:rFonts w:ascii="Garamond" w:eastAsia="Times New Roman" w:hAnsi="Garamond"/>
          <w:i w:val="0"/>
          <w:szCs w:val="20"/>
          <w:lang w:val="es-AR"/>
        </w:rPr>
        <w:t>EBITDA Ajustado, respectivamente, en virtud de los contratos de compraventa de energía suscriptos en el marco del programa Energía Plus y explicados en la sección</w:t>
      </w:r>
      <w:r w:rsidRPr="00CA0A60">
        <w:rPr>
          <w:rFonts w:ascii="Garamond" w:hAnsi="Garamond" w:cs="Times New Roman"/>
          <w:i w:val="0"/>
          <w:szCs w:val="20"/>
          <w:lang w:val="es-AR"/>
        </w:rPr>
        <w:t xml:space="preserve"> </w:t>
      </w:r>
      <w:r w:rsidR="001A4CF4" w:rsidRPr="00CA0A60">
        <w:rPr>
          <w:rFonts w:ascii="Garamond" w:hAnsi="Garamond" w:cs="Times New Roman"/>
          <w:szCs w:val="20"/>
          <w:lang w:val="es-AR"/>
        </w:rPr>
        <w:t xml:space="preserve">“Información de las Co-Emisoras – Los Clientes de las Co-Emisoras – Marcos Regulatorios - </w:t>
      </w:r>
      <w:r w:rsidR="001A4CF4" w:rsidRPr="00CA0A60">
        <w:rPr>
          <w:rFonts w:ascii="Garamond" w:eastAsia="Times New Roman" w:hAnsi="Garamond" w:cs="Times New Roman"/>
          <w:szCs w:val="20"/>
          <w:lang w:val="es-AR"/>
        </w:rPr>
        <w:t>Resolución SE 1281/2006</w:t>
      </w:r>
      <w:r w:rsidR="001A4CF4" w:rsidRPr="00CA0A60">
        <w:rPr>
          <w:rFonts w:ascii="Garamond" w:hAnsi="Garamond" w:cs="Times New Roman"/>
          <w:szCs w:val="20"/>
          <w:lang w:val="es-AR"/>
        </w:rPr>
        <w:t>”</w:t>
      </w:r>
      <w:r w:rsidR="001A4CF4" w:rsidRPr="00CA0A60">
        <w:rPr>
          <w:rFonts w:ascii="Garamond" w:hAnsi="Garamond" w:cs="Times New Roman"/>
          <w:i w:val="0"/>
          <w:szCs w:val="20"/>
          <w:lang w:val="es-AR"/>
        </w:rPr>
        <w:t xml:space="preserve"> del Prospecto</w:t>
      </w:r>
      <w:r w:rsidRPr="00CA0A60">
        <w:rPr>
          <w:rFonts w:ascii="Garamond" w:hAnsi="Garamond" w:cs="Times New Roman"/>
          <w:szCs w:val="20"/>
          <w:lang w:val="es-AR"/>
        </w:rPr>
        <w:t xml:space="preserve">. </w:t>
      </w:r>
    </w:p>
    <w:p w14:paraId="7B40C951" w14:textId="77777777" w:rsidR="00EE6C95" w:rsidRPr="00CA0A60" w:rsidRDefault="00EE6C95" w:rsidP="002C15E0">
      <w:pPr>
        <w:pStyle w:val="BodyText2Sgl"/>
        <w:spacing w:after="0"/>
        <w:ind w:firstLine="0"/>
        <w:jc w:val="both"/>
        <w:rPr>
          <w:rFonts w:ascii="Garamond" w:hAnsi="Garamond"/>
          <w:lang w:val="es-AR"/>
        </w:rPr>
      </w:pPr>
    </w:p>
    <w:p w14:paraId="425853AD" w14:textId="77777777" w:rsidR="00EE6C95" w:rsidRPr="00CA0A60" w:rsidRDefault="00EE6C95" w:rsidP="002C15E0">
      <w:pPr>
        <w:pStyle w:val="TitleI"/>
        <w:spacing w:after="0"/>
        <w:jc w:val="both"/>
        <w:rPr>
          <w:rFonts w:ascii="Garamond" w:hAnsi="Garamond" w:cs="Times New Roman"/>
          <w:szCs w:val="20"/>
          <w:lang w:val="es-AR"/>
        </w:rPr>
      </w:pPr>
      <w:r w:rsidRPr="00CA0A60">
        <w:rPr>
          <w:rFonts w:ascii="Garamond" w:eastAsia="Times New Roman" w:hAnsi="Garamond" w:cs="Times New Roman"/>
          <w:szCs w:val="20"/>
          <w:lang w:val="es-AR"/>
        </w:rPr>
        <w:t xml:space="preserve">Resolución SE 19/2017 - Energía Base </w:t>
      </w:r>
    </w:p>
    <w:p w14:paraId="4B4D7232" w14:textId="77777777" w:rsidR="00EE6C95" w:rsidRPr="00CA0A60" w:rsidRDefault="00EE6C95" w:rsidP="002C15E0">
      <w:pPr>
        <w:pStyle w:val="BodyText2Sgl"/>
        <w:spacing w:after="0"/>
        <w:ind w:firstLine="0"/>
        <w:jc w:val="both"/>
        <w:rPr>
          <w:rFonts w:ascii="Garamond" w:eastAsia="Times New Roman" w:hAnsi="Garamond"/>
          <w:lang w:val="es-AR"/>
        </w:rPr>
      </w:pPr>
    </w:p>
    <w:p w14:paraId="486146C5" w14:textId="77777777" w:rsidR="00EE6C95" w:rsidRPr="00CA0A60" w:rsidRDefault="00EE6C95" w:rsidP="002C15E0">
      <w:pPr>
        <w:pStyle w:val="TitleI"/>
        <w:spacing w:after="0"/>
        <w:jc w:val="both"/>
        <w:rPr>
          <w:rFonts w:ascii="Garamond" w:eastAsia="Times New Roman" w:hAnsi="Garamond" w:cs="Times New Roman"/>
          <w:i w:val="0"/>
          <w:szCs w:val="20"/>
          <w:lang w:val="es-AR"/>
        </w:rPr>
      </w:pPr>
      <w:r w:rsidRPr="00CA0A60">
        <w:rPr>
          <w:rFonts w:ascii="Garamond" w:eastAsia="Times New Roman" w:hAnsi="Garamond"/>
          <w:i w:val="0"/>
          <w:szCs w:val="20"/>
          <w:lang w:val="es-AR"/>
        </w:rPr>
        <w:t xml:space="preserve">Durante los ejercicios finalizados el 31 de diciembre de 2016, 31 de diciembre de 2017 y </w:t>
      </w:r>
      <w:r w:rsidR="00C83085" w:rsidRPr="00CA0A60">
        <w:rPr>
          <w:rFonts w:ascii="Garamond" w:eastAsia="Times New Roman" w:hAnsi="Garamond"/>
          <w:i w:val="0"/>
          <w:szCs w:val="20"/>
          <w:lang w:val="es-AR"/>
        </w:rPr>
        <w:t>31 de diciembre</w:t>
      </w:r>
      <w:r w:rsidR="00C83085" w:rsidRPr="00CA0A60">
        <w:rPr>
          <w:rFonts w:ascii="Garamond" w:eastAsia="Times New Roman" w:hAnsi="Garamond"/>
          <w:lang w:val="es-AR"/>
        </w:rPr>
        <w:t xml:space="preserve"> </w:t>
      </w:r>
      <w:r w:rsidRPr="00CA0A60">
        <w:rPr>
          <w:rFonts w:ascii="Garamond" w:eastAsia="Times New Roman" w:hAnsi="Garamond"/>
          <w:i w:val="0"/>
          <w:szCs w:val="20"/>
          <w:lang w:val="es-AR"/>
        </w:rPr>
        <w:t xml:space="preserve">de 2018, el Grupo Albanesi generó el 12%, el 10% y el </w:t>
      </w:r>
      <w:r w:rsidR="00C83085" w:rsidRPr="00CA0A60">
        <w:rPr>
          <w:rFonts w:ascii="Garamond" w:hAnsi="Garamond"/>
          <w:i w:val="0"/>
          <w:szCs w:val="20"/>
          <w:lang w:val="es-AR"/>
        </w:rPr>
        <w:t>6</w:t>
      </w:r>
      <w:r w:rsidRPr="00CA0A60">
        <w:rPr>
          <w:rFonts w:ascii="Garamond" w:eastAsia="Times New Roman" w:hAnsi="Garamond"/>
          <w:i w:val="0"/>
          <w:szCs w:val="20"/>
          <w:lang w:val="es-AR"/>
        </w:rPr>
        <w:t>% de</w:t>
      </w:r>
      <w:r w:rsidR="001347CB" w:rsidRPr="00CA0A60">
        <w:rPr>
          <w:rFonts w:ascii="Garamond" w:eastAsia="Times New Roman" w:hAnsi="Garamond"/>
          <w:i w:val="0"/>
          <w:szCs w:val="20"/>
          <w:lang w:val="es-AR"/>
        </w:rPr>
        <w:t xml:space="preserve"> su</w:t>
      </w:r>
      <w:r w:rsidRPr="00CA0A60">
        <w:rPr>
          <w:rFonts w:ascii="Garamond" w:eastAsia="Times New Roman" w:hAnsi="Garamond"/>
          <w:i w:val="0"/>
          <w:szCs w:val="20"/>
          <w:lang w:val="es-AR"/>
        </w:rPr>
        <w:t xml:space="preserve"> EBITDA Ajustado, respectivamente, bajo la Resolución SE 19/2017 – Energía Base. Para mayor información véase </w:t>
      </w:r>
      <w:r w:rsidRPr="00CA0A60">
        <w:rPr>
          <w:rFonts w:ascii="Garamond" w:eastAsia="Times New Roman" w:hAnsi="Garamond"/>
          <w:szCs w:val="20"/>
          <w:lang w:val="es-AR"/>
        </w:rPr>
        <w:t>“</w:t>
      </w:r>
      <w:r w:rsidR="001347CB" w:rsidRPr="00CA0A60">
        <w:rPr>
          <w:rFonts w:ascii="Garamond" w:hAnsi="Garamond" w:cs="Times New Roman"/>
          <w:szCs w:val="20"/>
          <w:lang w:val="es-AR"/>
        </w:rPr>
        <w:t xml:space="preserve">Información de las Co-Emisoras – Los Clientes de las Co-Emisoras – Marcos Regulatorios </w:t>
      </w:r>
      <w:r w:rsidR="00EF4E14" w:rsidRPr="00CA0A60">
        <w:rPr>
          <w:rFonts w:ascii="Garamond" w:hAnsi="Garamond" w:cs="Times New Roman"/>
          <w:szCs w:val="20"/>
          <w:lang w:val="es-AR"/>
        </w:rPr>
        <w:t>–</w:t>
      </w:r>
      <w:r w:rsidR="001347CB" w:rsidRPr="00CA0A60">
        <w:rPr>
          <w:rFonts w:ascii="Garamond" w:hAnsi="Garamond" w:cs="Times New Roman"/>
          <w:szCs w:val="20"/>
          <w:lang w:val="es-AR"/>
        </w:rPr>
        <w:t xml:space="preserve"> </w:t>
      </w:r>
      <w:r w:rsidR="001347CB" w:rsidRPr="00CA0A60">
        <w:rPr>
          <w:rFonts w:ascii="Garamond" w:eastAsia="Times New Roman" w:hAnsi="Garamond" w:cs="Times New Roman"/>
          <w:szCs w:val="20"/>
          <w:lang w:val="es-AR"/>
        </w:rPr>
        <w:t>Resolución SE 19/2017</w:t>
      </w:r>
      <w:r w:rsidR="001347CB" w:rsidRPr="00CA0A60">
        <w:rPr>
          <w:rFonts w:ascii="Garamond" w:hAnsi="Garamond" w:cs="Times New Roman"/>
          <w:szCs w:val="20"/>
          <w:lang w:val="es-AR"/>
        </w:rPr>
        <w:t>”</w:t>
      </w:r>
      <w:r w:rsidR="00EF4E14" w:rsidRPr="00CA0A60">
        <w:rPr>
          <w:rFonts w:ascii="Garamond" w:hAnsi="Garamond" w:cs="Times New Roman"/>
          <w:i w:val="0"/>
          <w:szCs w:val="20"/>
          <w:lang w:val="es-AR"/>
        </w:rPr>
        <w:t xml:space="preserve">, </w:t>
      </w:r>
      <w:r w:rsidR="00EF4E14" w:rsidRPr="00CA0A60">
        <w:rPr>
          <w:rFonts w:ascii="Garamond" w:eastAsia="Times New Roman" w:hAnsi="Garamond"/>
          <w:szCs w:val="20"/>
          <w:lang w:val="es-AR"/>
        </w:rPr>
        <w:t>“</w:t>
      </w:r>
      <w:r w:rsidR="00EF4E14" w:rsidRPr="00CA0A60">
        <w:rPr>
          <w:rFonts w:ascii="Garamond" w:hAnsi="Garamond" w:cs="Times New Roman"/>
          <w:szCs w:val="20"/>
          <w:lang w:val="es-AR"/>
        </w:rPr>
        <w:t xml:space="preserve">Información de las Co-Emisoras – Los Clientes de las Co-Emisoras – Marcos Regulatorios – </w:t>
      </w:r>
      <w:r w:rsidR="00EF4E14" w:rsidRPr="00CA0A60">
        <w:rPr>
          <w:rFonts w:ascii="Garamond" w:eastAsia="Times New Roman" w:hAnsi="Garamond" w:cs="Times New Roman"/>
          <w:szCs w:val="20"/>
          <w:lang w:val="es-AR"/>
        </w:rPr>
        <w:t>Resolución SE 01/2019</w:t>
      </w:r>
      <w:r w:rsidR="00EF4E14" w:rsidRPr="00CA0A60">
        <w:rPr>
          <w:rFonts w:ascii="Garamond" w:hAnsi="Garamond" w:cs="Times New Roman"/>
          <w:szCs w:val="20"/>
          <w:lang w:val="es-AR"/>
        </w:rPr>
        <w:t xml:space="preserve">” e “Información Sobre las Co-Emisoras – Normas con Influencia en Generadores Eléctricos – Resolución </w:t>
      </w:r>
      <w:r w:rsidR="00BD7EED" w:rsidRPr="00CA0A60">
        <w:rPr>
          <w:rFonts w:ascii="Garamond" w:hAnsi="Garamond" w:cs="Times New Roman"/>
          <w:szCs w:val="20"/>
          <w:lang w:val="es-AR"/>
        </w:rPr>
        <w:t>0</w:t>
      </w:r>
      <w:r w:rsidR="00EF4E14" w:rsidRPr="00CA0A60">
        <w:rPr>
          <w:rFonts w:ascii="Garamond" w:hAnsi="Garamond" w:cs="Times New Roman"/>
          <w:szCs w:val="20"/>
          <w:lang w:val="es-AR"/>
        </w:rPr>
        <w:t xml:space="preserve">1/2019” </w:t>
      </w:r>
      <w:r w:rsidRPr="00CA0A60">
        <w:rPr>
          <w:rFonts w:ascii="Garamond" w:hAnsi="Garamond" w:cs="Times New Roman"/>
          <w:i w:val="0"/>
          <w:szCs w:val="20"/>
          <w:lang w:val="es-AR"/>
        </w:rPr>
        <w:t>del Prospecto</w:t>
      </w:r>
      <w:r w:rsidRPr="00CA0A60">
        <w:rPr>
          <w:rFonts w:ascii="Garamond" w:eastAsia="Times New Roman" w:hAnsi="Garamond"/>
          <w:szCs w:val="20"/>
          <w:lang w:val="es-AR"/>
        </w:rPr>
        <w:t xml:space="preserve">. </w:t>
      </w:r>
    </w:p>
    <w:p w14:paraId="2093CA67" w14:textId="77777777" w:rsidR="00EE6C95" w:rsidRPr="00CA0A60" w:rsidRDefault="00EE6C95" w:rsidP="002C15E0">
      <w:pPr>
        <w:pStyle w:val="BodyText2Sgl"/>
        <w:spacing w:after="0"/>
        <w:ind w:firstLine="0"/>
        <w:jc w:val="both"/>
        <w:rPr>
          <w:rFonts w:ascii="Garamond" w:eastAsia="Times New Roman" w:hAnsi="Garamond"/>
          <w:lang w:val="es-AR"/>
        </w:rPr>
      </w:pPr>
    </w:p>
    <w:p w14:paraId="7ACC1E23" w14:textId="77777777" w:rsidR="00EE6C95" w:rsidRPr="00CA0A60" w:rsidRDefault="00EE6C95" w:rsidP="002C15E0">
      <w:pPr>
        <w:pStyle w:val="TitleI"/>
        <w:spacing w:after="0"/>
        <w:jc w:val="both"/>
        <w:rPr>
          <w:rFonts w:ascii="Garamond" w:eastAsia="Times New Roman" w:hAnsi="Garamond" w:cs="Times New Roman"/>
          <w:szCs w:val="20"/>
          <w:lang w:val="es-AR"/>
        </w:rPr>
      </w:pPr>
      <w:r w:rsidRPr="00CA0A60">
        <w:rPr>
          <w:rFonts w:ascii="Garamond" w:eastAsia="Times New Roman" w:hAnsi="Garamond" w:cs="Times New Roman"/>
          <w:szCs w:val="20"/>
          <w:lang w:val="es-AR"/>
        </w:rPr>
        <w:t>Resolución SEE 21/2016</w:t>
      </w:r>
    </w:p>
    <w:p w14:paraId="2503B197" w14:textId="77777777" w:rsidR="00EE6C95" w:rsidRPr="00CA0A60" w:rsidRDefault="00EE6C95" w:rsidP="002C15E0">
      <w:pPr>
        <w:pStyle w:val="BodyText2Sgl"/>
        <w:spacing w:after="0"/>
        <w:ind w:firstLine="0"/>
        <w:jc w:val="both"/>
        <w:rPr>
          <w:rFonts w:ascii="Garamond" w:eastAsia="Times New Roman" w:hAnsi="Garamond"/>
          <w:lang w:val="es-AR"/>
        </w:rPr>
      </w:pPr>
    </w:p>
    <w:p w14:paraId="5B664067" w14:textId="77777777" w:rsidR="00EE6C95" w:rsidRPr="00CA0A60" w:rsidRDefault="00EE6C95" w:rsidP="002C15E0">
      <w:pPr>
        <w:pStyle w:val="BodyText2Sgl"/>
        <w:spacing w:after="0"/>
        <w:ind w:firstLine="0"/>
        <w:jc w:val="both"/>
        <w:rPr>
          <w:rFonts w:ascii="Garamond" w:hAnsi="Garamond"/>
          <w:lang w:val="es-AR"/>
        </w:rPr>
      </w:pPr>
      <w:r w:rsidRPr="00CA0A60">
        <w:rPr>
          <w:rFonts w:ascii="Garamond" w:eastAsia="Times New Roman" w:hAnsi="Garamond"/>
          <w:lang w:val="es-AR"/>
        </w:rPr>
        <w:t>Durante los ejercicios finalizados el 31 de diciembre de 2017 y 3</w:t>
      </w:r>
      <w:r w:rsidR="00E128F8" w:rsidRPr="00CA0A60">
        <w:rPr>
          <w:rFonts w:ascii="Garamond" w:eastAsia="Times New Roman" w:hAnsi="Garamond"/>
          <w:lang w:val="es-AR"/>
        </w:rPr>
        <w:t>1</w:t>
      </w:r>
      <w:r w:rsidRPr="00CA0A60">
        <w:rPr>
          <w:rFonts w:ascii="Garamond" w:eastAsia="Times New Roman" w:hAnsi="Garamond"/>
          <w:lang w:val="es-AR"/>
        </w:rPr>
        <w:t xml:space="preserve"> de </w:t>
      </w:r>
      <w:r w:rsidR="00E128F8" w:rsidRPr="00CA0A60">
        <w:rPr>
          <w:rFonts w:ascii="Garamond" w:eastAsia="Times New Roman" w:hAnsi="Garamond"/>
          <w:lang w:val="es-AR"/>
        </w:rPr>
        <w:t>dic</w:t>
      </w:r>
      <w:r w:rsidRPr="00CA0A60">
        <w:rPr>
          <w:rFonts w:ascii="Garamond" w:eastAsia="Times New Roman" w:hAnsi="Garamond"/>
          <w:lang w:val="es-AR"/>
        </w:rPr>
        <w:t xml:space="preserve">iembre de 2018, </w:t>
      </w:r>
      <w:r w:rsidR="001347CB" w:rsidRPr="00CA0A60">
        <w:rPr>
          <w:rFonts w:ascii="Garamond" w:eastAsia="Times New Roman" w:hAnsi="Garamond"/>
          <w:lang w:val="es-AR"/>
        </w:rPr>
        <w:t xml:space="preserve">el Grupo </w:t>
      </w:r>
      <w:r w:rsidRPr="00CA0A60">
        <w:rPr>
          <w:rFonts w:ascii="Garamond" w:eastAsia="Times New Roman" w:hAnsi="Garamond"/>
          <w:lang w:val="es-AR"/>
        </w:rPr>
        <w:t>Albanesi generó el 10% y 3</w:t>
      </w:r>
      <w:r w:rsidR="00E128F8" w:rsidRPr="00CA0A60">
        <w:rPr>
          <w:rFonts w:ascii="Garamond" w:eastAsia="Times New Roman" w:hAnsi="Garamond"/>
          <w:lang w:val="es-AR"/>
        </w:rPr>
        <w:t>8</w:t>
      </w:r>
      <w:r w:rsidRPr="00CA0A60">
        <w:rPr>
          <w:rFonts w:ascii="Garamond" w:eastAsia="Times New Roman" w:hAnsi="Garamond"/>
          <w:lang w:val="es-AR"/>
        </w:rPr>
        <w:t>% de</w:t>
      </w:r>
      <w:r w:rsidR="001347CB" w:rsidRPr="00CA0A60">
        <w:rPr>
          <w:rFonts w:ascii="Garamond" w:eastAsia="Times New Roman" w:hAnsi="Garamond"/>
          <w:lang w:val="es-AR"/>
        </w:rPr>
        <w:t xml:space="preserve"> su</w:t>
      </w:r>
      <w:r w:rsidRPr="00CA0A60">
        <w:rPr>
          <w:rFonts w:ascii="Garamond" w:eastAsia="Times New Roman" w:hAnsi="Garamond"/>
          <w:lang w:val="es-AR"/>
        </w:rPr>
        <w:t xml:space="preserve"> EBITDA Ajustado, respectivamente, en virtud de los CCEE suscriptos con CAMMESA bajo el marco regulatorio de la Resolución SE 21/2016. Para más información sobre esta sección véase “</w:t>
      </w:r>
      <w:r w:rsidR="001347CB" w:rsidRPr="00CA0A60">
        <w:rPr>
          <w:rFonts w:ascii="Garamond" w:hAnsi="Garamond"/>
          <w:i/>
          <w:lang w:val="es-AR"/>
        </w:rPr>
        <w:t xml:space="preserve">Información de las Co-Emisoras – Los Clientes de las Co-Emisoras – Marcos Regulatorios - </w:t>
      </w:r>
      <w:r w:rsidR="001347CB" w:rsidRPr="00CA0A60">
        <w:rPr>
          <w:rFonts w:ascii="Garamond" w:eastAsia="Times New Roman" w:hAnsi="Garamond"/>
          <w:lang w:val="es-AR"/>
        </w:rPr>
        <w:t>Resolución SE 21/2016</w:t>
      </w:r>
      <w:r w:rsidR="001347CB" w:rsidRPr="00CA0A60">
        <w:rPr>
          <w:rFonts w:ascii="Garamond" w:hAnsi="Garamond"/>
          <w:lang w:val="es-AR"/>
        </w:rPr>
        <w:t>”</w:t>
      </w:r>
      <w:r w:rsidRPr="00CA0A60">
        <w:rPr>
          <w:rFonts w:ascii="Garamond" w:hAnsi="Garamond"/>
          <w:i/>
          <w:lang w:val="es-AR"/>
        </w:rPr>
        <w:t xml:space="preserve"> </w:t>
      </w:r>
      <w:r w:rsidRPr="00CA0A60">
        <w:rPr>
          <w:rFonts w:ascii="Garamond" w:hAnsi="Garamond"/>
          <w:lang w:val="es-AR"/>
        </w:rPr>
        <w:t>del Prospecto</w:t>
      </w:r>
      <w:r w:rsidRPr="00CA0A60">
        <w:rPr>
          <w:rFonts w:ascii="Garamond" w:eastAsia="Times New Roman" w:hAnsi="Garamond"/>
          <w:lang w:val="es-AR"/>
        </w:rPr>
        <w:t>.</w:t>
      </w:r>
    </w:p>
    <w:p w14:paraId="38288749" w14:textId="77777777" w:rsidR="00EE6C95" w:rsidRPr="00CA0A60" w:rsidRDefault="00EE6C95" w:rsidP="002C15E0">
      <w:pPr>
        <w:spacing w:after="0" w:line="240" w:lineRule="auto"/>
        <w:jc w:val="both"/>
        <w:rPr>
          <w:rFonts w:ascii="Garamond" w:hAnsi="Garamond" w:cs="Times New Roman"/>
          <w:sz w:val="20"/>
          <w:szCs w:val="20"/>
          <w:lang w:val="es-AR"/>
        </w:rPr>
      </w:pPr>
    </w:p>
    <w:p w14:paraId="6FE2C2F9" w14:textId="77777777" w:rsidR="00EE6C95" w:rsidRPr="00CA0A60" w:rsidRDefault="00EE6C95" w:rsidP="002C15E0">
      <w:pPr>
        <w:spacing w:after="0" w:line="240" w:lineRule="auto"/>
        <w:jc w:val="both"/>
        <w:rPr>
          <w:rFonts w:ascii="Garamond" w:eastAsia="Times New Roman" w:hAnsi="Garamond"/>
          <w:sz w:val="20"/>
          <w:szCs w:val="20"/>
          <w:lang w:val="es-AR"/>
        </w:rPr>
      </w:pPr>
      <w:r w:rsidRPr="00CA0A60">
        <w:rPr>
          <w:rFonts w:ascii="Garamond" w:hAnsi="Garamond" w:cs="Times New Roman"/>
          <w:sz w:val="20"/>
          <w:szCs w:val="20"/>
          <w:lang w:val="es-AR"/>
        </w:rPr>
        <w:t>La siguiente tabla presenta un resumen de los marcos regulatorios y de las principales condiciones para la venta de capacidad de generación de electricidad y despacho para la central eléctrica G</w:t>
      </w:r>
      <w:r w:rsidR="001347CB" w:rsidRPr="00CA0A60">
        <w:rPr>
          <w:rFonts w:ascii="Garamond" w:hAnsi="Garamond" w:cs="Times New Roman"/>
          <w:sz w:val="20"/>
          <w:szCs w:val="20"/>
          <w:lang w:val="es-AR"/>
        </w:rPr>
        <w:t>ROSA</w:t>
      </w:r>
      <w:r w:rsidRPr="00CA0A60">
        <w:rPr>
          <w:rFonts w:ascii="Garamond" w:hAnsi="Garamond" w:cs="Times New Roman"/>
          <w:sz w:val="20"/>
          <w:szCs w:val="20"/>
          <w:lang w:val="es-AR"/>
        </w:rPr>
        <w:t>. Para más información sobre las restantes centrales, véase “</w:t>
      </w:r>
      <w:r w:rsidRPr="00CA0A60">
        <w:rPr>
          <w:rFonts w:ascii="Garamond" w:eastAsia="Times New Roman" w:hAnsi="Garamond" w:cs="Times New Roman"/>
          <w:i/>
          <w:sz w:val="20"/>
          <w:szCs w:val="20"/>
          <w:lang w:val="es-AR"/>
        </w:rPr>
        <w:t xml:space="preserve">Marcos Regulatorios - </w:t>
      </w:r>
      <w:r w:rsidRPr="00CA0A60">
        <w:rPr>
          <w:rFonts w:ascii="Garamond" w:hAnsi="Garamond" w:cs="Times New Roman"/>
          <w:i/>
          <w:sz w:val="20"/>
          <w:szCs w:val="20"/>
          <w:lang w:val="es-AR"/>
        </w:rPr>
        <w:t>Los Clientes de las Co-Emisoras-Información de las Co-Emisoras” del Prospecto”</w:t>
      </w:r>
      <w:r w:rsidRPr="00CA0A60">
        <w:rPr>
          <w:rFonts w:ascii="Garamond" w:eastAsia="Times New Roman" w:hAnsi="Garamond"/>
          <w:sz w:val="20"/>
          <w:szCs w:val="20"/>
          <w:lang w:val="es-AR"/>
        </w:rPr>
        <w:t>:</w:t>
      </w:r>
    </w:p>
    <w:p w14:paraId="20BD9A1A" w14:textId="77777777" w:rsidR="00313867" w:rsidRPr="00CA0A60" w:rsidRDefault="00313867" w:rsidP="002C15E0">
      <w:pPr>
        <w:spacing w:after="0" w:line="240" w:lineRule="auto"/>
        <w:jc w:val="both"/>
        <w:rPr>
          <w:rFonts w:ascii="Garamond" w:eastAsia="Times New Roman" w:hAnsi="Garamond"/>
          <w:sz w:val="20"/>
          <w:szCs w:val="20"/>
          <w:lang w:val="es-AR"/>
        </w:rPr>
      </w:pPr>
    </w:p>
    <w:tbl>
      <w:tblPr>
        <w:tblW w:w="8450" w:type="dxa"/>
        <w:jc w:val="center"/>
        <w:tblLayout w:type="fixed"/>
        <w:tblCellMar>
          <w:left w:w="0" w:type="dxa"/>
          <w:right w:w="0" w:type="dxa"/>
        </w:tblCellMar>
        <w:tblLook w:val="0600" w:firstRow="0" w:lastRow="0" w:firstColumn="0" w:lastColumn="0" w:noHBand="1" w:noVBand="1"/>
      </w:tblPr>
      <w:tblGrid>
        <w:gridCol w:w="991"/>
        <w:gridCol w:w="913"/>
        <w:gridCol w:w="782"/>
        <w:gridCol w:w="1140"/>
        <w:gridCol w:w="594"/>
        <w:gridCol w:w="845"/>
        <w:gridCol w:w="679"/>
        <w:gridCol w:w="1367"/>
        <w:gridCol w:w="1139"/>
      </w:tblGrid>
      <w:tr w:rsidR="00561790" w:rsidRPr="00CA0A60" w14:paraId="0F4573FA" w14:textId="77777777" w:rsidTr="002B1E31">
        <w:trPr>
          <w:trHeight w:val="1647"/>
          <w:jc w:val="center"/>
        </w:trPr>
        <w:tc>
          <w:tcPr>
            <w:tcW w:w="991" w:type="dxa"/>
            <w:tcMar>
              <w:top w:w="12" w:type="dxa"/>
              <w:left w:w="12" w:type="dxa"/>
              <w:bottom w:w="0" w:type="dxa"/>
              <w:right w:w="12" w:type="dxa"/>
            </w:tcMar>
            <w:vAlign w:val="bottom"/>
            <w:hideMark/>
          </w:tcPr>
          <w:p w14:paraId="1CF297B6" w14:textId="77777777" w:rsidR="00561790" w:rsidRPr="00CA0A60" w:rsidRDefault="00561790" w:rsidP="00B441B1">
            <w:pPr>
              <w:keepNext/>
              <w:keepLines/>
              <w:pBdr>
                <w:bottom w:val="single" w:sz="4" w:space="1" w:color="auto"/>
              </w:pBdr>
              <w:spacing w:after="0" w:line="240" w:lineRule="auto"/>
              <w:ind w:left="86" w:right="86"/>
              <w:jc w:val="center"/>
              <w:textAlignment w:val="center"/>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Central Eléctrica</w:t>
            </w:r>
          </w:p>
        </w:tc>
        <w:tc>
          <w:tcPr>
            <w:tcW w:w="913" w:type="dxa"/>
            <w:tcMar>
              <w:top w:w="12" w:type="dxa"/>
              <w:left w:w="12" w:type="dxa"/>
              <w:bottom w:w="0" w:type="dxa"/>
              <w:right w:w="12" w:type="dxa"/>
            </w:tcMar>
            <w:vAlign w:val="bottom"/>
            <w:hideMark/>
          </w:tcPr>
          <w:p w14:paraId="32655A38" w14:textId="77777777" w:rsidR="00561790" w:rsidRPr="00CA0A60" w:rsidRDefault="00561790" w:rsidP="00B441B1">
            <w:pPr>
              <w:keepNext/>
              <w:keepLines/>
              <w:pBdr>
                <w:bottom w:val="single" w:sz="4" w:space="1" w:color="auto"/>
              </w:pBdr>
              <w:spacing w:after="0" w:line="240" w:lineRule="auto"/>
              <w:ind w:left="86" w:right="86"/>
              <w:jc w:val="center"/>
              <w:textAlignment w:val="center"/>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Regulación</w:t>
            </w:r>
          </w:p>
        </w:tc>
        <w:tc>
          <w:tcPr>
            <w:tcW w:w="782" w:type="dxa"/>
            <w:tcMar>
              <w:top w:w="12" w:type="dxa"/>
              <w:left w:w="12" w:type="dxa"/>
              <w:bottom w:w="0" w:type="dxa"/>
              <w:right w:w="12" w:type="dxa"/>
            </w:tcMar>
            <w:vAlign w:val="bottom"/>
            <w:hideMark/>
          </w:tcPr>
          <w:p w14:paraId="0ACB1AEE" w14:textId="77777777" w:rsidR="00561790" w:rsidRPr="00CA0A60" w:rsidRDefault="00561790" w:rsidP="00B441B1">
            <w:pPr>
              <w:keepNext/>
              <w:keepLines/>
              <w:pBdr>
                <w:bottom w:val="single" w:sz="4" w:space="1" w:color="auto"/>
              </w:pBdr>
              <w:spacing w:after="0" w:line="240" w:lineRule="auto"/>
              <w:ind w:left="86" w:right="86"/>
              <w:jc w:val="center"/>
              <w:textAlignment w:val="center"/>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Tomador</w:t>
            </w:r>
          </w:p>
        </w:tc>
        <w:tc>
          <w:tcPr>
            <w:tcW w:w="1140" w:type="dxa"/>
            <w:tcMar>
              <w:top w:w="12" w:type="dxa"/>
              <w:left w:w="12" w:type="dxa"/>
              <w:bottom w:w="0" w:type="dxa"/>
              <w:right w:w="12" w:type="dxa"/>
            </w:tcMar>
            <w:vAlign w:val="bottom"/>
            <w:hideMark/>
          </w:tcPr>
          <w:p w14:paraId="75AFC9D2" w14:textId="77777777" w:rsidR="00561790" w:rsidRPr="00CA0A60" w:rsidRDefault="00561790" w:rsidP="00B441B1">
            <w:pPr>
              <w:keepNext/>
              <w:keepLines/>
              <w:pBdr>
                <w:bottom w:val="single" w:sz="4" w:space="1" w:color="auto"/>
              </w:pBdr>
              <w:spacing w:after="0" w:line="240" w:lineRule="auto"/>
              <w:ind w:left="86" w:right="86"/>
              <w:jc w:val="center"/>
              <w:textAlignment w:val="center"/>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MW de capacidad comprometida o utilizada (Energía Plus) por contrato</w:t>
            </w:r>
          </w:p>
        </w:tc>
        <w:tc>
          <w:tcPr>
            <w:tcW w:w="594" w:type="dxa"/>
            <w:tcMar>
              <w:top w:w="12" w:type="dxa"/>
              <w:left w:w="12" w:type="dxa"/>
              <w:bottom w:w="0" w:type="dxa"/>
              <w:right w:w="12" w:type="dxa"/>
            </w:tcMar>
            <w:vAlign w:val="bottom"/>
            <w:hideMark/>
          </w:tcPr>
          <w:p w14:paraId="5BBC9439" w14:textId="77777777" w:rsidR="00561790" w:rsidRPr="00CA0A60" w:rsidRDefault="00561790" w:rsidP="00561790">
            <w:pPr>
              <w:pBdr>
                <w:bottom w:val="single" w:sz="4" w:space="1" w:color="auto"/>
              </w:pBdr>
              <w:spacing w:after="0" w:line="240" w:lineRule="auto"/>
              <w:ind w:left="86" w:right="86"/>
              <w:jc w:val="center"/>
              <w:textAlignment w:val="center"/>
              <w:rPr>
                <w:rFonts w:ascii="Garamond" w:eastAsia="MS PGothic" w:hAnsi="Garamond" w:cs="Times New Roman"/>
                <w:color w:val="000000"/>
                <w:kern w:val="24"/>
                <w:sz w:val="18"/>
                <w:szCs w:val="20"/>
                <w:lang w:val="es-AR"/>
              </w:rPr>
            </w:pPr>
            <w:r w:rsidRPr="00CA0A60">
              <w:rPr>
                <w:rFonts w:ascii="Garamond" w:eastAsia="MS PGothic" w:hAnsi="Garamond" w:cs="Times New Roman"/>
                <w:color w:val="000000"/>
                <w:kern w:val="24"/>
                <w:sz w:val="18"/>
                <w:szCs w:val="20"/>
                <w:lang w:val="es-AR"/>
              </w:rPr>
              <w:t>Plazo</w:t>
            </w:r>
          </w:p>
          <w:p w14:paraId="59F33CD5" w14:textId="77777777" w:rsidR="00561790" w:rsidRPr="00CA0A60" w:rsidRDefault="00561790" w:rsidP="00561790">
            <w:pPr>
              <w:pBdr>
                <w:bottom w:val="single" w:sz="4" w:space="1" w:color="auto"/>
              </w:pBdr>
              <w:spacing w:after="0" w:line="240" w:lineRule="auto"/>
              <w:ind w:left="86" w:right="86"/>
              <w:jc w:val="center"/>
              <w:textAlignment w:val="center"/>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(Años)</w:t>
            </w:r>
          </w:p>
        </w:tc>
        <w:tc>
          <w:tcPr>
            <w:tcW w:w="845" w:type="dxa"/>
            <w:vAlign w:val="bottom"/>
          </w:tcPr>
          <w:p w14:paraId="09D780CA" w14:textId="77777777" w:rsidR="00561790" w:rsidRPr="00CA0A60" w:rsidRDefault="00561790" w:rsidP="00561790">
            <w:pPr>
              <w:pBdr>
                <w:bottom w:val="single" w:sz="4" w:space="1" w:color="auto"/>
              </w:pBdr>
              <w:spacing w:after="0" w:line="240" w:lineRule="auto"/>
              <w:ind w:left="86" w:right="86"/>
              <w:jc w:val="center"/>
              <w:textAlignment w:val="center"/>
              <w:rPr>
                <w:rFonts w:ascii="Garamond" w:eastAsia="MS PGothic" w:hAnsi="Garamond" w:cs="Times New Roman"/>
                <w:color w:val="000000"/>
                <w:kern w:val="24"/>
                <w:sz w:val="18"/>
                <w:szCs w:val="20"/>
                <w:lang w:val="es-AR"/>
              </w:rPr>
            </w:pPr>
            <w:r w:rsidRPr="00CA0A60">
              <w:rPr>
                <w:rFonts w:ascii="Garamond" w:eastAsia="MS PGothic" w:hAnsi="Garamond" w:cs="Times New Roman"/>
                <w:color w:val="000000"/>
                <w:kern w:val="24"/>
                <w:sz w:val="18"/>
                <w:szCs w:val="20"/>
                <w:lang w:val="es-AR"/>
              </w:rPr>
              <w:t xml:space="preserve">Plazo Remanente (Años) </w:t>
            </w:r>
          </w:p>
        </w:tc>
        <w:tc>
          <w:tcPr>
            <w:tcW w:w="679" w:type="dxa"/>
            <w:vAlign w:val="bottom"/>
          </w:tcPr>
          <w:p w14:paraId="1E1F22A2" w14:textId="77777777" w:rsidR="00561790" w:rsidRPr="00CA0A60" w:rsidRDefault="00561790" w:rsidP="00561790">
            <w:pPr>
              <w:pBdr>
                <w:bottom w:val="single" w:sz="4" w:space="1" w:color="auto"/>
              </w:pBdr>
              <w:spacing w:after="0" w:line="240" w:lineRule="auto"/>
              <w:ind w:left="86" w:right="86"/>
              <w:jc w:val="center"/>
              <w:textAlignment w:val="center"/>
              <w:rPr>
                <w:rFonts w:ascii="Garamond" w:eastAsia="MS PGothic" w:hAnsi="Garamond" w:cs="Times New Roman"/>
                <w:color w:val="000000"/>
                <w:kern w:val="24"/>
                <w:sz w:val="18"/>
                <w:szCs w:val="20"/>
                <w:lang w:val="es-AR"/>
              </w:rPr>
            </w:pPr>
            <w:r w:rsidRPr="00CA0A60">
              <w:rPr>
                <w:rFonts w:ascii="Garamond" w:eastAsia="MS PGothic" w:hAnsi="Garamond" w:cs="Times New Roman"/>
                <w:color w:val="000000"/>
                <w:kern w:val="24"/>
                <w:sz w:val="18"/>
                <w:szCs w:val="20"/>
                <w:lang w:val="es-AR"/>
              </w:rPr>
              <w:t>Moneda</w:t>
            </w:r>
          </w:p>
        </w:tc>
        <w:tc>
          <w:tcPr>
            <w:tcW w:w="1367" w:type="dxa"/>
            <w:tcMar>
              <w:top w:w="12" w:type="dxa"/>
              <w:left w:w="12" w:type="dxa"/>
              <w:bottom w:w="0" w:type="dxa"/>
              <w:right w:w="12" w:type="dxa"/>
            </w:tcMar>
            <w:vAlign w:val="bottom"/>
            <w:hideMark/>
          </w:tcPr>
          <w:p w14:paraId="070A2032" w14:textId="77777777" w:rsidR="00561790" w:rsidRPr="00CA0A60" w:rsidRDefault="00561790" w:rsidP="00561790">
            <w:pPr>
              <w:pBdr>
                <w:bottom w:val="single" w:sz="4" w:space="1" w:color="auto"/>
              </w:pBdr>
              <w:spacing w:after="0" w:line="240" w:lineRule="auto"/>
              <w:ind w:left="86" w:right="86"/>
              <w:jc w:val="center"/>
              <w:textAlignment w:val="center"/>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Precio Capacidad Comprometida USD/MW-hora</w:t>
            </w:r>
          </w:p>
        </w:tc>
        <w:tc>
          <w:tcPr>
            <w:tcW w:w="1139" w:type="dxa"/>
            <w:vAlign w:val="bottom"/>
            <w:hideMark/>
          </w:tcPr>
          <w:p w14:paraId="52FFCE4D" w14:textId="77777777" w:rsidR="00561790" w:rsidRPr="00CA0A60" w:rsidRDefault="00561790" w:rsidP="00561790">
            <w:pPr>
              <w:pBdr>
                <w:bottom w:val="single" w:sz="4" w:space="1" w:color="auto"/>
              </w:pBdr>
              <w:spacing w:after="0" w:line="240" w:lineRule="auto"/>
              <w:ind w:left="86" w:right="86"/>
              <w:jc w:val="center"/>
              <w:textAlignment w:val="center"/>
              <w:rPr>
                <w:rFonts w:ascii="Garamond" w:eastAsia="MS PGothic" w:hAnsi="Garamond" w:cs="Times New Roman"/>
                <w:color w:val="000000"/>
                <w:kern w:val="24"/>
                <w:sz w:val="18"/>
                <w:szCs w:val="20"/>
                <w:lang w:val="es-AR"/>
              </w:rPr>
            </w:pPr>
            <w:r w:rsidRPr="00CA0A60">
              <w:rPr>
                <w:rFonts w:ascii="Garamond" w:eastAsia="MS PGothic" w:hAnsi="Garamond" w:cs="Times New Roman"/>
                <w:color w:val="000000"/>
                <w:kern w:val="24"/>
                <w:sz w:val="18"/>
                <w:szCs w:val="20"/>
                <w:lang w:val="es-AR"/>
              </w:rPr>
              <w:t>Precio de Energía</w:t>
            </w:r>
          </w:p>
          <w:p w14:paraId="0B611003" w14:textId="77777777" w:rsidR="00561790" w:rsidRPr="00CA0A60" w:rsidRDefault="00561790" w:rsidP="00561790">
            <w:pPr>
              <w:pBdr>
                <w:bottom w:val="single" w:sz="4" w:space="1" w:color="auto"/>
              </w:pBdr>
              <w:spacing w:after="0" w:line="240" w:lineRule="auto"/>
              <w:ind w:left="86" w:right="86"/>
              <w:jc w:val="center"/>
              <w:textAlignment w:val="center"/>
              <w:rPr>
                <w:rFonts w:ascii="Garamond" w:eastAsia="MS PGothic" w:hAnsi="Garamond" w:cs="Times New Roman"/>
                <w:color w:val="000000"/>
                <w:kern w:val="24"/>
                <w:sz w:val="18"/>
                <w:szCs w:val="20"/>
                <w:lang w:val="es-AR"/>
              </w:rPr>
            </w:pPr>
            <w:r w:rsidRPr="00CA0A60">
              <w:rPr>
                <w:rFonts w:ascii="Garamond" w:eastAsia="MS PGothic" w:hAnsi="Garamond" w:cs="Times New Roman"/>
                <w:color w:val="000000"/>
                <w:kern w:val="24"/>
                <w:sz w:val="18"/>
                <w:szCs w:val="20"/>
                <w:lang w:val="es-AR"/>
              </w:rPr>
              <w:t>USD/MWh</w:t>
            </w:r>
            <w:r w:rsidRPr="00CA0A60">
              <w:rPr>
                <w:rFonts w:ascii="Garamond" w:eastAsia="MS PGothic" w:hAnsi="Garamond" w:cs="Times New Roman"/>
                <w:color w:val="000000"/>
                <w:kern w:val="24"/>
                <w:sz w:val="18"/>
                <w:szCs w:val="20"/>
                <w:vertAlign w:val="superscript"/>
                <w:lang w:val="es-AR"/>
              </w:rPr>
              <w:t>(1)</w:t>
            </w:r>
          </w:p>
        </w:tc>
      </w:tr>
      <w:tr w:rsidR="00561790" w:rsidRPr="00CA0A60" w14:paraId="2247D86B" w14:textId="77777777" w:rsidTr="002B1E31">
        <w:trPr>
          <w:trHeight w:val="435"/>
          <w:jc w:val="center"/>
        </w:trPr>
        <w:tc>
          <w:tcPr>
            <w:tcW w:w="991" w:type="dxa"/>
            <w:tcMar>
              <w:top w:w="12" w:type="dxa"/>
              <w:left w:w="57" w:type="dxa"/>
              <w:bottom w:w="0" w:type="dxa"/>
              <w:right w:w="12" w:type="dxa"/>
            </w:tcMar>
            <w:hideMark/>
          </w:tcPr>
          <w:p w14:paraId="18C34FF8" w14:textId="77777777" w:rsidR="00561790" w:rsidRPr="00CA0A60" w:rsidRDefault="00561790" w:rsidP="00B441B1">
            <w:pPr>
              <w:keepNext/>
              <w:keepLines/>
              <w:spacing w:after="0" w:line="240" w:lineRule="auto"/>
              <w:jc w:val="center"/>
              <w:textAlignment w:val="bottom"/>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Generación Rosario</w:t>
            </w:r>
          </w:p>
        </w:tc>
        <w:tc>
          <w:tcPr>
            <w:tcW w:w="913" w:type="dxa"/>
            <w:tcMar>
              <w:top w:w="12" w:type="dxa"/>
              <w:left w:w="12" w:type="dxa"/>
              <w:bottom w:w="0" w:type="dxa"/>
              <w:right w:w="12" w:type="dxa"/>
            </w:tcMar>
            <w:hideMark/>
          </w:tcPr>
          <w:p w14:paraId="6B1B46FC" w14:textId="77777777" w:rsidR="00561790" w:rsidRPr="00CA0A60" w:rsidRDefault="00561790" w:rsidP="00B441B1">
            <w:pPr>
              <w:keepNext/>
              <w:keepLines/>
              <w:spacing w:after="0" w:line="240" w:lineRule="auto"/>
              <w:jc w:val="center"/>
              <w:textAlignment w:val="bottom"/>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Energía Base</w:t>
            </w:r>
          </w:p>
        </w:tc>
        <w:tc>
          <w:tcPr>
            <w:tcW w:w="782" w:type="dxa"/>
            <w:tcMar>
              <w:top w:w="12" w:type="dxa"/>
              <w:left w:w="12" w:type="dxa"/>
              <w:bottom w:w="0" w:type="dxa"/>
              <w:right w:w="12" w:type="dxa"/>
            </w:tcMar>
            <w:hideMark/>
          </w:tcPr>
          <w:p w14:paraId="199B331F" w14:textId="77777777" w:rsidR="00561790" w:rsidRPr="00CA0A60" w:rsidRDefault="00561790" w:rsidP="00B441B1">
            <w:pPr>
              <w:keepNext/>
              <w:keepLines/>
              <w:spacing w:after="0" w:line="240" w:lineRule="auto"/>
              <w:jc w:val="center"/>
              <w:textAlignment w:val="bottom"/>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CAMMESA</w:t>
            </w:r>
          </w:p>
        </w:tc>
        <w:tc>
          <w:tcPr>
            <w:tcW w:w="1140" w:type="dxa"/>
            <w:tcMar>
              <w:top w:w="12" w:type="dxa"/>
              <w:left w:w="12" w:type="dxa"/>
              <w:bottom w:w="0" w:type="dxa"/>
              <w:right w:w="12" w:type="dxa"/>
            </w:tcMar>
            <w:hideMark/>
          </w:tcPr>
          <w:p w14:paraId="1DB7EDA4" w14:textId="77777777" w:rsidR="00561790" w:rsidRPr="00CA0A60" w:rsidRDefault="00561790" w:rsidP="00B441B1">
            <w:pPr>
              <w:keepNext/>
              <w:keepLines/>
              <w:spacing w:after="0" w:line="240" w:lineRule="auto"/>
              <w:jc w:val="center"/>
              <w:textAlignment w:val="bottom"/>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140</w:t>
            </w:r>
          </w:p>
        </w:tc>
        <w:tc>
          <w:tcPr>
            <w:tcW w:w="594" w:type="dxa"/>
            <w:tcMar>
              <w:top w:w="12" w:type="dxa"/>
              <w:left w:w="12" w:type="dxa"/>
              <w:bottom w:w="0" w:type="dxa"/>
              <w:right w:w="12" w:type="dxa"/>
            </w:tcMar>
            <w:hideMark/>
          </w:tcPr>
          <w:p w14:paraId="146E8121" w14:textId="77777777" w:rsidR="00561790" w:rsidRPr="00CA0A60" w:rsidRDefault="00561790" w:rsidP="00561790">
            <w:pPr>
              <w:spacing w:after="0" w:line="240" w:lineRule="auto"/>
              <w:jc w:val="center"/>
              <w:textAlignment w:val="center"/>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NA</w:t>
            </w:r>
          </w:p>
        </w:tc>
        <w:tc>
          <w:tcPr>
            <w:tcW w:w="845" w:type="dxa"/>
          </w:tcPr>
          <w:p w14:paraId="0E95CDC1" w14:textId="77777777" w:rsidR="00561790" w:rsidRPr="00CA0A60" w:rsidRDefault="00561790" w:rsidP="00B441B1">
            <w:pPr>
              <w:spacing w:after="0" w:line="240" w:lineRule="auto"/>
              <w:ind w:left="86" w:right="86"/>
              <w:jc w:val="center"/>
              <w:textAlignment w:val="center"/>
              <w:rPr>
                <w:rFonts w:ascii="Garamond" w:eastAsia="MS PGothic" w:hAnsi="Garamond" w:cs="Times New Roman"/>
                <w:color w:val="000000"/>
                <w:kern w:val="24"/>
                <w:sz w:val="18"/>
                <w:szCs w:val="20"/>
                <w:lang w:val="es-AR"/>
              </w:rPr>
            </w:pPr>
            <w:r w:rsidRPr="00CA0A60">
              <w:rPr>
                <w:rFonts w:ascii="Garamond" w:eastAsia="MS PGothic" w:hAnsi="Garamond" w:cs="Times New Roman"/>
                <w:color w:val="000000"/>
                <w:kern w:val="24"/>
                <w:sz w:val="18"/>
                <w:szCs w:val="20"/>
                <w:lang w:val="es-AR"/>
              </w:rPr>
              <w:t>NA</w:t>
            </w:r>
          </w:p>
        </w:tc>
        <w:tc>
          <w:tcPr>
            <w:tcW w:w="679" w:type="dxa"/>
          </w:tcPr>
          <w:p w14:paraId="217442D2" w14:textId="77777777" w:rsidR="00561790" w:rsidRPr="00CA0A60" w:rsidRDefault="00561790" w:rsidP="00561790">
            <w:pPr>
              <w:spacing w:after="0" w:line="240" w:lineRule="auto"/>
              <w:jc w:val="center"/>
              <w:textAlignment w:val="bottom"/>
              <w:rPr>
                <w:rFonts w:ascii="Garamond" w:eastAsia="MS PGothic" w:hAnsi="Garamond" w:cs="Times New Roman"/>
                <w:color w:val="000000"/>
                <w:kern w:val="24"/>
                <w:sz w:val="18"/>
                <w:szCs w:val="20"/>
                <w:lang w:val="es-AR"/>
              </w:rPr>
            </w:pPr>
            <w:r w:rsidRPr="00CA0A60">
              <w:rPr>
                <w:rFonts w:ascii="Garamond" w:eastAsia="MS PGothic" w:hAnsi="Garamond" w:cs="Times New Roman"/>
                <w:color w:val="000000"/>
                <w:kern w:val="24"/>
                <w:sz w:val="18"/>
                <w:szCs w:val="20"/>
                <w:lang w:val="es-AR"/>
              </w:rPr>
              <w:t>USD</w:t>
            </w:r>
          </w:p>
        </w:tc>
        <w:tc>
          <w:tcPr>
            <w:tcW w:w="1367" w:type="dxa"/>
            <w:tcMar>
              <w:top w:w="12" w:type="dxa"/>
              <w:left w:w="12" w:type="dxa"/>
              <w:bottom w:w="0" w:type="dxa"/>
              <w:right w:w="12" w:type="dxa"/>
            </w:tcMar>
            <w:hideMark/>
          </w:tcPr>
          <w:p w14:paraId="7F187C2E" w14:textId="77777777" w:rsidR="00561790" w:rsidRPr="00CA0A60" w:rsidRDefault="00561790" w:rsidP="00561790">
            <w:pPr>
              <w:spacing w:after="0" w:line="240" w:lineRule="auto"/>
              <w:jc w:val="center"/>
              <w:textAlignment w:val="bottom"/>
              <w:rPr>
                <w:rFonts w:ascii="Garamond" w:eastAsia="Times New Roman" w:hAnsi="Garamond" w:cs="Times New Roman"/>
                <w:color w:val="000000"/>
                <w:sz w:val="18"/>
                <w:szCs w:val="20"/>
                <w:lang w:val="es-AR"/>
              </w:rPr>
            </w:pPr>
            <w:r w:rsidRPr="00CA0A60">
              <w:rPr>
                <w:rFonts w:ascii="Garamond" w:eastAsia="MS PGothic" w:hAnsi="Garamond" w:cs="Times New Roman"/>
                <w:color w:val="000000"/>
                <w:kern w:val="24"/>
                <w:sz w:val="18"/>
                <w:szCs w:val="20"/>
                <w:lang w:val="es-AR"/>
              </w:rPr>
              <w:t>9,59</w:t>
            </w:r>
            <w:r w:rsidRPr="00CA0A60">
              <w:rPr>
                <w:rFonts w:ascii="Garamond" w:eastAsia="MS PGothic" w:hAnsi="Garamond" w:cs="Times New Roman"/>
                <w:color w:val="000000"/>
                <w:kern w:val="24"/>
                <w:sz w:val="18"/>
                <w:szCs w:val="20"/>
                <w:vertAlign w:val="superscript"/>
                <w:lang w:val="es-AR"/>
              </w:rPr>
              <w:t>(2)</w:t>
            </w:r>
          </w:p>
        </w:tc>
        <w:tc>
          <w:tcPr>
            <w:tcW w:w="1139" w:type="dxa"/>
            <w:hideMark/>
          </w:tcPr>
          <w:p w14:paraId="5DBEF32A" w14:textId="77777777" w:rsidR="00561790" w:rsidRPr="00CA0A60" w:rsidRDefault="00561790" w:rsidP="00561790">
            <w:pPr>
              <w:spacing w:after="0" w:line="240" w:lineRule="auto"/>
              <w:jc w:val="center"/>
              <w:textAlignment w:val="bottom"/>
              <w:rPr>
                <w:rFonts w:ascii="Garamond" w:eastAsia="MS PGothic" w:hAnsi="Garamond" w:cs="Times New Roman"/>
                <w:color w:val="000000"/>
                <w:kern w:val="24"/>
                <w:sz w:val="18"/>
                <w:szCs w:val="20"/>
                <w:lang w:val="es-AR"/>
              </w:rPr>
            </w:pPr>
            <w:r w:rsidRPr="00CA0A60">
              <w:rPr>
                <w:rFonts w:ascii="Garamond" w:eastAsia="MS PGothic" w:hAnsi="Garamond" w:cs="Times New Roman"/>
                <w:color w:val="000000"/>
                <w:kern w:val="24"/>
                <w:sz w:val="18"/>
                <w:szCs w:val="20"/>
                <w:lang w:val="es-AR"/>
              </w:rPr>
              <w:t>7,00 (gas) / 10,00 (fueloil)</w:t>
            </w:r>
            <w:r w:rsidRPr="00CA0A60">
              <w:rPr>
                <w:rFonts w:ascii="Garamond" w:eastAsia="MS PGothic" w:hAnsi="Garamond" w:cs="Times New Roman"/>
                <w:color w:val="000000"/>
                <w:kern w:val="24"/>
                <w:sz w:val="18"/>
                <w:szCs w:val="20"/>
                <w:vertAlign w:val="superscript"/>
                <w:lang w:val="es-AR"/>
              </w:rPr>
              <w:t xml:space="preserve"> (2)</w:t>
            </w:r>
          </w:p>
        </w:tc>
      </w:tr>
    </w:tbl>
    <w:p w14:paraId="0C136CF1" w14:textId="77777777" w:rsidR="00EE6C95" w:rsidRPr="00CA0A60" w:rsidRDefault="00EE6C95" w:rsidP="002C15E0">
      <w:pPr>
        <w:spacing w:after="0" w:line="240" w:lineRule="auto"/>
        <w:ind w:left="270"/>
        <w:rPr>
          <w:rFonts w:ascii="Garamond" w:hAnsi="Garamond"/>
          <w:sz w:val="20"/>
          <w:szCs w:val="20"/>
          <w:lang w:val="es-AR"/>
        </w:rPr>
      </w:pPr>
    </w:p>
    <w:p w14:paraId="36F3DF05" w14:textId="77777777" w:rsidR="00EE6C95" w:rsidRPr="00CA0A60" w:rsidRDefault="00EE6C95" w:rsidP="00E10103">
      <w:pPr>
        <w:pStyle w:val="Prrafodelista"/>
        <w:numPr>
          <w:ilvl w:val="0"/>
          <w:numId w:val="68"/>
        </w:numPr>
        <w:spacing w:after="0" w:line="240" w:lineRule="auto"/>
        <w:ind w:hanging="436"/>
        <w:jc w:val="both"/>
        <w:rPr>
          <w:rFonts w:ascii="Garamond" w:hAnsi="Garamond" w:cs="Times New Roman"/>
          <w:sz w:val="18"/>
          <w:szCs w:val="18"/>
          <w:lang w:val="es-AR"/>
        </w:rPr>
      </w:pPr>
      <w:r w:rsidRPr="00CA0A60">
        <w:rPr>
          <w:rFonts w:ascii="Garamond" w:hAnsi="Garamond" w:cs="Times New Roman"/>
          <w:sz w:val="18"/>
          <w:szCs w:val="18"/>
          <w:lang w:val="es-AR"/>
        </w:rPr>
        <w:t xml:space="preserve">Precio por electricidad vendida. </w:t>
      </w:r>
    </w:p>
    <w:p w14:paraId="765D9234" w14:textId="77777777" w:rsidR="00EE6C95" w:rsidRPr="00CA0A60" w:rsidRDefault="00E128F8" w:rsidP="00E10103">
      <w:pPr>
        <w:pStyle w:val="Prrafodelista"/>
        <w:numPr>
          <w:ilvl w:val="0"/>
          <w:numId w:val="68"/>
        </w:numPr>
        <w:spacing w:after="0" w:line="240" w:lineRule="auto"/>
        <w:ind w:hanging="436"/>
        <w:jc w:val="both"/>
        <w:rPr>
          <w:rFonts w:ascii="Garamond" w:hAnsi="Garamond" w:cs="Times New Roman"/>
          <w:sz w:val="18"/>
          <w:szCs w:val="18"/>
          <w:lang w:val="es-AR"/>
        </w:rPr>
      </w:pPr>
      <w:r w:rsidRPr="00CA0A60">
        <w:rPr>
          <w:rFonts w:ascii="Garamond" w:hAnsi="Garamond" w:cs="Times New Roman"/>
          <w:sz w:val="18"/>
          <w:szCs w:val="18"/>
          <w:lang w:val="es-AR"/>
        </w:rPr>
        <w:t xml:space="preserve">Vigentes hasta el 28 de febrero de 2019. A partir del 1 de marzo de 2019, entró en vigencia la Resolución SE </w:t>
      </w:r>
      <w:r w:rsidR="00BD7EED" w:rsidRPr="00CA0A60">
        <w:rPr>
          <w:rFonts w:ascii="Garamond" w:hAnsi="Garamond" w:cs="Times New Roman"/>
          <w:sz w:val="18"/>
          <w:szCs w:val="18"/>
          <w:lang w:val="es-AR"/>
        </w:rPr>
        <w:t>0</w:t>
      </w:r>
      <w:r w:rsidRPr="00CA0A60">
        <w:rPr>
          <w:rFonts w:ascii="Garamond" w:hAnsi="Garamond" w:cs="Times New Roman"/>
          <w:sz w:val="18"/>
          <w:szCs w:val="18"/>
          <w:lang w:val="es-AR"/>
        </w:rPr>
        <w:t xml:space="preserve">1/2019 derogando la Resolución SEE 19/2017. </w:t>
      </w:r>
      <w:r w:rsidRPr="00CA0A60">
        <w:rPr>
          <w:rFonts w:ascii="Garamond" w:eastAsia="Times New Roman" w:hAnsi="Garamond"/>
          <w:i/>
          <w:sz w:val="18"/>
          <w:szCs w:val="18"/>
          <w:lang w:val="es-AR"/>
        </w:rPr>
        <w:t>Para mayor información véase “</w:t>
      </w:r>
      <w:r w:rsidRPr="00CA0A60">
        <w:rPr>
          <w:rFonts w:ascii="Garamond" w:hAnsi="Garamond" w:cs="Times New Roman"/>
          <w:i/>
          <w:sz w:val="18"/>
          <w:szCs w:val="18"/>
          <w:lang w:val="es-AR"/>
        </w:rPr>
        <w:t xml:space="preserve">Información de las Co-Emisoras – Los Clientes de las Co-Emisoras – Marcos Regulatorios – </w:t>
      </w:r>
      <w:r w:rsidRPr="00CA0A60">
        <w:rPr>
          <w:rFonts w:ascii="Garamond" w:eastAsia="Times New Roman" w:hAnsi="Garamond" w:cs="Times New Roman"/>
          <w:i/>
          <w:sz w:val="18"/>
          <w:szCs w:val="18"/>
          <w:lang w:val="es-AR"/>
        </w:rPr>
        <w:t>Resolución SE 19/2017</w:t>
      </w:r>
      <w:r w:rsidRPr="00CA0A60">
        <w:rPr>
          <w:rFonts w:ascii="Garamond" w:hAnsi="Garamond" w:cs="Times New Roman"/>
          <w:i/>
          <w:sz w:val="18"/>
          <w:szCs w:val="18"/>
          <w:lang w:val="es-AR"/>
        </w:rPr>
        <w:t xml:space="preserve">”, </w:t>
      </w:r>
      <w:r w:rsidRPr="00CA0A60">
        <w:rPr>
          <w:rFonts w:ascii="Garamond" w:eastAsia="Times New Roman" w:hAnsi="Garamond"/>
          <w:i/>
          <w:sz w:val="18"/>
          <w:szCs w:val="18"/>
          <w:lang w:val="es-AR"/>
        </w:rPr>
        <w:t>“</w:t>
      </w:r>
      <w:r w:rsidRPr="00CA0A60">
        <w:rPr>
          <w:rFonts w:ascii="Garamond" w:hAnsi="Garamond" w:cs="Times New Roman"/>
          <w:i/>
          <w:sz w:val="18"/>
          <w:szCs w:val="18"/>
          <w:lang w:val="es-AR"/>
        </w:rPr>
        <w:t xml:space="preserve">Información de las Co-Emisoras – Los Clientes de las Co-Emisoras – Marcos Regulatorios – </w:t>
      </w:r>
      <w:r w:rsidRPr="00CA0A60">
        <w:rPr>
          <w:rFonts w:ascii="Garamond" w:eastAsia="Times New Roman" w:hAnsi="Garamond" w:cs="Times New Roman"/>
          <w:i/>
          <w:sz w:val="18"/>
          <w:szCs w:val="18"/>
          <w:lang w:val="es-AR"/>
        </w:rPr>
        <w:t>Resolución SE 01/2019</w:t>
      </w:r>
      <w:r w:rsidRPr="00CA0A60">
        <w:rPr>
          <w:rFonts w:ascii="Garamond" w:hAnsi="Garamond" w:cs="Times New Roman"/>
          <w:i/>
          <w:sz w:val="18"/>
          <w:szCs w:val="18"/>
          <w:lang w:val="es-AR"/>
        </w:rPr>
        <w:t xml:space="preserve">” e “Información Sobre las Co-Emisoras – </w:t>
      </w:r>
      <w:r w:rsidRPr="00CA0A60">
        <w:rPr>
          <w:rFonts w:ascii="Garamond" w:eastAsia="Calibri" w:hAnsi="Garamond" w:cs="Times New Roman"/>
          <w:i/>
          <w:sz w:val="18"/>
          <w:szCs w:val="18"/>
          <w:lang w:val="es-AR"/>
        </w:rPr>
        <w:t>Normas con Influencia en Generadores Eléctricos</w:t>
      </w:r>
      <w:r w:rsidRPr="00CA0A60">
        <w:rPr>
          <w:rFonts w:ascii="Garamond" w:hAnsi="Garamond" w:cs="Times New Roman"/>
          <w:i/>
          <w:sz w:val="18"/>
          <w:szCs w:val="18"/>
          <w:lang w:val="es-AR"/>
        </w:rPr>
        <w:t xml:space="preserve"> – Resolución </w:t>
      </w:r>
      <w:r w:rsidR="00BD7EED" w:rsidRPr="00CA0A60">
        <w:rPr>
          <w:rFonts w:ascii="Garamond" w:hAnsi="Garamond" w:cs="Times New Roman"/>
          <w:i/>
          <w:sz w:val="18"/>
          <w:szCs w:val="18"/>
          <w:lang w:val="es-AR"/>
        </w:rPr>
        <w:t>SE 0</w:t>
      </w:r>
      <w:r w:rsidRPr="00CA0A60">
        <w:rPr>
          <w:rFonts w:ascii="Garamond" w:hAnsi="Garamond" w:cs="Times New Roman"/>
          <w:i/>
          <w:sz w:val="18"/>
          <w:szCs w:val="18"/>
          <w:lang w:val="es-AR"/>
        </w:rPr>
        <w:t>1/2019</w:t>
      </w:r>
      <w:r w:rsidRPr="00CA0A60">
        <w:rPr>
          <w:rFonts w:ascii="Garamond" w:hAnsi="Garamond" w:cs="Times New Roman"/>
          <w:sz w:val="18"/>
          <w:szCs w:val="18"/>
          <w:lang w:val="es-AR"/>
        </w:rPr>
        <w:t>” del Prospecto</w:t>
      </w:r>
      <w:r w:rsidRPr="00CA0A60">
        <w:rPr>
          <w:rFonts w:ascii="Garamond" w:hAnsi="Garamond" w:cs="Times New Roman"/>
          <w:i/>
          <w:sz w:val="18"/>
          <w:szCs w:val="18"/>
          <w:lang w:val="es-AR"/>
        </w:rPr>
        <w:t>.</w:t>
      </w:r>
      <w:r w:rsidR="00183DE6" w:rsidRPr="00CA0A60">
        <w:rPr>
          <w:rFonts w:ascii="Garamond" w:hAnsi="Garamond" w:cs="Times New Roman"/>
          <w:i/>
          <w:sz w:val="18"/>
          <w:szCs w:val="18"/>
          <w:lang w:val="es-AR"/>
        </w:rPr>
        <w:t xml:space="preserve"> </w:t>
      </w:r>
    </w:p>
    <w:p w14:paraId="0A392C6A" w14:textId="77777777" w:rsidR="00EE6C95" w:rsidRPr="00CA0A60" w:rsidRDefault="00EE6C95" w:rsidP="002C15E0">
      <w:pPr>
        <w:pStyle w:val="BodyText2Sgl"/>
        <w:spacing w:after="0"/>
        <w:ind w:firstLine="0"/>
        <w:jc w:val="both"/>
        <w:rPr>
          <w:rFonts w:ascii="Garamond" w:hAnsi="Garamond"/>
          <w:lang w:val="es-AR"/>
        </w:rPr>
      </w:pPr>
    </w:p>
    <w:p w14:paraId="2CE5993B" w14:textId="77777777" w:rsidR="00EE6C95" w:rsidRPr="00CA0A60" w:rsidRDefault="00EE6C95" w:rsidP="00E10EE5">
      <w:pPr>
        <w:pStyle w:val="BodyText2Sgl"/>
        <w:keepNext/>
        <w:keepLines/>
        <w:spacing w:after="0"/>
        <w:ind w:firstLine="0"/>
        <w:jc w:val="both"/>
        <w:rPr>
          <w:rFonts w:ascii="Garamond" w:hAnsi="Garamond"/>
          <w:lang w:val="es-AR"/>
        </w:rPr>
      </w:pPr>
      <w:r w:rsidRPr="00CA0A60">
        <w:rPr>
          <w:rFonts w:ascii="Garamond" w:eastAsia="Times New Roman" w:hAnsi="Garamond"/>
          <w:lang w:val="es-AR"/>
        </w:rPr>
        <w:t>Las siguientes tablas presentan un detalle del EBITDA Ajustado del Grupo Albanesi, por marco regulatorio, para los periodos indicados:</w:t>
      </w:r>
    </w:p>
    <w:tbl>
      <w:tblPr>
        <w:tblW w:w="4985" w:type="pct"/>
        <w:jc w:val="center"/>
        <w:tblLayout w:type="fixed"/>
        <w:tblCellMar>
          <w:left w:w="115" w:type="dxa"/>
          <w:right w:w="115" w:type="dxa"/>
        </w:tblCellMar>
        <w:tblLook w:val="04A0" w:firstRow="1" w:lastRow="0" w:firstColumn="1" w:lastColumn="0" w:noHBand="0" w:noVBand="1"/>
      </w:tblPr>
      <w:tblGrid>
        <w:gridCol w:w="1392"/>
        <w:gridCol w:w="1116"/>
        <w:gridCol w:w="1268"/>
        <w:gridCol w:w="1370"/>
        <w:gridCol w:w="1212"/>
        <w:gridCol w:w="992"/>
        <w:gridCol w:w="1129"/>
      </w:tblGrid>
      <w:tr w:rsidR="00EE6C95" w:rsidRPr="00CA0A60" w14:paraId="3689FF58" w14:textId="77777777" w:rsidTr="002B1E31">
        <w:trPr>
          <w:cantSplit/>
          <w:trHeight w:val="261"/>
          <w:tblHeader/>
          <w:jc w:val="center"/>
        </w:trPr>
        <w:tc>
          <w:tcPr>
            <w:tcW w:w="820" w:type="pct"/>
            <w:vAlign w:val="bottom"/>
          </w:tcPr>
          <w:p w14:paraId="290583F9" w14:textId="77777777" w:rsidR="00EE6C95" w:rsidRPr="00CA0A60" w:rsidRDefault="00EE6C95" w:rsidP="00E10EE5">
            <w:pPr>
              <w:keepNext/>
              <w:keepLines/>
              <w:tabs>
                <w:tab w:val="right" w:leader="dot" w:pos="1890"/>
              </w:tabs>
              <w:spacing w:after="0" w:line="240" w:lineRule="auto"/>
              <w:jc w:val="both"/>
              <w:rPr>
                <w:rFonts w:ascii="Garamond" w:hAnsi="Garamond" w:cs="Times New Roman"/>
                <w:sz w:val="20"/>
                <w:szCs w:val="20"/>
                <w:lang w:val="es-AR"/>
              </w:rPr>
            </w:pPr>
          </w:p>
        </w:tc>
        <w:tc>
          <w:tcPr>
            <w:tcW w:w="4180" w:type="pct"/>
            <w:gridSpan w:val="6"/>
            <w:vAlign w:val="bottom"/>
            <w:hideMark/>
          </w:tcPr>
          <w:p w14:paraId="42ADE2C6" w14:textId="365F150F" w:rsidR="00EE6C95" w:rsidRPr="00CA0A60" w:rsidRDefault="00EE6C95" w:rsidP="00694352">
            <w:pPr>
              <w:keepNext/>
              <w:keepLines/>
              <w:pBdr>
                <w:bottom w:val="single" w:sz="4" w:space="1" w:color="auto"/>
              </w:pBdr>
              <w:spacing w:after="0" w:line="240" w:lineRule="auto"/>
              <w:jc w:val="center"/>
              <w:rPr>
                <w:rFonts w:ascii="Garamond" w:hAnsi="Garamond" w:cs="Times New Roman"/>
                <w:b/>
                <w:sz w:val="20"/>
                <w:szCs w:val="20"/>
                <w:lang w:val="es-AR"/>
              </w:rPr>
            </w:pPr>
            <w:r w:rsidRPr="00CA0A60">
              <w:rPr>
                <w:rFonts w:ascii="Garamond" w:eastAsia="Times New Roman" w:hAnsi="Garamond" w:cs="Times New Roman"/>
                <w:b/>
                <w:sz w:val="20"/>
                <w:szCs w:val="20"/>
                <w:lang w:val="es-AR"/>
              </w:rPr>
              <w:t>Correspondiente al ejercicio finalizado el 31 de diciembre de</w:t>
            </w:r>
          </w:p>
        </w:tc>
      </w:tr>
      <w:tr w:rsidR="00EE6C95" w:rsidRPr="00CA0A60" w14:paraId="59F4A991" w14:textId="77777777" w:rsidTr="002B1E31">
        <w:trPr>
          <w:cantSplit/>
          <w:trHeight w:val="253"/>
          <w:tblHeader/>
          <w:jc w:val="center"/>
        </w:trPr>
        <w:tc>
          <w:tcPr>
            <w:tcW w:w="820" w:type="pct"/>
            <w:vAlign w:val="bottom"/>
          </w:tcPr>
          <w:p w14:paraId="68F21D90" w14:textId="77777777" w:rsidR="00EE6C95" w:rsidRPr="00CA0A60" w:rsidRDefault="00EE6C95" w:rsidP="00E10EE5">
            <w:pPr>
              <w:keepNext/>
              <w:keepLines/>
              <w:tabs>
                <w:tab w:val="right" w:leader="dot" w:pos="1890"/>
              </w:tabs>
              <w:spacing w:after="0" w:line="240" w:lineRule="auto"/>
              <w:jc w:val="both"/>
              <w:rPr>
                <w:rFonts w:ascii="Garamond" w:hAnsi="Garamond" w:cs="Times New Roman"/>
                <w:sz w:val="20"/>
                <w:szCs w:val="20"/>
                <w:lang w:val="es-AR"/>
              </w:rPr>
            </w:pPr>
          </w:p>
        </w:tc>
        <w:tc>
          <w:tcPr>
            <w:tcW w:w="1406" w:type="pct"/>
            <w:gridSpan w:val="2"/>
            <w:vAlign w:val="bottom"/>
            <w:hideMark/>
          </w:tcPr>
          <w:p w14:paraId="7D1E0FE1" w14:textId="77777777" w:rsidR="00EE6C95" w:rsidRPr="00CA0A60" w:rsidRDefault="00EE6C95">
            <w:pPr>
              <w:keepNext/>
              <w:keepLines/>
              <w:pBdr>
                <w:bottom w:val="single" w:sz="4" w:space="1" w:color="auto"/>
              </w:pBdr>
              <w:spacing w:after="0" w:line="240" w:lineRule="auto"/>
              <w:jc w:val="center"/>
              <w:rPr>
                <w:rFonts w:ascii="Garamond" w:hAnsi="Garamond" w:cs="Times New Roman"/>
                <w:b/>
                <w:sz w:val="20"/>
                <w:szCs w:val="20"/>
                <w:lang w:val="es-AR"/>
              </w:rPr>
            </w:pPr>
            <w:r w:rsidRPr="00CA0A60">
              <w:rPr>
                <w:rFonts w:ascii="Garamond" w:hAnsi="Garamond"/>
                <w:b/>
                <w:color w:val="000000"/>
                <w:sz w:val="20"/>
                <w:szCs w:val="20"/>
                <w:lang w:val="es-AR"/>
              </w:rPr>
              <w:t>201</w:t>
            </w:r>
            <w:r w:rsidR="001E401E" w:rsidRPr="00CA0A60">
              <w:rPr>
                <w:rFonts w:ascii="Garamond" w:hAnsi="Garamond"/>
                <w:b/>
                <w:color w:val="000000"/>
                <w:sz w:val="20"/>
                <w:szCs w:val="20"/>
                <w:lang w:val="es-AR"/>
              </w:rPr>
              <w:t>6</w:t>
            </w:r>
          </w:p>
        </w:tc>
        <w:tc>
          <w:tcPr>
            <w:tcW w:w="1523" w:type="pct"/>
            <w:gridSpan w:val="2"/>
            <w:vAlign w:val="bottom"/>
            <w:hideMark/>
          </w:tcPr>
          <w:p w14:paraId="7CFB5A06" w14:textId="77777777" w:rsidR="00EE6C95" w:rsidRPr="00CA0A60" w:rsidRDefault="00EE6C95" w:rsidP="00E10EE5">
            <w:pPr>
              <w:keepNext/>
              <w:keepLines/>
              <w:pBdr>
                <w:bottom w:val="single" w:sz="4" w:space="1" w:color="auto"/>
              </w:pBdr>
              <w:spacing w:after="0" w:line="240" w:lineRule="auto"/>
              <w:jc w:val="center"/>
              <w:rPr>
                <w:rFonts w:ascii="Garamond" w:hAnsi="Garamond"/>
                <w:b/>
                <w:color w:val="000000"/>
                <w:sz w:val="20"/>
                <w:szCs w:val="20"/>
                <w:lang w:val="es-AR"/>
              </w:rPr>
            </w:pPr>
            <w:r w:rsidRPr="00CA0A60">
              <w:rPr>
                <w:rFonts w:ascii="Garamond" w:hAnsi="Garamond"/>
                <w:b/>
                <w:color w:val="000000"/>
                <w:sz w:val="20"/>
                <w:szCs w:val="20"/>
                <w:lang w:val="es-AR"/>
              </w:rPr>
              <w:t>201</w:t>
            </w:r>
            <w:r w:rsidR="001E401E" w:rsidRPr="00CA0A60">
              <w:rPr>
                <w:rFonts w:ascii="Garamond" w:hAnsi="Garamond"/>
                <w:b/>
                <w:color w:val="000000"/>
                <w:sz w:val="20"/>
                <w:szCs w:val="20"/>
                <w:lang w:val="es-AR"/>
              </w:rPr>
              <w:t>7</w:t>
            </w:r>
          </w:p>
        </w:tc>
        <w:tc>
          <w:tcPr>
            <w:tcW w:w="1251" w:type="pct"/>
            <w:gridSpan w:val="2"/>
            <w:vAlign w:val="bottom"/>
            <w:hideMark/>
          </w:tcPr>
          <w:p w14:paraId="5C61D62B" w14:textId="77777777" w:rsidR="00EE6C95" w:rsidRPr="00CA0A60" w:rsidRDefault="00EE6C95" w:rsidP="00E10EE5">
            <w:pPr>
              <w:keepNext/>
              <w:keepLines/>
              <w:pBdr>
                <w:bottom w:val="single" w:sz="4" w:space="1" w:color="auto"/>
              </w:pBdr>
              <w:spacing w:after="0" w:line="240" w:lineRule="auto"/>
              <w:jc w:val="center"/>
              <w:rPr>
                <w:rFonts w:ascii="Garamond" w:hAnsi="Garamond" w:cs="Times New Roman"/>
                <w:b/>
                <w:sz w:val="20"/>
                <w:szCs w:val="20"/>
                <w:lang w:val="es-AR"/>
              </w:rPr>
            </w:pPr>
            <w:r w:rsidRPr="00CA0A60">
              <w:rPr>
                <w:rFonts w:ascii="Garamond" w:hAnsi="Garamond"/>
                <w:b/>
                <w:color w:val="000000"/>
                <w:sz w:val="20"/>
                <w:szCs w:val="20"/>
                <w:lang w:val="es-AR"/>
              </w:rPr>
              <w:t>201</w:t>
            </w:r>
            <w:r w:rsidR="001E401E" w:rsidRPr="00CA0A60">
              <w:rPr>
                <w:rFonts w:ascii="Garamond" w:hAnsi="Garamond"/>
                <w:b/>
                <w:color w:val="000000"/>
                <w:sz w:val="20"/>
                <w:szCs w:val="20"/>
                <w:lang w:val="es-AR"/>
              </w:rPr>
              <w:t>8</w:t>
            </w:r>
          </w:p>
        </w:tc>
      </w:tr>
      <w:tr w:rsidR="00BD7EED" w:rsidRPr="00CA0A60" w14:paraId="51FC6C3D" w14:textId="77777777" w:rsidTr="002B1E31">
        <w:trPr>
          <w:cantSplit/>
          <w:trHeight w:val="944"/>
          <w:tblHeader/>
          <w:jc w:val="center"/>
        </w:trPr>
        <w:tc>
          <w:tcPr>
            <w:tcW w:w="820" w:type="pct"/>
            <w:vAlign w:val="bottom"/>
          </w:tcPr>
          <w:p w14:paraId="13C326F3" w14:textId="77777777" w:rsidR="00EE6C95" w:rsidRPr="00CA0A60" w:rsidRDefault="00EE6C95" w:rsidP="00E10EE5">
            <w:pPr>
              <w:keepNext/>
              <w:keepLines/>
              <w:tabs>
                <w:tab w:val="right" w:leader="dot" w:pos="1890"/>
              </w:tabs>
              <w:spacing w:after="0" w:line="240" w:lineRule="auto"/>
              <w:jc w:val="both"/>
              <w:rPr>
                <w:rFonts w:ascii="Garamond" w:hAnsi="Garamond" w:cs="Times New Roman"/>
                <w:sz w:val="20"/>
                <w:szCs w:val="20"/>
                <w:lang w:val="es-AR"/>
              </w:rPr>
            </w:pPr>
          </w:p>
        </w:tc>
        <w:tc>
          <w:tcPr>
            <w:tcW w:w="658" w:type="pct"/>
            <w:vAlign w:val="bottom"/>
          </w:tcPr>
          <w:p w14:paraId="5605A828" w14:textId="77777777" w:rsidR="00EE6C95" w:rsidRPr="00CA0A60" w:rsidRDefault="00EE6C95" w:rsidP="00E10EE5">
            <w:pPr>
              <w:keepNext/>
              <w:keepLines/>
              <w:pBdr>
                <w:bottom w:val="single" w:sz="4" w:space="1" w:color="auto"/>
              </w:pBdr>
              <w:spacing w:after="0" w:line="240" w:lineRule="auto"/>
              <w:jc w:val="center"/>
              <w:rPr>
                <w:rFonts w:ascii="Garamond" w:hAnsi="Garamond" w:cs="Times New Roman"/>
                <w:b/>
                <w:sz w:val="20"/>
                <w:szCs w:val="20"/>
                <w:lang w:val="es-AR"/>
              </w:rPr>
            </w:pPr>
            <w:r w:rsidRPr="00CA0A60">
              <w:rPr>
                <w:rFonts w:ascii="Garamond" w:eastAsia="Times New Roman" w:hAnsi="Garamond" w:cs="Times New Roman"/>
                <w:b/>
                <w:sz w:val="20"/>
                <w:szCs w:val="20"/>
                <w:lang w:val="es-AR"/>
              </w:rPr>
              <w:t>EBITDA Ajustado (en miles de USD)</w:t>
            </w:r>
          </w:p>
        </w:tc>
        <w:tc>
          <w:tcPr>
            <w:tcW w:w="748" w:type="pct"/>
            <w:vAlign w:val="bottom"/>
          </w:tcPr>
          <w:p w14:paraId="41D2183C" w14:textId="77777777" w:rsidR="00EE6C95" w:rsidRPr="00CA0A60" w:rsidRDefault="00EE6C95" w:rsidP="00E10EE5">
            <w:pPr>
              <w:keepNext/>
              <w:keepLines/>
              <w:pBdr>
                <w:bottom w:val="single" w:sz="4" w:space="1" w:color="auto"/>
              </w:pBdr>
              <w:spacing w:after="0" w:line="240" w:lineRule="auto"/>
              <w:jc w:val="center"/>
              <w:rPr>
                <w:rFonts w:ascii="Garamond" w:hAnsi="Garamond" w:cs="Times New Roman"/>
                <w:b/>
                <w:sz w:val="20"/>
                <w:szCs w:val="20"/>
                <w:lang w:val="es-AR"/>
              </w:rPr>
            </w:pPr>
            <w:r w:rsidRPr="00CA0A60">
              <w:rPr>
                <w:rFonts w:ascii="Garamond" w:eastAsia="Times New Roman" w:hAnsi="Garamond" w:cs="Times New Roman"/>
                <w:b/>
                <w:sz w:val="20"/>
                <w:szCs w:val="20"/>
                <w:lang w:val="es-AR"/>
              </w:rPr>
              <w:t>% de EBITDA Ajustado</w:t>
            </w:r>
          </w:p>
        </w:tc>
        <w:tc>
          <w:tcPr>
            <w:tcW w:w="808" w:type="pct"/>
            <w:vAlign w:val="bottom"/>
            <w:hideMark/>
          </w:tcPr>
          <w:p w14:paraId="3BB80D50" w14:textId="77777777" w:rsidR="00EE6C95" w:rsidRPr="00CA0A60" w:rsidRDefault="00EE6C95" w:rsidP="00E10EE5">
            <w:pPr>
              <w:keepNext/>
              <w:keepLines/>
              <w:pBdr>
                <w:bottom w:val="single" w:sz="4" w:space="1" w:color="auto"/>
              </w:pBdr>
              <w:spacing w:after="0" w:line="240" w:lineRule="auto"/>
              <w:jc w:val="center"/>
              <w:rPr>
                <w:rFonts w:ascii="Garamond" w:hAnsi="Garamond" w:cs="Times New Roman"/>
                <w:b/>
                <w:sz w:val="20"/>
                <w:szCs w:val="20"/>
                <w:lang w:val="es-AR"/>
              </w:rPr>
            </w:pPr>
            <w:r w:rsidRPr="00CA0A60">
              <w:rPr>
                <w:rFonts w:ascii="Garamond" w:eastAsia="Times New Roman" w:hAnsi="Garamond" w:cs="Times New Roman"/>
                <w:b/>
                <w:sz w:val="20"/>
                <w:szCs w:val="20"/>
                <w:lang w:val="es-AR"/>
              </w:rPr>
              <w:t>EBITDA Ajustado (en miles de USD)</w:t>
            </w:r>
          </w:p>
        </w:tc>
        <w:tc>
          <w:tcPr>
            <w:tcW w:w="715" w:type="pct"/>
            <w:vAlign w:val="bottom"/>
            <w:hideMark/>
          </w:tcPr>
          <w:p w14:paraId="7588E1CE" w14:textId="77777777" w:rsidR="00EE6C95" w:rsidRPr="00CA0A60" w:rsidRDefault="00EE6C95" w:rsidP="00E10EE5">
            <w:pPr>
              <w:keepNext/>
              <w:keepLines/>
              <w:pBdr>
                <w:bottom w:val="single" w:sz="4" w:space="1" w:color="auto"/>
              </w:pBdr>
              <w:spacing w:after="0" w:line="240" w:lineRule="auto"/>
              <w:jc w:val="center"/>
              <w:rPr>
                <w:rFonts w:ascii="Garamond" w:hAnsi="Garamond" w:cs="Times New Roman"/>
                <w:b/>
                <w:sz w:val="20"/>
                <w:szCs w:val="20"/>
                <w:lang w:val="es-AR"/>
              </w:rPr>
            </w:pPr>
            <w:r w:rsidRPr="00CA0A60">
              <w:rPr>
                <w:rFonts w:ascii="Garamond" w:eastAsia="Times New Roman" w:hAnsi="Garamond" w:cs="Times New Roman"/>
                <w:b/>
                <w:sz w:val="20"/>
                <w:szCs w:val="20"/>
                <w:lang w:val="es-AR"/>
              </w:rPr>
              <w:t>% de EBITDA Ajustado</w:t>
            </w:r>
          </w:p>
        </w:tc>
        <w:tc>
          <w:tcPr>
            <w:tcW w:w="585" w:type="pct"/>
            <w:vAlign w:val="bottom"/>
            <w:hideMark/>
          </w:tcPr>
          <w:p w14:paraId="74C66569" w14:textId="77777777" w:rsidR="00EE6C95" w:rsidRPr="00CA0A60" w:rsidRDefault="00EE6C95" w:rsidP="00E10EE5">
            <w:pPr>
              <w:keepNext/>
              <w:keepLines/>
              <w:pBdr>
                <w:bottom w:val="single" w:sz="4" w:space="1" w:color="auto"/>
              </w:pBdr>
              <w:spacing w:after="0" w:line="240" w:lineRule="auto"/>
              <w:jc w:val="center"/>
              <w:rPr>
                <w:rFonts w:ascii="Garamond" w:hAnsi="Garamond" w:cs="Times New Roman"/>
                <w:b/>
                <w:sz w:val="20"/>
                <w:szCs w:val="20"/>
                <w:lang w:val="es-AR"/>
              </w:rPr>
            </w:pPr>
            <w:r w:rsidRPr="00CA0A60">
              <w:rPr>
                <w:rFonts w:ascii="Garamond" w:eastAsia="Times New Roman" w:hAnsi="Garamond" w:cs="Times New Roman"/>
                <w:b/>
                <w:sz w:val="20"/>
                <w:szCs w:val="20"/>
                <w:lang w:val="es-AR"/>
              </w:rPr>
              <w:t>EBITDA Ajustado (en miles de USD)</w:t>
            </w:r>
          </w:p>
        </w:tc>
        <w:tc>
          <w:tcPr>
            <w:tcW w:w="666" w:type="pct"/>
            <w:vAlign w:val="bottom"/>
            <w:hideMark/>
          </w:tcPr>
          <w:p w14:paraId="2468CFE4" w14:textId="77777777" w:rsidR="00EE6C95" w:rsidRPr="00CA0A60" w:rsidRDefault="00EE6C95" w:rsidP="00E10EE5">
            <w:pPr>
              <w:keepNext/>
              <w:keepLines/>
              <w:pBdr>
                <w:bottom w:val="single" w:sz="4" w:space="1" w:color="auto"/>
              </w:pBdr>
              <w:spacing w:after="0" w:line="240" w:lineRule="auto"/>
              <w:jc w:val="center"/>
              <w:rPr>
                <w:rFonts w:ascii="Garamond" w:hAnsi="Garamond" w:cs="Times New Roman"/>
                <w:b/>
                <w:sz w:val="20"/>
                <w:szCs w:val="20"/>
                <w:lang w:val="es-AR"/>
              </w:rPr>
            </w:pPr>
            <w:r w:rsidRPr="00CA0A60">
              <w:rPr>
                <w:rFonts w:ascii="Garamond" w:eastAsia="Times New Roman" w:hAnsi="Garamond" w:cs="Times New Roman"/>
                <w:b/>
                <w:sz w:val="20"/>
                <w:szCs w:val="20"/>
                <w:lang w:val="es-AR"/>
              </w:rPr>
              <w:t>% de EBITDA Ajustado</w:t>
            </w:r>
          </w:p>
        </w:tc>
      </w:tr>
      <w:tr w:rsidR="00816332" w:rsidRPr="00CA0A60" w14:paraId="3D4693AF" w14:textId="77777777" w:rsidTr="002B1E31">
        <w:trPr>
          <w:cantSplit/>
          <w:trHeight w:val="455"/>
          <w:jc w:val="center"/>
        </w:trPr>
        <w:tc>
          <w:tcPr>
            <w:tcW w:w="820" w:type="pct"/>
            <w:vAlign w:val="bottom"/>
            <w:hideMark/>
          </w:tcPr>
          <w:p w14:paraId="17F8C81D" w14:textId="77777777" w:rsidR="00816332" w:rsidRPr="00CA0A60" w:rsidRDefault="00816332" w:rsidP="00816332">
            <w:pPr>
              <w:keepNext/>
              <w:keepLines/>
              <w:tabs>
                <w:tab w:val="right" w:leader="dot" w:pos="1890"/>
              </w:tabs>
              <w:spacing w:after="0" w:line="240" w:lineRule="auto"/>
              <w:rPr>
                <w:rFonts w:ascii="Garamond" w:hAnsi="Garamond" w:cs="Times New Roman"/>
                <w:sz w:val="20"/>
                <w:szCs w:val="20"/>
                <w:lang w:val="es-AR"/>
              </w:rPr>
            </w:pPr>
            <w:r w:rsidRPr="00CA0A60">
              <w:rPr>
                <w:rFonts w:ascii="Garamond" w:eastAsia="Times New Roman" w:hAnsi="Garamond" w:cs="Times New Roman"/>
                <w:sz w:val="20"/>
                <w:szCs w:val="20"/>
                <w:lang w:val="es-AR"/>
              </w:rPr>
              <w:t>Res</w:t>
            </w:r>
            <w:r w:rsidRPr="00713D6E">
              <w:rPr>
                <w:rFonts w:ascii="Garamond" w:eastAsia="Times New Roman" w:hAnsi="Garamond" w:cs="Times New Roman"/>
                <w:sz w:val="20"/>
                <w:szCs w:val="20"/>
                <w:lang w:val="es-AR"/>
              </w:rPr>
              <w:t xml:space="preserve">. </w:t>
            </w:r>
            <w:r w:rsidRPr="00CA0A60">
              <w:rPr>
                <w:rFonts w:ascii="Garamond" w:eastAsia="Times New Roman" w:hAnsi="Garamond" w:cs="Times New Roman"/>
                <w:sz w:val="20"/>
                <w:szCs w:val="20"/>
                <w:lang w:val="es-AR"/>
              </w:rPr>
              <w:t>SE 220/2007</w:t>
            </w:r>
          </w:p>
        </w:tc>
        <w:tc>
          <w:tcPr>
            <w:tcW w:w="658" w:type="pct"/>
            <w:vAlign w:val="bottom"/>
          </w:tcPr>
          <w:p w14:paraId="5F06D18C"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r w:rsidRPr="00CA0A60">
              <w:rPr>
                <w:rFonts w:ascii="Garamond" w:hAnsi="Garamond" w:cs="Times New Roman"/>
                <w:sz w:val="20"/>
                <w:szCs w:val="20"/>
                <w:lang w:val="es-AR"/>
              </w:rPr>
              <w:t>52.531</w:t>
            </w:r>
          </w:p>
        </w:tc>
        <w:tc>
          <w:tcPr>
            <w:tcW w:w="748" w:type="pct"/>
            <w:vAlign w:val="bottom"/>
          </w:tcPr>
          <w:p w14:paraId="62B37E15"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r w:rsidRPr="00CA0A60">
              <w:rPr>
                <w:rFonts w:ascii="Garamond" w:hAnsi="Garamond" w:cs="Times New Roman"/>
                <w:sz w:val="20"/>
                <w:szCs w:val="20"/>
                <w:lang w:val="es-AR"/>
              </w:rPr>
              <w:t>65%</w:t>
            </w:r>
          </w:p>
        </w:tc>
        <w:tc>
          <w:tcPr>
            <w:tcW w:w="808" w:type="pct"/>
            <w:vAlign w:val="bottom"/>
            <w:hideMark/>
          </w:tcPr>
          <w:p w14:paraId="7A19F04E"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r w:rsidRPr="00CA3A3D">
              <w:rPr>
                <w:rFonts w:ascii="Garamond" w:hAnsi="Garamond"/>
                <w:sz w:val="20"/>
                <w:szCs w:val="20"/>
                <w:lang w:val="es-AR"/>
              </w:rPr>
              <w:t>69.341</w:t>
            </w:r>
          </w:p>
        </w:tc>
        <w:tc>
          <w:tcPr>
            <w:tcW w:w="715" w:type="pct"/>
            <w:vAlign w:val="bottom"/>
            <w:hideMark/>
          </w:tcPr>
          <w:p w14:paraId="286A4130"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r w:rsidRPr="00CA3A3D">
              <w:rPr>
                <w:rFonts w:ascii="Garamond" w:hAnsi="Garamond"/>
                <w:sz w:val="20"/>
                <w:szCs w:val="20"/>
                <w:lang w:val="es-AR"/>
              </w:rPr>
              <w:t>71%</w:t>
            </w:r>
          </w:p>
        </w:tc>
        <w:tc>
          <w:tcPr>
            <w:tcW w:w="585" w:type="pct"/>
            <w:vAlign w:val="bottom"/>
            <w:hideMark/>
          </w:tcPr>
          <w:p w14:paraId="5E8C6276" w14:textId="77777777" w:rsidR="00816332" w:rsidRPr="00CA0A60" w:rsidRDefault="00816332" w:rsidP="00816332">
            <w:pPr>
              <w:keepNext/>
              <w:keepLines/>
              <w:spacing w:after="0" w:line="240" w:lineRule="auto"/>
              <w:jc w:val="center"/>
              <w:rPr>
                <w:rFonts w:ascii="Garamond" w:hAnsi="Garamond"/>
                <w:sz w:val="20"/>
                <w:szCs w:val="20"/>
                <w:lang w:val="es-AR"/>
              </w:rPr>
            </w:pPr>
            <w:r w:rsidRPr="00CA3A3D">
              <w:rPr>
                <w:rFonts w:ascii="Garamond" w:hAnsi="Garamond"/>
                <w:sz w:val="20"/>
                <w:szCs w:val="20"/>
                <w:lang w:val="es-AR"/>
              </w:rPr>
              <w:t>91.662</w:t>
            </w:r>
          </w:p>
        </w:tc>
        <w:tc>
          <w:tcPr>
            <w:tcW w:w="666" w:type="pct"/>
            <w:vAlign w:val="bottom"/>
            <w:hideMark/>
          </w:tcPr>
          <w:p w14:paraId="145F8C30" w14:textId="77777777" w:rsidR="00816332" w:rsidRPr="00CA0A60" w:rsidRDefault="00816332" w:rsidP="00816332">
            <w:pPr>
              <w:keepNext/>
              <w:keepLines/>
              <w:spacing w:after="0" w:line="240" w:lineRule="auto"/>
              <w:jc w:val="center"/>
              <w:rPr>
                <w:rFonts w:ascii="Garamond" w:hAnsi="Garamond"/>
                <w:sz w:val="20"/>
                <w:szCs w:val="20"/>
                <w:lang w:val="es-AR"/>
              </w:rPr>
            </w:pPr>
            <w:r w:rsidRPr="00CA3A3D">
              <w:rPr>
                <w:rFonts w:ascii="Garamond" w:hAnsi="Garamond"/>
                <w:sz w:val="20"/>
                <w:szCs w:val="20"/>
                <w:lang w:val="es-AR"/>
              </w:rPr>
              <w:t>51%</w:t>
            </w:r>
          </w:p>
        </w:tc>
      </w:tr>
      <w:tr w:rsidR="00816332" w:rsidRPr="00CA0A60" w14:paraId="64F410B9" w14:textId="77777777" w:rsidTr="002B1E31">
        <w:trPr>
          <w:cantSplit/>
          <w:trHeight w:val="455"/>
          <w:jc w:val="center"/>
        </w:trPr>
        <w:tc>
          <w:tcPr>
            <w:tcW w:w="820" w:type="pct"/>
            <w:vAlign w:val="bottom"/>
            <w:hideMark/>
          </w:tcPr>
          <w:p w14:paraId="5C2814E4" w14:textId="77777777" w:rsidR="00816332" w:rsidRPr="00CA0A60" w:rsidRDefault="00816332" w:rsidP="00816332">
            <w:pPr>
              <w:keepNext/>
              <w:keepLines/>
              <w:tabs>
                <w:tab w:val="right" w:leader="dot" w:pos="1890"/>
              </w:tabs>
              <w:spacing w:after="0" w:line="240" w:lineRule="auto"/>
              <w:rPr>
                <w:rFonts w:ascii="Garamond" w:eastAsia="Times New Roman" w:hAnsi="Garamond" w:cs="Times New Roman"/>
                <w:sz w:val="20"/>
                <w:szCs w:val="20"/>
                <w:lang w:val="es-AR"/>
              </w:rPr>
            </w:pPr>
            <w:r w:rsidRPr="00CA3A3D">
              <w:rPr>
                <w:rFonts w:ascii="Garamond" w:hAnsi="Garamond"/>
                <w:sz w:val="20"/>
                <w:szCs w:val="20"/>
                <w:lang w:val="es-AR"/>
              </w:rPr>
              <w:t>Res. SE 21/2016</w:t>
            </w:r>
          </w:p>
        </w:tc>
        <w:tc>
          <w:tcPr>
            <w:tcW w:w="658" w:type="pct"/>
            <w:vAlign w:val="bottom"/>
          </w:tcPr>
          <w:p w14:paraId="4853B841"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p>
        </w:tc>
        <w:tc>
          <w:tcPr>
            <w:tcW w:w="748" w:type="pct"/>
            <w:vAlign w:val="bottom"/>
          </w:tcPr>
          <w:p w14:paraId="50125231"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p>
        </w:tc>
        <w:tc>
          <w:tcPr>
            <w:tcW w:w="808" w:type="pct"/>
            <w:vAlign w:val="bottom"/>
          </w:tcPr>
          <w:p w14:paraId="6542820F"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r w:rsidRPr="00CA3A3D">
              <w:rPr>
                <w:rFonts w:ascii="Garamond" w:hAnsi="Garamond"/>
                <w:sz w:val="20"/>
                <w:szCs w:val="20"/>
                <w:lang w:val="es-AR"/>
              </w:rPr>
              <w:t>9.668</w:t>
            </w:r>
          </w:p>
        </w:tc>
        <w:tc>
          <w:tcPr>
            <w:tcW w:w="715" w:type="pct"/>
            <w:vAlign w:val="bottom"/>
          </w:tcPr>
          <w:p w14:paraId="434B6B21"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r w:rsidRPr="00CA3A3D">
              <w:rPr>
                <w:rFonts w:ascii="Garamond" w:hAnsi="Garamond"/>
                <w:sz w:val="20"/>
                <w:szCs w:val="20"/>
                <w:lang w:val="es-AR"/>
              </w:rPr>
              <w:t>10%</w:t>
            </w:r>
          </w:p>
        </w:tc>
        <w:tc>
          <w:tcPr>
            <w:tcW w:w="585" w:type="pct"/>
            <w:vAlign w:val="bottom"/>
            <w:hideMark/>
          </w:tcPr>
          <w:p w14:paraId="30004B88" w14:textId="77777777" w:rsidR="00816332" w:rsidRPr="00CA0A60" w:rsidRDefault="00816332" w:rsidP="00816332">
            <w:pPr>
              <w:keepNext/>
              <w:keepLines/>
              <w:spacing w:after="0" w:line="240" w:lineRule="auto"/>
              <w:jc w:val="center"/>
              <w:rPr>
                <w:rFonts w:ascii="Garamond" w:hAnsi="Garamond" w:cs="Times New Roman"/>
                <w:sz w:val="20"/>
                <w:szCs w:val="20"/>
                <w:lang w:val="es-AR"/>
              </w:rPr>
            </w:pPr>
            <w:r w:rsidRPr="00CA3A3D">
              <w:rPr>
                <w:rFonts w:ascii="Garamond" w:hAnsi="Garamond"/>
                <w:sz w:val="20"/>
                <w:szCs w:val="20"/>
                <w:lang w:val="es-AR"/>
              </w:rPr>
              <w:t>68.199</w:t>
            </w:r>
          </w:p>
        </w:tc>
        <w:tc>
          <w:tcPr>
            <w:tcW w:w="666" w:type="pct"/>
            <w:vAlign w:val="bottom"/>
            <w:hideMark/>
          </w:tcPr>
          <w:p w14:paraId="59A39CC1" w14:textId="77777777" w:rsidR="00816332" w:rsidRPr="00CA0A60" w:rsidRDefault="00816332" w:rsidP="00816332">
            <w:pPr>
              <w:keepNext/>
              <w:keepLines/>
              <w:spacing w:after="0" w:line="240" w:lineRule="auto"/>
              <w:jc w:val="center"/>
              <w:rPr>
                <w:rFonts w:ascii="Garamond" w:hAnsi="Garamond" w:cs="Times New Roman"/>
                <w:sz w:val="20"/>
                <w:szCs w:val="20"/>
                <w:lang w:val="es-AR"/>
              </w:rPr>
            </w:pPr>
            <w:r w:rsidRPr="00CA3A3D">
              <w:rPr>
                <w:rFonts w:ascii="Garamond" w:hAnsi="Garamond"/>
                <w:sz w:val="20"/>
                <w:szCs w:val="20"/>
                <w:lang w:val="es-AR"/>
              </w:rPr>
              <w:t>38%</w:t>
            </w:r>
          </w:p>
        </w:tc>
      </w:tr>
      <w:tr w:rsidR="00816332" w:rsidRPr="00CA0A60" w14:paraId="1E71832F" w14:textId="77777777" w:rsidTr="002B1E31">
        <w:trPr>
          <w:cantSplit/>
          <w:trHeight w:val="455"/>
          <w:jc w:val="center"/>
        </w:trPr>
        <w:tc>
          <w:tcPr>
            <w:tcW w:w="820" w:type="pct"/>
            <w:vAlign w:val="bottom"/>
            <w:hideMark/>
          </w:tcPr>
          <w:p w14:paraId="74BEE7D0" w14:textId="77777777" w:rsidR="00816332" w:rsidRPr="00CA0A60" w:rsidRDefault="00816332" w:rsidP="00816332">
            <w:pPr>
              <w:keepNext/>
              <w:keepLines/>
              <w:tabs>
                <w:tab w:val="right" w:leader="dot" w:pos="1890"/>
              </w:tabs>
              <w:spacing w:after="0" w:line="240" w:lineRule="auto"/>
              <w:rPr>
                <w:rFonts w:ascii="Garamond" w:hAnsi="Garamond" w:cs="Times New Roman"/>
                <w:sz w:val="20"/>
                <w:szCs w:val="20"/>
                <w:lang w:val="es-AR"/>
              </w:rPr>
            </w:pPr>
            <w:r w:rsidRPr="00CA0A60">
              <w:rPr>
                <w:rFonts w:ascii="Garamond" w:eastAsia="Times New Roman" w:hAnsi="Garamond" w:cs="Times New Roman"/>
                <w:sz w:val="20"/>
                <w:szCs w:val="20"/>
                <w:lang w:val="es-AR"/>
              </w:rPr>
              <w:t xml:space="preserve">Energía </w:t>
            </w:r>
            <w:r w:rsidRPr="00713D6E">
              <w:rPr>
                <w:rFonts w:ascii="Garamond" w:eastAsia="Times New Roman" w:hAnsi="Garamond" w:cs="Times New Roman"/>
                <w:sz w:val="20"/>
                <w:szCs w:val="20"/>
                <w:lang w:val="es-AR"/>
              </w:rPr>
              <w:br/>
            </w:r>
            <w:r w:rsidRPr="00CA0A60">
              <w:rPr>
                <w:rFonts w:ascii="Garamond" w:eastAsia="Times New Roman" w:hAnsi="Garamond" w:cs="Times New Roman"/>
                <w:sz w:val="20"/>
                <w:szCs w:val="20"/>
                <w:lang w:val="es-AR"/>
              </w:rPr>
              <w:t>Plus</w:t>
            </w:r>
          </w:p>
        </w:tc>
        <w:tc>
          <w:tcPr>
            <w:tcW w:w="658" w:type="pct"/>
            <w:vAlign w:val="bottom"/>
          </w:tcPr>
          <w:p w14:paraId="089A9EFB"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r w:rsidRPr="00CA0A60">
              <w:rPr>
                <w:rFonts w:ascii="Garamond" w:hAnsi="Garamond" w:cs="Times New Roman"/>
                <w:sz w:val="20"/>
                <w:szCs w:val="20"/>
                <w:lang w:val="es-AR"/>
              </w:rPr>
              <w:t>9.519</w:t>
            </w:r>
          </w:p>
        </w:tc>
        <w:tc>
          <w:tcPr>
            <w:tcW w:w="748" w:type="pct"/>
            <w:vAlign w:val="bottom"/>
          </w:tcPr>
          <w:p w14:paraId="43CFE7DB"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r w:rsidRPr="00CA0A60">
              <w:rPr>
                <w:rFonts w:ascii="Garamond" w:hAnsi="Garamond" w:cs="Times New Roman"/>
                <w:sz w:val="20"/>
                <w:szCs w:val="20"/>
                <w:lang w:val="es-AR"/>
              </w:rPr>
              <w:t>19%</w:t>
            </w:r>
          </w:p>
        </w:tc>
        <w:tc>
          <w:tcPr>
            <w:tcW w:w="808" w:type="pct"/>
            <w:vAlign w:val="bottom"/>
            <w:hideMark/>
          </w:tcPr>
          <w:p w14:paraId="45E61BF0"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r w:rsidRPr="00CA3A3D">
              <w:rPr>
                <w:rFonts w:ascii="Garamond" w:hAnsi="Garamond"/>
                <w:sz w:val="20"/>
                <w:szCs w:val="20"/>
                <w:lang w:val="es-AR"/>
              </w:rPr>
              <w:t>8.685</w:t>
            </w:r>
          </w:p>
        </w:tc>
        <w:tc>
          <w:tcPr>
            <w:tcW w:w="715" w:type="pct"/>
            <w:vAlign w:val="bottom"/>
            <w:hideMark/>
          </w:tcPr>
          <w:p w14:paraId="06B8EE5E" w14:textId="77777777" w:rsidR="00816332" w:rsidRPr="00CA0A60" w:rsidRDefault="00816332" w:rsidP="00816332">
            <w:pPr>
              <w:keepNext/>
              <w:keepLines/>
              <w:spacing w:after="0" w:line="240" w:lineRule="auto"/>
              <w:ind w:left="221"/>
              <w:jc w:val="center"/>
              <w:rPr>
                <w:rFonts w:ascii="Garamond" w:hAnsi="Garamond" w:cs="Times New Roman"/>
                <w:sz w:val="20"/>
                <w:szCs w:val="20"/>
                <w:lang w:val="es-AR"/>
              </w:rPr>
            </w:pPr>
            <w:r w:rsidRPr="00CA3A3D">
              <w:rPr>
                <w:rFonts w:ascii="Garamond" w:hAnsi="Garamond"/>
                <w:sz w:val="20"/>
                <w:szCs w:val="20"/>
                <w:lang w:val="es-AR"/>
              </w:rPr>
              <w:t>9%</w:t>
            </w:r>
          </w:p>
        </w:tc>
        <w:tc>
          <w:tcPr>
            <w:tcW w:w="585" w:type="pct"/>
            <w:vAlign w:val="bottom"/>
            <w:hideMark/>
          </w:tcPr>
          <w:p w14:paraId="1E2B2E50" w14:textId="77777777" w:rsidR="00816332" w:rsidRPr="00CA0A60" w:rsidRDefault="00816332" w:rsidP="00816332">
            <w:pPr>
              <w:keepNext/>
              <w:keepLines/>
              <w:spacing w:after="0" w:line="240" w:lineRule="auto"/>
              <w:jc w:val="center"/>
              <w:rPr>
                <w:rFonts w:ascii="Garamond" w:hAnsi="Garamond" w:cs="Times New Roman"/>
                <w:sz w:val="20"/>
                <w:szCs w:val="20"/>
                <w:lang w:val="es-AR"/>
              </w:rPr>
            </w:pPr>
            <w:r w:rsidRPr="00CA3A3D">
              <w:rPr>
                <w:rFonts w:ascii="Garamond" w:hAnsi="Garamond"/>
                <w:sz w:val="20"/>
                <w:szCs w:val="20"/>
                <w:lang w:val="es-AR"/>
              </w:rPr>
              <w:t>9.483</w:t>
            </w:r>
          </w:p>
        </w:tc>
        <w:tc>
          <w:tcPr>
            <w:tcW w:w="666" w:type="pct"/>
            <w:vAlign w:val="bottom"/>
            <w:hideMark/>
          </w:tcPr>
          <w:p w14:paraId="598B85BA" w14:textId="77777777" w:rsidR="00816332" w:rsidRPr="00CA0A60" w:rsidRDefault="00816332" w:rsidP="00816332">
            <w:pPr>
              <w:keepNext/>
              <w:keepLines/>
              <w:spacing w:after="0" w:line="240" w:lineRule="auto"/>
              <w:jc w:val="center"/>
              <w:rPr>
                <w:rFonts w:ascii="Garamond" w:hAnsi="Garamond" w:cs="Times New Roman"/>
                <w:sz w:val="20"/>
                <w:szCs w:val="20"/>
                <w:lang w:val="es-AR"/>
              </w:rPr>
            </w:pPr>
            <w:r w:rsidRPr="00CA3A3D">
              <w:rPr>
                <w:rFonts w:ascii="Garamond" w:hAnsi="Garamond"/>
                <w:sz w:val="20"/>
                <w:szCs w:val="20"/>
                <w:lang w:val="es-AR"/>
              </w:rPr>
              <w:t>5%</w:t>
            </w:r>
          </w:p>
        </w:tc>
      </w:tr>
      <w:tr w:rsidR="00816332" w:rsidRPr="00CA0A60" w14:paraId="0500EBB2" w14:textId="77777777" w:rsidTr="002B1E31">
        <w:trPr>
          <w:cantSplit/>
          <w:trHeight w:val="261"/>
          <w:jc w:val="center"/>
        </w:trPr>
        <w:tc>
          <w:tcPr>
            <w:tcW w:w="820" w:type="pct"/>
            <w:vAlign w:val="bottom"/>
            <w:hideMark/>
          </w:tcPr>
          <w:p w14:paraId="2486CA10" w14:textId="77777777" w:rsidR="00816332" w:rsidRPr="00713D6E" w:rsidRDefault="00816332" w:rsidP="00816332">
            <w:pPr>
              <w:keepNext/>
              <w:keepLines/>
              <w:tabs>
                <w:tab w:val="right" w:leader="dot" w:pos="1890"/>
              </w:tabs>
              <w:spacing w:after="0" w:line="240" w:lineRule="auto"/>
              <w:rPr>
                <w:rFonts w:ascii="Garamond" w:hAnsi="Garamond" w:cs="Times New Roman"/>
                <w:sz w:val="20"/>
                <w:szCs w:val="20"/>
                <w:lang w:val="es-AR"/>
              </w:rPr>
            </w:pPr>
            <w:r w:rsidRPr="00CA0A60">
              <w:rPr>
                <w:rFonts w:ascii="Garamond" w:eastAsia="Times New Roman" w:hAnsi="Garamond" w:cs="Times New Roman"/>
                <w:sz w:val="20"/>
                <w:szCs w:val="20"/>
                <w:lang w:val="es-AR"/>
              </w:rPr>
              <w:t>Energía Base</w:t>
            </w:r>
          </w:p>
        </w:tc>
        <w:tc>
          <w:tcPr>
            <w:tcW w:w="658" w:type="pct"/>
            <w:vAlign w:val="bottom"/>
          </w:tcPr>
          <w:p w14:paraId="54242351" w14:textId="77777777" w:rsidR="00816332" w:rsidRPr="00CA0A60" w:rsidRDefault="00816332" w:rsidP="00816332">
            <w:pPr>
              <w:keepNext/>
              <w:keepLines/>
              <w:pBdr>
                <w:bottom w:val="single" w:sz="4" w:space="1" w:color="auto"/>
              </w:pBdr>
              <w:spacing w:after="0" w:line="240" w:lineRule="auto"/>
              <w:ind w:left="221"/>
              <w:jc w:val="center"/>
              <w:rPr>
                <w:rFonts w:ascii="Garamond" w:hAnsi="Garamond" w:cs="Times New Roman"/>
                <w:sz w:val="20"/>
                <w:szCs w:val="20"/>
                <w:lang w:val="es-AR"/>
              </w:rPr>
            </w:pPr>
            <w:r w:rsidRPr="00CA0A60">
              <w:rPr>
                <w:rFonts w:ascii="Garamond" w:hAnsi="Garamond" w:cs="Times New Roman"/>
                <w:sz w:val="20"/>
                <w:szCs w:val="20"/>
                <w:lang w:val="es-AR"/>
              </w:rPr>
              <w:t>8.288</w:t>
            </w:r>
          </w:p>
        </w:tc>
        <w:tc>
          <w:tcPr>
            <w:tcW w:w="748" w:type="pct"/>
            <w:vAlign w:val="bottom"/>
          </w:tcPr>
          <w:p w14:paraId="6FE5C733" w14:textId="77777777" w:rsidR="00816332" w:rsidRPr="00CA0A60" w:rsidRDefault="00816332" w:rsidP="00816332">
            <w:pPr>
              <w:keepNext/>
              <w:keepLines/>
              <w:pBdr>
                <w:bottom w:val="single" w:sz="4" w:space="1" w:color="auto"/>
              </w:pBdr>
              <w:spacing w:after="0" w:line="240" w:lineRule="auto"/>
              <w:ind w:left="221"/>
              <w:jc w:val="center"/>
              <w:rPr>
                <w:rFonts w:ascii="Garamond" w:hAnsi="Garamond" w:cs="Times New Roman"/>
                <w:sz w:val="20"/>
                <w:szCs w:val="20"/>
                <w:lang w:val="es-AR"/>
              </w:rPr>
            </w:pPr>
            <w:r w:rsidRPr="00CA0A60">
              <w:rPr>
                <w:rFonts w:ascii="Garamond" w:hAnsi="Garamond" w:cs="Times New Roman"/>
                <w:sz w:val="20"/>
                <w:szCs w:val="20"/>
                <w:lang w:val="es-AR"/>
              </w:rPr>
              <w:t>16%</w:t>
            </w:r>
          </w:p>
        </w:tc>
        <w:tc>
          <w:tcPr>
            <w:tcW w:w="808" w:type="pct"/>
            <w:vAlign w:val="bottom"/>
            <w:hideMark/>
          </w:tcPr>
          <w:p w14:paraId="49561298" w14:textId="77777777" w:rsidR="00816332" w:rsidRPr="00CA0A60" w:rsidRDefault="00816332" w:rsidP="00816332">
            <w:pPr>
              <w:keepNext/>
              <w:keepLines/>
              <w:pBdr>
                <w:bottom w:val="single" w:sz="4" w:space="1" w:color="auto"/>
              </w:pBdr>
              <w:spacing w:after="0" w:line="240" w:lineRule="auto"/>
              <w:ind w:left="221"/>
              <w:jc w:val="center"/>
              <w:rPr>
                <w:rFonts w:ascii="Garamond" w:hAnsi="Garamond" w:cs="Times New Roman"/>
                <w:sz w:val="20"/>
                <w:szCs w:val="20"/>
                <w:lang w:val="es-AR"/>
              </w:rPr>
            </w:pPr>
            <w:r w:rsidRPr="00CA3A3D">
              <w:rPr>
                <w:rFonts w:ascii="Garamond" w:hAnsi="Garamond"/>
                <w:sz w:val="20"/>
                <w:szCs w:val="20"/>
                <w:lang w:val="es-AR"/>
              </w:rPr>
              <w:t>9.617</w:t>
            </w:r>
          </w:p>
        </w:tc>
        <w:tc>
          <w:tcPr>
            <w:tcW w:w="715" w:type="pct"/>
            <w:vAlign w:val="bottom"/>
            <w:hideMark/>
          </w:tcPr>
          <w:p w14:paraId="1AF31760" w14:textId="77777777" w:rsidR="00816332" w:rsidRPr="00CA0A60" w:rsidRDefault="00816332" w:rsidP="00816332">
            <w:pPr>
              <w:keepNext/>
              <w:keepLines/>
              <w:pBdr>
                <w:bottom w:val="single" w:sz="4" w:space="1" w:color="auto"/>
              </w:pBdr>
              <w:spacing w:after="0" w:line="240" w:lineRule="auto"/>
              <w:ind w:left="221"/>
              <w:jc w:val="center"/>
              <w:rPr>
                <w:rFonts w:ascii="Garamond" w:hAnsi="Garamond" w:cs="Times New Roman"/>
                <w:sz w:val="20"/>
                <w:szCs w:val="20"/>
                <w:lang w:val="es-AR"/>
              </w:rPr>
            </w:pPr>
            <w:r w:rsidRPr="00CA3A3D">
              <w:rPr>
                <w:rFonts w:ascii="Garamond" w:hAnsi="Garamond"/>
                <w:sz w:val="20"/>
                <w:szCs w:val="20"/>
                <w:lang w:val="es-AR"/>
              </w:rPr>
              <w:t>10%</w:t>
            </w:r>
          </w:p>
        </w:tc>
        <w:tc>
          <w:tcPr>
            <w:tcW w:w="585" w:type="pct"/>
            <w:vAlign w:val="bottom"/>
            <w:hideMark/>
          </w:tcPr>
          <w:p w14:paraId="79DA0D03" w14:textId="77777777" w:rsidR="00816332" w:rsidRPr="00CA0A60" w:rsidRDefault="00816332" w:rsidP="00816332">
            <w:pPr>
              <w:keepNext/>
              <w:keepLines/>
              <w:pBdr>
                <w:bottom w:val="single" w:sz="4" w:space="1" w:color="auto"/>
              </w:pBdr>
              <w:spacing w:after="0" w:line="240" w:lineRule="auto"/>
              <w:jc w:val="center"/>
              <w:rPr>
                <w:rFonts w:ascii="Garamond" w:hAnsi="Garamond" w:cs="Times New Roman"/>
                <w:sz w:val="20"/>
                <w:szCs w:val="20"/>
                <w:lang w:val="es-AR"/>
              </w:rPr>
            </w:pPr>
            <w:r w:rsidRPr="00CA3A3D">
              <w:rPr>
                <w:rFonts w:ascii="Garamond" w:hAnsi="Garamond"/>
                <w:sz w:val="20"/>
                <w:szCs w:val="20"/>
                <w:lang w:val="es-AR"/>
              </w:rPr>
              <w:t>11.680</w:t>
            </w:r>
          </w:p>
        </w:tc>
        <w:tc>
          <w:tcPr>
            <w:tcW w:w="666" w:type="pct"/>
            <w:vAlign w:val="bottom"/>
            <w:hideMark/>
          </w:tcPr>
          <w:p w14:paraId="31E91FA6" w14:textId="77777777" w:rsidR="00816332" w:rsidRPr="00CA0A60" w:rsidRDefault="00816332" w:rsidP="00816332">
            <w:pPr>
              <w:keepNext/>
              <w:keepLines/>
              <w:pBdr>
                <w:bottom w:val="single" w:sz="4" w:space="1" w:color="auto"/>
              </w:pBdr>
              <w:spacing w:after="0" w:line="240" w:lineRule="auto"/>
              <w:jc w:val="center"/>
              <w:rPr>
                <w:rFonts w:ascii="Garamond" w:hAnsi="Garamond" w:cs="Times New Roman"/>
                <w:sz w:val="20"/>
                <w:szCs w:val="20"/>
                <w:lang w:val="es-AR"/>
              </w:rPr>
            </w:pPr>
            <w:r w:rsidRPr="00CA3A3D">
              <w:rPr>
                <w:rFonts w:ascii="Garamond" w:hAnsi="Garamond"/>
                <w:sz w:val="20"/>
                <w:szCs w:val="20"/>
                <w:lang w:val="es-AR"/>
              </w:rPr>
              <w:t>6%</w:t>
            </w:r>
          </w:p>
        </w:tc>
      </w:tr>
    </w:tbl>
    <w:p w14:paraId="5A25747A" w14:textId="77777777" w:rsidR="00EE6C95" w:rsidRPr="00CA0A60" w:rsidRDefault="00EE6C95" w:rsidP="00E10EE5">
      <w:pPr>
        <w:keepNext/>
        <w:keepLines/>
        <w:spacing w:after="0" w:line="240" w:lineRule="auto"/>
        <w:jc w:val="both"/>
        <w:rPr>
          <w:rFonts w:ascii="Garamond" w:hAnsi="Garamond" w:cs="Times New Roman"/>
          <w:color w:val="000000"/>
          <w:sz w:val="20"/>
          <w:szCs w:val="20"/>
          <w:lang w:val="es-AR"/>
        </w:rPr>
      </w:pPr>
    </w:p>
    <w:p w14:paraId="09B8D95D" w14:textId="77777777" w:rsidR="00EE6C95" w:rsidRPr="00CA0A60" w:rsidRDefault="00EE6C95" w:rsidP="00EE6C95">
      <w:pPr>
        <w:spacing w:after="0"/>
        <w:jc w:val="both"/>
        <w:rPr>
          <w:rFonts w:cs="Times New Roman"/>
          <w:i/>
          <w:color w:val="000000"/>
          <w:lang w:val="es-AR"/>
        </w:rPr>
      </w:pPr>
    </w:p>
    <w:p w14:paraId="43B454C2" w14:textId="1087B6F2" w:rsidR="004C1C4F" w:rsidRPr="00CA0A60" w:rsidRDefault="004C1C4F" w:rsidP="008B0923">
      <w:pPr>
        <w:spacing w:after="0" w:line="240" w:lineRule="auto"/>
        <w:rPr>
          <w:rFonts w:ascii="Garamond" w:eastAsia="MS Mincho" w:hAnsi="Garamond" w:cs="Times New Roman"/>
          <w:b/>
          <w:spacing w:val="-2"/>
          <w:sz w:val="20"/>
          <w:szCs w:val="20"/>
          <w:u w:val="single"/>
          <w:lang w:val="es-AR" w:eastAsia="es-ES"/>
        </w:rPr>
      </w:pPr>
      <w:bookmarkStart w:id="88" w:name="_Toc456049849"/>
      <w:bookmarkEnd w:id="88"/>
      <w:r w:rsidRPr="00CA0A60">
        <w:rPr>
          <w:rFonts w:ascii="Garamond" w:eastAsia="MS Mincho" w:hAnsi="Garamond" w:cs="Times New Roman"/>
          <w:b/>
          <w:spacing w:val="-2"/>
          <w:sz w:val="20"/>
          <w:szCs w:val="20"/>
          <w:u w:val="single"/>
          <w:lang w:val="es-AR" w:eastAsia="es-ES"/>
        </w:rPr>
        <w:t>Información contable</w:t>
      </w:r>
      <w:r w:rsidR="0095445C" w:rsidRPr="00CA0A60">
        <w:rPr>
          <w:rFonts w:ascii="Garamond" w:eastAsia="MS Mincho" w:hAnsi="Garamond" w:cs="Times New Roman"/>
          <w:b/>
          <w:spacing w:val="-2"/>
          <w:sz w:val="20"/>
          <w:szCs w:val="20"/>
          <w:u w:val="single"/>
          <w:lang w:val="es-AR" w:eastAsia="es-ES"/>
        </w:rPr>
        <w:t xml:space="preserve"> seleccionada de Albanesi</w:t>
      </w:r>
      <w:r w:rsidR="004C4E85" w:rsidRPr="00CA0A60">
        <w:rPr>
          <w:rFonts w:ascii="Garamond" w:eastAsia="MS Mincho" w:hAnsi="Garamond" w:cs="Times New Roman"/>
          <w:b/>
          <w:spacing w:val="-2"/>
          <w:sz w:val="20"/>
          <w:szCs w:val="20"/>
          <w:u w:val="single"/>
          <w:lang w:val="es-AR" w:eastAsia="es-ES"/>
        </w:rPr>
        <w:t xml:space="preserve"> </w:t>
      </w:r>
    </w:p>
    <w:p w14:paraId="78BEFD2A" w14:textId="77777777" w:rsidR="004C1C4F" w:rsidRPr="00CA0A60" w:rsidRDefault="004C1C4F" w:rsidP="008B0923">
      <w:pPr>
        <w:spacing w:after="0" w:line="240" w:lineRule="auto"/>
        <w:rPr>
          <w:rFonts w:ascii="Garamond" w:eastAsia="MS Mincho" w:hAnsi="Garamond" w:cs="Times New Roman"/>
          <w:i/>
          <w:spacing w:val="-2"/>
          <w:sz w:val="20"/>
          <w:szCs w:val="20"/>
          <w:lang w:val="es-AR" w:eastAsia="es-ES"/>
        </w:rPr>
      </w:pPr>
    </w:p>
    <w:p w14:paraId="248C4A09" w14:textId="77777777" w:rsidR="00BF4543" w:rsidRPr="00CA0A60" w:rsidRDefault="00BF4543" w:rsidP="00BF4543">
      <w:pPr>
        <w:numPr>
          <w:ilvl w:val="0"/>
          <w:numId w:val="3"/>
        </w:numPr>
        <w:jc w:val="both"/>
        <w:rPr>
          <w:rFonts w:ascii="Garamond" w:eastAsia="MS Mincho" w:hAnsi="Garamond" w:cs="Times New Roman"/>
          <w:i/>
          <w:spacing w:val="-2"/>
          <w:sz w:val="20"/>
          <w:szCs w:val="20"/>
          <w:lang w:val="es-AR" w:eastAsia="es-ES"/>
        </w:rPr>
      </w:pPr>
      <w:r w:rsidRPr="00CA0A60">
        <w:rPr>
          <w:rFonts w:ascii="Garamond" w:eastAsia="MS Mincho" w:hAnsi="Garamond" w:cs="Times New Roman"/>
          <w:i/>
          <w:spacing w:val="-2"/>
          <w:sz w:val="20"/>
          <w:szCs w:val="20"/>
          <w:lang w:val="es-AR" w:eastAsia="es-ES"/>
        </w:rPr>
        <w:t>Información contable consolidada de Albanesi y sus subsidiarias por el período de tres meses finalizados al 31 de marzo de 2019 y 2018</w:t>
      </w:r>
    </w:p>
    <w:p w14:paraId="350100CE" w14:textId="452DD8FB" w:rsidR="00BF4543" w:rsidRPr="00CA0A60" w:rsidRDefault="00BF4543" w:rsidP="00BF4543">
      <w:pPr>
        <w:jc w:val="both"/>
        <w:rPr>
          <w:rFonts w:ascii="Garamond" w:eastAsia="MS Mincho" w:hAnsi="Garamond" w:cs="Times New Roman"/>
          <w:spacing w:val="-2"/>
          <w:sz w:val="20"/>
          <w:szCs w:val="20"/>
          <w:lang w:val="es-AR" w:eastAsia="es-ES"/>
        </w:rPr>
      </w:pPr>
      <w:r w:rsidRPr="00CA0A60">
        <w:rPr>
          <w:rFonts w:ascii="Garamond" w:eastAsia="MS Mincho" w:hAnsi="Garamond" w:cs="Times New Roman"/>
          <w:spacing w:val="-2"/>
          <w:sz w:val="20"/>
          <w:szCs w:val="20"/>
          <w:lang w:val="es-AR" w:eastAsia="es-ES"/>
        </w:rPr>
        <w:t xml:space="preserve">Los estados financieros consolidados condensados intermedios de Albanesi S.A. y sus subsidiarias por los períodos de tres meses finalizados al 31 de marzo de 2019 y 2018, se encuentran disponibles en la página web y en las oficinas de las Compañías, así como en la AIF publicados bajo el ID 4-2471373-D </w:t>
      </w:r>
      <w:r w:rsidR="0031178B" w:rsidRPr="00CA0A60">
        <w:rPr>
          <w:rFonts w:ascii="Garamond" w:eastAsia="MS Mincho" w:hAnsi="Garamond" w:cs="Times New Roman"/>
          <w:spacing w:val="-2"/>
          <w:sz w:val="20"/>
          <w:szCs w:val="20"/>
          <w:lang w:val="es-AR" w:eastAsia="es-ES"/>
        </w:rPr>
        <w:t>y ID</w:t>
      </w:r>
      <w:r w:rsidR="000E0FC2" w:rsidRPr="00CA0A60">
        <w:rPr>
          <w:rFonts w:ascii="Garamond" w:eastAsia="MS Mincho" w:hAnsi="Garamond" w:cs="Times New Roman"/>
          <w:spacing w:val="-2"/>
          <w:sz w:val="20"/>
          <w:szCs w:val="20"/>
          <w:lang w:val="es-AR" w:eastAsia="es-ES"/>
        </w:rPr>
        <w:t xml:space="preserve"> 4-572244-D</w:t>
      </w:r>
      <w:r w:rsidR="0031178B" w:rsidRPr="00CA0A60">
        <w:rPr>
          <w:rFonts w:ascii="Garamond" w:eastAsia="MS Mincho" w:hAnsi="Garamond" w:cs="Times New Roman"/>
          <w:spacing w:val="-2"/>
          <w:sz w:val="20"/>
          <w:szCs w:val="20"/>
          <w:lang w:val="es-AR" w:eastAsia="es-ES"/>
        </w:rPr>
        <w:t>, respectivamente</w:t>
      </w:r>
      <w:r w:rsidRPr="00CA0A60">
        <w:rPr>
          <w:rFonts w:ascii="Garamond" w:eastAsia="MS Mincho" w:hAnsi="Garamond" w:cs="Times New Roman"/>
          <w:spacing w:val="-2"/>
          <w:sz w:val="20"/>
          <w:szCs w:val="20"/>
          <w:lang w:val="es-AR" w:eastAsia="es-ES"/>
        </w:rPr>
        <w:t xml:space="preserve">. </w:t>
      </w:r>
    </w:p>
    <w:p w14:paraId="0288A7E5" w14:textId="77777777" w:rsidR="00BF4543" w:rsidRPr="00CA0A60" w:rsidRDefault="00BF4543" w:rsidP="00BF4543">
      <w:pPr>
        <w:spacing w:after="0" w:line="240" w:lineRule="auto"/>
        <w:jc w:val="both"/>
        <w:rPr>
          <w:rFonts w:ascii="Garamond" w:hAnsi="Garamond"/>
          <w:b/>
          <w:sz w:val="20"/>
          <w:szCs w:val="20"/>
          <w:lang w:val="es-AR"/>
        </w:rPr>
      </w:pPr>
      <w:r w:rsidRPr="00CA0A60">
        <w:rPr>
          <w:rFonts w:ascii="Garamond" w:hAnsi="Garamond"/>
          <w:b/>
          <w:sz w:val="20"/>
          <w:szCs w:val="20"/>
          <w:lang w:val="es-AR"/>
        </w:rPr>
        <w:t>Períodos de tres meses finalizados el 31 de marzo de 2019 y 2018 (expresado en miles de pesos):</w:t>
      </w:r>
    </w:p>
    <w:p w14:paraId="4F9DB37D" w14:textId="77777777" w:rsidR="00BF4543" w:rsidRPr="00CA0A60" w:rsidRDefault="00BF4543" w:rsidP="00BF4543">
      <w:pPr>
        <w:spacing w:after="0" w:line="240" w:lineRule="auto"/>
        <w:jc w:val="both"/>
        <w:rPr>
          <w:rFonts w:ascii="Garamond" w:hAnsi="Garamond"/>
          <w:b/>
          <w:sz w:val="20"/>
          <w:szCs w:val="20"/>
          <w:lang w:val="es-AR"/>
        </w:rPr>
      </w:pPr>
    </w:p>
    <w:p w14:paraId="6FFB9E32" w14:textId="77777777" w:rsidR="00BF4543" w:rsidRPr="00CA0A60" w:rsidRDefault="00BF4543" w:rsidP="002B1E31">
      <w:pPr>
        <w:spacing w:after="0" w:line="240" w:lineRule="auto"/>
        <w:jc w:val="center"/>
        <w:rPr>
          <w:rFonts w:ascii="Garamond" w:hAnsi="Garamond"/>
          <w:b/>
          <w:sz w:val="20"/>
          <w:szCs w:val="20"/>
          <w:lang w:val="es-AR"/>
        </w:rPr>
      </w:pPr>
      <w:r w:rsidRPr="00CA0A60">
        <w:rPr>
          <w:noProof/>
          <w:lang w:val="es-AR" w:eastAsia="es-AR"/>
        </w:rPr>
        <w:drawing>
          <wp:inline distT="0" distB="0" distL="0" distR="0" wp14:anchorId="2BAE11D3" wp14:editId="4FEE8CB1">
            <wp:extent cx="4114800" cy="39338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14800" cy="3933825"/>
                    </a:xfrm>
                    <a:prstGeom prst="rect">
                      <a:avLst/>
                    </a:prstGeom>
                    <a:noFill/>
                    <a:ln>
                      <a:noFill/>
                    </a:ln>
                  </pic:spPr>
                </pic:pic>
              </a:graphicData>
            </a:graphic>
          </wp:inline>
        </w:drawing>
      </w:r>
    </w:p>
    <w:p w14:paraId="22F0E891" w14:textId="77777777" w:rsidR="00BF4543" w:rsidRPr="00CA0A60" w:rsidRDefault="00BF4543" w:rsidP="00BF4543">
      <w:pPr>
        <w:spacing w:after="0" w:line="240" w:lineRule="auto"/>
        <w:jc w:val="both"/>
        <w:rPr>
          <w:rFonts w:ascii="Garamond" w:hAnsi="Garamond"/>
          <w:b/>
          <w:sz w:val="20"/>
          <w:szCs w:val="20"/>
          <w:lang w:val="es-AR"/>
        </w:rPr>
      </w:pPr>
    </w:p>
    <w:p w14:paraId="0F16B4A8" w14:textId="77777777" w:rsidR="00BF4543" w:rsidRPr="00CA0A60" w:rsidRDefault="00BF4543" w:rsidP="00BF4543">
      <w:pPr>
        <w:spacing w:after="0" w:line="240" w:lineRule="auto"/>
        <w:jc w:val="both"/>
        <w:rPr>
          <w:rFonts w:ascii="Garamond" w:hAnsi="Garamond"/>
          <w:b/>
          <w:sz w:val="20"/>
          <w:szCs w:val="20"/>
          <w:lang w:val="es-AR"/>
        </w:rPr>
      </w:pPr>
    </w:p>
    <w:p w14:paraId="751D4A6C" w14:textId="77777777" w:rsidR="00BF4543" w:rsidRPr="00CA0A60" w:rsidRDefault="00BF4543" w:rsidP="002B1E31">
      <w:pPr>
        <w:jc w:val="center"/>
        <w:rPr>
          <w:lang w:val="es-AR"/>
        </w:rPr>
      </w:pPr>
      <w:r w:rsidRPr="00CA0A60">
        <w:rPr>
          <w:noProof/>
          <w:lang w:val="es-AR" w:eastAsia="es-AR"/>
        </w:rPr>
        <w:drawing>
          <wp:inline distT="0" distB="0" distL="0" distR="0" wp14:anchorId="0D984642" wp14:editId="25CC114B">
            <wp:extent cx="2969895" cy="8258810"/>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69895" cy="8258810"/>
                    </a:xfrm>
                    <a:prstGeom prst="rect">
                      <a:avLst/>
                    </a:prstGeom>
                    <a:noFill/>
                    <a:ln>
                      <a:noFill/>
                    </a:ln>
                  </pic:spPr>
                </pic:pic>
              </a:graphicData>
            </a:graphic>
          </wp:inline>
        </w:drawing>
      </w:r>
    </w:p>
    <w:p w14:paraId="7FBD16AE" w14:textId="77777777" w:rsidR="00BF4543" w:rsidRPr="00713D6E" w:rsidRDefault="00BF4543" w:rsidP="00BF4543">
      <w:pPr>
        <w:rPr>
          <w:lang w:val="es-AR"/>
        </w:rPr>
      </w:pPr>
    </w:p>
    <w:p w14:paraId="141BFE62" w14:textId="77777777" w:rsidR="00BF4543" w:rsidRPr="00CA0A60" w:rsidRDefault="00BF4543" w:rsidP="002B1E31">
      <w:pPr>
        <w:jc w:val="center"/>
        <w:rPr>
          <w:lang w:val="es-AR"/>
        </w:rPr>
      </w:pPr>
      <w:r w:rsidRPr="00CA0A60">
        <w:rPr>
          <w:noProof/>
          <w:lang w:val="es-AR" w:eastAsia="es-AR"/>
        </w:rPr>
        <w:lastRenderedPageBreak/>
        <w:drawing>
          <wp:inline distT="0" distB="0" distL="0" distR="0" wp14:anchorId="20C03062" wp14:editId="080CD3AE">
            <wp:extent cx="3314700" cy="27051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14700" cy="2705100"/>
                    </a:xfrm>
                    <a:prstGeom prst="rect">
                      <a:avLst/>
                    </a:prstGeom>
                    <a:noFill/>
                    <a:ln>
                      <a:noFill/>
                    </a:ln>
                  </pic:spPr>
                </pic:pic>
              </a:graphicData>
            </a:graphic>
          </wp:inline>
        </w:drawing>
      </w:r>
    </w:p>
    <w:p w14:paraId="10FAC21B" w14:textId="77777777" w:rsidR="00BF4543" w:rsidRPr="00CA0A60" w:rsidRDefault="00BF4543" w:rsidP="00BF4543">
      <w:pPr>
        <w:rPr>
          <w:lang w:val="es-AR"/>
        </w:rPr>
      </w:pPr>
    </w:p>
    <w:p w14:paraId="7EF54ABD" w14:textId="77777777" w:rsidR="00BF4543" w:rsidRPr="00CA0A60" w:rsidRDefault="00BF4543" w:rsidP="002B1E31">
      <w:pPr>
        <w:jc w:val="center"/>
        <w:rPr>
          <w:lang w:val="es-AR"/>
        </w:rPr>
      </w:pPr>
      <w:r w:rsidRPr="00CA0A60">
        <w:rPr>
          <w:noProof/>
          <w:lang w:val="es-AR" w:eastAsia="es-AR"/>
        </w:rPr>
        <w:drawing>
          <wp:inline distT="0" distB="0" distL="0" distR="0" wp14:anchorId="6F2176E6" wp14:editId="71DB5AB3">
            <wp:extent cx="5429250" cy="25241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9250" cy="2524125"/>
                    </a:xfrm>
                    <a:prstGeom prst="rect">
                      <a:avLst/>
                    </a:prstGeom>
                    <a:noFill/>
                    <a:ln>
                      <a:noFill/>
                    </a:ln>
                  </pic:spPr>
                </pic:pic>
              </a:graphicData>
            </a:graphic>
          </wp:inline>
        </w:drawing>
      </w:r>
    </w:p>
    <w:p w14:paraId="2341390F" w14:textId="77777777" w:rsidR="00BF4543" w:rsidRPr="00CA0A60" w:rsidRDefault="00BF4543" w:rsidP="00BF4543">
      <w:pPr>
        <w:rPr>
          <w:lang w:val="es-AR"/>
        </w:rPr>
      </w:pPr>
    </w:p>
    <w:p w14:paraId="1836CCCB" w14:textId="77777777" w:rsidR="00BF4543" w:rsidRPr="00CA3A3D" w:rsidRDefault="00BF4543" w:rsidP="00BF4543">
      <w:pPr>
        <w:spacing w:after="0"/>
        <w:rPr>
          <w:rFonts w:ascii="Garamond" w:hAnsi="Garamond"/>
          <w:b/>
          <w:i/>
          <w:sz w:val="20"/>
          <w:szCs w:val="20"/>
          <w:lang w:val="es-AR"/>
        </w:rPr>
      </w:pPr>
      <w:r w:rsidRPr="00CA3A3D">
        <w:rPr>
          <w:rFonts w:ascii="Garamond" w:hAnsi="Garamond"/>
          <w:b/>
          <w:i/>
          <w:sz w:val="20"/>
          <w:szCs w:val="20"/>
          <w:lang w:val="es-AR"/>
        </w:rPr>
        <w:t>Período finalizado el 31 de marzo de 2019</w:t>
      </w:r>
    </w:p>
    <w:p w14:paraId="095B4125" w14:textId="77777777" w:rsidR="00BF4543" w:rsidRPr="00CA3A3D" w:rsidRDefault="00BF4543" w:rsidP="00BF4543">
      <w:pPr>
        <w:spacing w:after="0"/>
        <w:rPr>
          <w:rFonts w:ascii="Garamond" w:hAnsi="Garamond"/>
          <w:b/>
          <w:sz w:val="20"/>
          <w:szCs w:val="20"/>
          <w:lang w:val="es-AR"/>
        </w:rPr>
      </w:pPr>
    </w:p>
    <w:p w14:paraId="0CDEE12A" w14:textId="77777777" w:rsidR="00BF4543" w:rsidRPr="00CA3A3D" w:rsidRDefault="00BF4543" w:rsidP="00BF4543">
      <w:pPr>
        <w:spacing w:after="0"/>
        <w:rPr>
          <w:rFonts w:ascii="Garamond" w:hAnsi="Garamond"/>
          <w:i/>
          <w:sz w:val="20"/>
          <w:szCs w:val="20"/>
          <w:lang w:val="es-AR"/>
        </w:rPr>
      </w:pPr>
      <w:r w:rsidRPr="00CA3A3D">
        <w:rPr>
          <w:rFonts w:ascii="Garamond" w:hAnsi="Garamond"/>
          <w:i/>
          <w:sz w:val="20"/>
          <w:szCs w:val="20"/>
          <w:lang w:val="es-AR"/>
        </w:rPr>
        <w:t>Efectivo neto generado por actividades operativas</w:t>
      </w:r>
    </w:p>
    <w:p w14:paraId="5D70CEFD" w14:textId="77777777" w:rsidR="00BF4543" w:rsidRPr="00CA3A3D" w:rsidRDefault="00BF4543" w:rsidP="00BF4543">
      <w:pPr>
        <w:spacing w:after="0"/>
        <w:rPr>
          <w:rFonts w:ascii="Garamond" w:hAnsi="Garamond"/>
          <w:i/>
          <w:sz w:val="20"/>
          <w:szCs w:val="20"/>
          <w:lang w:val="es-AR"/>
        </w:rPr>
      </w:pPr>
    </w:p>
    <w:p w14:paraId="4BC1ABBB" w14:textId="77777777" w:rsidR="00BF4543" w:rsidRPr="00CA3A3D" w:rsidRDefault="00BF4543" w:rsidP="00BF4543">
      <w:pPr>
        <w:spacing w:after="0"/>
        <w:jc w:val="both"/>
        <w:rPr>
          <w:rFonts w:ascii="Garamond" w:hAnsi="Garamond"/>
          <w:sz w:val="20"/>
          <w:szCs w:val="20"/>
          <w:lang w:val="es-AR"/>
        </w:rPr>
      </w:pPr>
      <w:r w:rsidRPr="00CA3A3D">
        <w:rPr>
          <w:rFonts w:ascii="Garamond" w:hAnsi="Garamond"/>
          <w:sz w:val="20"/>
          <w:szCs w:val="20"/>
          <w:lang w:val="es-AR"/>
        </w:rPr>
        <w:t>Durante el período finalizado el 31 de marzo de 2019, se generaron fondos netos por $1.533,5 millones, principalmente debido al efecto de una ganancia neta ajustada por partidas que no consumieron fondos netos por $1.758,2 millones, a un aumento de créditos por ventas e inventarios por $815,2 millones, parcialmente absorbido por una disminución de otros créditos y otras deudas por $33,4 millones y un aumento de deudas comerciales y deudas sociales por $557,1 millones.</w:t>
      </w:r>
    </w:p>
    <w:p w14:paraId="5FE60D62" w14:textId="77777777" w:rsidR="00BF4543" w:rsidRPr="00CA3A3D" w:rsidRDefault="00BF4543" w:rsidP="00BF4543">
      <w:pPr>
        <w:spacing w:after="0"/>
        <w:rPr>
          <w:rFonts w:ascii="Garamond" w:hAnsi="Garamond"/>
          <w:sz w:val="20"/>
          <w:szCs w:val="20"/>
          <w:lang w:val="es-AR"/>
        </w:rPr>
      </w:pPr>
    </w:p>
    <w:p w14:paraId="179C4A63" w14:textId="77777777" w:rsidR="00BF4543" w:rsidRPr="00CA3A3D" w:rsidRDefault="00BF4543" w:rsidP="00BF4543">
      <w:pPr>
        <w:spacing w:after="0"/>
        <w:jc w:val="both"/>
        <w:rPr>
          <w:rFonts w:ascii="Garamond" w:hAnsi="Garamond"/>
          <w:i/>
          <w:sz w:val="20"/>
          <w:szCs w:val="20"/>
          <w:lang w:val="es-AR"/>
        </w:rPr>
      </w:pPr>
      <w:r w:rsidRPr="00CA3A3D">
        <w:rPr>
          <w:rFonts w:ascii="Garamond" w:hAnsi="Garamond"/>
          <w:i/>
          <w:sz w:val="20"/>
          <w:szCs w:val="20"/>
          <w:lang w:val="es-AR"/>
        </w:rPr>
        <w:t>Efectivo neto generado por actividades de inversión</w:t>
      </w:r>
    </w:p>
    <w:p w14:paraId="61DE6D03" w14:textId="77777777" w:rsidR="00BF4543" w:rsidRPr="00CA3A3D" w:rsidRDefault="00BF4543" w:rsidP="00BF4543">
      <w:pPr>
        <w:spacing w:after="0"/>
        <w:jc w:val="both"/>
        <w:rPr>
          <w:rFonts w:ascii="Garamond" w:hAnsi="Garamond"/>
          <w:sz w:val="20"/>
          <w:szCs w:val="20"/>
          <w:lang w:val="es-AR"/>
        </w:rPr>
      </w:pPr>
    </w:p>
    <w:p w14:paraId="2D08FD02" w14:textId="77777777" w:rsidR="00BF4543" w:rsidRPr="00CA3A3D" w:rsidRDefault="00BF4543" w:rsidP="00BF4543">
      <w:pPr>
        <w:spacing w:after="0"/>
        <w:jc w:val="both"/>
        <w:rPr>
          <w:rFonts w:ascii="Garamond" w:hAnsi="Garamond"/>
          <w:sz w:val="20"/>
          <w:szCs w:val="20"/>
          <w:lang w:val="es-AR"/>
        </w:rPr>
      </w:pPr>
      <w:r w:rsidRPr="00CA3A3D">
        <w:rPr>
          <w:rFonts w:ascii="Garamond" w:hAnsi="Garamond"/>
          <w:sz w:val="20"/>
          <w:szCs w:val="20"/>
          <w:lang w:val="es-AR"/>
        </w:rPr>
        <w:t xml:space="preserve">Los fondos netos aplicados por las actividades de inversión durante el período finalizado el 31 de marzo de 2019 fueron de $589,2 millones, principalmente debido a adquisiciones de bienes de uso. </w:t>
      </w:r>
    </w:p>
    <w:p w14:paraId="4CDF054D" w14:textId="77777777" w:rsidR="00BF4543" w:rsidRPr="00CA3A3D" w:rsidRDefault="00BF4543" w:rsidP="00BF4543">
      <w:pPr>
        <w:spacing w:after="0"/>
        <w:jc w:val="both"/>
        <w:rPr>
          <w:rFonts w:ascii="Garamond" w:hAnsi="Garamond"/>
          <w:i/>
          <w:sz w:val="20"/>
          <w:szCs w:val="20"/>
          <w:lang w:val="es-AR"/>
        </w:rPr>
      </w:pPr>
    </w:p>
    <w:p w14:paraId="22DB3111" w14:textId="77777777" w:rsidR="00BF4543" w:rsidRPr="00CA3A3D" w:rsidRDefault="00BF4543" w:rsidP="002B1E31">
      <w:pPr>
        <w:keepNext/>
        <w:keepLines/>
        <w:spacing w:after="0"/>
        <w:jc w:val="both"/>
        <w:rPr>
          <w:rFonts w:ascii="Garamond" w:hAnsi="Garamond"/>
          <w:i/>
          <w:sz w:val="20"/>
          <w:szCs w:val="20"/>
          <w:lang w:val="es-AR"/>
        </w:rPr>
      </w:pPr>
      <w:r w:rsidRPr="00CA3A3D">
        <w:rPr>
          <w:rFonts w:ascii="Garamond" w:hAnsi="Garamond"/>
          <w:i/>
          <w:sz w:val="20"/>
          <w:szCs w:val="20"/>
          <w:lang w:val="es-AR"/>
        </w:rPr>
        <w:lastRenderedPageBreak/>
        <w:t>Efectivo neto aplicado a actividades de financiación</w:t>
      </w:r>
    </w:p>
    <w:p w14:paraId="4DF627B3" w14:textId="77777777" w:rsidR="00BF4543" w:rsidRPr="00CA3A3D" w:rsidRDefault="00BF4543" w:rsidP="002B1E31">
      <w:pPr>
        <w:keepNext/>
        <w:keepLines/>
        <w:spacing w:after="0"/>
        <w:jc w:val="both"/>
        <w:rPr>
          <w:rFonts w:ascii="Garamond" w:hAnsi="Garamond"/>
          <w:sz w:val="20"/>
          <w:szCs w:val="20"/>
          <w:lang w:val="es-AR"/>
        </w:rPr>
      </w:pPr>
    </w:p>
    <w:p w14:paraId="775DE5A6" w14:textId="77777777" w:rsidR="00BF4543" w:rsidRPr="00CA3A3D" w:rsidRDefault="00BF4543" w:rsidP="002B1E31">
      <w:pPr>
        <w:keepNext/>
        <w:keepLines/>
        <w:spacing w:after="0"/>
        <w:jc w:val="both"/>
        <w:rPr>
          <w:rFonts w:ascii="Garamond" w:hAnsi="Garamond"/>
          <w:sz w:val="20"/>
          <w:szCs w:val="20"/>
          <w:lang w:val="es-AR"/>
        </w:rPr>
      </w:pPr>
      <w:r w:rsidRPr="00CA3A3D">
        <w:rPr>
          <w:rFonts w:ascii="Garamond" w:hAnsi="Garamond"/>
          <w:sz w:val="20"/>
          <w:szCs w:val="20"/>
          <w:lang w:val="es-AR"/>
        </w:rPr>
        <w:t>Los fondos netos aplicados a las actividades de financiación durante el período finalizado el 31 de marzo de 2019 fueron de $1.400,9 millones, debido al pago de préstamos por $872,3 millones, al pago de intereses por $1.109,2 millones, parcialmente absorbido por la obtención de nuevos préstamos y cobros de instrumentos financieros por $580,6 millones.</w:t>
      </w:r>
    </w:p>
    <w:p w14:paraId="68401986" w14:textId="77777777" w:rsidR="00BF4543" w:rsidRPr="00CA3A3D" w:rsidRDefault="00BF4543" w:rsidP="00BF4543">
      <w:pPr>
        <w:spacing w:after="0"/>
        <w:rPr>
          <w:rFonts w:ascii="Garamond" w:hAnsi="Garamond"/>
          <w:sz w:val="20"/>
          <w:szCs w:val="20"/>
          <w:lang w:val="es-AR"/>
        </w:rPr>
      </w:pPr>
    </w:p>
    <w:p w14:paraId="7E200C35" w14:textId="77777777" w:rsidR="00BF4543" w:rsidRPr="00CA3A3D" w:rsidRDefault="00BF4543" w:rsidP="00BF4543">
      <w:pPr>
        <w:spacing w:after="0"/>
        <w:rPr>
          <w:rFonts w:ascii="Garamond" w:hAnsi="Garamond"/>
          <w:sz w:val="20"/>
          <w:szCs w:val="20"/>
          <w:lang w:val="es-AR"/>
        </w:rPr>
      </w:pPr>
      <w:r w:rsidRPr="00CA3A3D">
        <w:rPr>
          <w:rFonts w:ascii="Garamond" w:hAnsi="Garamond"/>
          <w:sz w:val="20"/>
          <w:szCs w:val="20"/>
          <w:lang w:val="es-AR"/>
        </w:rPr>
        <w:t>Al cierre del período la posición de efectivo era de $123,6 millones.</w:t>
      </w:r>
    </w:p>
    <w:p w14:paraId="2E8147FD" w14:textId="77777777" w:rsidR="00BF4543" w:rsidRPr="00CA3A3D" w:rsidRDefault="00BF4543" w:rsidP="00BF4543">
      <w:pPr>
        <w:spacing w:after="0"/>
        <w:rPr>
          <w:rFonts w:ascii="Garamond" w:hAnsi="Garamond"/>
          <w:b/>
          <w:i/>
          <w:sz w:val="20"/>
          <w:szCs w:val="20"/>
          <w:lang w:val="es-AR"/>
        </w:rPr>
      </w:pPr>
    </w:p>
    <w:p w14:paraId="30B37CC5" w14:textId="77777777" w:rsidR="00BF4543" w:rsidRPr="00CA3A3D" w:rsidRDefault="00BF4543" w:rsidP="00BF4543">
      <w:pPr>
        <w:keepNext/>
        <w:keepLines/>
        <w:spacing w:after="0"/>
        <w:rPr>
          <w:rFonts w:ascii="Garamond" w:hAnsi="Garamond"/>
          <w:b/>
          <w:i/>
          <w:sz w:val="20"/>
          <w:szCs w:val="20"/>
          <w:lang w:val="es-AR"/>
        </w:rPr>
      </w:pPr>
      <w:r w:rsidRPr="00CA3A3D">
        <w:rPr>
          <w:rFonts w:ascii="Garamond" w:hAnsi="Garamond"/>
          <w:b/>
          <w:i/>
          <w:sz w:val="20"/>
          <w:szCs w:val="20"/>
          <w:lang w:val="es-AR"/>
        </w:rPr>
        <w:t>Período finalizado el 31 de marzo de 2018</w:t>
      </w:r>
    </w:p>
    <w:p w14:paraId="70C64C75" w14:textId="77777777" w:rsidR="00BF4543" w:rsidRPr="00CA3A3D" w:rsidRDefault="00BF4543" w:rsidP="00BF4543">
      <w:pPr>
        <w:keepNext/>
        <w:keepLines/>
        <w:spacing w:after="0"/>
        <w:rPr>
          <w:rFonts w:ascii="Garamond" w:hAnsi="Garamond"/>
          <w:b/>
          <w:sz w:val="20"/>
          <w:szCs w:val="20"/>
          <w:lang w:val="es-AR"/>
        </w:rPr>
      </w:pPr>
    </w:p>
    <w:p w14:paraId="02701BDE" w14:textId="77777777" w:rsidR="00BF4543" w:rsidRPr="00CA3A3D" w:rsidRDefault="00BF4543" w:rsidP="00BF4543">
      <w:pPr>
        <w:keepNext/>
        <w:keepLines/>
        <w:spacing w:after="0"/>
        <w:rPr>
          <w:rFonts w:ascii="Garamond" w:hAnsi="Garamond"/>
          <w:i/>
          <w:sz w:val="20"/>
          <w:szCs w:val="20"/>
          <w:lang w:val="es-AR"/>
        </w:rPr>
      </w:pPr>
      <w:r w:rsidRPr="00CA3A3D">
        <w:rPr>
          <w:rFonts w:ascii="Garamond" w:hAnsi="Garamond"/>
          <w:i/>
          <w:sz w:val="20"/>
          <w:szCs w:val="20"/>
          <w:lang w:val="es-AR"/>
        </w:rPr>
        <w:t>Efectivo neto generado por actividades operativas</w:t>
      </w:r>
    </w:p>
    <w:p w14:paraId="21E9D4C3" w14:textId="77777777" w:rsidR="00BF4543" w:rsidRPr="00CA3A3D" w:rsidRDefault="00BF4543" w:rsidP="00BF4543">
      <w:pPr>
        <w:keepNext/>
        <w:keepLines/>
        <w:spacing w:after="0"/>
        <w:rPr>
          <w:rFonts w:ascii="Garamond" w:hAnsi="Garamond"/>
          <w:i/>
          <w:sz w:val="20"/>
          <w:szCs w:val="20"/>
          <w:lang w:val="es-AR"/>
        </w:rPr>
      </w:pPr>
    </w:p>
    <w:p w14:paraId="229410C4" w14:textId="77777777" w:rsidR="00BF4543" w:rsidRPr="00CA3A3D" w:rsidRDefault="00BF4543" w:rsidP="00BF4543">
      <w:pPr>
        <w:spacing w:after="0"/>
        <w:jc w:val="both"/>
        <w:rPr>
          <w:rFonts w:ascii="Garamond" w:hAnsi="Garamond"/>
          <w:sz w:val="20"/>
          <w:szCs w:val="20"/>
          <w:lang w:val="es-AR"/>
        </w:rPr>
      </w:pPr>
      <w:r w:rsidRPr="00CA3A3D">
        <w:rPr>
          <w:rFonts w:ascii="Garamond" w:hAnsi="Garamond"/>
          <w:sz w:val="20"/>
          <w:szCs w:val="20"/>
          <w:lang w:val="es-AR"/>
        </w:rPr>
        <w:t>Durante el período finalizado el 31 de marzo de 2018, se generaron fondos netos por $573,7 millones, principalmente debido al efecto de una ganancia neta ajustada por partidas que no consumieron fondos netos por $1.038,2 millones, a un aumento de créditos por ventas y otras deudas por $241,2 millones, parcialmente absorbido por una disminución de otros créditos, inventarios, deudas comerciales y deudas sociales por $705,7 millones.</w:t>
      </w:r>
    </w:p>
    <w:p w14:paraId="2553E41B" w14:textId="77777777" w:rsidR="00BF4543" w:rsidRPr="00CA3A3D" w:rsidRDefault="00BF4543" w:rsidP="00BF4543">
      <w:pPr>
        <w:spacing w:after="0"/>
        <w:rPr>
          <w:rFonts w:ascii="Garamond" w:hAnsi="Garamond"/>
          <w:sz w:val="20"/>
          <w:szCs w:val="20"/>
          <w:lang w:val="es-AR"/>
        </w:rPr>
      </w:pPr>
      <w:r w:rsidRPr="00CA3A3D">
        <w:rPr>
          <w:rFonts w:ascii="Garamond" w:hAnsi="Garamond"/>
          <w:sz w:val="20"/>
          <w:szCs w:val="20"/>
          <w:lang w:val="es-AR"/>
        </w:rPr>
        <w:tab/>
      </w:r>
    </w:p>
    <w:p w14:paraId="1E629C6E" w14:textId="77777777" w:rsidR="00BF4543" w:rsidRPr="00CA3A3D" w:rsidRDefault="00BF4543" w:rsidP="00BF4543">
      <w:pPr>
        <w:spacing w:after="0"/>
        <w:jc w:val="both"/>
        <w:rPr>
          <w:rFonts w:ascii="Garamond" w:hAnsi="Garamond"/>
          <w:i/>
          <w:sz w:val="20"/>
          <w:szCs w:val="20"/>
          <w:lang w:val="es-AR"/>
        </w:rPr>
      </w:pPr>
      <w:r w:rsidRPr="00CA3A3D">
        <w:rPr>
          <w:rFonts w:ascii="Garamond" w:hAnsi="Garamond"/>
          <w:i/>
          <w:sz w:val="20"/>
          <w:szCs w:val="20"/>
          <w:lang w:val="es-AR"/>
        </w:rPr>
        <w:t>Efectivo neto generado por actividades de inversión</w:t>
      </w:r>
    </w:p>
    <w:p w14:paraId="4817D96A" w14:textId="77777777" w:rsidR="00BF4543" w:rsidRPr="00CA3A3D" w:rsidRDefault="00BF4543" w:rsidP="00BF4543">
      <w:pPr>
        <w:spacing w:after="0"/>
        <w:jc w:val="both"/>
        <w:rPr>
          <w:rFonts w:ascii="Garamond" w:hAnsi="Garamond"/>
          <w:sz w:val="20"/>
          <w:szCs w:val="20"/>
          <w:lang w:val="es-AR"/>
        </w:rPr>
      </w:pPr>
    </w:p>
    <w:p w14:paraId="55FC8CDA" w14:textId="77777777" w:rsidR="00BF4543" w:rsidRPr="00CA3A3D" w:rsidRDefault="00BF4543" w:rsidP="00BF4543">
      <w:pPr>
        <w:spacing w:after="0"/>
        <w:jc w:val="both"/>
        <w:rPr>
          <w:rFonts w:ascii="Garamond" w:hAnsi="Garamond"/>
          <w:sz w:val="20"/>
          <w:szCs w:val="20"/>
          <w:lang w:val="es-AR"/>
        </w:rPr>
      </w:pPr>
      <w:r w:rsidRPr="00CA3A3D">
        <w:rPr>
          <w:rFonts w:ascii="Garamond" w:hAnsi="Garamond"/>
          <w:sz w:val="20"/>
          <w:szCs w:val="20"/>
          <w:lang w:val="es-AR"/>
        </w:rPr>
        <w:t xml:space="preserve">Los fondos netos aplicados por las actividades de inversión durante el período finalizado el 31 de marzo de 2018 fueron de $1.434,8 millones, principalmente debido a adquisiciones de bienes de uso. </w:t>
      </w:r>
    </w:p>
    <w:p w14:paraId="54B45CC3" w14:textId="77777777" w:rsidR="00BF4543" w:rsidRPr="00CA3A3D" w:rsidRDefault="00BF4543" w:rsidP="00BF4543">
      <w:pPr>
        <w:spacing w:after="0"/>
        <w:jc w:val="both"/>
        <w:rPr>
          <w:rFonts w:ascii="Garamond" w:hAnsi="Garamond"/>
          <w:i/>
          <w:sz w:val="20"/>
          <w:szCs w:val="20"/>
          <w:lang w:val="es-AR"/>
        </w:rPr>
      </w:pPr>
    </w:p>
    <w:p w14:paraId="26578F51" w14:textId="77777777" w:rsidR="00BF4543" w:rsidRPr="00CA3A3D" w:rsidRDefault="00BF4543" w:rsidP="00BF4543">
      <w:pPr>
        <w:spacing w:after="0"/>
        <w:jc w:val="both"/>
        <w:rPr>
          <w:rFonts w:ascii="Garamond" w:hAnsi="Garamond"/>
          <w:i/>
          <w:sz w:val="20"/>
          <w:szCs w:val="20"/>
          <w:lang w:val="es-AR"/>
        </w:rPr>
      </w:pPr>
      <w:r w:rsidRPr="00CA3A3D">
        <w:rPr>
          <w:rFonts w:ascii="Garamond" w:hAnsi="Garamond"/>
          <w:i/>
          <w:sz w:val="20"/>
          <w:szCs w:val="20"/>
          <w:lang w:val="es-AR"/>
        </w:rPr>
        <w:t>Efectivo neto aplicado a actividades de financiación</w:t>
      </w:r>
    </w:p>
    <w:p w14:paraId="0821CE2D" w14:textId="77777777" w:rsidR="00BF4543" w:rsidRPr="00CA3A3D" w:rsidRDefault="00BF4543" w:rsidP="00BF4543">
      <w:pPr>
        <w:spacing w:after="0"/>
        <w:jc w:val="both"/>
        <w:rPr>
          <w:rFonts w:ascii="Garamond" w:hAnsi="Garamond"/>
          <w:sz w:val="20"/>
          <w:szCs w:val="20"/>
          <w:lang w:val="es-AR"/>
        </w:rPr>
      </w:pPr>
    </w:p>
    <w:p w14:paraId="13EF4D39" w14:textId="77777777" w:rsidR="00BF4543" w:rsidRPr="00CA3A3D" w:rsidRDefault="00BF4543" w:rsidP="00BF4543">
      <w:pPr>
        <w:spacing w:after="0"/>
        <w:jc w:val="both"/>
        <w:rPr>
          <w:rFonts w:ascii="Garamond" w:hAnsi="Garamond"/>
          <w:sz w:val="20"/>
          <w:szCs w:val="20"/>
          <w:lang w:val="es-AR"/>
        </w:rPr>
      </w:pPr>
      <w:r w:rsidRPr="00CA3A3D">
        <w:rPr>
          <w:rFonts w:ascii="Garamond" w:hAnsi="Garamond"/>
          <w:sz w:val="20"/>
          <w:szCs w:val="20"/>
          <w:lang w:val="es-AR"/>
        </w:rPr>
        <w:t>Los fondos netos generados por las actividades de financiación durante el período finalizado el 31 de marzo de 2018 fueron de $1.493,3 millones, debido al pago de préstamos por $1.154,4 millones, al pago de intereses por $747,6 millones, parcialmente absorbido por la obtención de nuevos préstamos y cobros de instrumentos financieros por $3.395,3 millones.</w:t>
      </w:r>
    </w:p>
    <w:p w14:paraId="5E723203" w14:textId="77777777" w:rsidR="00BF4543" w:rsidRPr="00CA3A3D" w:rsidRDefault="00BF4543" w:rsidP="00BF4543">
      <w:pPr>
        <w:spacing w:after="0"/>
        <w:jc w:val="both"/>
        <w:rPr>
          <w:rFonts w:ascii="Garamond" w:hAnsi="Garamond"/>
          <w:sz w:val="20"/>
          <w:szCs w:val="20"/>
          <w:lang w:val="es-AR"/>
        </w:rPr>
      </w:pPr>
    </w:p>
    <w:p w14:paraId="5DF580AB" w14:textId="77777777" w:rsidR="00BF4543" w:rsidRPr="00CA3A3D" w:rsidRDefault="00BF4543" w:rsidP="00BF4543">
      <w:pPr>
        <w:spacing w:after="0"/>
        <w:jc w:val="both"/>
        <w:rPr>
          <w:rFonts w:ascii="Garamond" w:hAnsi="Garamond"/>
          <w:sz w:val="20"/>
          <w:szCs w:val="20"/>
          <w:lang w:val="es-AR"/>
        </w:rPr>
      </w:pPr>
      <w:r w:rsidRPr="00CA3A3D">
        <w:rPr>
          <w:rFonts w:ascii="Garamond" w:hAnsi="Garamond"/>
          <w:sz w:val="20"/>
          <w:szCs w:val="20"/>
          <w:lang w:val="es-AR"/>
        </w:rPr>
        <w:t>Al cierre del período la posición de efectivo era de $853,5 millones.</w:t>
      </w:r>
    </w:p>
    <w:p w14:paraId="2E560952" w14:textId="77777777" w:rsidR="00BF4543" w:rsidRPr="00CA3A3D" w:rsidRDefault="00BF4543" w:rsidP="00BF4543">
      <w:pPr>
        <w:rPr>
          <w:rFonts w:ascii="Garamond" w:hAnsi="Garamond"/>
          <w:i/>
          <w:sz w:val="18"/>
          <w:lang w:val="es-AR"/>
        </w:rPr>
      </w:pPr>
    </w:p>
    <w:p w14:paraId="35B06987" w14:textId="77777777" w:rsidR="00BF4543" w:rsidRPr="00CA3A3D" w:rsidRDefault="00BF4543" w:rsidP="00BF4543">
      <w:pPr>
        <w:rPr>
          <w:rFonts w:ascii="Garamond" w:eastAsia="Times New Roman" w:hAnsi="Garamond"/>
          <w:b/>
          <w:sz w:val="18"/>
          <w:szCs w:val="18"/>
          <w:lang w:val="es-AR" w:eastAsia="es-AR"/>
        </w:rPr>
      </w:pPr>
      <w:r w:rsidRPr="00CA3A3D">
        <w:rPr>
          <w:rFonts w:ascii="Garamond" w:eastAsia="Times New Roman" w:hAnsi="Garamond"/>
          <w:b/>
          <w:sz w:val="18"/>
          <w:szCs w:val="18"/>
          <w:lang w:val="es-AR" w:eastAsia="es-AR"/>
        </w:rPr>
        <w:t>Endeudamiento</w:t>
      </w:r>
    </w:p>
    <w:p w14:paraId="4BCD389C" w14:textId="77777777" w:rsidR="00BF4543" w:rsidRPr="00CA0A60" w:rsidRDefault="00BF4543" w:rsidP="00BF4543">
      <w:pPr>
        <w:jc w:val="both"/>
        <w:rPr>
          <w:rFonts w:ascii="Garamond" w:hAnsi="Garamond"/>
          <w:i/>
          <w:sz w:val="20"/>
          <w:u w:val="single"/>
          <w:lang w:val="es-AR"/>
        </w:rPr>
      </w:pPr>
      <w:r w:rsidRPr="00CA0A60">
        <w:rPr>
          <w:rFonts w:ascii="Garamond" w:hAnsi="Garamond"/>
          <w:i/>
          <w:sz w:val="20"/>
          <w:u w:val="single"/>
          <w:lang w:val="es-AR"/>
        </w:rPr>
        <w:t>Títulos de deuda</w:t>
      </w:r>
    </w:p>
    <w:p w14:paraId="1B0186F9" w14:textId="4C4ED31C" w:rsidR="00BF4543" w:rsidRPr="00CA0A60" w:rsidRDefault="00647340" w:rsidP="00BF4543">
      <w:pPr>
        <w:jc w:val="both"/>
        <w:rPr>
          <w:rFonts w:ascii="Garamond" w:hAnsi="Garamond"/>
          <w:sz w:val="20"/>
          <w:lang w:val="es-AR"/>
        </w:rPr>
      </w:pPr>
      <w:r>
        <w:rPr>
          <w:rFonts w:ascii="Garamond" w:hAnsi="Garamond"/>
          <w:sz w:val="20"/>
          <w:lang w:val="es-AR"/>
        </w:rPr>
        <w:t>A la f</w:t>
      </w:r>
      <w:r w:rsidR="00695DBA">
        <w:rPr>
          <w:rFonts w:ascii="Garamond" w:hAnsi="Garamond"/>
          <w:sz w:val="20"/>
          <w:lang w:val="es-AR"/>
        </w:rPr>
        <w:t xml:space="preserve">echa del presente Suplemento no hay modificación en relación a los valores negociables en circulación, a excepción del detalle descripto en </w:t>
      </w:r>
      <w:r w:rsidR="007E2207">
        <w:rPr>
          <w:rFonts w:ascii="Garamond" w:hAnsi="Garamond"/>
          <w:i/>
          <w:sz w:val="20"/>
          <w:lang w:val="es-AR"/>
        </w:rPr>
        <w:t>“</w:t>
      </w:r>
      <w:r w:rsidR="008E21A6">
        <w:rPr>
          <w:rFonts w:ascii="Garamond" w:hAnsi="Garamond"/>
          <w:i/>
          <w:sz w:val="20"/>
          <w:lang w:val="es-AR"/>
        </w:rPr>
        <w:t>Información Financiera</w:t>
      </w:r>
      <w:r w:rsidR="007E2207">
        <w:rPr>
          <w:rFonts w:ascii="Garamond" w:hAnsi="Garamond"/>
          <w:i/>
          <w:sz w:val="20"/>
          <w:lang w:val="es-AR"/>
        </w:rPr>
        <w:t>—CTR—Títulos de Deuda”.</w:t>
      </w:r>
    </w:p>
    <w:p w14:paraId="24A3D12E" w14:textId="77777777" w:rsidR="00BF4543" w:rsidRPr="00CA0A60" w:rsidRDefault="00BF4543" w:rsidP="002B1E31">
      <w:pPr>
        <w:jc w:val="center"/>
        <w:rPr>
          <w:rFonts w:ascii="Garamond" w:hAnsi="Garamond"/>
          <w:sz w:val="20"/>
          <w:lang w:val="es-AR"/>
        </w:rPr>
      </w:pPr>
      <w:r w:rsidRPr="00CA0A60">
        <w:rPr>
          <w:noProof/>
          <w:lang w:val="es-AR" w:eastAsia="es-AR"/>
        </w:rPr>
        <w:drawing>
          <wp:inline distT="0" distB="0" distL="0" distR="0" wp14:anchorId="07337CB1" wp14:editId="5D4348EC">
            <wp:extent cx="2971800" cy="22002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1800" cy="2200275"/>
                    </a:xfrm>
                    <a:prstGeom prst="rect">
                      <a:avLst/>
                    </a:prstGeom>
                    <a:noFill/>
                    <a:ln>
                      <a:noFill/>
                    </a:ln>
                  </pic:spPr>
                </pic:pic>
              </a:graphicData>
            </a:graphic>
          </wp:inline>
        </w:drawing>
      </w:r>
    </w:p>
    <w:p w14:paraId="3069E91C" w14:textId="77777777" w:rsidR="00931562" w:rsidRDefault="00931562">
      <w:pPr>
        <w:rPr>
          <w:rFonts w:ascii="Times New Roman" w:eastAsia="Calibri" w:hAnsi="Times New Roman" w:cs="Times New Roman"/>
          <w:b/>
          <w:sz w:val="24"/>
          <w:szCs w:val="20"/>
          <w:lang w:val="es-AR" w:eastAsia="es-ES"/>
        </w:rPr>
      </w:pPr>
      <w:r>
        <w:rPr>
          <w:sz w:val="24"/>
          <w:lang w:val="es-AR" w:eastAsia="es-ES"/>
        </w:rPr>
        <w:br w:type="page"/>
      </w:r>
    </w:p>
    <w:p w14:paraId="03CD817B" w14:textId="0A927A49" w:rsidR="00354069" w:rsidRPr="00AD636A" w:rsidRDefault="00354069" w:rsidP="00582114">
      <w:pPr>
        <w:pStyle w:val="TitleB"/>
        <w:keepLines/>
        <w:jc w:val="center"/>
        <w:rPr>
          <w:rFonts w:ascii="Garamond" w:hAnsi="Garamond"/>
          <w:sz w:val="24"/>
          <w:lang w:val="es-AR" w:eastAsia="es-ES"/>
        </w:rPr>
      </w:pPr>
      <w:bookmarkStart w:id="89" w:name="_Toc14922245"/>
      <w:r w:rsidRPr="00AD636A">
        <w:rPr>
          <w:rFonts w:ascii="Garamond" w:hAnsi="Garamond"/>
          <w:sz w:val="24"/>
          <w:lang w:val="es-AR" w:eastAsia="es-ES"/>
        </w:rPr>
        <w:lastRenderedPageBreak/>
        <w:t>PLAN DE DISTRIBUCIÓN</w:t>
      </w:r>
      <w:bookmarkEnd w:id="89"/>
    </w:p>
    <w:p w14:paraId="7BC1BAF2" w14:textId="77777777" w:rsidR="0039682C" w:rsidRPr="00AD636A" w:rsidRDefault="0039682C" w:rsidP="00582114">
      <w:pPr>
        <w:keepNext/>
        <w:keepLines/>
        <w:spacing w:after="0" w:line="240" w:lineRule="auto"/>
        <w:rPr>
          <w:rFonts w:ascii="Garamond" w:eastAsia="MS Mincho" w:hAnsi="Garamond" w:cs="Times New Roman"/>
          <w:sz w:val="24"/>
          <w:szCs w:val="20"/>
          <w:lang w:val="es-AR" w:eastAsia="es-ES"/>
        </w:rPr>
      </w:pPr>
    </w:p>
    <w:p w14:paraId="74F795F1" w14:textId="77777777" w:rsidR="008D3779" w:rsidRPr="00AD636A" w:rsidRDefault="008D3779" w:rsidP="00582114">
      <w:pPr>
        <w:keepNext/>
        <w:keepLines/>
        <w:spacing w:after="0" w:line="240" w:lineRule="auto"/>
        <w:jc w:val="both"/>
        <w:rPr>
          <w:rFonts w:ascii="Garamond" w:hAnsi="Garamond" w:cs="Times New Roman"/>
          <w:b/>
          <w:sz w:val="20"/>
          <w:szCs w:val="20"/>
          <w:lang w:val="es-AR"/>
        </w:rPr>
      </w:pPr>
      <w:r w:rsidRPr="00AD636A">
        <w:rPr>
          <w:rFonts w:ascii="Garamond" w:hAnsi="Garamond" w:cs="Times New Roman"/>
          <w:b/>
          <w:sz w:val="20"/>
          <w:szCs w:val="20"/>
          <w:lang w:val="es-AR"/>
        </w:rPr>
        <w:t>General</w:t>
      </w:r>
    </w:p>
    <w:p w14:paraId="61C988F9" w14:textId="77777777" w:rsidR="00E1747A" w:rsidRPr="00AD636A" w:rsidRDefault="00E1747A" w:rsidP="00582114">
      <w:pPr>
        <w:keepNext/>
        <w:keepLines/>
        <w:spacing w:after="0" w:line="240" w:lineRule="auto"/>
        <w:jc w:val="both"/>
        <w:rPr>
          <w:rFonts w:ascii="Garamond" w:hAnsi="Garamond" w:cs="Times New Roman"/>
          <w:b/>
          <w:sz w:val="20"/>
          <w:szCs w:val="20"/>
          <w:lang w:val="es-AR"/>
        </w:rPr>
      </w:pPr>
    </w:p>
    <w:p w14:paraId="03D9EE9E" w14:textId="77777777" w:rsidR="008D3779" w:rsidRPr="00AD636A" w:rsidRDefault="008D3779" w:rsidP="00582114">
      <w:pPr>
        <w:keepNext/>
        <w:keepLines/>
        <w:spacing w:after="0" w:line="240" w:lineRule="auto"/>
        <w:jc w:val="both"/>
        <w:rPr>
          <w:rFonts w:ascii="Garamond" w:hAnsi="Garamond" w:cs="Times New Roman"/>
          <w:sz w:val="20"/>
          <w:szCs w:val="20"/>
          <w:lang w:val="es-AR"/>
        </w:rPr>
      </w:pPr>
      <w:r w:rsidRPr="00AD636A">
        <w:rPr>
          <w:rFonts w:ascii="Garamond" w:hAnsi="Garamond" w:cs="Times New Roman"/>
          <w:sz w:val="20"/>
          <w:szCs w:val="20"/>
          <w:lang w:val="es-AR"/>
        </w:rPr>
        <w:t>La colocación de las Obligaciones Negociables será realizada mediante una oferta que califique como oferta pública en Argentina conforme con los términos de la Ley de Mercado de Capitales, las Normas de la CNV y demás normativa aplicable.</w:t>
      </w:r>
    </w:p>
    <w:p w14:paraId="3B22BB7D" w14:textId="77777777" w:rsidR="00E1747A" w:rsidRPr="00AD636A" w:rsidRDefault="00E1747A" w:rsidP="00582114">
      <w:pPr>
        <w:keepNext/>
        <w:keepLines/>
        <w:spacing w:after="0" w:line="240" w:lineRule="auto"/>
        <w:jc w:val="both"/>
        <w:rPr>
          <w:rFonts w:ascii="Garamond" w:hAnsi="Garamond" w:cs="Times New Roman"/>
          <w:sz w:val="20"/>
          <w:szCs w:val="20"/>
          <w:lang w:val="es-AR"/>
        </w:rPr>
      </w:pPr>
    </w:p>
    <w:p w14:paraId="4F22EED5" w14:textId="67849AD6" w:rsidR="008D3779" w:rsidRPr="00CA0A60" w:rsidRDefault="008D3779" w:rsidP="00582114">
      <w:pPr>
        <w:keepNext/>
        <w:keepLines/>
        <w:spacing w:after="0" w:line="240" w:lineRule="auto"/>
        <w:jc w:val="both"/>
        <w:rPr>
          <w:rFonts w:ascii="Garamond" w:hAnsi="Garamond" w:cs="Times New Roman"/>
          <w:sz w:val="20"/>
          <w:szCs w:val="20"/>
          <w:lang w:val="es-AR"/>
        </w:rPr>
      </w:pPr>
      <w:r w:rsidRPr="00AD636A">
        <w:rPr>
          <w:rFonts w:ascii="Garamond" w:hAnsi="Garamond" w:cs="Times New Roman"/>
          <w:sz w:val="20"/>
          <w:szCs w:val="20"/>
          <w:lang w:val="es-AR"/>
        </w:rPr>
        <w:t xml:space="preserve">Las Obligaciones Negociables se ofrecerán mediante (i) una oferta en Argentina dirigida exclusivamente a “inversores calificados” según se los define en el artículo 12, Sección I, Capítulo VI, Título II de las Normas de la CNV, oferta que será realizada a través de los Agentes Colocadores Locales conforme los términos y condiciones del presente Suplemento (la “Oferta Local”); y (ii) una oferta internacional no sujeta a los requisitos de registro de la Ley de Títulos Valores Estadounidense en la cual </w:t>
      </w:r>
      <w:r w:rsidR="00680B4E" w:rsidRPr="00AD636A">
        <w:rPr>
          <w:rFonts w:ascii="Garamond" w:hAnsi="Garamond" w:cs="Times New Roman"/>
          <w:sz w:val="20"/>
          <w:szCs w:val="20"/>
          <w:lang w:val="es-AR"/>
        </w:rPr>
        <w:t>Credit Suisse</w:t>
      </w:r>
      <w:r w:rsidR="00B11FE9" w:rsidRPr="00AD636A">
        <w:rPr>
          <w:rFonts w:ascii="Garamond" w:hAnsi="Garamond" w:cs="Times New Roman"/>
          <w:sz w:val="20"/>
          <w:szCs w:val="20"/>
          <w:lang w:val="es-AR"/>
        </w:rPr>
        <w:t xml:space="preserve"> y </w:t>
      </w:r>
      <w:r w:rsidR="00680B4E" w:rsidRPr="00AD636A">
        <w:rPr>
          <w:rFonts w:ascii="Garamond" w:hAnsi="Garamond" w:cs="Times New Roman"/>
          <w:sz w:val="20"/>
          <w:szCs w:val="20"/>
          <w:lang w:val="es-AR"/>
        </w:rPr>
        <w:t>UBS Investment Bank</w:t>
      </w:r>
      <w:r w:rsidR="00B11FE9" w:rsidRPr="00AD636A">
        <w:rPr>
          <w:rFonts w:ascii="Garamond" w:hAnsi="Garamond" w:cs="Times New Roman"/>
          <w:sz w:val="20"/>
          <w:szCs w:val="20"/>
          <w:lang w:val="es-AR"/>
        </w:rPr>
        <w:t xml:space="preserve"> (</w:t>
      </w:r>
      <w:r w:rsidRPr="00AD636A">
        <w:rPr>
          <w:rFonts w:ascii="Garamond" w:hAnsi="Garamond" w:cs="Times New Roman"/>
          <w:sz w:val="20"/>
          <w:szCs w:val="20"/>
          <w:lang w:val="es-AR"/>
        </w:rPr>
        <w:t>los Colocadores Internacionales</w:t>
      </w:r>
      <w:r w:rsidR="00B11FE9" w:rsidRPr="00AD636A">
        <w:rPr>
          <w:rFonts w:ascii="Garamond" w:hAnsi="Garamond" w:cs="Times New Roman"/>
          <w:sz w:val="20"/>
          <w:szCs w:val="20"/>
          <w:lang w:val="es-AR"/>
        </w:rPr>
        <w:t>)</w:t>
      </w:r>
      <w:r w:rsidRPr="00AD636A">
        <w:rPr>
          <w:rFonts w:ascii="Garamond" w:hAnsi="Garamond" w:cs="Times New Roman"/>
          <w:sz w:val="20"/>
          <w:szCs w:val="20"/>
          <w:lang w:val="es-AR"/>
        </w:rPr>
        <w:t xml:space="preserve"> actuarán como agentes colocadores</w:t>
      </w:r>
      <w:r w:rsidR="00345871" w:rsidRPr="00AD636A">
        <w:rPr>
          <w:rFonts w:ascii="Garamond" w:hAnsi="Garamond" w:cs="Times New Roman"/>
          <w:sz w:val="20"/>
          <w:szCs w:val="20"/>
          <w:lang w:val="es-AR"/>
        </w:rPr>
        <w:t xml:space="preserve"> internacionales</w:t>
      </w:r>
      <w:r w:rsidRPr="00AD636A">
        <w:rPr>
          <w:rFonts w:ascii="Garamond" w:hAnsi="Garamond" w:cs="Times New Roman"/>
          <w:sz w:val="20"/>
          <w:szCs w:val="20"/>
          <w:lang w:val="es-AR"/>
        </w:rPr>
        <w:t xml:space="preserve"> (“</w:t>
      </w:r>
      <w:r w:rsidRPr="00AD636A">
        <w:rPr>
          <w:rFonts w:ascii="Garamond" w:hAnsi="Garamond" w:cs="Times New Roman"/>
          <w:i/>
          <w:sz w:val="20"/>
          <w:szCs w:val="20"/>
          <w:lang w:val="es-AR"/>
        </w:rPr>
        <w:t>placement agents”</w:t>
      </w:r>
      <w:r w:rsidRPr="00AD636A">
        <w:rPr>
          <w:rFonts w:ascii="Garamond" w:hAnsi="Garamond" w:cs="Times New Roman"/>
          <w:sz w:val="20"/>
          <w:szCs w:val="20"/>
          <w:lang w:val="es-AR"/>
        </w:rPr>
        <w:t xml:space="preserve">) de dicha oferta, </w:t>
      </w:r>
      <w:r w:rsidR="008A5F57">
        <w:rPr>
          <w:rFonts w:ascii="Garamond" w:hAnsi="Garamond" w:cs="Times New Roman"/>
          <w:sz w:val="20"/>
          <w:szCs w:val="20"/>
          <w:lang w:val="es-AR"/>
        </w:rPr>
        <w:t xml:space="preserve">en virtud del acuerdo celebrado con dichas entidades, </w:t>
      </w:r>
      <w:r w:rsidRPr="00AD636A">
        <w:rPr>
          <w:rFonts w:ascii="Garamond" w:hAnsi="Garamond" w:cs="Times New Roman"/>
          <w:sz w:val="20"/>
          <w:szCs w:val="20"/>
          <w:lang w:val="es-AR"/>
        </w:rPr>
        <w:t>que estará dirigida (1)</w:t>
      </w:r>
      <w:r w:rsidRPr="00CA0A60">
        <w:rPr>
          <w:rFonts w:ascii="Garamond" w:hAnsi="Garamond" w:cs="Times New Roman"/>
          <w:sz w:val="20"/>
          <w:szCs w:val="20"/>
          <w:lang w:val="es-AR"/>
        </w:rPr>
        <w:t xml:space="preserve"> en los Estados Unidos, a ciertos inversores acreditados (“</w:t>
      </w:r>
      <w:r w:rsidRPr="00CA0A60">
        <w:rPr>
          <w:rFonts w:ascii="Garamond" w:hAnsi="Garamond" w:cs="Times New Roman"/>
          <w:i/>
          <w:sz w:val="20"/>
          <w:szCs w:val="20"/>
          <w:lang w:val="es-AR"/>
        </w:rPr>
        <w:t>accredited investors”</w:t>
      </w:r>
      <w:r w:rsidRPr="00CA0A60">
        <w:rPr>
          <w:rFonts w:ascii="Garamond" w:hAnsi="Garamond" w:cs="Times New Roman"/>
          <w:sz w:val="20"/>
          <w:szCs w:val="20"/>
          <w:lang w:val="es-AR"/>
        </w:rPr>
        <w:t xml:space="preserve">) institucionales (conforme se define en la Regla </w:t>
      </w:r>
      <w:r w:rsidRPr="00CA3A3D">
        <w:rPr>
          <w:rFonts w:ascii="Garamond" w:hAnsi="Garamond"/>
          <w:sz w:val="20"/>
          <w:szCs w:val="20"/>
          <w:lang w:val="es-AR"/>
        </w:rPr>
        <w:t xml:space="preserve">501(a)(1), (2), (3), (7) o (8) </w:t>
      </w:r>
      <w:r w:rsidRPr="00CA0A60">
        <w:rPr>
          <w:rFonts w:ascii="Garamond" w:hAnsi="Garamond" w:cs="Times New Roman"/>
          <w:sz w:val="20"/>
          <w:szCs w:val="20"/>
          <w:lang w:val="es-AR"/>
        </w:rPr>
        <w:t>bajo la Regulación D de la Ley d</w:t>
      </w:r>
      <w:r w:rsidRPr="00713D6E">
        <w:rPr>
          <w:rFonts w:ascii="Garamond" w:hAnsi="Garamond" w:cs="Times New Roman"/>
          <w:sz w:val="20"/>
          <w:szCs w:val="20"/>
          <w:lang w:val="es-AR"/>
        </w:rPr>
        <w:t>e Títulos Valores Estadounidense) que también sean inversores institucionales calificados (“</w:t>
      </w:r>
      <w:r w:rsidRPr="00CA0A60">
        <w:rPr>
          <w:rFonts w:ascii="Garamond" w:hAnsi="Garamond" w:cs="Times New Roman"/>
          <w:i/>
          <w:sz w:val="20"/>
          <w:szCs w:val="20"/>
          <w:lang w:val="es-AR"/>
        </w:rPr>
        <w:t>qualified institutional buyers”</w:t>
      </w:r>
      <w:r w:rsidRPr="00CA0A60">
        <w:rPr>
          <w:rFonts w:ascii="Garamond" w:hAnsi="Garamond" w:cs="Times New Roman"/>
          <w:sz w:val="20"/>
          <w:szCs w:val="20"/>
          <w:lang w:val="es-AR"/>
        </w:rPr>
        <w:t xml:space="preserve">) (conforme se define en la Regla </w:t>
      </w:r>
      <w:r w:rsidRPr="00CA3A3D">
        <w:rPr>
          <w:rFonts w:ascii="Garamond" w:hAnsi="Garamond"/>
          <w:sz w:val="20"/>
          <w:szCs w:val="20"/>
          <w:lang w:val="es-AR"/>
        </w:rPr>
        <w:t xml:space="preserve">144A </w:t>
      </w:r>
      <w:r w:rsidRPr="00CA0A60">
        <w:rPr>
          <w:rFonts w:ascii="Garamond" w:hAnsi="Garamond" w:cs="Times New Roman"/>
          <w:sz w:val="20"/>
          <w:szCs w:val="20"/>
          <w:lang w:val="es-AR"/>
        </w:rPr>
        <w:t>de la Ley de Títulos Valores Estadounidense), en virtud de la exención de los requisitos de registro de la Ley de Títulos Valores Estadounidense sobre la base de la Regla 4(a)(2) de dicha ley, y (2) fuera de los Estados Unidos y de la República Argentina, a personas no estadounidenses (“</w:t>
      </w:r>
      <w:r w:rsidRPr="00CA0A60">
        <w:rPr>
          <w:rFonts w:ascii="Garamond" w:hAnsi="Garamond" w:cs="Times New Roman"/>
          <w:i/>
          <w:sz w:val="20"/>
          <w:szCs w:val="20"/>
          <w:lang w:val="es-AR"/>
        </w:rPr>
        <w:t>non-U.S. persons</w:t>
      </w:r>
      <w:r w:rsidRPr="00CA0A60">
        <w:rPr>
          <w:rFonts w:ascii="Garamond" w:hAnsi="Garamond" w:cs="Times New Roman"/>
          <w:sz w:val="20"/>
          <w:szCs w:val="20"/>
          <w:lang w:val="es-AR"/>
        </w:rPr>
        <w:t>”) en transacciones fuera de los Estados Unidos (“</w:t>
      </w:r>
      <w:r w:rsidRPr="00CA0A60">
        <w:rPr>
          <w:rFonts w:ascii="Garamond" w:hAnsi="Garamond" w:cs="Times New Roman"/>
          <w:i/>
          <w:sz w:val="20"/>
          <w:szCs w:val="20"/>
          <w:lang w:val="es-AR"/>
        </w:rPr>
        <w:t>offshore transactions</w:t>
      </w:r>
      <w:r w:rsidRPr="00CA0A60">
        <w:rPr>
          <w:rFonts w:ascii="Garamond" w:hAnsi="Garamond" w:cs="Times New Roman"/>
          <w:sz w:val="20"/>
          <w:szCs w:val="20"/>
          <w:lang w:val="es-AR"/>
        </w:rPr>
        <w:t>”) en virtud de la exención de los requisitos de registro de la Ley de Títulos Valores Estadounidense sobre la base de la Regulación S de dicha ley (la “</w:t>
      </w:r>
      <w:r w:rsidRPr="00CA0A60">
        <w:rPr>
          <w:rFonts w:ascii="Garamond" w:hAnsi="Garamond" w:cs="Times New Roman"/>
          <w:sz w:val="20"/>
          <w:szCs w:val="20"/>
          <w:u w:val="single"/>
          <w:lang w:val="es-AR"/>
        </w:rPr>
        <w:t>Oferta Internacional</w:t>
      </w:r>
      <w:r w:rsidRPr="00CA0A60">
        <w:rPr>
          <w:rFonts w:ascii="Garamond" w:hAnsi="Garamond" w:cs="Times New Roman"/>
          <w:sz w:val="20"/>
          <w:szCs w:val="20"/>
          <w:lang w:val="es-AR"/>
        </w:rPr>
        <w:t>”</w:t>
      </w:r>
      <w:r w:rsidR="000D1B42" w:rsidRPr="00CA0A60">
        <w:rPr>
          <w:rFonts w:ascii="Garamond" w:hAnsi="Garamond" w:cs="Times New Roman"/>
          <w:sz w:val="20"/>
          <w:szCs w:val="20"/>
          <w:lang w:val="es-AR"/>
        </w:rPr>
        <w:t xml:space="preserve"> y junto a la Oferta Local, la “</w:t>
      </w:r>
      <w:r w:rsidR="000D1B42" w:rsidRPr="00CA0A60">
        <w:rPr>
          <w:rFonts w:ascii="Garamond" w:hAnsi="Garamond" w:cs="Times New Roman"/>
          <w:sz w:val="20"/>
          <w:szCs w:val="20"/>
          <w:u w:val="single"/>
          <w:lang w:val="es-AR"/>
        </w:rPr>
        <w:t>Oferta</w:t>
      </w:r>
      <w:r w:rsidR="000D1B42" w:rsidRPr="00CA0A60">
        <w:rPr>
          <w:rFonts w:ascii="Garamond" w:hAnsi="Garamond" w:cs="Times New Roman"/>
          <w:sz w:val="20"/>
          <w:szCs w:val="20"/>
          <w:lang w:val="es-AR"/>
        </w:rPr>
        <w:t>”</w:t>
      </w:r>
      <w:r w:rsidRPr="00CA0A60">
        <w:rPr>
          <w:rFonts w:ascii="Garamond" w:hAnsi="Garamond" w:cs="Times New Roman"/>
          <w:sz w:val="20"/>
          <w:szCs w:val="20"/>
          <w:lang w:val="es-AR"/>
        </w:rPr>
        <w:t>). La Oferta Internacional calificará como una oferta pública de acuerdo con lo dispuesto por el artículo 2, Sección I, Capítulo IV, Título VI de las Normas de la CNV.</w:t>
      </w:r>
    </w:p>
    <w:p w14:paraId="17B246DD" w14:textId="77777777" w:rsidR="00AB0414" w:rsidRPr="00CA0A60" w:rsidRDefault="00AB0414" w:rsidP="005E14F3">
      <w:pPr>
        <w:spacing w:after="0" w:line="240" w:lineRule="auto"/>
        <w:jc w:val="both"/>
        <w:rPr>
          <w:rFonts w:ascii="Garamond" w:hAnsi="Garamond" w:cs="Times New Roman"/>
          <w:sz w:val="20"/>
          <w:szCs w:val="20"/>
          <w:lang w:val="es-AR"/>
        </w:rPr>
      </w:pPr>
    </w:p>
    <w:p w14:paraId="075E937F" w14:textId="77777777" w:rsidR="008D3779" w:rsidRPr="00CA0A60" w:rsidRDefault="008D3779" w:rsidP="005E14F3">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La colocación de las Obligaciones Negociables será realizada de acuerdo con lo detallado más adelante bajo el título “</w:t>
      </w:r>
      <w:r w:rsidRPr="00CA0A60">
        <w:rPr>
          <w:rFonts w:ascii="Garamond" w:hAnsi="Garamond" w:cs="Times New Roman"/>
          <w:i/>
          <w:sz w:val="20"/>
          <w:szCs w:val="20"/>
          <w:lang w:val="es-AR"/>
        </w:rPr>
        <w:t>Esfuerzos de Colocación</w:t>
      </w:r>
      <w:r w:rsidRPr="00CA0A60">
        <w:rPr>
          <w:rFonts w:ascii="Garamond" w:hAnsi="Garamond" w:cs="Times New Roman"/>
          <w:sz w:val="20"/>
          <w:szCs w:val="20"/>
          <w:lang w:val="es-AR"/>
        </w:rPr>
        <w:t>” de esta sección.</w:t>
      </w:r>
    </w:p>
    <w:p w14:paraId="6BF89DA3" w14:textId="77777777" w:rsidR="003B74FC" w:rsidRPr="00CA0A60" w:rsidRDefault="003B74FC" w:rsidP="005E14F3">
      <w:pPr>
        <w:spacing w:after="0" w:line="240" w:lineRule="auto"/>
        <w:jc w:val="both"/>
        <w:rPr>
          <w:rFonts w:ascii="Garamond" w:hAnsi="Garamond" w:cs="Times New Roman"/>
          <w:sz w:val="20"/>
          <w:szCs w:val="20"/>
          <w:lang w:val="es-AR"/>
        </w:rPr>
      </w:pPr>
    </w:p>
    <w:p w14:paraId="75A1CD5E" w14:textId="77777777" w:rsidR="008D3779" w:rsidRPr="00CA0A60" w:rsidRDefault="008D3779" w:rsidP="005E14F3">
      <w:pPr>
        <w:spacing w:after="0" w:line="240" w:lineRule="auto"/>
        <w:jc w:val="both"/>
        <w:rPr>
          <w:rFonts w:ascii="Garamond" w:hAnsi="Garamond" w:cs="Times New Roman"/>
          <w:b/>
          <w:sz w:val="20"/>
          <w:szCs w:val="20"/>
          <w:lang w:val="es-AR"/>
        </w:rPr>
      </w:pPr>
      <w:r w:rsidRPr="00CA0A60">
        <w:rPr>
          <w:rFonts w:ascii="Garamond" w:hAnsi="Garamond" w:cs="Times New Roman"/>
          <w:b/>
          <w:sz w:val="20"/>
          <w:szCs w:val="20"/>
          <w:lang w:val="es-AR"/>
        </w:rPr>
        <w:t>Nueva emisión de Obligaciones Negociables</w:t>
      </w:r>
    </w:p>
    <w:p w14:paraId="5C3E0E74" w14:textId="77777777" w:rsidR="003B74FC" w:rsidRPr="00CA0A60" w:rsidRDefault="003B74FC" w:rsidP="005E14F3">
      <w:pPr>
        <w:spacing w:after="0" w:line="240" w:lineRule="auto"/>
        <w:jc w:val="both"/>
        <w:rPr>
          <w:rFonts w:ascii="Garamond" w:hAnsi="Garamond" w:cs="Times New Roman"/>
          <w:b/>
          <w:sz w:val="20"/>
          <w:szCs w:val="20"/>
          <w:lang w:val="es-AR"/>
        </w:rPr>
      </w:pPr>
    </w:p>
    <w:p w14:paraId="75690333" w14:textId="77777777" w:rsidR="008D3779" w:rsidRPr="00CA0A60" w:rsidRDefault="008D3779" w:rsidP="005E14F3">
      <w:pPr>
        <w:spacing w:after="0" w:line="240" w:lineRule="auto"/>
        <w:jc w:val="both"/>
        <w:rPr>
          <w:rFonts w:ascii="Garamond" w:hAnsi="Garamond" w:cs="Times New Roman"/>
          <w:sz w:val="20"/>
          <w:szCs w:val="20"/>
          <w:lang w:val="es-AR"/>
        </w:rPr>
      </w:pPr>
      <w:r w:rsidRPr="00CA3A3D">
        <w:rPr>
          <w:rFonts w:ascii="Garamond" w:hAnsi="Garamond"/>
          <w:sz w:val="20"/>
          <w:szCs w:val="20"/>
          <w:lang w:val="es-AR"/>
        </w:rPr>
        <w:t xml:space="preserve">Las Obligaciones Negociables constituirán una nueva emisión de títulos valores sin un mercado de operaciones establecido. </w:t>
      </w:r>
      <w:r w:rsidRPr="00CA0A60">
        <w:rPr>
          <w:rFonts w:ascii="Garamond" w:hAnsi="Garamond" w:cs="Times New Roman"/>
          <w:sz w:val="20"/>
          <w:szCs w:val="20"/>
          <w:lang w:val="es-AR"/>
        </w:rPr>
        <w:t>Las Co-Emisoras no pretenden solici</w:t>
      </w:r>
      <w:r w:rsidRPr="00713D6E">
        <w:rPr>
          <w:rFonts w:ascii="Garamond" w:hAnsi="Garamond" w:cs="Times New Roman"/>
          <w:sz w:val="20"/>
          <w:szCs w:val="20"/>
          <w:lang w:val="es-AR"/>
        </w:rPr>
        <w:t xml:space="preserve">tar el listado de las Obligaciones Negociables en ninguna bolsa de valores de Estados Unidos ni en ningún sistema automatizado de cotizaciones de ningún corredor. </w:t>
      </w:r>
    </w:p>
    <w:p w14:paraId="66A1FAB9" w14:textId="77777777" w:rsidR="003B74FC" w:rsidRPr="00CA0A60" w:rsidRDefault="003B74FC" w:rsidP="005E14F3">
      <w:pPr>
        <w:spacing w:after="0" w:line="240" w:lineRule="auto"/>
        <w:jc w:val="both"/>
        <w:rPr>
          <w:rFonts w:ascii="Garamond" w:hAnsi="Garamond"/>
          <w:sz w:val="20"/>
          <w:szCs w:val="20"/>
          <w:lang w:val="es-AR"/>
        </w:rPr>
      </w:pPr>
    </w:p>
    <w:p w14:paraId="275CCCED" w14:textId="0792CCD1" w:rsidR="008D3779" w:rsidRPr="00CA0A60" w:rsidRDefault="008D3779" w:rsidP="005E14F3">
      <w:pPr>
        <w:spacing w:after="0" w:line="240" w:lineRule="auto"/>
        <w:jc w:val="both"/>
        <w:rPr>
          <w:rFonts w:ascii="Garamond" w:hAnsi="Garamond" w:cs="Times New Roman"/>
          <w:sz w:val="20"/>
          <w:szCs w:val="20"/>
          <w:lang w:val="es-AR"/>
        </w:rPr>
      </w:pPr>
      <w:r w:rsidRPr="00CA0A60">
        <w:rPr>
          <w:rFonts w:ascii="Garamond" w:eastAsiaTheme="minorHAnsi" w:hAnsi="Garamond" w:cs="Times New Roman"/>
          <w:color w:val="000000"/>
          <w:sz w:val="20"/>
          <w:szCs w:val="20"/>
          <w:lang w:val="es-AR"/>
        </w:rPr>
        <w:t>Las Co-Emisoras han presentado una solicitud ante BYMA para que las Obligaciones Negociables se listen en el BYMA, y ante el MAE para que las Obligaciones Negociables sean admitidas para su negociación en el MAE.</w:t>
      </w:r>
      <w:r w:rsidR="007B646A" w:rsidRPr="00CA0A60">
        <w:rPr>
          <w:rFonts w:ascii="Garamond" w:eastAsiaTheme="minorHAnsi" w:hAnsi="Garamond" w:cs="Times New Roman"/>
          <w:color w:val="000000"/>
          <w:sz w:val="20"/>
          <w:szCs w:val="20"/>
          <w:lang w:val="es-AR"/>
        </w:rPr>
        <w:t xml:space="preserve"> Adicionalmente, se ha solicitado la </w:t>
      </w:r>
      <w:r w:rsidR="00713D6E" w:rsidRPr="00CA0A60">
        <w:rPr>
          <w:rFonts w:ascii="Garamond" w:eastAsiaTheme="minorHAnsi" w:hAnsi="Garamond" w:cs="Times New Roman"/>
          <w:color w:val="000000"/>
          <w:sz w:val="20"/>
          <w:szCs w:val="20"/>
          <w:lang w:val="es-AR"/>
        </w:rPr>
        <w:t>elegibilidad</w:t>
      </w:r>
      <w:r w:rsidR="007B646A" w:rsidRPr="00CA0A60">
        <w:rPr>
          <w:rFonts w:ascii="Garamond" w:eastAsiaTheme="minorHAnsi" w:hAnsi="Garamond" w:cs="Times New Roman"/>
          <w:color w:val="000000"/>
          <w:sz w:val="20"/>
          <w:szCs w:val="20"/>
          <w:lang w:val="es-AR"/>
        </w:rPr>
        <w:t xml:space="preserve"> de las Obligaciones Negociables en DTC, Euroclear y Clearstream.</w:t>
      </w:r>
      <w:r w:rsidRPr="00CA0A60">
        <w:rPr>
          <w:rFonts w:ascii="Garamond" w:eastAsiaTheme="minorHAnsi" w:hAnsi="Garamond" w:cs="Times New Roman"/>
          <w:color w:val="000000"/>
          <w:sz w:val="20"/>
          <w:szCs w:val="20"/>
          <w:lang w:val="es-AR"/>
        </w:rPr>
        <w:t xml:space="preserve"> Sin embargo, las Co-Emisoras no pueden garantizar que estas solicitudes serán aprobadas. Las Co-Emisoras </w:t>
      </w:r>
      <w:r w:rsidRPr="00CA3A3D">
        <w:rPr>
          <w:rFonts w:ascii="Garamond" w:hAnsi="Garamond"/>
          <w:sz w:val="20"/>
          <w:szCs w:val="20"/>
          <w:lang w:val="es-AR"/>
        </w:rPr>
        <w:t>no garantizan que se desarrolle un mercado líquido o activo de listado abierto para las Obligaciones Negociables o que, si se desarrolla, continuará existiendo</w:t>
      </w:r>
      <w:r w:rsidRPr="00CA0A60">
        <w:rPr>
          <w:rFonts w:ascii="Garamond" w:hAnsi="Garamond" w:cs="Times New Roman"/>
          <w:sz w:val="20"/>
          <w:szCs w:val="20"/>
          <w:lang w:val="es-AR"/>
        </w:rPr>
        <w:t>. Si no se d</w:t>
      </w:r>
      <w:r w:rsidRPr="00713D6E">
        <w:rPr>
          <w:rFonts w:ascii="Garamond" w:hAnsi="Garamond" w:cs="Times New Roman"/>
          <w:sz w:val="20"/>
          <w:szCs w:val="20"/>
          <w:lang w:val="es-AR"/>
        </w:rPr>
        <w:t>esarrolla o subsiste un mercado de negociación activo para las Obligaciones Negociables, su precio de mercado y liquidez podrían verse afectados negativamente. De negociarse, las Obligaciones Negociables podrían ser negociadas con un descuento de su precio</w:t>
      </w:r>
      <w:r w:rsidRPr="00CA0A60">
        <w:rPr>
          <w:rFonts w:ascii="Garamond" w:hAnsi="Garamond" w:cs="Times New Roman"/>
          <w:sz w:val="20"/>
          <w:szCs w:val="20"/>
          <w:lang w:val="es-AR"/>
        </w:rPr>
        <w:t xml:space="preserve"> de oferta, según las tasas de interés vigentes, el mercado de valores similares, el rendimiento de las Co-Emisoras, las condiciones económicas generales y otros factores.</w:t>
      </w:r>
    </w:p>
    <w:p w14:paraId="76BB753C" w14:textId="77777777" w:rsidR="003B74FC" w:rsidRPr="00CA0A60" w:rsidRDefault="003B74FC" w:rsidP="005E14F3">
      <w:pPr>
        <w:spacing w:after="0" w:line="240" w:lineRule="auto"/>
        <w:jc w:val="both"/>
        <w:rPr>
          <w:rFonts w:ascii="Garamond" w:hAnsi="Garamond" w:cs="Times New Roman"/>
          <w:sz w:val="20"/>
          <w:szCs w:val="20"/>
          <w:lang w:val="es-AR"/>
        </w:rPr>
      </w:pPr>
    </w:p>
    <w:p w14:paraId="75CAC6F5" w14:textId="77777777" w:rsidR="003B74FC" w:rsidRPr="00CA0A60" w:rsidRDefault="003B74FC" w:rsidP="005E14F3">
      <w:pPr>
        <w:spacing w:after="0" w:line="240" w:lineRule="auto"/>
        <w:jc w:val="both"/>
        <w:rPr>
          <w:rFonts w:ascii="Garamond" w:hAnsi="Garamond"/>
          <w:sz w:val="20"/>
          <w:szCs w:val="20"/>
          <w:lang w:val="es-AR"/>
        </w:rPr>
      </w:pPr>
    </w:p>
    <w:p w14:paraId="0FDAB5C4" w14:textId="77777777" w:rsidR="008D3779" w:rsidRPr="00CA0A60" w:rsidRDefault="008D3779" w:rsidP="005E14F3">
      <w:pPr>
        <w:keepNext/>
        <w:spacing w:after="0" w:line="240" w:lineRule="auto"/>
        <w:jc w:val="both"/>
        <w:rPr>
          <w:rFonts w:ascii="Garamond" w:hAnsi="Garamond" w:cs="Times New Roman"/>
          <w:b/>
          <w:sz w:val="20"/>
          <w:szCs w:val="20"/>
          <w:lang w:val="es-AR"/>
        </w:rPr>
      </w:pPr>
      <w:r w:rsidRPr="00CA0A60">
        <w:rPr>
          <w:rFonts w:ascii="Garamond" w:hAnsi="Garamond" w:cs="Times New Roman"/>
          <w:b/>
          <w:sz w:val="20"/>
          <w:szCs w:val="20"/>
          <w:lang w:val="es-AR"/>
        </w:rPr>
        <w:t>Otras Relaciones</w:t>
      </w:r>
    </w:p>
    <w:p w14:paraId="66060428" w14:textId="77777777" w:rsidR="003B74FC" w:rsidRPr="00CA0A60" w:rsidRDefault="003B74FC" w:rsidP="005E14F3">
      <w:pPr>
        <w:keepNext/>
        <w:spacing w:after="0" w:line="240" w:lineRule="auto"/>
        <w:jc w:val="both"/>
        <w:rPr>
          <w:rFonts w:ascii="Garamond" w:hAnsi="Garamond" w:cs="Times New Roman"/>
          <w:b/>
          <w:sz w:val="20"/>
          <w:szCs w:val="20"/>
          <w:lang w:val="es-AR"/>
        </w:rPr>
      </w:pPr>
    </w:p>
    <w:p w14:paraId="213DC151" w14:textId="2044F81F" w:rsidR="008D3779" w:rsidRPr="00CA0A60" w:rsidRDefault="008D3779" w:rsidP="00DE0516">
      <w:pPr>
        <w:suppressAutoHyphens/>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Los Colocadores Internacionales, los Agentes Colocadores Locales y sus respectivas afiliadas han llevado a cabo (incluyendo el financiamiento a</w:t>
      </w:r>
      <w:r w:rsidR="00F87E91" w:rsidRPr="00CA0A60">
        <w:rPr>
          <w:rFonts w:ascii="Garamond" w:hAnsi="Garamond" w:cs="Times New Roman"/>
          <w:sz w:val="20"/>
          <w:szCs w:val="20"/>
          <w:lang w:val="es-AR"/>
        </w:rPr>
        <w:t>l proyecto</w:t>
      </w:r>
      <w:r w:rsidRPr="00CA0A60">
        <w:rPr>
          <w:rFonts w:ascii="Garamond" w:hAnsi="Garamond" w:cs="Times New Roman"/>
          <w:sz w:val="20"/>
          <w:szCs w:val="20"/>
          <w:lang w:val="es-AR"/>
        </w:rPr>
        <w:t xml:space="preserve"> </w:t>
      </w:r>
      <w:r w:rsidR="00F87E91" w:rsidRPr="00CA0A60">
        <w:rPr>
          <w:rFonts w:ascii="Garamond" w:hAnsi="Garamond" w:cs="Times New Roman"/>
          <w:sz w:val="20"/>
          <w:szCs w:val="20"/>
          <w:lang w:val="es-AR"/>
        </w:rPr>
        <w:t xml:space="preserve">de </w:t>
      </w:r>
      <w:r w:rsidRPr="00CA0A60">
        <w:rPr>
          <w:rFonts w:ascii="Garamond" w:hAnsi="Garamond" w:cs="Times New Roman"/>
          <w:sz w:val="20"/>
          <w:szCs w:val="20"/>
          <w:lang w:val="es-AR"/>
        </w:rPr>
        <w:t xml:space="preserve">Arroyo Seco </w:t>
      </w:r>
      <w:r w:rsidR="00D74195" w:rsidRPr="00CA0A60">
        <w:rPr>
          <w:rFonts w:ascii="Garamond" w:hAnsi="Garamond" w:cs="Times New Roman"/>
          <w:sz w:val="20"/>
          <w:szCs w:val="20"/>
          <w:lang w:val="es-AR"/>
        </w:rPr>
        <w:t>(para más información véase la sección “</w:t>
      </w:r>
      <w:r w:rsidR="00D74195" w:rsidRPr="00CA0A60">
        <w:rPr>
          <w:rFonts w:ascii="Garamond" w:eastAsia="Times New Roman" w:hAnsi="Garamond"/>
          <w:i/>
          <w:color w:val="000000"/>
          <w:u w:val="single"/>
          <w:lang w:val="es-AR"/>
        </w:rPr>
        <w:t xml:space="preserve">Proyecto de Cogeneración Arroyo Seco- </w:t>
      </w:r>
      <w:r w:rsidR="00D74195" w:rsidRPr="00CA0A60">
        <w:rPr>
          <w:rFonts w:ascii="Garamond" w:eastAsia="MS Mincho" w:hAnsi="Garamond" w:cs="Times New Roman"/>
          <w:i/>
          <w:spacing w:val="-2"/>
          <w:sz w:val="20"/>
          <w:szCs w:val="20"/>
          <w:u w:val="single"/>
          <w:lang w:val="es-AR" w:eastAsia="es-ES"/>
        </w:rPr>
        <w:t>Descripción de Albanesi y sus activos más importantes- Descripción del Garante – Descripción de la Oferta y la Negociación”</w:t>
      </w:r>
      <w:r w:rsidR="00D74195" w:rsidRPr="00CA0A60">
        <w:rPr>
          <w:rFonts w:ascii="Garamond" w:eastAsia="MS Mincho" w:hAnsi="Garamond" w:cs="Times New Roman"/>
          <w:b/>
          <w:spacing w:val="-2"/>
          <w:sz w:val="20"/>
          <w:szCs w:val="20"/>
          <w:u w:val="single"/>
          <w:lang w:val="es-AR" w:eastAsia="es-ES"/>
        </w:rPr>
        <w:t xml:space="preserve"> </w:t>
      </w:r>
      <w:r w:rsidRPr="00CA0A60">
        <w:rPr>
          <w:rFonts w:ascii="Garamond" w:hAnsi="Garamond" w:cs="Times New Roman"/>
          <w:sz w:val="20"/>
          <w:szCs w:val="20"/>
          <w:lang w:val="es-AR"/>
        </w:rPr>
        <w:t xml:space="preserve">y </w:t>
      </w:r>
      <w:r w:rsidR="00D74195" w:rsidRPr="00CA0A60">
        <w:rPr>
          <w:rFonts w:ascii="Garamond" w:hAnsi="Garamond" w:cs="Times New Roman"/>
          <w:sz w:val="20"/>
          <w:szCs w:val="20"/>
          <w:lang w:val="es-AR"/>
        </w:rPr>
        <w:t xml:space="preserve">al proyecto de Timbués de </w:t>
      </w:r>
      <w:r w:rsidRPr="00CA0A60">
        <w:rPr>
          <w:rFonts w:ascii="Garamond" w:hAnsi="Garamond" w:cs="Times New Roman"/>
          <w:sz w:val="20"/>
          <w:szCs w:val="20"/>
          <w:lang w:val="es-AR"/>
        </w:rPr>
        <w:t>Albanesi Energía), y podrán llevar a cabo en el futuro, negocios de banca de inversión y otros negocios comerciales en el curso ordinario de sus actividades con las Co-Emisoras, el Garante y/o sus afiliadas. En consecuencia, han recibido, o podrán recibir en el futuro, los honorarios, intereses y comisiones habituales de estas operaciones.</w:t>
      </w:r>
    </w:p>
    <w:p w14:paraId="1D0656FE" w14:textId="77777777" w:rsidR="003B74FC" w:rsidRPr="00CA0A60" w:rsidRDefault="003B74FC" w:rsidP="005E14F3">
      <w:pPr>
        <w:keepNext/>
        <w:spacing w:after="0" w:line="240" w:lineRule="auto"/>
        <w:jc w:val="both"/>
        <w:rPr>
          <w:rFonts w:ascii="Garamond" w:hAnsi="Garamond" w:cs="Times New Roman"/>
          <w:sz w:val="20"/>
          <w:szCs w:val="20"/>
          <w:lang w:val="es-AR"/>
        </w:rPr>
      </w:pPr>
    </w:p>
    <w:p w14:paraId="03958CD7" w14:textId="77777777" w:rsidR="008D3779" w:rsidRPr="00CA0A60" w:rsidRDefault="008D3779" w:rsidP="005E14F3">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 xml:space="preserve">Además, en el desenvolvimiento normal de las actividades comerciales, los </w:t>
      </w:r>
      <w:r w:rsidR="003B74FC" w:rsidRPr="00CA0A60">
        <w:rPr>
          <w:rFonts w:ascii="Garamond" w:hAnsi="Garamond" w:cs="Times New Roman"/>
          <w:sz w:val="20"/>
          <w:szCs w:val="20"/>
          <w:lang w:val="es-AR"/>
        </w:rPr>
        <w:t>C</w:t>
      </w:r>
      <w:r w:rsidRPr="00CA0A60">
        <w:rPr>
          <w:rFonts w:ascii="Garamond" w:hAnsi="Garamond" w:cs="Times New Roman"/>
          <w:sz w:val="20"/>
          <w:szCs w:val="20"/>
          <w:lang w:val="es-AR"/>
        </w:rPr>
        <w:t xml:space="preserve">olocadores y sus afiliadas podrán hacer o mantener una amplia variedad de inversiones, deuda comercial activa, títulos de participación de deuda privada (u otros títulos de participación derivados) e instrumentos financieros (incluyendo préstamos bancarios) </w:t>
      </w:r>
      <w:r w:rsidRPr="00CA0A60">
        <w:rPr>
          <w:rFonts w:ascii="Garamond" w:hAnsi="Garamond" w:cs="Times New Roman"/>
          <w:sz w:val="20"/>
          <w:szCs w:val="20"/>
          <w:lang w:val="es-AR"/>
        </w:rPr>
        <w:lastRenderedPageBreak/>
        <w:t xml:space="preserve">por cuenta propia o por cuenta de sus clientes. Dichas inversiones y actividades relacionadas con sus títulos de participación podrán incluir a los títulos y/o instrumentos de las Co-Emisoras o de sus afiliados. Si alguno de los </w:t>
      </w:r>
      <w:r w:rsidR="003B74FC" w:rsidRPr="00CA0A60">
        <w:rPr>
          <w:rFonts w:ascii="Garamond" w:hAnsi="Garamond" w:cs="Times New Roman"/>
          <w:sz w:val="20"/>
          <w:szCs w:val="20"/>
          <w:lang w:val="es-AR"/>
        </w:rPr>
        <w:t>C</w:t>
      </w:r>
      <w:r w:rsidRPr="00CA0A60">
        <w:rPr>
          <w:rFonts w:ascii="Garamond" w:hAnsi="Garamond" w:cs="Times New Roman"/>
          <w:sz w:val="20"/>
          <w:szCs w:val="20"/>
          <w:lang w:val="es-AR"/>
        </w:rPr>
        <w:t xml:space="preserve">olocadores o sus afiliados posee una relación de préstamo con las Co-Emisoras, estos habitualmente cubren, o podrán cubrir, su riesgo crediticio de modo consistente con sus políticas de administración de riesgo habituales. Por lo general, estos </w:t>
      </w:r>
      <w:r w:rsidR="003B74FC" w:rsidRPr="00CA0A60">
        <w:rPr>
          <w:rFonts w:ascii="Garamond" w:hAnsi="Garamond" w:cs="Times New Roman"/>
          <w:sz w:val="20"/>
          <w:szCs w:val="20"/>
          <w:lang w:val="es-AR"/>
        </w:rPr>
        <w:t>C</w:t>
      </w:r>
      <w:r w:rsidRPr="00CA0A60">
        <w:rPr>
          <w:rFonts w:ascii="Garamond" w:hAnsi="Garamond" w:cs="Times New Roman"/>
          <w:sz w:val="20"/>
          <w:szCs w:val="20"/>
          <w:lang w:val="es-AR"/>
        </w:rPr>
        <w:t xml:space="preserve">olocadores y sus afiliadas cubrirán su riesgo al celebrar transacciones que consisten tanto en la compra de canjes de créditos en mora o la creación de posiciones cortas en los títulos de participación de las Co-Emisoras. Cualquiera de estos canjes de créditos en mora o posiciones cortas podrían afectar de modo negativo los precios de comercialización futuros de las Obligaciones Negociables que se ofertan en este documento. Los </w:t>
      </w:r>
      <w:r w:rsidR="003B74FC" w:rsidRPr="00CA0A60">
        <w:rPr>
          <w:rFonts w:ascii="Garamond" w:hAnsi="Garamond" w:cs="Times New Roman"/>
          <w:sz w:val="20"/>
          <w:szCs w:val="20"/>
          <w:lang w:val="es-AR"/>
        </w:rPr>
        <w:t>C</w:t>
      </w:r>
      <w:r w:rsidRPr="00CA0A60">
        <w:rPr>
          <w:rFonts w:ascii="Garamond" w:hAnsi="Garamond" w:cs="Times New Roman"/>
          <w:sz w:val="20"/>
          <w:szCs w:val="20"/>
          <w:lang w:val="es-AR"/>
        </w:rPr>
        <w:t xml:space="preserve">olocadores y sus afiliadas podrán también recomendar inversiones y/o publicar o expresar puntos de vista de investigaciones independientes de dichos títulos de deuda o instrumentos financieros y podrán mantener o recomendarle a los clientes que adquieran las posiciones largas y/o cortas en tales títulos o instrumentos. Además, los </w:t>
      </w:r>
      <w:r w:rsidR="003B74FC" w:rsidRPr="00CA0A60">
        <w:rPr>
          <w:rFonts w:ascii="Garamond" w:hAnsi="Garamond" w:cs="Times New Roman"/>
          <w:sz w:val="20"/>
          <w:szCs w:val="20"/>
          <w:lang w:val="es-AR"/>
        </w:rPr>
        <w:t>C</w:t>
      </w:r>
      <w:r w:rsidRPr="00CA0A60">
        <w:rPr>
          <w:rFonts w:ascii="Garamond" w:hAnsi="Garamond" w:cs="Times New Roman"/>
          <w:sz w:val="20"/>
          <w:szCs w:val="20"/>
          <w:lang w:val="es-AR"/>
        </w:rPr>
        <w:t>olocadores y/o sus afiliadas son o podrán ser prestamistas, y en algunos casos agentes o gerentes de los prestamistas en virtud de líneas de créditos que faciliten a las Co-Emisoras.</w:t>
      </w:r>
    </w:p>
    <w:p w14:paraId="7B37605A" w14:textId="77777777" w:rsidR="003B74FC" w:rsidRPr="00CA0A60" w:rsidRDefault="003B74FC" w:rsidP="005E14F3">
      <w:pPr>
        <w:spacing w:after="0" w:line="240" w:lineRule="auto"/>
        <w:jc w:val="both"/>
        <w:rPr>
          <w:rFonts w:ascii="Garamond" w:eastAsiaTheme="minorHAnsi" w:hAnsi="Garamond" w:cs="Times New Roman"/>
          <w:color w:val="000000"/>
          <w:sz w:val="20"/>
          <w:szCs w:val="20"/>
          <w:lang w:val="es-AR"/>
        </w:rPr>
      </w:pPr>
    </w:p>
    <w:p w14:paraId="1244E384" w14:textId="77777777" w:rsidR="008D3779" w:rsidRPr="00CA0A60" w:rsidRDefault="008D3779" w:rsidP="005E14F3">
      <w:pPr>
        <w:keepNext/>
        <w:spacing w:after="0" w:line="240" w:lineRule="auto"/>
        <w:jc w:val="both"/>
        <w:rPr>
          <w:rFonts w:ascii="Garamond" w:hAnsi="Garamond"/>
          <w:b/>
          <w:sz w:val="20"/>
          <w:szCs w:val="20"/>
          <w:lang w:val="es-AR"/>
        </w:rPr>
      </w:pPr>
      <w:r w:rsidRPr="00CA0A60">
        <w:rPr>
          <w:rFonts w:ascii="Garamond" w:hAnsi="Garamond"/>
          <w:b/>
          <w:sz w:val="20"/>
          <w:szCs w:val="20"/>
          <w:lang w:val="es-AR"/>
        </w:rPr>
        <w:t>Oferta Internacional</w:t>
      </w:r>
    </w:p>
    <w:p w14:paraId="394798F2" w14:textId="77777777" w:rsidR="003B74FC" w:rsidRPr="00CA0A60" w:rsidRDefault="003B74FC" w:rsidP="005E14F3">
      <w:pPr>
        <w:keepNext/>
        <w:spacing w:after="0" w:line="240" w:lineRule="auto"/>
        <w:jc w:val="both"/>
        <w:rPr>
          <w:rFonts w:ascii="Garamond" w:eastAsia="Calibri" w:hAnsi="Garamond" w:cs="Arial"/>
          <w:sz w:val="20"/>
          <w:szCs w:val="20"/>
          <w:lang w:val="es-AR"/>
        </w:rPr>
      </w:pPr>
    </w:p>
    <w:p w14:paraId="314258D0" w14:textId="77777777" w:rsidR="008D3779" w:rsidRPr="00CA0A60" w:rsidRDefault="008D3779" w:rsidP="005E14F3">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Negociables serán colocadas fuera de Argentina por medio de una oferta realizada de conformidad con las leyes de las jurisdicciones correspondientes en virtud de las exenciones a los requisitos de inscripción u oferta pública.</w:t>
      </w:r>
    </w:p>
    <w:p w14:paraId="3889A505" w14:textId="77777777" w:rsidR="003B74FC" w:rsidRPr="00CA0A60" w:rsidRDefault="003B74FC" w:rsidP="005E14F3">
      <w:pPr>
        <w:spacing w:after="0" w:line="240" w:lineRule="auto"/>
        <w:jc w:val="both"/>
        <w:rPr>
          <w:rFonts w:ascii="Garamond" w:hAnsi="Garamond" w:cs="Times New Roman"/>
          <w:sz w:val="20"/>
          <w:szCs w:val="20"/>
          <w:lang w:val="es-AR"/>
        </w:rPr>
      </w:pPr>
    </w:p>
    <w:p w14:paraId="308E8733" w14:textId="77777777" w:rsidR="008D3779" w:rsidRPr="00CA0A60" w:rsidRDefault="008D3779" w:rsidP="005E14F3">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Tal como se indicó precedentemente, la Oferta Internacional consistirá en una oferta internacional no sujeta a los requisitos de registro de la Ley de Títulos Valores Estadounidense en la cual los Colocadores Internacionales actuarán como agentes colocadores (“</w:t>
      </w:r>
      <w:r w:rsidRPr="00CA0A60">
        <w:rPr>
          <w:rFonts w:ascii="Garamond" w:hAnsi="Garamond" w:cs="Times New Roman"/>
          <w:i/>
          <w:sz w:val="20"/>
          <w:szCs w:val="20"/>
          <w:lang w:val="es-AR"/>
        </w:rPr>
        <w:t>placement agents”</w:t>
      </w:r>
      <w:r w:rsidRPr="00CA0A60">
        <w:rPr>
          <w:rFonts w:ascii="Garamond" w:hAnsi="Garamond" w:cs="Times New Roman"/>
          <w:sz w:val="20"/>
          <w:szCs w:val="20"/>
          <w:lang w:val="es-AR"/>
        </w:rPr>
        <w:t>) de dicha oferta, que estará dirigida (1) en los Estados Unidos, a ciertos inversores acreditados (“</w:t>
      </w:r>
      <w:r w:rsidRPr="00CA0A60">
        <w:rPr>
          <w:rFonts w:ascii="Garamond" w:hAnsi="Garamond" w:cs="Times New Roman"/>
          <w:i/>
          <w:sz w:val="20"/>
          <w:szCs w:val="20"/>
          <w:lang w:val="es-AR"/>
        </w:rPr>
        <w:t>accredited investors”</w:t>
      </w:r>
      <w:r w:rsidRPr="00CA0A60">
        <w:rPr>
          <w:rFonts w:ascii="Garamond" w:hAnsi="Garamond" w:cs="Times New Roman"/>
          <w:sz w:val="20"/>
          <w:szCs w:val="20"/>
          <w:lang w:val="es-AR"/>
        </w:rPr>
        <w:t xml:space="preserve">) institucionales (conforme se define en la Regla </w:t>
      </w:r>
      <w:r w:rsidRPr="00CA3A3D">
        <w:rPr>
          <w:rFonts w:ascii="Garamond" w:hAnsi="Garamond"/>
          <w:sz w:val="20"/>
          <w:szCs w:val="20"/>
          <w:lang w:val="es-AR"/>
        </w:rPr>
        <w:t xml:space="preserve">501(a)(1), (2), (3), (7) o (8) </w:t>
      </w:r>
      <w:r w:rsidRPr="00CA0A60">
        <w:rPr>
          <w:rFonts w:ascii="Garamond" w:hAnsi="Garamond" w:cs="Times New Roman"/>
          <w:sz w:val="20"/>
          <w:szCs w:val="20"/>
          <w:lang w:val="es-AR"/>
        </w:rPr>
        <w:t>bajo la Regulaci</w:t>
      </w:r>
      <w:r w:rsidRPr="00713D6E">
        <w:rPr>
          <w:rFonts w:ascii="Garamond" w:hAnsi="Garamond" w:cs="Times New Roman"/>
          <w:sz w:val="20"/>
          <w:szCs w:val="20"/>
          <w:lang w:val="es-AR"/>
        </w:rPr>
        <w:t>ón D de la Ley de Títulos Valores Estadounidense) que también sean inversores institucionales calificados (“</w:t>
      </w:r>
      <w:r w:rsidRPr="00713D6E">
        <w:rPr>
          <w:rFonts w:ascii="Garamond" w:hAnsi="Garamond" w:cs="Times New Roman"/>
          <w:i/>
          <w:sz w:val="20"/>
          <w:szCs w:val="20"/>
          <w:lang w:val="es-AR"/>
        </w:rPr>
        <w:t>qualified institutional buyers”</w:t>
      </w:r>
      <w:r w:rsidRPr="00713D6E">
        <w:rPr>
          <w:rFonts w:ascii="Garamond" w:hAnsi="Garamond" w:cs="Times New Roman"/>
          <w:sz w:val="20"/>
          <w:szCs w:val="20"/>
          <w:lang w:val="es-AR"/>
        </w:rPr>
        <w:t xml:space="preserve">) (conforme se define en la Regla </w:t>
      </w:r>
      <w:r w:rsidRPr="00CA3A3D">
        <w:rPr>
          <w:rFonts w:ascii="Garamond" w:hAnsi="Garamond"/>
          <w:sz w:val="20"/>
          <w:szCs w:val="20"/>
          <w:lang w:val="es-AR"/>
        </w:rPr>
        <w:t xml:space="preserve">144A </w:t>
      </w:r>
      <w:r w:rsidRPr="00CA0A60">
        <w:rPr>
          <w:rFonts w:ascii="Garamond" w:hAnsi="Garamond" w:cs="Times New Roman"/>
          <w:sz w:val="20"/>
          <w:szCs w:val="20"/>
          <w:lang w:val="es-AR"/>
        </w:rPr>
        <w:t>de la Ley de Títulos Valores Estadounidense), en virtud de la exención de los requisitos de registro de la Ley de Títulos Valores Estadounidense sobre la base de la Regla 4(a)(2) de dicha ley, y (2) fuera de los Estados Unidos y de la República Argentina, a personas no estadounidenses (“</w:t>
      </w:r>
      <w:r w:rsidRPr="00CA0A60">
        <w:rPr>
          <w:rFonts w:ascii="Garamond" w:hAnsi="Garamond" w:cs="Times New Roman"/>
          <w:i/>
          <w:sz w:val="20"/>
          <w:szCs w:val="20"/>
          <w:lang w:val="es-AR"/>
        </w:rPr>
        <w:t>non-U.S. persons</w:t>
      </w:r>
      <w:r w:rsidRPr="00CA0A60">
        <w:rPr>
          <w:rFonts w:ascii="Garamond" w:hAnsi="Garamond" w:cs="Times New Roman"/>
          <w:sz w:val="20"/>
          <w:szCs w:val="20"/>
          <w:lang w:val="es-AR"/>
        </w:rPr>
        <w:t>”) en transacciones fuera de los Estados Unidos (“</w:t>
      </w:r>
      <w:r w:rsidRPr="00CA0A60">
        <w:rPr>
          <w:rFonts w:ascii="Garamond" w:hAnsi="Garamond" w:cs="Times New Roman"/>
          <w:i/>
          <w:sz w:val="20"/>
          <w:szCs w:val="20"/>
          <w:lang w:val="es-AR"/>
        </w:rPr>
        <w:t>offshore transactions</w:t>
      </w:r>
      <w:r w:rsidRPr="00CA0A60">
        <w:rPr>
          <w:rFonts w:ascii="Garamond" w:hAnsi="Garamond" w:cs="Times New Roman"/>
          <w:sz w:val="20"/>
          <w:szCs w:val="20"/>
          <w:lang w:val="es-AR"/>
        </w:rPr>
        <w:t xml:space="preserve">”) en virtud de la exención de los requisitos de registro de la Ley de Títulos Valores Estadounidense sobre la base de la Regulación S de dicha ley. </w:t>
      </w:r>
    </w:p>
    <w:p w14:paraId="29079D35" w14:textId="77777777" w:rsidR="003B74FC" w:rsidRPr="00CA0A60" w:rsidRDefault="003B74FC" w:rsidP="005E14F3">
      <w:pPr>
        <w:spacing w:after="0" w:line="240" w:lineRule="auto"/>
        <w:jc w:val="both"/>
        <w:rPr>
          <w:rFonts w:ascii="Garamond" w:hAnsi="Garamond" w:cs="Times New Roman"/>
          <w:sz w:val="20"/>
          <w:szCs w:val="20"/>
          <w:lang w:val="es-AR"/>
        </w:rPr>
      </w:pPr>
    </w:p>
    <w:p w14:paraId="355ECD6A" w14:textId="77777777" w:rsidR="003B74FC" w:rsidRPr="00CA0A60" w:rsidRDefault="008D3779" w:rsidP="005E14F3">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Las Obligaciones Negociables no han sido ni serán registradas bajo la Ley de Títulos Valores de Estadounidense ni bajo ninguna ley de títulos valores vigente en cualquier estado de los Estados Unidos y no podrán ser ofrecidas ni vendidas dentro de los Estados Unidos o a personas estadounidenses, salvo en virtud de una excepción a los requisitos de registro de la Ley de Títulos Valores Estadounidense (y de las leyes de títulos valores vigentes en cualquier estado de los Estados Unidos) o en operaciones no sujetas a tales requisitos.</w:t>
      </w:r>
    </w:p>
    <w:p w14:paraId="12F40E89" w14:textId="77777777" w:rsidR="008D3779" w:rsidRPr="00CA0A60" w:rsidRDefault="008D3779" w:rsidP="005E14F3">
      <w:pPr>
        <w:spacing w:after="0" w:line="240" w:lineRule="auto"/>
        <w:jc w:val="both"/>
        <w:rPr>
          <w:rFonts w:ascii="Garamond" w:hAnsi="Garamond" w:cs="Arial"/>
          <w:sz w:val="20"/>
          <w:szCs w:val="20"/>
          <w:lang w:val="es-AR"/>
        </w:rPr>
      </w:pPr>
      <w:r w:rsidRPr="00CA0A60">
        <w:rPr>
          <w:rFonts w:ascii="Garamond" w:hAnsi="Garamond" w:cs="Times New Roman"/>
          <w:sz w:val="20"/>
          <w:szCs w:val="20"/>
          <w:lang w:val="es-AR"/>
        </w:rPr>
        <w:t xml:space="preserve"> </w:t>
      </w:r>
    </w:p>
    <w:p w14:paraId="026B309E" w14:textId="77777777" w:rsidR="008D3779" w:rsidRPr="00CA0A60" w:rsidRDefault="008D3779" w:rsidP="005E14F3">
      <w:pPr>
        <w:spacing w:after="0" w:line="240" w:lineRule="auto"/>
        <w:jc w:val="both"/>
        <w:rPr>
          <w:rFonts w:ascii="Garamond" w:hAnsi="Garamond"/>
          <w:sz w:val="20"/>
          <w:szCs w:val="20"/>
          <w:lang w:val="es-AR"/>
        </w:rPr>
      </w:pPr>
      <w:r w:rsidRPr="00CA0A60">
        <w:rPr>
          <w:rFonts w:ascii="Garamond" w:hAnsi="Garamond"/>
          <w:sz w:val="20"/>
          <w:szCs w:val="20"/>
          <w:lang w:val="es-AR"/>
        </w:rPr>
        <w:t>De acuerdo con las leyes de los Estados Unidos, un “inversor acreditado”</w:t>
      </w:r>
      <w:r w:rsidRPr="00CA0A60">
        <w:rPr>
          <w:rFonts w:ascii="Garamond" w:hAnsi="Garamond" w:cs="Times New Roman"/>
          <w:sz w:val="20"/>
          <w:szCs w:val="20"/>
          <w:lang w:val="es-AR"/>
        </w:rPr>
        <w:t xml:space="preserve"> (“</w:t>
      </w:r>
      <w:r w:rsidRPr="00CA0A60">
        <w:rPr>
          <w:rFonts w:ascii="Garamond" w:hAnsi="Garamond" w:cs="Times New Roman"/>
          <w:i/>
          <w:sz w:val="20"/>
          <w:szCs w:val="20"/>
          <w:lang w:val="es-AR"/>
        </w:rPr>
        <w:t>accredited investors”</w:t>
      </w:r>
      <w:r w:rsidRPr="00CA0A60">
        <w:rPr>
          <w:rFonts w:ascii="Garamond" w:hAnsi="Garamond" w:cs="Times New Roman"/>
          <w:sz w:val="20"/>
          <w:szCs w:val="20"/>
          <w:lang w:val="es-AR"/>
        </w:rPr>
        <w:t xml:space="preserve">) </w:t>
      </w:r>
      <w:r w:rsidRPr="00CA0A60">
        <w:rPr>
          <w:rFonts w:ascii="Garamond" w:hAnsi="Garamond"/>
          <w:sz w:val="20"/>
          <w:szCs w:val="20"/>
          <w:lang w:val="es-AR"/>
        </w:rPr>
        <w:t xml:space="preserve">institucional </w:t>
      </w:r>
      <w:r w:rsidRPr="00CA0A60">
        <w:rPr>
          <w:rFonts w:ascii="Garamond" w:hAnsi="Garamond" w:cs="Times New Roman"/>
          <w:sz w:val="20"/>
          <w:szCs w:val="20"/>
          <w:lang w:val="es-AR"/>
        </w:rPr>
        <w:t xml:space="preserve">(conforme se define en la Regla </w:t>
      </w:r>
      <w:r w:rsidRPr="00CA3A3D">
        <w:rPr>
          <w:rFonts w:ascii="Garamond" w:hAnsi="Garamond"/>
          <w:sz w:val="20"/>
          <w:szCs w:val="20"/>
          <w:lang w:val="es-AR"/>
        </w:rPr>
        <w:t xml:space="preserve">501(a) </w:t>
      </w:r>
      <w:r w:rsidRPr="00CA0A60">
        <w:rPr>
          <w:rFonts w:ascii="Garamond" w:hAnsi="Garamond" w:cs="Times New Roman"/>
          <w:sz w:val="20"/>
          <w:szCs w:val="20"/>
          <w:lang w:val="es-AR"/>
        </w:rPr>
        <w:t>bajo la Regulación D de la Ley de Títulos Valores Estadounidense)</w:t>
      </w:r>
      <w:r w:rsidRPr="00713D6E">
        <w:rPr>
          <w:rFonts w:ascii="Garamond" w:hAnsi="Garamond"/>
          <w:sz w:val="20"/>
          <w:szCs w:val="20"/>
          <w:lang w:val="es-AR"/>
        </w:rPr>
        <w:t xml:space="preserve"> será cualquier persona que califique bajo cualquiera de las siguientes cate</w:t>
      </w:r>
      <w:r w:rsidRPr="00CA0A60">
        <w:rPr>
          <w:rFonts w:ascii="Garamond" w:hAnsi="Garamond"/>
          <w:sz w:val="20"/>
          <w:szCs w:val="20"/>
          <w:lang w:val="es-AR"/>
        </w:rPr>
        <w:t>gorías al momento de la venta de valores a dicha persona:</w:t>
      </w:r>
    </w:p>
    <w:p w14:paraId="17686DC7" w14:textId="77777777" w:rsidR="003B74FC" w:rsidRPr="00CA0A60" w:rsidRDefault="003B74FC" w:rsidP="005E14F3">
      <w:pPr>
        <w:spacing w:after="0" w:line="240" w:lineRule="auto"/>
        <w:jc w:val="both"/>
        <w:rPr>
          <w:rFonts w:ascii="Garamond" w:hAnsi="Garamond" w:cs="Times New Roman"/>
          <w:sz w:val="20"/>
          <w:szCs w:val="20"/>
          <w:lang w:val="es-AR"/>
        </w:rPr>
      </w:pPr>
    </w:p>
    <w:p w14:paraId="03887D3D" w14:textId="77777777" w:rsidR="008D3779" w:rsidRPr="00CA0A60" w:rsidRDefault="008D3779" w:rsidP="005E14F3">
      <w:pPr>
        <w:spacing w:after="0" w:line="240" w:lineRule="auto"/>
        <w:ind w:firstLine="709"/>
        <w:jc w:val="both"/>
        <w:rPr>
          <w:rFonts w:ascii="Garamond" w:hAnsi="Garamond" w:cs="Times New Roman"/>
          <w:sz w:val="20"/>
          <w:szCs w:val="20"/>
          <w:lang w:val="es-AR"/>
        </w:rPr>
      </w:pPr>
      <w:r w:rsidRPr="00CA0A60">
        <w:rPr>
          <w:rFonts w:ascii="Garamond" w:hAnsi="Garamond" w:cs="Times New Roman"/>
          <w:sz w:val="20"/>
          <w:szCs w:val="20"/>
          <w:lang w:val="es-AR"/>
        </w:rPr>
        <w:t>(1)</w:t>
      </w:r>
      <w:r w:rsidRPr="00CA0A60">
        <w:rPr>
          <w:rFonts w:ascii="Garamond" w:hAnsi="Garamond" w:cs="Times New Roman"/>
          <w:sz w:val="20"/>
          <w:szCs w:val="20"/>
          <w:lang w:val="es-AR"/>
        </w:rPr>
        <w:tab/>
        <w:t xml:space="preserve">Cualquier banco tal como se define en la sección 3(a)(2) de la Ley de Títulos Valores Estadounidense, o cualquier asociación de ahorros o préstamos o cualquier otra institución tal como se define en la sección 3(a)(5)(A) de la Ley de Títulos Valores Estadounidense, ya sea actuando en capacidad individual o como fiduciario; cualquier corredor registrado bajo la sección 15 del </w:t>
      </w:r>
      <w:r w:rsidRPr="00CA0A60">
        <w:rPr>
          <w:rFonts w:ascii="Garamond" w:hAnsi="Garamond" w:cs="Times New Roman"/>
          <w:i/>
          <w:sz w:val="20"/>
          <w:szCs w:val="20"/>
          <w:lang w:val="es-AR"/>
        </w:rPr>
        <w:t>Securities Exchange Act</w:t>
      </w:r>
      <w:r w:rsidRPr="00CA0A60">
        <w:rPr>
          <w:rFonts w:ascii="Garamond" w:hAnsi="Garamond" w:cs="Times New Roman"/>
          <w:sz w:val="20"/>
          <w:szCs w:val="20"/>
          <w:lang w:val="es-AR"/>
        </w:rPr>
        <w:t xml:space="preserve"> of 1934; cualquier empresa de seguros tal como se define en la sección 2(a)(13) Ley de Títulos Valores Estadounidense; cualquier compañía de inversiones registrada bajo el </w:t>
      </w:r>
      <w:r w:rsidRPr="00CA0A60">
        <w:rPr>
          <w:rFonts w:ascii="Garamond" w:hAnsi="Garamond" w:cs="Times New Roman"/>
          <w:i/>
          <w:sz w:val="20"/>
          <w:szCs w:val="20"/>
          <w:lang w:val="es-AR"/>
        </w:rPr>
        <w:t>Investment Company Act</w:t>
      </w:r>
      <w:r w:rsidRPr="00CA0A60">
        <w:rPr>
          <w:rFonts w:ascii="Garamond" w:hAnsi="Garamond" w:cs="Times New Roman"/>
          <w:sz w:val="20"/>
          <w:szCs w:val="20"/>
          <w:lang w:val="es-AR"/>
        </w:rPr>
        <w:t xml:space="preserve"> de 1940 o compañía de desarrollo de negocios tal como se define en la sección 2(a)(48) del dicha regulación; cualquier compañía pequeña de inversiones (</w:t>
      </w:r>
      <w:r w:rsidRPr="00CA0A60">
        <w:rPr>
          <w:rFonts w:ascii="Garamond" w:hAnsi="Garamond" w:cs="Times New Roman"/>
          <w:i/>
          <w:sz w:val="20"/>
          <w:szCs w:val="20"/>
          <w:lang w:val="es-AR"/>
        </w:rPr>
        <w:t>Small Business Investment Company</w:t>
      </w:r>
      <w:r w:rsidRPr="00CA0A60">
        <w:rPr>
          <w:rFonts w:ascii="Garamond" w:hAnsi="Garamond" w:cs="Times New Roman"/>
          <w:sz w:val="20"/>
          <w:szCs w:val="20"/>
          <w:lang w:val="es-AR"/>
        </w:rPr>
        <w:t>) con licencia otorgada por la Administración de Compañías Pequeñas de Inversión (</w:t>
      </w:r>
      <w:r w:rsidRPr="00CA0A60">
        <w:rPr>
          <w:rFonts w:ascii="Garamond" w:hAnsi="Garamond" w:cs="Times New Roman"/>
          <w:i/>
          <w:sz w:val="20"/>
          <w:szCs w:val="20"/>
          <w:lang w:val="es-AR"/>
        </w:rPr>
        <w:t>U.S. Small Business Administration</w:t>
      </w:r>
      <w:r w:rsidRPr="00CA0A60">
        <w:rPr>
          <w:rFonts w:ascii="Garamond" w:hAnsi="Garamond" w:cs="Times New Roman"/>
          <w:sz w:val="20"/>
          <w:szCs w:val="20"/>
          <w:lang w:val="es-AR"/>
        </w:rPr>
        <w:t>) bajo la sección 301(c) o (d) del</w:t>
      </w:r>
      <w:r w:rsidRPr="00CA0A60">
        <w:rPr>
          <w:rFonts w:ascii="Garamond" w:hAnsi="Garamond" w:cs="Times New Roman"/>
          <w:i/>
          <w:sz w:val="20"/>
          <w:szCs w:val="20"/>
          <w:lang w:val="es-AR"/>
        </w:rPr>
        <w:t xml:space="preserve"> Small Business Investment Act</w:t>
      </w:r>
      <w:r w:rsidRPr="00CA0A60">
        <w:rPr>
          <w:rFonts w:ascii="Garamond" w:hAnsi="Garamond" w:cs="Times New Roman"/>
          <w:sz w:val="20"/>
          <w:szCs w:val="20"/>
          <w:lang w:val="es-AR"/>
        </w:rPr>
        <w:t xml:space="preserve"> de 1958; cualquier plan establecido y mantenido por un estado, sus subdivisiones políticas, o cualquier agencia o instrumentalidad de un estado o sus subdivisiones políticas, para el beneficio de sus empleados, si dicho plan tiene activos totales que exceden </w:t>
      </w:r>
      <w:r w:rsidR="00143253" w:rsidRPr="00CA0A60">
        <w:rPr>
          <w:rFonts w:ascii="Garamond" w:hAnsi="Garamond" w:cs="Times New Roman"/>
          <w:sz w:val="20"/>
          <w:szCs w:val="20"/>
          <w:lang w:val="es-AR"/>
        </w:rPr>
        <w:t>U$S</w:t>
      </w:r>
      <w:r w:rsidRPr="00CA0A60">
        <w:rPr>
          <w:rFonts w:ascii="Garamond" w:hAnsi="Garamond" w:cs="Times New Roman"/>
          <w:sz w:val="20"/>
          <w:szCs w:val="20"/>
          <w:lang w:val="es-AR"/>
        </w:rPr>
        <w:t xml:space="preserve">5.000.000; cualquier plan de beneficios para empleados dentro de la definición del </w:t>
      </w:r>
      <w:r w:rsidRPr="00CA0A60">
        <w:rPr>
          <w:rFonts w:ascii="Garamond" w:hAnsi="Garamond" w:cs="Times New Roman"/>
          <w:i/>
          <w:sz w:val="20"/>
          <w:szCs w:val="20"/>
          <w:lang w:val="es-AR"/>
        </w:rPr>
        <w:t xml:space="preserve">Employee Retirement Income Security Act </w:t>
      </w:r>
      <w:r w:rsidRPr="00CA0A60">
        <w:rPr>
          <w:rFonts w:ascii="Garamond" w:hAnsi="Garamond" w:cs="Times New Roman"/>
          <w:sz w:val="20"/>
          <w:szCs w:val="20"/>
          <w:lang w:val="es-AR"/>
        </w:rPr>
        <w:t xml:space="preserve">de 1974 si la decisión de invertir es tomada por un fiduciario de dicho plan, tal como se define en la sección 3(21) de dicha norma, que debe ser un banco, asociación de ahorros y préstamos, empresa de seguros, asesor de inversiones registrado, o si el plan de beneficios para empleados tiene activos totales que exceden </w:t>
      </w:r>
      <w:r w:rsidR="00143253" w:rsidRPr="00CA0A60">
        <w:rPr>
          <w:rFonts w:ascii="Garamond" w:hAnsi="Garamond" w:cs="Times New Roman"/>
          <w:sz w:val="20"/>
          <w:szCs w:val="20"/>
          <w:lang w:val="es-AR"/>
        </w:rPr>
        <w:t>U$S</w:t>
      </w:r>
      <w:r w:rsidRPr="00CA0A60">
        <w:rPr>
          <w:rFonts w:ascii="Garamond" w:hAnsi="Garamond" w:cs="Times New Roman"/>
          <w:sz w:val="20"/>
          <w:szCs w:val="20"/>
          <w:lang w:val="es-AR"/>
        </w:rPr>
        <w:t>5.000.000 o, si el plan es auto dirigido, con las decisiones de inversión tomadas sólo por personas que sean inversionistas acreditados;</w:t>
      </w:r>
    </w:p>
    <w:p w14:paraId="53BD644D" w14:textId="77777777" w:rsidR="003B74FC" w:rsidRPr="00CA0A60" w:rsidRDefault="003B74FC" w:rsidP="005E14F3">
      <w:pPr>
        <w:spacing w:after="0" w:line="240" w:lineRule="auto"/>
        <w:ind w:firstLine="709"/>
        <w:jc w:val="both"/>
        <w:rPr>
          <w:rFonts w:ascii="Garamond" w:hAnsi="Garamond" w:cs="Times New Roman"/>
          <w:sz w:val="20"/>
          <w:szCs w:val="20"/>
          <w:lang w:val="es-AR"/>
        </w:rPr>
      </w:pPr>
    </w:p>
    <w:p w14:paraId="6783FABB" w14:textId="77777777" w:rsidR="008D3779" w:rsidRPr="00CA0A60" w:rsidRDefault="008D3779" w:rsidP="005E14F3">
      <w:pPr>
        <w:spacing w:after="0" w:line="240" w:lineRule="auto"/>
        <w:ind w:firstLine="709"/>
        <w:jc w:val="both"/>
        <w:rPr>
          <w:rFonts w:ascii="Garamond" w:hAnsi="Garamond" w:cs="Times New Roman"/>
          <w:sz w:val="20"/>
          <w:szCs w:val="20"/>
          <w:lang w:val="es-AR"/>
        </w:rPr>
      </w:pPr>
      <w:r w:rsidRPr="00CA0A60">
        <w:rPr>
          <w:rFonts w:ascii="Garamond" w:hAnsi="Garamond" w:cs="Times New Roman"/>
          <w:sz w:val="20"/>
          <w:szCs w:val="20"/>
          <w:lang w:val="es-AR"/>
        </w:rPr>
        <w:lastRenderedPageBreak/>
        <w:t>(2)</w:t>
      </w:r>
      <w:r w:rsidRPr="00CA0A60">
        <w:rPr>
          <w:rFonts w:ascii="Garamond" w:hAnsi="Garamond" w:cs="Times New Roman"/>
          <w:sz w:val="20"/>
          <w:szCs w:val="20"/>
          <w:lang w:val="es-AR"/>
        </w:rPr>
        <w:tab/>
        <w:t xml:space="preserve">Cualquier compañía privada de desarrollo de negocios tal como se define en la sección 202(a)(22) del </w:t>
      </w:r>
      <w:r w:rsidRPr="00CA0A60">
        <w:rPr>
          <w:rFonts w:ascii="Garamond" w:hAnsi="Garamond" w:cs="Times New Roman"/>
          <w:i/>
          <w:sz w:val="20"/>
          <w:szCs w:val="20"/>
          <w:lang w:val="es-AR"/>
        </w:rPr>
        <w:t>Investment Advisers Act</w:t>
      </w:r>
      <w:r w:rsidRPr="00CA0A60">
        <w:rPr>
          <w:rFonts w:ascii="Garamond" w:hAnsi="Garamond" w:cs="Times New Roman"/>
          <w:sz w:val="20"/>
          <w:szCs w:val="20"/>
          <w:lang w:val="es-AR"/>
        </w:rPr>
        <w:t xml:space="preserve"> de 1940;</w:t>
      </w:r>
    </w:p>
    <w:p w14:paraId="1A3FAC43" w14:textId="77777777" w:rsidR="003B74FC" w:rsidRPr="00CA0A60" w:rsidRDefault="003B74FC" w:rsidP="005E14F3">
      <w:pPr>
        <w:spacing w:after="0" w:line="240" w:lineRule="auto"/>
        <w:ind w:firstLine="709"/>
        <w:jc w:val="both"/>
        <w:rPr>
          <w:rFonts w:ascii="Garamond" w:hAnsi="Garamond" w:cs="Times New Roman"/>
          <w:sz w:val="20"/>
          <w:szCs w:val="20"/>
          <w:lang w:val="es-AR"/>
        </w:rPr>
      </w:pPr>
    </w:p>
    <w:p w14:paraId="279CE2B7" w14:textId="77777777" w:rsidR="008D3779" w:rsidRPr="00CA0A60" w:rsidRDefault="008D3779" w:rsidP="005E14F3">
      <w:pPr>
        <w:spacing w:after="0" w:line="240" w:lineRule="auto"/>
        <w:ind w:firstLine="709"/>
        <w:jc w:val="both"/>
        <w:rPr>
          <w:rFonts w:ascii="Garamond" w:hAnsi="Garamond" w:cs="Times New Roman"/>
          <w:sz w:val="20"/>
          <w:szCs w:val="20"/>
          <w:lang w:val="es-AR"/>
        </w:rPr>
      </w:pPr>
      <w:r w:rsidRPr="00CA0A60">
        <w:rPr>
          <w:rFonts w:ascii="Garamond" w:hAnsi="Garamond" w:cs="Times New Roman"/>
          <w:sz w:val="20"/>
          <w:szCs w:val="20"/>
          <w:lang w:val="es-AR"/>
        </w:rPr>
        <w:t>(3)</w:t>
      </w:r>
      <w:r w:rsidRPr="00CA0A60">
        <w:rPr>
          <w:rFonts w:ascii="Garamond" w:hAnsi="Garamond" w:cs="Times New Roman"/>
          <w:sz w:val="20"/>
          <w:szCs w:val="20"/>
          <w:lang w:val="es-AR"/>
        </w:rPr>
        <w:tab/>
        <w:t xml:space="preserve">Cualquier organización descrita en la sección 501(c)(3) del </w:t>
      </w:r>
      <w:r w:rsidRPr="00CA0A60">
        <w:rPr>
          <w:rFonts w:ascii="Garamond" w:hAnsi="Garamond" w:cs="Times New Roman"/>
          <w:i/>
          <w:sz w:val="20"/>
          <w:szCs w:val="20"/>
          <w:lang w:val="es-AR"/>
        </w:rPr>
        <w:t>Internal Revenue Code</w:t>
      </w:r>
      <w:r w:rsidRPr="00CA0A60">
        <w:rPr>
          <w:rFonts w:ascii="Garamond" w:hAnsi="Garamond" w:cs="Times New Roman"/>
          <w:sz w:val="20"/>
          <w:szCs w:val="20"/>
          <w:lang w:val="es-AR"/>
        </w:rPr>
        <w:t xml:space="preserve">, corporación o fondo de negocios Massachussets o sociedad similar, no creada con el objetivo específico de adquirir los valores ofrecidos, con activos totales que excedan </w:t>
      </w:r>
      <w:r w:rsidR="00547D1A" w:rsidRPr="00CA0A60">
        <w:rPr>
          <w:rFonts w:ascii="Garamond" w:hAnsi="Garamond" w:cs="Times New Roman"/>
          <w:sz w:val="20"/>
          <w:szCs w:val="20"/>
          <w:lang w:val="es-AR"/>
        </w:rPr>
        <w:t>U$S</w:t>
      </w:r>
      <w:r w:rsidRPr="00CA0A60">
        <w:rPr>
          <w:rFonts w:ascii="Garamond" w:hAnsi="Garamond" w:cs="Times New Roman"/>
          <w:sz w:val="20"/>
          <w:szCs w:val="20"/>
          <w:lang w:val="es-AR"/>
        </w:rPr>
        <w:t xml:space="preserve"> 5.000.000;</w:t>
      </w:r>
    </w:p>
    <w:p w14:paraId="2BBD94B2" w14:textId="77777777" w:rsidR="003B74FC" w:rsidRPr="00CA0A60" w:rsidRDefault="003B74FC" w:rsidP="005E14F3">
      <w:pPr>
        <w:spacing w:after="0" w:line="240" w:lineRule="auto"/>
        <w:ind w:firstLine="709"/>
        <w:jc w:val="both"/>
        <w:rPr>
          <w:rFonts w:ascii="Garamond" w:hAnsi="Garamond" w:cs="Times New Roman"/>
          <w:sz w:val="20"/>
          <w:szCs w:val="20"/>
          <w:lang w:val="es-AR"/>
        </w:rPr>
      </w:pPr>
    </w:p>
    <w:p w14:paraId="43B1869E" w14:textId="77777777" w:rsidR="008D3779" w:rsidRPr="00CA0A60" w:rsidRDefault="008D3779" w:rsidP="005E14F3">
      <w:pPr>
        <w:spacing w:after="0" w:line="240" w:lineRule="auto"/>
        <w:ind w:firstLine="709"/>
        <w:jc w:val="both"/>
        <w:rPr>
          <w:rFonts w:ascii="Garamond" w:hAnsi="Garamond" w:cs="Times New Roman"/>
          <w:sz w:val="20"/>
          <w:szCs w:val="20"/>
          <w:lang w:val="es-AR"/>
        </w:rPr>
      </w:pPr>
      <w:r w:rsidRPr="00CA0A60">
        <w:rPr>
          <w:rFonts w:ascii="Garamond" w:hAnsi="Garamond" w:cs="Times New Roman"/>
          <w:sz w:val="20"/>
          <w:szCs w:val="20"/>
          <w:lang w:val="es-AR"/>
        </w:rPr>
        <w:t>(4)</w:t>
      </w:r>
      <w:r w:rsidRPr="00CA0A60">
        <w:rPr>
          <w:rFonts w:ascii="Garamond" w:hAnsi="Garamond" w:cs="Times New Roman"/>
          <w:sz w:val="20"/>
          <w:szCs w:val="20"/>
          <w:lang w:val="es-AR"/>
        </w:rPr>
        <w:tab/>
        <w:t>Cualquier director, gerente ejecutivo, o socio general del emisor de los valores ofrecidos o vendidos, o cualquier director gerente ejecutivo o socio general de un socio general de dicho emisor;</w:t>
      </w:r>
    </w:p>
    <w:p w14:paraId="5854DE7F" w14:textId="77777777" w:rsidR="003B74FC" w:rsidRPr="00CA0A60" w:rsidRDefault="003B74FC" w:rsidP="005E14F3">
      <w:pPr>
        <w:spacing w:after="0" w:line="240" w:lineRule="auto"/>
        <w:ind w:firstLine="709"/>
        <w:jc w:val="both"/>
        <w:rPr>
          <w:rFonts w:ascii="Garamond" w:hAnsi="Garamond" w:cs="Times New Roman"/>
          <w:sz w:val="20"/>
          <w:szCs w:val="20"/>
          <w:lang w:val="es-AR"/>
        </w:rPr>
      </w:pPr>
    </w:p>
    <w:p w14:paraId="48E67B76" w14:textId="77777777" w:rsidR="008D3779" w:rsidRPr="00CA0A60" w:rsidRDefault="008D3779" w:rsidP="005E14F3">
      <w:pPr>
        <w:spacing w:after="0" w:line="240" w:lineRule="auto"/>
        <w:ind w:firstLine="709"/>
        <w:jc w:val="both"/>
        <w:rPr>
          <w:rFonts w:ascii="Garamond" w:hAnsi="Garamond" w:cs="Times New Roman"/>
          <w:sz w:val="20"/>
          <w:szCs w:val="20"/>
          <w:lang w:val="es-AR"/>
        </w:rPr>
      </w:pPr>
      <w:r w:rsidRPr="00CA0A60">
        <w:rPr>
          <w:rFonts w:ascii="Garamond" w:hAnsi="Garamond" w:cs="Times New Roman"/>
          <w:sz w:val="20"/>
          <w:szCs w:val="20"/>
          <w:lang w:val="es-AR"/>
        </w:rPr>
        <w:t>(5)</w:t>
      </w:r>
      <w:r w:rsidRPr="00CA0A60">
        <w:rPr>
          <w:rFonts w:ascii="Garamond" w:hAnsi="Garamond" w:cs="Times New Roman"/>
          <w:sz w:val="20"/>
          <w:szCs w:val="20"/>
          <w:lang w:val="es-AR"/>
        </w:rPr>
        <w:tab/>
        <w:t xml:space="preserve">Cualquier persona natural cuyo patrimonio neto individual, o neto conjunto con su cónyuge, exceda </w:t>
      </w:r>
      <w:r w:rsidR="00547D1A" w:rsidRPr="00CA0A60">
        <w:rPr>
          <w:rFonts w:ascii="Garamond" w:hAnsi="Garamond" w:cs="Times New Roman"/>
          <w:sz w:val="20"/>
          <w:szCs w:val="20"/>
          <w:lang w:val="es-AR"/>
        </w:rPr>
        <w:t>U$S</w:t>
      </w:r>
      <w:r w:rsidRPr="00CA0A60">
        <w:rPr>
          <w:rFonts w:ascii="Garamond" w:hAnsi="Garamond" w:cs="Times New Roman"/>
          <w:sz w:val="20"/>
          <w:szCs w:val="20"/>
          <w:lang w:val="es-AR"/>
        </w:rPr>
        <w:t>1.000.000.</w:t>
      </w:r>
    </w:p>
    <w:p w14:paraId="2CA7ADD4" w14:textId="77777777" w:rsidR="003B74FC" w:rsidRPr="00CA0A60" w:rsidRDefault="003B74FC" w:rsidP="005E14F3">
      <w:pPr>
        <w:spacing w:after="0" w:line="240" w:lineRule="auto"/>
        <w:ind w:firstLine="709"/>
        <w:jc w:val="both"/>
        <w:rPr>
          <w:rFonts w:ascii="Garamond" w:hAnsi="Garamond" w:cs="Times New Roman"/>
          <w:sz w:val="20"/>
          <w:szCs w:val="20"/>
          <w:lang w:val="es-AR"/>
        </w:rPr>
      </w:pPr>
    </w:p>
    <w:p w14:paraId="41771AD1" w14:textId="77777777" w:rsidR="008D3779" w:rsidRPr="00CA0A60" w:rsidRDefault="008D3779" w:rsidP="005E14F3">
      <w:pPr>
        <w:autoSpaceDE w:val="0"/>
        <w:autoSpaceDN w:val="0"/>
        <w:adjustRightInd w:val="0"/>
        <w:spacing w:after="0" w:line="240" w:lineRule="auto"/>
        <w:ind w:left="1701" w:hanging="283"/>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(i)</w:t>
      </w:r>
      <w:r w:rsidRPr="00CA0A60">
        <w:rPr>
          <w:rFonts w:ascii="Garamond" w:eastAsiaTheme="minorHAnsi" w:hAnsi="Garamond" w:cs="Times New Roman"/>
          <w:sz w:val="20"/>
          <w:szCs w:val="20"/>
          <w:lang w:val="es-AR"/>
        </w:rPr>
        <w:tab/>
        <w:t xml:space="preserve">Exceptuando lo previsto en el párrafo (a)(5)(ii) de la </w:t>
      </w:r>
      <w:r w:rsidRPr="00CA0A60">
        <w:rPr>
          <w:rFonts w:ascii="Garamond" w:hAnsi="Garamond" w:cs="Times New Roman"/>
          <w:sz w:val="20"/>
          <w:szCs w:val="20"/>
          <w:lang w:val="es-AR"/>
        </w:rPr>
        <w:t>Regla 501(a) bajo la Regulación D</w:t>
      </w:r>
      <w:r w:rsidRPr="00CA0A60">
        <w:rPr>
          <w:rFonts w:ascii="Garamond" w:eastAsiaTheme="minorHAnsi" w:hAnsi="Garamond" w:cs="Times New Roman"/>
          <w:sz w:val="20"/>
          <w:szCs w:val="20"/>
          <w:lang w:val="es-AR"/>
        </w:rPr>
        <w:t xml:space="preserve">, para el efecto de calcular el valor neto bajo el párrafo (a)(5): </w:t>
      </w:r>
    </w:p>
    <w:p w14:paraId="314EE24A" w14:textId="77777777" w:rsidR="003B74FC" w:rsidRPr="00CA0A60" w:rsidRDefault="003B74FC" w:rsidP="005E14F3">
      <w:pPr>
        <w:autoSpaceDE w:val="0"/>
        <w:autoSpaceDN w:val="0"/>
        <w:adjustRightInd w:val="0"/>
        <w:spacing w:after="0" w:line="240" w:lineRule="auto"/>
        <w:ind w:left="1701" w:hanging="283"/>
        <w:jc w:val="both"/>
        <w:rPr>
          <w:rFonts w:ascii="Garamond" w:eastAsiaTheme="minorHAnsi" w:hAnsi="Garamond" w:cs="Times New Roman"/>
          <w:sz w:val="20"/>
          <w:szCs w:val="20"/>
          <w:lang w:val="es-AR"/>
        </w:rPr>
      </w:pPr>
    </w:p>
    <w:p w14:paraId="1D33A9AE" w14:textId="77777777" w:rsidR="008D3779" w:rsidRPr="00CA0A60" w:rsidRDefault="008D3779"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(A)</w:t>
      </w:r>
      <w:r w:rsidRPr="00CA0A60">
        <w:rPr>
          <w:rFonts w:ascii="Garamond" w:eastAsiaTheme="minorHAnsi" w:hAnsi="Garamond" w:cs="Times New Roman"/>
          <w:sz w:val="20"/>
          <w:szCs w:val="20"/>
          <w:lang w:val="es-AR"/>
        </w:rPr>
        <w:tab/>
        <w:t xml:space="preserve">La residencia primaria de dicha persona no se incluirá como activo; </w:t>
      </w:r>
    </w:p>
    <w:p w14:paraId="76614669" w14:textId="77777777" w:rsidR="003B74FC" w:rsidRPr="00CA0A60" w:rsidRDefault="003B74FC"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p>
    <w:p w14:paraId="38F289BB" w14:textId="77777777" w:rsidR="008D3779" w:rsidRPr="00CA0A60" w:rsidRDefault="008D3779"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(B)</w:t>
      </w:r>
      <w:r w:rsidRPr="00CA0A60">
        <w:rPr>
          <w:rFonts w:ascii="Garamond" w:eastAsiaTheme="minorHAnsi" w:hAnsi="Garamond" w:cs="Times New Roman"/>
          <w:sz w:val="20"/>
          <w:szCs w:val="20"/>
          <w:lang w:val="es-AR"/>
        </w:rPr>
        <w:tab/>
        <w:t xml:space="preserve">La deuda asegurada por la residencia primaria de dicha persona, hasta el valor justo de mercado estimado de la residencia primaria al momento de la venta de valores, no se incluirá como pasivo (excepto que si el monto pendiente de dicha deuda al momento de la venta de valores excede el monto pendiente 60 días antes dicha fecha, sin contar en caso de resultado de la adquisición de la residencia primaria; el monto de dicho exceso se incluirá como pasivo); y </w:t>
      </w:r>
    </w:p>
    <w:p w14:paraId="57590049" w14:textId="77777777" w:rsidR="003B74FC" w:rsidRPr="00CA0A60" w:rsidRDefault="003B74FC"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p>
    <w:p w14:paraId="5B074535" w14:textId="77777777" w:rsidR="008D3779" w:rsidRPr="00CA0A60" w:rsidRDefault="008D3779"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(C)</w:t>
      </w:r>
      <w:r w:rsidRPr="00CA0A60">
        <w:rPr>
          <w:rFonts w:ascii="Garamond" w:eastAsiaTheme="minorHAnsi" w:hAnsi="Garamond" w:cs="Times New Roman"/>
          <w:sz w:val="20"/>
          <w:szCs w:val="20"/>
          <w:lang w:val="es-AR"/>
        </w:rPr>
        <w:tab/>
        <w:t>La deuda asegurada por la residencia primaria de dicha persona que sobrepase el valor justo de mercado estimado de la residencia primaria al momento de la venta de los valores se incluirá como pasivo.</w:t>
      </w:r>
    </w:p>
    <w:p w14:paraId="0C5B615A" w14:textId="77777777" w:rsidR="003B74FC" w:rsidRPr="00CA0A60" w:rsidRDefault="003B74FC"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p>
    <w:p w14:paraId="3FAFEDE5" w14:textId="77777777" w:rsidR="008D3779" w:rsidRPr="00CA0A60" w:rsidRDefault="008D3779" w:rsidP="005E14F3">
      <w:pPr>
        <w:tabs>
          <w:tab w:val="left" w:pos="1701"/>
        </w:tabs>
        <w:autoSpaceDE w:val="0"/>
        <w:autoSpaceDN w:val="0"/>
        <w:adjustRightInd w:val="0"/>
        <w:spacing w:after="0" w:line="240" w:lineRule="auto"/>
        <w:ind w:left="1701" w:hanging="283"/>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(ii)</w:t>
      </w:r>
      <w:r w:rsidRPr="00CA0A60">
        <w:rPr>
          <w:rFonts w:ascii="Garamond" w:eastAsiaTheme="minorHAnsi" w:hAnsi="Garamond" w:cs="Times New Roman"/>
          <w:sz w:val="20"/>
          <w:szCs w:val="20"/>
          <w:lang w:val="es-AR"/>
        </w:rPr>
        <w:tab/>
        <w:t xml:space="preserve">El párrafo (a)(5)(i) de la </w:t>
      </w:r>
      <w:r w:rsidRPr="00CA0A60">
        <w:rPr>
          <w:rFonts w:ascii="Garamond" w:hAnsi="Garamond" w:cs="Times New Roman"/>
          <w:sz w:val="20"/>
          <w:szCs w:val="20"/>
          <w:lang w:val="es-AR"/>
        </w:rPr>
        <w:t>Regla 501(a) bajo la Regulación D</w:t>
      </w:r>
      <w:r w:rsidRPr="00CA0A60">
        <w:rPr>
          <w:rFonts w:ascii="Garamond" w:eastAsiaTheme="minorHAnsi" w:hAnsi="Garamond" w:cs="Times New Roman"/>
          <w:sz w:val="20"/>
          <w:szCs w:val="20"/>
          <w:lang w:val="es-AR"/>
        </w:rPr>
        <w:t xml:space="preserve"> no aplicará a ningún cálculo del valor neto de una persona que se realice por virtud de una compra de valores de acuerdo a un derecho de compra de dichos valores, siempre que: </w:t>
      </w:r>
    </w:p>
    <w:p w14:paraId="792F1AA2" w14:textId="77777777" w:rsidR="003B74FC" w:rsidRPr="00CA0A60" w:rsidRDefault="003B74FC" w:rsidP="005E14F3">
      <w:pPr>
        <w:tabs>
          <w:tab w:val="left" w:pos="1701"/>
        </w:tabs>
        <w:autoSpaceDE w:val="0"/>
        <w:autoSpaceDN w:val="0"/>
        <w:adjustRightInd w:val="0"/>
        <w:spacing w:after="0" w:line="240" w:lineRule="auto"/>
        <w:ind w:left="1701" w:hanging="283"/>
        <w:jc w:val="both"/>
        <w:rPr>
          <w:rFonts w:ascii="Garamond" w:eastAsiaTheme="minorHAnsi" w:hAnsi="Garamond" w:cs="Times New Roman"/>
          <w:sz w:val="20"/>
          <w:szCs w:val="20"/>
          <w:lang w:val="es-AR"/>
        </w:rPr>
      </w:pPr>
    </w:p>
    <w:p w14:paraId="0B57C634" w14:textId="77777777" w:rsidR="008D3779" w:rsidRPr="00CA0A60" w:rsidRDefault="008D3779"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 xml:space="preserve">(A) Dicho derecho haya sido tenido por la persona el 20 de julio de 2010; </w:t>
      </w:r>
    </w:p>
    <w:p w14:paraId="1A499DFC" w14:textId="77777777" w:rsidR="003B74FC" w:rsidRPr="00CA0A60" w:rsidRDefault="003B74FC"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p>
    <w:p w14:paraId="0A05F1CA" w14:textId="77777777" w:rsidR="008D3779" w:rsidRPr="00CA0A60" w:rsidRDefault="008D3779"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 xml:space="preserve">(B) La persona califica como inversionista acreditado en base a su valor neto al momento en que la persona adquirió dicho derecho, y </w:t>
      </w:r>
    </w:p>
    <w:p w14:paraId="5E7E3C41" w14:textId="77777777" w:rsidR="003B74FC" w:rsidRPr="00CA0A60" w:rsidRDefault="003B74FC"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p>
    <w:p w14:paraId="0682C50B" w14:textId="77777777" w:rsidR="008D3779" w:rsidRPr="00CA0A60" w:rsidRDefault="008D3779"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(C) La persona fue tenedora de valores del mismo emisor, diferentes a dicho derecho, el 20 de julio de 2010.</w:t>
      </w:r>
    </w:p>
    <w:p w14:paraId="03F828E4" w14:textId="77777777" w:rsidR="003B74FC" w:rsidRPr="00CA0A60" w:rsidRDefault="003B74FC" w:rsidP="005E14F3">
      <w:pPr>
        <w:autoSpaceDE w:val="0"/>
        <w:autoSpaceDN w:val="0"/>
        <w:adjustRightInd w:val="0"/>
        <w:spacing w:after="0" w:line="240" w:lineRule="auto"/>
        <w:ind w:left="1701"/>
        <w:jc w:val="both"/>
        <w:rPr>
          <w:rFonts w:ascii="Garamond" w:eastAsiaTheme="minorHAnsi" w:hAnsi="Garamond" w:cs="Times New Roman"/>
          <w:sz w:val="20"/>
          <w:szCs w:val="20"/>
          <w:lang w:val="es-AR"/>
        </w:rPr>
      </w:pPr>
    </w:p>
    <w:p w14:paraId="207AD57C" w14:textId="77777777" w:rsidR="008D3779" w:rsidRPr="00CA0A60" w:rsidRDefault="008D3779"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(6)</w:t>
      </w:r>
      <w:r w:rsidRPr="00CA0A60">
        <w:rPr>
          <w:rFonts w:ascii="Garamond" w:eastAsiaTheme="minorHAnsi" w:hAnsi="Garamond" w:cs="Times New Roman"/>
          <w:sz w:val="20"/>
          <w:szCs w:val="20"/>
          <w:lang w:val="es-AR"/>
        </w:rPr>
        <w:tab/>
        <w:t xml:space="preserve">Cualquier persona natural que haya tenido un ingreso individual en exceso de </w:t>
      </w:r>
      <w:r w:rsidR="00547D1A" w:rsidRPr="00CA0A60">
        <w:rPr>
          <w:rFonts w:ascii="Garamond" w:eastAsiaTheme="minorHAnsi" w:hAnsi="Garamond" w:cs="Times New Roman"/>
          <w:sz w:val="20"/>
          <w:szCs w:val="20"/>
          <w:lang w:val="es-AR"/>
        </w:rPr>
        <w:t>U$S</w:t>
      </w:r>
      <w:r w:rsidRPr="00CA0A60">
        <w:rPr>
          <w:rFonts w:ascii="Garamond" w:eastAsiaTheme="minorHAnsi" w:hAnsi="Garamond" w:cs="Times New Roman"/>
          <w:sz w:val="20"/>
          <w:szCs w:val="20"/>
          <w:lang w:val="es-AR"/>
        </w:rPr>
        <w:t xml:space="preserve">200.000 en cada uno de los dos años más recientes o ingreso conjunto con su cónyuge en exceso de </w:t>
      </w:r>
      <w:r w:rsidR="00547D1A" w:rsidRPr="00CA0A60">
        <w:rPr>
          <w:rFonts w:ascii="Garamond" w:eastAsiaTheme="minorHAnsi" w:hAnsi="Garamond" w:cs="Times New Roman"/>
          <w:sz w:val="20"/>
          <w:szCs w:val="20"/>
          <w:lang w:val="es-AR"/>
        </w:rPr>
        <w:t>U$S</w:t>
      </w:r>
      <w:r w:rsidRPr="00CA0A60">
        <w:rPr>
          <w:rFonts w:ascii="Garamond" w:eastAsiaTheme="minorHAnsi" w:hAnsi="Garamond" w:cs="Times New Roman"/>
          <w:sz w:val="20"/>
          <w:szCs w:val="20"/>
          <w:lang w:val="es-AR"/>
        </w:rPr>
        <w:t xml:space="preserve">300.000 en cada uno de dichos años y tiene la expectativa de alcanzar el mismo nivel de ingreso en el año en curso; </w:t>
      </w:r>
    </w:p>
    <w:p w14:paraId="2AC57CB0" w14:textId="77777777" w:rsidR="003B74FC" w:rsidRPr="00CA0A60" w:rsidRDefault="003B74FC"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p>
    <w:p w14:paraId="01FF6053" w14:textId="77777777" w:rsidR="008D3779" w:rsidRPr="00CA0A60" w:rsidRDefault="008D3779"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(7)</w:t>
      </w:r>
      <w:r w:rsidRPr="00CA0A60">
        <w:rPr>
          <w:rFonts w:ascii="Garamond" w:eastAsiaTheme="minorHAnsi" w:hAnsi="Garamond" w:cs="Times New Roman"/>
          <w:sz w:val="20"/>
          <w:szCs w:val="20"/>
          <w:lang w:val="es-AR"/>
        </w:rPr>
        <w:tab/>
        <w:t xml:space="preserve">Cualquier fideicomiso, con activos totales en exceso de </w:t>
      </w:r>
      <w:r w:rsidR="00547D1A" w:rsidRPr="00CA0A60">
        <w:rPr>
          <w:rFonts w:ascii="Garamond" w:eastAsiaTheme="minorHAnsi" w:hAnsi="Garamond" w:cs="Times New Roman"/>
          <w:sz w:val="20"/>
          <w:szCs w:val="20"/>
          <w:lang w:val="es-AR"/>
        </w:rPr>
        <w:t>U$S</w:t>
      </w:r>
      <w:r w:rsidRPr="00CA0A60">
        <w:rPr>
          <w:rFonts w:ascii="Garamond" w:eastAsiaTheme="minorHAnsi" w:hAnsi="Garamond" w:cs="Times New Roman"/>
          <w:sz w:val="20"/>
          <w:szCs w:val="20"/>
          <w:lang w:val="es-AR"/>
        </w:rPr>
        <w:t xml:space="preserve">5.000.000, que no haya sido incorporado con el objetivo específico de adquirir los valores ofrecidos, cuya compra sea dirigida por una persona sofisticada tal como se describe en §230.506(b)(2)(ii); y </w:t>
      </w:r>
    </w:p>
    <w:p w14:paraId="5186B13D" w14:textId="77777777" w:rsidR="003B74FC" w:rsidRPr="00CA0A60" w:rsidRDefault="003B74FC"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p>
    <w:p w14:paraId="61F62F4A" w14:textId="16574B8A" w:rsidR="008D3779" w:rsidRPr="00CA0A60" w:rsidRDefault="008D3779" w:rsidP="00A25529">
      <w:pPr>
        <w:pStyle w:val="Prrafodelista"/>
        <w:numPr>
          <w:ilvl w:val="0"/>
          <w:numId w:val="309"/>
        </w:numPr>
        <w:autoSpaceDE w:val="0"/>
        <w:autoSpaceDN w:val="0"/>
        <w:adjustRightInd w:val="0"/>
        <w:spacing w:after="0" w:line="240" w:lineRule="auto"/>
        <w:ind w:hanging="714"/>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Cualquier entidad en la que todos los accionistas sean inversionistas acreditados.</w:t>
      </w:r>
    </w:p>
    <w:p w14:paraId="6C57C439" w14:textId="34C9074F" w:rsidR="003B74FC" w:rsidRPr="00A25529" w:rsidRDefault="00933DAD" w:rsidP="00A25529">
      <w:pPr>
        <w:autoSpaceDE w:val="0"/>
        <w:autoSpaceDN w:val="0"/>
        <w:adjustRightInd w:val="0"/>
        <w:spacing w:after="0" w:line="240" w:lineRule="auto"/>
        <w:ind w:left="360"/>
        <w:jc w:val="both"/>
        <w:rPr>
          <w:rFonts w:ascii="Garamond" w:eastAsiaTheme="minorHAnsi" w:hAnsi="Garamond" w:cs="Times New Roman"/>
          <w:sz w:val="20"/>
          <w:szCs w:val="20"/>
          <w:lang w:val="es-AR"/>
        </w:rPr>
      </w:pPr>
      <w:r w:rsidRPr="00A25529">
        <w:rPr>
          <w:rFonts w:ascii="Garamond" w:eastAsiaTheme="minorHAnsi" w:hAnsi="Garamond" w:cs="Times New Roman"/>
          <w:sz w:val="20"/>
          <w:szCs w:val="20"/>
          <w:lang w:val="es-AR"/>
        </w:rPr>
        <w:t xml:space="preserve"> </w:t>
      </w:r>
    </w:p>
    <w:p w14:paraId="5B7FDEAB" w14:textId="77777777" w:rsidR="00856E23" w:rsidRPr="00CA0A60" w:rsidRDefault="00856E23" w:rsidP="005E14F3">
      <w:pPr>
        <w:autoSpaceDE w:val="0"/>
        <w:autoSpaceDN w:val="0"/>
        <w:adjustRightInd w:val="0"/>
        <w:spacing w:after="0" w:line="240" w:lineRule="auto"/>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De acuerdo con las leyes de los Estados Unidos, un “inversor institucional calificado” (“</w:t>
      </w:r>
      <w:r w:rsidRPr="00CA0A60">
        <w:rPr>
          <w:rFonts w:ascii="Garamond" w:eastAsiaTheme="minorHAnsi" w:hAnsi="Garamond" w:cs="Times New Roman"/>
          <w:i/>
          <w:sz w:val="20"/>
          <w:szCs w:val="20"/>
          <w:lang w:val="es-AR"/>
        </w:rPr>
        <w:t>qualified institutional buyer”</w:t>
      </w:r>
      <w:r w:rsidRPr="00CA0A60">
        <w:rPr>
          <w:rFonts w:ascii="Garamond" w:eastAsiaTheme="minorHAnsi" w:hAnsi="Garamond" w:cs="Times New Roman"/>
          <w:sz w:val="20"/>
          <w:szCs w:val="20"/>
          <w:lang w:val="es-AR"/>
        </w:rPr>
        <w:t xml:space="preserve">) (conforme se define en la Regla </w:t>
      </w:r>
      <w:r w:rsidRPr="00CA3A3D">
        <w:rPr>
          <w:rFonts w:ascii="Garamond" w:eastAsiaTheme="minorHAnsi" w:hAnsi="Garamond" w:cs="Times New Roman"/>
          <w:sz w:val="20"/>
          <w:szCs w:val="20"/>
          <w:lang w:val="es-AR"/>
        </w:rPr>
        <w:t>144A</w:t>
      </w:r>
      <w:r w:rsidRPr="00CA0A60">
        <w:rPr>
          <w:rFonts w:ascii="Garamond" w:eastAsiaTheme="minorHAnsi" w:hAnsi="Garamond" w:cs="Times New Roman"/>
          <w:sz w:val="20"/>
          <w:szCs w:val="20"/>
          <w:lang w:val="es-AR"/>
        </w:rPr>
        <w:t xml:space="preserve"> de la Ley de Títulos Valores Estadounidense) será cualquier persona que califique bajo cualquiera de las siguientes categorías al momento de la venta de valores a dicha persona:</w:t>
      </w:r>
    </w:p>
    <w:p w14:paraId="3D404BC9" w14:textId="77777777" w:rsidR="003B74FC" w:rsidRPr="00CA0A60" w:rsidRDefault="003B74FC" w:rsidP="005E14F3">
      <w:pPr>
        <w:autoSpaceDE w:val="0"/>
        <w:autoSpaceDN w:val="0"/>
        <w:adjustRightInd w:val="0"/>
        <w:spacing w:after="0" w:line="240" w:lineRule="auto"/>
        <w:jc w:val="both"/>
        <w:rPr>
          <w:rFonts w:ascii="Garamond" w:eastAsiaTheme="minorHAnsi" w:hAnsi="Garamond" w:cs="Times New Roman"/>
          <w:sz w:val="20"/>
          <w:szCs w:val="20"/>
          <w:lang w:val="es-AR"/>
        </w:rPr>
      </w:pPr>
    </w:p>
    <w:p w14:paraId="269DA695" w14:textId="77777777" w:rsidR="00856E23" w:rsidRPr="00CA0A60" w:rsidRDefault="00856E23"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r w:rsidRPr="00CA0A60">
        <w:rPr>
          <w:rFonts w:ascii="Garamond" w:eastAsiaTheme="minorHAnsi" w:hAnsi="Garamond" w:cs="Times New Roman"/>
          <w:sz w:val="20"/>
          <w:szCs w:val="20"/>
          <w:lang w:val="es-AR"/>
        </w:rPr>
        <w:t xml:space="preserve">(i) Cualquiera de las siguientes entidades, actuando por su propia cuenta o por cuenta de otros inversores institucionales calificados, que en forma consolidad tenga en su cortara o invierta en forma discrecional al menos </w:t>
      </w:r>
      <w:r w:rsidR="00143253" w:rsidRPr="00CA0A60">
        <w:rPr>
          <w:rFonts w:ascii="Garamond" w:eastAsiaTheme="minorHAnsi" w:hAnsi="Garamond" w:cs="Times New Roman"/>
          <w:sz w:val="20"/>
          <w:szCs w:val="20"/>
          <w:lang w:val="es-AR"/>
        </w:rPr>
        <w:t>U$S</w:t>
      </w:r>
      <w:r w:rsidRPr="00CA0A60">
        <w:rPr>
          <w:rFonts w:ascii="Garamond" w:eastAsiaTheme="minorHAnsi" w:hAnsi="Garamond" w:cs="Times New Roman"/>
          <w:sz w:val="20"/>
          <w:szCs w:val="20"/>
          <w:lang w:val="es-AR"/>
        </w:rPr>
        <w:t xml:space="preserve"> 100.000.000 en valores negociables de emisores que no sean personas afiliadas a dicha entidad:</w:t>
      </w:r>
    </w:p>
    <w:p w14:paraId="61319B8A" w14:textId="77777777" w:rsidR="003B74FC" w:rsidRPr="00CA0A60" w:rsidRDefault="003B74FC"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p>
    <w:p w14:paraId="75B8ECC3" w14:textId="77777777"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lastRenderedPageBreak/>
        <w:t>(A)</w:t>
      </w:r>
      <w:r w:rsidRPr="00CA0A60">
        <w:rPr>
          <w:rFonts w:ascii="Garamond" w:eastAsiaTheme="minorHAnsi" w:hAnsi="Garamond" w:cs="Times New Roman"/>
          <w:sz w:val="20"/>
          <w:szCs w:val="20"/>
          <w:lang w:val="es-AR"/>
        </w:rPr>
        <w:t xml:space="preserve"> Cualquier compañía aseguradora (</w:t>
      </w:r>
      <w:r w:rsidRPr="00CA0A60">
        <w:rPr>
          <w:rFonts w:ascii="Garamond" w:eastAsiaTheme="minorHAnsi" w:hAnsi="Garamond" w:cs="Times New Roman"/>
          <w:i/>
          <w:sz w:val="20"/>
          <w:szCs w:val="20"/>
          <w:lang w:val="es-AR"/>
        </w:rPr>
        <w:t>insurance company</w:t>
      </w:r>
      <w:r w:rsidRPr="00CA0A60">
        <w:rPr>
          <w:rFonts w:ascii="Garamond" w:eastAsiaTheme="minorHAnsi" w:hAnsi="Garamond" w:cs="Times New Roman"/>
          <w:sz w:val="20"/>
          <w:szCs w:val="20"/>
          <w:lang w:val="es-AR"/>
        </w:rPr>
        <w:t>) tal como se define en la sección 2(a)(13) de la Ley de Títulos Valores Estadounidense;</w:t>
      </w:r>
    </w:p>
    <w:p w14:paraId="31A560F4" w14:textId="77777777" w:rsidR="003B74FC" w:rsidRPr="00CA0A60" w:rsidRDefault="003B74FC"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68B7A983" w14:textId="7D6FCB49"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(B)</w:t>
      </w:r>
      <w:r w:rsidRPr="00CA0A60">
        <w:rPr>
          <w:rFonts w:ascii="Garamond" w:eastAsiaTheme="minorHAnsi" w:hAnsi="Garamond" w:cs="Times New Roman"/>
          <w:sz w:val="20"/>
          <w:szCs w:val="20"/>
          <w:lang w:val="es-AR"/>
        </w:rPr>
        <w:t xml:space="preserve"> Cualquier compañía de inversión (</w:t>
      </w:r>
      <w:r w:rsidRPr="00CA0A60">
        <w:rPr>
          <w:rFonts w:ascii="Garamond" w:eastAsiaTheme="minorHAnsi" w:hAnsi="Garamond" w:cs="Times New Roman"/>
          <w:i/>
          <w:sz w:val="20"/>
          <w:szCs w:val="20"/>
          <w:lang w:val="es-AR"/>
        </w:rPr>
        <w:t>investment company</w:t>
      </w:r>
      <w:r w:rsidRPr="00CA0A60">
        <w:rPr>
          <w:rFonts w:ascii="Garamond" w:eastAsiaTheme="minorHAnsi" w:hAnsi="Garamond" w:cs="Times New Roman"/>
          <w:sz w:val="20"/>
          <w:szCs w:val="20"/>
          <w:lang w:val="es-AR"/>
        </w:rPr>
        <w:t>) registrada bajo</w:t>
      </w:r>
      <w:r w:rsidR="000D4B32" w:rsidRPr="00CA0A60">
        <w:rPr>
          <w:rFonts w:ascii="Garamond" w:eastAsiaTheme="minorHAnsi" w:hAnsi="Garamond" w:cs="Times New Roman"/>
          <w:sz w:val="20"/>
          <w:szCs w:val="20"/>
          <w:lang w:val="es-AR"/>
        </w:rPr>
        <w:t xml:space="preserve"> </w:t>
      </w:r>
      <w:r w:rsidRPr="00CA0A60">
        <w:rPr>
          <w:rFonts w:ascii="Garamond" w:eastAsiaTheme="minorHAnsi" w:hAnsi="Garamond" w:cs="Times New Roman"/>
          <w:sz w:val="20"/>
          <w:szCs w:val="20"/>
          <w:lang w:val="es-AR"/>
        </w:rPr>
        <w:t xml:space="preserve">la </w:t>
      </w:r>
      <w:r w:rsidRPr="00CA0A60">
        <w:rPr>
          <w:rFonts w:ascii="Garamond" w:eastAsiaTheme="minorHAnsi" w:hAnsi="Garamond" w:cs="Times New Roman"/>
          <w:i/>
          <w:sz w:val="20"/>
          <w:szCs w:val="20"/>
          <w:lang w:val="es-AR"/>
        </w:rPr>
        <w:t xml:space="preserve">Investment Company Act </w:t>
      </w:r>
      <w:r w:rsidRPr="00CA0A60">
        <w:rPr>
          <w:rFonts w:ascii="Garamond" w:eastAsiaTheme="minorHAnsi" w:hAnsi="Garamond" w:cs="Times New Roman"/>
          <w:sz w:val="20"/>
          <w:szCs w:val="20"/>
          <w:lang w:val="es-AR"/>
        </w:rPr>
        <w:t>o cualquier compañía de desarrollo de negocios (</w:t>
      </w:r>
      <w:r w:rsidRPr="00CA0A60">
        <w:rPr>
          <w:rFonts w:ascii="Garamond" w:eastAsiaTheme="minorHAnsi" w:hAnsi="Garamond" w:cs="Times New Roman"/>
          <w:i/>
          <w:sz w:val="20"/>
          <w:szCs w:val="20"/>
          <w:lang w:val="es-AR"/>
        </w:rPr>
        <w:t>business development company</w:t>
      </w:r>
      <w:r w:rsidRPr="00CA0A60">
        <w:rPr>
          <w:rFonts w:ascii="Garamond" w:eastAsiaTheme="minorHAnsi" w:hAnsi="Garamond" w:cs="Times New Roman"/>
          <w:sz w:val="20"/>
          <w:szCs w:val="20"/>
          <w:lang w:val="es-AR"/>
        </w:rPr>
        <w:t>) tal como se define en la sección 2(a)(48) Ley de Títulos Valores Estadounidense;</w:t>
      </w:r>
    </w:p>
    <w:p w14:paraId="70DF735C" w14:textId="77777777" w:rsidR="003B74FC" w:rsidRPr="00CA0A60" w:rsidRDefault="003B74FC"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780AEC21" w14:textId="77777777"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(C)</w:t>
      </w:r>
      <w:r w:rsidRPr="00CA0A60">
        <w:rPr>
          <w:rFonts w:ascii="Garamond" w:eastAsiaTheme="minorHAnsi" w:hAnsi="Garamond" w:cs="Times New Roman"/>
          <w:sz w:val="20"/>
          <w:szCs w:val="20"/>
          <w:lang w:val="es-AR"/>
        </w:rPr>
        <w:t xml:space="preserve"> Cualquier compañía pequeña de negocios de inversión (</w:t>
      </w:r>
      <w:r w:rsidRPr="00CA0A60">
        <w:rPr>
          <w:rFonts w:ascii="Garamond" w:eastAsiaTheme="minorHAnsi" w:hAnsi="Garamond" w:cs="Times New Roman"/>
          <w:i/>
          <w:sz w:val="20"/>
          <w:szCs w:val="20"/>
          <w:lang w:val="es-AR"/>
        </w:rPr>
        <w:t>small business investment company</w:t>
      </w:r>
      <w:r w:rsidRPr="00CA0A60">
        <w:rPr>
          <w:rFonts w:ascii="Garamond" w:eastAsiaTheme="minorHAnsi" w:hAnsi="Garamond" w:cs="Times New Roman"/>
          <w:sz w:val="20"/>
          <w:szCs w:val="20"/>
          <w:lang w:val="es-AR"/>
        </w:rPr>
        <w:t xml:space="preserve">) con licencia otorgada por la </w:t>
      </w:r>
      <w:r w:rsidRPr="00CA0A60">
        <w:rPr>
          <w:rFonts w:ascii="Garamond" w:eastAsiaTheme="minorHAnsi" w:hAnsi="Garamond" w:cs="Times New Roman"/>
          <w:i/>
          <w:sz w:val="20"/>
          <w:szCs w:val="20"/>
          <w:lang w:val="es-AR"/>
        </w:rPr>
        <w:t xml:space="preserve">U.S. Small Business Administration </w:t>
      </w:r>
      <w:r w:rsidRPr="00CA0A60">
        <w:rPr>
          <w:rFonts w:ascii="Garamond" w:eastAsiaTheme="minorHAnsi" w:hAnsi="Garamond" w:cs="Times New Roman"/>
          <w:sz w:val="20"/>
          <w:szCs w:val="20"/>
          <w:lang w:val="es-AR"/>
        </w:rPr>
        <w:t xml:space="preserve">bajo la sección 301(c) o (d) de la </w:t>
      </w:r>
      <w:r w:rsidRPr="00CA0A60">
        <w:rPr>
          <w:rFonts w:ascii="Garamond" w:eastAsiaTheme="minorHAnsi" w:hAnsi="Garamond" w:cs="Times New Roman"/>
          <w:i/>
          <w:sz w:val="20"/>
          <w:szCs w:val="20"/>
          <w:lang w:val="es-AR"/>
        </w:rPr>
        <w:t xml:space="preserve">Small Business Investment Act </w:t>
      </w:r>
      <w:r w:rsidRPr="00CA0A60">
        <w:rPr>
          <w:rFonts w:ascii="Garamond" w:eastAsiaTheme="minorHAnsi" w:hAnsi="Garamond" w:cs="Times New Roman"/>
          <w:sz w:val="20"/>
          <w:szCs w:val="20"/>
          <w:lang w:val="es-AR"/>
        </w:rPr>
        <w:t>de 1958;</w:t>
      </w:r>
    </w:p>
    <w:p w14:paraId="3A413BF6" w14:textId="77777777" w:rsidR="003B74FC" w:rsidRPr="00CA0A60" w:rsidRDefault="003B74FC"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4BDDC621" w14:textId="77777777"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(D)</w:t>
      </w:r>
      <w:r w:rsidRPr="00CA0A60">
        <w:rPr>
          <w:rFonts w:ascii="Garamond" w:eastAsiaTheme="minorHAnsi" w:hAnsi="Garamond" w:cs="Times New Roman"/>
          <w:sz w:val="20"/>
          <w:szCs w:val="20"/>
          <w:lang w:val="es-AR"/>
        </w:rPr>
        <w:t xml:space="preserve"> Cualquier plan (</w:t>
      </w:r>
      <w:r w:rsidRPr="00CA0A60">
        <w:rPr>
          <w:rFonts w:ascii="Garamond" w:eastAsiaTheme="minorHAnsi" w:hAnsi="Garamond" w:cs="Times New Roman"/>
          <w:i/>
          <w:sz w:val="20"/>
          <w:szCs w:val="20"/>
          <w:lang w:val="es-AR"/>
        </w:rPr>
        <w:t>plan</w:t>
      </w:r>
      <w:r w:rsidRPr="00CA0A60">
        <w:rPr>
          <w:rFonts w:ascii="Garamond" w:eastAsiaTheme="minorHAnsi" w:hAnsi="Garamond" w:cs="Times New Roman"/>
          <w:sz w:val="20"/>
          <w:szCs w:val="20"/>
          <w:lang w:val="es-AR"/>
        </w:rPr>
        <w:t xml:space="preserve">) establecido y mantenido por un estado, sus subdivisiones políticas, o cualquier agencia o instrumento del estado o sus subdivisiones políticas, para beneficio de sus empleados; </w:t>
      </w:r>
    </w:p>
    <w:p w14:paraId="33D28B4B" w14:textId="77777777" w:rsidR="003B74FC" w:rsidRPr="00CA0A60" w:rsidRDefault="003B74FC"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7E57BE21" w14:textId="77777777"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(E)</w:t>
      </w:r>
      <w:r w:rsidRPr="00CA0A60">
        <w:rPr>
          <w:rFonts w:ascii="Garamond" w:eastAsiaTheme="minorHAnsi" w:hAnsi="Garamond" w:cs="Times New Roman"/>
          <w:sz w:val="20"/>
          <w:szCs w:val="20"/>
          <w:lang w:val="es-AR"/>
        </w:rPr>
        <w:t xml:space="preserve"> Cualquier plan de beneficios para empleados (</w:t>
      </w:r>
      <w:r w:rsidRPr="00CA0A60">
        <w:rPr>
          <w:rFonts w:ascii="Garamond" w:eastAsiaTheme="minorHAnsi" w:hAnsi="Garamond" w:cs="Times New Roman"/>
          <w:i/>
          <w:sz w:val="20"/>
          <w:szCs w:val="20"/>
          <w:lang w:val="es-AR"/>
        </w:rPr>
        <w:t>employee benefit plan</w:t>
      </w:r>
      <w:r w:rsidRPr="00CA0A60">
        <w:rPr>
          <w:rFonts w:ascii="Garamond" w:eastAsiaTheme="minorHAnsi" w:hAnsi="Garamond" w:cs="Times New Roman"/>
          <w:sz w:val="20"/>
          <w:szCs w:val="20"/>
          <w:lang w:val="es-AR"/>
        </w:rPr>
        <w:t xml:space="preserve">) en los términos del Título I del </w:t>
      </w:r>
      <w:r w:rsidRPr="00CA0A60">
        <w:rPr>
          <w:rFonts w:ascii="Garamond" w:eastAsiaTheme="minorHAnsi" w:hAnsi="Garamond" w:cs="Times New Roman"/>
          <w:i/>
          <w:sz w:val="20"/>
          <w:szCs w:val="20"/>
          <w:lang w:val="es-AR"/>
        </w:rPr>
        <w:t xml:space="preserve">Employee Retirement Income Security Act </w:t>
      </w:r>
      <w:r w:rsidRPr="00CA0A60">
        <w:rPr>
          <w:rFonts w:ascii="Garamond" w:eastAsiaTheme="minorHAnsi" w:hAnsi="Garamond" w:cs="Times New Roman"/>
          <w:sz w:val="20"/>
          <w:szCs w:val="20"/>
          <w:lang w:val="es-AR"/>
        </w:rPr>
        <w:t>de 1974;</w:t>
      </w:r>
    </w:p>
    <w:p w14:paraId="37EFA3E3" w14:textId="77777777" w:rsidR="003B74FC" w:rsidRPr="00CA0A60" w:rsidRDefault="003B74FC"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31077E02" w14:textId="77777777"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(F)</w:t>
      </w:r>
      <w:r w:rsidRPr="00CA0A60">
        <w:rPr>
          <w:rFonts w:ascii="Garamond" w:eastAsiaTheme="minorHAnsi" w:hAnsi="Garamond" w:cs="Times New Roman"/>
          <w:sz w:val="20"/>
          <w:szCs w:val="20"/>
          <w:lang w:val="es-AR"/>
        </w:rPr>
        <w:t xml:space="preserve"> Cualquier fondo (</w:t>
      </w:r>
      <w:r w:rsidRPr="00CA0A60">
        <w:rPr>
          <w:rFonts w:ascii="Garamond" w:eastAsiaTheme="minorHAnsi" w:hAnsi="Garamond" w:cs="Times New Roman"/>
          <w:i/>
          <w:sz w:val="20"/>
          <w:szCs w:val="20"/>
          <w:lang w:val="es-AR"/>
        </w:rPr>
        <w:t>trust fund</w:t>
      </w:r>
      <w:r w:rsidRPr="00CA0A60">
        <w:rPr>
          <w:rFonts w:ascii="Garamond" w:eastAsiaTheme="minorHAnsi" w:hAnsi="Garamond" w:cs="Times New Roman"/>
          <w:sz w:val="20"/>
          <w:szCs w:val="20"/>
          <w:lang w:val="es-AR"/>
        </w:rPr>
        <w:t>) cuyo administrador (</w:t>
      </w:r>
      <w:r w:rsidRPr="00CA0A60">
        <w:rPr>
          <w:rFonts w:ascii="Garamond" w:eastAsiaTheme="minorHAnsi" w:hAnsi="Garamond" w:cs="Times New Roman"/>
          <w:i/>
          <w:sz w:val="20"/>
          <w:szCs w:val="20"/>
          <w:lang w:val="es-AR"/>
        </w:rPr>
        <w:t>trustee</w:t>
      </w:r>
      <w:r w:rsidRPr="00CA0A60">
        <w:rPr>
          <w:rFonts w:ascii="Garamond" w:eastAsiaTheme="minorHAnsi" w:hAnsi="Garamond" w:cs="Times New Roman"/>
          <w:sz w:val="20"/>
          <w:szCs w:val="20"/>
          <w:lang w:val="es-AR"/>
        </w:rPr>
        <w:t>) sea un banco o una compañía fiduciaria (</w:t>
      </w:r>
      <w:r w:rsidRPr="00CA0A60">
        <w:rPr>
          <w:rFonts w:ascii="Garamond" w:eastAsiaTheme="minorHAnsi" w:hAnsi="Garamond" w:cs="Times New Roman"/>
          <w:i/>
          <w:sz w:val="20"/>
          <w:szCs w:val="20"/>
          <w:lang w:val="es-AR"/>
        </w:rPr>
        <w:t>trust company</w:t>
      </w:r>
      <w:r w:rsidRPr="00CA0A60">
        <w:rPr>
          <w:rFonts w:ascii="Garamond" w:eastAsiaTheme="minorHAnsi" w:hAnsi="Garamond" w:cs="Times New Roman"/>
          <w:sz w:val="20"/>
          <w:szCs w:val="20"/>
          <w:lang w:val="es-AR"/>
        </w:rPr>
        <w:t>) y cuyos participantes sean exclusivamente planes (</w:t>
      </w:r>
      <w:r w:rsidRPr="00CA0A60">
        <w:rPr>
          <w:rFonts w:ascii="Garamond" w:eastAsiaTheme="minorHAnsi" w:hAnsi="Garamond" w:cs="Times New Roman"/>
          <w:i/>
          <w:sz w:val="20"/>
          <w:szCs w:val="20"/>
          <w:lang w:val="es-AR"/>
        </w:rPr>
        <w:t>planes</w:t>
      </w:r>
      <w:r w:rsidRPr="00CA0A60">
        <w:rPr>
          <w:rFonts w:ascii="Garamond" w:eastAsiaTheme="minorHAnsi" w:hAnsi="Garamond" w:cs="Times New Roman"/>
          <w:sz w:val="20"/>
          <w:szCs w:val="20"/>
          <w:lang w:val="es-AR"/>
        </w:rPr>
        <w:t>) del tipo identificado en el párrafo (a)(1)(i) (D) o (E) de la Regla 144A, por excepción de los fondos que incluyan como participantes a cuentas individuales de retiro o planes H.R. 10.</w:t>
      </w:r>
    </w:p>
    <w:p w14:paraId="41C6AC2A" w14:textId="77777777" w:rsidR="003B74FC" w:rsidRPr="00CA0A60" w:rsidRDefault="003B74FC"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4B21AD73" w14:textId="77777777"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(G)</w:t>
      </w:r>
      <w:r w:rsidRPr="00CA0A60">
        <w:rPr>
          <w:rFonts w:ascii="Garamond" w:eastAsiaTheme="minorHAnsi" w:hAnsi="Garamond" w:cs="Times New Roman"/>
          <w:sz w:val="20"/>
          <w:szCs w:val="20"/>
          <w:lang w:val="es-AR"/>
        </w:rPr>
        <w:t xml:space="preserve"> Cualquier compañía de desarrollo de negocios (</w:t>
      </w:r>
      <w:r w:rsidRPr="00CA0A60">
        <w:rPr>
          <w:rFonts w:ascii="Garamond" w:eastAsiaTheme="minorHAnsi" w:hAnsi="Garamond" w:cs="Times New Roman"/>
          <w:i/>
          <w:sz w:val="20"/>
          <w:szCs w:val="20"/>
          <w:lang w:val="es-AR"/>
        </w:rPr>
        <w:t>business development company</w:t>
      </w:r>
      <w:r w:rsidRPr="00CA0A60">
        <w:rPr>
          <w:rFonts w:ascii="Garamond" w:eastAsiaTheme="minorHAnsi" w:hAnsi="Garamond" w:cs="Times New Roman"/>
          <w:sz w:val="20"/>
          <w:szCs w:val="20"/>
          <w:lang w:val="es-AR"/>
        </w:rPr>
        <w:t xml:space="preserve">) tal como se define en la sección 202(a)(22) de la </w:t>
      </w:r>
      <w:r w:rsidRPr="00CA0A60">
        <w:rPr>
          <w:rFonts w:ascii="Garamond" w:eastAsiaTheme="minorHAnsi" w:hAnsi="Garamond" w:cs="Times New Roman"/>
          <w:i/>
          <w:sz w:val="20"/>
          <w:szCs w:val="20"/>
          <w:lang w:val="es-AR"/>
        </w:rPr>
        <w:t xml:space="preserve">Investment Advisers Act </w:t>
      </w:r>
      <w:r w:rsidRPr="00CA0A60">
        <w:rPr>
          <w:rFonts w:ascii="Garamond" w:eastAsiaTheme="minorHAnsi" w:hAnsi="Garamond" w:cs="Times New Roman"/>
          <w:sz w:val="20"/>
          <w:szCs w:val="20"/>
          <w:lang w:val="es-AR"/>
        </w:rPr>
        <w:t>de 1940;</w:t>
      </w:r>
    </w:p>
    <w:p w14:paraId="2DC44586" w14:textId="77777777" w:rsidR="003B74FC" w:rsidRPr="00CA0A60" w:rsidRDefault="003B74FC"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21683E16" w14:textId="77777777"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(H)</w:t>
      </w:r>
      <w:r w:rsidRPr="00CA0A60">
        <w:rPr>
          <w:rFonts w:ascii="Garamond" w:eastAsiaTheme="minorHAnsi" w:hAnsi="Garamond" w:cs="Times New Roman"/>
          <w:sz w:val="20"/>
          <w:szCs w:val="20"/>
          <w:lang w:val="es-AR"/>
        </w:rPr>
        <w:t xml:space="preserve"> Cualquier organización descripta en la sección 501(c)(3) del </w:t>
      </w:r>
      <w:r w:rsidRPr="00CA0A60">
        <w:rPr>
          <w:rFonts w:ascii="Garamond" w:eastAsiaTheme="minorHAnsi" w:hAnsi="Garamond" w:cs="Times New Roman"/>
          <w:i/>
          <w:sz w:val="20"/>
          <w:szCs w:val="20"/>
          <w:lang w:val="es-AR"/>
        </w:rPr>
        <w:t>Internal Revenue Code</w:t>
      </w:r>
      <w:r w:rsidRPr="00CA0A60">
        <w:rPr>
          <w:rFonts w:ascii="Garamond" w:eastAsiaTheme="minorHAnsi" w:hAnsi="Garamond" w:cs="Times New Roman"/>
          <w:sz w:val="20"/>
          <w:szCs w:val="20"/>
          <w:lang w:val="es-AR"/>
        </w:rPr>
        <w:t xml:space="preserve">, compañías (excepto por bancos definidos bajo la sección 3(a)(2) </w:t>
      </w:r>
      <w:r w:rsidR="00211EC0" w:rsidRPr="00CA0A60">
        <w:rPr>
          <w:rFonts w:ascii="Garamond" w:eastAsiaTheme="minorHAnsi" w:hAnsi="Garamond" w:cs="Times New Roman"/>
          <w:sz w:val="20"/>
          <w:szCs w:val="20"/>
          <w:lang w:val="es-AR"/>
        </w:rPr>
        <w:t xml:space="preserve">de </w:t>
      </w:r>
      <w:r w:rsidRPr="00CA0A60">
        <w:rPr>
          <w:rFonts w:ascii="Garamond" w:eastAsiaTheme="minorHAnsi" w:hAnsi="Garamond" w:cs="Times New Roman"/>
          <w:sz w:val="20"/>
          <w:szCs w:val="20"/>
          <w:lang w:val="es-AR"/>
        </w:rPr>
        <w:t xml:space="preserve">la Ley de Títulos Valores Estadounidenses o asociaciones de ahorro y préstamo u otras instituciones referidas en la sección 3(a)(5)(A) de la Ley de Títulos Valores Estadounidenses o un banco extranjero o una asociación de ahorro y préstamos o institución equivalente), asociación, o fondos </w:t>
      </w:r>
      <w:r w:rsidRPr="00CA0A60">
        <w:rPr>
          <w:rFonts w:ascii="Garamond" w:eastAsiaTheme="minorHAnsi" w:hAnsi="Garamond" w:cs="Times New Roman"/>
          <w:i/>
          <w:sz w:val="20"/>
          <w:szCs w:val="20"/>
          <w:lang w:val="es-AR"/>
        </w:rPr>
        <w:t xml:space="preserve">Massachusetts </w:t>
      </w:r>
      <w:r w:rsidRPr="00CA0A60">
        <w:rPr>
          <w:rFonts w:ascii="Garamond" w:eastAsiaTheme="minorHAnsi" w:hAnsi="Garamond" w:cs="Times New Roman"/>
          <w:sz w:val="20"/>
          <w:szCs w:val="20"/>
          <w:lang w:val="es-AR"/>
        </w:rPr>
        <w:t>o fondos de negocios similares; y</w:t>
      </w:r>
    </w:p>
    <w:p w14:paraId="4FFCBC07" w14:textId="77777777" w:rsidR="003B74FC" w:rsidRPr="00CA0A60" w:rsidRDefault="003B74FC"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205CC56D" w14:textId="44D697E5"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(I)</w:t>
      </w:r>
      <w:r w:rsidR="000D4B32" w:rsidRPr="00CA0A60">
        <w:rPr>
          <w:rFonts w:ascii="Garamond" w:eastAsiaTheme="minorHAnsi" w:hAnsi="Garamond" w:cs="Times New Roman"/>
          <w:sz w:val="20"/>
          <w:szCs w:val="20"/>
          <w:lang w:val="es-AR"/>
        </w:rPr>
        <w:t xml:space="preserve"> </w:t>
      </w:r>
      <w:r w:rsidRPr="00CA0A60">
        <w:rPr>
          <w:rFonts w:ascii="Garamond" w:eastAsiaTheme="minorHAnsi" w:hAnsi="Garamond" w:cs="Times New Roman"/>
          <w:sz w:val="20"/>
          <w:szCs w:val="20"/>
          <w:lang w:val="es-AR"/>
        </w:rPr>
        <w:t>Cualquier asesor de inversi</w:t>
      </w:r>
      <w:r w:rsidR="00CC4CFB" w:rsidRPr="00CA0A60">
        <w:rPr>
          <w:rFonts w:ascii="Garamond" w:eastAsiaTheme="minorHAnsi" w:hAnsi="Garamond" w:cs="Times New Roman"/>
          <w:sz w:val="20"/>
          <w:szCs w:val="20"/>
          <w:lang w:val="es-AR"/>
        </w:rPr>
        <w:t>ó</w:t>
      </w:r>
      <w:r w:rsidRPr="00CA0A60">
        <w:rPr>
          <w:rFonts w:ascii="Garamond" w:eastAsiaTheme="minorHAnsi" w:hAnsi="Garamond" w:cs="Times New Roman"/>
          <w:sz w:val="20"/>
          <w:szCs w:val="20"/>
          <w:lang w:val="es-AR"/>
        </w:rPr>
        <w:t>n (</w:t>
      </w:r>
      <w:r w:rsidRPr="00CA0A60">
        <w:rPr>
          <w:rFonts w:ascii="Garamond" w:eastAsiaTheme="minorHAnsi" w:hAnsi="Garamond" w:cs="Times New Roman"/>
          <w:i/>
          <w:sz w:val="20"/>
          <w:szCs w:val="20"/>
          <w:lang w:val="es-AR"/>
        </w:rPr>
        <w:t>investment adviser</w:t>
      </w:r>
      <w:r w:rsidRPr="00CA0A60">
        <w:rPr>
          <w:rFonts w:ascii="Garamond" w:eastAsiaTheme="minorHAnsi" w:hAnsi="Garamond" w:cs="Times New Roman"/>
          <w:sz w:val="20"/>
          <w:szCs w:val="20"/>
          <w:lang w:val="es-AR"/>
        </w:rPr>
        <w:t xml:space="preserve">) registrado bajo el </w:t>
      </w:r>
      <w:r w:rsidRPr="00CA0A60">
        <w:rPr>
          <w:rFonts w:ascii="Garamond" w:eastAsiaTheme="minorHAnsi" w:hAnsi="Garamond" w:cs="Times New Roman"/>
          <w:i/>
          <w:sz w:val="20"/>
          <w:szCs w:val="20"/>
          <w:lang w:val="es-AR"/>
        </w:rPr>
        <w:t>Investment Advisers Act</w:t>
      </w:r>
      <w:r w:rsidRPr="00CA0A60">
        <w:rPr>
          <w:rFonts w:ascii="Garamond" w:eastAsiaTheme="minorHAnsi" w:hAnsi="Garamond" w:cs="Times New Roman"/>
          <w:sz w:val="20"/>
          <w:szCs w:val="20"/>
          <w:lang w:val="es-AR"/>
        </w:rPr>
        <w:t>.</w:t>
      </w:r>
    </w:p>
    <w:p w14:paraId="1728B4D0" w14:textId="77777777" w:rsidR="003B74FC" w:rsidRPr="00CA0A60" w:rsidRDefault="003B74FC"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59BD57E5" w14:textId="77777777" w:rsidR="00856E23" w:rsidRPr="00CA0A60" w:rsidRDefault="00856E23"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(ii)</w:t>
      </w:r>
      <w:r w:rsidRPr="00CA0A60">
        <w:rPr>
          <w:rFonts w:ascii="Garamond" w:eastAsiaTheme="minorHAnsi" w:hAnsi="Garamond" w:cs="Times New Roman"/>
          <w:sz w:val="20"/>
          <w:szCs w:val="20"/>
          <w:lang w:val="es-AR"/>
        </w:rPr>
        <w:t xml:space="preserve"> Cualquier vendedor (</w:t>
      </w:r>
      <w:r w:rsidRPr="00CA0A60">
        <w:rPr>
          <w:rFonts w:ascii="Garamond" w:eastAsiaTheme="minorHAnsi" w:hAnsi="Garamond" w:cs="Times New Roman"/>
          <w:i/>
          <w:sz w:val="20"/>
          <w:szCs w:val="20"/>
          <w:lang w:val="es-AR"/>
        </w:rPr>
        <w:t>dealer</w:t>
      </w:r>
      <w:r w:rsidRPr="00CA0A60">
        <w:rPr>
          <w:rFonts w:ascii="Garamond" w:eastAsiaTheme="minorHAnsi" w:hAnsi="Garamond" w:cs="Times New Roman"/>
          <w:sz w:val="20"/>
          <w:szCs w:val="20"/>
          <w:lang w:val="es-AR"/>
        </w:rPr>
        <w:t xml:space="preserve">) registrado bajo la sección 15 de la </w:t>
      </w:r>
      <w:r w:rsidRPr="00CA0A60">
        <w:rPr>
          <w:rFonts w:ascii="Garamond" w:eastAsiaTheme="minorHAnsi" w:hAnsi="Garamond" w:cs="Times New Roman"/>
          <w:i/>
          <w:sz w:val="20"/>
          <w:szCs w:val="20"/>
          <w:lang w:val="es-AR"/>
        </w:rPr>
        <w:t>Exchange Act</w:t>
      </w:r>
      <w:r w:rsidRPr="00CA0A60">
        <w:rPr>
          <w:rFonts w:ascii="Garamond" w:eastAsiaTheme="minorHAnsi" w:hAnsi="Garamond" w:cs="Times New Roman"/>
          <w:sz w:val="20"/>
          <w:szCs w:val="20"/>
          <w:lang w:val="es-AR"/>
        </w:rPr>
        <w:t xml:space="preserve">, actuando por cuenta propia o por cuenta de otros inversores institucionales calificados, que en forma consolidada sea dueña o invierta de manera discrecional al menos </w:t>
      </w:r>
      <w:r w:rsidR="00143253" w:rsidRPr="00CA0A60">
        <w:rPr>
          <w:rFonts w:ascii="Garamond" w:eastAsiaTheme="minorHAnsi" w:hAnsi="Garamond" w:cs="Times New Roman"/>
          <w:sz w:val="20"/>
          <w:szCs w:val="20"/>
          <w:lang w:val="es-AR"/>
        </w:rPr>
        <w:t>U$S</w:t>
      </w:r>
      <w:r w:rsidRPr="00CA0A60">
        <w:rPr>
          <w:rFonts w:ascii="Garamond" w:eastAsiaTheme="minorHAnsi" w:hAnsi="Garamond" w:cs="Times New Roman"/>
          <w:sz w:val="20"/>
          <w:szCs w:val="20"/>
          <w:lang w:val="es-AR"/>
        </w:rPr>
        <w:t xml:space="preserve"> 10 millones en valores negociables de emisores que no sean afiliadas del vendedor, establecidos, sin embargo, que los valores negociables que constituyan en un todo o en parte de una porción no vendida a, o suscripta por, el vendedor como un participante en la oferta </w:t>
      </w:r>
      <w:r w:rsidR="00471521" w:rsidRPr="00CA0A60">
        <w:rPr>
          <w:rFonts w:ascii="Garamond" w:eastAsiaTheme="minorHAnsi" w:hAnsi="Garamond" w:cs="Times New Roman"/>
          <w:sz w:val="20"/>
          <w:szCs w:val="20"/>
          <w:lang w:val="es-AR"/>
        </w:rPr>
        <w:t>pública</w:t>
      </w:r>
      <w:r w:rsidRPr="00CA0A60">
        <w:rPr>
          <w:rFonts w:ascii="Garamond" w:eastAsiaTheme="minorHAnsi" w:hAnsi="Garamond" w:cs="Times New Roman"/>
          <w:sz w:val="20"/>
          <w:szCs w:val="20"/>
          <w:lang w:val="es-AR"/>
        </w:rPr>
        <w:t>, no será considerada dicha porción como de titularidad del vendedor;</w:t>
      </w:r>
    </w:p>
    <w:p w14:paraId="34959D4B" w14:textId="77777777" w:rsidR="003B74FC" w:rsidRPr="00CA0A60" w:rsidRDefault="003B74FC" w:rsidP="005E14F3">
      <w:pPr>
        <w:autoSpaceDE w:val="0"/>
        <w:autoSpaceDN w:val="0"/>
        <w:adjustRightInd w:val="0"/>
        <w:spacing w:after="0" w:line="240" w:lineRule="auto"/>
        <w:ind w:firstLine="709"/>
        <w:jc w:val="both"/>
        <w:rPr>
          <w:rFonts w:ascii="Garamond" w:eastAsiaTheme="minorHAnsi" w:hAnsi="Garamond" w:cs="Times New Roman"/>
          <w:bCs/>
          <w:sz w:val="20"/>
          <w:szCs w:val="20"/>
          <w:lang w:val="es-AR"/>
        </w:rPr>
      </w:pPr>
    </w:p>
    <w:p w14:paraId="7EF8FBA1" w14:textId="77777777" w:rsidR="00856E23" w:rsidRPr="00CA0A60" w:rsidRDefault="00856E23"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(iii)</w:t>
      </w:r>
      <w:r w:rsidRPr="00CA0A60">
        <w:rPr>
          <w:rFonts w:ascii="Garamond" w:eastAsiaTheme="minorHAnsi" w:hAnsi="Garamond" w:cs="Times New Roman"/>
          <w:sz w:val="20"/>
          <w:szCs w:val="20"/>
          <w:lang w:val="es-AR"/>
        </w:rPr>
        <w:t xml:space="preserve"> Cualquier vendedor (</w:t>
      </w:r>
      <w:r w:rsidRPr="00CA0A60">
        <w:rPr>
          <w:rFonts w:ascii="Garamond" w:eastAsiaTheme="minorHAnsi" w:hAnsi="Garamond" w:cs="Times New Roman"/>
          <w:i/>
          <w:sz w:val="20"/>
          <w:szCs w:val="20"/>
          <w:lang w:val="es-AR"/>
        </w:rPr>
        <w:t>dealer</w:t>
      </w:r>
      <w:r w:rsidRPr="00CA0A60">
        <w:rPr>
          <w:rFonts w:ascii="Garamond" w:eastAsiaTheme="minorHAnsi" w:hAnsi="Garamond" w:cs="Times New Roman"/>
          <w:sz w:val="20"/>
          <w:szCs w:val="20"/>
          <w:lang w:val="es-AR"/>
        </w:rPr>
        <w:t xml:space="preserve">) registrado bajo la sección 15 de la </w:t>
      </w:r>
      <w:r w:rsidRPr="00CA0A60">
        <w:rPr>
          <w:rFonts w:ascii="Garamond" w:eastAsiaTheme="minorHAnsi" w:hAnsi="Garamond" w:cs="Times New Roman"/>
          <w:i/>
          <w:sz w:val="20"/>
          <w:szCs w:val="20"/>
          <w:lang w:val="es-AR"/>
        </w:rPr>
        <w:t xml:space="preserve">Exchange Act </w:t>
      </w:r>
      <w:r w:rsidRPr="00CA0A60">
        <w:rPr>
          <w:rFonts w:ascii="Garamond" w:eastAsiaTheme="minorHAnsi" w:hAnsi="Garamond" w:cs="Times New Roman"/>
          <w:sz w:val="20"/>
          <w:szCs w:val="20"/>
          <w:lang w:val="es-AR"/>
        </w:rPr>
        <w:t>actuando como participante sin riesgo de la transacción en representación de un comprador institucional calificado;</w:t>
      </w:r>
    </w:p>
    <w:p w14:paraId="7BD58BA2" w14:textId="77777777" w:rsidR="003B74FC" w:rsidRPr="00CA0A60" w:rsidRDefault="003B74FC" w:rsidP="005E14F3">
      <w:pPr>
        <w:autoSpaceDE w:val="0"/>
        <w:autoSpaceDN w:val="0"/>
        <w:adjustRightInd w:val="0"/>
        <w:spacing w:after="0" w:line="240" w:lineRule="auto"/>
        <w:ind w:firstLine="709"/>
        <w:jc w:val="both"/>
        <w:rPr>
          <w:rFonts w:ascii="Garamond" w:eastAsiaTheme="minorHAnsi" w:hAnsi="Garamond" w:cs="Times New Roman"/>
          <w:bCs/>
          <w:sz w:val="20"/>
          <w:szCs w:val="20"/>
          <w:lang w:val="es-AR"/>
        </w:rPr>
      </w:pPr>
    </w:p>
    <w:p w14:paraId="0689CD34" w14:textId="77777777" w:rsidR="00856E23" w:rsidRPr="00CA0A60" w:rsidRDefault="00856E23"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(iv)</w:t>
      </w:r>
      <w:r w:rsidRPr="00CA0A60">
        <w:rPr>
          <w:rFonts w:ascii="Garamond" w:eastAsiaTheme="minorHAnsi" w:hAnsi="Garamond" w:cs="Times New Roman"/>
          <w:sz w:val="20"/>
          <w:szCs w:val="20"/>
          <w:lang w:val="es-AR"/>
        </w:rPr>
        <w:t xml:space="preserve"> Cualquier compañía de inversión registrada en la </w:t>
      </w:r>
      <w:r w:rsidRPr="00CA0A60">
        <w:rPr>
          <w:rFonts w:ascii="Garamond" w:eastAsiaTheme="minorHAnsi" w:hAnsi="Garamond" w:cs="Times New Roman"/>
          <w:i/>
          <w:sz w:val="20"/>
          <w:szCs w:val="20"/>
          <w:lang w:val="es-AR"/>
        </w:rPr>
        <w:t>Investment Company Act</w:t>
      </w:r>
      <w:r w:rsidRPr="00CA0A60">
        <w:rPr>
          <w:rFonts w:ascii="Garamond" w:eastAsiaTheme="minorHAnsi" w:hAnsi="Garamond" w:cs="Times New Roman"/>
          <w:sz w:val="20"/>
          <w:szCs w:val="20"/>
          <w:lang w:val="es-AR"/>
        </w:rPr>
        <w:t xml:space="preserve">, actuando por su propia cuenta o por cuenta de otros compradores institucionales calificados, que sea parte de una familia de compañías de inversión que sean dueñas en forma consolidad de al menos </w:t>
      </w:r>
      <w:r w:rsidR="00143253" w:rsidRPr="00CA0A60">
        <w:rPr>
          <w:rFonts w:ascii="Garamond" w:eastAsiaTheme="minorHAnsi" w:hAnsi="Garamond" w:cs="Times New Roman"/>
          <w:sz w:val="20"/>
          <w:szCs w:val="20"/>
          <w:lang w:val="es-AR"/>
        </w:rPr>
        <w:t>U$S</w:t>
      </w:r>
      <w:r w:rsidRPr="00CA0A60">
        <w:rPr>
          <w:rFonts w:ascii="Garamond" w:eastAsiaTheme="minorHAnsi" w:hAnsi="Garamond" w:cs="Times New Roman"/>
          <w:sz w:val="20"/>
          <w:szCs w:val="20"/>
          <w:lang w:val="es-AR"/>
        </w:rPr>
        <w:t xml:space="preserve"> 100 millones en valores negociables de emisoras, excepto de emisoras que sean afiliadas a dicha compañía de inversión o parte de la familia de compañías de inversión. “Familia de compañías de inversión” significa dos o más compañías de inversión registradas en la </w:t>
      </w:r>
      <w:r w:rsidRPr="00CA0A60">
        <w:rPr>
          <w:rFonts w:ascii="Garamond" w:eastAsiaTheme="minorHAnsi" w:hAnsi="Garamond" w:cs="Times New Roman"/>
          <w:i/>
          <w:sz w:val="20"/>
          <w:szCs w:val="20"/>
          <w:lang w:val="es-AR"/>
        </w:rPr>
        <w:t>Investment Company Act</w:t>
      </w:r>
      <w:r w:rsidRPr="00CA0A60">
        <w:rPr>
          <w:rFonts w:ascii="Garamond" w:eastAsiaTheme="minorHAnsi" w:hAnsi="Garamond" w:cs="Times New Roman"/>
          <w:sz w:val="20"/>
          <w:szCs w:val="20"/>
          <w:lang w:val="es-AR"/>
        </w:rPr>
        <w:t>, excepto por un fondo de inversión unitario (</w:t>
      </w:r>
      <w:r w:rsidRPr="00CA0A60">
        <w:rPr>
          <w:rFonts w:ascii="Garamond" w:eastAsiaTheme="minorHAnsi" w:hAnsi="Garamond" w:cs="Times New Roman"/>
          <w:i/>
          <w:sz w:val="20"/>
          <w:szCs w:val="20"/>
          <w:lang w:val="es-AR"/>
        </w:rPr>
        <w:t>unit investment trust</w:t>
      </w:r>
      <w:r w:rsidRPr="00CA0A60">
        <w:rPr>
          <w:rFonts w:ascii="Garamond" w:eastAsiaTheme="minorHAnsi" w:hAnsi="Garamond" w:cs="Times New Roman"/>
          <w:sz w:val="20"/>
          <w:szCs w:val="20"/>
          <w:lang w:val="es-AR"/>
        </w:rPr>
        <w:t xml:space="preserve">) cuyos activos consistan únicamente en acciones de una o </w:t>
      </w:r>
      <w:r w:rsidR="004112A1" w:rsidRPr="00CA0A60">
        <w:rPr>
          <w:rFonts w:ascii="Garamond" w:eastAsiaTheme="minorHAnsi" w:hAnsi="Garamond" w:cs="Times New Roman"/>
          <w:sz w:val="20"/>
          <w:szCs w:val="20"/>
          <w:lang w:val="es-AR"/>
        </w:rPr>
        <w:t>más</w:t>
      </w:r>
      <w:r w:rsidRPr="00CA0A60">
        <w:rPr>
          <w:rFonts w:ascii="Garamond" w:eastAsiaTheme="minorHAnsi" w:hAnsi="Garamond" w:cs="Times New Roman"/>
          <w:sz w:val="20"/>
          <w:szCs w:val="20"/>
          <w:lang w:val="es-AR"/>
        </w:rPr>
        <w:t xml:space="preserve"> compañías de inversión registradas, que tengan el mismo asesor de inversión (o, en el caso de un fondo de inversión unitario, el mismo depositario), estableciéndose, sin embargo, que a los efectos de esta sección:</w:t>
      </w:r>
    </w:p>
    <w:p w14:paraId="4357A966" w14:textId="77777777" w:rsidR="00941FC5" w:rsidRPr="00CA0A60" w:rsidRDefault="00941FC5"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p>
    <w:p w14:paraId="2DF60A00" w14:textId="77777777"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(A)</w:t>
      </w:r>
      <w:r w:rsidRPr="00CA0A60">
        <w:rPr>
          <w:rFonts w:ascii="Garamond" w:eastAsiaTheme="minorHAnsi" w:hAnsi="Garamond" w:cs="Times New Roman"/>
          <w:sz w:val="20"/>
          <w:szCs w:val="20"/>
          <w:lang w:val="es-AR"/>
        </w:rPr>
        <w:t xml:space="preserve"> </w:t>
      </w:r>
      <w:r w:rsidR="00547D1A" w:rsidRPr="00CA0A60">
        <w:rPr>
          <w:rFonts w:ascii="Garamond" w:eastAsiaTheme="minorHAnsi" w:hAnsi="Garamond" w:cs="Times New Roman"/>
          <w:sz w:val="20"/>
          <w:szCs w:val="20"/>
          <w:lang w:val="es-AR"/>
        </w:rPr>
        <w:t>c</w:t>
      </w:r>
      <w:r w:rsidRPr="00CA0A60">
        <w:rPr>
          <w:rFonts w:ascii="Garamond" w:eastAsiaTheme="minorHAnsi" w:hAnsi="Garamond" w:cs="Times New Roman"/>
          <w:sz w:val="20"/>
          <w:szCs w:val="20"/>
          <w:lang w:val="es-AR"/>
        </w:rPr>
        <w:t xml:space="preserve">ada una de las series de una serie de una compañía (en los términos de la Regla 18f-2 bajo la </w:t>
      </w:r>
      <w:r w:rsidRPr="00CA0A60">
        <w:rPr>
          <w:rFonts w:ascii="Garamond" w:eastAsiaTheme="minorHAnsi" w:hAnsi="Garamond" w:cs="Times New Roman"/>
          <w:i/>
          <w:sz w:val="20"/>
          <w:szCs w:val="20"/>
          <w:lang w:val="es-AR"/>
        </w:rPr>
        <w:t xml:space="preserve">Investment Company Act </w:t>
      </w:r>
      <w:r w:rsidRPr="00CA0A60">
        <w:rPr>
          <w:rFonts w:ascii="Garamond" w:eastAsiaTheme="minorHAnsi" w:hAnsi="Garamond" w:cs="Times New Roman"/>
          <w:sz w:val="20"/>
          <w:szCs w:val="20"/>
          <w:lang w:val="es-AR"/>
        </w:rPr>
        <w:t>(17 CFR 270.18f-2)) será considerada como una compañía de inversión por separado; y</w:t>
      </w:r>
    </w:p>
    <w:p w14:paraId="44690661" w14:textId="77777777" w:rsidR="00941FC5" w:rsidRPr="00CA0A60" w:rsidRDefault="00941FC5"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0194E938" w14:textId="77777777" w:rsidR="00856E23" w:rsidRPr="00CA0A60" w:rsidRDefault="00856E23"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(B)</w:t>
      </w:r>
      <w:r w:rsidRPr="00CA0A60">
        <w:rPr>
          <w:rFonts w:ascii="Garamond" w:eastAsiaTheme="minorHAnsi" w:hAnsi="Garamond" w:cs="Times New Roman"/>
          <w:sz w:val="20"/>
          <w:szCs w:val="20"/>
          <w:lang w:val="es-AR"/>
        </w:rPr>
        <w:t xml:space="preserve"> </w:t>
      </w:r>
      <w:r w:rsidR="00547D1A" w:rsidRPr="00CA0A60">
        <w:rPr>
          <w:rFonts w:ascii="Garamond" w:eastAsiaTheme="minorHAnsi" w:hAnsi="Garamond" w:cs="Times New Roman"/>
          <w:sz w:val="20"/>
          <w:szCs w:val="20"/>
          <w:lang w:val="es-AR"/>
        </w:rPr>
        <w:t>c</w:t>
      </w:r>
      <w:r w:rsidRPr="00CA0A60">
        <w:rPr>
          <w:rFonts w:ascii="Garamond" w:eastAsiaTheme="minorHAnsi" w:hAnsi="Garamond" w:cs="Times New Roman"/>
          <w:sz w:val="20"/>
          <w:szCs w:val="20"/>
          <w:lang w:val="es-AR"/>
        </w:rPr>
        <w:t>ompañías de inversión será considerada que tiene el mismo asesor (o depositante) si su asesor (o depositante) son subsidiarias con participación mayoritaria de la misma sociedad controlante, o si un asesor de una compañía de inversión (o depositante) es una subsidiaria con participación mayoritaria del otro asesor de la compañía de inversión (o depositante);</w:t>
      </w:r>
    </w:p>
    <w:p w14:paraId="74539910" w14:textId="77777777" w:rsidR="00941FC5" w:rsidRPr="00CA0A60" w:rsidRDefault="00941FC5" w:rsidP="005E14F3">
      <w:pPr>
        <w:autoSpaceDE w:val="0"/>
        <w:autoSpaceDN w:val="0"/>
        <w:adjustRightInd w:val="0"/>
        <w:spacing w:after="0" w:line="240" w:lineRule="auto"/>
        <w:ind w:left="709"/>
        <w:jc w:val="both"/>
        <w:rPr>
          <w:rFonts w:ascii="Garamond" w:eastAsiaTheme="minorHAnsi" w:hAnsi="Garamond" w:cs="Times New Roman"/>
          <w:sz w:val="20"/>
          <w:szCs w:val="20"/>
          <w:lang w:val="es-AR"/>
        </w:rPr>
      </w:pPr>
    </w:p>
    <w:p w14:paraId="62BE5A38" w14:textId="77777777" w:rsidR="00856E23" w:rsidRPr="00CA0A60" w:rsidRDefault="00856E23"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(v)</w:t>
      </w:r>
      <w:r w:rsidRPr="00CA0A60">
        <w:rPr>
          <w:rFonts w:ascii="Garamond" w:eastAsiaTheme="minorHAnsi" w:hAnsi="Garamond" w:cs="Times New Roman"/>
          <w:sz w:val="20"/>
          <w:szCs w:val="20"/>
          <w:lang w:val="es-AR"/>
        </w:rPr>
        <w:t xml:space="preserve"> </w:t>
      </w:r>
      <w:r w:rsidR="00547D1A" w:rsidRPr="00CA0A60">
        <w:rPr>
          <w:rFonts w:ascii="Garamond" w:eastAsiaTheme="minorHAnsi" w:hAnsi="Garamond" w:cs="Times New Roman"/>
          <w:sz w:val="20"/>
          <w:szCs w:val="20"/>
          <w:lang w:val="es-AR"/>
        </w:rPr>
        <w:t>c</w:t>
      </w:r>
      <w:r w:rsidRPr="00CA0A60">
        <w:rPr>
          <w:rFonts w:ascii="Garamond" w:eastAsiaTheme="minorHAnsi" w:hAnsi="Garamond" w:cs="Times New Roman"/>
          <w:sz w:val="20"/>
          <w:szCs w:val="20"/>
          <w:lang w:val="es-AR"/>
        </w:rPr>
        <w:t>ualquier entidad, respecto de los cuales los accionistas sean inversores institucionales calificado, actuando por su propia cuneta o por cuenta de otros compradores institucionales calificados; y</w:t>
      </w:r>
    </w:p>
    <w:p w14:paraId="5A7E0CF2" w14:textId="77777777" w:rsidR="00941FC5" w:rsidRPr="00CA0A60" w:rsidRDefault="00941FC5"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p>
    <w:p w14:paraId="556DD4EC" w14:textId="77777777" w:rsidR="00856E23" w:rsidRPr="00CA0A60" w:rsidRDefault="00856E23"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r w:rsidRPr="00CA0A60">
        <w:rPr>
          <w:rFonts w:ascii="Garamond" w:eastAsiaTheme="minorHAnsi" w:hAnsi="Garamond" w:cs="Times New Roman"/>
          <w:bCs/>
          <w:sz w:val="20"/>
          <w:szCs w:val="20"/>
          <w:lang w:val="es-AR"/>
        </w:rPr>
        <w:t>(vi)</w:t>
      </w:r>
      <w:r w:rsidRPr="00CA0A60">
        <w:rPr>
          <w:rFonts w:ascii="Garamond" w:eastAsiaTheme="minorHAnsi" w:hAnsi="Garamond" w:cs="Times New Roman"/>
          <w:sz w:val="20"/>
          <w:szCs w:val="20"/>
          <w:lang w:val="es-AR"/>
        </w:rPr>
        <w:t xml:space="preserve"> </w:t>
      </w:r>
      <w:r w:rsidR="00547D1A" w:rsidRPr="00CA0A60">
        <w:rPr>
          <w:rFonts w:ascii="Garamond" w:eastAsiaTheme="minorHAnsi" w:hAnsi="Garamond" w:cs="Times New Roman"/>
          <w:sz w:val="20"/>
          <w:szCs w:val="20"/>
          <w:lang w:val="es-AR"/>
        </w:rPr>
        <w:t>c</w:t>
      </w:r>
      <w:r w:rsidRPr="00CA0A60">
        <w:rPr>
          <w:rFonts w:ascii="Garamond" w:eastAsiaTheme="minorHAnsi" w:hAnsi="Garamond" w:cs="Times New Roman"/>
          <w:sz w:val="20"/>
          <w:szCs w:val="20"/>
          <w:lang w:val="es-AR"/>
        </w:rPr>
        <w:t xml:space="preserve">ualquier banco definido en los términos de la sección 3(a)(2) de la Ley de Títulos Valores Estadounidenses, cualquier asociación de ahorro y préstamo o cualquier otra institución referida en la sección 3(a)(5)(A) de la Ley de Títulos Valores Estadounidenses, o cualquier banco extranjero o asociación de ahorro y préstamos o institución equivalente, actuando por cuenta propia o por cuenta de otro comprador institucional calificado, que en forma consolidada tenga e invierta de manera discrecional al menos </w:t>
      </w:r>
      <w:r w:rsidR="00143253" w:rsidRPr="00CA0A60">
        <w:rPr>
          <w:rFonts w:ascii="Garamond" w:eastAsiaTheme="minorHAnsi" w:hAnsi="Garamond" w:cs="Times New Roman"/>
          <w:sz w:val="20"/>
          <w:szCs w:val="20"/>
          <w:lang w:val="es-AR"/>
        </w:rPr>
        <w:t>U$S</w:t>
      </w:r>
      <w:r w:rsidRPr="00CA0A60">
        <w:rPr>
          <w:rFonts w:ascii="Garamond" w:eastAsiaTheme="minorHAnsi" w:hAnsi="Garamond" w:cs="Times New Roman"/>
          <w:sz w:val="20"/>
          <w:szCs w:val="20"/>
          <w:lang w:val="es-AR"/>
        </w:rPr>
        <w:t xml:space="preserve"> 100 millones en valores negociables de emisores que no sean sus afiliadas y que tenga un patrimonio neto auditado de al menos </w:t>
      </w:r>
      <w:r w:rsidR="00143253" w:rsidRPr="00CA0A60">
        <w:rPr>
          <w:rFonts w:ascii="Garamond" w:eastAsiaTheme="minorHAnsi" w:hAnsi="Garamond" w:cs="Times New Roman"/>
          <w:sz w:val="20"/>
          <w:szCs w:val="20"/>
          <w:lang w:val="es-AR"/>
        </w:rPr>
        <w:t>U$S</w:t>
      </w:r>
      <w:r w:rsidRPr="00CA0A60">
        <w:rPr>
          <w:rFonts w:ascii="Garamond" w:eastAsiaTheme="minorHAnsi" w:hAnsi="Garamond" w:cs="Times New Roman"/>
          <w:sz w:val="20"/>
          <w:szCs w:val="20"/>
          <w:lang w:val="es-AR"/>
        </w:rPr>
        <w:t xml:space="preserve"> 25 millones, demostrado por sus más recientes estados financieros anuales, a una fecha que no sea mayor a 16 meses de la fecha de la venta bajo la Regla 144ª en caso de un banco de Estados Unidos o una asociación de ahorro y préstamo, y no mayor a 18 meses de la fecha de la venta para bancos extranjeros o asociaciones de ahorro y préstamo o instituciones equivalentes.</w:t>
      </w:r>
    </w:p>
    <w:p w14:paraId="60FA6563" w14:textId="77777777" w:rsidR="00941FC5" w:rsidRPr="00CA0A60" w:rsidRDefault="00941FC5" w:rsidP="005E14F3">
      <w:pPr>
        <w:autoSpaceDE w:val="0"/>
        <w:autoSpaceDN w:val="0"/>
        <w:adjustRightInd w:val="0"/>
        <w:spacing w:after="0" w:line="240" w:lineRule="auto"/>
        <w:ind w:firstLine="709"/>
        <w:jc w:val="both"/>
        <w:rPr>
          <w:rFonts w:ascii="Garamond" w:eastAsiaTheme="minorHAnsi" w:hAnsi="Garamond" w:cs="Times New Roman"/>
          <w:sz w:val="20"/>
          <w:szCs w:val="20"/>
          <w:lang w:val="es-AR"/>
        </w:rPr>
      </w:pPr>
    </w:p>
    <w:p w14:paraId="3B567311" w14:textId="77777777" w:rsidR="008D3779" w:rsidRPr="00CA0A60" w:rsidRDefault="008D3779" w:rsidP="005E14F3">
      <w:pPr>
        <w:spacing w:after="0" w:line="240" w:lineRule="auto"/>
        <w:jc w:val="both"/>
        <w:rPr>
          <w:rFonts w:ascii="Garamond" w:hAnsi="Garamond" w:cs="Times New Roman"/>
          <w:sz w:val="20"/>
          <w:szCs w:val="20"/>
          <w:lang w:val="es-AR"/>
        </w:rPr>
      </w:pPr>
      <w:r w:rsidRPr="00CA0A60">
        <w:rPr>
          <w:rFonts w:ascii="Garamond" w:hAnsi="Garamond" w:cs="Times New Roman"/>
          <w:sz w:val="20"/>
          <w:szCs w:val="20"/>
          <w:lang w:val="es-AR"/>
        </w:rPr>
        <w:t>En consecuencia, las Obligaciones Negociables en la Oferta Internacional no podrán ser ofrecidas ni vendidas dentro de los Estados Unidos, ni a personas estadounidenses, ni en nombre o beneficio de ellas, excepto en virtud de transacciones exentas de los requisitos de registro de la Ley de Títulos Valores Estadounidense (y de las leyes de títulos valores vigentes en cualquier estado de los Estados Unidos) o en operaciones no sujetas a tales requisitos.</w:t>
      </w:r>
    </w:p>
    <w:p w14:paraId="1AC5CDBE" w14:textId="77777777" w:rsidR="00941FC5" w:rsidRPr="00CA0A60" w:rsidRDefault="00941FC5" w:rsidP="005E14F3">
      <w:pPr>
        <w:spacing w:after="0" w:line="240" w:lineRule="auto"/>
        <w:jc w:val="both"/>
        <w:rPr>
          <w:rFonts w:ascii="Garamond" w:eastAsia="Calibri" w:hAnsi="Garamond" w:cs="Times New Roman"/>
          <w:sz w:val="20"/>
          <w:szCs w:val="20"/>
          <w:lang w:val="es-AR"/>
        </w:rPr>
      </w:pPr>
    </w:p>
    <w:p w14:paraId="12F36828" w14:textId="1A03014F" w:rsidR="008D3779" w:rsidRPr="00CA0A60" w:rsidRDefault="00856E23" w:rsidP="005E14F3">
      <w:pPr>
        <w:pStyle w:val="BodyText2Sgl"/>
        <w:spacing w:after="0"/>
        <w:ind w:firstLine="0"/>
        <w:jc w:val="both"/>
        <w:rPr>
          <w:rFonts w:ascii="Garamond" w:hAnsi="Garamond"/>
          <w:lang w:val="es-AR"/>
        </w:rPr>
      </w:pPr>
      <w:r w:rsidRPr="00CA0A60">
        <w:rPr>
          <w:rFonts w:ascii="Garamond" w:hAnsi="Garamond"/>
          <w:lang w:val="es-AR"/>
        </w:rPr>
        <w:t xml:space="preserve">En la Oferta Internacional: (i) las Obligaciones Negociables serán colocadas por los Colocadores Internacionales fuera de Argentina a través de documentos en idioma inglés que las Co-Emisoras pondrán a disposición de dichos inversores y que serán </w:t>
      </w:r>
      <w:r w:rsidR="00573BBF" w:rsidRPr="00CA0A60">
        <w:rPr>
          <w:rFonts w:ascii="Garamond" w:hAnsi="Garamond"/>
          <w:lang w:val="es-AR"/>
        </w:rPr>
        <w:t xml:space="preserve">en términos </w:t>
      </w:r>
      <w:r w:rsidRPr="00CA0A60">
        <w:rPr>
          <w:rFonts w:ascii="Garamond" w:hAnsi="Garamond"/>
          <w:lang w:val="es-AR"/>
        </w:rPr>
        <w:t>sustancialmente similares al Suplemento</w:t>
      </w:r>
      <w:r w:rsidR="00556963" w:rsidRPr="00CA0A60">
        <w:rPr>
          <w:rFonts w:ascii="Garamond" w:hAnsi="Garamond"/>
          <w:lang w:val="es-AR"/>
        </w:rPr>
        <w:t xml:space="preserve"> y al Prospecto</w:t>
      </w:r>
      <w:r w:rsidRPr="00CA0A60">
        <w:rPr>
          <w:rFonts w:ascii="Garamond" w:hAnsi="Garamond"/>
          <w:lang w:val="es-AR"/>
        </w:rPr>
        <w:t xml:space="preserve">; </w:t>
      </w:r>
      <w:r w:rsidR="00573BBF" w:rsidRPr="00CA0A60">
        <w:rPr>
          <w:rFonts w:ascii="Garamond" w:hAnsi="Garamond"/>
          <w:lang w:val="es-AR"/>
        </w:rPr>
        <w:t xml:space="preserve">y </w:t>
      </w:r>
      <w:r w:rsidRPr="00CA0A60">
        <w:rPr>
          <w:rFonts w:ascii="Garamond" w:hAnsi="Garamond"/>
          <w:lang w:val="es-AR"/>
        </w:rPr>
        <w:t xml:space="preserve">(ii) las </w:t>
      </w:r>
      <w:r w:rsidR="00606618" w:rsidRPr="00CA0A60">
        <w:rPr>
          <w:rFonts w:ascii="Garamond" w:hAnsi="Garamond"/>
          <w:lang w:val="es-AR"/>
        </w:rPr>
        <w:t>d</w:t>
      </w:r>
      <w:r w:rsidRPr="00CA0A60">
        <w:rPr>
          <w:rFonts w:ascii="Garamond" w:hAnsi="Garamond"/>
          <w:lang w:val="es-AR"/>
        </w:rPr>
        <w:t xml:space="preserve">eclaraciones de </w:t>
      </w:r>
      <w:r w:rsidR="00606618" w:rsidRPr="00CA0A60">
        <w:rPr>
          <w:rFonts w:ascii="Garamond" w:hAnsi="Garamond"/>
          <w:lang w:val="es-AR"/>
        </w:rPr>
        <w:t>i</w:t>
      </w:r>
      <w:r w:rsidRPr="00CA0A60">
        <w:rPr>
          <w:rFonts w:ascii="Garamond" w:hAnsi="Garamond"/>
          <w:lang w:val="es-AR"/>
        </w:rPr>
        <w:t>nterés que correspondan a inversores interesados en adquirir las Obligaciones Negociables a través de la Oferta Internacional, y se presenten fuera de la Argentina, tendrán la forma de formularios de suscripción (</w:t>
      </w:r>
      <w:r w:rsidRPr="00CA0A60">
        <w:rPr>
          <w:rFonts w:ascii="Garamond" w:hAnsi="Garamond"/>
          <w:i/>
          <w:lang w:val="es-AR"/>
        </w:rPr>
        <w:t>subscription agreements</w:t>
      </w:r>
      <w:r w:rsidRPr="00CA0A60">
        <w:rPr>
          <w:rFonts w:ascii="Garamond" w:hAnsi="Garamond"/>
          <w:lang w:val="es-AR"/>
        </w:rPr>
        <w:t>) con las Co-Emisoras que serán puestos a disposición de los mismos fuera de la Argentina.</w:t>
      </w:r>
      <w:r w:rsidR="008D3779" w:rsidRPr="00CA0A60">
        <w:rPr>
          <w:rFonts w:ascii="Garamond" w:hAnsi="Garamond"/>
          <w:lang w:val="es-AR"/>
        </w:rPr>
        <w:t xml:space="preserve"> </w:t>
      </w:r>
    </w:p>
    <w:p w14:paraId="342D4C27" w14:textId="77777777" w:rsidR="00941FC5" w:rsidRPr="00CA0A60" w:rsidRDefault="00941FC5" w:rsidP="005E14F3">
      <w:pPr>
        <w:pStyle w:val="BodyText2Sgl"/>
        <w:spacing w:after="0"/>
        <w:ind w:firstLine="0"/>
        <w:jc w:val="both"/>
        <w:rPr>
          <w:rFonts w:ascii="Garamond" w:hAnsi="Garamond"/>
          <w:lang w:val="es-AR"/>
        </w:rPr>
      </w:pPr>
    </w:p>
    <w:p w14:paraId="4FFFBA15" w14:textId="40BC44F4" w:rsidR="00856E23" w:rsidRPr="00CA0A60" w:rsidRDefault="00856E23" w:rsidP="005E14F3">
      <w:pPr>
        <w:pStyle w:val="BodyText2Sgl"/>
        <w:spacing w:after="0"/>
        <w:ind w:firstLine="0"/>
        <w:jc w:val="both"/>
        <w:rPr>
          <w:rFonts w:ascii="Garamond" w:hAnsi="Garamond"/>
          <w:lang w:val="es-AR"/>
        </w:rPr>
      </w:pPr>
      <w:r w:rsidRPr="00CA0A60">
        <w:rPr>
          <w:rFonts w:ascii="Garamond" w:hAnsi="Garamond"/>
          <w:lang w:val="es-AR"/>
        </w:rPr>
        <w:t>Los Colocadores Internacionales no actuarán como colocadores en firme (</w:t>
      </w:r>
      <w:r w:rsidRPr="00CA0A60">
        <w:rPr>
          <w:rFonts w:ascii="Garamond" w:hAnsi="Garamond"/>
          <w:i/>
          <w:lang w:val="es-AR"/>
        </w:rPr>
        <w:t>underwriters</w:t>
      </w:r>
      <w:r w:rsidRPr="00CA0A60">
        <w:rPr>
          <w:rFonts w:ascii="Garamond" w:hAnsi="Garamond"/>
          <w:lang w:val="es-AR"/>
        </w:rPr>
        <w:t xml:space="preserve">) ni como compradores iniciales </w:t>
      </w:r>
      <w:r w:rsidR="00606618" w:rsidRPr="00CA0A60">
        <w:rPr>
          <w:rFonts w:ascii="Garamond" w:hAnsi="Garamond"/>
          <w:i/>
          <w:lang w:val="es-AR"/>
        </w:rPr>
        <w:t xml:space="preserve">(initial purchasers) </w:t>
      </w:r>
      <w:r w:rsidRPr="00CA0A60">
        <w:rPr>
          <w:rFonts w:ascii="Garamond" w:hAnsi="Garamond"/>
          <w:lang w:val="es-AR"/>
        </w:rPr>
        <w:t>de las Obligaciones Negociables en el marco de un contrato de compra internacional. Por lo tanto, los Colocadores Internacionales no adquirirán ni realizarán venta previa de las Obligaciones Negociables.</w:t>
      </w:r>
    </w:p>
    <w:p w14:paraId="3572E399" w14:textId="77777777" w:rsidR="00941FC5" w:rsidRPr="00CA0A60" w:rsidRDefault="00941FC5" w:rsidP="005E14F3">
      <w:pPr>
        <w:pStyle w:val="BodyText2Sgl"/>
        <w:spacing w:after="0"/>
        <w:ind w:firstLine="0"/>
        <w:jc w:val="both"/>
        <w:rPr>
          <w:rFonts w:ascii="Garamond" w:hAnsi="Garamond"/>
          <w:u w:val="single"/>
          <w:lang w:val="es-AR"/>
        </w:rPr>
      </w:pPr>
    </w:p>
    <w:p w14:paraId="54057459" w14:textId="593643BF"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Las Co-Emisoras y los Colocadores Internacionales han implementado, fuera de Argentina, diversos métodos de comercialización consistentes con prácticas internacionales para la colocación de títulos en transacciones comparables (incluyendo, entre otras, </w:t>
      </w:r>
      <w:r w:rsidR="00C20FB8">
        <w:rPr>
          <w:rFonts w:ascii="Garamond" w:hAnsi="Garamond"/>
          <w:lang w:val="es-AR"/>
        </w:rPr>
        <w:t>viajes</w:t>
      </w:r>
      <w:r w:rsidRPr="00CA0A60">
        <w:rPr>
          <w:rFonts w:ascii="Garamond" w:hAnsi="Garamond"/>
          <w:lang w:val="es-AR"/>
        </w:rPr>
        <w:t xml:space="preserve"> de presentación</w:t>
      </w:r>
      <w:r w:rsidR="00C20FB8">
        <w:rPr>
          <w:rFonts w:ascii="Garamond" w:hAnsi="Garamond"/>
          <w:lang w:val="es-AR"/>
        </w:rPr>
        <w:t xml:space="preserve"> </w:t>
      </w:r>
      <w:r w:rsidR="00C20FB8">
        <w:rPr>
          <w:rFonts w:ascii="Garamond" w:hAnsi="Garamond"/>
          <w:i/>
          <w:lang w:val="es-AR"/>
        </w:rPr>
        <w:t>(roadshow)</w:t>
      </w:r>
      <w:r w:rsidRPr="00CA0A60">
        <w:rPr>
          <w:rFonts w:ascii="Garamond" w:hAnsi="Garamond"/>
          <w:lang w:val="es-AR"/>
        </w:rPr>
        <w:t xml:space="preserve">, conferencias telefónicas globales o individuales, reuniones individuales o grupales, y la distribución de los documentos de oferta y de información de marketing consistente con la información incluida en los documentos de oferta), y también </w:t>
      </w:r>
      <w:r w:rsidR="00345871" w:rsidRPr="00CA0A60">
        <w:rPr>
          <w:rFonts w:ascii="Garamond" w:hAnsi="Garamond"/>
          <w:lang w:val="es-AR"/>
        </w:rPr>
        <w:t>podrán realizar la colocación de</w:t>
      </w:r>
      <w:r w:rsidRPr="00CA0A60">
        <w:rPr>
          <w:rFonts w:ascii="Garamond" w:hAnsi="Garamond"/>
          <w:lang w:val="es-AR"/>
        </w:rPr>
        <w:t xml:space="preserve"> las Obligaciones Negociables a través de algunas de sus afiliadas. La colocación y adjudicación de las Obligaciones Negociables se realizarán a través de un proceso de </w:t>
      </w:r>
      <w:r w:rsidRPr="00CA0A60">
        <w:rPr>
          <w:rFonts w:ascii="Garamond" w:hAnsi="Garamond"/>
          <w:i/>
          <w:lang w:val="es-AR"/>
        </w:rPr>
        <w:t>book-building</w:t>
      </w:r>
      <w:r w:rsidR="007B646A" w:rsidRPr="00CA0A60">
        <w:rPr>
          <w:rFonts w:ascii="Garamond" w:hAnsi="Garamond"/>
          <w:i/>
          <w:lang w:val="es-AR"/>
        </w:rPr>
        <w:t xml:space="preserve"> </w:t>
      </w:r>
      <w:r w:rsidR="007B646A" w:rsidRPr="00CA0A60">
        <w:rPr>
          <w:rFonts w:ascii="Garamond" w:hAnsi="Garamond"/>
          <w:lang w:val="es-AR"/>
        </w:rPr>
        <w:t>o formación de libro</w:t>
      </w:r>
      <w:r w:rsidRPr="00CA0A60">
        <w:rPr>
          <w:rFonts w:ascii="Garamond" w:hAnsi="Garamond"/>
          <w:lang w:val="es-AR"/>
        </w:rPr>
        <w:t xml:space="preserve">. Una vez completado dicho proceso, los Colocadores Internacionales </w:t>
      </w:r>
      <w:r w:rsidR="00345871" w:rsidRPr="00CA0A60">
        <w:rPr>
          <w:rFonts w:ascii="Garamond" w:hAnsi="Garamond"/>
          <w:lang w:val="es-AR"/>
        </w:rPr>
        <w:t xml:space="preserve">ingresaran en base a la </w:t>
      </w:r>
      <w:r w:rsidR="007B646A" w:rsidRPr="00CA0A60">
        <w:rPr>
          <w:rFonts w:ascii="Garamond" w:hAnsi="Garamond"/>
          <w:lang w:val="es-AR"/>
        </w:rPr>
        <w:t xml:space="preserve">curva de </w:t>
      </w:r>
      <w:r w:rsidR="00345871" w:rsidRPr="00CA0A60">
        <w:rPr>
          <w:rFonts w:ascii="Garamond" w:hAnsi="Garamond"/>
          <w:lang w:val="es-AR"/>
        </w:rPr>
        <w:t xml:space="preserve">demanda recibida de los inversores </w:t>
      </w:r>
      <w:r w:rsidRPr="00CA0A60">
        <w:rPr>
          <w:rFonts w:ascii="Garamond" w:hAnsi="Garamond"/>
          <w:lang w:val="es-AR"/>
        </w:rPr>
        <w:t xml:space="preserve">las Declaraciones de Interés (conforme se define más adelante) </w:t>
      </w:r>
      <w:r w:rsidR="00473989" w:rsidRPr="00CA0A60">
        <w:rPr>
          <w:rFonts w:ascii="Garamond" w:hAnsi="Garamond"/>
          <w:lang w:val="es-AR"/>
        </w:rPr>
        <w:t>(que en el caso de los inversores que participan de la Oferta Internacional tendrán la forma de formularios de suscripción (</w:t>
      </w:r>
      <w:r w:rsidR="00473989" w:rsidRPr="00CA0A60">
        <w:rPr>
          <w:rFonts w:ascii="Garamond" w:hAnsi="Garamond"/>
          <w:i/>
          <w:lang w:val="es-AR"/>
        </w:rPr>
        <w:t>subscription agreements</w:t>
      </w:r>
      <w:r w:rsidR="00473989" w:rsidRPr="00CA0A60">
        <w:rPr>
          <w:rFonts w:ascii="Garamond" w:hAnsi="Garamond"/>
          <w:lang w:val="es-AR"/>
        </w:rPr>
        <w:t>) con las Co-Emisoras</w:t>
      </w:r>
      <w:r w:rsidRPr="00CA0A60">
        <w:rPr>
          <w:rFonts w:ascii="Garamond" w:hAnsi="Garamond"/>
          <w:lang w:val="es-AR"/>
        </w:rPr>
        <w:t xml:space="preserve">, en un registro electrónico </w:t>
      </w:r>
      <w:r w:rsidR="009D270B" w:rsidRPr="00CA0A60">
        <w:rPr>
          <w:rFonts w:ascii="Garamond" w:hAnsi="Garamond"/>
          <w:lang w:val="es-AR"/>
        </w:rPr>
        <w:t>llevado en la ciudad de</w:t>
      </w:r>
      <w:r w:rsidRPr="00CA0A60">
        <w:rPr>
          <w:rFonts w:ascii="Garamond" w:hAnsi="Garamond"/>
          <w:lang w:val="es-AR"/>
        </w:rPr>
        <w:t xml:space="preserve"> Nueva York, de conformidad con las prácticas comunes y las normas aplicables descriptas en mayor detalle en la sección “―</w:t>
      </w:r>
      <w:r w:rsidRPr="00CA0A60">
        <w:rPr>
          <w:rFonts w:ascii="Garamond" w:hAnsi="Garamond"/>
          <w:i/>
          <w:lang w:val="es-AR"/>
        </w:rPr>
        <w:t>Colocación y Adjudicación</w:t>
      </w:r>
      <w:r w:rsidRPr="00CA0A60">
        <w:rPr>
          <w:rFonts w:ascii="Garamond" w:hAnsi="Garamond"/>
          <w:lang w:val="es-AR"/>
        </w:rPr>
        <w:t>”, a continuación.</w:t>
      </w:r>
    </w:p>
    <w:p w14:paraId="6CEB15CE" w14:textId="77777777" w:rsidR="00941FC5" w:rsidRPr="00CA0A60" w:rsidRDefault="00941FC5" w:rsidP="005E14F3">
      <w:pPr>
        <w:pStyle w:val="BodyText2Sgl"/>
        <w:spacing w:after="0"/>
        <w:ind w:firstLine="0"/>
        <w:jc w:val="both"/>
        <w:rPr>
          <w:rFonts w:ascii="Garamond" w:hAnsi="Garamond"/>
          <w:lang w:val="es-AR"/>
        </w:rPr>
      </w:pPr>
    </w:p>
    <w:p w14:paraId="1DF6FBA2" w14:textId="77777777" w:rsidR="008D3779" w:rsidRPr="00CA0A60" w:rsidRDefault="008D3779" w:rsidP="005E14F3">
      <w:pPr>
        <w:keepNext/>
        <w:spacing w:after="0" w:line="240" w:lineRule="auto"/>
        <w:jc w:val="both"/>
        <w:rPr>
          <w:rFonts w:ascii="Garamond" w:hAnsi="Garamond"/>
          <w:b/>
          <w:sz w:val="20"/>
          <w:szCs w:val="20"/>
          <w:lang w:val="es-AR"/>
        </w:rPr>
      </w:pPr>
      <w:r w:rsidRPr="00CA0A60">
        <w:rPr>
          <w:rFonts w:ascii="Garamond" w:hAnsi="Garamond"/>
          <w:b/>
          <w:sz w:val="20"/>
          <w:szCs w:val="20"/>
          <w:lang w:val="es-AR"/>
        </w:rPr>
        <w:t>Oferta Local</w:t>
      </w:r>
    </w:p>
    <w:p w14:paraId="66518E39" w14:textId="77777777" w:rsidR="00941FC5" w:rsidRPr="00CA0A60" w:rsidRDefault="00941FC5" w:rsidP="005E14F3">
      <w:pPr>
        <w:keepNext/>
        <w:spacing w:after="0" w:line="240" w:lineRule="auto"/>
        <w:jc w:val="both"/>
        <w:rPr>
          <w:rFonts w:ascii="Garamond" w:hAnsi="Garamond"/>
          <w:b/>
          <w:sz w:val="20"/>
          <w:szCs w:val="20"/>
          <w:lang w:val="es-AR"/>
        </w:rPr>
      </w:pPr>
    </w:p>
    <w:p w14:paraId="42A0D242" w14:textId="77777777" w:rsidR="008D3779" w:rsidRPr="00713D6E"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Las </w:t>
      </w:r>
      <w:r w:rsidR="00F40195" w:rsidRPr="00CA0A60">
        <w:rPr>
          <w:rFonts w:ascii="Garamond" w:hAnsi="Garamond"/>
          <w:lang w:val="es-AR"/>
        </w:rPr>
        <w:t>O</w:t>
      </w:r>
      <w:r w:rsidRPr="00CA0A60">
        <w:rPr>
          <w:rFonts w:ascii="Garamond" w:hAnsi="Garamond"/>
          <w:lang w:val="es-AR"/>
        </w:rPr>
        <w:t xml:space="preserve">bligaciones </w:t>
      </w:r>
      <w:r w:rsidR="00F40195" w:rsidRPr="00CA0A60">
        <w:rPr>
          <w:rFonts w:ascii="Garamond" w:hAnsi="Garamond"/>
          <w:lang w:val="es-AR"/>
        </w:rPr>
        <w:t>N</w:t>
      </w:r>
      <w:r w:rsidRPr="00CA0A60">
        <w:rPr>
          <w:rFonts w:ascii="Garamond" w:hAnsi="Garamond"/>
          <w:lang w:val="es-AR"/>
        </w:rPr>
        <w:t>egociables serán colocadas en Argentina por medio de una oferta que cumplirá con todos los requisitos de una oferta pública, de conformidad con la Ley de Mercado de Capitales, las Normas de la CNV y las demás leyes argentinas aplicables.</w:t>
      </w:r>
      <w:r w:rsidRPr="00CA3A3D">
        <w:rPr>
          <w:rFonts w:ascii="Garamond" w:hAnsi="Garamond"/>
          <w:b/>
          <w:i/>
          <w:lang w:val="es-AR"/>
        </w:rPr>
        <w:t xml:space="preserve"> </w:t>
      </w:r>
      <w:r w:rsidRPr="00CA0A60">
        <w:rPr>
          <w:rFonts w:ascii="Garamond" w:hAnsi="Garamond"/>
          <w:lang w:val="es-AR"/>
        </w:rPr>
        <w:t>La Oferta Local será realizada por medio del presente Suplemento.</w:t>
      </w:r>
    </w:p>
    <w:p w14:paraId="7E75FCD0" w14:textId="77777777" w:rsidR="00941FC5" w:rsidRPr="00CA0A60" w:rsidRDefault="00941FC5" w:rsidP="005E14F3">
      <w:pPr>
        <w:pStyle w:val="BodyText2Sgl"/>
        <w:spacing w:after="0"/>
        <w:ind w:firstLine="0"/>
        <w:jc w:val="both"/>
        <w:rPr>
          <w:rFonts w:ascii="Garamond" w:hAnsi="Garamond"/>
          <w:lang w:val="es-AR"/>
        </w:rPr>
      </w:pPr>
    </w:p>
    <w:p w14:paraId="5CE1AA0D" w14:textId="43251F80"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Las Co-Emisoras y los Agentes Colocadores Locales celebrarán un contrato de colocación con el objeto de que los Agentes Colocadores Locales realicen sus mejores esfuerzos para colocar mediante oferta pública en la República Argentina las Obligaciones Negociables por cuenta y orden de las Co-Emisoras conforme los procedimientos usuales en el mercado de capitales de la Argentina. </w:t>
      </w:r>
    </w:p>
    <w:p w14:paraId="10FDAA0E" w14:textId="77777777" w:rsidR="00941FC5" w:rsidRPr="00CA0A60" w:rsidRDefault="00941FC5" w:rsidP="005E14F3">
      <w:pPr>
        <w:pStyle w:val="BodyText2Sgl"/>
        <w:spacing w:after="0"/>
        <w:ind w:firstLine="0"/>
        <w:jc w:val="both"/>
        <w:rPr>
          <w:rFonts w:ascii="Garamond" w:hAnsi="Garamond"/>
          <w:lang w:val="es-AR"/>
        </w:rPr>
      </w:pPr>
    </w:p>
    <w:p w14:paraId="14D11461" w14:textId="151ED6C2"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Los Agentes Colocadores Locales </w:t>
      </w:r>
      <w:r w:rsidR="00F23F50" w:rsidRPr="00F23F50">
        <w:rPr>
          <w:rFonts w:ascii="Garamond" w:hAnsi="Garamond"/>
          <w:lang w:val="es-AR"/>
        </w:rPr>
        <w:t>realizarán su actividad de colocación de las Obligaciones Negociables en la República Argentina</w:t>
      </w:r>
      <w:r w:rsidR="00F23F50">
        <w:rPr>
          <w:rFonts w:ascii="Garamond" w:hAnsi="Garamond"/>
          <w:lang w:val="es-AR"/>
        </w:rPr>
        <w:t>, y</w:t>
      </w:r>
      <w:r w:rsidR="00F23F50" w:rsidRPr="00F23F50">
        <w:rPr>
          <w:rFonts w:ascii="Garamond" w:hAnsi="Garamond"/>
          <w:lang w:val="es-AR"/>
        </w:rPr>
        <w:t xml:space="preserve"> </w:t>
      </w:r>
      <w:r w:rsidRPr="00CA0A60">
        <w:rPr>
          <w:rFonts w:ascii="Garamond" w:hAnsi="Garamond"/>
          <w:lang w:val="es-AR"/>
        </w:rPr>
        <w:t xml:space="preserve">solo podrán solicitar o recibir Declaraciones de Interés (según se define a continuación) de </w:t>
      </w:r>
      <w:r w:rsidR="00F23F50">
        <w:rPr>
          <w:rFonts w:ascii="Garamond" w:hAnsi="Garamond"/>
          <w:lang w:val="es-AR"/>
        </w:rPr>
        <w:t>I</w:t>
      </w:r>
      <w:r w:rsidRPr="00CA0A60">
        <w:rPr>
          <w:rFonts w:ascii="Garamond" w:hAnsi="Garamond"/>
          <w:lang w:val="es-AR"/>
        </w:rPr>
        <w:t xml:space="preserve">nversores </w:t>
      </w:r>
      <w:r w:rsidR="00100D85">
        <w:rPr>
          <w:rFonts w:ascii="Garamond" w:hAnsi="Garamond"/>
          <w:lang w:val="es-AR"/>
        </w:rPr>
        <w:t>Cali</w:t>
      </w:r>
      <w:r w:rsidR="00F23F50">
        <w:rPr>
          <w:rFonts w:ascii="Garamond" w:hAnsi="Garamond"/>
          <w:lang w:val="es-AR"/>
        </w:rPr>
        <w:t xml:space="preserve">ficados </w:t>
      </w:r>
      <w:r w:rsidR="00520741">
        <w:rPr>
          <w:rFonts w:ascii="Garamond" w:hAnsi="Garamond"/>
          <w:lang w:val="es-AR"/>
        </w:rPr>
        <w:t>en</w:t>
      </w:r>
      <w:r w:rsidRPr="00CA0A60">
        <w:rPr>
          <w:rFonts w:ascii="Garamond" w:hAnsi="Garamond"/>
          <w:lang w:val="es-AR"/>
        </w:rPr>
        <w:t xml:space="preserve"> Argentina.</w:t>
      </w:r>
    </w:p>
    <w:p w14:paraId="774AF2BF" w14:textId="77777777" w:rsidR="00941FC5" w:rsidRPr="00CA0A60" w:rsidRDefault="00941FC5" w:rsidP="005E14F3">
      <w:pPr>
        <w:pStyle w:val="BodyText2Sgl"/>
        <w:spacing w:after="0"/>
        <w:ind w:firstLine="0"/>
        <w:jc w:val="both"/>
        <w:rPr>
          <w:rFonts w:ascii="Garamond" w:hAnsi="Garamond"/>
          <w:lang w:val="es-AR"/>
        </w:rPr>
      </w:pPr>
    </w:p>
    <w:p w14:paraId="7E2486C3" w14:textId="77777777" w:rsidR="008D3779" w:rsidRPr="00CA0A60" w:rsidRDefault="008D3779" w:rsidP="005E14F3">
      <w:pPr>
        <w:keepNext/>
        <w:spacing w:after="0" w:line="240" w:lineRule="auto"/>
        <w:jc w:val="both"/>
        <w:rPr>
          <w:rFonts w:ascii="Garamond" w:hAnsi="Garamond"/>
          <w:b/>
          <w:sz w:val="20"/>
          <w:szCs w:val="20"/>
          <w:lang w:val="es-AR"/>
        </w:rPr>
      </w:pPr>
      <w:r w:rsidRPr="00CA0A60">
        <w:rPr>
          <w:rFonts w:ascii="Garamond" w:hAnsi="Garamond"/>
          <w:b/>
          <w:sz w:val="20"/>
          <w:szCs w:val="20"/>
          <w:lang w:val="es-AR"/>
        </w:rPr>
        <w:t>Colocación y Adjudicación</w:t>
      </w:r>
    </w:p>
    <w:p w14:paraId="7A292896" w14:textId="77777777" w:rsidR="00941FC5" w:rsidRPr="00CA0A60" w:rsidRDefault="00941FC5" w:rsidP="005E14F3">
      <w:pPr>
        <w:keepNext/>
        <w:spacing w:after="0" w:line="240" w:lineRule="auto"/>
        <w:jc w:val="both"/>
        <w:rPr>
          <w:sz w:val="20"/>
          <w:lang w:val="es-AR"/>
        </w:rPr>
      </w:pPr>
    </w:p>
    <w:p w14:paraId="67B3546E" w14:textId="79598A3D" w:rsidR="008D3779" w:rsidRPr="00CA0A60" w:rsidRDefault="008D3779" w:rsidP="005E14F3">
      <w:pPr>
        <w:pStyle w:val="TitleBI"/>
        <w:spacing w:after="0"/>
        <w:jc w:val="both"/>
        <w:rPr>
          <w:rFonts w:ascii="Garamond" w:hAnsi="Garamond"/>
          <w:lang w:val="es-AR"/>
        </w:rPr>
      </w:pPr>
      <w:r w:rsidRPr="00CA0A60">
        <w:rPr>
          <w:rFonts w:ascii="Garamond" w:hAnsi="Garamond"/>
          <w:lang w:val="es-AR"/>
        </w:rPr>
        <w:t>Esfuerzos de colocación</w:t>
      </w:r>
    </w:p>
    <w:p w14:paraId="2191599E" w14:textId="77777777" w:rsidR="00941FC5" w:rsidRPr="00CA0A60" w:rsidRDefault="00941FC5" w:rsidP="005E14F3">
      <w:pPr>
        <w:spacing w:after="0" w:line="240" w:lineRule="auto"/>
        <w:rPr>
          <w:lang w:val="es-AR"/>
        </w:rPr>
      </w:pPr>
    </w:p>
    <w:p w14:paraId="4C502467" w14:textId="487FD2F9"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Las Co-Emisoras y los Agentes Colocadores Locales lanzarán esfuerzos de comercialización y ofrecerán las Obligaciones Negociables por medio de una oferta pública en Argentina de conformidad con la Ley de Mercado de Capitales, las Normas de la CNV y las demás leyes argentinas aplicables, incluyendo, entre otras, el Capítulo IV, Título VI de las Normas de la CNV. Las Co-Emisoras y los Colocadores Internacionales (conforme a las instrucciones y bajo la dirección de las Co-Emisoras) también lanzarán iniciativas de comercialización para la colocación de las Obligaciones Negociables con inversores fuera de Argentina, de conformidad con las leyes vigentes en las jurisdicciones correspondientes.</w:t>
      </w:r>
    </w:p>
    <w:p w14:paraId="7673E5AE" w14:textId="77777777" w:rsidR="00941FC5" w:rsidRPr="00CA0A60" w:rsidRDefault="00941FC5" w:rsidP="005E14F3">
      <w:pPr>
        <w:pStyle w:val="BodyText2Sgl"/>
        <w:spacing w:after="0"/>
        <w:ind w:firstLine="0"/>
        <w:jc w:val="both"/>
        <w:rPr>
          <w:rFonts w:ascii="Garamond" w:hAnsi="Garamond"/>
          <w:lang w:val="es-AR"/>
        </w:rPr>
      </w:pPr>
    </w:p>
    <w:p w14:paraId="1A0440E0" w14:textId="10EF9109" w:rsidR="008D3779" w:rsidRPr="00CA0A60" w:rsidRDefault="00CB7F3B" w:rsidP="005E14F3">
      <w:pPr>
        <w:pStyle w:val="BodyText2Sgl"/>
        <w:spacing w:after="0"/>
        <w:ind w:firstLine="0"/>
        <w:jc w:val="both"/>
        <w:rPr>
          <w:rFonts w:ascii="Garamond" w:hAnsi="Garamond"/>
          <w:lang w:val="es-AR"/>
        </w:rPr>
      </w:pPr>
      <w:r w:rsidRPr="00CA0A60">
        <w:rPr>
          <w:rFonts w:ascii="Garamond" w:hAnsi="Garamond"/>
          <w:lang w:val="es-AR"/>
        </w:rPr>
        <w:t>Las iniciativas de colocación consistirán en diversos métodos y actividades de comercialización comúnmente implementados en transacciones de este tipo. Dichos esfuerzos de comercialización pueden incluir: (i) realización de reuniones informativas internacionales y/o locales con potenciales inversores calificados; (ii) conversaciones telefónicas con potenciales inversores institucionales, en las que estos tendrán la oportunidad de formular preguntas sobre las operaciones de las Co-Emisoras y del Garante y las Obligaciones Negociables; (iii) puesta a disposición y/o distribución (ya sea copia impresa y/o distribución electrónica) a los potenciales inversores calificados (por correo electrónico y/o de cualquier otro modo que estimaren conveniente) del Prospecto y/o Suplemento y/o versiones preliminares del mismo,</w:t>
      </w:r>
      <w:r w:rsidR="00353B50">
        <w:rPr>
          <w:rFonts w:ascii="Garamond" w:hAnsi="Garamond"/>
          <w:lang w:val="es-AR"/>
        </w:rPr>
        <w:t xml:space="preserve"> así como</w:t>
      </w:r>
      <w:r w:rsidRPr="00CA0A60">
        <w:rPr>
          <w:rFonts w:ascii="Garamond" w:hAnsi="Garamond"/>
          <w:lang w:val="es-AR"/>
        </w:rPr>
        <w:t xml:space="preserve"> una síntesis de los términos y condiciones de las Obligaciones Negociables Clase II</w:t>
      </w:r>
      <w:r w:rsidR="00353B50">
        <w:rPr>
          <w:rFonts w:ascii="Garamond" w:hAnsi="Garamond"/>
          <w:lang w:val="es-AR"/>
        </w:rPr>
        <w:t xml:space="preserve"> y los documentos definitivos de la transacción</w:t>
      </w:r>
      <w:r w:rsidRPr="00CA0A60">
        <w:rPr>
          <w:rFonts w:ascii="Garamond" w:hAnsi="Garamond"/>
          <w:lang w:val="es-AR"/>
        </w:rPr>
        <w:t>; (iv) la publicación de un resumen del Prospecto y del presente Suplemento (que contendrá información sustancialmente similar a la contenida en el Prospecto y en el presente Suplemento) en el Boletín Diario de la BCBA, en el Boletín Electrónico del MAE y la publicación de otras notificaciones en periódicos y boletines; (v) puesta a disposición y/o la distribución (electrónica o en soporte físico) del Prospecto y del presente Suplemento en Argentina y de los documentos de la oferta de las Obligaciones Negociables en idioma inglés fuera de la Argentina; (vi) la puesta a disposición de los potenciales inversores calificados de copias en soporte físico del Prospecto y de los documentos de la oferta de las Obligaciones Negociables en idioma inglés, así como cierta otra información razonable que de tiempo en tiempo soliciten los potenciales inversionistas a las Co-Emisoras en las oficinas de las Co-Emisoras y de los Colocadores que se detallan en la última página del presente Suplemento; (vii) publicación de uno o más avisos comerciales en uno o más diarios de circulación general en Argentina en los cuales se indiquen las fechas de inicio y finalización del Período de Oferta y de la Fecha de Adjudicación; y/o (viii) cualquier otro acto de marketing o distribución del material que las Compañías, en conjunto con los Colocadores, pudieran considerar oportunamente adecuados.</w:t>
      </w:r>
    </w:p>
    <w:p w14:paraId="041D98D7" w14:textId="77777777" w:rsidR="00941FC5" w:rsidRPr="00CA0A60" w:rsidRDefault="00941FC5" w:rsidP="005E14F3">
      <w:pPr>
        <w:pStyle w:val="BodyText2Sgl"/>
        <w:spacing w:after="0"/>
        <w:ind w:firstLine="0"/>
        <w:jc w:val="both"/>
        <w:rPr>
          <w:rFonts w:ascii="Garamond" w:hAnsi="Garamond"/>
          <w:lang w:val="es-AR"/>
        </w:rPr>
      </w:pPr>
    </w:p>
    <w:p w14:paraId="639AB776" w14:textId="77777777" w:rsidR="008D3779" w:rsidRPr="00CA0A60" w:rsidRDefault="008D3779" w:rsidP="005E14F3">
      <w:pPr>
        <w:pStyle w:val="TitleBI"/>
        <w:spacing w:after="0"/>
        <w:jc w:val="both"/>
        <w:rPr>
          <w:rFonts w:ascii="Garamond" w:hAnsi="Garamond"/>
          <w:lang w:val="es-AR"/>
        </w:rPr>
      </w:pPr>
      <w:r w:rsidRPr="00CA0A60">
        <w:rPr>
          <w:rFonts w:ascii="Garamond" w:hAnsi="Garamond"/>
          <w:lang w:val="es-AR"/>
        </w:rPr>
        <w:t>Book-Building</w:t>
      </w:r>
    </w:p>
    <w:p w14:paraId="5AB7C0C5" w14:textId="77777777" w:rsidR="0085059C" w:rsidRPr="00CA0A60" w:rsidRDefault="0085059C" w:rsidP="005E14F3">
      <w:pPr>
        <w:pStyle w:val="BodyText2Sgl"/>
        <w:spacing w:after="0"/>
        <w:ind w:firstLine="0"/>
        <w:jc w:val="both"/>
        <w:rPr>
          <w:rFonts w:ascii="Garamond" w:hAnsi="Garamond"/>
          <w:lang w:val="es-AR"/>
        </w:rPr>
      </w:pPr>
    </w:p>
    <w:p w14:paraId="41B1580B" w14:textId="5BB3A92E"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La presente oferta se destina únicamente a inversores calificados que se encuentren dentro de las categorías indicadas en el Artículo 12, Sección I del Capítulo VI, Título II de las Normas de la CNV.</w:t>
      </w:r>
    </w:p>
    <w:p w14:paraId="55B33694" w14:textId="77777777" w:rsidR="0085059C" w:rsidRPr="00CA0A60" w:rsidRDefault="0085059C" w:rsidP="005E14F3">
      <w:pPr>
        <w:pStyle w:val="BodyText2Sgl"/>
        <w:spacing w:after="0"/>
        <w:ind w:firstLine="0"/>
        <w:jc w:val="both"/>
        <w:rPr>
          <w:rFonts w:ascii="Garamond" w:hAnsi="Garamond"/>
          <w:lang w:val="es-AR"/>
        </w:rPr>
      </w:pPr>
    </w:p>
    <w:p w14:paraId="6E04696F" w14:textId="77777777" w:rsidR="00856E23" w:rsidRPr="00CA0A60" w:rsidRDefault="00856E23" w:rsidP="005E14F3">
      <w:pPr>
        <w:pStyle w:val="BodyText2Sgl"/>
        <w:spacing w:after="0"/>
        <w:ind w:firstLine="0"/>
        <w:jc w:val="both"/>
        <w:rPr>
          <w:rFonts w:ascii="Garamond" w:hAnsi="Garamond"/>
          <w:lang w:val="es-AR"/>
        </w:rPr>
      </w:pPr>
      <w:r w:rsidRPr="00CA0A60">
        <w:rPr>
          <w:rFonts w:ascii="Garamond" w:hAnsi="Garamond"/>
          <w:lang w:val="es-AR"/>
        </w:rPr>
        <w:t>De conformidad con lo establecido por el Artículo 27 del Capítulo V de Título II de las Normas de la CNV, la colocación de valores negociables debe realizarse por alguno de los mecanismos previstos en el Capítulo IV del Título VI de las Normas de la CNV. Asimismo, el Artículo 1 de la Sección I del Capítulo IV del Título VI de las Normas de la CNV establece que las emisoras podrán optar por colocar los valores negociables por medio de (i) formación de libro, o (ii) subasta o licitación pública. La colocación de las Obligaciones Negociables se realizará de conformidad con el proceso de</w:t>
      </w:r>
      <w:r w:rsidRPr="00CA0A60">
        <w:rPr>
          <w:rFonts w:ascii="Garamond" w:hAnsi="Garamond"/>
          <w:i/>
          <w:lang w:val="es-AR"/>
        </w:rPr>
        <w:t xml:space="preserve"> “book-building”</w:t>
      </w:r>
      <w:r w:rsidRPr="00CA0A60">
        <w:rPr>
          <w:rFonts w:ascii="Garamond" w:hAnsi="Garamond"/>
          <w:lang w:val="es-AR"/>
        </w:rPr>
        <w:t xml:space="preserve"> o formación de libro, que estará a cargo de las Co-emisoras en función de la información que entregarán los Colocadores Internacionales en base a la demanda recibida de los inversores. </w:t>
      </w:r>
    </w:p>
    <w:p w14:paraId="4455F193" w14:textId="77777777" w:rsidR="0085059C" w:rsidRPr="00CA0A60" w:rsidRDefault="0085059C" w:rsidP="005E14F3">
      <w:pPr>
        <w:pStyle w:val="BodyText2Sgl"/>
        <w:spacing w:after="0"/>
        <w:ind w:firstLine="0"/>
        <w:jc w:val="both"/>
        <w:rPr>
          <w:rFonts w:ascii="Garamond" w:hAnsi="Garamond"/>
          <w:lang w:val="es-AR"/>
        </w:rPr>
      </w:pPr>
    </w:p>
    <w:p w14:paraId="6E2A2272" w14:textId="2115FC0A"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Los </w:t>
      </w:r>
      <w:r w:rsidR="00473FFA">
        <w:rPr>
          <w:rFonts w:ascii="Garamond" w:hAnsi="Garamond"/>
          <w:lang w:val="es-AR"/>
        </w:rPr>
        <w:t>I</w:t>
      </w:r>
      <w:r w:rsidRPr="00CA0A60">
        <w:rPr>
          <w:rFonts w:ascii="Garamond" w:hAnsi="Garamond"/>
          <w:lang w:val="es-AR"/>
        </w:rPr>
        <w:t xml:space="preserve">nversores </w:t>
      </w:r>
      <w:r w:rsidR="00473FFA">
        <w:rPr>
          <w:rFonts w:ascii="Garamond" w:hAnsi="Garamond"/>
          <w:lang w:val="es-AR"/>
        </w:rPr>
        <w:t>C</w:t>
      </w:r>
      <w:r w:rsidRPr="00CA0A60">
        <w:rPr>
          <w:rFonts w:ascii="Garamond" w:hAnsi="Garamond"/>
          <w:lang w:val="es-AR"/>
        </w:rPr>
        <w:t>alificados interesados en adquirir las Obligaciones Negociables deberán presentar declaraciones de interés (cada una, una “</w:t>
      </w:r>
      <w:r w:rsidRPr="00CA0A60">
        <w:rPr>
          <w:rFonts w:ascii="Garamond" w:hAnsi="Garamond"/>
          <w:u w:val="single"/>
          <w:lang w:val="es-AR"/>
        </w:rPr>
        <w:t>Declaración de Interés</w:t>
      </w:r>
      <w:r w:rsidRPr="00CA0A60">
        <w:rPr>
          <w:rFonts w:ascii="Garamond" w:hAnsi="Garamond"/>
          <w:lang w:val="es-AR"/>
        </w:rPr>
        <w:t xml:space="preserve">”) en las que especifiquen </w:t>
      </w:r>
      <w:r w:rsidR="00473FFA">
        <w:rPr>
          <w:rFonts w:ascii="Garamond" w:hAnsi="Garamond"/>
          <w:lang w:val="es-AR"/>
        </w:rPr>
        <w:t xml:space="preserve">(i) </w:t>
      </w:r>
      <w:r w:rsidRPr="00CA0A60">
        <w:rPr>
          <w:rFonts w:ascii="Garamond" w:hAnsi="Garamond"/>
          <w:lang w:val="es-AR"/>
        </w:rPr>
        <w:t xml:space="preserve">el monto nominal de </w:t>
      </w:r>
      <w:r w:rsidR="00487DC7" w:rsidRPr="00CA0A60">
        <w:rPr>
          <w:rFonts w:ascii="Garamond" w:hAnsi="Garamond"/>
          <w:lang w:val="es-AR"/>
        </w:rPr>
        <w:t>capital</w:t>
      </w:r>
      <w:r w:rsidRPr="00CA0A60">
        <w:rPr>
          <w:rFonts w:ascii="Garamond" w:hAnsi="Garamond"/>
          <w:lang w:val="es-AR"/>
        </w:rPr>
        <w:t xml:space="preserve"> de Obligaciones Negociables que deseen adquirir, el cual no podrá ser menor a USD </w:t>
      </w:r>
      <w:r w:rsidR="0070602E">
        <w:rPr>
          <w:rFonts w:ascii="Garamond" w:hAnsi="Garamond"/>
          <w:lang w:val="es-AR"/>
        </w:rPr>
        <w:t>5</w:t>
      </w:r>
      <w:r w:rsidRPr="00CA0A60">
        <w:rPr>
          <w:rFonts w:ascii="Garamond" w:hAnsi="Garamond"/>
          <w:lang w:val="es-AR"/>
        </w:rPr>
        <w:t>0.000 y deberá ser expresado en múltiplos enteros de USD 1.000</w:t>
      </w:r>
      <w:r w:rsidR="00473FFA">
        <w:rPr>
          <w:rFonts w:ascii="Garamond" w:hAnsi="Garamond"/>
          <w:lang w:val="es-AR"/>
        </w:rPr>
        <w:t xml:space="preserve">; y (ii) </w:t>
      </w:r>
      <w:r w:rsidR="00473FFA" w:rsidRPr="00582114">
        <w:rPr>
          <w:rFonts w:ascii="Garamond" w:hAnsi="Garamond"/>
          <w:lang w:val="es-AR"/>
        </w:rPr>
        <w:t>la tasa de interés aplicable</w:t>
      </w:r>
      <w:r w:rsidRPr="00CA0A60">
        <w:rPr>
          <w:rFonts w:ascii="Garamond" w:hAnsi="Garamond"/>
          <w:lang w:val="es-AR"/>
        </w:rPr>
        <w:t xml:space="preserve">. </w:t>
      </w:r>
    </w:p>
    <w:p w14:paraId="1C2776EB" w14:textId="77777777" w:rsidR="0085059C" w:rsidRPr="00CA0A60" w:rsidRDefault="0085059C" w:rsidP="005E14F3">
      <w:pPr>
        <w:pStyle w:val="BodyText2Sgl"/>
        <w:spacing w:after="0"/>
        <w:ind w:firstLine="0"/>
        <w:jc w:val="both"/>
        <w:rPr>
          <w:rFonts w:ascii="Garamond" w:hAnsi="Garamond"/>
          <w:lang w:val="es-AR"/>
        </w:rPr>
      </w:pPr>
    </w:p>
    <w:p w14:paraId="17EEE376" w14:textId="6372C4A7"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En el caso que las Declaraciones de Interés correspondan a inversores interesados en adquirir las Obligaciones Negociables a través de la Oferta Internacional, y se presenten fuera de la Argentina, las mismas tendrán la forma de contratos y/o formularios de suscripción que serán puestos a disposición de los inversores calificados fuera de la República Argentina. Los inversores interesados en adquirir las Obligaciones Negociables solamente podrán integrar en efectivo las Obligaciones Negociables que se les adjudiquen conforme los indicado en la sección “</w:t>
      </w:r>
      <w:r w:rsidRPr="00CA0A60">
        <w:rPr>
          <w:rFonts w:ascii="Garamond" w:hAnsi="Garamond"/>
          <w:i/>
          <w:lang w:val="es-AR"/>
        </w:rPr>
        <w:t>Adjudicación</w:t>
      </w:r>
      <w:r w:rsidRPr="00CA0A60">
        <w:rPr>
          <w:rFonts w:ascii="Garamond" w:hAnsi="Garamond"/>
          <w:lang w:val="es-AR"/>
        </w:rPr>
        <w:t>”.</w:t>
      </w:r>
    </w:p>
    <w:p w14:paraId="15342E60" w14:textId="77777777" w:rsidR="0085059C" w:rsidRPr="00CA0A60" w:rsidRDefault="0085059C" w:rsidP="005E14F3">
      <w:pPr>
        <w:pStyle w:val="BodyText2Sgl"/>
        <w:spacing w:after="0"/>
        <w:ind w:firstLine="0"/>
        <w:jc w:val="both"/>
        <w:rPr>
          <w:rFonts w:ascii="Garamond" w:hAnsi="Garamond"/>
          <w:lang w:val="es-AR"/>
        </w:rPr>
      </w:pPr>
    </w:p>
    <w:p w14:paraId="678E74E7" w14:textId="34DC0627" w:rsidR="003B08AA"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Tal como se describe más adelante, se registrarán las Declaraciones de Interés recibidas de los inversores y de los Agentes Colocadores Locales fuera y dentro de Argentina, respectivamente, </w:t>
      </w:r>
      <w:r w:rsidR="00856E23" w:rsidRPr="00CA0A60">
        <w:rPr>
          <w:rFonts w:ascii="Garamond" w:hAnsi="Garamond"/>
          <w:lang w:val="es-AR"/>
        </w:rPr>
        <w:t xml:space="preserve">que serán ingresadas por </w:t>
      </w:r>
      <w:r w:rsidR="003359CD">
        <w:rPr>
          <w:rFonts w:ascii="Garamond" w:hAnsi="Garamond"/>
          <w:lang w:val="es-AR"/>
        </w:rPr>
        <w:t>las Co-Emisoras</w:t>
      </w:r>
      <w:r w:rsidR="00856E23" w:rsidRPr="00CA0A60">
        <w:rPr>
          <w:rFonts w:ascii="Garamond" w:hAnsi="Garamond"/>
          <w:lang w:val="es-AR"/>
        </w:rPr>
        <w:t xml:space="preserve"> en base a la demanda recibida de los inversores en un libro de</w:t>
      </w:r>
      <w:r w:rsidRPr="00CA0A60">
        <w:rPr>
          <w:rFonts w:ascii="Garamond" w:hAnsi="Garamond"/>
          <w:lang w:val="es-AR"/>
        </w:rPr>
        <w:t xml:space="preserve"> registro electrónico </w:t>
      </w:r>
      <w:r w:rsidR="00B04B49" w:rsidRPr="00CA0A60">
        <w:rPr>
          <w:rFonts w:ascii="Garamond" w:hAnsi="Garamond"/>
          <w:lang w:val="es-AR"/>
        </w:rPr>
        <w:t xml:space="preserve">llevado </w:t>
      </w:r>
      <w:r w:rsidRPr="00CA0A60">
        <w:rPr>
          <w:rFonts w:ascii="Garamond" w:hAnsi="Garamond"/>
          <w:lang w:val="es-AR"/>
        </w:rPr>
        <w:t>en la Ciudad de Nueva York, de conformidad con las prácticas habituales para este tipo de oferta internacional en los Estados Unidos y las reglas aplicables de conformidad con el Artículo 1, Sección I, Capítulo IV, Título VI de las Normas de la CNV.</w:t>
      </w:r>
      <w:r w:rsidR="003B08AA" w:rsidRPr="00CA0A60">
        <w:rPr>
          <w:rFonts w:ascii="Garamond" w:hAnsi="Garamond"/>
          <w:lang w:val="es-AR"/>
        </w:rPr>
        <w:t xml:space="preserve"> Tal como se describe más adelante, en la Fecha de Adjudicación, tras el cierre del registro electrónico por las Co-Emisoras, éstas determinarán</w:t>
      </w:r>
      <w:r w:rsidR="00626E05" w:rsidRPr="00CA0A60">
        <w:rPr>
          <w:rFonts w:ascii="Garamond" w:hAnsi="Garamond"/>
          <w:lang w:val="es-AR"/>
        </w:rPr>
        <w:t xml:space="preserve"> </w:t>
      </w:r>
      <w:r w:rsidR="003B08AA" w:rsidRPr="00CA0A60">
        <w:rPr>
          <w:rFonts w:ascii="Garamond" w:hAnsi="Garamond"/>
          <w:lang w:val="es-AR"/>
        </w:rPr>
        <w:t>el monto de las Obligaciones Negociables a emitir</w:t>
      </w:r>
      <w:r w:rsidR="00473FFA">
        <w:rPr>
          <w:rFonts w:ascii="Garamond" w:hAnsi="Garamond"/>
          <w:lang w:val="es-AR"/>
        </w:rPr>
        <w:t xml:space="preserve"> y la tasa de interés aplicable</w:t>
      </w:r>
      <w:r w:rsidR="003B08AA" w:rsidRPr="00CA0A60">
        <w:rPr>
          <w:rFonts w:ascii="Garamond" w:hAnsi="Garamond"/>
          <w:lang w:val="es-AR"/>
        </w:rPr>
        <w:t xml:space="preserve">, en función de las ofertas recibidas y de conformidad con el proceso de </w:t>
      </w:r>
      <w:r w:rsidR="003B08AA" w:rsidRPr="00CA0A60">
        <w:rPr>
          <w:rFonts w:ascii="Garamond" w:hAnsi="Garamond"/>
          <w:i/>
          <w:lang w:val="es-AR"/>
        </w:rPr>
        <w:t>book-building</w:t>
      </w:r>
      <w:r w:rsidR="00B04B49" w:rsidRPr="00CA0A60">
        <w:rPr>
          <w:rFonts w:ascii="Garamond" w:hAnsi="Garamond"/>
          <w:lang w:val="es-AR"/>
        </w:rPr>
        <w:t xml:space="preserve"> que será informado mediante el Aviso de Resultados</w:t>
      </w:r>
      <w:r w:rsidR="003B08AA" w:rsidRPr="00CA0A60">
        <w:rPr>
          <w:rFonts w:ascii="Garamond" w:hAnsi="Garamond"/>
          <w:lang w:val="es-AR"/>
        </w:rPr>
        <w:t>.</w:t>
      </w:r>
    </w:p>
    <w:p w14:paraId="5EB89DE8" w14:textId="77777777" w:rsidR="004D6228" w:rsidRPr="00CA0A60" w:rsidRDefault="004D6228" w:rsidP="005E14F3">
      <w:pPr>
        <w:pStyle w:val="BodyText2Sgl"/>
        <w:spacing w:after="0"/>
        <w:ind w:firstLine="0"/>
        <w:jc w:val="both"/>
        <w:rPr>
          <w:rFonts w:ascii="Garamond" w:hAnsi="Garamond"/>
          <w:lang w:val="es-AR"/>
        </w:rPr>
      </w:pPr>
    </w:p>
    <w:p w14:paraId="162E1667" w14:textId="77777777"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Sujeto a lo establecido en la Ley de Mercado de Capitales, las Normas de la CNV y las demás leyes y reglamentos aplicables, y de conformidad con las obligaciones de transparencia, la </w:t>
      </w:r>
      <w:r w:rsidR="004D6228" w:rsidRPr="00CA0A60">
        <w:rPr>
          <w:rFonts w:ascii="Garamond" w:hAnsi="Garamond"/>
          <w:lang w:val="es-AR"/>
        </w:rPr>
        <w:t>O</w:t>
      </w:r>
      <w:r w:rsidRPr="00CA0A60">
        <w:rPr>
          <w:rFonts w:ascii="Garamond" w:hAnsi="Garamond"/>
          <w:lang w:val="es-AR"/>
        </w:rPr>
        <w:t xml:space="preserve">ferta se podrá rescindir en cualquier momento de conformidad con las leyes aplicables, y de rechazar, total o parcialmente, cualquier Declaración de Interés que presente errores u omisiones, o no cumpla con las leyes aplicables, y a no adjudicar las </w:t>
      </w:r>
      <w:r w:rsidR="00F40195" w:rsidRPr="00CA0A60">
        <w:rPr>
          <w:rFonts w:ascii="Garamond" w:hAnsi="Garamond"/>
          <w:lang w:val="es-AR"/>
        </w:rPr>
        <w:t>O</w:t>
      </w:r>
      <w:r w:rsidRPr="00CA0A60">
        <w:rPr>
          <w:rFonts w:ascii="Garamond" w:hAnsi="Garamond"/>
          <w:lang w:val="es-AR"/>
        </w:rPr>
        <w:t xml:space="preserve">bligaciones </w:t>
      </w:r>
      <w:r w:rsidR="00F40195" w:rsidRPr="00CA0A60">
        <w:rPr>
          <w:rFonts w:ascii="Garamond" w:hAnsi="Garamond"/>
          <w:lang w:val="es-AR"/>
        </w:rPr>
        <w:t>N</w:t>
      </w:r>
      <w:r w:rsidRPr="00CA0A60">
        <w:rPr>
          <w:rFonts w:ascii="Garamond" w:hAnsi="Garamond"/>
          <w:lang w:val="es-AR"/>
        </w:rPr>
        <w:t>egociables solicitadas por un inversor en su Declaración de Interés o adjudicar una cantidad menor a la solicitada, de conformidad con los procesos de adjudicación establecidos a continuación. Asimismo, las Declaraciones de Interés podrán ser rechazadas como resultado del incumplimiento de los requisitos establecidos en las normas contra el lavado de dinero.</w:t>
      </w:r>
    </w:p>
    <w:p w14:paraId="7D62D461" w14:textId="77777777" w:rsidR="004D6228" w:rsidRPr="00CA0A60" w:rsidRDefault="004D6228" w:rsidP="005E14F3">
      <w:pPr>
        <w:pStyle w:val="BodyText2Sgl"/>
        <w:spacing w:after="0"/>
        <w:ind w:firstLine="0"/>
        <w:jc w:val="both"/>
        <w:rPr>
          <w:rFonts w:ascii="Garamond" w:hAnsi="Garamond"/>
          <w:lang w:val="es-AR"/>
        </w:rPr>
      </w:pPr>
    </w:p>
    <w:p w14:paraId="7814391E" w14:textId="77777777" w:rsidR="008D3779" w:rsidRPr="00CA0A60" w:rsidRDefault="008D3779" w:rsidP="005E14F3">
      <w:pPr>
        <w:pStyle w:val="TitleBI"/>
        <w:spacing w:after="0"/>
        <w:jc w:val="both"/>
        <w:rPr>
          <w:rFonts w:ascii="Garamond" w:hAnsi="Garamond"/>
          <w:lang w:val="es-AR"/>
        </w:rPr>
      </w:pPr>
      <w:r w:rsidRPr="00CA0A60">
        <w:rPr>
          <w:rFonts w:ascii="Garamond" w:hAnsi="Garamond"/>
          <w:lang w:val="es-AR"/>
        </w:rPr>
        <w:t>Período de Oferta</w:t>
      </w:r>
    </w:p>
    <w:p w14:paraId="078B034E" w14:textId="77777777" w:rsidR="004D6228" w:rsidRPr="00CA0A60" w:rsidRDefault="004D6228" w:rsidP="005E14F3">
      <w:pPr>
        <w:pStyle w:val="BodyText2Sgl"/>
        <w:spacing w:after="0"/>
        <w:ind w:firstLine="0"/>
        <w:jc w:val="both"/>
        <w:rPr>
          <w:rFonts w:ascii="Garamond" w:hAnsi="Garamond"/>
          <w:lang w:val="es-AR"/>
        </w:rPr>
      </w:pPr>
    </w:p>
    <w:p w14:paraId="128EE5AD" w14:textId="77777777"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Los Agentes Colocadores Locales fueron designados como representantes de los Colocadores Internacionales en la Argentina a los fines del ingreso de las Declaraciones de Interés de la Oferta Local.</w:t>
      </w:r>
    </w:p>
    <w:p w14:paraId="492506DD" w14:textId="77777777" w:rsidR="004D6228" w:rsidRPr="00CA0A60" w:rsidRDefault="004D6228" w:rsidP="005E14F3">
      <w:pPr>
        <w:pStyle w:val="BodyText2Sgl"/>
        <w:spacing w:after="0"/>
        <w:ind w:firstLine="0"/>
        <w:jc w:val="both"/>
        <w:rPr>
          <w:rFonts w:ascii="Garamond" w:hAnsi="Garamond"/>
          <w:lang w:val="es-AR"/>
        </w:rPr>
      </w:pPr>
    </w:p>
    <w:p w14:paraId="66736C76" w14:textId="3D159AD9" w:rsidR="00125E9F"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S</w:t>
      </w:r>
      <w:r w:rsidR="00125E9F" w:rsidRPr="00CA0A60">
        <w:rPr>
          <w:rFonts w:ascii="Garamond" w:hAnsi="Garamond"/>
          <w:lang w:val="es-AR"/>
        </w:rPr>
        <w:t>ó</w:t>
      </w:r>
      <w:r w:rsidRPr="00CA0A60">
        <w:rPr>
          <w:rFonts w:ascii="Garamond" w:hAnsi="Garamond"/>
          <w:lang w:val="es-AR"/>
        </w:rPr>
        <w:t xml:space="preserve">lo podrán presentarse Declaraciones de Interés durante el período que será </w:t>
      </w:r>
      <w:r w:rsidR="001027F7" w:rsidRPr="00CA0A60">
        <w:rPr>
          <w:rFonts w:ascii="Garamond" w:hAnsi="Garamond"/>
          <w:lang w:val="es-AR"/>
        </w:rPr>
        <w:t xml:space="preserve">de al menos tres (3) </w:t>
      </w:r>
      <w:r w:rsidR="00606618" w:rsidRPr="00CA0A60">
        <w:rPr>
          <w:rFonts w:ascii="Garamond" w:hAnsi="Garamond"/>
          <w:lang w:val="es-AR"/>
        </w:rPr>
        <w:t>d</w:t>
      </w:r>
      <w:r w:rsidR="001027F7" w:rsidRPr="00CA0A60">
        <w:rPr>
          <w:rFonts w:ascii="Garamond" w:hAnsi="Garamond"/>
          <w:lang w:val="es-AR"/>
        </w:rPr>
        <w:t xml:space="preserve">ías </w:t>
      </w:r>
      <w:r w:rsidR="00606618" w:rsidRPr="00CA0A60">
        <w:rPr>
          <w:rFonts w:ascii="Garamond" w:hAnsi="Garamond"/>
          <w:lang w:val="es-AR"/>
        </w:rPr>
        <w:t>h</w:t>
      </w:r>
      <w:r w:rsidR="001027F7" w:rsidRPr="00CA0A60">
        <w:rPr>
          <w:rFonts w:ascii="Garamond" w:hAnsi="Garamond"/>
          <w:lang w:val="es-AR"/>
        </w:rPr>
        <w:t xml:space="preserve">ábiles </w:t>
      </w:r>
      <w:r w:rsidR="00606618" w:rsidRPr="00CA0A60">
        <w:rPr>
          <w:rFonts w:ascii="Garamond" w:hAnsi="Garamond"/>
          <w:lang w:val="es-AR"/>
        </w:rPr>
        <w:t xml:space="preserve">bursátiles </w:t>
      </w:r>
      <w:r w:rsidR="001027F7" w:rsidRPr="00CA0A60">
        <w:rPr>
          <w:rFonts w:ascii="Garamond" w:hAnsi="Garamond"/>
          <w:lang w:val="es-AR"/>
        </w:rPr>
        <w:t xml:space="preserve">y </w:t>
      </w:r>
      <w:r w:rsidRPr="00CA0A60">
        <w:rPr>
          <w:rFonts w:ascii="Garamond" w:hAnsi="Garamond"/>
          <w:lang w:val="es-AR"/>
        </w:rPr>
        <w:t xml:space="preserve">que será informado mediante el </w:t>
      </w:r>
      <w:r w:rsidR="004B2363">
        <w:rPr>
          <w:rFonts w:ascii="Garamond" w:hAnsi="Garamond"/>
          <w:lang w:val="es-AR"/>
        </w:rPr>
        <w:t>a</w:t>
      </w:r>
      <w:r w:rsidRPr="00CA0A60">
        <w:rPr>
          <w:rFonts w:ascii="Garamond" w:hAnsi="Garamond"/>
          <w:lang w:val="es-AR"/>
        </w:rPr>
        <w:t xml:space="preserve">viso de </w:t>
      </w:r>
      <w:r w:rsidR="004B2363">
        <w:rPr>
          <w:rFonts w:ascii="Garamond" w:hAnsi="Garamond"/>
          <w:lang w:val="es-AR"/>
        </w:rPr>
        <w:t>s</w:t>
      </w:r>
      <w:r w:rsidRPr="00CA0A60">
        <w:rPr>
          <w:rFonts w:ascii="Garamond" w:hAnsi="Garamond"/>
          <w:lang w:val="es-AR"/>
        </w:rPr>
        <w:t>uscripción</w:t>
      </w:r>
      <w:r w:rsidR="003C1CBB" w:rsidRPr="00CA0A60">
        <w:rPr>
          <w:rFonts w:ascii="Garamond" w:hAnsi="Garamond"/>
          <w:lang w:val="es-AR"/>
        </w:rPr>
        <w:t xml:space="preserve"> </w:t>
      </w:r>
      <w:r w:rsidRPr="00CA0A60">
        <w:rPr>
          <w:rFonts w:ascii="Garamond" w:hAnsi="Garamond"/>
          <w:lang w:val="es-AR"/>
        </w:rPr>
        <w:t>(</w:t>
      </w:r>
      <w:r w:rsidR="004B2363">
        <w:rPr>
          <w:rFonts w:ascii="Garamond" w:hAnsi="Garamond"/>
          <w:lang w:val="es-AR"/>
        </w:rPr>
        <w:t>“</w:t>
      </w:r>
      <w:r w:rsidR="004B2363">
        <w:rPr>
          <w:rFonts w:ascii="Garamond" w:hAnsi="Garamond"/>
          <w:u w:val="single"/>
          <w:lang w:val="es-AR"/>
        </w:rPr>
        <w:t>Aviso de Suscripción</w:t>
      </w:r>
      <w:r w:rsidR="004B2363">
        <w:rPr>
          <w:rFonts w:ascii="Garamond" w:hAnsi="Garamond"/>
          <w:lang w:val="es-AR"/>
        </w:rPr>
        <w:t>”</w:t>
      </w:r>
      <w:r w:rsidRPr="00CA0A60">
        <w:rPr>
          <w:rFonts w:ascii="Garamond" w:hAnsi="Garamond"/>
          <w:lang w:val="es-AR"/>
        </w:rPr>
        <w:t>) (en adelante se hará referencia a dicho período como el “</w:t>
      </w:r>
      <w:r w:rsidRPr="00CA0A60">
        <w:rPr>
          <w:rFonts w:ascii="Garamond" w:hAnsi="Garamond"/>
          <w:u w:val="single"/>
          <w:lang w:val="es-AR"/>
        </w:rPr>
        <w:t>Período de Oferta</w:t>
      </w:r>
      <w:r w:rsidRPr="00CA0A60">
        <w:rPr>
          <w:rFonts w:ascii="Garamond" w:hAnsi="Garamond"/>
          <w:lang w:val="es-AR"/>
        </w:rPr>
        <w:t xml:space="preserve">”, </w:t>
      </w:r>
      <w:r w:rsidR="00B04B49" w:rsidRPr="00CA0A60">
        <w:rPr>
          <w:rFonts w:ascii="Garamond" w:hAnsi="Garamond"/>
          <w:lang w:val="es-AR"/>
        </w:rPr>
        <w:t xml:space="preserve">al último </w:t>
      </w:r>
      <w:r w:rsidRPr="00CA0A60">
        <w:rPr>
          <w:rFonts w:ascii="Garamond" w:hAnsi="Garamond"/>
          <w:lang w:val="es-AR"/>
        </w:rPr>
        <w:t>día de este período</w:t>
      </w:r>
      <w:r w:rsidR="003B08AA" w:rsidRPr="00CA0A60">
        <w:rPr>
          <w:rFonts w:ascii="Garamond" w:hAnsi="Garamond"/>
          <w:lang w:val="es-AR"/>
        </w:rPr>
        <w:t>, como</w:t>
      </w:r>
      <w:r w:rsidRPr="00CA0A60">
        <w:rPr>
          <w:rFonts w:ascii="Garamond" w:hAnsi="Garamond"/>
          <w:lang w:val="es-AR"/>
        </w:rPr>
        <w:t xml:space="preserve"> “</w:t>
      </w:r>
      <w:r w:rsidR="003B08AA" w:rsidRPr="00CA0A60">
        <w:rPr>
          <w:rFonts w:ascii="Garamond" w:hAnsi="Garamond"/>
          <w:u w:val="single"/>
          <w:lang w:val="es-AR"/>
        </w:rPr>
        <w:t>Fecha</w:t>
      </w:r>
      <w:r w:rsidRPr="00CA0A60">
        <w:rPr>
          <w:rFonts w:ascii="Garamond" w:hAnsi="Garamond"/>
          <w:u w:val="single"/>
          <w:lang w:val="es-AR"/>
        </w:rPr>
        <w:t xml:space="preserve"> de </w:t>
      </w:r>
      <w:r w:rsidR="003B08AA" w:rsidRPr="00CA0A60">
        <w:rPr>
          <w:rFonts w:ascii="Garamond" w:hAnsi="Garamond"/>
          <w:u w:val="single"/>
          <w:lang w:val="es-AR"/>
        </w:rPr>
        <w:t>Adjudicaci</w:t>
      </w:r>
      <w:r w:rsidRPr="00CA0A60">
        <w:rPr>
          <w:rFonts w:ascii="Garamond" w:hAnsi="Garamond"/>
          <w:u w:val="single"/>
          <w:lang w:val="es-AR"/>
        </w:rPr>
        <w:t>ón</w:t>
      </w:r>
      <w:r w:rsidRPr="00CA0A60">
        <w:rPr>
          <w:rFonts w:ascii="Garamond" w:hAnsi="Garamond"/>
          <w:lang w:val="es-AR"/>
        </w:rPr>
        <w:t>” y a la fecha y hora de vencimiento del Período de Oferta como la “</w:t>
      </w:r>
      <w:r w:rsidRPr="00CA0A60">
        <w:rPr>
          <w:rFonts w:ascii="Garamond" w:hAnsi="Garamond"/>
          <w:u w:val="single"/>
          <w:lang w:val="es-AR"/>
        </w:rPr>
        <w:t>Fecha Límite para la Presentación de Declaraciones de Interés</w:t>
      </w:r>
      <w:r w:rsidRPr="00CA0A60">
        <w:rPr>
          <w:rFonts w:ascii="Garamond" w:hAnsi="Garamond"/>
          <w:lang w:val="es-AR"/>
        </w:rPr>
        <w:t xml:space="preserve">”). </w:t>
      </w:r>
    </w:p>
    <w:p w14:paraId="31CD0C16" w14:textId="77777777" w:rsidR="00125E9F" w:rsidRPr="00CA0A60" w:rsidRDefault="00125E9F" w:rsidP="005E14F3">
      <w:pPr>
        <w:pStyle w:val="BodyText2Sgl"/>
        <w:spacing w:after="0"/>
        <w:ind w:firstLine="0"/>
        <w:jc w:val="both"/>
        <w:rPr>
          <w:rFonts w:ascii="Garamond" w:hAnsi="Garamond"/>
          <w:lang w:val="es-AR"/>
        </w:rPr>
      </w:pPr>
    </w:p>
    <w:p w14:paraId="32FD51F9" w14:textId="77777777" w:rsidR="008D3779" w:rsidRPr="00CA3A3D" w:rsidRDefault="008D3779" w:rsidP="005E14F3">
      <w:pPr>
        <w:pStyle w:val="BodyText2Sgl"/>
        <w:spacing w:after="0"/>
        <w:ind w:firstLine="0"/>
        <w:jc w:val="both"/>
        <w:rPr>
          <w:rFonts w:ascii="Garamond" w:hAnsi="Garamond"/>
          <w:lang w:val="es-AR"/>
        </w:rPr>
      </w:pPr>
      <w:r w:rsidRPr="00CA0A60">
        <w:rPr>
          <w:rFonts w:ascii="Garamond" w:hAnsi="Garamond"/>
          <w:lang w:val="es-AR"/>
        </w:rPr>
        <w:t>Una vez alcanzada la Fecha Límite para la Presentación de Declaraciones de Interés no se registrarán nuevas Declaraciones de Interés en el registro electrónico.</w:t>
      </w:r>
      <w:r w:rsidRPr="00CA3A3D">
        <w:rPr>
          <w:rFonts w:ascii="Garamond" w:hAnsi="Garamond"/>
          <w:lang w:val="es-AR"/>
        </w:rPr>
        <w:t xml:space="preserve"> </w:t>
      </w:r>
    </w:p>
    <w:p w14:paraId="7FD8715F" w14:textId="77777777" w:rsidR="00125E9F" w:rsidRPr="00CA3A3D" w:rsidRDefault="00125E9F" w:rsidP="005E14F3">
      <w:pPr>
        <w:pStyle w:val="BodyText2Sgl"/>
        <w:spacing w:after="0"/>
        <w:ind w:firstLine="0"/>
        <w:jc w:val="both"/>
        <w:rPr>
          <w:rFonts w:ascii="Garamond" w:hAnsi="Garamond"/>
          <w:lang w:val="es-AR"/>
        </w:rPr>
      </w:pPr>
    </w:p>
    <w:p w14:paraId="433E528B" w14:textId="1424C105" w:rsidR="003B08AA" w:rsidRPr="00CA3A3D" w:rsidRDefault="003B08AA" w:rsidP="005E14F3">
      <w:pPr>
        <w:pStyle w:val="BodyText2Sgl"/>
        <w:spacing w:after="0"/>
        <w:ind w:firstLine="0"/>
        <w:jc w:val="both"/>
        <w:rPr>
          <w:rFonts w:ascii="Garamond" w:hAnsi="Garamond"/>
          <w:lang w:val="es-AR"/>
        </w:rPr>
      </w:pPr>
      <w:r w:rsidRPr="00CA3A3D">
        <w:rPr>
          <w:rFonts w:ascii="Garamond" w:hAnsi="Garamond"/>
          <w:lang w:val="es-AR"/>
        </w:rPr>
        <w:t xml:space="preserve">Durante el </w:t>
      </w:r>
      <w:r w:rsidR="00B04B49" w:rsidRPr="00CA3A3D">
        <w:rPr>
          <w:rFonts w:ascii="Garamond" w:hAnsi="Garamond"/>
          <w:lang w:val="es-AR"/>
        </w:rPr>
        <w:t xml:space="preserve">inicio del </w:t>
      </w:r>
      <w:r w:rsidRPr="00CA3A3D">
        <w:rPr>
          <w:rFonts w:ascii="Garamond" w:hAnsi="Garamond"/>
          <w:lang w:val="es-AR"/>
        </w:rPr>
        <w:t xml:space="preserve">Período de Oferta y hasta la Fecha de Adjudicación, </w:t>
      </w:r>
      <w:r w:rsidR="003359CD">
        <w:rPr>
          <w:rFonts w:ascii="Garamond" w:hAnsi="Garamond"/>
          <w:lang w:val="es-AR"/>
        </w:rPr>
        <w:t xml:space="preserve">las Co-Emisoras y </w:t>
      </w:r>
      <w:r w:rsidRPr="00CA3A3D">
        <w:rPr>
          <w:rFonts w:ascii="Garamond" w:hAnsi="Garamond"/>
          <w:lang w:val="es-AR"/>
        </w:rPr>
        <w:t>los Colocadores podrán recibir Declaraciones de Interés telefónicas, por fax, o en forma digital a través de internet y de los sistemas que los Agentes Colocadores Locales pongan a disposición de los potenciales inversores, de conformidad con las Normas de la CNV.</w:t>
      </w:r>
    </w:p>
    <w:p w14:paraId="6BDFDFC2" w14:textId="77777777" w:rsidR="00125E9F" w:rsidRPr="00CA3A3D" w:rsidRDefault="00125E9F" w:rsidP="005E14F3">
      <w:pPr>
        <w:pStyle w:val="BodyText2Sgl"/>
        <w:spacing w:after="0"/>
        <w:ind w:firstLine="0"/>
        <w:jc w:val="both"/>
        <w:rPr>
          <w:rFonts w:ascii="Garamond" w:hAnsi="Garamond"/>
          <w:lang w:val="es-AR"/>
        </w:rPr>
      </w:pPr>
    </w:p>
    <w:p w14:paraId="75DEDF04" w14:textId="4AD9FD69"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Entre las 13:00 y las 16:00 (hora de </w:t>
      </w:r>
      <w:r w:rsidR="00B04B49" w:rsidRPr="00713D6E">
        <w:rPr>
          <w:rFonts w:ascii="Garamond" w:hAnsi="Garamond"/>
          <w:lang w:val="es-AR"/>
        </w:rPr>
        <w:t xml:space="preserve">la Ciudad de </w:t>
      </w:r>
      <w:r w:rsidRPr="00CA0A60">
        <w:rPr>
          <w:rFonts w:ascii="Garamond" w:hAnsi="Garamond"/>
          <w:lang w:val="es-AR"/>
        </w:rPr>
        <w:t>Buenos Aires) de la Fecha de Adjudicación, se registrarán en el registro electrónico todas las Declaraciones de Interés recibidas antes de la Fecha Límite para la Presentación de Declaraciones de Interés y luego cerrarán el registro electrónico (la fecha y hora exactas de registro efectivo de la Declaración de Interés en el registro electrónico y el cierre del registro electrónico serán determinados por las Co-Emisoras, a su entera discreción, dentro del rango antes descripto) (la “</w:t>
      </w:r>
      <w:r w:rsidRPr="00CA0A60">
        <w:rPr>
          <w:rFonts w:ascii="Garamond" w:hAnsi="Garamond"/>
          <w:u w:val="single"/>
          <w:lang w:val="es-AR"/>
        </w:rPr>
        <w:t>Fecha Límite del Registro</w:t>
      </w:r>
      <w:r w:rsidRPr="00CA0A60">
        <w:rPr>
          <w:rFonts w:ascii="Garamond" w:hAnsi="Garamond"/>
          <w:lang w:val="es-AR"/>
        </w:rPr>
        <w:t>”). Las Declaraciones de Interés recibidas a través de la Oferta Local antes de la Fecha Límite para la Presentación de Declaraciones de Interés no serán vinculantes y podrán ser retiradas o modificadas hasta la Fecha Límite del Registro. De conformidad con las disposiciones del Artículo 7, Sección I</w:t>
      </w:r>
      <w:r w:rsidR="00DA0B07" w:rsidRPr="00CA0A60">
        <w:rPr>
          <w:rFonts w:ascii="Garamond" w:hAnsi="Garamond"/>
          <w:lang w:val="es-AR"/>
        </w:rPr>
        <w:t>I</w:t>
      </w:r>
      <w:r w:rsidRPr="00CA0A60">
        <w:rPr>
          <w:rFonts w:ascii="Garamond" w:hAnsi="Garamond"/>
          <w:lang w:val="es-AR"/>
        </w:rPr>
        <w:t xml:space="preserve">, Capítulo IV, Título VI de las Normas de la CNV los inversores pueden renunciar a su derecho de ratificar expresamente sus Declaraciones de Interés </w:t>
      </w:r>
      <w:r w:rsidR="003359CD">
        <w:rPr>
          <w:rFonts w:ascii="Garamond" w:hAnsi="Garamond"/>
          <w:lang w:val="es-AR"/>
        </w:rPr>
        <w:t>con anterioridad a</w:t>
      </w:r>
      <w:r w:rsidRPr="00CA0A60">
        <w:rPr>
          <w:rFonts w:ascii="Garamond" w:hAnsi="Garamond"/>
          <w:lang w:val="es-AR"/>
        </w:rPr>
        <w:t xml:space="preserve"> la </w:t>
      </w:r>
      <w:r w:rsidR="003359CD">
        <w:rPr>
          <w:rFonts w:ascii="Garamond" w:hAnsi="Garamond"/>
          <w:lang w:val="es-AR"/>
        </w:rPr>
        <w:t>Fecha Límite</w:t>
      </w:r>
      <w:r w:rsidRPr="00CA0A60">
        <w:rPr>
          <w:rFonts w:ascii="Garamond" w:hAnsi="Garamond"/>
          <w:lang w:val="es-AR"/>
        </w:rPr>
        <w:t xml:space="preserve"> </w:t>
      </w:r>
      <w:r w:rsidR="003359CD">
        <w:rPr>
          <w:rFonts w:ascii="Garamond" w:hAnsi="Garamond"/>
          <w:lang w:val="es-AR"/>
        </w:rPr>
        <w:t>del R</w:t>
      </w:r>
      <w:r w:rsidRPr="00CA0A60">
        <w:rPr>
          <w:rFonts w:ascii="Garamond" w:hAnsi="Garamond"/>
          <w:lang w:val="es-AR"/>
        </w:rPr>
        <w:t>egistro. Por lo tanto, todas las Declaraciones de Interés (distintas a aquellas que se presenten en el marco de la Oferta Internacional en forma de contratos y/o formularios de suscripción, las cuales únicamente podrán ser retiradas y/o modificadas conforme a los términos de las mismas) no retiradas o modificadas a la hora de cierre del registro constituirán ofertas firmes, vinculantes y definitivas en los términos correspondientes (con las modificaciones pertinentes) efectivas desde la Fecha Límite del Registro, sin necesidad de que el inversor realice ninguna acción adicional.</w:t>
      </w:r>
    </w:p>
    <w:p w14:paraId="41F9AE5E" w14:textId="77777777" w:rsidR="00DA0B07" w:rsidRPr="00CA0A60" w:rsidRDefault="00DA0B07" w:rsidP="005E14F3">
      <w:pPr>
        <w:pStyle w:val="BodyText2Sgl"/>
        <w:spacing w:after="0"/>
        <w:ind w:firstLine="0"/>
        <w:jc w:val="both"/>
        <w:rPr>
          <w:rFonts w:ascii="Garamond" w:hAnsi="Garamond"/>
          <w:lang w:val="es-AR"/>
        </w:rPr>
      </w:pPr>
    </w:p>
    <w:p w14:paraId="1ADA417D" w14:textId="77777777" w:rsidR="008D3779" w:rsidRPr="00CA0A60" w:rsidRDefault="008D3779" w:rsidP="005E14F3">
      <w:pPr>
        <w:pStyle w:val="TitleBI"/>
        <w:spacing w:after="0"/>
        <w:jc w:val="both"/>
        <w:rPr>
          <w:rFonts w:ascii="Garamond" w:hAnsi="Garamond"/>
          <w:lang w:val="es-AR"/>
        </w:rPr>
      </w:pPr>
      <w:r w:rsidRPr="00CA0A60">
        <w:rPr>
          <w:rFonts w:ascii="Garamond" w:hAnsi="Garamond"/>
          <w:lang w:val="es-AR"/>
        </w:rPr>
        <w:t>Adjudicación</w:t>
      </w:r>
    </w:p>
    <w:p w14:paraId="00F03A6D" w14:textId="77777777" w:rsidR="00DA0B07" w:rsidRPr="00CA0A60" w:rsidRDefault="00DA0B07" w:rsidP="005E14F3">
      <w:pPr>
        <w:spacing w:after="0" w:line="240" w:lineRule="auto"/>
        <w:rPr>
          <w:lang w:val="es-AR"/>
        </w:rPr>
      </w:pPr>
    </w:p>
    <w:p w14:paraId="5BDD68A3" w14:textId="27DB7B04"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En la Fecha de Adjudicación, tras el cierre del registro electrónico por las Co-Emisoras, éstas determinarán el monto de las Obligaciones Negociables a emitir, en función de las </w:t>
      </w:r>
      <w:r w:rsidR="003359CD">
        <w:rPr>
          <w:rFonts w:ascii="Garamond" w:hAnsi="Garamond"/>
          <w:lang w:val="es-AR"/>
        </w:rPr>
        <w:t xml:space="preserve">Declaraciones de Interés </w:t>
      </w:r>
      <w:r w:rsidRPr="00CA0A60">
        <w:rPr>
          <w:rFonts w:ascii="Garamond" w:hAnsi="Garamond"/>
          <w:lang w:val="es-AR"/>
        </w:rPr>
        <w:t xml:space="preserve">recibidas y de conformidad con el proceso de </w:t>
      </w:r>
      <w:r w:rsidRPr="00CA0A60">
        <w:rPr>
          <w:rFonts w:ascii="Garamond" w:hAnsi="Garamond"/>
          <w:i/>
          <w:lang w:val="es-AR"/>
        </w:rPr>
        <w:t>book-building</w:t>
      </w:r>
      <w:r w:rsidRPr="00CA0A60">
        <w:rPr>
          <w:rFonts w:ascii="Garamond" w:hAnsi="Garamond"/>
          <w:lang w:val="es-AR"/>
        </w:rPr>
        <w:t>.</w:t>
      </w:r>
    </w:p>
    <w:p w14:paraId="6930E822" w14:textId="77777777" w:rsidR="004956EC" w:rsidRPr="00CA0A60" w:rsidRDefault="004956EC" w:rsidP="005E14F3">
      <w:pPr>
        <w:pStyle w:val="BodyText2Sgl"/>
        <w:spacing w:after="0"/>
        <w:ind w:firstLine="0"/>
        <w:jc w:val="both"/>
        <w:rPr>
          <w:rFonts w:ascii="Garamond" w:hAnsi="Garamond"/>
          <w:lang w:val="es-AR"/>
        </w:rPr>
      </w:pPr>
    </w:p>
    <w:p w14:paraId="12281A21" w14:textId="77777777" w:rsidR="004956EC"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lastRenderedPageBreak/>
        <w:t>Asimismo, tras la adjudicación definitiva de las Obligaciones Negociables en la Fecha de Adjudicación, las Co-Emisoras publicarán un aviso de complementario al presente Suplemento en donde se anunciarán los resultados de la colocación de las Obligaciones Negociables (el “</w:t>
      </w:r>
      <w:r w:rsidRPr="00CA0A60">
        <w:rPr>
          <w:rFonts w:ascii="Garamond" w:hAnsi="Garamond"/>
          <w:u w:val="single"/>
          <w:lang w:val="es-AR"/>
        </w:rPr>
        <w:t>Aviso de Resultados</w:t>
      </w:r>
      <w:r w:rsidRPr="00CA0A60">
        <w:rPr>
          <w:rFonts w:ascii="Garamond" w:hAnsi="Garamond"/>
          <w:lang w:val="es-AR"/>
        </w:rPr>
        <w:t>”) en la página web de la CNV (www.cnv.go</w:t>
      </w:r>
      <w:r w:rsidR="003B08AA" w:rsidRPr="00CA0A60">
        <w:rPr>
          <w:rFonts w:ascii="Garamond" w:hAnsi="Garamond"/>
          <w:lang w:val="es-AR"/>
        </w:rPr>
        <w:t>v</w:t>
      </w:r>
      <w:r w:rsidRPr="00CA0A60">
        <w:rPr>
          <w:rFonts w:ascii="Garamond" w:hAnsi="Garamond"/>
          <w:lang w:val="es-AR"/>
        </w:rPr>
        <w:t xml:space="preserve">.ar) y, lo antes posible a partir de ese momento, en el Boletín </w:t>
      </w:r>
      <w:r w:rsidR="009D49DF" w:rsidRPr="00CA0A60">
        <w:rPr>
          <w:rFonts w:ascii="Garamond" w:hAnsi="Garamond"/>
          <w:lang w:val="es-AR"/>
        </w:rPr>
        <w:t>Diario de la BCBA</w:t>
      </w:r>
      <w:r w:rsidR="009D49DF" w:rsidRPr="00CA0A60" w:rsidDel="009D49DF">
        <w:rPr>
          <w:rFonts w:ascii="Garamond" w:hAnsi="Garamond"/>
          <w:lang w:val="es-AR"/>
        </w:rPr>
        <w:t xml:space="preserve"> </w:t>
      </w:r>
      <w:r w:rsidRPr="00CA0A60">
        <w:rPr>
          <w:rFonts w:ascii="Garamond" w:hAnsi="Garamond"/>
          <w:lang w:val="es-AR"/>
        </w:rPr>
        <w:t xml:space="preserve">y el Boletín Electrónico del MAE. </w:t>
      </w:r>
    </w:p>
    <w:p w14:paraId="20E36DAB" w14:textId="77777777" w:rsidR="008D3779" w:rsidRPr="00CA0A60" w:rsidRDefault="008D3779" w:rsidP="005E14F3">
      <w:pPr>
        <w:pStyle w:val="BodyText2Sgl"/>
        <w:spacing w:after="0"/>
        <w:ind w:firstLine="0"/>
        <w:jc w:val="both"/>
        <w:rPr>
          <w:rFonts w:ascii="Garamond" w:hAnsi="Garamond"/>
          <w:lang w:val="es-AR"/>
        </w:rPr>
      </w:pPr>
    </w:p>
    <w:p w14:paraId="03A19E39" w14:textId="77777777" w:rsidR="008D3779" w:rsidRPr="00CA0A60" w:rsidRDefault="008D3779" w:rsidP="005E14F3">
      <w:pPr>
        <w:pStyle w:val="TitleBI"/>
        <w:spacing w:after="0"/>
        <w:jc w:val="both"/>
        <w:rPr>
          <w:rFonts w:ascii="Garamond" w:hAnsi="Garamond"/>
          <w:lang w:val="es-AR"/>
        </w:rPr>
      </w:pPr>
      <w:r w:rsidRPr="00CA0A60">
        <w:rPr>
          <w:rFonts w:ascii="Garamond" w:hAnsi="Garamond"/>
          <w:lang w:val="es-AR"/>
        </w:rPr>
        <w:t>Modificación, Suspensión y/o Prórroga</w:t>
      </w:r>
    </w:p>
    <w:p w14:paraId="32D85219" w14:textId="77777777" w:rsidR="004956EC" w:rsidRPr="00CA0A60" w:rsidRDefault="004956EC" w:rsidP="005E14F3">
      <w:pPr>
        <w:spacing w:after="0" w:line="240" w:lineRule="auto"/>
        <w:rPr>
          <w:lang w:val="es-AR"/>
        </w:rPr>
      </w:pPr>
    </w:p>
    <w:p w14:paraId="7D307FDF" w14:textId="77777777"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El Período de Oferta original podrá ser modificado, suspendido o prorrogado antes del vencimiento del plazo original, por medio de un </w:t>
      </w:r>
      <w:r w:rsidR="003B08AA" w:rsidRPr="00CA0A60">
        <w:rPr>
          <w:rFonts w:ascii="Garamond" w:hAnsi="Garamond"/>
          <w:lang w:val="es-AR"/>
        </w:rPr>
        <w:t xml:space="preserve">aviso a ser publicado en el Boletín </w:t>
      </w:r>
      <w:r w:rsidR="006C342B" w:rsidRPr="00CA0A60">
        <w:rPr>
          <w:rFonts w:ascii="Garamond" w:hAnsi="Garamond"/>
          <w:lang w:val="es-AR"/>
        </w:rPr>
        <w:t xml:space="preserve">Diario </w:t>
      </w:r>
      <w:r w:rsidR="003B08AA" w:rsidRPr="00CA0A60">
        <w:rPr>
          <w:rFonts w:ascii="Garamond" w:hAnsi="Garamond"/>
          <w:lang w:val="es-AR"/>
        </w:rPr>
        <w:t>de</w:t>
      </w:r>
      <w:r w:rsidR="006C342B" w:rsidRPr="00CA0A60">
        <w:rPr>
          <w:rFonts w:ascii="Garamond" w:hAnsi="Garamond"/>
          <w:lang w:val="es-AR"/>
        </w:rPr>
        <w:t xml:space="preserve"> </w:t>
      </w:r>
      <w:r w:rsidR="003B08AA" w:rsidRPr="00CA0A60">
        <w:rPr>
          <w:rFonts w:ascii="Garamond" w:hAnsi="Garamond"/>
          <w:lang w:val="es-AR"/>
        </w:rPr>
        <w:t>l</w:t>
      </w:r>
      <w:r w:rsidR="006C342B" w:rsidRPr="00CA0A60">
        <w:rPr>
          <w:rFonts w:ascii="Garamond" w:hAnsi="Garamond"/>
          <w:lang w:val="es-AR"/>
        </w:rPr>
        <w:t>a</w:t>
      </w:r>
      <w:r w:rsidR="003B08AA" w:rsidRPr="00CA0A60">
        <w:rPr>
          <w:rFonts w:ascii="Garamond" w:hAnsi="Garamond"/>
          <w:lang w:val="es-AR"/>
        </w:rPr>
        <w:t xml:space="preserve"> </w:t>
      </w:r>
      <w:r w:rsidR="006C342B" w:rsidRPr="00CA0A60">
        <w:rPr>
          <w:rFonts w:ascii="Garamond" w:hAnsi="Garamond"/>
          <w:lang w:val="es-AR"/>
        </w:rPr>
        <w:t>BCBA</w:t>
      </w:r>
      <w:r w:rsidR="003B08AA" w:rsidRPr="00CA0A60">
        <w:rPr>
          <w:rFonts w:ascii="Garamond" w:hAnsi="Garamond"/>
          <w:lang w:val="es-AR"/>
        </w:rPr>
        <w:t>, el Boletín Electrónico del MAE y en la página web de la CNV</w:t>
      </w:r>
      <w:r w:rsidRPr="00CA0A60">
        <w:rPr>
          <w:rFonts w:ascii="Garamond" w:hAnsi="Garamond"/>
          <w:lang w:val="es-AR"/>
        </w:rPr>
        <w:t>. Ni las Co-Emisoras, ni los Agentes Colocadores Locales, ni los Colocadores Internacionales serán responsables por la modificación, suspensión o prórroga del Período de Oferta o la Fecha de Adjudicación, y aquellos inversores que hayan presentado una Declaración de Interés no tendrán derecho a percibir compensación alguna como resultado de dicha modificación, suspensión o prórroga. En caso de que la Fecha de Adjudicación sea finalizada o revocada, o se tome la decisión de no emitir las Obligaciones Negociables o no continuar con la oferta, todas las Declaraciones de Interés recibidas quedarán sin efecto en forma automática.</w:t>
      </w:r>
    </w:p>
    <w:p w14:paraId="0CE19BC3" w14:textId="77777777" w:rsidR="004956EC" w:rsidRPr="00CA0A60" w:rsidRDefault="004956EC" w:rsidP="005E14F3">
      <w:pPr>
        <w:pStyle w:val="BodyText2Sgl"/>
        <w:spacing w:after="0"/>
        <w:ind w:firstLine="0"/>
        <w:jc w:val="both"/>
        <w:rPr>
          <w:rFonts w:ascii="Garamond" w:hAnsi="Garamond"/>
          <w:lang w:val="es-AR"/>
        </w:rPr>
      </w:pPr>
    </w:p>
    <w:p w14:paraId="5E18A92A" w14:textId="77777777"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En caso de que el Período de Oferta sea suspendido o prorrogado, los inversores que hayan presentado Declaraciones de Interés durante dicho período podrán, a su entera discreción y sin ser pasibles de penalidad alguna, retirar dichas Declaraciones de Interés en cualquier momento durante el período de suspensión o el nuevo Período de Oferta prorrogado. En el caso de Declaraciones de Interés que correspondan a aquellas que se presenten en el marco de la Oferta Internacional en forma de contratos y/o formularios de suscripción, las mismas serán retiradas conforme a los términos de las mismas.</w:t>
      </w:r>
    </w:p>
    <w:p w14:paraId="63966B72" w14:textId="77777777" w:rsidR="004956EC" w:rsidRPr="00CA0A60" w:rsidRDefault="004956EC" w:rsidP="005E14F3">
      <w:pPr>
        <w:pStyle w:val="BodyText2Sgl"/>
        <w:spacing w:after="0"/>
        <w:ind w:firstLine="0"/>
        <w:jc w:val="both"/>
        <w:rPr>
          <w:rFonts w:ascii="Garamond" w:hAnsi="Garamond"/>
          <w:lang w:val="es-AR"/>
        </w:rPr>
      </w:pPr>
    </w:p>
    <w:p w14:paraId="0E917BCC" w14:textId="77777777" w:rsidR="008D3779" w:rsidRPr="00CA0A60" w:rsidRDefault="008D3779" w:rsidP="005E14F3">
      <w:pPr>
        <w:pStyle w:val="TitleBI"/>
        <w:spacing w:after="0"/>
        <w:jc w:val="both"/>
        <w:rPr>
          <w:rFonts w:ascii="Garamond" w:hAnsi="Garamond"/>
          <w:lang w:val="es-AR"/>
        </w:rPr>
      </w:pPr>
      <w:r w:rsidRPr="00CA0A60">
        <w:rPr>
          <w:rFonts w:ascii="Garamond" w:hAnsi="Garamond"/>
          <w:lang w:val="es-AR"/>
        </w:rPr>
        <w:t>Rechazo de Declaraciones de Interés, Terminación de la Oferta</w:t>
      </w:r>
    </w:p>
    <w:p w14:paraId="23536548" w14:textId="77777777" w:rsidR="004956EC" w:rsidRPr="00CA0A60" w:rsidRDefault="004956EC" w:rsidP="005E14F3">
      <w:pPr>
        <w:spacing w:after="0" w:line="240" w:lineRule="auto"/>
        <w:rPr>
          <w:lang w:val="es-AR"/>
        </w:rPr>
      </w:pPr>
    </w:p>
    <w:p w14:paraId="0963E47F" w14:textId="77777777"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Las Declaraciones de Interés podrán ser rechazadas cuando contengan errores u omisiones que hagan su procesamiento indebidamente oneroso o impidan su procesamiento en el sistema, o cuando no cumplan con las leyes aplicables según se describe en mayor detalle a continuación.</w:t>
      </w:r>
    </w:p>
    <w:p w14:paraId="271AE1F2" w14:textId="77777777" w:rsidR="004956EC" w:rsidRPr="00CA0A60" w:rsidRDefault="004956EC" w:rsidP="005E14F3">
      <w:pPr>
        <w:pStyle w:val="BodyText2Sgl"/>
        <w:spacing w:after="0"/>
        <w:ind w:firstLine="0"/>
        <w:jc w:val="both"/>
        <w:rPr>
          <w:rFonts w:ascii="Garamond" w:hAnsi="Garamond"/>
          <w:lang w:val="es-AR"/>
        </w:rPr>
      </w:pPr>
    </w:p>
    <w:p w14:paraId="039DF864" w14:textId="77777777"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Aquellos inversores que hayan presentado Declaraciones de Interés deberán entregar a las Co-Emisoras, a los Agentes Colocadores Locales y a los Colocadores Internacionales, toda la información y la documentación que éstos puedan solicitar a fin de cumplir con las leyes y reglamentaciones relacionadas con la prevención del lavado de activos y la financiación de actividades terroristas. En caso que dicha información sea provista en forma inadecuada, incompleta y/o inoportuna, las Declaraciones de Interés podrán, sin incurrir en responsabilidad alguna, ser rechazadas.</w:t>
      </w:r>
    </w:p>
    <w:p w14:paraId="4AE5B7AF" w14:textId="77777777" w:rsidR="004956EC" w:rsidRPr="00CA0A60" w:rsidRDefault="004956EC" w:rsidP="005E14F3">
      <w:pPr>
        <w:pStyle w:val="BodyText2Sgl"/>
        <w:spacing w:after="0"/>
        <w:ind w:firstLine="0"/>
        <w:jc w:val="both"/>
        <w:rPr>
          <w:rFonts w:ascii="Garamond" w:hAnsi="Garamond"/>
          <w:lang w:val="es-AR"/>
        </w:rPr>
      </w:pPr>
    </w:p>
    <w:p w14:paraId="69279B98" w14:textId="77777777"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Las Declaraciones de Interés podrán ser rechazadas cuando se considere que no se ha cumplido con las leyes o reglamentaciones aplicables. Dichas leyes y reglamentaciones aplicables incluyen aquellos relacionados con la prevención del lavado de activos, como los emitidos por la Unidad de Información Financiera (“</w:t>
      </w:r>
      <w:r w:rsidRPr="00CA0A60">
        <w:rPr>
          <w:rFonts w:ascii="Garamond" w:hAnsi="Garamond"/>
          <w:u w:val="single"/>
          <w:lang w:val="es-AR"/>
        </w:rPr>
        <w:t>UIF</w:t>
      </w:r>
      <w:r w:rsidRPr="00CA0A60">
        <w:rPr>
          <w:rFonts w:ascii="Garamond" w:hAnsi="Garamond"/>
          <w:lang w:val="es-AR"/>
        </w:rPr>
        <w:t xml:space="preserve">”), la CNV o </w:t>
      </w:r>
      <w:r w:rsidR="004956EC" w:rsidRPr="00CA0A60">
        <w:rPr>
          <w:rFonts w:ascii="Garamond" w:hAnsi="Garamond"/>
          <w:lang w:val="es-AR"/>
        </w:rPr>
        <w:t xml:space="preserve">la </w:t>
      </w:r>
      <w:r w:rsidRPr="00CA0A60">
        <w:rPr>
          <w:rFonts w:ascii="Garamond" w:hAnsi="Garamond"/>
          <w:lang w:val="es-AR"/>
        </w:rPr>
        <w:t>BCRA, así como cualquier reglamentación aplicable a títulos valores. Cualquier decisión de rechazar una Declaración de Interés se tomará teniendo en cuenta el principio de tratamiento justo entre los inversores.</w:t>
      </w:r>
    </w:p>
    <w:p w14:paraId="3955E093" w14:textId="77777777" w:rsidR="004956EC" w:rsidRPr="00CA0A60" w:rsidRDefault="004956EC" w:rsidP="005E14F3">
      <w:pPr>
        <w:pStyle w:val="BodyText2Sgl"/>
        <w:spacing w:after="0"/>
        <w:ind w:firstLine="0"/>
        <w:jc w:val="both"/>
        <w:rPr>
          <w:rFonts w:ascii="Garamond" w:hAnsi="Garamond"/>
          <w:lang w:val="es-AR"/>
        </w:rPr>
      </w:pPr>
    </w:p>
    <w:p w14:paraId="05540630" w14:textId="77777777" w:rsidR="008D3779" w:rsidRPr="00CA0A60" w:rsidRDefault="008D3779" w:rsidP="00CA3A3D">
      <w:pPr>
        <w:pStyle w:val="BodyText2Sgl"/>
        <w:keepNext/>
        <w:spacing w:after="0"/>
        <w:ind w:firstLine="0"/>
        <w:jc w:val="both"/>
        <w:rPr>
          <w:rFonts w:ascii="Garamond" w:hAnsi="Garamond"/>
          <w:b/>
          <w:i/>
          <w:lang w:val="es-AR"/>
        </w:rPr>
      </w:pPr>
      <w:r w:rsidRPr="00CA0A60">
        <w:rPr>
          <w:rFonts w:ascii="Garamond" w:hAnsi="Garamond"/>
          <w:b/>
          <w:i/>
          <w:lang w:val="es-AR"/>
        </w:rPr>
        <w:t xml:space="preserve">Cualquier modificación de los procesos aquí descriptos será publicada por un </w:t>
      </w:r>
      <w:r w:rsidR="003E3A47" w:rsidRPr="00CA0A60">
        <w:rPr>
          <w:rFonts w:ascii="Garamond" w:hAnsi="Garamond"/>
          <w:b/>
          <w:i/>
          <w:lang w:val="es-AR"/>
        </w:rPr>
        <w:t>D</w:t>
      </w:r>
      <w:r w:rsidRPr="00CA0A60">
        <w:rPr>
          <w:rFonts w:ascii="Garamond" w:hAnsi="Garamond"/>
          <w:b/>
          <w:i/>
          <w:lang w:val="es-AR"/>
        </w:rPr>
        <w:t xml:space="preserve">ía </w:t>
      </w:r>
      <w:r w:rsidR="003E3A47" w:rsidRPr="00CA0A60">
        <w:rPr>
          <w:rFonts w:ascii="Garamond" w:hAnsi="Garamond"/>
          <w:b/>
          <w:i/>
          <w:lang w:val="es-AR"/>
        </w:rPr>
        <w:t>H</w:t>
      </w:r>
      <w:r w:rsidRPr="00CA0A60">
        <w:rPr>
          <w:rFonts w:ascii="Garamond" w:hAnsi="Garamond"/>
          <w:b/>
          <w:i/>
          <w:lang w:val="es-AR"/>
        </w:rPr>
        <w:t xml:space="preserve">ábil en la página web de la CNV y en el Boletín Diario de </w:t>
      </w:r>
      <w:r w:rsidR="009D49DF" w:rsidRPr="00CA0A60">
        <w:rPr>
          <w:rFonts w:ascii="Garamond" w:hAnsi="Garamond"/>
          <w:b/>
          <w:i/>
          <w:lang w:val="es-AR"/>
        </w:rPr>
        <w:t>la BCBA</w:t>
      </w:r>
      <w:r w:rsidRPr="00CA0A60">
        <w:rPr>
          <w:rFonts w:ascii="Garamond" w:hAnsi="Garamond"/>
          <w:b/>
          <w:i/>
          <w:lang w:val="es-AR"/>
        </w:rPr>
        <w:t>, al igual que en el Boletín Electrónico del MAE.</w:t>
      </w:r>
    </w:p>
    <w:p w14:paraId="12C42424" w14:textId="77777777" w:rsidR="004956EC" w:rsidRPr="00CA0A60" w:rsidRDefault="004956EC" w:rsidP="00CA3A3D">
      <w:pPr>
        <w:pStyle w:val="BodyText2Sgl"/>
        <w:keepNext/>
        <w:spacing w:after="0"/>
        <w:ind w:firstLine="0"/>
        <w:jc w:val="both"/>
        <w:rPr>
          <w:rFonts w:ascii="Garamond" w:hAnsi="Garamond"/>
          <w:b/>
          <w:i/>
          <w:lang w:val="es-AR"/>
        </w:rPr>
      </w:pPr>
    </w:p>
    <w:p w14:paraId="043D330D" w14:textId="77777777" w:rsidR="008D3779" w:rsidRPr="00CA0A60" w:rsidRDefault="008D3779" w:rsidP="00CA3A3D">
      <w:pPr>
        <w:pStyle w:val="BodyText2Sgl"/>
        <w:keepNext/>
        <w:spacing w:after="0"/>
        <w:ind w:firstLine="0"/>
        <w:jc w:val="both"/>
        <w:rPr>
          <w:rFonts w:ascii="Garamond" w:hAnsi="Garamond"/>
          <w:lang w:val="es-AR"/>
        </w:rPr>
      </w:pPr>
      <w:r w:rsidRPr="00CA0A60">
        <w:rPr>
          <w:rFonts w:ascii="Garamond" w:hAnsi="Garamond"/>
          <w:lang w:val="es-AR"/>
        </w:rPr>
        <w:t>Las Co-Emisoras podrán declarar desierta la colocación de las Obligaciones Negociables durante el Período de Oferta o inmediatamente después de su finalización cuando: (i) no se hayan recibido Declaraciones de Interés o todas las Declaraciones de Interés recibidas hayan sido rechazadas; (ii) las Declaraciones de Interés representen un monto de las Obligaciones Negociables que no justifique razonablemente su emisión; (i</w:t>
      </w:r>
      <w:r w:rsidR="00F6714F" w:rsidRPr="00CA0A60">
        <w:rPr>
          <w:rFonts w:ascii="Garamond" w:hAnsi="Garamond"/>
          <w:lang w:val="es-AR"/>
        </w:rPr>
        <w:t>ii</w:t>
      </w:r>
      <w:r w:rsidRPr="00CA0A60">
        <w:rPr>
          <w:rFonts w:ascii="Garamond" w:hAnsi="Garamond"/>
          <w:lang w:val="es-AR"/>
        </w:rPr>
        <w:t>) tomando en cuenta la ecuación económica resultante, la emisión de las Obligaciones Negociables no resulte redituable para las Co-Emisoras; (</w:t>
      </w:r>
      <w:r w:rsidR="00F6714F" w:rsidRPr="00CA0A60">
        <w:rPr>
          <w:rFonts w:ascii="Garamond" w:hAnsi="Garamond"/>
          <w:lang w:val="es-AR"/>
        </w:rPr>
        <w:t>i</w:t>
      </w:r>
      <w:r w:rsidRPr="00CA0A60">
        <w:rPr>
          <w:rFonts w:ascii="Garamond" w:hAnsi="Garamond"/>
          <w:lang w:val="es-AR"/>
        </w:rPr>
        <w:t xml:space="preserve">v) se produzcan cambios substanciales adversos en los mercados financieros internacionales y/o los mercados de capitales locales o internacionales, o en la condición general de las Co-Emisoras y/o de la Argentina, incluyendo, por ejemplo, las condiciones políticas económicas o financieras, o la situación crediticia de las Co-Emisoras, de forma que la emisión de las Obligaciones Negociables descripta en el presente Prospecto no sea recomendable; o (v) los inversores no hayan cumplido con las leyes o reglamentaciones relacionados con la prevención del lavado de activos y la financiación de actividades terroristas, incluyendo aquellas emitidas por la UIF, la CNV y el BCRA. Asimismo, la oferta de Obligaciones </w:t>
      </w:r>
      <w:r w:rsidRPr="00CA0A60">
        <w:rPr>
          <w:rFonts w:ascii="Garamond" w:hAnsi="Garamond"/>
          <w:lang w:val="es-AR"/>
        </w:rPr>
        <w:lastRenderedPageBreak/>
        <w:t>Negociables podrá ser cancelada por las Co-Emisoras sin responsabilidad para las Co-Emisoras, los Colocadores Internacionales y los Agentes Colocadores Locales.</w:t>
      </w:r>
    </w:p>
    <w:p w14:paraId="379CA55B" w14:textId="77777777" w:rsidR="00F6714F" w:rsidRPr="00CA0A60" w:rsidRDefault="00F6714F" w:rsidP="005E14F3">
      <w:pPr>
        <w:pStyle w:val="BodyText2Sgl"/>
        <w:spacing w:after="0"/>
        <w:ind w:firstLine="0"/>
        <w:jc w:val="both"/>
        <w:rPr>
          <w:rFonts w:ascii="Garamond" w:hAnsi="Garamond"/>
          <w:lang w:val="es-AR"/>
        </w:rPr>
      </w:pPr>
    </w:p>
    <w:p w14:paraId="021A6125" w14:textId="77777777" w:rsidR="008D3779" w:rsidRPr="00CA0A60" w:rsidRDefault="008D3779" w:rsidP="005E14F3">
      <w:pPr>
        <w:pStyle w:val="TitleBI"/>
        <w:spacing w:after="0"/>
        <w:jc w:val="both"/>
        <w:rPr>
          <w:rFonts w:ascii="Garamond" w:hAnsi="Garamond"/>
          <w:lang w:val="es-AR"/>
        </w:rPr>
      </w:pPr>
      <w:r w:rsidRPr="00CA0A60">
        <w:rPr>
          <w:rFonts w:ascii="Garamond" w:hAnsi="Garamond"/>
          <w:lang w:val="es-AR"/>
        </w:rPr>
        <w:t>Proceso de Adjudicación</w:t>
      </w:r>
    </w:p>
    <w:p w14:paraId="5ABF93C4" w14:textId="77777777" w:rsidR="00F6714F" w:rsidRPr="00CA0A60" w:rsidRDefault="00F6714F" w:rsidP="005E14F3">
      <w:pPr>
        <w:spacing w:after="0" w:line="240" w:lineRule="auto"/>
        <w:rPr>
          <w:lang w:val="es-AR"/>
        </w:rPr>
      </w:pPr>
    </w:p>
    <w:p w14:paraId="3F4FF4B5" w14:textId="2053A067"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Las Co-Emisoras esperan colocar las Obligaciones Negociables principalmente entre compradores institucionales internacionales y argentinos, incluyendo, entre otros, fondos </w:t>
      </w:r>
      <w:r w:rsidR="00B04B49" w:rsidRPr="00CA0A60">
        <w:rPr>
          <w:rFonts w:ascii="Garamond" w:hAnsi="Garamond"/>
          <w:lang w:val="es-AR"/>
        </w:rPr>
        <w:t xml:space="preserve">comunes </w:t>
      </w:r>
      <w:r w:rsidRPr="00CA0A60">
        <w:rPr>
          <w:rFonts w:ascii="Garamond" w:hAnsi="Garamond"/>
          <w:lang w:val="es-AR"/>
        </w:rPr>
        <w:t xml:space="preserve">de inversión, fondos de pensiones, compañías de seguro, </w:t>
      </w:r>
      <w:r w:rsidR="00B04B49" w:rsidRPr="00CA0A60">
        <w:rPr>
          <w:rFonts w:ascii="Garamond" w:hAnsi="Garamond"/>
          <w:lang w:val="es-AR"/>
        </w:rPr>
        <w:t xml:space="preserve">entidades </w:t>
      </w:r>
      <w:r w:rsidRPr="00CA0A60">
        <w:rPr>
          <w:rFonts w:ascii="Garamond" w:hAnsi="Garamond"/>
          <w:lang w:val="es-AR"/>
        </w:rPr>
        <w:t xml:space="preserve">financieras, </w:t>
      </w:r>
      <w:r w:rsidR="00B04B49" w:rsidRPr="00CA0A60">
        <w:rPr>
          <w:rFonts w:ascii="Garamond" w:hAnsi="Garamond"/>
          <w:lang w:val="es-AR"/>
        </w:rPr>
        <w:t>agentes que operan en mercados autorizados por la CNV y/o mercados del exterior</w:t>
      </w:r>
      <w:r w:rsidRPr="00CA0A60">
        <w:rPr>
          <w:rFonts w:ascii="Garamond" w:hAnsi="Garamond"/>
          <w:lang w:val="es-AR"/>
        </w:rPr>
        <w:t xml:space="preserve"> y administradores de cuentas de banc</w:t>
      </w:r>
      <w:r w:rsidR="00B04B49" w:rsidRPr="00CA0A60">
        <w:rPr>
          <w:rFonts w:ascii="Garamond" w:hAnsi="Garamond"/>
          <w:lang w:val="es-AR"/>
        </w:rPr>
        <w:t>a</w:t>
      </w:r>
      <w:r w:rsidRPr="00CA0A60">
        <w:rPr>
          <w:rFonts w:ascii="Garamond" w:hAnsi="Garamond"/>
          <w:lang w:val="es-AR"/>
        </w:rPr>
        <w:t xml:space="preserve"> privad</w:t>
      </w:r>
      <w:r w:rsidR="00B04B49" w:rsidRPr="00CA0A60">
        <w:rPr>
          <w:rFonts w:ascii="Garamond" w:hAnsi="Garamond"/>
          <w:lang w:val="es-AR"/>
        </w:rPr>
        <w:t>a</w:t>
      </w:r>
      <w:r w:rsidRPr="00CA0A60">
        <w:rPr>
          <w:rFonts w:ascii="Garamond" w:hAnsi="Garamond"/>
          <w:lang w:val="es-AR"/>
        </w:rPr>
        <w:t>. Se otorgará preferencia a las Declaraciones de Interés de inversores que, en términos generales, mantengan posiciones de largo plazo en títulos del mismo tipo que las Obligaciones Negociables, lo que aumentará las probabilidades de que el mercado secundario de las Obligaciones Negociables se beneficie de una base de inversores estable que pueda comprender el riesgo crediticio y que tenga intenciones de mantener posiciones de largo plazo sobre las Obligaciones Negociables. Esto, a su vez, ayuda a crear un valor de referencia para las Obligaciones Negociables, y las Co-Emisoras esperan que eso facilite su acceso a los mercados de capitales internacionales en el futuro.</w:t>
      </w:r>
    </w:p>
    <w:p w14:paraId="71DCB018" w14:textId="77777777" w:rsidR="00F6714F" w:rsidRPr="00CA0A60" w:rsidRDefault="00F6714F" w:rsidP="005E14F3">
      <w:pPr>
        <w:pStyle w:val="BodyText2Sgl"/>
        <w:spacing w:after="0"/>
        <w:ind w:firstLine="0"/>
        <w:jc w:val="both"/>
        <w:rPr>
          <w:rFonts w:ascii="Garamond" w:hAnsi="Garamond"/>
          <w:lang w:val="es-AR"/>
        </w:rPr>
      </w:pPr>
    </w:p>
    <w:p w14:paraId="1B9ECF8A" w14:textId="6639DF90"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Específicamente, se otorgará preferencia a las Declaraciones de Interés presentadas por inversores institucionales, inversores regulados</w:t>
      </w:r>
      <w:r w:rsidR="00B04B49" w:rsidRPr="00CA0A60">
        <w:rPr>
          <w:rFonts w:ascii="Garamond" w:hAnsi="Garamond"/>
          <w:lang w:val="es-AR"/>
        </w:rPr>
        <w:t>, banca privada</w:t>
      </w:r>
      <w:r w:rsidRPr="00CA0A60">
        <w:rPr>
          <w:rFonts w:ascii="Garamond" w:hAnsi="Garamond"/>
          <w:lang w:val="es-AR"/>
        </w:rPr>
        <w:t xml:space="preserve"> o instituciones financieras internacionales. </w:t>
      </w:r>
    </w:p>
    <w:p w14:paraId="4B644A8D" w14:textId="77777777" w:rsidR="00F6714F" w:rsidRPr="00CA0A60" w:rsidRDefault="00F6714F" w:rsidP="005E14F3">
      <w:pPr>
        <w:pStyle w:val="BodyText2Sgl"/>
        <w:spacing w:after="0"/>
        <w:ind w:firstLine="0"/>
        <w:jc w:val="both"/>
        <w:rPr>
          <w:rFonts w:ascii="Garamond" w:hAnsi="Garamond"/>
          <w:lang w:val="es-AR"/>
        </w:rPr>
      </w:pPr>
    </w:p>
    <w:p w14:paraId="1C5589F5" w14:textId="77777777"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Los criterios aplicados para la adjudicación de Obligaciones Negociables entre los inversores se basarán, entre otras cosas, en las transacciones internacionales anteriores de los inversores que incluyan emisores en mercados emergentes, la magnitud de la Declaración de Interés, el interés del inversor en el perfil crediticio de las Co-Emisoras y la solvencia del inversor.</w:t>
      </w:r>
    </w:p>
    <w:p w14:paraId="082C48EB" w14:textId="77777777" w:rsidR="00F6714F" w:rsidRPr="00CA0A60" w:rsidRDefault="00F6714F" w:rsidP="005E14F3">
      <w:pPr>
        <w:pStyle w:val="BodyText2Sgl"/>
        <w:spacing w:after="0"/>
        <w:ind w:firstLine="0"/>
        <w:jc w:val="both"/>
        <w:rPr>
          <w:rFonts w:ascii="Garamond" w:hAnsi="Garamond"/>
          <w:lang w:val="es-AR"/>
        </w:rPr>
      </w:pPr>
    </w:p>
    <w:p w14:paraId="4309CE83" w14:textId="28061CDD" w:rsidR="008D3779" w:rsidRPr="00CA0A60" w:rsidRDefault="008D3779" w:rsidP="005E14F3">
      <w:pPr>
        <w:pStyle w:val="BlockTextSgl"/>
        <w:spacing w:after="0"/>
        <w:jc w:val="both"/>
        <w:rPr>
          <w:rFonts w:ascii="Garamond" w:hAnsi="Garamond"/>
          <w:b/>
          <w:lang w:val="es-AR"/>
        </w:rPr>
      </w:pPr>
      <w:r w:rsidRPr="00CA0A60">
        <w:rPr>
          <w:rFonts w:ascii="Garamond" w:hAnsi="Garamond"/>
          <w:b/>
          <w:lang w:val="es-AR"/>
        </w:rPr>
        <w:t>Las Co-Emisoras no pueden asegurar a los inversores que serán adjudicados como resultado de la presentación de Declaraciones de Interés ni que, en caso de ser adjudicados, recibirán el monto total de Obligaciones Negociables solicitado, ni que la proporción del monto de Obligaciones Negociables solicitado adjudicado a dos</w:t>
      </w:r>
      <w:r w:rsidR="00367A0E">
        <w:rPr>
          <w:rFonts w:ascii="Garamond" w:hAnsi="Garamond"/>
          <w:b/>
          <w:lang w:val="es-AR"/>
        </w:rPr>
        <w:t xml:space="preserve"> o más</w:t>
      </w:r>
      <w:r w:rsidRPr="00CA0A60">
        <w:rPr>
          <w:rFonts w:ascii="Garamond" w:hAnsi="Garamond"/>
          <w:b/>
          <w:lang w:val="es-AR"/>
        </w:rPr>
        <w:t xml:space="preserve"> inversores que hayan presentado Declaraciones de Interés idénticas sea el mismo.</w:t>
      </w:r>
    </w:p>
    <w:p w14:paraId="2677290C" w14:textId="77777777" w:rsidR="00F6714F" w:rsidRPr="00CA0A60" w:rsidRDefault="00F6714F" w:rsidP="005E14F3">
      <w:pPr>
        <w:pStyle w:val="BlockTextSgl"/>
        <w:spacing w:after="0"/>
        <w:jc w:val="both"/>
        <w:rPr>
          <w:rFonts w:ascii="Garamond" w:hAnsi="Garamond"/>
          <w:b/>
          <w:lang w:val="es-AR"/>
        </w:rPr>
      </w:pPr>
    </w:p>
    <w:p w14:paraId="5949B1B4" w14:textId="7393B8F6" w:rsidR="008D3779" w:rsidRPr="00CA0A60" w:rsidRDefault="00B04B49" w:rsidP="005E14F3">
      <w:pPr>
        <w:pStyle w:val="BodyText2Sgl"/>
        <w:spacing w:after="0"/>
        <w:ind w:firstLine="0"/>
        <w:jc w:val="both"/>
        <w:rPr>
          <w:rFonts w:ascii="Garamond" w:hAnsi="Garamond"/>
          <w:b/>
          <w:lang w:val="es-AR"/>
        </w:rPr>
      </w:pPr>
      <w:r w:rsidRPr="00CA0A60">
        <w:rPr>
          <w:rFonts w:ascii="Garamond" w:hAnsi="Garamond"/>
          <w:b/>
          <w:lang w:val="es-AR"/>
        </w:rPr>
        <w:t xml:space="preserve">Emisión y </w:t>
      </w:r>
      <w:r w:rsidR="008D3779" w:rsidRPr="00CA0A60">
        <w:rPr>
          <w:rFonts w:ascii="Garamond" w:hAnsi="Garamond"/>
          <w:b/>
          <w:lang w:val="es-AR"/>
        </w:rPr>
        <w:t>Liquidación</w:t>
      </w:r>
    </w:p>
    <w:p w14:paraId="249BF8C6" w14:textId="77777777" w:rsidR="003E2984" w:rsidRPr="00CA0A60" w:rsidRDefault="003E2984" w:rsidP="005E14F3">
      <w:pPr>
        <w:pStyle w:val="BodyText2Sgl"/>
        <w:spacing w:after="0"/>
        <w:ind w:firstLine="0"/>
        <w:jc w:val="both"/>
        <w:rPr>
          <w:rFonts w:ascii="Garamond" w:hAnsi="Garamond"/>
          <w:b/>
          <w:lang w:val="es-AR"/>
        </w:rPr>
      </w:pPr>
    </w:p>
    <w:p w14:paraId="456C5BDF" w14:textId="509AADA0" w:rsidR="008D3779" w:rsidRPr="00CA3A3D"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La liquidación </w:t>
      </w:r>
      <w:r w:rsidR="00B04B49" w:rsidRPr="00CA0A60">
        <w:rPr>
          <w:rFonts w:ascii="Garamond" w:hAnsi="Garamond"/>
          <w:lang w:val="es-AR"/>
        </w:rPr>
        <w:t xml:space="preserve">y emisión </w:t>
      </w:r>
      <w:r w:rsidRPr="00CA0A60">
        <w:rPr>
          <w:rFonts w:ascii="Garamond" w:hAnsi="Garamond"/>
          <w:lang w:val="es-AR"/>
        </w:rPr>
        <w:t>de las Obligaciones Negociables se llevará a cabo en la fecha de emisión de las mismas a ser</w:t>
      </w:r>
      <w:r w:rsidRPr="00CA3A3D">
        <w:rPr>
          <w:rFonts w:ascii="Garamond" w:hAnsi="Garamond"/>
          <w:lang w:val="es-AR"/>
        </w:rPr>
        <w:t xml:space="preserve"> informad</w:t>
      </w:r>
      <w:r w:rsidR="00BA622E" w:rsidRPr="00CA3A3D">
        <w:rPr>
          <w:rFonts w:ascii="Garamond" w:hAnsi="Garamond"/>
          <w:lang w:val="es-AR"/>
        </w:rPr>
        <w:t>a</w:t>
      </w:r>
      <w:r w:rsidRPr="00CA3A3D">
        <w:rPr>
          <w:rFonts w:ascii="Garamond" w:hAnsi="Garamond"/>
          <w:lang w:val="es-AR"/>
        </w:rPr>
        <w:t xml:space="preserve"> en el Aviso de Resultados (la “</w:t>
      </w:r>
      <w:r w:rsidRPr="00CA3A3D">
        <w:rPr>
          <w:rFonts w:ascii="Garamond" w:hAnsi="Garamond"/>
          <w:u w:val="single"/>
          <w:lang w:val="es-AR"/>
        </w:rPr>
        <w:t>Fecha de Emisión</w:t>
      </w:r>
      <w:r w:rsidRPr="00CA3A3D">
        <w:rPr>
          <w:rFonts w:ascii="Garamond" w:hAnsi="Garamond"/>
          <w:lang w:val="es-AR"/>
        </w:rPr>
        <w:t xml:space="preserve">”). Todas las Obligaciones Negociables serán suscriptas e integradas por los inversores </w:t>
      </w:r>
      <w:r w:rsidR="00353B50">
        <w:rPr>
          <w:rFonts w:ascii="Garamond" w:hAnsi="Garamond"/>
          <w:lang w:val="es-AR"/>
        </w:rPr>
        <w:t xml:space="preserve">en o </w:t>
      </w:r>
      <w:r w:rsidR="00606618" w:rsidRPr="00CA3A3D">
        <w:rPr>
          <w:rFonts w:ascii="Garamond" w:hAnsi="Garamond"/>
          <w:lang w:val="es-AR"/>
        </w:rPr>
        <w:t>con anterioridad a la</w:t>
      </w:r>
      <w:r w:rsidRPr="00CA3A3D">
        <w:rPr>
          <w:rFonts w:ascii="Garamond" w:hAnsi="Garamond"/>
          <w:lang w:val="es-AR"/>
        </w:rPr>
        <w:t xml:space="preserve"> Fecha de Emisión</w:t>
      </w:r>
      <w:r w:rsidR="00606618" w:rsidRPr="00CA3A3D">
        <w:rPr>
          <w:rFonts w:ascii="Garamond" w:hAnsi="Garamond"/>
          <w:lang w:val="es-AR"/>
        </w:rPr>
        <w:t>,</w:t>
      </w:r>
      <w:r w:rsidRPr="00CA3A3D">
        <w:rPr>
          <w:rFonts w:ascii="Garamond" w:hAnsi="Garamond"/>
          <w:lang w:val="es-AR"/>
        </w:rPr>
        <w:t xml:space="preserve"> en </w:t>
      </w:r>
      <w:r w:rsidR="00353B50">
        <w:rPr>
          <w:rFonts w:ascii="Garamond" w:hAnsi="Garamond"/>
          <w:lang w:val="es-AR"/>
        </w:rPr>
        <w:t xml:space="preserve">(i) respecto de la Oferta Internacional </w:t>
      </w:r>
      <w:r w:rsidRPr="00CA3A3D">
        <w:rPr>
          <w:rFonts w:ascii="Garamond" w:hAnsi="Garamond"/>
          <w:lang w:val="es-AR"/>
        </w:rPr>
        <w:t xml:space="preserve">efectivo </w:t>
      </w:r>
      <w:r w:rsidR="00606618" w:rsidRPr="00CA3A3D">
        <w:rPr>
          <w:rFonts w:ascii="Garamond" w:hAnsi="Garamond"/>
          <w:lang w:val="es-AR"/>
        </w:rPr>
        <w:t xml:space="preserve">y </w:t>
      </w:r>
      <w:r w:rsidRPr="00CA3A3D">
        <w:rPr>
          <w:rFonts w:ascii="Garamond" w:hAnsi="Garamond"/>
          <w:lang w:val="es-AR"/>
        </w:rPr>
        <w:t xml:space="preserve">en </w:t>
      </w:r>
      <w:r w:rsidR="00F54D73" w:rsidRPr="00CA3A3D">
        <w:rPr>
          <w:rFonts w:ascii="Garamond" w:hAnsi="Garamond"/>
          <w:lang w:val="es-AR"/>
        </w:rPr>
        <w:t>D</w:t>
      </w:r>
      <w:r w:rsidRPr="00CA3A3D">
        <w:rPr>
          <w:rFonts w:ascii="Garamond" w:hAnsi="Garamond"/>
          <w:lang w:val="es-AR"/>
        </w:rPr>
        <w:t xml:space="preserve">ólares </w:t>
      </w:r>
      <w:r w:rsidR="00A2246A">
        <w:rPr>
          <w:rFonts w:ascii="Garamond" w:hAnsi="Garamond"/>
          <w:lang w:val="es-AR"/>
        </w:rPr>
        <w:t xml:space="preserve"> </w:t>
      </w:r>
      <w:r w:rsidR="00F54D73" w:rsidRPr="00CA3A3D">
        <w:rPr>
          <w:rFonts w:ascii="Garamond" w:hAnsi="Garamond"/>
          <w:lang w:val="es-AR"/>
        </w:rPr>
        <w:t>E</w:t>
      </w:r>
      <w:r w:rsidRPr="00CA3A3D">
        <w:rPr>
          <w:rFonts w:ascii="Garamond" w:hAnsi="Garamond"/>
          <w:lang w:val="es-AR"/>
        </w:rPr>
        <w:t>stadounidenses</w:t>
      </w:r>
      <w:r w:rsidR="003E2984" w:rsidRPr="00CA3A3D">
        <w:rPr>
          <w:rFonts w:ascii="Garamond" w:hAnsi="Garamond"/>
          <w:lang w:val="es-AR"/>
        </w:rPr>
        <w:t xml:space="preserve"> </w:t>
      </w:r>
      <w:r w:rsidR="00353B50">
        <w:rPr>
          <w:rFonts w:ascii="Garamond" w:hAnsi="Garamond"/>
          <w:lang w:val="es-AR"/>
        </w:rPr>
        <w:t xml:space="preserve">y (ii) respecto de la Oferta Local, en efectivo y en Dólares Estadounidenses </w:t>
      </w:r>
      <w:r w:rsidR="00B04B49" w:rsidRPr="00CA3A3D">
        <w:rPr>
          <w:rFonts w:ascii="Garamond" w:hAnsi="Garamond"/>
          <w:lang w:val="es-AR"/>
        </w:rPr>
        <w:t>y/o Pesos convertidos</w:t>
      </w:r>
      <w:r w:rsidR="00B93192">
        <w:rPr>
          <w:rFonts w:ascii="Garamond" w:hAnsi="Garamond"/>
          <w:lang w:val="es-AR"/>
        </w:rPr>
        <w:t xml:space="preserve"> a</w:t>
      </w:r>
      <w:r w:rsidR="009D1218">
        <w:rPr>
          <w:rFonts w:ascii="Garamond" w:hAnsi="Garamond"/>
          <w:lang w:val="es-AR"/>
        </w:rPr>
        <w:t xml:space="preserve">l </w:t>
      </w:r>
      <w:r w:rsidR="00B93192">
        <w:rPr>
          <w:rFonts w:ascii="Garamond" w:hAnsi="Garamond"/>
          <w:lang w:val="es-AR"/>
        </w:rPr>
        <w:t xml:space="preserve"> </w:t>
      </w:r>
      <w:r w:rsidR="009D1218" w:rsidRPr="00582114">
        <w:rPr>
          <w:rFonts w:ascii="Garamond" w:hAnsi="Garamond"/>
          <w:lang w:val="es-AR"/>
        </w:rPr>
        <w:t>Tipo de Cambio Aplicable</w:t>
      </w:r>
      <w:r w:rsidR="009D1218">
        <w:rPr>
          <w:rFonts w:ascii="Garamond" w:hAnsi="Garamond"/>
          <w:lang w:val="es-AR"/>
        </w:rPr>
        <w:t xml:space="preserve"> (</w:t>
      </w:r>
      <w:r w:rsidR="00B93192">
        <w:rPr>
          <w:rFonts w:ascii="Garamond" w:hAnsi="Garamond"/>
          <w:lang w:val="es-AR"/>
        </w:rPr>
        <w:t xml:space="preserve">Dólares Estadounidenses de acuerdo </w:t>
      </w:r>
      <w:r w:rsidR="000E535B">
        <w:rPr>
          <w:rFonts w:ascii="Garamond" w:hAnsi="Garamond"/>
          <w:lang w:val="es-AR"/>
        </w:rPr>
        <w:t>a</w:t>
      </w:r>
      <w:r w:rsidR="00B93192" w:rsidRPr="00B93192">
        <w:rPr>
          <w:rFonts w:ascii="Garamond" w:hAnsi="Garamond"/>
          <w:lang w:val="es-AR"/>
        </w:rPr>
        <w:t xml:space="preserve">l tipo de cambio determinado y publicado por el BCRA mediante la Comunicación “A” 3500 (o la regulación que la sucediera o modificase en el tiempo) </w:t>
      </w:r>
      <w:r w:rsidR="000E535B">
        <w:rPr>
          <w:rFonts w:ascii="Garamond" w:hAnsi="Garamond"/>
          <w:lang w:val="es-AR"/>
        </w:rPr>
        <w:t xml:space="preserve">el </w:t>
      </w:r>
      <w:r w:rsidR="00B93192" w:rsidRPr="00B93192">
        <w:rPr>
          <w:rFonts w:ascii="Garamond" w:hAnsi="Garamond"/>
          <w:lang w:val="es-AR"/>
        </w:rPr>
        <w:t>Día Hábil</w:t>
      </w:r>
      <w:r w:rsidR="000E535B">
        <w:rPr>
          <w:rFonts w:ascii="Garamond" w:hAnsi="Garamond"/>
          <w:lang w:val="es-AR"/>
        </w:rPr>
        <w:t xml:space="preserve"> inmediato anterior al día del Período de Oferta</w:t>
      </w:r>
      <w:r w:rsidR="00B93192">
        <w:rPr>
          <w:rFonts w:ascii="Garamond" w:hAnsi="Garamond"/>
          <w:lang w:val="es-AR"/>
        </w:rPr>
        <w:t>),</w:t>
      </w:r>
      <w:r w:rsidR="00B04B49" w:rsidRPr="00CA3A3D">
        <w:rPr>
          <w:rFonts w:ascii="Garamond" w:hAnsi="Garamond"/>
          <w:lang w:val="es-AR"/>
        </w:rPr>
        <w:t xml:space="preserve"> </w:t>
      </w:r>
      <w:r w:rsidRPr="00CA3A3D">
        <w:rPr>
          <w:rFonts w:ascii="Garamond" w:hAnsi="Garamond"/>
          <w:lang w:val="es-AR"/>
        </w:rPr>
        <w:t>a un precio de emisión equivalente al 100% de su valor nominal</w:t>
      </w:r>
      <w:r w:rsidR="00520741">
        <w:rPr>
          <w:rFonts w:ascii="Garamond" w:hAnsi="Garamond"/>
          <w:lang w:val="es-AR"/>
        </w:rPr>
        <w:t xml:space="preserve"> </w:t>
      </w:r>
      <w:r w:rsidR="00606618" w:rsidRPr="00CA3A3D">
        <w:rPr>
          <w:rFonts w:ascii="Garamond" w:hAnsi="Garamond"/>
          <w:lang w:val="es-AR"/>
        </w:rPr>
        <w:t xml:space="preserve">y cada uno de dichos inversores deberán </w:t>
      </w:r>
      <w:r w:rsidR="00B04B49" w:rsidRPr="00CA3A3D">
        <w:rPr>
          <w:rFonts w:ascii="Garamond" w:hAnsi="Garamond"/>
          <w:lang w:val="es-AR"/>
        </w:rPr>
        <w:t>integrar</w:t>
      </w:r>
      <w:r w:rsidR="00606618" w:rsidRPr="00CA3A3D">
        <w:rPr>
          <w:rFonts w:ascii="Garamond" w:hAnsi="Garamond"/>
          <w:lang w:val="es-AR"/>
        </w:rPr>
        <w:t xml:space="preserve"> una cantidad de Dólares</w:t>
      </w:r>
      <w:r w:rsidR="00B04B49" w:rsidRPr="00CA3A3D">
        <w:rPr>
          <w:rFonts w:ascii="Garamond" w:hAnsi="Garamond"/>
          <w:lang w:val="es-AR"/>
        </w:rPr>
        <w:t xml:space="preserve"> y/o Pesos (convertidos al Tipo de Cambio Aplicable)</w:t>
      </w:r>
      <w:r w:rsidR="00606618" w:rsidRPr="00CA3A3D">
        <w:rPr>
          <w:rFonts w:ascii="Garamond" w:hAnsi="Garamond"/>
          <w:lang w:val="es-AR"/>
        </w:rPr>
        <w:t xml:space="preserve"> suficientes para cubrir el valor nominal que le fuera adjudicado de Obligaciones Negociables (el “</w:t>
      </w:r>
      <w:r w:rsidR="00606618" w:rsidRPr="00CA3A3D">
        <w:rPr>
          <w:rFonts w:ascii="Garamond" w:hAnsi="Garamond"/>
          <w:u w:val="single"/>
          <w:lang w:val="es-AR"/>
        </w:rPr>
        <w:t>Monto a Integrar</w:t>
      </w:r>
      <w:r w:rsidR="00606618" w:rsidRPr="00CA3A3D">
        <w:rPr>
          <w:rFonts w:ascii="Garamond" w:hAnsi="Garamond"/>
          <w:lang w:val="es-AR"/>
        </w:rPr>
        <w:t>”) se encuentren disponibles con 24 horas de anticipación en la cuenta del respectivo agente.</w:t>
      </w:r>
    </w:p>
    <w:p w14:paraId="0EF46479" w14:textId="77777777" w:rsidR="003E2984" w:rsidRPr="00CA3A3D" w:rsidRDefault="003E2984" w:rsidP="005E14F3">
      <w:pPr>
        <w:pStyle w:val="BodyText2Sgl"/>
        <w:spacing w:after="0"/>
        <w:ind w:firstLine="0"/>
        <w:jc w:val="both"/>
        <w:rPr>
          <w:rFonts w:ascii="Garamond" w:hAnsi="Garamond"/>
          <w:lang w:val="es-AR"/>
        </w:rPr>
      </w:pPr>
    </w:p>
    <w:p w14:paraId="479D4D55" w14:textId="6409D1FE" w:rsidR="008D3779" w:rsidRPr="00CA0A60" w:rsidRDefault="008D3779" w:rsidP="005E14F3">
      <w:pPr>
        <w:pStyle w:val="BodyText2Sgl"/>
        <w:spacing w:after="0"/>
        <w:ind w:firstLine="0"/>
        <w:jc w:val="both"/>
        <w:rPr>
          <w:rFonts w:ascii="Garamond" w:hAnsi="Garamond"/>
          <w:lang w:val="es-AR"/>
        </w:rPr>
      </w:pPr>
      <w:r w:rsidRPr="00CA0A60">
        <w:rPr>
          <w:rFonts w:ascii="Garamond" w:hAnsi="Garamond"/>
          <w:lang w:val="es-AR"/>
        </w:rPr>
        <w:t xml:space="preserve">Los inversores </w:t>
      </w:r>
      <w:r w:rsidR="00B04B49" w:rsidRPr="00713D6E">
        <w:rPr>
          <w:rFonts w:ascii="Garamond" w:hAnsi="Garamond"/>
          <w:lang w:val="es-AR"/>
        </w:rPr>
        <w:t xml:space="preserve">calificados </w:t>
      </w:r>
      <w:r w:rsidRPr="00713D6E">
        <w:rPr>
          <w:rFonts w:ascii="Garamond" w:hAnsi="Garamond"/>
          <w:lang w:val="es-AR"/>
        </w:rPr>
        <w:t>interesados en adquirir las Obligaciones Negociables solamente podrán integrar en efectivo las Obligaciones Negociables que se les adjudiquen conforme los indicado en la sección “</w:t>
      </w:r>
      <w:r w:rsidRPr="00CA0A60">
        <w:rPr>
          <w:rFonts w:ascii="Garamond" w:hAnsi="Garamond"/>
          <w:i/>
          <w:lang w:val="es-AR"/>
        </w:rPr>
        <w:t>Adjudicación</w:t>
      </w:r>
      <w:r w:rsidRPr="00CA0A60">
        <w:rPr>
          <w:rFonts w:ascii="Garamond" w:hAnsi="Garamond"/>
          <w:lang w:val="es-AR"/>
        </w:rPr>
        <w:t>”.</w:t>
      </w:r>
    </w:p>
    <w:p w14:paraId="3AB58C42" w14:textId="77777777" w:rsidR="003E2984" w:rsidRPr="00CA0A60" w:rsidRDefault="003E2984" w:rsidP="005E14F3">
      <w:pPr>
        <w:pStyle w:val="BodyText2Sgl"/>
        <w:spacing w:after="0"/>
        <w:ind w:firstLine="0"/>
        <w:jc w:val="both"/>
        <w:rPr>
          <w:rFonts w:ascii="Garamond" w:hAnsi="Garamond"/>
          <w:lang w:val="es-AR"/>
        </w:rPr>
      </w:pPr>
    </w:p>
    <w:p w14:paraId="6F4466E1" w14:textId="19E981D4" w:rsidR="00A612AB" w:rsidRPr="00CA3A3D" w:rsidRDefault="00A612AB" w:rsidP="005E14F3">
      <w:pPr>
        <w:spacing w:after="0" w:line="240" w:lineRule="auto"/>
        <w:contextualSpacing/>
        <w:jc w:val="both"/>
        <w:rPr>
          <w:rFonts w:ascii="Garamond" w:hAnsi="Garamond"/>
          <w:sz w:val="20"/>
          <w:szCs w:val="20"/>
          <w:lang w:val="es-AR"/>
        </w:rPr>
      </w:pPr>
      <w:r w:rsidRPr="00CA0A60">
        <w:rPr>
          <w:rFonts w:ascii="Garamond" w:hAnsi="Garamond"/>
          <w:sz w:val="20"/>
          <w:szCs w:val="20"/>
          <w:lang w:val="es-AR"/>
        </w:rPr>
        <w:t>Efectuada la integración, por la totalidad del Monto a Integrar conforme fuera detallado, en la Fecha de Emisión, los Agentes Colocadores Locales transferirán las Obligaciones Negociables adjudicadas que los inversores hubiesen cursado a través de él a las cuentas de los custodios participantes en Eur</w:t>
      </w:r>
      <w:r w:rsidR="00B04B49" w:rsidRPr="00CA0A60">
        <w:rPr>
          <w:rFonts w:ascii="Garamond" w:hAnsi="Garamond"/>
          <w:sz w:val="20"/>
          <w:szCs w:val="20"/>
          <w:lang w:val="es-AR"/>
        </w:rPr>
        <w:t>o</w:t>
      </w:r>
      <w:r w:rsidRPr="00CA0A60">
        <w:rPr>
          <w:rFonts w:ascii="Garamond" w:hAnsi="Garamond"/>
          <w:sz w:val="20"/>
          <w:szCs w:val="20"/>
          <w:lang w:val="es-AR"/>
        </w:rPr>
        <w:t xml:space="preserve">clear y/o Caja de Valores S.A. que hubiese indicado el inversor en su respectiva Declaración de Interés. </w:t>
      </w:r>
      <w:r w:rsidRPr="00CA3A3D">
        <w:rPr>
          <w:rFonts w:ascii="Garamond" w:hAnsi="Garamond"/>
          <w:sz w:val="20"/>
          <w:szCs w:val="20"/>
          <w:lang w:val="es-AR"/>
        </w:rPr>
        <w:t xml:space="preserve">En caso de que el inversor no </w:t>
      </w:r>
      <w:r w:rsidR="00B04B49" w:rsidRPr="00CA3A3D">
        <w:rPr>
          <w:rFonts w:ascii="Garamond" w:hAnsi="Garamond"/>
          <w:sz w:val="20"/>
          <w:szCs w:val="20"/>
          <w:lang w:val="es-AR"/>
        </w:rPr>
        <w:t>integre</w:t>
      </w:r>
      <w:r w:rsidRPr="00CA3A3D">
        <w:rPr>
          <w:rFonts w:ascii="Garamond" w:hAnsi="Garamond"/>
          <w:sz w:val="20"/>
          <w:szCs w:val="20"/>
          <w:lang w:val="es-AR"/>
        </w:rPr>
        <w:t xml:space="preserve"> (de modo total o parcial) las Obligaciones Negociables antes de las 1</w:t>
      </w:r>
      <w:r w:rsidR="00B04B49" w:rsidRPr="00CA3A3D">
        <w:rPr>
          <w:rFonts w:ascii="Garamond" w:hAnsi="Garamond"/>
          <w:sz w:val="20"/>
          <w:szCs w:val="20"/>
          <w:lang w:val="es-AR"/>
        </w:rPr>
        <w:t>2</w:t>
      </w:r>
      <w:r w:rsidRPr="00CA3A3D">
        <w:rPr>
          <w:rFonts w:ascii="Garamond" w:hAnsi="Garamond"/>
          <w:sz w:val="20"/>
          <w:szCs w:val="20"/>
          <w:lang w:val="es-AR"/>
        </w:rPr>
        <w:t>:00 p.m. (hora de</w:t>
      </w:r>
      <w:r w:rsidR="00B04B49" w:rsidRPr="00CA3A3D">
        <w:rPr>
          <w:rFonts w:ascii="Garamond" w:hAnsi="Garamond"/>
          <w:sz w:val="20"/>
          <w:szCs w:val="20"/>
          <w:lang w:val="es-AR"/>
        </w:rPr>
        <w:t xml:space="preserve"> la Ciudad de</w:t>
      </w:r>
      <w:r w:rsidRPr="00CA3A3D">
        <w:rPr>
          <w:rFonts w:ascii="Garamond" w:hAnsi="Garamond"/>
          <w:sz w:val="20"/>
          <w:szCs w:val="20"/>
          <w:lang w:val="es-AR"/>
        </w:rPr>
        <w:t xml:space="preserve"> Buenos Aires) </w:t>
      </w:r>
      <w:r w:rsidR="00520741">
        <w:rPr>
          <w:rFonts w:ascii="Garamond" w:hAnsi="Garamond"/>
          <w:sz w:val="20"/>
          <w:szCs w:val="20"/>
          <w:lang w:val="es-AR"/>
        </w:rPr>
        <w:t>(o en el horario que le indique el colocador)</w:t>
      </w:r>
      <w:r w:rsidR="00520741" w:rsidRPr="00CA3A3D">
        <w:rPr>
          <w:rFonts w:ascii="Garamond" w:hAnsi="Garamond"/>
          <w:sz w:val="20"/>
          <w:szCs w:val="20"/>
          <w:lang w:val="es-AR"/>
        </w:rPr>
        <w:t xml:space="preserve"> </w:t>
      </w:r>
      <w:r w:rsidRPr="00CA3A3D">
        <w:rPr>
          <w:rFonts w:ascii="Garamond" w:hAnsi="Garamond"/>
          <w:sz w:val="20"/>
          <w:szCs w:val="20"/>
          <w:lang w:val="es-AR"/>
        </w:rPr>
        <w:t xml:space="preserve">en la Fecha de Emisión de las Obligaciones Negociables, perderá inmediatamente el derecho a recibir la </w:t>
      </w:r>
      <w:r w:rsidR="00B04B49" w:rsidRPr="00CA3A3D">
        <w:rPr>
          <w:rFonts w:ascii="Garamond" w:hAnsi="Garamond"/>
          <w:sz w:val="20"/>
          <w:szCs w:val="20"/>
          <w:lang w:val="es-AR"/>
        </w:rPr>
        <w:t>O</w:t>
      </w:r>
      <w:r w:rsidRPr="00CA3A3D">
        <w:rPr>
          <w:rFonts w:ascii="Garamond" w:hAnsi="Garamond"/>
          <w:sz w:val="20"/>
          <w:szCs w:val="20"/>
          <w:lang w:val="es-AR"/>
        </w:rPr>
        <w:t xml:space="preserve">bligación </w:t>
      </w:r>
      <w:r w:rsidR="00B04B49" w:rsidRPr="00CA3A3D">
        <w:rPr>
          <w:rFonts w:ascii="Garamond" w:hAnsi="Garamond"/>
          <w:sz w:val="20"/>
          <w:szCs w:val="20"/>
          <w:lang w:val="es-AR"/>
        </w:rPr>
        <w:t>N</w:t>
      </w:r>
      <w:r w:rsidRPr="00CA3A3D">
        <w:rPr>
          <w:rFonts w:ascii="Garamond" w:hAnsi="Garamond"/>
          <w:sz w:val="20"/>
          <w:szCs w:val="20"/>
          <w:lang w:val="es-AR"/>
        </w:rPr>
        <w:t xml:space="preserve">egociable adjudicada pero </w:t>
      </w:r>
      <w:r w:rsidR="00B04B49" w:rsidRPr="00CA3A3D">
        <w:rPr>
          <w:rFonts w:ascii="Garamond" w:hAnsi="Garamond"/>
          <w:sz w:val="20"/>
          <w:szCs w:val="20"/>
          <w:lang w:val="es-AR"/>
        </w:rPr>
        <w:t>no integrada</w:t>
      </w:r>
      <w:r w:rsidRPr="00CA3A3D">
        <w:rPr>
          <w:rFonts w:ascii="Garamond" w:hAnsi="Garamond"/>
          <w:sz w:val="20"/>
          <w:szCs w:val="20"/>
          <w:lang w:val="es-AR"/>
        </w:rPr>
        <w:t>.</w:t>
      </w:r>
    </w:p>
    <w:p w14:paraId="6B14DDD1" w14:textId="77777777" w:rsidR="00B04B49" w:rsidRPr="00CA3A3D" w:rsidRDefault="00B04B49" w:rsidP="005E14F3">
      <w:pPr>
        <w:spacing w:after="0" w:line="240" w:lineRule="auto"/>
        <w:contextualSpacing/>
        <w:jc w:val="both"/>
        <w:rPr>
          <w:rFonts w:ascii="Garamond" w:hAnsi="Garamond"/>
          <w:sz w:val="20"/>
          <w:szCs w:val="20"/>
          <w:lang w:val="es-AR"/>
        </w:rPr>
      </w:pPr>
    </w:p>
    <w:p w14:paraId="60FC9311" w14:textId="10C167E7" w:rsidR="00A612AB" w:rsidRPr="00CA3A3D" w:rsidRDefault="00A612AB" w:rsidP="00B04B49">
      <w:pPr>
        <w:spacing w:after="0" w:line="240" w:lineRule="auto"/>
        <w:contextualSpacing/>
        <w:jc w:val="both"/>
        <w:rPr>
          <w:rFonts w:ascii="Garamond" w:hAnsi="Garamond"/>
          <w:sz w:val="20"/>
          <w:szCs w:val="20"/>
          <w:lang w:val="es-AR"/>
        </w:rPr>
      </w:pPr>
      <w:r w:rsidRPr="00CA3A3D">
        <w:rPr>
          <w:rFonts w:ascii="Garamond" w:hAnsi="Garamond"/>
          <w:sz w:val="20"/>
          <w:szCs w:val="20"/>
          <w:lang w:val="es-AR"/>
        </w:rPr>
        <w:t>En la Fecha de Emisión, The Bank of New York Mellon en su carácter de agente de liquidación internacional (el “</w:t>
      </w:r>
      <w:r w:rsidRPr="00CA3A3D">
        <w:rPr>
          <w:rFonts w:ascii="Garamond" w:hAnsi="Garamond"/>
          <w:sz w:val="20"/>
          <w:szCs w:val="20"/>
          <w:u w:val="single"/>
          <w:lang w:val="es-AR"/>
        </w:rPr>
        <w:t>Agente de Liquidación Internacional</w:t>
      </w:r>
      <w:r w:rsidRPr="00CA3A3D">
        <w:rPr>
          <w:rFonts w:ascii="Garamond" w:hAnsi="Garamond"/>
          <w:sz w:val="20"/>
          <w:szCs w:val="20"/>
          <w:lang w:val="es-AR"/>
        </w:rPr>
        <w:t>”), entregará las Obligaciones Negociables en forma escritural a los inversores a través DTC. En el caso de la Oferta Local, el Agente de Liquidación Internacional entregará las Obligaciones Negociables que corresponden a la porción de Declaraciones de Interés que fueran adjudicadas a inversores de Argentina conforme lo indicado en la sección “</w:t>
      </w:r>
      <w:r w:rsidRPr="00CA3A3D">
        <w:rPr>
          <w:rFonts w:ascii="Garamond" w:hAnsi="Garamond"/>
          <w:i/>
          <w:sz w:val="20"/>
          <w:szCs w:val="20"/>
          <w:lang w:val="es-AR"/>
        </w:rPr>
        <w:t>Adjudicación</w:t>
      </w:r>
      <w:r w:rsidRPr="00CA3A3D">
        <w:rPr>
          <w:rFonts w:ascii="Garamond" w:hAnsi="Garamond"/>
          <w:sz w:val="20"/>
          <w:szCs w:val="20"/>
          <w:lang w:val="es-AR"/>
        </w:rPr>
        <w:t xml:space="preserve">”, </w:t>
      </w:r>
      <w:r w:rsidR="00A57974">
        <w:rPr>
          <w:rFonts w:ascii="Garamond" w:hAnsi="Garamond"/>
          <w:sz w:val="20"/>
          <w:szCs w:val="20"/>
          <w:lang w:val="es-AR"/>
        </w:rPr>
        <w:t xml:space="preserve">a </w:t>
      </w:r>
      <w:r w:rsidRPr="00CA3A3D">
        <w:rPr>
          <w:rFonts w:ascii="Garamond" w:hAnsi="Garamond"/>
          <w:sz w:val="20"/>
          <w:szCs w:val="20"/>
          <w:lang w:val="es-AR"/>
        </w:rPr>
        <w:t>Balanz Capital Valores S.A.U.,</w:t>
      </w:r>
      <w:r w:rsidR="00A57974">
        <w:rPr>
          <w:rFonts w:ascii="Garamond" w:hAnsi="Garamond"/>
          <w:sz w:val="20"/>
          <w:szCs w:val="20"/>
          <w:lang w:val="es-AR"/>
        </w:rPr>
        <w:t xml:space="preserve"> en </w:t>
      </w:r>
      <w:r w:rsidR="00A57974">
        <w:rPr>
          <w:rFonts w:ascii="Garamond" w:hAnsi="Garamond"/>
          <w:sz w:val="20"/>
          <w:szCs w:val="20"/>
          <w:lang w:val="es-AR"/>
        </w:rPr>
        <w:lastRenderedPageBreak/>
        <w:t>su cuenta de DTC,</w:t>
      </w:r>
      <w:r w:rsidRPr="00CA3A3D">
        <w:rPr>
          <w:rFonts w:ascii="Garamond" w:hAnsi="Garamond"/>
          <w:sz w:val="20"/>
          <w:szCs w:val="20"/>
          <w:lang w:val="es-AR"/>
        </w:rPr>
        <w:t xml:space="preserve"> quien actuará como agente de </w:t>
      </w:r>
      <w:r w:rsidR="00B04B49" w:rsidRPr="00CA3A3D">
        <w:rPr>
          <w:rFonts w:ascii="Garamond" w:hAnsi="Garamond"/>
          <w:sz w:val="20"/>
          <w:szCs w:val="20"/>
          <w:lang w:val="es-AR"/>
        </w:rPr>
        <w:t xml:space="preserve">transferencia </w:t>
      </w:r>
      <w:r w:rsidRPr="00CA3A3D">
        <w:rPr>
          <w:rFonts w:ascii="Garamond" w:hAnsi="Garamond"/>
          <w:sz w:val="20"/>
          <w:szCs w:val="20"/>
          <w:lang w:val="es-AR"/>
        </w:rPr>
        <w:t>local</w:t>
      </w:r>
      <w:r w:rsidR="00B04B49" w:rsidRPr="00CA3A3D">
        <w:rPr>
          <w:rFonts w:ascii="Garamond" w:hAnsi="Garamond"/>
          <w:sz w:val="20"/>
          <w:szCs w:val="20"/>
          <w:lang w:val="es-AR"/>
        </w:rPr>
        <w:t xml:space="preserve"> de títulos (el “</w:t>
      </w:r>
      <w:r w:rsidR="00B04B49" w:rsidRPr="00CA3A3D">
        <w:rPr>
          <w:rFonts w:ascii="Garamond" w:hAnsi="Garamond"/>
          <w:b/>
          <w:sz w:val="20"/>
          <w:szCs w:val="20"/>
          <w:lang w:val="es-AR"/>
        </w:rPr>
        <w:t>Agente de Transferencia Local de Títulos</w:t>
      </w:r>
      <w:r w:rsidR="00B04B49" w:rsidRPr="00CA3A3D">
        <w:rPr>
          <w:rFonts w:ascii="Garamond" w:hAnsi="Garamond"/>
          <w:sz w:val="20"/>
          <w:szCs w:val="20"/>
          <w:lang w:val="es-AR"/>
        </w:rPr>
        <w:t>”) al solo efecto de la entrega de las Obligaciones Negociables a cada una de las cuentas en Euroclear que los Agentes Colocadores Locales detalladas en el Contrato de Colocación (según se define más adelante). En ningún caso, el Agente de Transferencia Local de Títulos, en dicho rol, será responsable por demora en la entrega de las Obligaciones Negociables por parte de las Co-Emisoras y los Agentes de Colocación Local, falta de integración y/o cualquier complicación que pudiera surgir relacionada con, sin que el presente detalle resulte limitativo, problemas, fallas, pérdidas de enlace, errores en la aplicación o en las caídas del software al utilizar los sistemas para consumar la referida transferencia</w:t>
      </w:r>
      <w:r w:rsidRPr="00CA3A3D">
        <w:rPr>
          <w:rFonts w:ascii="Garamond" w:hAnsi="Garamond"/>
          <w:sz w:val="20"/>
          <w:szCs w:val="20"/>
          <w:lang w:val="es-AR"/>
        </w:rPr>
        <w:t>.</w:t>
      </w:r>
    </w:p>
    <w:p w14:paraId="7332107B" w14:textId="77777777" w:rsidR="008D3779" w:rsidRPr="00CA3A3D" w:rsidRDefault="008D3779" w:rsidP="005E14F3">
      <w:pPr>
        <w:spacing w:after="0" w:line="240" w:lineRule="auto"/>
        <w:contextualSpacing/>
        <w:jc w:val="both"/>
        <w:rPr>
          <w:rFonts w:ascii="Garamond" w:hAnsi="Garamond"/>
          <w:sz w:val="20"/>
          <w:szCs w:val="20"/>
          <w:lang w:val="es-AR"/>
        </w:rPr>
      </w:pPr>
    </w:p>
    <w:p w14:paraId="36F1A4B5" w14:textId="77777777" w:rsidR="008D3779" w:rsidRPr="00CA0A60" w:rsidRDefault="008D3779" w:rsidP="005E14F3">
      <w:pPr>
        <w:keepNext/>
        <w:widowControl w:val="0"/>
        <w:spacing w:after="0" w:line="240" w:lineRule="auto"/>
        <w:contextualSpacing/>
        <w:jc w:val="both"/>
        <w:rPr>
          <w:rFonts w:ascii="Garamond" w:hAnsi="Garamond"/>
          <w:b/>
          <w:color w:val="000000"/>
          <w:sz w:val="20"/>
          <w:szCs w:val="20"/>
          <w:lang w:val="es-AR"/>
        </w:rPr>
      </w:pPr>
      <w:r w:rsidRPr="00CA0A60">
        <w:rPr>
          <w:rFonts w:ascii="Garamond" w:hAnsi="Garamond"/>
          <w:b/>
          <w:color w:val="000000"/>
          <w:sz w:val="20"/>
          <w:szCs w:val="20"/>
          <w:lang w:val="es-AR"/>
        </w:rPr>
        <w:t>Gastos de Emisión</w:t>
      </w:r>
    </w:p>
    <w:p w14:paraId="5D98A3F1" w14:textId="77777777" w:rsidR="00471521" w:rsidRPr="00CA0A60" w:rsidRDefault="00471521" w:rsidP="005E14F3">
      <w:pPr>
        <w:keepNext/>
        <w:widowControl w:val="0"/>
        <w:spacing w:after="0" w:line="240" w:lineRule="auto"/>
        <w:contextualSpacing/>
        <w:jc w:val="both"/>
        <w:rPr>
          <w:rFonts w:ascii="Garamond" w:hAnsi="Garamond"/>
          <w:b/>
          <w:color w:val="000000"/>
          <w:sz w:val="20"/>
          <w:szCs w:val="20"/>
          <w:lang w:val="es-AR"/>
        </w:rPr>
      </w:pPr>
    </w:p>
    <w:p w14:paraId="02020F20" w14:textId="77777777" w:rsidR="008D3779" w:rsidRPr="00CA3A3D" w:rsidRDefault="008D3779" w:rsidP="005E14F3">
      <w:pPr>
        <w:spacing w:after="0" w:line="240" w:lineRule="auto"/>
        <w:contextualSpacing/>
        <w:jc w:val="both"/>
        <w:rPr>
          <w:rFonts w:ascii="Garamond" w:hAnsi="Garamond"/>
          <w:sz w:val="20"/>
          <w:szCs w:val="20"/>
          <w:lang w:val="es-AR"/>
        </w:rPr>
      </w:pPr>
      <w:r w:rsidRPr="00CA3A3D">
        <w:rPr>
          <w:rFonts w:ascii="Garamond" w:hAnsi="Garamond"/>
          <w:sz w:val="20"/>
          <w:szCs w:val="20"/>
          <w:lang w:val="es-AR"/>
        </w:rPr>
        <w:t>Para mayor información sobre los gastos de emisión, por favor véase la sección “Gastos de Emisión” en el presente Suplemento.</w:t>
      </w:r>
    </w:p>
    <w:p w14:paraId="50C86B8C" w14:textId="77777777" w:rsidR="00287E37" w:rsidRPr="00CA3A3D" w:rsidRDefault="00287E37" w:rsidP="005E14F3">
      <w:pPr>
        <w:spacing w:after="0" w:line="240" w:lineRule="auto"/>
        <w:contextualSpacing/>
        <w:jc w:val="both"/>
        <w:rPr>
          <w:rFonts w:ascii="Garamond" w:hAnsi="Garamond"/>
          <w:sz w:val="20"/>
          <w:szCs w:val="20"/>
          <w:lang w:val="es-AR"/>
        </w:rPr>
      </w:pPr>
    </w:p>
    <w:p w14:paraId="0C2D49B6" w14:textId="77777777" w:rsidR="008D3779" w:rsidRPr="00713D6E" w:rsidRDefault="008D3779" w:rsidP="005E14F3">
      <w:pPr>
        <w:keepNext/>
        <w:spacing w:after="0" w:line="240" w:lineRule="auto"/>
        <w:jc w:val="both"/>
        <w:rPr>
          <w:rFonts w:ascii="Garamond" w:hAnsi="Garamond"/>
          <w:b/>
          <w:color w:val="000000"/>
          <w:sz w:val="20"/>
          <w:szCs w:val="20"/>
          <w:lang w:val="es-AR"/>
        </w:rPr>
      </w:pPr>
      <w:r w:rsidRPr="00CA0A60">
        <w:rPr>
          <w:rFonts w:ascii="Garamond" w:hAnsi="Garamond"/>
          <w:b/>
          <w:color w:val="000000"/>
          <w:sz w:val="20"/>
          <w:szCs w:val="20"/>
          <w:lang w:val="es-AR"/>
        </w:rPr>
        <w:t>Restricciones a la venta y suscripción</w:t>
      </w:r>
    </w:p>
    <w:p w14:paraId="60EDCC55" w14:textId="77777777" w:rsidR="00287E37" w:rsidRPr="00CA0A60" w:rsidRDefault="00287E37" w:rsidP="005E14F3">
      <w:pPr>
        <w:keepNext/>
        <w:spacing w:after="0" w:line="240" w:lineRule="auto"/>
        <w:jc w:val="both"/>
        <w:rPr>
          <w:rFonts w:ascii="Garamond" w:hAnsi="Garamond"/>
          <w:b/>
          <w:color w:val="000000"/>
          <w:sz w:val="20"/>
          <w:szCs w:val="20"/>
          <w:lang w:val="es-AR"/>
        </w:rPr>
      </w:pPr>
    </w:p>
    <w:p w14:paraId="2B68D3F4" w14:textId="77777777" w:rsidR="008D3779" w:rsidRPr="00CA3A3D" w:rsidRDefault="008D3779" w:rsidP="005E14F3">
      <w:pPr>
        <w:keepNext/>
        <w:spacing w:after="0" w:line="240" w:lineRule="auto"/>
        <w:jc w:val="both"/>
        <w:rPr>
          <w:rFonts w:ascii="Garamond" w:hAnsi="Garamond"/>
          <w:sz w:val="20"/>
          <w:szCs w:val="20"/>
          <w:lang w:val="es-AR"/>
        </w:rPr>
      </w:pPr>
      <w:r w:rsidRPr="00CA3A3D">
        <w:rPr>
          <w:rFonts w:ascii="Garamond" w:hAnsi="Garamond"/>
          <w:sz w:val="20"/>
          <w:szCs w:val="20"/>
          <w:lang w:val="es-AR"/>
        </w:rPr>
        <w:t>La distribución del presente Suplemento y la oferta de las Obligaciones Negociables en ciertas jurisdicciones podrían estar sujetas a ciertas restricciones legales y las personas que se encuentren en posesión de este documento deberían informarse sobre tales restricciones y cumplirlas, incluidas aquellas establecidas en la siguiente sección. El incumplimiento de estas restricciones podría constituir una violación de las leyes vigentes en dichas jurisdicciones en materia de títulos valores.</w:t>
      </w:r>
    </w:p>
    <w:p w14:paraId="3BBB8815" w14:textId="77777777" w:rsidR="00287E37" w:rsidRPr="00CA3A3D" w:rsidRDefault="00287E37" w:rsidP="005E14F3">
      <w:pPr>
        <w:keepNext/>
        <w:spacing w:after="0" w:line="240" w:lineRule="auto"/>
        <w:jc w:val="both"/>
        <w:rPr>
          <w:rFonts w:ascii="Garamond" w:hAnsi="Garamond"/>
          <w:sz w:val="20"/>
          <w:szCs w:val="20"/>
          <w:lang w:val="es-AR"/>
        </w:rPr>
      </w:pPr>
    </w:p>
    <w:p w14:paraId="437C9FD0" w14:textId="77777777" w:rsidR="008D3779" w:rsidRPr="00CA3A3D" w:rsidRDefault="008D3779" w:rsidP="005E14F3">
      <w:pPr>
        <w:spacing w:after="0" w:line="240" w:lineRule="auto"/>
        <w:jc w:val="both"/>
        <w:rPr>
          <w:rFonts w:ascii="Garamond" w:hAnsi="Garamond"/>
          <w:sz w:val="20"/>
          <w:szCs w:val="20"/>
          <w:lang w:val="es-AR"/>
        </w:rPr>
      </w:pPr>
      <w:r w:rsidRPr="00CA3A3D">
        <w:rPr>
          <w:rFonts w:ascii="Garamond" w:hAnsi="Garamond"/>
          <w:sz w:val="20"/>
          <w:szCs w:val="20"/>
          <w:lang w:val="es-AR"/>
        </w:rPr>
        <w:t>Para mayor información, véase la sección “</w:t>
      </w:r>
      <w:r w:rsidRPr="00CA3A3D">
        <w:rPr>
          <w:rFonts w:ascii="Garamond" w:hAnsi="Garamond"/>
          <w:i/>
          <w:sz w:val="20"/>
          <w:szCs w:val="20"/>
          <w:lang w:val="es-AR"/>
        </w:rPr>
        <w:t>Restricciones a la Transferencia</w:t>
      </w:r>
      <w:r w:rsidRPr="00CA3A3D">
        <w:rPr>
          <w:rFonts w:ascii="Garamond" w:hAnsi="Garamond"/>
          <w:sz w:val="20"/>
          <w:szCs w:val="20"/>
          <w:lang w:val="es-AR"/>
        </w:rPr>
        <w:t>” en el presente Suplemento.</w:t>
      </w:r>
    </w:p>
    <w:p w14:paraId="55B91B0D" w14:textId="77777777" w:rsidR="00287E37" w:rsidRPr="00CA3A3D" w:rsidRDefault="00287E37">
      <w:pPr>
        <w:widowControl w:val="0"/>
        <w:spacing w:after="0" w:line="240" w:lineRule="auto"/>
        <w:jc w:val="both"/>
        <w:rPr>
          <w:rFonts w:ascii="Garamond" w:hAnsi="Garamond"/>
          <w:b/>
          <w:color w:val="000000"/>
          <w:sz w:val="20"/>
          <w:szCs w:val="20"/>
          <w:lang w:val="es-AR"/>
        </w:rPr>
      </w:pPr>
    </w:p>
    <w:p w14:paraId="10C35B50" w14:textId="4E7BBABB" w:rsidR="008D3779" w:rsidRPr="00CA0A60" w:rsidRDefault="008D3779">
      <w:pPr>
        <w:widowControl w:val="0"/>
        <w:spacing w:after="0" w:line="240" w:lineRule="auto"/>
        <w:jc w:val="both"/>
        <w:rPr>
          <w:rFonts w:ascii="Garamond" w:hAnsi="Garamond"/>
          <w:b/>
          <w:color w:val="000000"/>
          <w:sz w:val="20"/>
          <w:szCs w:val="20"/>
          <w:lang w:val="es-AR"/>
        </w:rPr>
      </w:pPr>
      <w:r w:rsidRPr="00713D6E">
        <w:rPr>
          <w:rFonts w:ascii="Garamond" w:hAnsi="Garamond"/>
          <w:b/>
          <w:color w:val="000000"/>
          <w:sz w:val="20"/>
          <w:szCs w:val="20"/>
          <w:lang w:val="es-AR"/>
        </w:rPr>
        <w:t>Convenios de Underwriting</w:t>
      </w:r>
    </w:p>
    <w:p w14:paraId="6810F0D1" w14:textId="77777777" w:rsidR="008D3779" w:rsidRPr="00CA0A60" w:rsidRDefault="008D3779">
      <w:pPr>
        <w:widowControl w:val="0"/>
        <w:spacing w:after="0" w:line="240" w:lineRule="auto"/>
        <w:jc w:val="both"/>
        <w:rPr>
          <w:rFonts w:ascii="Garamond" w:hAnsi="Garamond"/>
          <w:i/>
          <w:color w:val="000000"/>
          <w:sz w:val="20"/>
          <w:szCs w:val="20"/>
          <w:lang w:val="es-AR"/>
        </w:rPr>
      </w:pPr>
    </w:p>
    <w:p w14:paraId="0CA49B54" w14:textId="455151C2" w:rsidR="008D3779" w:rsidRPr="00CA0A60" w:rsidRDefault="008D3779">
      <w:pPr>
        <w:spacing w:after="0" w:line="240" w:lineRule="auto"/>
        <w:jc w:val="both"/>
        <w:rPr>
          <w:rFonts w:ascii="Garamond" w:hAnsi="Garamond"/>
          <w:color w:val="000000"/>
          <w:sz w:val="20"/>
          <w:szCs w:val="20"/>
          <w:lang w:val="es-AR"/>
        </w:rPr>
      </w:pPr>
      <w:r w:rsidRPr="00CA0A60">
        <w:rPr>
          <w:rFonts w:ascii="Garamond" w:hAnsi="Garamond"/>
          <w:color w:val="000000"/>
          <w:sz w:val="20"/>
          <w:szCs w:val="20"/>
          <w:lang w:val="es-AR"/>
        </w:rPr>
        <w:t xml:space="preserve">Existen </w:t>
      </w:r>
      <w:r w:rsidR="00931562">
        <w:rPr>
          <w:rFonts w:ascii="Garamond" w:hAnsi="Garamond" w:cs="Times New Roman"/>
          <w:color w:val="000000"/>
          <w:sz w:val="20"/>
          <w:szCs w:val="20"/>
          <w:lang w:val="es-AR"/>
        </w:rPr>
        <w:t>dos</w:t>
      </w:r>
      <w:r w:rsidRPr="00CA0A60">
        <w:rPr>
          <w:rFonts w:ascii="Garamond" w:hAnsi="Garamond"/>
          <w:color w:val="000000"/>
          <w:sz w:val="20"/>
          <w:szCs w:val="20"/>
          <w:lang w:val="es-AR"/>
        </w:rPr>
        <w:t xml:space="preserve"> convenios de </w:t>
      </w:r>
      <w:r w:rsidRPr="00CA0A60">
        <w:rPr>
          <w:rFonts w:ascii="Garamond" w:hAnsi="Garamond"/>
          <w:i/>
          <w:color w:val="000000"/>
          <w:sz w:val="20"/>
          <w:szCs w:val="20"/>
          <w:lang w:val="es-AR"/>
        </w:rPr>
        <w:t>underwriting</w:t>
      </w:r>
      <w:r w:rsidRPr="00CA0A60">
        <w:rPr>
          <w:rFonts w:ascii="Garamond" w:hAnsi="Garamond"/>
          <w:color w:val="000000"/>
          <w:sz w:val="20"/>
          <w:szCs w:val="20"/>
          <w:lang w:val="es-AR"/>
        </w:rPr>
        <w:t xml:space="preserve"> suscriptos por las Co-Emisoras, en virtud de los cuales: (i) </w:t>
      </w:r>
      <w:r w:rsidR="00931562">
        <w:rPr>
          <w:rFonts w:ascii="Garamond" w:hAnsi="Garamond" w:cs="Times New Roman"/>
          <w:color w:val="000000"/>
          <w:sz w:val="20"/>
          <w:szCs w:val="20"/>
          <w:lang w:val="es-AR"/>
        </w:rPr>
        <w:t>SBS</w:t>
      </w:r>
      <w:r w:rsidR="00A612AB" w:rsidRPr="00CA0A60">
        <w:rPr>
          <w:rFonts w:ascii="Garamond" w:hAnsi="Garamond"/>
          <w:color w:val="000000"/>
          <w:sz w:val="20"/>
          <w:szCs w:val="20"/>
          <w:lang w:val="es-AR"/>
        </w:rPr>
        <w:t xml:space="preserve"> </w:t>
      </w:r>
      <w:r w:rsidR="00893B23">
        <w:rPr>
          <w:rFonts w:ascii="Garamond" w:hAnsi="Garamond"/>
          <w:color w:val="000000"/>
          <w:sz w:val="20"/>
          <w:szCs w:val="20"/>
          <w:lang w:val="es-AR"/>
        </w:rPr>
        <w:t xml:space="preserve">Trading S.A. </w:t>
      </w:r>
      <w:r w:rsidRPr="00CA0A60">
        <w:rPr>
          <w:rFonts w:ascii="Garamond" w:hAnsi="Garamond"/>
          <w:color w:val="000000"/>
          <w:sz w:val="20"/>
          <w:szCs w:val="20"/>
          <w:lang w:val="es-AR"/>
        </w:rPr>
        <w:t xml:space="preserve">se comprometió, con sujeción a los términos y condiciones establecidos en el convenio respectivo, a suscribir las Obligaciones Negociables por hasta un valor nominal máximo total de </w:t>
      </w:r>
      <w:r w:rsidR="00143253" w:rsidRPr="00CA0A60">
        <w:rPr>
          <w:rFonts w:ascii="Garamond" w:hAnsi="Garamond"/>
          <w:color w:val="000000"/>
          <w:sz w:val="20"/>
          <w:szCs w:val="20"/>
          <w:lang w:val="es-AR"/>
        </w:rPr>
        <w:t>U$S</w:t>
      </w:r>
      <w:r w:rsidR="00893B23">
        <w:rPr>
          <w:rFonts w:ascii="Garamond" w:hAnsi="Garamond"/>
          <w:color w:val="000000"/>
          <w:sz w:val="20"/>
          <w:szCs w:val="20"/>
          <w:lang w:val="es-AR"/>
        </w:rPr>
        <w:t>1.000.000</w:t>
      </w:r>
      <w:r w:rsidRPr="00CA0A60">
        <w:rPr>
          <w:rFonts w:ascii="Garamond" w:hAnsi="Garamond"/>
          <w:color w:val="000000"/>
          <w:sz w:val="20"/>
          <w:szCs w:val="20"/>
          <w:lang w:val="es-AR"/>
        </w:rPr>
        <w:t xml:space="preserve">, y (ii) </w:t>
      </w:r>
      <w:r w:rsidR="00893B23" w:rsidRPr="00CA3A3D">
        <w:rPr>
          <w:rFonts w:ascii="Garamond" w:hAnsi="Garamond"/>
          <w:lang w:val="es-AR"/>
        </w:rPr>
        <w:t>Banco de Servicios y Transacciones S.A.</w:t>
      </w:r>
      <w:r w:rsidR="008C5171">
        <w:rPr>
          <w:rFonts w:ascii="Garamond" w:hAnsi="Garamond"/>
          <w:lang w:val="es-AR"/>
        </w:rPr>
        <w:t xml:space="preserve"> </w:t>
      </w:r>
      <w:r w:rsidRPr="00CA0A60">
        <w:rPr>
          <w:rFonts w:ascii="Garamond" w:hAnsi="Garamond"/>
          <w:color w:val="000000"/>
          <w:sz w:val="20"/>
          <w:szCs w:val="20"/>
          <w:lang w:val="es-AR"/>
        </w:rPr>
        <w:t xml:space="preserve">se comprometió, con sujeción a los términos y condiciones establecidos en el convenio respectivo, a suscribir Obligaciones Negociables por hasta un valor nominal máximo total de </w:t>
      </w:r>
      <w:r w:rsidR="00143253" w:rsidRPr="00CA0A60">
        <w:rPr>
          <w:rFonts w:ascii="Garamond" w:hAnsi="Garamond"/>
          <w:color w:val="000000"/>
          <w:sz w:val="20"/>
          <w:szCs w:val="20"/>
          <w:lang w:val="es-AR"/>
        </w:rPr>
        <w:t>U$S</w:t>
      </w:r>
      <w:r w:rsidR="007E587D">
        <w:rPr>
          <w:rFonts w:ascii="Garamond" w:hAnsi="Garamond"/>
          <w:color w:val="000000"/>
          <w:sz w:val="20"/>
          <w:szCs w:val="20"/>
          <w:lang w:val="es-AR"/>
        </w:rPr>
        <w:t>6</w:t>
      </w:r>
      <w:r w:rsidR="00893B23">
        <w:rPr>
          <w:rFonts w:ascii="Garamond" w:hAnsi="Garamond"/>
          <w:color w:val="000000"/>
          <w:sz w:val="20"/>
          <w:szCs w:val="20"/>
          <w:lang w:val="es-AR"/>
        </w:rPr>
        <w:t>.</w:t>
      </w:r>
      <w:r w:rsidR="007E587D">
        <w:rPr>
          <w:rFonts w:ascii="Garamond" w:hAnsi="Garamond"/>
          <w:color w:val="000000"/>
          <w:sz w:val="20"/>
          <w:szCs w:val="20"/>
          <w:lang w:val="es-AR"/>
        </w:rPr>
        <w:t>1</w:t>
      </w:r>
      <w:r w:rsidR="00893B23">
        <w:rPr>
          <w:rFonts w:ascii="Garamond" w:hAnsi="Garamond"/>
          <w:color w:val="000000"/>
          <w:sz w:val="20"/>
          <w:szCs w:val="20"/>
          <w:lang w:val="es-AR"/>
        </w:rPr>
        <w:t>00.000</w:t>
      </w:r>
      <w:r w:rsidR="00C61613" w:rsidRPr="00CA0A60">
        <w:rPr>
          <w:rFonts w:ascii="Garamond" w:hAnsi="Garamond"/>
          <w:color w:val="000000"/>
          <w:sz w:val="20"/>
          <w:szCs w:val="20"/>
          <w:lang w:val="es-AR"/>
        </w:rPr>
        <w:t>.</w:t>
      </w:r>
    </w:p>
    <w:p w14:paraId="74E797DC" w14:textId="77777777" w:rsidR="00354069" w:rsidRPr="00CA0A60" w:rsidRDefault="00354069" w:rsidP="00354069">
      <w:pPr>
        <w:spacing w:after="0" w:line="240" w:lineRule="auto"/>
        <w:rPr>
          <w:rFonts w:ascii="Times New Roman" w:eastAsia="MS Mincho" w:hAnsi="Times New Roman" w:cs="Times New Roman"/>
          <w:sz w:val="24"/>
          <w:szCs w:val="20"/>
          <w:lang w:val="es-AR" w:eastAsia="es-ES"/>
        </w:rPr>
      </w:pPr>
    </w:p>
    <w:p w14:paraId="25AF7EAE" w14:textId="77777777" w:rsidR="00354069" w:rsidRPr="00CA0A60" w:rsidRDefault="00354069" w:rsidP="00354069">
      <w:pPr>
        <w:rPr>
          <w:rFonts w:ascii="Times New Roman" w:eastAsia="MS Mincho" w:hAnsi="Times New Roman" w:cs="Times New Roman"/>
          <w:sz w:val="24"/>
          <w:szCs w:val="20"/>
          <w:lang w:val="es-AR" w:eastAsia="es-ES"/>
        </w:rPr>
      </w:pPr>
      <w:r w:rsidRPr="00CA0A60">
        <w:rPr>
          <w:rFonts w:ascii="Times New Roman" w:eastAsia="MS Mincho" w:hAnsi="Times New Roman" w:cs="Times New Roman"/>
          <w:sz w:val="24"/>
          <w:szCs w:val="20"/>
          <w:lang w:val="es-AR" w:eastAsia="es-ES"/>
        </w:rPr>
        <w:br w:type="page"/>
      </w:r>
    </w:p>
    <w:p w14:paraId="22EA3641" w14:textId="77777777" w:rsidR="00354069" w:rsidRPr="00CA0A60" w:rsidRDefault="00354069" w:rsidP="00002289">
      <w:pPr>
        <w:widowControl w:val="0"/>
        <w:spacing w:after="0" w:line="240" w:lineRule="auto"/>
        <w:ind w:firstLine="709"/>
        <w:jc w:val="center"/>
        <w:outlineLvl w:val="0"/>
        <w:rPr>
          <w:rFonts w:ascii="Garamond" w:eastAsia="MS Mincho" w:hAnsi="Garamond" w:cs="Times New Roman"/>
          <w:b/>
          <w:sz w:val="24"/>
          <w:szCs w:val="20"/>
          <w:lang w:val="es-AR" w:eastAsia="es-ES"/>
        </w:rPr>
      </w:pPr>
      <w:bookmarkStart w:id="90" w:name="_Toc14922246"/>
      <w:r w:rsidRPr="00CA0A60">
        <w:rPr>
          <w:rFonts w:ascii="Garamond" w:eastAsia="MS Mincho" w:hAnsi="Garamond" w:cs="Times New Roman"/>
          <w:b/>
          <w:sz w:val="24"/>
          <w:szCs w:val="20"/>
          <w:lang w:val="es-AR" w:eastAsia="es-ES"/>
        </w:rPr>
        <w:lastRenderedPageBreak/>
        <w:t>FACTORES DE RIESGO</w:t>
      </w:r>
      <w:bookmarkEnd w:id="90"/>
    </w:p>
    <w:p w14:paraId="2633CEB9" w14:textId="77777777" w:rsidR="00354069" w:rsidRPr="00CA0A60" w:rsidRDefault="00354069" w:rsidP="00354069">
      <w:pPr>
        <w:spacing w:after="0" w:line="240" w:lineRule="auto"/>
        <w:rPr>
          <w:rFonts w:ascii="Times New Roman" w:eastAsia="MS Mincho" w:hAnsi="Times New Roman" w:cs="Times New Roman"/>
          <w:sz w:val="24"/>
          <w:szCs w:val="20"/>
          <w:lang w:val="es-AR" w:eastAsia="es-ES"/>
        </w:rPr>
      </w:pPr>
    </w:p>
    <w:p w14:paraId="7D663BBA" w14:textId="77777777" w:rsidR="00354069" w:rsidRPr="00CA3A3D" w:rsidRDefault="00DF0F12" w:rsidP="001E3DCC">
      <w:pPr>
        <w:tabs>
          <w:tab w:val="left" w:pos="9356"/>
        </w:tabs>
        <w:spacing w:after="0" w:line="240" w:lineRule="auto"/>
        <w:ind w:right="4"/>
        <w:jc w:val="both"/>
        <w:rPr>
          <w:rFonts w:ascii="Garamond" w:eastAsia="Times New Roman" w:hAnsi="Garamond"/>
          <w:i/>
          <w:color w:val="000000"/>
          <w:sz w:val="20"/>
          <w:lang w:val="es-AR" w:eastAsia="es-AR"/>
        </w:rPr>
      </w:pPr>
      <w:r w:rsidRPr="00CA3A3D">
        <w:rPr>
          <w:rFonts w:ascii="Garamond" w:eastAsia="Times New Roman" w:hAnsi="Garamond"/>
          <w:i/>
          <w:color w:val="000000"/>
          <w:sz w:val="20"/>
          <w:lang w:val="es-AR" w:eastAsia="es-AR"/>
        </w:rPr>
        <w:t xml:space="preserve">La inversión en las Obligaciones Negociables conlleva un importante grado de riesgo. Antes de decidir invertir en las Obligaciones Negociables, debe leer cuidadosamente toda la información incluida en el Prospecto y/o en este Suplemento, incluyendo en particular la sección “Factores de Riesgo” del Prospecto. </w:t>
      </w:r>
    </w:p>
    <w:p w14:paraId="4B1D477B" w14:textId="77777777" w:rsidR="00A95F13" w:rsidRPr="00CA3A3D" w:rsidRDefault="00A95F13" w:rsidP="001E3DCC">
      <w:pPr>
        <w:tabs>
          <w:tab w:val="left" w:pos="9356"/>
        </w:tabs>
        <w:spacing w:after="0" w:line="240" w:lineRule="auto"/>
        <w:ind w:right="4"/>
        <w:jc w:val="both"/>
        <w:rPr>
          <w:rFonts w:ascii="Garamond" w:eastAsia="Times New Roman" w:hAnsi="Garamond"/>
          <w:i/>
          <w:color w:val="000000"/>
          <w:sz w:val="20"/>
          <w:lang w:val="es-AR" w:eastAsia="es-AR"/>
        </w:rPr>
      </w:pPr>
    </w:p>
    <w:p w14:paraId="06FB1F84" w14:textId="77777777" w:rsidR="00DF0F12" w:rsidRPr="00CA3A3D" w:rsidRDefault="00DF0F12" w:rsidP="001E3DCC">
      <w:pPr>
        <w:tabs>
          <w:tab w:val="left" w:pos="9356"/>
        </w:tabs>
        <w:spacing w:after="0" w:line="240" w:lineRule="auto"/>
        <w:ind w:right="4"/>
        <w:jc w:val="both"/>
        <w:rPr>
          <w:rFonts w:ascii="Garamond" w:eastAsia="Times New Roman" w:hAnsi="Garamond"/>
          <w:b/>
          <w:color w:val="000000"/>
          <w:sz w:val="20"/>
          <w:lang w:val="es-AR" w:eastAsia="es-AR"/>
        </w:rPr>
      </w:pPr>
      <w:r w:rsidRPr="00CA3A3D">
        <w:rPr>
          <w:rFonts w:ascii="Garamond" w:eastAsia="Times New Roman" w:hAnsi="Garamond"/>
          <w:b/>
          <w:color w:val="000000"/>
          <w:sz w:val="20"/>
          <w:lang w:val="es-AR" w:eastAsia="es-AR"/>
        </w:rPr>
        <w:t>Riesgos relacionados a las Obligaciones Negociables</w:t>
      </w:r>
      <w:r w:rsidR="00717E51" w:rsidRPr="00CA3A3D">
        <w:rPr>
          <w:rFonts w:ascii="Garamond" w:eastAsia="Times New Roman" w:hAnsi="Garamond"/>
          <w:b/>
          <w:color w:val="000000"/>
          <w:sz w:val="20"/>
          <w:lang w:val="es-AR" w:eastAsia="es-AR"/>
        </w:rPr>
        <w:t xml:space="preserve"> Clase II</w:t>
      </w:r>
    </w:p>
    <w:p w14:paraId="65BE1F1D" w14:textId="77777777" w:rsidR="00A95F13" w:rsidRPr="00CA3A3D" w:rsidRDefault="00A95F13" w:rsidP="001E3DCC">
      <w:pPr>
        <w:tabs>
          <w:tab w:val="left" w:pos="9356"/>
        </w:tabs>
        <w:spacing w:after="0" w:line="240" w:lineRule="auto"/>
        <w:ind w:right="4"/>
        <w:jc w:val="both"/>
        <w:rPr>
          <w:rFonts w:ascii="Garamond" w:eastAsia="Times New Roman" w:hAnsi="Garamond"/>
          <w:b/>
          <w:color w:val="000000"/>
          <w:sz w:val="20"/>
          <w:lang w:val="es-AR" w:eastAsia="es-AR"/>
        </w:rPr>
      </w:pPr>
    </w:p>
    <w:p w14:paraId="0B3317A8" w14:textId="5DEB1C60" w:rsidR="00EB7AD7" w:rsidRPr="00CA3A3D" w:rsidRDefault="00EB7AD7" w:rsidP="001E3DCC">
      <w:pPr>
        <w:spacing w:after="0" w:line="240" w:lineRule="auto"/>
        <w:jc w:val="both"/>
        <w:rPr>
          <w:rFonts w:ascii="Garamond" w:eastAsia="Calibri" w:hAnsi="Garamond" w:cs="Arial"/>
          <w:b/>
          <w:i/>
          <w:sz w:val="20"/>
          <w:szCs w:val="20"/>
          <w:lang w:val="es-AR"/>
        </w:rPr>
      </w:pPr>
      <w:r w:rsidRPr="00CA3A3D">
        <w:rPr>
          <w:rFonts w:ascii="Garamond" w:eastAsia="Calibri" w:hAnsi="Garamond" w:cs="Arial"/>
          <w:b/>
          <w:i/>
          <w:sz w:val="20"/>
          <w:szCs w:val="20"/>
          <w:lang w:val="es-AR"/>
        </w:rPr>
        <w:t>El nivel de endeudamiento de las Compañías podría afectar su flexibilidad en la operación y desarrollo de su negocio y capacidad de satisfacer sus obligaciones</w:t>
      </w:r>
      <w:r w:rsidR="007D751C" w:rsidRPr="00CA3A3D">
        <w:rPr>
          <w:rFonts w:ascii="Garamond" w:eastAsia="Calibri" w:hAnsi="Garamond" w:cs="Arial"/>
          <w:b/>
          <w:i/>
          <w:sz w:val="20"/>
          <w:szCs w:val="20"/>
          <w:lang w:val="es-AR"/>
        </w:rPr>
        <w:t>.</w:t>
      </w:r>
    </w:p>
    <w:p w14:paraId="6AFAB436" w14:textId="77777777" w:rsidR="00A95F13" w:rsidRPr="00CA3A3D" w:rsidRDefault="00A95F13" w:rsidP="001E3DCC">
      <w:pPr>
        <w:spacing w:after="0" w:line="240" w:lineRule="auto"/>
        <w:jc w:val="both"/>
        <w:rPr>
          <w:rFonts w:ascii="Garamond" w:eastAsia="Calibri" w:hAnsi="Garamond" w:cs="Arial"/>
          <w:b/>
          <w:i/>
          <w:sz w:val="20"/>
          <w:szCs w:val="20"/>
          <w:lang w:val="es-AR"/>
        </w:rPr>
      </w:pPr>
    </w:p>
    <w:p w14:paraId="19EB233D" w14:textId="77777777" w:rsidR="00EB7AD7" w:rsidRPr="00CA3A3D" w:rsidRDefault="00EB7AD7" w:rsidP="001E3DCC">
      <w:pPr>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El significativo nivel de endeudamiento de las Compañías podría tener importantes consecuencias para los inversores, incluyendo:</w:t>
      </w:r>
    </w:p>
    <w:p w14:paraId="042C5D41" w14:textId="77777777" w:rsidR="00A95F13" w:rsidRPr="00CA3A3D" w:rsidRDefault="00A95F13" w:rsidP="001E3DCC">
      <w:pPr>
        <w:spacing w:after="0" w:line="240" w:lineRule="auto"/>
        <w:jc w:val="both"/>
        <w:rPr>
          <w:rFonts w:ascii="Garamond" w:eastAsia="Calibri" w:hAnsi="Garamond" w:cs="Times New Roman"/>
          <w:sz w:val="20"/>
          <w:szCs w:val="20"/>
          <w:lang w:val="es-AR"/>
        </w:rPr>
      </w:pPr>
    </w:p>
    <w:p w14:paraId="31AC5728" w14:textId="5BBA6288" w:rsidR="00EB7AD7" w:rsidRPr="00CA3A3D" w:rsidRDefault="00EB7AD7" w:rsidP="002830AF">
      <w:pPr>
        <w:numPr>
          <w:ilvl w:val="0"/>
          <w:numId w:val="59"/>
        </w:numPr>
        <w:tabs>
          <w:tab w:val="num" w:pos="720"/>
        </w:tabs>
        <w:spacing w:after="0" w:line="240" w:lineRule="auto"/>
        <w:ind w:left="284" w:hanging="284"/>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dificultad de generar suficiente flujo de efectivo para satisfacer las obligaciones con respecto a las Obligaciones Negociables Clase II, particularmente en el supuesto de un incumplimiento en virtud de uno de los otros instrumentos de deuda;</w:t>
      </w:r>
    </w:p>
    <w:p w14:paraId="4D2E12B8" w14:textId="77777777" w:rsidR="00A95F13" w:rsidRPr="00CA3A3D" w:rsidRDefault="00A95F13" w:rsidP="001E3DCC">
      <w:pPr>
        <w:spacing w:after="0" w:line="240" w:lineRule="auto"/>
        <w:ind w:left="284"/>
        <w:jc w:val="both"/>
        <w:rPr>
          <w:rFonts w:ascii="Garamond" w:eastAsia="Calibri" w:hAnsi="Garamond" w:cs="Times New Roman"/>
          <w:sz w:val="20"/>
          <w:szCs w:val="20"/>
          <w:lang w:val="es-AR"/>
        </w:rPr>
      </w:pPr>
    </w:p>
    <w:p w14:paraId="047E082D" w14:textId="77777777" w:rsidR="00EB7AD7" w:rsidRPr="00CA3A3D" w:rsidRDefault="00EB7AD7" w:rsidP="002830AF">
      <w:pPr>
        <w:numPr>
          <w:ilvl w:val="0"/>
          <w:numId w:val="59"/>
        </w:numPr>
        <w:tabs>
          <w:tab w:val="num" w:pos="720"/>
        </w:tabs>
        <w:spacing w:after="0" w:line="240" w:lineRule="auto"/>
        <w:ind w:left="284" w:hanging="284"/>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limitación del flujo de efectivo disponible para financiar el capital de trabajo, inversiones en bienes de capital u otros requisitos en general;</w:t>
      </w:r>
    </w:p>
    <w:p w14:paraId="308F224F" w14:textId="77777777" w:rsidR="00A95F13" w:rsidRPr="00CA3A3D" w:rsidRDefault="00A95F13" w:rsidP="001E3DCC">
      <w:pPr>
        <w:pStyle w:val="Prrafodelista"/>
        <w:spacing w:after="0" w:line="240" w:lineRule="auto"/>
        <w:rPr>
          <w:rFonts w:ascii="Garamond" w:eastAsia="Calibri" w:hAnsi="Garamond" w:cs="Times New Roman"/>
          <w:sz w:val="20"/>
          <w:szCs w:val="20"/>
          <w:lang w:val="es-AR"/>
        </w:rPr>
      </w:pPr>
    </w:p>
    <w:p w14:paraId="220361B5" w14:textId="77777777" w:rsidR="00EB7AD7" w:rsidRPr="00CA3A3D" w:rsidRDefault="00EB7AD7" w:rsidP="002830AF">
      <w:pPr>
        <w:numPr>
          <w:ilvl w:val="0"/>
          <w:numId w:val="59"/>
        </w:numPr>
        <w:tabs>
          <w:tab w:val="num" w:pos="720"/>
        </w:tabs>
        <w:spacing w:after="0" w:line="240" w:lineRule="auto"/>
        <w:ind w:left="284" w:hanging="284"/>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 xml:space="preserve">aumento de la vulnerabilidad frente a las condiciones </w:t>
      </w:r>
      <w:r w:rsidR="00487DC7" w:rsidRPr="00CA3A3D">
        <w:rPr>
          <w:rFonts w:ascii="Garamond" w:eastAsia="Calibri" w:hAnsi="Garamond" w:cs="Times New Roman"/>
          <w:sz w:val="20"/>
          <w:szCs w:val="20"/>
          <w:lang w:val="es-AR"/>
        </w:rPr>
        <w:t xml:space="preserve">financieras </w:t>
      </w:r>
      <w:r w:rsidRPr="00CA3A3D">
        <w:rPr>
          <w:rFonts w:ascii="Garamond" w:eastAsia="Calibri" w:hAnsi="Garamond" w:cs="Times New Roman"/>
          <w:sz w:val="20"/>
          <w:szCs w:val="20"/>
          <w:lang w:val="es-AR"/>
        </w:rPr>
        <w:t>y económicas adversas en general, incluyendo aumentos en las tasas de interés, fluctuaciones en los tipos de cambio de moneda extranjera y volatilidad de mercado;</w:t>
      </w:r>
    </w:p>
    <w:p w14:paraId="5E6D6F63" w14:textId="77777777" w:rsidR="00A95F13" w:rsidRPr="00CA3A3D" w:rsidRDefault="00A95F13" w:rsidP="001E3DCC">
      <w:pPr>
        <w:spacing w:after="0" w:line="240" w:lineRule="auto"/>
        <w:ind w:left="284"/>
        <w:jc w:val="both"/>
        <w:rPr>
          <w:rFonts w:ascii="Garamond" w:eastAsia="Calibri" w:hAnsi="Garamond" w:cs="Times New Roman"/>
          <w:sz w:val="20"/>
          <w:szCs w:val="20"/>
          <w:lang w:val="es-AR"/>
        </w:rPr>
      </w:pPr>
    </w:p>
    <w:p w14:paraId="1CB68367" w14:textId="77777777" w:rsidR="00EB7AD7" w:rsidRPr="00CA3A3D" w:rsidRDefault="00EB7AD7" w:rsidP="002830AF">
      <w:pPr>
        <w:numPr>
          <w:ilvl w:val="0"/>
          <w:numId w:val="59"/>
        </w:numPr>
        <w:tabs>
          <w:tab w:val="num" w:pos="720"/>
        </w:tabs>
        <w:spacing w:after="0" w:line="240" w:lineRule="auto"/>
        <w:ind w:left="284" w:hanging="284"/>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limitación en la capacidad de obtener financiamiento adicional para reestructurar o refinanciar deuda o para financiar capital de trabajo futuro, inversiones en bienes de capital, otros requisitos societarios y adquisiciones en general, ya sea bajo términos favorables o de cualquier tipo;</w:t>
      </w:r>
    </w:p>
    <w:p w14:paraId="7B969857" w14:textId="77777777" w:rsidR="00A95F13" w:rsidRPr="00CA3A3D" w:rsidRDefault="00A95F13" w:rsidP="001E3DCC">
      <w:pPr>
        <w:spacing w:after="0" w:line="240" w:lineRule="auto"/>
        <w:ind w:left="284"/>
        <w:jc w:val="both"/>
        <w:rPr>
          <w:rFonts w:ascii="Garamond" w:eastAsia="Calibri" w:hAnsi="Garamond" w:cs="Times New Roman"/>
          <w:sz w:val="20"/>
          <w:szCs w:val="20"/>
          <w:lang w:val="es-AR"/>
        </w:rPr>
      </w:pPr>
    </w:p>
    <w:p w14:paraId="53842530" w14:textId="77777777" w:rsidR="00EB7AD7" w:rsidRPr="00CA3A3D" w:rsidRDefault="00EB7AD7" w:rsidP="002830AF">
      <w:pPr>
        <w:numPr>
          <w:ilvl w:val="0"/>
          <w:numId w:val="59"/>
        </w:numPr>
        <w:tabs>
          <w:tab w:val="num" w:pos="720"/>
        </w:tabs>
        <w:spacing w:after="0" w:line="240" w:lineRule="auto"/>
        <w:ind w:left="284" w:hanging="284"/>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 xml:space="preserve">limitación de la flexibilidad para planificar o reaccionar ante los cambios en </w:t>
      </w:r>
      <w:r w:rsidR="00487DC7" w:rsidRPr="00CA3A3D">
        <w:rPr>
          <w:rFonts w:ascii="Garamond" w:eastAsia="Calibri" w:hAnsi="Garamond" w:cs="Times New Roman"/>
          <w:sz w:val="20"/>
          <w:szCs w:val="20"/>
          <w:lang w:val="es-AR"/>
        </w:rPr>
        <w:t xml:space="preserve">el </w:t>
      </w:r>
      <w:r w:rsidRPr="00CA3A3D">
        <w:rPr>
          <w:rFonts w:ascii="Garamond" w:eastAsia="Calibri" w:hAnsi="Garamond" w:cs="Times New Roman"/>
          <w:sz w:val="20"/>
          <w:szCs w:val="20"/>
          <w:lang w:val="es-AR"/>
        </w:rPr>
        <w:t>negocio</w:t>
      </w:r>
      <w:r w:rsidR="00487DC7" w:rsidRPr="00CA3A3D">
        <w:rPr>
          <w:rFonts w:ascii="Garamond" w:eastAsia="Calibri" w:hAnsi="Garamond" w:cs="Times New Roman"/>
          <w:sz w:val="20"/>
          <w:szCs w:val="20"/>
          <w:lang w:val="es-AR"/>
        </w:rPr>
        <w:t xml:space="preserve"> de las Compañías</w:t>
      </w:r>
      <w:r w:rsidRPr="00CA3A3D">
        <w:rPr>
          <w:rFonts w:ascii="Garamond" w:eastAsia="Calibri" w:hAnsi="Garamond" w:cs="Times New Roman"/>
          <w:sz w:val="20"/>
          <w:szCs w:val="20"/>
          <w:lang w:val="es-AR"/>
        </w:rPr>
        <w:t xml:space="preserve"> y en la industria; y/o</w:t>
      </w:r>
    </w:p>
    <w:p w14:paraId="0FE634FD" w14:textId="77777777" w:rsidR="00A95F13" w:rsidRPr="00CA3A3D" w:rsidRDefault="00A95F13" w:rsidP="001E3DCC">
      <w:pPr>
        <w:spacing w:after="0" w:line="240" w:lineRule="auto"/>
        <w:ind w:left="284"/>
        <w:jc w:val="both"/>
        <w:rPr>
          <w:rFonts w:ascii="Garamond" w:eastAsia="Calibri" w:hAnsi="Garamond" w:cs="Times New Roman"/>
          <w:sz w:val="20"/>
          <w:szCs w:val="20"/>
          <w:lang w:val="es-AR"/>
        </w:rPr>
      </w:pPr>
    </w:p>
    <w:p w14:paraId="4D96183A" w14:textId="1862DA31" w:rsidR="00A95F13" w:rsidRPr="00CA3A3D" w:rsidRDefault="00EB7AD7" w:rsidP="002830AF">
      <w:pPr>
        <w:numPr>
          <w:ilvl w:val="0"/>
          <w:numId w:val="59"/>
        </w:numPr>
        <w:tabs>
          <w:tab w:val="num" w:pos="720"/>
        </w:tabs>
        <w:spacing w:after="0" w:line="240" w:lineRule="auto"/>
        <w:ind w:left="284" w:hanging="284"/>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colocación en desventaja competitiva para las Compañías en comparación a sus competidores con menores niveles de endeudamiento.</w:t>
      </w:r>
    </w:p>
    <w:p w14:paraId="62A1F980" w14:textId="77777777" w:rsidR="00A95F13" w:rsidRPr="00CA3A3D" w:rsidRDefault="00A95F13" w:rsidP="001E3DCC">
      <w:pPr>
        <w:spacing w:after="0" w:line="240" w:lineRule="auto"/>
        <w:ind w:left="284"/>
        <w:jc w:val="both"/>
        <w:rPr>
          <w:rFonts w:ascii="Garamond" w:eastAsia="Calibri" w:hAnsi="Garamond" w:cs="Times New Roman"/>
          <w:sz w:val="20"/>
          <w:szCs w:val="20"/>
          <w:lang w:val="es-AR"/>
        </w:rPr>
      </w:pPr>
    </w:p>
    <w:p w14:paraId="6216391C" w14:textId="6CFC3B12" w:rsidR="00EB7AD7" w:rsidRPr="00CA3A3D" w:rsidRDefault="00EB7AD7" w:rsidP="001E3DCC">
      <w:pPr>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Para conocer el detalle de la deuda financiera de las Compañías al 3</w:t>
      </w:r>
      <w:r w:rsidR="00C9132E" w:rsidRPr="00CA3A3D">
        <w:rPr>
          <w:rFonts w:ascii="Garamond" w:eastAsia="Calibri" w:hAnsi="Garamond" w:cs="Times New Roman"/>
          <w:sz w:val="20"/>
          <w:szCs w:val="20"/>
          <w:lang w:val="es-AR"/>
        </w:rPr>
        <w:t>1</w:t>
      </w:r>
      <w:r w:rsidRPr="00CA3A3D">
        <w:rPr>
          <w:rFonts w:ascii="Garamond" w:eastAsia="Calibri" w:hAnsi="Garamond" w:cs="Times New Roman"/>
          <w:sz w:val="20"/>
          <w:szCs w:val="20"/>
          <w:lang w:val="es-AR"/>
        </w:rPr>
        <w:t xml:space="preserve"> de </w:t>
      </w:r>
      <w:r w:rsidR="00C075A7" w:rsidRPr="00CA3A3D">
        <w:rPr>
          <w:rFonts w:ascii="Garamond" w:eastAsia="Calibri" w:hAnsi="Garamond" w:cs="Times New Roman"/>
          <w:sz w:val="20"/>
          <w:szCs w:val="20"/>
          <w:lang w:val="es-AR"/>
        </w:rPr>
        <w:t xml:space="preserve">marzo </w:t>
      </w:r>
      <w:r w:rsidRPr="00CA3A3D">
        <w:rPr>
          <w:rFonts w:ascii="Garamond" w:eastAsia="Calibri" w:hAnsi="Garamond" w:cs="Times New Roman"/>
          <w:sz w:val="20"/>
          <w:szCs w:val="20"/>
          <w:lang w:val="es-AR"/>
        </w:rPr>
        <w:t>de 201</w:t>
      </w:r>
      <w:r w:rsidR="00C075A7" w:rsidRPr="00CA3A3D">
        <w:rPr>
          <w:rFonts w:ascii="Garamond" w:eastAsia="Calibri" w:hAnsi="Garamond" w:cs="Times New Roman"/>
          <w:sz w:val="20"/>
          <w:szCs w:val="20"/>
          <w:lang w:val="es-AR"/>
        </w:rPr>
        <w:t>9</w:t>
      </w:r>
      <w:r w:rsidRPr="00CA3A3D">
        <w:rPr>
          <w:rFonts w:ascii="Garamond" w:eastAsia="Calibri" w:hAnsi="Garamond" w:cs="Times New Roman"/>
          <w:sz w:val="20"/>
          <w:szCs w:val="20"/>
          <w:lang w:val="es-AR"/>
        </w:rPr>
        <w:t xml:space="preserve">, ver la sección </w:t>
      </w:r>
      <w:r w:rsidRPr="00CA3A3D">
        <w:rPr>
          <w:rFonts w:ascii="Garamond" w:eastAsia="Calibri" w:hAnsi="Garamond" w:cs="Times New Roman"/>
          <w:i/>
          <w:sz w:val="20"/>
          <w:szCs w:val="20"/>
          <w:lang w:val="es-AR"/>
        </w:rPr>
        <w:t>“</w:t>
      </w:r>
      <w:r w:rsidR="00ED0A30" w:rsidRPr="00CA3A3D">
        <w:rPr>
          <w:rFonts w:ascii="Garamond" w:eastAsia="Calibri" w:hAnsi="Garamond" w:cs="Times New Roman"/>
          <w:i/>
          <w:sz w:val="20"/>
          <w:szCs w:val="20"/>
          <w:lang w:val="es-AR"/>
        </w:rPr>
        <w:t>Información Financiera</w:t>
      </w:r>
      <w:r w:rsidRPr="00CA3A3D">
        <w:rPr>
          <w:rFonts w:ascii="Garamond" w:eastAsia="Calibri" w:hAnsi="Garamond" w:cs="Times New Roman"/>
          <w:i/>
          <w:sz w:val="20"/>
          <w:szCs w:val="20"/>
          <w:lang w:val="es-AR"/>
        </w:rPr>
        <w:t>”</w:t>
      </w:r>
      <w:r w:rsidRPr="00CA3A3D">
        <w:rPr>
          <w:rFonts w:ascii="Garamond" w:eastAsia="Calibri" w:hAnsi="Garamond" w:cs="Times New Roman"/>
          <w:sz w:val="20"/>
          <w:szCs w:val="20"/>
          <w:lang w:val="es-AR"/>
        </w:rPr>
        <w:t xml:space="preserve"> del </w:t>
      </w:r>
      <w:r w:rsidR="00C075A7" w:rsidRPr="00CA3A3D">
        <w:rPr>
          <w:rFonts w:ascii="Garamond" w:eastAsia="Calibri" w:hAnsi="Garamond" w:cs="Times New Roman"/>
          <w:sz w:val="20"/>
          <w:szCs w:val="20"/>
          <w:lang w:val="es-AR"/>
        </w:rPr>
        <w:t>presente Suplemento</w:t>
      </w:r>
      <w:r w:rsidRPr="00CA3A3D">
        <w:rPr>
          <w:rFonts w:ascii="Garamond" w:eastAsia="Calibri" w:hAnsi="Garamond" w:cs="Times New Roman"/>
          <w:sz w:val="20"/>
          <w:szCs w:val="20"/>
          <w:lang w:val="es-AR"/>
        </w:rPr>
        <w:t>.</w:t>
      </w:r>
    </w:p>
    <w:p w14:paraId="300079F4" w14:textId="77777777" w:rsidR="00A95F13" w:rsidRPr="00CA3A3D" w:rsidRDefault="00A95F13" w:rsidP="001E3DCC">
      <w:pPr>
        <w:spacing w:after="0" w:line="240" w:lineRule="auto"/>
        <w:jc w:val="both"/>
        <w:rPr>
          <w:rFonts w:ascii="Garamond" w:eastAsia="Calibri" w:hAnsi="Garamond" w:cs="Times New Roman"/>
          <w:sz w:val="20"/>
          <w:szCs w:val="20"/>
          <w:lang w:val="es-AR"/>
        </w:rPr>
      </w:pPr>
    </w:p>
    <w:p w14:paraId="3238ADDB" w14:textId="3E9CFBA0" w:rsidR="00EB7AD7" w:rsidRPr="00CA3A3D" w:rsidRDefault="00EB7AD7" w:rsidP="001E3DCC">
      <w:pPr>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Asimismo, las Compañías pueden incurrir en endeudamiento adicional en el futuro, sujeto a las limitaciones específicas establecidas en el Contrato de Fideicomiso cuyos términos principales se describen en el presente Suplemento, así como a los principales compromisos y restricciones operativas y financieras de sus instrumentos de deuda existentes.</w:t>
      </w:r>
      <w:r w:rsidR="000D4B32" w:rsidRPr="00CA3A3D">
        <w:rPr>
          <w:rFonts w:ascii="Garamond" w:eastAsia="Calibri" w:hAnsi="Garamond" w:cs="Times New Roman"/>
          <w:sz w:val="20"/>
          <w:szCs w:val="20"/>
          <w:lang w:val="es-AR"/>
        </w:rPr>
        <w:t xml:space="preserve"> </w:t>
      </w:r>
      <w:r w:rsidRPr="00CA3A3D">
        <w:rPr>
          <w:rFonts w:ascii="Garamond" w:eastAsia="Calibri" w:hAnsi="Garamond" w:cs="Times New Roman"/>
          <w:sz w:val="20"/>
          <w:szCs w:val="20"/>
          <w:lang w:val="es-AR"/>
        </w:rPr>
        <w:t>El hecho de que las Compañías incurran en deuda adicional podría incrementar los riesgos descriptos previamente. Para conocer el detalle de los principales compromisos y restricciones operativas y financieras en este instrumento de deuda, ver la sección “</w:t>
      </w:r>
      <w:r w:rsidRPr="00CA3A3D">
        <w:rPr>
          <w:rFonts w:ascii="Garamond" w:eastAsia="Calibri" w:hAnsi="Garamond" w:cs="Times New Roman"/>
          <w:i/>
          <w:sz w:val="20"/>
          <w:szCs w:val="20"/>
          <w:lang w:val="es-AR"/>
        </w:rPr>
        <w:t>Descripción de la Oferta y la Negociación – Descripción de las Obligaciones Negociables – Ciertos Compromisos</w:t>
      </w:r>
      <w:r w:rsidRPr="00CA3A3D">
        <w:rPr>
          <w:rFonts w:ascii="Garamond" w:eastAsia="Calibri" w:hAnsi="Garamond" w:cs="Times New Roman"/>
          <w:sz w:val="20"/>
          <w:szCs w:val="20"/>
          <w:lang w:val="es-AR"/>
        </w:rPr>
        <w:t>” del presente Suplemento. Por otro lado, la capacidad de las Compañías de cumplir con las limitaciones contenidas en la sección “</w:t>
      </w:r>
      <w:r w:rsidRPr="00CA3A3D">
        <w:rPr>
          <w:rFonts w:ascii="Garamond" w:eastAsia="Calibri" w:hAnsi="Garamond" w:cs="Times New Roman"/>
          <w:i/>
          <w:sz w:val="20"/>
          <w:szCs w:val="20"/>
          <w:lang w:val="es-AR"/>
        </w:rPr>
        <w:t>Descripción de la Oferta y la Negociación – Descripción de las Obligaciones Negociables – Ciertos Compromisos</w:t>
      </w:r>
      <w:r w:rsidRPr="00CA3A3D">
        <w:rPr>
          <w:rFonts w:ascii="Garamond" w:eastAsia="Calibri" w:hAnsi="Garamond" w:cs="Times New Roman"/>
          <w:sz w:val="20"/>
          <w:szCs w:val="20"/>
          <w:lang w:val="es-AR"/>
        </w:rPr>
        <w:t xml:space="preserve">” del presente Suplemento, dependerá de su capacidad de generar flujo de efectivo suficiente para alcanzar dichos compromisos y pagar los servicios de deuda. Si las Compañías no generan un flujo de efectivo suficiente, no podrán alcanzar sus índices financieros requeridos y podrían incurrir en incumplimientos en </w:t>
      </w:r>
      <w:r w:rsidR="00487DC7" w:rsidRPr="00CA3A3D">
        <w:rPr>
          <w:rFonts w:ascii="Garamond" w:eastAsia="Calibri" w:hAnsi="Garamond" w:cs="Times New Roman"/>
          <w:sz w:val="20"/>
          <w:szCs w:val="20"/>
          <w:lang w:val="es-AR"/>
        </w:rPr>
        <w:t xml:space="preserve">el </w:t>
      </w:r>
      <w:r w:rsidRPr="00CA3A3D">
        <w:rPr>
          <w:rFonts w:ascii="Garamond" w:eastAsia="Calibri" w:hAnsi="Garamond" w:cs="Times New Roman"/>
          <w:sz w:val="20"/>
          <w:szCs w:val="20"/>
          <w:lang w:val="es-AR"/>
        </w:rPr>
        <w:t>pago de sus deudas.</w:t>
      </w:r>
    </w:p>
    <w:p w14:paraId="299D8616" w14:textId="77777777" w:rsidR="00EB7AD7" w:rsidRPr="00CA3A3D" w:rsidRDefault="00EB7AD7" w:rsidP="001E3DCC">
      <w:pPr>
        <w:spacing w:after="0" w:line="240" w:lineRule="auto"/>
        <w:jc w:val="both"/>
        <w:rPr>
          <w:rFonts w:ascii="Garamond" w:eastAsia="Calibri" w:hAnsi="Garamond" w:cs="Times New Roman"/>
          <w:sz w:val="20"/>
          <w:szCs w:val="20"/>
          <w:lang w:val="es-AR"/>
        </w:rPr>
      </w:pPr>
    </w:p>
    <w:p w14:paraId="11556F4C" w14:textId="7BB15A88" w:rsidR="00EB7AD7" w:rsidRPr="00CA3A3D" w:rsidRDefault="00EB7AD7" w:rsidP="001E3DCC">
      <w:pPr>
        <w:keepNext/>
        <w:keepLines/>
        <w:spacing w:after="0" w:line="240" w:lineRule="auto"/>
        <w:jc w:val="both"/>
        <w:rPr>
          <w:rFonts w:ascii="Garamond" w:eastAsia="Calibri" w:hAnsi="Garamond" w:cs="Times New Roman"/>
          <w:b/>
          <w:i/>
          <w:sz w:val="20"/>
          <w:szCs w:val="20"/>
          <w:lang w:val="es-AR"/>
        </w:rPr>
      </w:pPr>
      <w:r w:rsidRPr="00CA3A3D">
        <w:rPr>
          <w:rFonts w:ascii="Garamond" w:eastAsia="Calibri" w:hAnsi="Garamond" w:cs="Times New Roman"/>
          <w:b/>
          <w:i/>
          <w:sz w:val="20"/>
          <w:szCs w:val="20"/>
          <w:lang w:val="es-AR"/>
        </w:rPr>
        <w:t>El Contrato de Fideicomiso</w:t>
      </w:r>
      <w:r w:rsidRPr="00CA3A3D">
        <w:rPr>
          <w:rFonts w:ascii="Garamond" w:eastAsia="Calibri" w:hAnsi="Garamond" w:cs="Times New Roman"/>
          <w:sz w:val="20"/>
          <w:szCs w:val="20"/>
          <w:lang w:val="es-AR"/>
        </w:rPr>
        <w:t xml:space="preserve"> </w:t>
      </w:r>
      <w:r w:rsidRPr="00CA3A3D">
        <w:rPr>
          <w:rFonts w:ascii="Garamond" w:eastAsia="Calibri" w:hAnsi="Garamond" w:cs="Times New Roman"/>
          <w:b/>
          <w:i/>
          <w:sz w:val="20"/>
          <w:szCs w:val="20"/>
          <w:lang w:val="es-AR"/>
        </w:rPr>
        <w:t>relacionado con las Obligaciones Negociables Clase II impondrá a las Compañías ciertas restricciones operativas y financieras significativas que pueden imposibilitarlas para capitalizar sus oportunidades de negocios</w:t>
      </w:r>
      <w:r w:rsidR="007D751C" w:rsidRPr="00CA3A3D">
        <w:rPr>
          <w:rFonts w:ascii="Garamond" w:eastAsia="Calibri" w:hAnsi="Garamond" w:cs="Times New Roman"/>
          <w:b/>
          <w:i/>
          <w:sz w:val="20"/>
          <w:szCs w:val="20"/>
          <w:lang w:val="es-AR"/>
        </w:rPr>
        <w:t>.</w:t>
      </w:r>
    </w:p>
    <w:p w14:paraId="491D2769" w14:textId="77777777" w:rsidR="00A95F13" w:rsidRPr="00CA3A3D" w:rsidRDefault="00A95F13" w:rsidP="001E3DCC">
      <w:pPr>
        <w:keepNext/>
        <w:keepLines/>
        <w:spacing w:after="0" w:line="240" w:lineRule="auto"/>
        <w:jc w:val="both"/>
        <w:rPr>
          <w:rFonts w:ascii="Garamond" w:eastAsia="Calibri" w:hAnsi="Garamond" w:cs="Times New Roman"/>
          <w:b/>
          <w:i/>
          <w:sz w:val="20"/>
          <w:szCs w:val="20"/>
          <w:lang w:val="es-AR"/>
        </w:rPr>
      </w:pPr>
    </w:p>
    <w:p w14:paraId="611BDC29" w14:textId="77777777" w:rsidR="00EB7AD7" w:rsidRPr="00CA3A3D" w:rsidRDefault="00EB7AD7" w:rsidP="001E3DCC">
      <w:pPr>
        <w:keepNext/>
        <w:keepLines/>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El Contrato de Fideicomiso</w:t>
      </w:r>
      <w:r w:rsidRPr="00CA3A3D">
        <w:rPr>
          <w:rFonts w:ascii="Garamond" w:eastAsia="Calibri" w:hAnsi="Garamond" w:cs="Times New Roman"/>
          <w:i/>
          <w:sz w:val="20"/>
          <w:szCs w:val="20"/>
          <w:lang w:val="es-AR"/>
        </w:rPr>
        <w:t xml:space="preserve"> </w:t>
      </w:r>
      <w:r w:rsidRPr="00CA3A3D">
        <w:rPr>
          <w:rFonts w:ascii="Garamond" w:eastAsia="Calibri" w:hAnsi="Garamond" w:cs="Times New Roman"/>
          <w:sz w:val="20"/>
          <w:szCs w:val="20"/>
          <w:lang w:val="es-AR"/>
        </w:rPr>
        <w:t>impondrá restricciones operativas y financieras significativas. Estas restricciones limitarán la capacidad de las Compañías, entre otras cosas, de llevar a cabo los siguientes actos:</w:t>
      </w:r>
    </w:p>
    <w:p w14:paraId="6F5CD9ED" w14:textId="77777777" w:rsidR="00A95F13" w:rsidRPr="00CA3A3D" w:rsidRDefault="00A95F13" w:rsidP="001E3DCC">
      <w:pPr>
        <w:keepNext/>
        <w:keepLines/>
        <w:spacing w:after="0" w:line="240" w:lineRule="auto"/>
        <w:jc w:val="both"/>
        <w:rPr>
          <w:rFonts w:ascii="Garamond" w:eastAsia="Calibri" w:hAnsi="Garamond" w:cs="Times New Roman"/>
          <w:sz w:val="20"/>
          <w:szCs w:val="20"/>
          <w:lang w:val="es-AR"/>
        </w:rPr>
      </w:pPr>
    </w:p>
    <w:p w14:paraId="625F4C72" w14:textId="77777777" w:rsidR="00EB7AD7" w:rsidRPr="00CA3A3D" w:rsidRDefault="00EB7AD7" w:rsidP="002830AF">
      <w:pPr>
        <w:numPr>
          <w:ilvl w:val="0"/>
          <w:numId w:val="59"/>
        </w:numPr>
        <w:tabs>
          <w:tab w:val="num" w:pos="720"/>
        </w:tabs>
        <w:spacing w:after="0" w:line="240" w:lineRule="auto"/>
        <w:ind w:left="426" w:firstLine="0"/>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incurrir en endeudamiento adicional;</w:t>
      </w:r>
    </w:p>
    <w:p w14:paraId="4EF7FBD7" w14:textId="77777777" w:rsidR="00A95F13" w:rsidRPr="00CA3A3D" w:rsidRDefault="00A95F13" w:rsidP="001E3DCC">
      <w:pPr>
        <w:spacing w:after="0" w:line="240" w:lineRule="auto"/>
        <w:ind w:left="426"/>
        <w:jc w:val="both"/>
        <w:rPr>
          <w:rFonts w:ascii="Garamond" w:eastAsia="Calibri" w:hAnsi="Garamond" w:cs="Times New Roman"/>
          <w:sz w:val="20"/>
          <w:szCs w:val="20"/>
          <w:lang w:val="es-AR"/>
        </w:rPr>
      </w:pPr>
    </w:p>
    <w:p w14:paraId="5BB0F2B4" w14:textId="77777777" w:rsidR="00EB7AD7" w:rsidRPr="00713D6E" w:rsidRDefault="00EB7AD7" w:rsidP="002830AF">
      <w:pPr>
        <w:numPr>
          <w:ilvl w:val="0"/>
          <w:numId w:val="59"/>
        </w:numPr>
        <w:spacing w:after="0" w:line="240" w:lineRule="auto"/>
        <w:ind w:left="426" w:firstLine="0"/>
        <w:jc w:val="both"/>
        <w:rPr>
          <w:rFonts w:ascii="Garamond" w:eastAsia="Times New Roman" w:hAnsi="Garamond" w:cs="Times New Roman"/>
          <w:kern w:val="20"/>
          <w:sz w:val="20"/>
          <w:szCs w:val="20"/>
          <w:lang w:val="es-AR" w:eastAsia="en-GB"/>
        </w:rPr>
      </w:pPr>
      <w:r w:rsidRPr="00CA0A60">
        <w:rPr>
          <w:rFonts w:ascii="Garamond" w:eastAsia="Times New Roman" w:hAnsi="Garamond" w:cs="Times New Roman"/>
          <w:kern w:val="20"/>
          <w:sz w:val="20"/>
          <w:szCs w:val="20"/>
          <w:lang w:val="es-AR" w:eastAsia="en-GB"/>
        </w:rPr>
        <w:lastRenderedPageBreak/>
        <w:t>incurrir en gravámenes;</w:t>
      </w:r>
    </w:p>
    <w:p w14:paraId="740C982E" w14:textId="77777777" w:rsidR="00A95F13" w:rsidRPr="00CA0A60" w:rsidRDefault="00A95F13" w:rsidP="001E3DCC">
      <w:pPr>
        <w:spacing w:after="0" w:line="240" w:lineRule="auto"/>
        <w:ind w:left="426"/>
        <w:jc w:val="both"/>
        <w:rPr>
          <w:rFonts w:ascii="Garamond" w:eastAsia="Times New Roman" w:hAnsi="Garamond" w:cs="Times New Roman"/>
          <w:kern w:val="20"/>
          <w:sz w:val="20"/>
          <w:szCs w:val="20"/>
          <w:lang w:val="es-AR" w:eastAsia="en-GB"/>
        </w:rPr>
      </w:pPr>
    </w:p>
    <w:p w14:paraId="2E144A45" w14:textId="77777777" w:rsidR="00A95F13" w:rsidRPr="00CA3A3D" w:rsidRDefault="00EB7AD7" w:rsidP="002830AF">
      <w:pPr>
        <w:numPr>
          <w:ilvl w:val="0"/>
          <w:numId w:val="59"/>
        </w:numPr>
        <w:tabs>
          <w:tab w:val="num" w:pos="720"/>
        </w:tabs>
        <w:spacing w:after="0" w:line="240" w:lineRule="auto"/>
        <w:ind w:left="426" w:firstLine="0"/>
        <w:jc w:val="both"/>
        <w:rPr>
          <w:rFonts w:ascii="Garamond" w:eastAsia="Calibri" w:hAnsi="Garamond" w:cs="Times New Roman"/>
          <w:sz w:val="20"/>
          <w:szCs w:val="20"/>
          <w:lang w:val="es-AR"/>
        </w:rPr>
      </w:pPr>
      <w:r w:rsidRPr="00CA0A60">
        <w:rPr>
          <w:rFonts w:ascii="Garamond" w:eastAsia="Times New Roman" w:hAnsi="Garamond" w:cs="Times New Roman"/>
          <w:kern w:val="20"/>
          <w:sz w:val="20"/>
          <w:szCs w:val="20"/>
          <w:lang w:val="es-AR" w:eastAsia="en-GB"/>
        </w:rPr>
        <w:t>en realizar ciertas</w:t>
      </w:r>
      <w:r w:rsidRPr="00CA3A3D">
        <w:rPr>
          <w:rFonts w:ascii="Garamond" w:eastAsia="Calibri" w:hAnsi="Garamond" w:cs="Times New Roman"/>
          <w:sz w:val="20"/>
          <w:szCs w:val="20"/>
          <w:lang w:val="es-AR"/>
        </w:rPr>
        <w:t xml:space="preserve"> inversiones;</w:t>
      </w:r>
    </w:p>
    <w:p w14:paraId="15C78039" w14:textId="77777777" w:rsidR="00A95F13" w:rsidRPr="00CA0A60" w:rsidRDefault="00A95F13" w:rsidP="001E3DCC">
      <w:pPr>
        <w:spacing w:after="0" w:line="240" w:lineRule="auto"/>
        <w:ind w:left="426"/>
        <w:jc w:val="both"/>
        <w:rPr>
          <w:rFonts w:ascii="Garamond" w:eastAsia="Times New Roman" w:hAnsi="Garamond" w:cs="Times New Roman"/>
          <w:kern w:val="20"/>
          <w:sz w:val="20"/>
          <w:szCs w:val="20"/>
          <w:lang w:val="es-AR" w:eastAsia="en-GB"/>
        </w:rPr>
      </w:pPr>
    </w:p>
    <w:p w14:paraId="5E3CD81B" w14:textId="77777777" w:rsidR="00EB7AD7" w:rsidRPr="00CA0A60" w:rsidRDefault="00EB7AD7" w:rsidP="002830AF">
      <w:pPr>
        <w:numPr>
          <w:ilvl w:val="0"/>
          <w:numId w:val="59"/>
        </w:numPr>
        <w:tabs>
          <w:tab w:val="num" w:pos="720"/>
        </w:tabs>
        <w:spacing w:after="0" w:line="240" w:lineRule="auto"/>
        <w:ind w:left="426" w:firstLine="0"/>
        <w:jc w:val="both"/>
        <w:rPr>
          <w:rFonts w:ascii="Garamond" w:eastAsia="Times New Roman" w:hAnsi="Garamond" w:cs="Times New Roman"/>
          <w:kern w:val="20"/>
          <w:sz w:val="20"/>
          <w:szCs w:val="20"/>
          <w:lang w:val="es-AR" w:eastAsia="en-GB"/>
        </w:rPr>
      </w:pPr>
      <w:r w:rsidRPr="00CA0A60">
        <w:rPr>
          <w:rFonts w:ascii="Garamond" w:eastAsia="Times New Roman" w:hAnsi="Garamond" w:cs="Times New Roman"/>
          <w:kern w:val="20"/>
          <w:sz w:val="20"/>
          <w:szCs w:val="20"/>
          <w:lang w:val="es-AR" w:eastAsia="en-GB"/>
        </w:rPr>
        <w:t>incurrir en gastos de capital;</w:t>
      </w:r>
    </w:p>
    <w:p w14:paraId="527D639D" w14:textId="77777777" w:rsidR="00A95F13" w:rsidRPr="00CA3A3D" w:rsidRDefault="00A95F13" w:rsidP="001E3DCC">
      <w:pPr>
        <w:spacing w:after="0" w:line="240" w:lineRule="auto"/>
        <w:ind w:left="426"/>
        <w:jc w:val="both"/>
        <w:rPr>
          <w:rFonts w:ascii="Garamond" w:eastAsia="Calibri" w:hAnsi="Garamond" w:cs="Times New Roman"/>
          <w:sz w:val="20"/>
          <w:szCs w:val="20"/>
          <w:lang w:val="es-AR"/>
        </w:rPr>
      </w:pPr>
    </w:p>
    <w:p w14:paraId="43F3B202" w14:textId="77777777" w:rsidR="00EB7AD7" w:rsidRPr="00CA3A3D" w:rsidRDefault="00EB7AD7" w:rsidP="002830AF">
      <w:pPr>
        <w:numPr>
          <w:ilvl w:val="0"/>
          <w:numId w:val="59"/>
        </w:numPr>
        <w:spacing w:after="0" w:line="240" w:lineRule="auto"/>
        <w:ind w:left="426" w:firstLine="0"/>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efectuar</w:t>
      </w:r>
      <w:r w:rsidRPr="00CA0A60">
        <w:rPr>
          <w:rFonts w:ascii="Garamond" w:eastAsia="Times New Roman" w:hAnsi="Garamond" w:cs="Times New Roman"/>
          <w:kern w:val="20"/>
          <w:sz w:val="20"/>
          <w:szCs w:val="20"/>
          <w:lang w:val="es-AR" w:eastAsia="en-GB"/>
        </w:rPr>
        <w:t xml:space="preserve"> pagos restringidos bajo ciertas condiciones limitadas; </w:t>
      </w:r>
    </w:p>
    <w:p w14:paraId="5101B52C" w14:textId="77777777" w:rsidR="00A95F13" w:rsidRPr="00CA3A3D" w:rsidRDefault="00A95F13" w:rsidP="001E3DCC">
      <w:pPr>
        <w:spacing w:after="0" w:line="240" w:lineRule="auto"/>
        <w:ind w:left="426"/>
        <w:jc w:val="both"/>
        <w:rPr>
          <w:rFonts w:ascii="Garamond" w:eastAsia="Calibri" w:hAnsi="Garamond" w:cs="Times New Roman"/>
          <w:sz w:val="20"/>
          <w:szCs w:val="20"/>
          <w:lang w:val="es-AR"/>
        </w:rPr>
      </w:pPr>
    </w:p>
    <w:p w14:paraId="645BEE5F" w14:textId="77777777" w:rsidR="00EB7AD7" w:rsidRPr="00CA3A3D" w:rsidRDefault="00EB7AD7" w:rsidP="002830AF">
      <w:pPr>
        <w:numPr>
          <w:ilvl w:val="0"/>
          <w:numId w:val="59"/>
        </w:numPr>
        <w:spacing w:after="0" w:line="240" w:lineRule="auto"/>
        <w:ind w:left="426" w:firstLine="0"/>
        <w:jc w:val="both"/>
        <w:rPr>
          <w:rFonts w:ascii="Garamond" w:eastAsia="Calibri" w:hAnsi="Garamond" w:cs="Times New Roman"/>
          <w:sz w:val="20"/>
          <w:szCs w:val="20"/>
          <w:lang w:val="es-AR"/>
        </w:rPr>
      </w:pPr>
      <w:r w:rsidRPr="00CA0A60">
        <w:rPr>
          <w:rFonts w:ascii="Garamond" w:eastAsia="Times New Roman" w:hAnsi="Garamond" w:cs="Times New Roman"/>
          <w:kern w:val="20"/>
          <w:sz w:val="20"/>
          <w:szCs w:val="20"/>
          <w:lang w:val="es-AR" w:eastAsia="en-GB"/>
        </w:rPr>
        <w:t>designación de subsidiarias no restringidas;</w:t>
      </w:r>
    </w:p>
    <w:p w14:paraId="3C8EC45C" w14:textId="77777777" w:rsidR="00A95F13" w:rsidRPr="00CA3A3D" w:rsidRDefault="00A95F13" w:rsidP="001E3DCC">
      <w:pPr>
        <w:spacing w:after="0" w:line="240" w:lineRule="auto"/>
        <w:ind w:left="426"/>
        <w:jc w:val="both"/>
        <w:rPr>
          <w:rFonts w:ascii="Garamond" w:eastAsia="Calibri" w:hAnsi="Garamond" w:cs="Times New Roman"/>
          <w:sz w:val="20"/>
          <w:szCs w:val="20"/>
          <w:lang w:val="es-AR"/>
        </w:rPr>
      </w:pPr>
    </w:p>
    <w:p w14:paraId="49CF5D72" w14:textId="77777777" w:rsidR="00EB7AD7" w:rsidRPr="00CA3A3D" w:rsidRDefault="00EB7AD7" w:rsidP="002830AF">
      <w:pPr>
        <w:numPr>
          <w:ilvl w:val="0"/>
          <w:numId w:val="59"/>
        </w:numPr>
        <w:spacing w:after="0" w:line="240" w:lineRule="auto"/>
        <w:ind w:left="426" w:firstLine="0"/>
        <w:jc w:val="both"/>
        <w:rPr>
          <w:rFonts w:ascii="Garamond" w:eastAsia="Calibri" w:hAnsi="Garamond" w:cs="Times New Roman"/>
          <w:sz w:val="20"/>
          <w:szCs w:val="20"/>
          <w:lang w:val="es-AR"/>
        </w:rPr>
      </w:pPr>
      <w:r w:rsidRPr="00CA0A60">
        <w:rPr>
          <w:rFonts w:ascii="Garamond" w:eastAsia="Times New Roman" w:hAnsi="Garamond" w:cs="Times New Roman"/>
          <w:kern w:val="20"/>
          <w:sz w:val="20"/>
          <w:szCs w:val="20"/>
          <w:lang w:val="es-AR" w:eastAsia="en-GB"/>
        </w:rPr>
        <w:t>celebrar</w:t>
      </w:r>
      <w:r w:rsidRPr="00CA3A3D">
        <w:rPr>
          <w:rFonts w:ascii="Garamond" w:eastAsia="Calibri" w:hAnsi="Garamond" w:cs="Times New Roman"/>
          <w:sz w:val="20"/>
          <w:szCs w:val="20"/>
          <w:lang w:val="es-AR"/>
        </w:rPr>
        <w:t xml:space="preserve"> transacciones con </w:t>
      </w:r>
      <w:r w:rsidRPr="00CA0A60">
        <w:rPr>
          <w:rFonts w:ascii="Garamond" w:eastAsia="Times New Roman" w:hAnsi="Garamond" w:cs="Times New Roman"/>
          <w:kern w:val="20"/>
          <w:sz w:val="20"/>
          <w:szCs w:val="20"/>
          <w:lang w:val="es-AR" w:eastAsia="en-GB"/>
        </w:rPr>
        <w:t>afiliadas</w:t>
      </w:r>
      <w:r w:rsidRPr="00CA3A3D">
        <w:rPr>
          <w:rFonts w:ascii="Garamond" w:eastAsia="Calibri" w:hAnsi="Garamond" w:cs="Times New Roman"/>
          <w:sz w:val="20"/>
          <w:szCs w:val="20"/>
          <w:lang w:val="es-AR"/>
        </w:rPr>
        <w:t>; y</w:t>
      </w:r>
    </w:p>
    <w:p w14:paraId="326DC100" w14:textId="77777777" w:rsidR="00A95F13" w:rsidRPr="00CA0A60" w:rsidRDefault="00A95F13" w:rsidP="001E3DCC">
      <w:pPr>
        <w:spacing w:after="0" w:line="240" w:lineRule="auto"/>
        <w:ind w:left="426"/>
        <w:jc w:val="both"/>
        <w:rPr>
          <w:rFonts w:ascii="Garamond" w:eastAsia="Times New Roman" w:hAnsi="Garamond" w:cs="Times New Roman"/>
          <w:kern w:val="20"/>
          <w:sz w:val="20"/>
          <w:szCs w:val="20"/>
          <w:lang w:val="es-AR" w:eastAsia="en-GB"/>
        </w:rPr>
      </w:pPr>
    </w:p>
    <w:p w14:paraId="312B932E" w14:textId="77777777" w:rsidR="00EB7AD7" w:rsidRPr="00CA0A60" w:rsidRDefault="00EB7AD7" w:rsidP="002830AF">
      <w:pPr>
        <w:numPr>
          <w:ilvl w:val="0"/>
          <w:numId w:val="59"/>
        </w:numPr>
        <w:spacing w:after="0" w:line="240" w:lineRule="auto"/>
        <w:ind w:left="426" w:firstLine="0"/>
        <w:jc w:val="both"/>
        <w:rPr>
          <w:rFonts w:ascii="Garamond" w:eastAsia="Times New Roman" w:hAnsi="Garamond" w:cs="Times New Roman"/>
          <w:kern w:val="20"/>
          <w:sz w:val="20"/>
          <w:szCs w:val="20"/>
          <w:lang w:val="es-AR" w:eastAsia="en-GB"/>
        </w:rPr>
      </w:pPr>
      <w:r w:rsidRPr="00CA0A60">
        <w:rPr>
          <w:rFonts w:ascii="Garamond" w:eastAsia="Times New Roman" w:hAnsi="Garamond" w:cs="Times New Roman"/>
          <w:kern w:val="20"/>
          <w:sz w:val="20"/>
          <w:szCs w:val="20"/>
          <w:lang w:val="es-AR" w:eastAsia="en-GB"/>
        </w:rPr>
        <w:t>realizar una fusión, consolidación y venta de activos.</w:t>
      </w:r>
    </w:p>
    <w:p w14:paraId="0A821549" w14:textId="77777777" w:rsidR="00A95F13" w:rsidRPr="00CA3A3D" w:rsidRDefault="00A95F13" w:rsidP="001E3DCC">
      <w:pPr>
        <w:spacing w:after="0" w:line="240" w:lineRule="auto"/>
        <w:jc w:val="both"/>
        <w:rPr>
          <w:rFonts w:ascii="Garamond" w:eastAsia="Calibri" w:hAnsi="Garamond" w:cs="Times New Roman"/>
          <w:sz w:val="20"/>
          <w:szCs w:val="20"/>
          <w:lang w:val="es-AR"/>
        </w:rPr>
      </w:pPr>
    </w:p>
    <w:p w14:paraId="6B092D98" w14:textId="77777777" w:rsidR="00EB7AD7" w:rsidRPr="00CA3A3D" w:rsidRDefault="00EB7AD7" w:rsidP="001E3DCC">
      <w:pPr>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Estos compromisos se encuentran sujetos a ciertas salvedades y excepciones significativas. Sin perjuicio de ello, estas restricciones podrían limitar la capacidad de obtener oportunidades de crecimiento atractivas que actualmente resultan imprevisibles, particularmente si las Compañías son incapaces de incurrir en financiamiento o de efectuar inversiones para sacar provecho de estas oportunidades.</w:t>
      </w:r>
    </w:p>
    <w:p w14:paraId="66FDCF4E" w14:textId="77777777" w:rsidR="00EB7AD7" w:rsidRPr="00CA3A3D" w:rsidRDefault="00EB7AD7" w:rsidP="001E3DCC">
      <w:pPr>
        <w:spacing w:after="0" w:line="240" w:lineRule="auto"/>
        <w:ind w:firstLine="720"/>
        <w:jc w:val="both"/>
        <w:rPr>
          <w:rFonts w:ascii="Garamond" w:eastAsia="Calibri" w:hAnsi="Garamond" w:cs="Times New Roman"/>
          <w:sz w:val="20"/>
          <w:szCs w:val="20"/>
          <w:lang w:val="es-AR"/>
        </w:rPr>
      </w:pPr>
    </w:p>
    <w:p w14:paraId="6F0EF6CB" w14:textId="5E018753" w:rsidR="00EB7AD7" w:rsidRPr="00CA3A3D" w:rsidRDefault="00EB7AD7" w:rsidP="001E3DCC">
      <w:pPr>
        <w:spacing w:after="0" w:line="240" w:lineRule="auto"/>
        <w:jc w:val="both"/>
        <w:rPr>
          <w:rFonts w:ascii="Garamond" w:eastAsia="Calibri" w:hAnsi="Garamond" w:cs="Times New Roman"/>
          <w:b/>
          <w:i/>
          <w:sz w:val="20"/>
          <w:szCs w:val="20"/>
          <w:lang w:val="es-AR"/>
        </w:rPr>
      </w:pPr>
      <w:r w:rsidRPr="00CA3A3D">
        <w:rPr>
          <w:rFonts w:ascii="Garamond" w:eastAsia="Calibri" w:hAnsi="Garamond" w:cs="Times New Roman"/>
          <w:b/>
          <w:i/>
          <w:sz w:val="20"/>
          <w:szCs w:val="20"/>
          <w:lang w:val="es-AR"/>
        </w:rPr>
        <w:t>Puede no desarrollarse un mercado de negociación activo para las Obligaciones Negociables</w:t>
      </w:r>
      <w:r w:rsidRPr="00CA3A3D">
        <w:rPr>
          <w:rFonts w:ascii="Garamond" w:eastAsia="Calibri" w:hAnsi="Garamond" w:cs="Times New Roman"/>
          <w:sz w:val="20"/>
          <w:szCs w:val="20"/>
          <w:lang w:val="es-AR"/>
        </w:rPr>
        <w:t xml:space="preserve"> </w:t>
      </w:r>
      <w:r w:rsidRPr="00CA3A3D">
        <w:rPr>
          <w:rFonts w:ascii="Garamond" w:eastAsia="Calibri" w:hAnsi="Garamond" w:cs="Times New Roman"/>
          <w:b/>
          <w:i/>
          <w:sz w:val="20"/>
          <w:szCs w:val="20"/>
          <w:lang w:val="es-AR"/>
        </w:rPr>
        <w:t>Clase II</w:t>
      </w:r>
      <w:r w:rsidR="007D751C" w:rsidRPr="00CA3A3D">
        <w:rPr>
          <w:rFonts w:ascii="Garamond" w:eastAsia="Calibri" w:hAnsi="Garamond" w:cs="Times New Roman"/>
          <w:b/>
          <w:i/>
          <w:sz w:val="20"/>
          <w:szCs w:val="20"/>
          <w:lang w:val="es-AR"/>
        </w:rPr>
        <w:t>.</w:t>
      </w:r>
    </w:p>
    <w:p w14:paraId="3BEE236D" w14:textId="77777777" w:rsidR="00A95F13" w:rsidRPr="00CA3A3D" w:rsidRDefault="00A95F13" w:rsidP="001E3DCC">
      <w:pPr>
        <w:spacing w:after="0" w:line="240" w:lineRule="auto"/>
        <w:jc w:val="both"/>
        <w:rPr>
          <w:rFonts w:ascii="Garamond" w:eastAsia="Calibri" w:hAnsi="Garamond" w:cs="Times New Roman"/>
          <w:sz w:val="20"/>
          <w:szCs w:val="20"/>
          <w:lang w:val="es-AR"/>
        </w:rPr>
      </w:pPr>
    </w:p>
    <w:p w14:paraId="7E636737" w14:textId="45512514" w:rsidR="00EB7AD7" w:rsidRPr="00CA3A3D" w:rsidRDefault="00EB7AD7" w:rsidP="001E3DCC">
      <w:pPr>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Las Obligaciones Negociables</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 xml:space="preserve">Clase II ofrecidas en virtud del presente Suplemento constituyen títulos nuevos respecto de los cuales no existe actualmente un mercado de negociación activo. Las Compañías han presentado la solicitud para que las </w:t>
      </w:r>
      <w:r w:rsidRPr="00CA3A3D">
        <w:rPr>
          <w:rFonts w:ascii="Garamond" w:eastAsia="Calibri" w:hAnsi="Garamond" w:cs="Times New Roman"/>
          <w:snapToGrid w:val="0"/>
          <w:sz w:val="20"/>
          <w:szCs w:val="20"/>
          <w:lang w:val="es-AR"/>
        </w:rPr>
        <w:t xml:space="preserve">Obligaciones Negociables </w:t>
      </w:r>
      <w:r w:rsidRPr="00CA3A3D">
        <w:rPr>
          <w:rFonts w:ascii="Garamond" w:eastAsia="Calibri" w:hAnsi="Garamond" w:cs="Times New Roman"/>
          <w:sz w:val="20"/>
          <w:szCs w:val="20"/>
          <w:lang w:val="es-AR"/>
        </w:rPr>
        <w:t xml:space="preserve">Clase II sean </w:t>
      </w:r>
      <w:r w:rsidR="00C531EA" w:rsidRPr="00CA3A3D">
        <w:rPr>
          <w:rFonts w:ascii="Garamond" w:eastAsia="Calibri" w:hAnsi="Garamond" w:cs="Times New Roman"/>
          <w:sz w:val="20"/>
          <w:szCs w:val="20"/>
          <w:lang w:val="es-AR"/>
        </w:rPr>
        <w:t xml:space="preserve">listadas </w:t>
      </w:r>
      <w:r w:rsidRPr="00CA3A3D">
        <w:rPr>
          <w:rFonts w:ascii="Garamond" w:eastAsia="Calibri" w:hAnsi="Garamond" w:cs="Times New Roman"/>
          <w:sz w:val="20"/>
          <w:szCs w:val="20"/>
          <w:lang w:val="es-AR"/>
        </w:rPr>
        <w:t xml:space="preserve">en </w:t>
      </w:r>
      <w:r w:rsidRPr="00CA3A3D">
        <w:rPr>
          <w:rFonts w:ascii="Garamond" w:eastAsia="Calibri" w:hAnsi="Garamond" w:cs="Times New Roman"/>
          <w:snapToGrid w:val="0"/>
          <w:sz w:val="20"/>
          <w:szCs w:val="20"/>
          <w:lang w:val="es-AR"/>
        </w:rPr>
        <w:t>BYMA</w:t>
      </w:r>
      <w:r w:rsidRPr="00CA3A3D">
        <w:rPr>
          <w:rFonts w:ascii="Garamond" w:eastAsia="Calibri" w:hAnsi="Garamond" w:cs="Times New Roman"/>
          <w:sz w:val="20"/>
          <w:szCs w:val="20"/>
          <w:lang w:val="es-AR"/>
        </w:rPr>
        <w:t xml:space="preserve"> a través de la BCBA y que se negocien en el MAE, pero no pueden asegurar que dichas solicitudes, si se efectuaran, serán aprobadas. Las Obligaciones Negociables</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Clase II podrían ser negociadas en el mercado secundario con descuento respecto de su precio de oferta inicial dependiendo de las tasas de interés vigentes, el mercado correspondiente a títulos similares, las condiciones económicas generales y su desempeño financiero.</w:t>
      </w:r>
    </w:p>
    <w:p w14:paraId="0CCC0888" w14:textId="77777777" w:rsidR="00A95F13" w:rsidRPr="00CA3A3D" w:rsidRDefault="00A95F13" w:rsidP="001E3DCC">
      <w:pPr>
        <w:spacing w:after="0" w:line="240" w:lineRule="auto"/>
        <w:jc w:val="both"/>
        <w:rPr>
          <w:rFonts w:ascii="Garamond" w:eastAsia="Calibri" w:hAnsi="Garamond" w:cs="Times New Roman"/>
          <w:sz w:val="20"/>
          <w:szCs w:val="20"/>
          <w:lang w:val="es-AR"/>
        </w:rPr>
      </w:pPr>
    </w:p>
    <w:p w14:paraId="46C4115E" w14:textId="77777777" w:rsidR="00EB7AD7" w:rsidRPr="00CA3A3D" w:rsidRDefault="00EB7AD7" w:rsidP="001E3DCC">
      <w:pPr>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Las Compañías no pueden asegurar que se desarrolle un mercado de negociación activo para las Obligaciones Negociables Clase II</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o bien, si se desarrollara dicho mercado, que éste será mantenido. Si no se desarrollara un mercado de negociación o si éste no se mantuviera, los tenedores de las Obligaciones Negociables Clase II</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pueden experimentar dificultades para la reventa de las Obligaciones Negociables</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Clase II o pueden ser incapaces de venderlos a un precio atractivo o a cualquier precio. Asimismo, aún si se desarrollara un mercado, la liquidez de cualquier mercado correspondiente a las Obligaciones Negociables Clase II</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dependerá de la cantidad de tenedores de las Obligaciones Negociables Clase II, el interés de los corredores de títulos en la formación de un mercado respecto de las Obligaciones Negociables Clase II</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y otros factores. Por lo tanto, puede desarrollarse un mercado correspondiente a las Obligaciones Negociables Clase II, pero éste puede no ser líquido ni profundo. Asimismo, si se negocian las Obligaciones Negociables</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Clase II, éstas se pueden negociar con un descuento de su precio de oferta inicial dependiendo de las tasas de interés vigentes, el mercado correspondiente a títulos similares, las condiciones económicas generales, el desempeño de las Compañías y posibilidades de negocios y otros factores.</w:t>
      </w:r>
    </w:p>
    <w:p w14:paraId="4A990D24" w14:textId="77777777" w:rsidR="00EB7AD7" w:rsidRPr="00CA3A3D" w:rsidRDefault="00EB7AD7" w:rsidP="001E3DCC">
      <w:pPr>
        <w:spacing w:after="0" w:line="240" w:lineRule="auto"/>
        <w:jc w:val="both"/>
        <w:rPr>
          <w:rFonts w:ascii="Garamond" w:eastAsia="Calibri" w:hAnsi="Garamond" w:cs="Times New Roman"/>
          <w:sz w:val="20"/>
          <w:szCs w:val="20"/>
          <w:lang w:val="es-AR"/>
        </w:rPr>
      </w:pPr>
    </w:p>
    <w:p w14:paraId="3247D327" w14:textId="7BBB5D91" w:rsidR="00EB7AD7" w:rsidRPr="00CA3A3D" w:rsidRDefault="00EB7AD7" w:rsidP="001E3DCC">
      <w:pPr>
        <w:spacing w:after="0" w:line="240" w:lineRule="auto"/>
        <w:jc w:val="both"/>
        <w:rPr>
          <w:rFonts w:ascii="Garamond" w:eastAsia="Calibri" w:hAnsi="Garamond" w:cs="Times New Roman"/>
          <w:b/>
          <w:i/>
          <w:sz w:val="20"/>
          <w:szCs w:val="20"/>
          <w:lang w:val="es-AR"/>
        </w:rPr>
      </w:pPr>
      <w:r w:rsidRPr="00CA3A3D">
        <w:rPr>
          <w:rFonts w:ascii="Garamond" w:eastAsia="Calibri" w:hAnsi="Garamond" w:cs="Times New Roman"/>
          <w:b/>
          <w:i/>
          <w:sz w:val="20"/>
          <w:szCs w:val="20"/>
          <w:lang w:val="es-AR"/>
        </w:rPr>
        <w:t>Las Obligaciones Negociables</w:t>
      </w:r>
      <w:r w:rsidRPr="00CA3A3D">
        <w:rPr>
          <w:rFonts w:ascii="Garamond" w:eastAsia="Calibri" w:hAnsi="Garamond" w:cs="Times New Roman"/>
          <w:b/>
          <w:i/>
          <w:sz w:val="20"/>
          <w:szCs w:val="20"/>
          <w:lang w:val="es-AR" w:eastAsia="es-AR"/>
        </w:rPr>
        <w:t xml:space="preserve"> Clase II</w:t>
      </w:r>
      <w:r w:rsidRPr="00CA3A3D">
        <w:rPr>
          <w:rFonts w:ascii="Garamond" w:eastAsia="Calibri" w:hAnsi="Garamond" w:cs="Times New Roman"/>
          <w:b/>
          <w:i/>
          <w:sz w:val="20"/>
          <w:szCs w:val="20"/>
          <w:lang w:val="es-AR"/>
        </w:rPr>
        <w:t xml:space="preserve"> estarán sujetas a restricciones a la transferencia que pueden limitar la capacidad de los tenedores de revender sus Obligaciones Negociables</w:t>
      </w:r>
      <w:r w:rsidRPr="00CA3A3D">
        <w:rPr>
          <w:rFonts w:ascii="Garamond" w:eastAsia="Calibri" w:hAnsi="Garamond" w:cs="Times New Roman"/>
          <w:b/>
          <w:i/>
          <w:sz w:val="20"/>
          <w:szCs w:val="20"/>
          <w:lang w:val="es-AR" w:eastAsia="es-AR"/>
        </w:rPr>
        <w:t xml:space="preserve"> Clase II</w:t>
      </w:r>
      <w:r w:rsidR="007D751C" w:rsidRPr="00CA3A3D">
        <w:rPr>
          <w:rFonts w:ascii="Garamond" w:eastAsia="Calibri" w:hAnsi="Garamond" w:cs="Times New Roman"/>
          <w:b/>
          <w:i/>
          <w:sz w:val="20"/>
          <w:szCs w:val="20"/>
          <w:lang w:val="es-AR" w:eastAsia="es-AR"/>
        </w:rPr>
        <w:t>.</w:t>
      </w:r>
    </w:p>
    <w:p w14:paraId="603CC4DB" w14:textId="77777777" w:rsidR="00A95F13" w:rsidRPr="00CA3A3D" w:rsidRDefault="00A95F13" w:rsidP="001E3DCC">
      <w:pPr>
        <w:spacing w:after="0" w:line="240" w:lineRule="auto"/>
        <w:jc w:val="both"/>
        <w:rPr>
          <w:rFonts w:ascii="Garamond" w:eastAsia="Calibri" w:hAnsi="Garamond" w:cs="Times New Roman"/>
          <w:sz w:val="20"/>
          <w:szCs w:val="20"/>
          <w:lang w:val="es-AR"/>
        </w:rPr>
      </w:pPr>
    </w:p>
    <w:p w14:paraId="3B408031" w14:textId="1FA4E428" w:rsidR="00EB7AD7" w:rsidRPr="00CA3A3D" w:rsidRDefault="00EB7AD7" w:rsidP="001E3DCC">
      <w:pPr>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 xml:space="preserve">Las Obligaciones Negociables Clase II no han sido ni serán registradas bajo la Ley de Títulos Valores de Estadounidense ni bajo ninguna ley de títulos valores vigente en cualquier estado de los Estados Unidos y no podrán ser ofrecidas ni vendidas dentro de los Estados Unidos o a personas estadounidenses, salvo en virtud de una exención de los requisitos de registro de la Ley de Títulos Valores Estadounidense (y de las leyes de títulos valores vigentes en cualquier estado de los Estados Unidos) o en operaciones no sujetas a tales requisitos. En consecuencia, un tenedor de Obligaciones Negociables Clase II deberá ser capaz de soportar el riesgo económico de su inversión en dichas Obligaciones Negociables Clase II por el plazo de las Obligaciones Negociables Clase II. </w:t>
      </w:r>
    </w:p>
    <w:p w14:paraId="5BAD3425" w14:textId="77777777" w:rsidR="00EB7AD7" w:rsidRPr="00CA3A3D" w:rsidRDefault="00EB7AD7" w:rsidP="001E3DCC">
      <w:pPr>
        <w:spacing w:after="0" w:line="240" w:lineRule="auto"/>
        <w:ind w:firstLine="720"/>
        <w:jc w:val="both"/>
        <w:rPr>
          <w:rFonts w:ascii="Garamond" w:eastAsia="Calibri" w:hAnsi="Garamond" w:cs="Times New Roman"/>
          <w:sz w:val="20"/>
          <w:szCs w:val="20"/>
          <w:lang w:val="es-AR" w:eastAsia="x-none"/>
        </w:rPr>
      </w:pPr>
    </w:p>
    <w:p w14:paraId="2F051082" w14:textId="617C61A8" w:rsidR="00EB7AD7" w:rsidRPr="00CA3A3D" w:rsidRDefault="00EB7AD7" w:rsidP="001E3DCC">
      <w:pPr>
        <w:keepNext/>
        <w:spacing w:after="0" w:line="240" w:lineRule="auto"/>
        <w:jc w:val="both"/>
        <w:rPr>
          <w:rFonts w:ascii="Garamond" w:eastAsia="Calibri" w:hAnsi="Garamond" w:cs="Times New Roman"/>
          <w:b/>
          <w:bCs/>
          <w:i/>
          <w:iCs/>
          <w:sz w:val="20"/>
          <w:szCs w:val="20"/>
          <w:lang w:val="es-AR"/>
        </w:rPr>
      </w:pPr>
      <w:r w:rsidRPr="00CA3A3D">
        <w:rPr>
          <w:rFonts w:ascii="Garamond" w:eastAsia="Calibri" w:hAnsi="Garamond" w:cs="Times New Roman"/>
          <w:b/>
          <w:bCs/>
          <w:i/>
          <w:iCs/>
          <w:sz w:val="20"/>
          <w:szCs w:val="20"/>
          <w:lang w:val="es-AR"/>
        </w:rPr>
        <w:lastRenderedPageBreak/>
        <w:t>Los compromisos incluidos en el Contrato de Fideicomiso pueden no brindar a los tenedores de las Obligaciones Negociables Clase II protección contra algunos actos de las Compañías, incluyendo, por ejemplo, la realización de inversiones en negocios similares</w:t>
      </w:r>
      <w:r w:rsidR="007D751C" w:rsidRPr="00CA3A3D">
        <w:rPr>
          <w:rFonts w:ascii="Garamond" w:eastAsia="Calibri" w:hAnsi="Garamond" w:cs="Times New Roman"/>
          <w:b/>
          <w:bCs/>
          <w:i/>
          <w:iCs/>
          <w:sz w:val="20"/>
          <w:szCs w:val="20"/>
          <w:lang w:val="es-AR"/>
        </w:rPr>
        <w:t>.</w:t>
      </w:r>
    </w:p>
    <w:p w14:paraId="0C7D08AC" w14:textId="77777777" w:rsidR="00EB7AD7" w:rsidRPr="00CA3A3D" w:rsidRDefault="00EB7AD7" w:rsidP="001E3DCC">
      <w:pPr>
        <w:keepNext/>
        <w:spacing w:after="0" w:line="240" w:lineRule="auto"/>
        <w:jc w:val="both"/>
        <w:rPr>
          <w:rFonts w:ascii="Garamond" w:eastAsia="Calibri" w:hAnsi="Garamond" w:cs="Times New Roman"/>
          <w:sz w:val="20"/>
          <w:szCs w:val="20"/>
          <w:lang w:val="es-AR" w:eastAsia="x-none"/>
        </w:rPr>
      </w:pPr>
    </w:p>
    <w:p w14:paraId="3704D3AB" w14:textId="77777777" w:rsidR="00EB7AD7" w:rsidRPr="00CA3A3D" w:rsidRDefault="00EB7AD7" w:rsidP="001E3DCC">
      <w:pPr>
        <w:keepNext/>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Si bien el compromiso detallado en la Sección “</w:t>
      </w:r>
      <w:r w:rsidRPr="00CA3A3D">
        <w:rPr>
          <w:rFonts w:ascii="Garamond" w:eastAsia="Calibri" w:hAnsi="Garamond" w:cs="Times New Roman"/>
          <w:i/>
          <w:sz w:val="20"/>
          <w:szCs w:val="20"/>
          <w:lang w:val="es-AR"/>
        </w:rPr>
        <w:t>Descripción de la Oferta y la Negociación – Descripción de las Obligaciones Negociables – Ciertos Compromisos</w:t>
      </w:r>
      <w:r w:rsidRPr="00CA3A3D">
        <w:rPr>
          <w:rFonts w:ascii="Garamond" w:eastAsia="Calibri" w:hAnsi="Garamond" w:cs="Times New Roman"/>
          <w:sz w:val="20"/>
          <w:szCs w:val="20"/>
          <w:lang w:val="es-AR"/>
        </w:rPr>
        <w:t>” del presente Suplemento, impide ciertas Inversiones (tal como se las define en dicha sección), no impedirá a las Compañías realizar inversiones ilimitadas en negocios similares, que pueden incluir una amplia gama de actividades, incluyendo cualquier actividad complementaria con la indicada en el objeto social de las Co-Emisoras, que puede cambiar. Los tenedores de las Obligaciones Negociables Clase II deben tener en cuenta esta flexibilidad concedida a las Compañías al tomar su decisión de inversión, ya que el ejercicio de la misma podría tener un impacto sobre la disponibilidad de ciertos activos y fondos para cumplir con las obligaciones de pago de las Obligaciones Negociables Clase II.</w:t>
      </w:r>
    </w:p>
    <w:p w14:paraId="37A31054" w14:textId="77777777" w:rsidR="00EB7AD7" w:rsidRPr="00CA3A3D" w:rsidRDefault="00EB7AD7" w:rsidP="001E3DCC">
      <w:pPr>
        <w:spacing w:after="0" w:line="240" w:lineRule="auto"/>
        <w:jc w:val="both"/>
        <w:rPr>
          <w:rFonts w:ascii="Garamond" w:eastAsia="Calibri" w:hAnsi="Garamond" w:cs="Times New Roman"/>
          <w:sz w:val="20"/>
          <w:szCs w:val="20"/>
          <w:lang w:val="es-AR"/>
        </w:rPr>
      </w:pPr>
    </w:p>
    <w:p w14:paraId="49959EFE" w14:textId="55084588" w:rsidR="00EB7AD7" w:rsidRPr="00CA3A3D" w:rsidRDefault="00EB7AD7" w:rsidP="001E3DCC">
      <w:pPr>
        <w:keepNext/>
        <w:spacing w:after="0" w:line="240" w:lineRule="auto"/>
        <w:jc w:val="both"/>
        <w:rPr>
          <w:rFonts w:ascii="Garamond" w:eastAsia="Calibri" w:hAnsi="Garamond" w:cs="Times New Roman"/>
          <w:b/>
          <w:i/>
          <w:sz w:val="20"/>
          <w:szCs w:val="20"/>
          <w:lang w:val="es-AR"/>
        </w:rPr>
      </w:pPr>
      <w:r w:rsidRPr="00CA3A3D">
        <w:rPr>
          <w:rFonts w:ascii="Garamond" w:eastAsia="Calibri" w:hAnsi="Garamond" w:cs="Times New Roman"/>
          <w:b/>
          <w:i/>
          <w:sz w:val="20"/>
          <w:szCs w:val="20"/>
          <w:lang w:val="es-AR"/>
        </w:rPr>
        <w:t xml:space="preserve">Las Compañías no pueden asegurar que las calificaciones crediticias correspondientes a las Obligaciones Negociables </w:t>
      </w:r>
      <w:r w:rsidRPr="00CA3A3D">
        <w:rPr>
          <w:rFonts w:ascii="Garamond" w:eastAsia="Calibri" w:hAnsi="Garamond" w:cs="Times New Roman"/>
          <w:b/>
          <w:i/>
          <w:sz w:val="20"/>
          <w:szCs w:val="20"/>
          <w:lang w:val="es-AR" w:eastAsia="es-AR"/>
        </w:rPr>
        <w:t xml:space="preserve">Clase II </w:t>
      </w:r>
      <w:r w:rsidRPr="00CA3A3D">
        <w:rPr>
          <w:rFonts w:ascii="Garamond" w:eastAsia="Calibri" w:hAnsi="Garamond" w:cs="Times New Roman"/>
          <w:b/>
          <w:i/>
          <w:sz w:val="20"/>
          <w:szCs w:val="20"/>
          <w:lang w:val="es-AR"/>
        </w:rPr>
        <w:t>no serán reducidas, suspendidas ni retiradas por las calificadoras</w:t>
      </w:r>
      <w:r w:rsidR="007D751C" w:rsidRPr="00CA3A3D">
        <w:rPr>
          <w:rFonts w:ascii="Garamond" w:eastAsia="Calibri" w:hAnsi="Garamond" w:cs="Times New Roman"/>
          <w:b/>
          <w:i/>
          <w:sz w:val="20"/>
          <w:szCs w:val="20"/>
          <w:lang w:val="es-AR"/>
        </w:rPr>
        <w:t>.</w:t>
      </w:r>
    </w:p>
    <w:p w14:paraId="729FDF28" w14:textId="77777777" w:rsidR="00A76779" w:rsidRPr="00CA3A3D" w:rsidRDefault="00A76779" w:rsidP="001E3DCC">
      <w:pPr>
        <w:keepNext/>
        <w:spacing w:after="0" w:line="240" w:lineRule="auto"/>
        <w:jc w:val="both"/>
        <w:rPr>
          <w:rFonts w:ascii="Garamond" w:eastAsia="Calibri" w:hAnsi="Garamond" w:cs="Times New Roman"/>
          <w:b/>
          <w:i/>
          <w:sz w:val="20"/>
          <w:szCs w:val="20"/>
          <w:lang w:val="es-AR"/>
        </w:rPr>
      </w:pPr>
    </w:p>
    <w:p w14:paraId="29BF76FF" w14:textId="13D19598" w:rsidR="00EB7AD7" w:rsidRPr="00CA3A3D" w:rsidRDefault="00EB7AD7" w:rsidP="001E3DCC">
      <w:pPr>
        <w:keepNext/>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La calificaci</w:t>
      </w:r>
      <w:r w:rsidR="00632C54" w:rsidRPr="00CA3A3D">
        <w:rPr>
          <w:rFonts w:ascii="Garamond" w:eastAsia="Calibri" w:hAnsi="Garamond" w:cs="Times New Roman"/>
          <w:sz w:val="20"/>
          <w:szCs w:val="20"/>
          <w:lang w:val="es-AR"/>
        </w:rPr>
        <w:t>ón</w:t>
      </w:r>
      <w:r w:rsidRPr="00CA3A3D">
        <w:rPr>
          <w:rFonts w:ascii="Garamond" w:eastAsia="Calibri" w:hAnsi="Garamond" w:cs="Times New Roman"/>
          <w:sz w:val="20"/>
          <w:szCs w:val="20"/>
          <w:lang w:val="es-AR"/>
        </w:rPr>
        <w:t xml:space="preserve"> crediticia de las Obligaciones Negociables Clase II</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puede cambiar luego de la emisión. Dicha calificaci</w:t>
      </w:r>
      <w:r w:rsidR="00632C54" w:rsidRPr="00CA3A3D">
        <w:rPr>
          <w:rFonts w:ascii="Garamond" w:eastAsia="Calibri" w:hAnsi="Garamond" w:cs="Times New Roman"/>
          <w:sz w:val="20"/>
          <w:szCs w:val="20"/>
          <w:lang w:val="es-AR"/>
        </w:rPr>
        <w:t>ó</w:t>
      </w:r>
      <w:r w:rsidRPr="00CA3A3D">
        <w:rPr>
          <w:rFonts w:ascii="Garamond" w:eastAsia="Calibri" w:hAnsi="Garamond" w:cs="Times New Roman"/>
          <w:sz w:val="20"/>
          <w:szCs w:val="20"/>
          <w:lang w:val="es-AR"/>
        </w:rPr>
        <w:t>n se encuentra limitada en cuanto a su alcance y no aborda ninguno de los riesgos significativos relacionados con una inversión en las Obligaciones Negociables Clase II, sino que más bien refleja solamente las opiniones de la calificadora al momento de emitirse la calificaci</w:t>
      </w:r>
      <w:r w:rsidR="00632C54" w:rsidRPr="00CA3A3D">
        <w:rPr>
          <w:rFonts w:ascii="Garamond" w:eastAsia="Calibri" w:hAnsi="Garamond" w:cs="Times New Roman"/>
          <w:sz w:val="20"/>
          <w:szCs w:val="20"/>
          <w:lang w:val="es-AR"/>
        </w:rPr>
        <w:t>ón</w:t>
      </w:r>
      <w:r w:rsidRPr="00CA3A3D">
        <w:rPr>
          <w:rFonts w:ascii="Garamond" w:eastAsia="Calibri" w:hAnsi="Garamond" w:cs="Times New Roman"/>
          <w:sz w:val="20"/>
          <w:szCs w:val="20"/>
          <w:lang w:val="es-AR"/>
        </w:rPr>
        <w:t>. Además, los métodos de asignación de calificaciones utilizados por la calificadora de Argentina pueden diferir en cuanto a aspectos importantes de aquellos utilizados por las calificadoras en los Estados Unidos u otros países. La calificaci</w:t>
      </w:r>
      <w:r w:rsidR="00632C54" w:rsidRPr="00CA3A3D">
        <w:rPr>
          <w:rFonts w:ascii="Garamond" w:eastAsia="Calibri" w:hAnsi="Garamond" w:cs="Times New Roman"/>
          <w:sz w:val="20"/>
          <w:szCs w:val="20"/>
          <w:lang w:val="es-AR"/>
        </w:rPr>
        <w:t>ón</w:t>
      </w:r>
      <w:r w:rsidRPr="00CA3A3D">
        <w:rPr>
          <w:rFonts w:ascii="Garamond" w:eastAsia="Calibri" w:hAnsi="Garamond" w:cs="Times New Roman"/>
          <w:sz w:val="20"/>
          <w:szCs w:val="20"/>
          <w:lang w:val="es-AR"/>
        </w:rPr>
        <w:t xml:space="preserve"> de las Obligaciones Negociables Clase II</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no constituye una recomendación de compra, venta o tenencia de las Obligaciones Negociables</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Clase II y la calificaci</w:t>
      </w:r>
      <w:r w:rsidR="00632C54" w:rsidRPr="00CA3A3D">
        <w:rPr>
          <w:rFonts w:ascii="Garamond" w:eastAsia="Calibri" w:hAnsi="Garamond" w:cs="Times New Roman"/>
          <w:sz w:val="20"/>
          <w:szCs w:val="20"/>
          <w:lang w:val="es-AR"/>
        </w:rPr>
        <w:t>ón</w:t>
      </w:r>
      <w:r w:rsidRPr="00CA3A3D">
        <w:rPr>
          <w:rFonts w:ascii="Garamond" w:eastAsia="Calibri" w:hAnsi="Garamond" w:cs="Times New Roman"/>
          <w:sz w:val="20"/>
          <w:szCs w:val="20"/>
          <w:lang w:val="es-AR"/>
        </w:rPr>
        <w:t xml:space="preserve"> no contiene comentarios acerca de los precios de mercado o adecuación para un inversor en particular. Una explicación de la importancia de dicha calificaci</w:t>
      </w:r>
      <w:r w:rsidR="00632C54" w:rsidRPr="00CA3A3D">
        <w:rPr>
          <w:rFonts w:ascii="Garamond" w:eastAsia="Calibri" w:hAnsi="Garamond" w:cs="Times New Roman"/>
          <w:sz w:val="20"/>
          <w:szCs w:val="20"/>
          <w:lang w:val="es-AR"/>
        </w:rPr>
        <w:t>ó</w:t>
      </w:r>
      <w:r w:rsidRPr="00CA3A3D">
        <w:rPr>
          <w:rFonts w:ascii="Garamond" w:eastAsia="Calibri" w:hAnsi="Garamond" w:cs="Times New Roman"/>
          <w:sz w:val="20"/>
          <w:szCs w:val="20"/>
          <w:lang w:val="es-AR"/>
        </w:rPr>
        <w:t xml:space="preserve">n puede obtenerse de las calificadoras. Las Compañías no pueden asegurar que </w:t>
      </w:r>
      <w:r w:rsidR="00632C54" w:rsidRPr="00CA3A3D">
        <w:rPr>
          <w:rFonts w:ascii="Garamond" w:eastAsia="Calibri" w:hAnsi="Garamond" w:cs="Times New Roman"/>
          <w:sz w:val="20"/>
          <w:szCs w:val="20"/>
          <w:lang w:val="es-AR"/>
        </w:rPr>
        <w:t xml:space="preserve">la </w:t>
      </w:r>
      <w:r w:rsidRPr="00CA3A3D">
        <w:rPr>
          <w:rFonts w:ascii="Garamond" w:eastAsia="Calibri" w:hAnsi="Garamond" w:cs="Times New Roman"/>
          <w:sz w:val="20"/>
          <w:szCs w:val="20"/>
          <w:lang w:val="es-AR"/>
        </w:rPr>
        <w:t>calificaci</w:t>
      </w:r>
      <w:r w:rsidR="00632C54" w:rsidRPr="00CA3A3D">
        <w:rPr>
          <w:rFonts w:ascii="Garamond" w:eastAsia="Calibri" w:hAnsi="Garamond" w:cs="Times New Roman"/>
          <w:sz w:val="20"/>
          <w:szCs w:val="20"/>
          <w:lang w:val="es-AR"/>
        </w:rPr>
        <w:t>ón</w:t>
      </w:r>
      <w:r w:rsidRPr="00CA3A3D">
        <w:rPr>
          <w:rFonts w:ascii="Garamond" w:eastAsia="Calibri" w:hAnsi="Garamond" w:cs="Times New Roman"/>
          <w:sz w:val="20"/>
          <w:szCs w:val="20"/>
          <w:lang w:val="es-AR"/>
        </w:rPr>
        <w:t xml:space="preserve"> crediticia permanecerá en vigencia respecto de cualquier plazo determinado o que dicha calificaci</w:t>
      </w:r>
      <w:r w:rsidR="00632C54" w:rsidRPr="00CA3A3D">
        <w:rPr>
          <w:rFonts w:ascii="Garamond" w:eastAsia="Calibri" w:hAnsi="Garamond" w:cs="Times New Roman"/>
          <w:sz w:val="20"/>
          <w:szCs w:val="20"/>
          <w:lang w:val="es-AR"/>
        </w:rPr>
        <w:t>ón</w:t>
      </w:r>
      <w:r w:rsidRPr="00CA3A3D">
        <w:rPr>
          <w:rFonts w:ascii="Garamond" w:eastAsia="Calibri" w:hAnsi="Garamond" w:cs="Times New Roman"/>
          <w:sz w:val="20"/>
          <w:szCs w:val="20"/>
          <w:lang w:val="es-AR"/>
        </w:rPr>
        <w:t xml:space="preserve"> no será disminuida, suspendida ni retirada en su totalidad por la calificadora, si, a criterio de dicha calificadora, las circunstancias así lo garantizaran. Cualquier disminución, suspensión o retiro de </w:t>
      </w:r>
      <w:r w:rsidR="00632C54" w:rsidRPr="00CA3A3D">
        <w:rPr>
          <w:rFonts w:ascii="Garamond" w:eastAsia="Calibri" w:hAnsi="Garamond" w:cs="Times New Roman"/>
          <w:sz w:val="20"/>
          <w:szCs w:val="20"/>
          <w:lang w:val="es-AR"/>
        </w:rPr>
        <w:t xml:space="preserve">la </w:t>
      </w:r>
      <w:r w:rsidRPr="00CA3A3D">
        <w:rPr>
          <w:rFonts w:ascii="Garamond" w:eastAsia="Calibri" w:hAnsi="Garamond" w:cs="Times New Roman"/>
          <w:sz w:val="20"/>
          <w:szCs w:val="20"/>
          <w:lang w:val="es-AR"/>
        </w:rPr>
        <w:t>calificaci</w:t>
      </w:r>
      <w:r w:rsidR="00632C54" w:rsidRPr="00CA3A3D">
        <w:rPr>
          <w:rFonts w:ascii="Garamond" w:eastAsia="Calibri" w:hAnsi="Garamond" w:cs="Times New Roman"/>
          <w:sz w:val="20"/>
          <w:szCs w:val="20"/>
          <w:lang w:val="es-AR"/>
        </w:rPr>
        <w:t>ón</w:t>
      </w:r>
      <w:r w:rsidRPr="00CA3A3D">
        <w:rPr>
          <w:rFonts w:ascii="Garamond" w:eastAsia="Calibri" w:hAnsi="Garamond" w:cs="Times New Roman"/>
          <w:sz w:val="20"/>
          <w:szCs w:val="20"/>
          <w:lang w:val="es-AR"/>
        </w:rPr>
        <w:t xml:space="preserve"> podrá tener un efecto adverso en el precio de mercado y en la aptitud de comercialización de las Obligaciones Negociables</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Clase II.</w:t>
      </w:r>
    </w:p>
    <w:p w14:paraId="7DC8C081" w14:textId="77777777" w:rsidR="00A95F13" w:rsidRPr="00CA3A3D" w:rsidRDefault="00A95F13" w:rsidP="001E3DCC">
      <w:pPr>
        <w:keepNext/>
        <w:spacing w:after="0" w:line="240" w:lineRule="auto"/>
        <w:jc w:val="both"/>
        <w:rPr>
          <w:rFonts w:ascii="Garamond" w:eastAsia="Calibri" w:hAnsi="Garamond" w:cs="Times New Roman"/>
          <w:sz w:val="20"/>
          <w:szCs w:val="20"/>
          <w:lang w:val="es-AR"/>
        </w:rPr>
      </w:pPr>
    </w:p>
    <w:p w14:paraId="6496066C" w14:textId="77777777" w:rsidR="00EB7AD7" w:rsidRDefault="00EB7AD7" w:rsidP="001E3DCC">
      <w:pPr>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Los acontecimientos negativos en el negocio, condición financiera y resultados de operaciones u otros factores de las Compañías pueden causar que la calificadora disminuya la calificaci</w:t>
      </w:r>
      <w:r w:rsidR="009C5ED2" w:rsidRPr="00CA3A3D">
        <w:rPr>
          <w:rFonts w:ascii="Garamond" w:eastAsia="Calibri" w:hAnsi="Garamond" w:cs="Times New Roman"/>
          <w:sz w:val="20"/>
          <w:szCs w:val="20"/>
          <w:lang w:val="es-AR"/>
        </w:rPr>
        <w:t>ó</w:t>
      </w:r>
      <w:r w:rsidRPr="00CA3A3D">
        <w:rPr>
          <w:rFonts w:ascii="Garamond" w:eastAsia="Calibri" w:hAnsi="Garamond" w:cs="Times New Roman"/>
          <w:sz w:val="20"/>
          <w:szCs w:val="20"/>
          <w:lang w:val="es-AR"/>
        </w:rPr>
        <w:t>n crediticia o panorama de calificaciones de su deuda a corto y a largo plazo, lo que puede afectar la capacidad de las Compañías de obtener nuevo financiamiento o de refinanciar sus préstamos corrientes y aumentar sus costos de emisión de nuevos instrumentos de deuda. Cualquiera de estos factores podría afectar negativamente el negocio de las Compañías.</w:t>
      </w:r>
    </w:p>
    <w:p w14:paraId="33BA4722" w14:textId="77777777" w:rsidR="00851300" w:rsidRDefault="00851300" w:rsidP="001E3DCC">
      <w:pPr>
        <w:spacing w:after="0" w:line="240" w:lineRule="auto"/>
        <w:jc w:val="both"/>
        <w:rPr>
          <w:rFonts w:ascii="Garamond" w:eastAsia="Calibri" w:hAnsi="Garamond" w:cs="Times New Roman"/>
          <w:sz w:val="20"/>
          <w:szCs w:val="20"/>
          <w:lang w:val="es-AR"/>
        </w:rPr>
      </w:pPr>
    </w:p>
    <w:p w14:paraId="5CD115F1" w14:textId="0DA09318" w:rsidR="00851300" w:rsidRDefault="00851300" w:rsidP="00851300">
      <w:pPr>
        <w:spacing w:after="0" w:line="240" w:lineRule="auto"/>
        <w:jc w:val="both"/>
        <w:rPr>
          <w:rFonts w:ascii="Garamond" w:eastAsia="Calibri" w:hAnsi="Garamond" w:cs="Times New Roman"/>
          <w:b/>
          <w:i/>
          <w:sz w:val="20"/>
          <w:szCs w:val="20"/>
        </w:rPr>
      </w:pPr>
      <w:r w:rsidRPr="00EB7AD7">
        <w:rPr>
          <w:rFonts w:ascii="Garamond" w:eastAsia="Calibri" w:hAnsi="Garamond" w:cs="Times New Roman"/>
          <w:b/>
          <w:i/>
          <w:sz w:val="20"/>
          <w:szCs w:val="20"/>
        </w:rPr>
        <w:t xml:space="preserve">Las Compañías no pueden asegurar que puedan recomprar las Obligaciones Negociables </w:t>
      </w:r>
      <w:r w:rsidRPr="00EB7AD7">
        <w:rPr>
          <w:rFonts w:ascii="Garamond" w:eastAsia="Calibri" w:hAnsi="Garamond" w:cs="Times New Roman"/>
          <w:b/>
          <w:i/>
          <w:snapToGrid w:val="0"/>
          <w:sz w:val="20"/>
          <w:szCs w:val="20"/>
        </w:rPr>
        <w:t xml:space="preserve">Clase II </w:t>
      </w:r>
      <w:r w:rsidRPr="00EB7AD7">
        <w:rPr>
          <w:rFonts w:ascii="Garamond" w:eastAsia="Calibri" w:hAnsi="Garamond" w:cs="Times New Roman"/>
          <w:b/>
          <w:i/>
          <w:sz w:val="20"/>
          <w:szCs w:val="20"/>
        </w:rPr>
        <w:t>a</w:t>
      </w:r>
      <w:r>
        <w:rPr>
          <w:rFonts w:ascii="Garamond" w:eastAsia="Calibri" w:hAnsi="Garamond" w:cs="Times New Roman"/>
          <w:b/>
          <w:i/>
          <w:sz w:val="20"/>
          <w:szCs w:val="20"/>
        </w:rPr>
        <w:t xml:space="preserve">nte un supuesto de recompra ante el acaecimiento de un </w:t>
      </w:r>
      <w:r w:rsidRPr="00851300">
        <w:rPr>
          <w:rFonts w:ascii="Garamond" w:eastAsia="Calibri" w:hAnsi="Garamond" w:cs="Times New Roman"/>
          <w:b/>
          <w:i/>
          <w:sz w:val="20"/>
          <w:szCs w:val="20"/>
        </w:rPr>
        <w:t>Supuesto de Pérdida, Expropiación o Venta de Activos</w:t>
      </w:r>
      <w:r>
        <w:rPr>
          <w:rFonts w:ascii="Garamond" w:eastAsia="Calibri" w:hAnsi="Garamond" w:cs="Times New Roman"/>
          <w:b/>
          <w:i/>
          <w:sz w:val="20"/>
          <w:szCs w:val="20"/>
        </w:rPr>
        <w:t>.</w:t>
      </w:r>
    </w:p>
    <w:p w14:paraId="5C43B34A" w14:textId="77777777" w:rsidR="00851300" w:rsidRPr="00EB7AD7" w:rsidRDefault="00851300" w:rsidP="00851300">
      <w:pPr>
        <w:spacing w:after="0" w:line="240" w:lineRule="auto"/>
        <w:jc w:val="both"/>
        <w:rPr>
          <w:rFonts w:ascii="Garamond" w:eastAsia="Calibri" w:hAnsi="Garamond" w:cs="Times New Roman"/>
          <w:b/>
          <w:i/>
          <w:sz w:val="20"/>
          <w:szCs w:val="20"/>
        </w:rPr>
      </w:pPr>
    </w:p>
    <w:p w14:paraId="2C41F793" w14:textId="6A64B17F" w:rsidR="00851300" w:rsidRPr="00EB7AD7" w:rsidRDefault="00851300" w:rsidP="00851300">
      <w:pPr>
        <w:spacing w:after="0" w:line="240" w:lineRule="auto"/>
        <w:jc w:val="both"/>
        <w:rPr>
          <w:rFonts w:ascii="Garamond" w:eastAsia="Calibri" w:hAnsi="Garamond" w:cs="Times New Roman"/>
          <w:bCs/>
          <w:sz w:val="20"/>
          <w:szCs w:val="20"/>
        </w:rPr>
      </w:pPr>
      <w:r w:rsidRPr="00EB7AD7">
        <w:rPr>
          <w:rFonts w:ascii="Garamond" w:eastAsia="Calibri" w:hAnsi="Garamond" w:cs="Times New Roman"/>
          <w:sz w:val="20"/>
          <w:szCs w:val="20"/>
        </w:rPr>
        <w:t xml:space="preserve">Ante el acaecimiento de un </w:t>
      </w:r>
      <w:r w:rsidRPr="00851300">
        <w:rPr>
          <w:rFonts w:ascii="Garamond" w:eastAsia="Calibri" w:hAnsi="Garamond" w:cs="Times New Roman"/>
          <w:sz w:val="20"/>
          <w:szCs w:val="20"/>
        </w:rPr>
        <w:t>Supuesto de Pérdida, Expropiación o Venta de Activos</w:t>
      </w:r>
      <w:r w:rsidRPr="00EB7AD7">
        <w:rPr>
          <w:rFonts w:ascii="Garamond" w:eastAsia="Calibri" w:hAnsi="Garamond" w:cs="Times New Roman"/>
          <w:sz w:val="20"/>
          <w:szCs w:val="20"/>
        </w:rPr>
        <w:t xml:space="preserve">, conforme se define en </w:t>
      </w:r>
      <w:r w:rsidRPr="00851300">
        <w:rPr>
          <w:rFonts w:ascii="Garamond" w:eastAsia="Calibri" w:hAnsi="Garamond" w:cs="Times New Roman"/>
          <w:sz w:val="20"/>
          <w:szCs w:val="20"/>
          <w:lang w:val="es-AR"/>
        </w:rPr>
        <w:t>“</w:t>
      </w:r>
      <w:r w:rsidRPr="00851300">
        <w:rPr>
          <w:rFonts w:ascii="Garamond" w:eastAsia="Calibri" w:hAnsi="Garamond" w:cs="Times New Roman"/>
          <w:i/>
          <w:sz w:val="20"/>
          <w:szCs w:val="20"/>
          <w:lang w:val="es-AR"/>
        </w:rPr>
        <w:t>Descripción de la Oferta y la Negociación</w:t>
      </w:r>
      <w:r w:rsidRPr="00851300">
        <w:rPr>
          <w:rFonts w:ascii="Garamond" w:eastAsia="Calibri" w:hAnsi="Garamond" w:cs="Times New Roman"/>
          <w:sz w:val="20"/>
          <w:szCs w:val="20"/>
          <w:lang w:val="es-AR"/>
        </w:rPr>
        <w:t>—</w:t>
      </w:r>
      <w:r w:rsidRPr="00851300">
        <w:rPr>
          <w:rFonts w:ascii="Garamond" w:eastAsia="Calibri" w:hAnsi="Garamond" w:cs="Times New Roman"/>
          <w:i/>
          <w:sz w:val="20"/>
          <w:szCs w:val="20"/>
          <w:lang w:val="es-AR"/>
        </w:rPr>
        <w:t>Descripción de las Obligaciones Negociables</w:t>
      </w:r>
      <w:r w:rsidRPr="00851300">
        <w:rPr>
          <w:rFonts w:ascii="Garamond" w:eastAsia="Calibri" w:hAnsi="Garamond" w:cs="Times New Roman"/>
          <w:i/>
          <w:iCs/>
          <w:sz w:val="20"/>
          <w:szCs w:val="20"/>
          <w:lang w:val="es-AR"/>
        </w:rPr>
        <w:t xml:space="preserve"> </w:t>
      </w:r>
      <w:r w:rsidRPr="00851300">
        <w:rPr>
          <w:rFonts w:ascii="Garamond" w:eastAsia="Calibri" w:hAnsi="Garamond" w:cs="Times New Roman"/>
          <w:sz w:val="20"/>
          <w:szCs w:val="20"/>
          <w:lang w:val="es-AR"/>
        </w:rPr>
        <w:t>—</w:t>
      </w:r>
      <w:r w:rsidRPr="00851300">
        <w:rPr>
          <w:rFonts w:ascii="Garamond" w:eastAsia="Calibri" w:hAnsi="Garamond" w:cs="Times New Roman"/>
          <w:i/>
          <w:iCs/>
          <w:sz w:val="20"/>
          <w:szCs w:val="20"/>
          <w:lang w:val="es-AR"/>
        </w:rPr>
        <w:t xml:space="preserve"> </w:t>
      </w:r>
      <w:r w:rsidRPr="00851300">
        <w:rPr>
          <w:rFonts w:ascii="Garamond" w:eastAsia="Calibri" w:hAnsi="Garamond" w:cs="Times New Roman"/>
          <w:i/>
          <w:sz w:val="20"/>
          <w:szCs w:val="20"/>
          <w:lang w:val="es-AR"/>
        </w:rPr>
        <w:t>Supuesto de Pérdida, Expropiación o Venta de Activos</w:t>
      </w:r>
      <w:r w:rsidRPr="00851300">
        <w:rPr>
          <w:rFonts w:ascii="Garamond" w:eastAsia="Calibri" w:hAnsi="Garamond" w:cs="Times New Roman"/>
          <w:sz w:val="20"/>
          <w:szCs w:val="20"/>
          <w:lang w:val="es-AR"/>
        </w:rPr>
        <w:t>”</w:t>
      </w:r>
      <w:r w:rsidRPr="00EB7AD7">
        <w:rPr>
          <w:rFonts w:ascii="Garamond" w:eastAsia="Calibri" w:hAnsi="Garamond" w:cs="Times New Roman"/>
          <w:sz w:val="20"/>
          <w:szCs w:val="20"/>
        </w:rPr>
        <w:t>, es posible que los tenedores de las Obligaciones Negociables Clase II</w:t>
      </w:r>
      <w:r w:rsidRPr="00EB7AD7">
        <w:rPr>
          <w:rFonts w:ascii="Garamond" w:eastAsia="Calibri" w:hAnsi="Garamond" w:cs="Times New Roman"/>
          <w:snapToGrid w:val="0"/>
          <w:sz w:val="20"/>
          <w:szCs w:val="20"/>
        </w:rPr>
        <w:t xml:space="preserve"> </w:t>
      </w:r>
      <w:r w:rsidRPr="00EB7AD7">
        <w:rPr>
          <w:rFonts w:ascii="Garamond" w:eastAsia="Calibri" w:hAnsi="Garamond" w:cs="Times New Roman"/>
          <w:sz w:val="20"/>
          <w:szCs w:val="20"/>
        </w:rPr>
        <w:t>requieran a las Compañías ofrecer la recompra de la totalidad de las Obligaciones Negociables</w:t>
      </w:r>
      <w:r w:rsidRPr="00EB7AD7">
        <w:rPr>
          <w:rFonts w:ascii="Garamond" w:eastAsia="Calibri" w:hAnsi="Garamond" w:cs="Times New Roman"/>
          <w:snapToGrid w:val="0"/>
          <w:sz w:val="20"/>
          <w:szCs w:val="20"/>
        </w:rPr>
        <w:t xml:space="preserve"> </w:t>
      </w:r>
      <w:r w:rsidRPr="00EB7AD7">
        <w:rPr>
          <w:rFonts w:ascii="Garamond" w:eastAsia="Calibri" w:hAnsi="Garamond" w:cs="Times New Roman"/>
          <w:sz w:val="20"/>
          <w:szCs w:val="20"/>
        </w:rPr>
        <w:t>Clase II</w:t>
      </w:r>
      <w:r w:rsidRPr="00EB7AD7">
        <w:rPr>
          <w:rFonts w:ascii="Garamond" w:eastAsia="Calibri" w:hAnsi="Garamond" w:cs="Times New Roman"/>
          <w:snapToGrid w:val="0"/>
          <w:sz w:val="20"/>
          <w:szCs w:val="20"/>
        </w:rPr>
        <w:t xml:space="preserve"> </w:t>
      </w:r>
      <w:r w:rsidRPr="00EB7AD7">
        <w:rPr>
          <w:rFonts w:ascii="Garamond" w:eastAsia="Calibri" w:hAnsi="Garamond" w:cs="Times New Roman"/>
          <w:sz w:val="20"/>
          <w:szCs w:val="20"/>
        </w:rPr>
        <w:t xml:space="preserve">en circulación </w:t>
      </w:r>
      <w:r w:rsidRPr="00EB7AD7">
        <w:rPr>
          <w:rFonts w:ascii="Garamond" w:hAnsi="Garamond"/>
          <w:sz w:val="20"/>
          <w:szCs w:val="20"/>
          <w:lang w:val="es-ES_tradnl"/>
        </w:rPr>
        <w:t>a un precio de compra en efectivo equivalente al 100,0% del</w:t>
      </w:r>
      <w:r w:rsidRPr="00EB7AD7">
        <w:rPr>
          <w:rFonts w:ascii="Garamond" w:eastAsia="Calibri" w:hAnsi="Garamond" w:cs="Times New Roman"/>
          <w:sz w:val="20"/>
          <w:szCs w:val="20"/>
        </w:rPr>
        <w:t xml:space="preserve"> capital</w:t>
      </w:r>
      <w:r w:rsidRPr="00EB7AD7">
        <w:rPr>
          <w:rFonts w:ascii="Garamond" w:hAnsi="Garamond"/>
          <w:sz w:val="20"/>
          <w:szCs w:val="20"/>
          <w:lang w:val="es-ES_tradnl"/>
        </w:rPr>
        <w:t xml:space="preserve"> correspondiente</w:t>
      </w:r>
      <w:r>
        <w:rPr>
          <w:rFonts w:ascii="Garamond" w:hAnsi="Garamond"/>
          <w:sz w:val="20"/>
          <w:szCs w:val="20"/>
          <w:lang w:val="es-ES_tradnl"/>
        </w:rPr>
        <w:t xml:space="preserve"> o al precio de compra establecido en la sección </w:t>
      </w:r>
      <w:r>
        <w:rPr>
          <w:rFonts w:ascii="Garamond" w:hAnsi="Garamond"/>
          <w:i/>
          <w:sz w:val="20"/>
          <w:szCs w:val="20"/>
          <w:lang w:val="es-ES_tradnl"/>
        </w:rPr>
        <w:t>“Descripción de la Oferta y la Negociación”,</w:t>
      </w:r>
      <w:r>
        <w:rPr>
          <w:rFonts w:ascii="Garamond" w:hAnsi="Garamond"/>
          <w:sz w:val="20"/>
          <w:szCs w:val="20"/>
          <w:lang w:val="es-ES_tradnl"/>
        </w:rPr>
        <w:t xml:space="preserve"> según corresponda</w:t>
      </w:r>
      <w:r w:rsidRPr="00EB7AD7">
        <w:rPr>
          <w:rFonts w:ascii="Garamond" w:eastAsia="Calibri" w:hAnsi="Garamond" w:cs="Times New Roman"/>
          <w:sz w:val="20"/>
          <w:szCs w:val="20"/>
        </w:rPr>
        <w:t xml:space="preserve">, más </w:t>
      </w:r>
      <w:r w:rsidRPr="00EB7AD7">
        <w:rPr>
          <w:rFonts w:ascii="Garamond" w:hAnsi="Garamond"/>
          <w:sz w:val="20"/>
          <w:szCs w:val="20"/>
          <w:lang w:val="es-ES_tradnl"/>
        </w:rPr>
        <w:t>Montos Adicionales  e</w:t>
      </w:r>
      <w:r w:rsidRPr="00EB7AD7">
        <w:rPr>
          <w:rFonts w:ascii="Garamond" w:eastAsia="Calibri" w:hAnsi="Garamond" w:cs="Times New Roman"/>
          <w:sz w:val="20"/>
          <w:szCs w:val="20"/>
        </w:rPr>
        <w:t xml:space="preserve"> intereses devengados e impagos </w:t>
      </w:r>
      <w:r w:rsidRPr="00EB7AD7">
        <w:rPr>
          <w:rFonts w:ascii="Garamond" w:hAnsi="Garamond"/>
          <w:sz w:val="20"/>
          <w:szCs w:val="20"/>
          <w:lang w:val="es-ES_tradnl"/>
        </w:rPr>
        <w:t>correspondientes hasta</w:t>
      </w:r>
      <w:r w:rsidRPr="00EB7AD7">
        <w:rPr>
          <w:rFonts w:ascii="Garamond" w:eastAsia="Calibri" w:hAnsi="Garamond" w:cs="Times New Roman"/>
          <w:sz w:val="20"/>
          <w:szCs w:val="20"/>
        </w:rPr>
        <w:t xml:space="preserve"> la fecha de </w:t>
      </w:r>
      <w:r>
        <w:rPr>
          <w:rFonts w:ascii="Garamond" w:eastAsia="Calibri" w:hAnsi="Garamond" w:cs="Times New Roman"/>
          <w:sz w:val="20"/>
          <w:szCs w:val="20"/>
        </w:rPr>
        <w:t>re</w:t>
      </w:r>
      <w:r w:rsidRPr="00EB7AD7">
        <w:rPr>
          <w:rFonts w:ascii="Garamond" w:hAnsi="Garamond"/>
          <w:sz w:val="20"/>
          <w:szCs w:val="20"/>
          <w:lang w:val="es-ES_tradnl"/>
        </w:rPr>
        <w:t>compra exclusive</w:t>
      </w:r>
      <w:r w:rsidRPr="00EB7AD7">
        <w:rPr>
          <w:rFonts w:ascii="Garamond" w:eastAsia="Calibri" w:hAnsi="Garamond" w:cs="Times New Roman"/>
          <w:sz w:val="20"/>
          <w:szCs w:val="20"/>
        </w:rPr>
        <w:t>. Es posible que las Compañías no puedan recomprar las Obligaciones Negociables Clase II</w:t>
      </w:r>
      <w:r w:rsidRPr="00EB7AD7">
        <w:rPr>
          <w:rFonts w:ascii="Garamond" w:eastAsia="Calibri" w:hAnsi="Garamond" w:cs="Times New Roman"/>
          <w:snapToGrid w:val="0"/>
          <w:sz w:val="20"/>
          <w:szCs w:val="20"/>
        </w:rPr>
        <w:t xml:space="preserve"> </w:t>
      </w:r>
      <w:r w:rsidRPr="00EB7AD7">
        <w:rPr>
          <w:rFonts w:ascii="Garamond" w:eastAsia="Calibri" w:hAnsi="Garamond" w:cs="Times New Roman"/>
          <w:sz w:val="20"/>
          <w:szCs w:val="20"/>
        </w:rPr>
        <w:t xml:space="preserve">ante un </w:t>
      </w:r>
      <w:r w:rsidRPr="00851300">
        <w:rPr>
          <w:rFonts w:ascii="Garamond" w:eastAsia="Calibri" w:hAnsi="Garamond" w:cs="Times New Roman"/>
          <w:sz w:val="20"/>
          <w:szCs w:val="20"/>
        </w:rPr>
        <w:t>Supuesto de Pérdida, Expropiación o Venta de Activos</w:t>
      </w:r>
      <w:r>
        <w:rPr>
          <w:rFonts w:ascii="Garamond" w:eastAsia="Calibri" w:hAnsi="Garamond" w:cs="Times New Roman"/>
          <w:sz w:val="20"/>
          <w:szCs w:val="20"/>
        </w:rPr>
        <w:t>,</w:t>
      </w:r>
      <w:r w:rsidRPr="00EB7AD7">
        <w:rPr>
          <w:rFonts w:ascii="Garamond" w:eastAsia="Calibri" w:hAnsi="Garamond" w:cs="Times New Roman"/>
          <w:sz w:val="20"/>
          <w:szCs w:val="20"/>
        </w:rPr>
        <w:t xml:space="preserve"> ante la posibilidad de que no cuenten con recursos financieros suficientes para </w:t>
      </w:r>
      <w:r>
        <w:rPr>
          <w:rFonts w:ascii="Garamond" w:eastAsia="Calibri" w:hAnsi="Garamond" w:cs="Times New Roman"/>
          <w:sz w:val="20"/>
          <w:szCs w:val="20"/>
        </w:rPr>
        <w:t>re</w:t>
      </w:r>
      <w:r w:rsidRPr="00EB7AD7">
        <w:rPr>
          <w:rFonts w:ascii="Garamond" w:eastAsia="Calibri" w:hAnsi="Garamond" w:cs="Times New Roman"/>
          <w:sz w:val="20"/>
          <w:szCs w:val="20"/>
        </w:rPr>
        <w:t>comprar la totalidad de dichas Obligaciones Negociables Clase II</w:t>
      </w:r>
      <w:r w:rsidRPr="00EB7AD7">
        <w:rPr>
          <w:rFonts w:ascii="Garamond" w:eastAsia="Calibri" w:hAnsi="Garamond" w:cs="Times New Roman"/>
          <w:snapToGrid w:val="0"/>
          <w:sz w:val="20"/>
          <w:szCs w:val="20"/>
        </w:rPr>
        <w:t xml:space="preserve"> </w:t>
      </w:r>
      <w:r w:rsidRPr="00EB7AD7">
        <w:rPr>
          <w:rFonts w:ascii="Garamond" w:eastAsia="Calibri" w:hAnsi="Garamond" w:cs="Times New Roman"/>
          <w:sz w:val="20"/>
          <w:szCs w:val="20"/>
        </w:rPr>
        <w:t>que sean ofrecidas</w:t>
      </w:r>
      <w:r>
        <w:rPr>
          <w:rFonts w:ascii="Garamond" w:eastAsia="Calibri" w:hAnsi="Garamond" w:cs="Times New Roman"/>
          <w:sz w:val="20"/>
          <w:szCs w:val="20"/>
        </w:rPr>
        <w:t xml:space="preserve"> ante los eventos mencionados</w:t>
      </w:r>
      <w:r w:rsidRPr="00EB7AD7">
        <w:rPr>
          <w:rFonts w:ascii="Garamond" w:eastAsia="Calibri" w:hAnsi="Garamond" w:cs="Times New Roman"/>
          <w:sz w:val="20"/>
          <w:szCs w:val="20"/>
        </w:rPr>
        <w:t xml:space="preserve">. Para ver limitaciones a la recompra de obligaciones negociables distintas a las Obligaciones Negociables Clase II, por favor ver </w:t>
      </w:r>
      <w:r w:rsidRPr="00851300">
        <w:rPr>
          <w:rFonts w:ascii="Garamond" w:eastAsia="Calibri" w:hAnsi="Garamond" w:cs="Times New Roman"/>
          <w:sz w:val="20"/>
          <w:szCs w:val="20"/>
          <w:lang w:val="es-AR"/>
        </w:rPr>
        <w:t>“</w:t>
      </w:r>
      <w:r w:rsidRPr="00851300">
        <w:rPr>
          <w:rFonts w:ascii="Garamond" w:eastAsia="Calibri" w:hAnsi="Garamond" w:cs="Times New Roman"/>
          <w:i/>
          <w:sz w:val="20"/>
          <w:szCs w:val="20"/>
          <w:lang w:val="es-AR"/>
        </w:rPr>
        <w:t>Descripción de la Oferta y la Negociación</w:t>
      </w:r>
      <w:r w:rsidRPr="00851300">
        <w:rPr>
          <w:rFonts w:ascii="Garamond" w:eastAsia="Calibri" w:hAnsi="Garamond" w:cs="Times New Roman"/>
          <w:sz w:val="20"/>
          <w:szCs w:val="20"/>
          <w:lang w:val="es-AR"/>
        </w:rPr>
        <w:t>—</w:t>
      </w:r>
      <w:r w:rsidRPr="00851300">
        <w:rPr>
          <w:rFonts w:ascii="Garamond" w:eastAsia="Calibri" w:hAnsi="Garamond" w:cs="Times New Roman"/>
          <w:i/>
          <w:sz w:val="20"/>
          <w:szCs w:val="20"/>
          <w:lang w:val="es-AR"/>
        </w:rPr>
        <w:t>Descripción de las Obligaciones Negociables</w:t>
      </w:r>
      <w:r w:rsidRPr="00851300">
        <w:rPr>
          <w:rFonts w:ascii="Garamond" w:eastAsia="Calibri" w:hAnsi="Garamond" w:cs="Times New Roman"/>
          <w:i/>
          <w:iCs/>
          <w:sz w:val="20"/>
          <w:szCs w:val="20"/>
          <w:lang w:val="es-AR"/>
        </w:rPr>
        <w:t xml:space="preserve"> </w:t>
      </w:r>
      <w:r w:rsidRPr="00851300">
        <w:rPr>
          <w:rFonts w:ascii="Garamond" w:eastAsia="Calibri" w:hAnsi="Garamond" w:cs="Times New Roman"/>
          <w:sz w:val="20"/>
          <w:szCs w:val="20"/>
          <w:lang w:val="es-AR"/>
        </w:rPr>
        <w:t>—</w:t>
      </w:r>
      <w:r w:rsidRPr="00851300">
        <w:rPr>
          <w:rFonts w:ascii="Garamond" w:eastAsia="Calibri" w:hAnsi="Garamond" w:cs="Times New Roman"/>
          <w:i/>
          <w:iCs/>
          <w:sz w:val="20"/>
          <w:szCs w:val="20"/>
          <w:lang w:val="es-AR"/>
        </w:rPr>
        <w:t xml:space="preserve"> </w:t>
      </w:r>
      <w:r w:rsidRPr="00851300">
        <w:rPr>
          <w:rFonts w:ascii="Garamond" w:eastAsia="Calibri" w:hAnsi="Garamond" w:cs="Times New Roman"/>
          <w:i/>
          <w:sz w:val="20"/>
          <w:szCs w:val="20"/>
          <w:lang w:val="es-AR"/>
        </w:rPr>
        <w:t>Supuesto de Pérdida, Expropiación o Venta de Activos</w:t>
      </w:r>
      <w:r w:rsidRPr="00851300">
        <w:rPr>
          <w:rFonts w:ascii="Garamond" w:eastAsia="Calibri" w:hAnsi="Garamond" w:cs="Times New Roman"/>
          <w:sz w:val="20"/>
          <w:szCs w:val="20"/>
          <w:lang w:val="es-AR"/>
        </w:rPr>
        <w:t>”</w:t>
      </w:r>
      <w:r>
        <w:rPr>
          <w:rFonts w:ascii="Garamond" w:eastAsia="Calibri" w:hAnsi="Garamond" w:cs="Times New Roman"/>
          <w:sz w:val="20"/>
          <w:szCs w:val="20"/>
          <w:lang w:val="es-AR"/>
        </w:rPr>
        <w:t xml:space="preserve"> </w:t>
      </w:r>
      <w:r w:rsidRPr="00EB7AD7">
        <w:rPr>
          <w:rFonts w:ascii="Garamond" w:eastAsia="Calibri" w:hAnsi="Garamond" w:cs="Times New Roman"/>
          <w:bCs/>
          <w:sz w:val="20"/>
          <w:szCs w:val="20"/>
        </w:rPr>
        <w:t>en el presente Suplemento.</w:t>
      </w:r>
    </w:p>
    <w:p w14:paraId="0C47B76D" w14:textId="77777777" w:rsidR="00851300" w:rsidRPr="00CA3A3D" w:rsidRDefault="00851300" w:rsidP="001E3DCC">
      <w:pPr>
        <w:spacing w:after="0" w:line="240" w:lineRule="auto"/>
        <w:jc w:val="both"/>
        <w:rPr>
          <w:rFonts w:ascii="Garamond" w:eastAsia="Calibri" w:hAnsi="Garamond" w:cs="Times New Roman"/>
          <w:sz w:val="20"/>
          <w:szCs w:val="20"/>
          <w:lang w:val="es-AR"/>
        </w:rPr>
      </w:pPr>
    </w:p>
    <w:p w14:paraId="0477E574" w14:textId="77777777" w:rsidR="00EB7AD7" w:rsidRPr="00CA3A3D" w:rsidRDefault="00EB7AD7" w:rsidP="001E3DCC">
      <w:pPr>
        <w:spacing w:after="0" w:line="240" w:lineRule="auto"/>
        <w:jc w:val="both"/>
        <w:rPr>
          <w:rFonts w:ascii="Garamond" w:eastAsia="Calibri" w:hAnsi="Garamond" w:cs="Times New Roman"/>
          <w:sz w:val="20"/>
          <w:szCs w:val="20"/>
          <w:lang w:val="es-AR"/>
        </w:rPr>
      </w:pPr>
    </w:p>
    <w:p w14:paraId="7CAD5FDD" w14:textId="239D93D1" w:rsidR="00EB7AD7" w:rsidRPr="00CA3A3D" w:rsidRDefault="00EB7AD7" w:rsidP="001E3DCC">
      <w:pPr>
        <w:keepNext/>
        <w:spacing w:after="0" w:line="240" w:lineRule="auto"/>
        <w:jc w:val="both"/>
        <w:rPr>
          <w:rFonts w:ascii="Garamond" w:eastAsia="Calibri" w:hAnsi="Garamond" w:cs="Times New Roman"/>
          <w:b/>
          <w:i/>
          <w:sz w:val="20"/>
          <w:szCs w:val="20"/>
          <w:lang w:val="es-AR"/>
        </w:rPr>
      </w:pPr>
      <w:r w:rsidRPr="00CA3A3D">
        <w:rPr>
          <w:rFonts w:ascii="Garamond" w:eastAsia="Calibri" w:hAnsi="Garamond" w:cs="Times New Roman"/>
          <w:b/>
          <w:i/>
          <w:sz w:val="20"/>
          <w:szCs w:val="20"/>
          <w:lang w:val="es-AR"/>
        </w:rPr>
        <w:t>Las Compañías podrían rescatar las Obligaciones Negociables</w:t>
      </w:r>
      <w:r w:rsidRPr="00CA3A3D">
        <w:rPr>
          <w:rFonts w:ascii="Garamond" w:eastAsia="Calibri" w:hAnsi="Garamond" w:cs="Times New Roman"/>
          <w:sz w:val="20"/>
          <w:szCs w:val="20"/>
          <w:lang w:val="es-AR"/>
        </w:rPr>
        <w:t xml:space="preserve"> </w:t>
      </w:r>
      <w:r w:rsidR="00487DC7" w:rsidRPr="00CA3A3D">
        <w:rPr>
          <w:rFonts w:ascii="Garamond" w:eastAsia="Calibri" w:hAnsi="Garamond" w:cs="Times New Roman"/>
          <w:b/>
          <w:i/>
          <w:sz w:val="20"/>
          <w:szCs w:val="20"/>
          <w:lang w:val="es-AR" w:eastAsia="es-AR"/>
        </w:rPr>
        <w:t xml:space="preserve">Clase II </w:t>
      </w:r>
      <w:r w:rsidRPr="00CA3A3D">
        <w:rPr>
          <w:rFonts w:ascii="Garamond" w:eastAsia="Calibri" w:hAnsi="Garamond" w:cs="Times New Roman"/>
          <w:b/>
          <w:i/>
          <w:sz w:val="20"/>
          <w:szCs w:val="20"/>
          <w:lang w:val="es-AR"/>
        </w:rPr>
        <w:t>antes del vencimiento</w:t>
      </w:r>
      <w:r w:rsidR="007D751C" w:rsidRPr="00CA3A3D">
        <w:rPr>
          <w:rFonts w:ascii="Garamond" w:eastAsia="Calibri" w:hAnsi="Garamond" w:cs="Times New Roman"/>
          <w:b/>
          <w:i/>
          <w:sz w:val="20"/>
          <w:szCs w:val="20"/>
          <w:lang w:val="es-AR"/>
        </w:rPr>
        <w:t>.</w:t>
      </w:r>
    </w:p>
    <w:p w14:paraId="62D3F89E" w14:textId="77777777" w:rsidR="00A95F13" w:rsidRPr="00CA3A3D" w:rsidRDefault="00A95F13" w:rsidP="001E3DCC">
      <w:pPr>
        <w:keepNext/>
        <w:spacing w:after="0" w:line="240" w:lineRule="auto"/>
        <w:jc w:val="both"/>
        <w:rPr>
          <w:rFonts w:ascii="Garamond" w:eastAsia="Calibri" w:hAnsi="Garamond" w:cs="Times New Roman"/>
          <w:b/>
          <w:i/>
          <w:sz w:val="20"/>
          <w:szCs w:val="20"/>
          <w:lang w:val="es-AR"/>
        </w:rPr>
      </w:pPr>
    </w:p>
    <w:p w14:paraId="3CAC4E67" w14:textId="7F30D964" w:rsidR="00EB7AD7" w:rsidRPr="00CA3A3D" w:rsidRDefault="00EB7AD7" w:rsidP="001E3DCC">
      <w:pPr>
        <w:keepNext/>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Las Obligaciones Negociables</w:t>
      </w:r>
      <w:r w:rsidRPr="00CA3A3D">
        <w:rPr>
          <w:rFonts w:ascii="Garamond" w:eastAsia="Calibri" w:hAnsi="Garamond" w:cs="Times New Roman"/>
          <w:snapToGrid w:val="0"/>
          <w:sz w:val="20"/>
          <w:szCs w:val="20"/>
          <w:lang w:val="es-AR"/>
        </w:rPr>
        <w:t xml:space="preserve"> </w:t>
      </w:r>
      <w:r w:rsidRPr="00CA3A3D">
        <w:rPr>
          <w:rFonts w:ascii="Garamond" w:eastAsia="Calibri" w:hAnsi="Garamond" w:cs="Times New Roman"/>
          <w:sz w:val="20"/>
          <w:szCs w:val="20"/>
          <w:lang w:val="es-AR"/>
        </w:rPr>
        <w:t>Clase II son rescatables a opción de las Compañías bajo ciertas circunstancias que se encuentran especificadas en “</w:t>
      </w:r>
      <w:r w:rsidRPr="00CA3A3D">
        <w:rPr>
          <w:rFonts w:ascii="Garamond" w:hAnsi="Garamond"/>
          <w:i/>
          <w:sz w:val="20"/>
          <w:szCs w:val="20"/>
          <w:lang w:val="es-AR"/>
        </w:rPr>
        <w:t>Rescate Opcional</w:t>
      </w:r>
      <w:r w:rsidRPr="00CA3A3D">
        <w:rPr>
          <w:rFonts w:ascii="Garamond" w:eastAsia="Calibri" w:hAnsi="Garamond" w:cs="Times New Roman"/>
          <w:sz w:val="20"/>
          <w:szCs w:val="20"/>
          <w:lang w:val="es-AR"/>
        </w:rPr>
        <w:t xml:space="preserve">”. Las Compañías podrían optar por rescatar las Obligaciones Negociables Clase II en las oportunidades en las cuales las tasas de interés vigentes puedan ser relativamente bajas. En consecuencia, un inversor podría no estar en condiciones de reinvertir los fondos </w:t>
      </w:r>
      <w:r w:rsidRPr="00CA3A3D">
        <w:rPr>
          <w:rFonts w:ascii="Garamond" w:eastAsia="Calibri" w:hAnsi="Garamond" w:cs="Times New Roman"/>
          <w:sz w:val="20"/>
          <w:szCs w:val="20"/>
          <w:lang w:val="es-AR"/>
        </w:rPr>
        <w:lastRenderedPageBreak/>
        <w:t xml:space="preserve">provenientes del mismo en un título que devengue una tasa de interés efectiva similar a la de las Obligaciones Negociables Clase II. </w:t>
      </w:r>
    </w:p>
    <w:p w14:paraId="2780AF0D" w14:textId="77777777" w:rsidR="00EB7AD7" w:rsidRPr="00CA3A3D" w:rsidRDefault="00EB7AD7" w:rsidP="001E3DCC">
      <w:pPr>
        <w:spacing w:after="0" w:line="240" w:lineRule="auto"/>
        <w:jc w:val="both"/>
        <w:rPr>
          <w:rFonts w:ascii="Garamond" w:eastAsia="Calibri" w:hAnsi="Garamond" w:cs="Times New Roman"/>
          <w:sz w:val="20"/>
          <w:szCs w:val="20"/>
          <w:lang w:val="es-AR"/>
        </w:rPr>
      </w:pPr>
    </w:p>
    <w:p w14:paraId="2BC7C742" w14:textId="0E0066D1" w:rsidR="00EB7AD7" w:rsidRPr="00CA3A3D" w:rsidRDefault="00EB7AD7" w:rsidP="001E3DCC">
      <w:pPr>
        <w:spacing w:after="0" w:line="240" w:lineRule="auto"/>
        <w:jc w:val="both"/>
        <w:rPr>
          <w:rFonts w:ascii="Garamond" w:eastAsia="Calibri" w:hAnsi="Garamond" w:cs="Times New Roman"/>
          <w:b/>
          <w:i/>
          <w:sz w:val="20"/>
          <w:szCs w:val="20"/>
          <w:lang w:val="es-AR"/>
        </w:rPr>
      </w:pPr>
      <w:r w:rsidRPr="00CA3A3D">
        <w:rPr>
          <w:rFonts w:ascii="Garamond" w:eastAsia="Calibri" w:hAnsi="Garamond" w:cs="Times New Roman"/>
          <w:b/>
          <w:i/>
          <w:sz w:val="20"/>
          <w:szCs w:val="20"/>
          <w:lang w:val="es-AR"/>
        </w:rPr>
        <w:t>Los tenedores de Obligaciones Negociables</w:t>
      </w:r>
      <w:r w:rsidRPr="00CA3A3D">
        <w:rPr>
          <w:rFonts w:ascii="Garamond" w:eastAsia="Calibri" w:hAnsi="Garamond" w:cs="Times New Roman"/>
          <w:sz w:val="20"/>
          <w:szCs w:val="20"/>
          <w:lang w:val="es-AR"/>
        </w:rPr>
        <w:t xml:space="preserve"> </w:t>
      </w:r>
      <w:r w:rsidRPr="00CA3A3D">
        <w:rPr>
          <w:rFonts w:ascii="Garamond" w:eastAsia="Calibri" w:hAnsi="Garamond" w:cs="Times New Roman"/>
          <w:b/>
          <w:i/>
          <w:sz w:val="20"/>
          <w:szCs w:val="20"/>
          <w:lang w:val="es-AR" w:eastAsia="es-AR"/>
        </w:rPr>
        <w:t>Clase II</w:t>
      </w:r>
      <w:r w:rsidRPr="00CA3A3D">
        <w:rPr>
          <w:rFonts w:ascii="Garamond" w:eastAsia="Calibri" w:hAnsi="Garamond" w:cs="Times New Roman"/>
          <w:b/>
          <w:i/>
          <w:sz w:val="20"/>
          <w:szCs w:val="20"/>
          <w:lang w:val="es-AR"/>
        </w:rPr>
        <w:t xml:space="preserve"> pueden enfrentar dificultades para hacer valer la responsabilidad civil contra las Compañías o sus directores, funcionarios y partes controlantes</w:t>
      </w:r>
      <w:r w:rsidR="007D751C" w:rsidRPr="00CA3A3D">
        <w:rPr>
          <w:rFonts w:ascii="Garamond" w:eastAsia="Calibri" w:hAnsi="Garamond" w:cs="Times New Roman"/>
          <w:b/>
          <w:i/>
          <w:sz w:val="20"/>
          <w:szCs w:val="20"/>
          <w:lang w:val="es-AR"/>
        </w:rPr>
        <w:t>.</w:t>
      </w:r>
    </w:p>
    <w:p w14:paraId="46FC4A0D" w14:textId="77777777" w:rsidR="00A95F13" w:rsidRPr="00CA3A3D" w:rsidRDefault="00A95F13" w:rsidP="001E3DCC">
      <w:pPr>
        <w:spacing w:after="0" w:line="240" w:lineRule="auto"/>
        <w:jc w:val="both"/>
        <w:rPr>
          <w:rFonts w:ascii="Garamond" w:eastAsia="Calibri" w:hAnsi="Garamond" w:cs="Times New Roman"/>
          <w:b/>
          <w:i/>
          <w:sz w:val="20"/>
          <w:szCs w:val="20"/>
          <w:lang w:val="es-AR"/>
        </w:rPr>
      </w:pPr>
    </w:p>
    <w:p w14:paraId="472AF5B9" w14:textId="77777777" w:rsidR="00EB7AD7" w:rsidRPr="00CA3A3D" w:rsidRDefault="00EB7AD7" w:rsidP="001E3DCC">
      <w:pPr>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 xml:space="preserve">Las Compañías se encuentran constituidas bajo las leyes de Argentina y sus respectivas sedes sociales se encuentran en Argentina. La totalidad de sus directores, funcionarios y accionistas controlantes residen en Argentina. Asimismo, la totalidad o una parte significativa de sus activos y de los activos de sus directores, funcionarios y partes controlantes se encuentran ubicados en Argentina o en cualquier otro lugar fuera de los Estados Unidos. En consecuencia, puede ser difícil para los tenedores de títulos cursar notificaciones procesales dentro de los Estados Unidos a tales personas o hacer valer sentencias en su contra, incluyendo cualquier acción basada en responsabilidad civil bajo las leyes aplicables en materia de títulos a nivel federal de los Estados Unidos u otras leyes de títulos que no sean argentinas. No existe certeza jurídica respecto de la exigibilidad frente a dichas personas en Argentina, ya sea en acciones originales o en acciones tendientes a hacer valer sentencias de tribunales estadounidenses u otros tribunales no argentinos, de la responsabilidad basada solamente en leyes aplicables en materia de títulos a nivel federal de los Estados Unidos u otras leyes de títulos que no sean argentinas. La ejecución de las sentencias extranjeras sería reconocida y cumplida por los tribunales de Argentina siempre que se cumplan los requisitos establecidos por la ley argentina. </w:t>
      </w:r>
    </w:p>
    <w:p w14:paraId="4DC2ECC6" w14:textId="77777777" w:rsidR="00EB7AD7" w:rsidRPr="00CA3A3D" w:rsidRDefault="00EB7AD7" w:rsidP="001E3DCC">
      <w:pPr>
        <w:spacing w:after="0" w:line="240" w:lineRule="auto"/>
        <w:jc w:val="both"/>
        <w:rPr>
          <w:rFonts w:ascii="Garamond" w:eastAsia="Calibri" w:hAnsi="Garamond" w:cs="Times New Roman"/>
          <w:sz w:val="20"/>
          <w:szCs w:val="20"/>
          <w:lang w:val="es-AR"/>
        </w:rPr>
      </w:pPr>
    </w:p>
    <w:p w14:paraId="2D9ACA03" w14:textId="7A6BA0B0" w:rsidR="00EB7AD7" w:rsidRPr="00CA3A3D" w:rsidRDefault="00EB7AD7" w:rsidP="001E3DCC">
      <w:pPr>
        <w:keepNext/>
        <w:spacing w:after="0" w:line="240" w:lineRule="auto"/>
        <w:jc w:val="both"/>
        <w:rPr>
          <w:rFonts w:ascii="Garamond" w:eastAsia="Calibri" w:hAnsi="Garamond" w:cs="Times New Roman"/>
          <w:b/>
          <w:i/>
          <w:sz w:val="20"/>
          <w:szCs w:val="20"/>
          <w:lang w:val="es-AR"/>
        </w:rPr>
      </w:pPr>
      <w:r w:rsidRPr="00CA3A3D">
        <w:rPr>
          <w:rFonts w:ascii="Garamond" w:eastAsia="Calibri" w:hAnsi="Garamond" w:cs="Times New Roman"/>
          <w:b/>
          <w:i/>
          <w:sz w:val="20"/>
          <w:szCs w:val="20"/>
          <w:lang w:val="es-AR"/>
        </w:rPr>
        <w:t>La garantía personal de ASA podría tornarse inejecutable en caso de producirse el concurso preventivo o la quiebra del Garante</w:t>
      </w:r>
      <w:r w:rsidR="007D751C" w:rsidRPr="00CA3A3D">
        <w:rPr>
          <w:rFonts w:ascii="Garamond" w:eastAsia="Calibri" w:hAnsi="Garamond" w:cs="Times New Roman"/>
          <w:b/>
          <w:i/>
          <w:sz w:val="20"/>
          <w:szCs w:val="20"/>
          <w:lang w:val="es-AR"/>
        </w:rPr>
        <w:t>.</w:t>
      </w:r>
    </w:p>
    <w:p w14:paraId="79796693" w14:textId="77777777" w:rsidR="00A95F13" w:rsidRPr="00CA3A3D" w:rsidRDefault="00A95F13" w:rsidP="001E3DCC">
      <w:pPr>
        <w:keepNext/>
        <w:spacing w:after="0" w:line="240" w:lineRule="auto"/>
        <w:jc w:val="both"/>
        <w:rPr>
          <w:rFonts w:ascii="Garamond" w:eastAsia="Calibri" w:hAnsi="Garamond" w:cs="Times New Roman"/>
          <w:color w:val="000000"/>
          <w:sz w:val="20"/>
          <w:szCs w:val="20"/>
          <w:lang w:val="es-AR" w:eastAsia="x-none"/>
        </w:rPr>
      </w:pPr>
    </w:p>
    <w:p w14:paraId="37240714" w14:textId="7919C76A" w:rsidR="00EB7AD7" w:rsidRPr="00CA3A3D" w:rsidRDefault="00EB7AD7" w:rsidP="001E3DCC">
      <w:pPr>
        <w:keepNext/>
        <w:spacing w:after="0" w:line="240" w:lineRule="auto"/>
        <w:jc w:val="both"/>
        <w:rPr>
          <w:rFonts w:ascii="Garamond" w:eastAsia="Calibri" w:hAnsi="Garamond" w:cs="Times New Roman"/>
          <w:color w:val="000000"/>
          <w:sz w:val="20"/>
          <w:szCs w:val="20"/>
          <w:lang w:val="es-AR" w:eastAsia="x-none"/>
        </w:rPr>
      </w:pPr>
      <w:r w:rsidRPr="00CA3A3D">
        <w:rPr>
          <w:rFonts w:ascii="Garamond" w:eastAsia="Calibri" w:hAnsi="Garamond" w:cs="Times New Roman"/>
          <w:color w:val="000000"/>
          <w:sz w:val="20"/>
          <w:szCs w:val="20"/>
          <w:lang w:val="es-AR" w:eastAsia="x-none"/>
        </w:rPr>
        <w:t xml:space="preserve">Las Obligaciones Negociables </w:t>
      </w:r>
      <w:r w:rsidRPr="00CA3A3D">
        <w:rPr>
          <w:rFonts w:ascii="Garamond" w:eastAsia="Calibri" w:hAnsi="Garamond" w:cs="Times New Roman"/>
          <w:sz w:val="20"/>
          <w:szCs w:val="20"/>
          <w:lang w:val="es-AR"/>
        </w:rPr>
        <w:t>Clase II</w:t>
      </w:r>
      <w:r w:rsidRPr="00CA3A3D">
        <w:rPr>
          <w:rFonts w:ascii="Garamond" w:eastAsia="Calibri" w:hAnsi="Garamond" w:cs="Times New Roman"/>
          <w:color w:val="000000"/>
          <w:sz w:val="20"/>
          <w:szCs w:val="20"/>
          <w:lang w:val="es-AR" w:eastAsia="x-none"/>
        </w:rPr>
        <w:t xml:space="preserve"> serán </w:t>
      </w:r>
      <w:r w:rsidR="00D26420" w:rsidRPr="00CA3A3D">
        <w:rPr>
          <w:rFonts w:ascii="Garamond" w:eastAsia="Calibri" w:hAnsi="Garamond" w:cs="Times New Roman"/>
          <w:color w:val="000000"/>
          <w:sz w:val="20"/>
          <w:szCs w:val="20"/>
          <w:lang w:val="es-AR" w:eastAsia="x-none"/>
        </w:rPr>
        <w:t xml:space="preserve">afianzadas </w:t>
      </w:r>
      <w:r w:rsidRPr="00CA3A3D">
        <w:rPr>
          <w:rFonts w:ascii="Garamond" w:eastAsia="Calibri" w:hAnsi="Garamond" w:cs="Times New Roman"/>
          <w:color w:val="000000"/>
          <w:sz w:val="20"/>
          <w:szCs w:val="20"/>
          <w:lang w:val="es-AR" w:eastAsia="x-none"/>
        </w:rPr>
        <w:t>en su totalidad y en forma incondicional por Albanesi, una sociedad constituida en Argentina. En Argentina, las leyes no prohíben a las sociedades garantizar obligaciones de terceros, por lo que tampoco impiden que la garantía sea válida, vinculante y ejecutable respecto de Albanesi. Sin embargo, la validez y fuerza ejecutoria de una garantía en virtud de la Ley de Concursos y Quiebras, Ley N° 24.522 y sus modificatorias dependen de que el otorgamiento de dicha garantía responda a los intereses del garante y de que este reciba una compensación justa y suficiente por su emisión. En caso de que Albanesi comience un proceso de concurso preventivo o quiebra y la garantía haya sido otorgada dentro de los dos años anteriores a la declaración de quiebra, dicha garantía, podría ser anulada si un tribunal decide que Albanesi no recibió una compensación adecuada a cambio de ella. Es posible que un acreedor de Albanesi o su administrador, en caso de que esta se tornare insolvente, cuestionen la validez y fuerza ejecutoria de la garantía.</w:t>
      </w:r>
    </w:p>
    <w:p w14:paraId="47297C67" w14:textId="77777777" w:rsidR="00EB7AD7" w:rsidRPr="00CA3A3D" w:rsidRDefault="00EB7AD7" w:rsidP="001E3DCC">
      <w:pPr>
        <w:autoSpaceDE w:val="0"/>
        <w:autoSpaceDN w:val="0"/>
        <w:adjustRightInd w:val="0"/>
        <w:spacing w:after="0" w:line="240" w:lineRule="auto"/>
        <w:jc w:val="both"/>
        <w:rPr>
          <w:rFonts w:ascii="Garamond" w:eastAsia="Calibri" w:hAnsi="Garamond" w:cs="Times New Roman"/>
          <w:b/>
          <w:bCs/>
          <w:i/>
          <w:iCs/>
          <w:color w:val="000000"/>
          <w:sz w:val="20"/>
          <w:szCs w:val="20"/>
          <w:lang w:val="es-AR" w:eastAsia="x-none"/>
        </w:rPr>
      </w:pPr>
    </w:p>
    <w:p w14:paraId="0A851F87" w14:textId="1673FADD" w:rsidR="00EB7AD7" w:rsidRPr="00CA3A3D" w:rsidRDefault="00EB7AD7" w:rsidP="001E3DCC">
      <w:pPr>
        <w:spacing w:after="0" w:line="240" w:lineRule="auto"/>
        <w:jc w:val="both"/>
        <w:rPr>
          <w:rFonts w:ascii="Garamond" w:eastAsia="Calibri" w:hAnsi="Garamond" w:cs="Times New Roman"/>
          <w:b/>
          <w:bCs/>
          <w:i/>
          <w:iCs/>
          <w:color w:val="000000"/>
          <w:sz w:val="20"/>
          <w:szCs w:val="20"/>
          <w:lang w:val="es-AR" w:eastAsia="x-none"/>
        </w:rPr>
      </w:pPr>
      <w:r w:rsidRPr="00CA3A3D">
        <w:rPr>
          <w:rFonts w:ascii="Garamond" w:eastAsia="Calibri" w:hAnsi="Garamond" w:cs="Times New Roman"/>
          <w:b/>
          <w:bCs/>
          <w:i/>
          <w:iCs/>
          <w:color w:val="000000"/>
          <w:sz w:val="20"/>
          <w:szCs w:val="20"/>
          <w:lang w:val="es-AR" w:eastAsia="x-none"/>
        </w:rPr>
        <w:t>La ejecución de los bienes otorgados en garantía por las Compañías y la aplicación de los fondos obtenidos al pago de las Obligaciones Negociables Clase II podría ser difícil, o bien podría no ser suficiente para satisfacer los montos adeudados por las Obligaciones Negociables Clase II</w:t>
      </w:r>
      <w:r w:rsidR="007D751C" w:rsidRPr="00CA3A3D">
        <w:rPr>
          <w:rFonts w:ascii="Garamond" w:eastAsia="Calibri" w:hAnsi="Garamond" w:cs="Times New Roman"/>
          <w:b/>
          <w:bCs/>
          <w:i/>
          <w:iCs/>
          <w:color w:val="000000"/>
          <w:sz w:val="20"/>
          <w:szCs w:val="20"/>
          <w:lang w:val="es-AR" w:eastAsia="x-none"/>
        </w:rPr>
        <w:t>.</w:t>
      </w:r>
    </w:p>
    <w:p w14:paraId="048740F3" w14:textId="77777777" w:rsidR="00A95F13" w:rsidRPr="00CA3A3D" w:rsidRDefault="00A95F13" w:rsidP="001E3DCC">
      <w:pPr>
        <w:spacing w:after="0" w:line="240" w:lineRule="auto"/>
        <w:jc w:val="both"/>
        <w:rPr>
          <w:rFonts w:ascii="Garamond" w:eastAsia="Calibri" w:hAnsi="Garamond" w:cs="Times New Roman"/>
          <w:b/>
          <w:bCs/>
          <w:i/>
          <w:iCs/>
          <w:color w:val="000000"/>
          <w:sz w:val="20"/>
          <w:szCs w:val="20"/>
          <w:lang w:val="es-AR" w:eastAsia="x-none"/>
        </w:rPr>
      </w:pPr>
    </w:p>
    <w:p w14:paraId="4BF8FCAA" w14:textId="6EE6C09E" w:rsidR="00EB7AD7" w:rsidRPr="00CA3A3D" w:rsidRDefault="00EB7AD7" w:rsidP="001E3DCC">
      <w:pPr>
        <w:spacing w:after="0" w:line="240" w:lineRule="auto"/>
        <w:jc w:val="both"/>
        <w:rPr>
          <w:rFonts w:ascii="Garamond" w:eastAsia="Calibri" w:hAnsi="Garamond" w:cs="Times New Roman"/>
          <w:color w:val="000000"/>
          <w:sz w:val="20"/>
          <w:szCs w:val="20"/>
          <w:lang w:val="es-AR" w:eastAsia="x-none"/>
        </w:rPr>
      </w:pPr>
      <w:r w:rsidRPr="00CA3A3D">
        <w:rPr>
          <w:rFonts w:ascii="Garamond" w:eastAsia="Calibri" w:hAnsi="Garamond" w:cs="Times New Roman"/>
          <w:color w:val="000000"/>
          <w:sz w:val="20"/>
          <w:szCs w:val="20"/>
          <w:lang w:val="es-AR" w:eastAsia="x-none"/>
        </w:rPr>
        <w:t xml:space="preserve">Las Compañías no pueden asegurar a los tenedores de Obligaciones Negociables Clase II que en caso de no poder hacer frente al pago de las Obligaciones Negociables Clase II y de producirse la ejecución de los bienes que garantizan las Obligaciones Negociables Clase II, reciban la totalidad de los montos adeudados por las Obligaciones Negociables Clase II. Asimismo, los bienes que garantizan las Obligaciones Negociables Clase II podrían ser ilíquidos y/o no tener un valor de mercado fácilmente comprobable y realizable. </w:t>
      </w:r>
    </w:p>
    <w:p w14:paraId="51371A77" w14:textId="77777777" w:rsidR="00A95F13" w:rsidRPr="00CA3A3D" w:rsidRDefault="00A95F13" w:rsidP="001E3DCC">
      <w:pPr>
        <w:spacing w:after="0" w:line="240" w:lineRule="auto"/>
        <w:jc w:val="both"/>
        <w:rPr>
          <w:rFonts w:ascii="Garamond" w:eastAsia="Calibri" w:hAnsi="Garamond" w:cs="Times New Roman"/>
          <w:color w:val="000000"/>
          <w:sz w:val="20"/>
          <w:szCs w:val="20"/>
          <w:lang w:val="es-AR" w:eastAsia="x-none"/>
        </w:rPr>
      </w:pPr>
    </w:p>
    <w:p w14:paraId="4096790A" w14:textId="7B3226DE" w:rsidR="00EB7AD7" w:rsidRPr="00CA3A3D" w:rsidRDefault="00EB7AD7" w:rsidP="001E3DCC">
      <w:pPr>
        <w:spacing w:after="0" w:line="240" w:lineRule="auto"/>
        <w:jc w:val="both"/>
        <w:rPr>
          <w:rFonts w:ascii="Garamond" w:eastAsia="Calibri" w:hAnsi="Garamond" w:cs="Times New Roman"/>
          <w:color w:val="000000"/>
          <w:sz w:val="20"/>
          <w:szCs w:val="20"/>
          <w:lang w:val="es-AR" w:eastAsia="x-none"/>
        </w:rPr>
      </w:pPr>
      <w:r w:rsidRPr="00CA3A3D">
        <w:rPr>
          <w:rFonts w:ascii="Garamond" w:eastAsia="Calibri" w:hAnsi="Garamond" w:cs="Times New Roman"/>
          <w:color w:val="000000"/>
          <w:sz w:val="20"/>
          <w:szCs w:val="20"/>
          <w:lang w:val="es-AR" w:eastAsia="x-none"/>
        </w:rPr>
        <w:t>En la medida en que los bienes que garantizan las Obligaciones Negociables Clase II sean insuficientes para satisfacer los montos debidos a los tenedores de las Obligaciones Negociables Clase II, estos últimos podrían encontrarse en igual situación que el resto de los acreedores quirografarios de las Compañías por el monto que no hubiera podido ser cubierto. Para más información acerca de los bienes otorgados en garantía del pago de las Obligaciones Negociables Clase II ver “</w:t>
      </w:r>
      <w:r w:rsidRPr="00CA3A3D">
        <w:rPr>
          <w:rFonts w:ascii="Garamond" w:eastAsia="Calibri" w:hAnsi="Garamond" w:cs="Times New Roman"/>
          <w:i/>
          <w:color w:val="000000"/>
          <w:sz w:val="20"/>
          <w:szCs w:val="20"/>
          <w:lang w:val="es-AR" w:eastAsia="x-none"/>
        </w:rPr>
        <w:t xml:space="preserve">Descripción de Las Obligaciones Negociables – </w:t>
      </w:r>
      <w:r w:rsidR="00E7334F" w:rsidRPr="00CA3A3D">
        <w:rPr>
          <w:rFonts w:ascii="Garamond" w:eastAsia="Calibri" w:hAnsi="Garamond" w:cs="Times New Roman"/>
          <w:i/>
          <w:color w:val="000000"/>
          <w:sz w:val="20"/>
          <w:szCs w:val="20"/>
          <w:lang w:val="es-AR" w:eastAsia="x-none"/>
        </w:rPr>
        <w:t>l</w:t>
      </w:r>
      <w:r w:rsidR="00AE21DF" w:rsidRPr="00CA3A3D">
        <w:rPr>
          <w:rFonts w:ascii="Garamond" w:eastAsia="Calibri" w:hAnsi="Garamond" w:cs="Times New Roman"/>
          <w:i/>
          <w:color w:val="000000"/>
          <w:sz w:val="20"/>
          <w:szCs w:val="20"/>
          <w:lang w:val="es-AR" w:eastAsia="x-none"/>
        </w:rPr>
        <w:t>o</w:t>
      </w:r>
      <w:r w:rsidR="00E7334F" w:rsidRPr="00CA3A3D">
        <w:rPr>
          <w:rFonts w:ascii="Garamond" w:eastAsia="Calibri" w:hAnsi="Garamond" w:cs="Times New Roman"/>
          <w:i/>
          <w:color w:val="000000"/>
          <w:sz w:val="20"/>
          <w:szCs w:val="20"/>
          <w:lang w:val="es-AR" w:eastAsia="x-none"/>
        </w:rPr>
        <w:t xml:space="preserve">s </w:t>
      </w:r>
      <w:r w:rsidR="00AE21DF" w:rsidRPr="00CA3A3D">
        <w:rPr>
          <w:rFonts w:ascii="Garamond" w:eastAsia="Calibri" w:hAnsi="Garamond" w:cs="Times New Roman"/>
          <w:i/>
          <w:color w:val="000000"/>
          <w:sz w:val="20"/>
          <w:szCs w:val="20"/>
          <w:lang w:val="es-AR" w:eastAsia="x-none"/>
        </w:rPr>
        <w:t>Derechos de Garantía</w:t>
      </w:r>
      <w:r w:rsidRPr="00CA3A3D">
        <w:rPr>
          <w:rFonts w:ascii="Garamond" w:eastAsia="Calibri" w:hAnsi="Garamond" w:cs="Times New Roman"/>
          <w:color w:val="000000"/>
          <w:sz w:val="20"/>
          <w:szCs w:val="20"/>
          <w:lang w:val="es-AR" w:eastAsia="x-none"/>
        </w:rPr>
        <w:t>” en el presente Suplemento.</w:t>
      </w:r>
    </w:p>
    <w:p w14:paraId="732434A0" w14:textId="77777777" w:rsidR="00EB7AD7" w:rsidRPr="00CA3A3D" w:rsidRDefault="00EB7AD7" w:rsidP="001E3DCC">
      <w:pPr>
        <w:spacing w:after="0" w:line="240" w:lineRule="auto"/>
        <w:jc w:val="both"/>
        <w:rPr>
          <w:rFonts w:ascii="Garamond" w:eastAsia="Calibri" w:hAnsi="Garamond" w:cs="Times New Roman"/>
          <w:color w:val="000000"/>
          <w:sz w:val="20"/>
          <w:szCs w:val="20"/>
          <w:lang w:val="es-AR" w:eastAsia="x-none"/>
        </w:rPr>
      </w:pPr>
    </w:p>
    <w:p w14:paraId="6F003EA5" w14:textId="1CBCEA44" w:rsidR="00874FC5" w:rsidRPr="00CA0A60" w:rsidRDefault="00874FC5" w:rsidP="00874FC5">
      <w:pPr>
        <w:keepNext/>
        <w:spacing w:after="0" w:line="240" w:lineRule="auto"/>
        <w:jc w:val="both"/>
        <w:rPr>
          <w:rFonts w:ascii="Garamond" w:eastAsia="Calibri" w:hAnsi="Garamond" w:cs="Times New Roman"/>
          <w:b/>
          <w:bCs/>
          <w:i/>
          <w:iCs/>
          <w:sz w:val="20"/>
          <w:szCs w:val="20"/>
          <w:lang w:val="es-AR" w:eastAsia="x-none"/>
        </w:rPr>
      </w:pPr>
      <w:r w:rsidRPr="00CA0A60">
        <w:rPr>
          <w:rFonts w:ascii="Garamond" w:eastAsia="Calibri" w:hAnsi="Garamond" w:cs="Times New Roman"/>
          <w:b/>
          <w:bCs/>
          <w:i/>
          <w:iCs/>
          <w:sz w:val="20"/>
          <w:szCs w:val="20"/>
          <w:lang w:val="es-AR" w:eastAsia="x-none"/>
        </w:rPr>
        <w:t>Las garantías reales de las Obligaciones Negociables Clase II pueden verse afectadas por la falta de registro oportuno, perfeccionamiento del derecho real y/o por el mantenimiento de la inscripción</w:t>
      </w:r>
      <w:r w:rsidR="007D751C" w:rsidRPr="00CA0A60">
        <w:rPr>
          <w:rFonts w:ascii="Garamond" w:eastAsia="Calibri" w:hAnsi="Garamond" w:cs="Times New Roman"/>
          <w:b/>
          <w:bCs/>
          <w:i/>
          <w:iCs/>
          <w:sz w:val="20"/>
          <w:szCs w:val="20"/>
          <w:lang w:val="es-AR" w:eastAsia="x-none"/>
        </w:rPr>
        <w:t>.</w:t>
      </w:r>
    </w:p>
    <w:p w14:paraId="77703FEA" w14:textId="77777777" w:rsidR="00874FC5" w:rsidRPr="00CA0A60" w:rsidRDefault="00874FC5" w:rsidP="00874FC5">
      <w:pPr>
        <w:keepNext/>
        <w:spacing w:after="0" w:line="240" w:lineRule="auto"/>
        <w:jc w:val="both"/>
        <w:rPr>
          <w:rFonts w:ascii="Garamond" w:eastAsia="Calibri" w:hAnsi="Garamond" w:cs="Times New Roman"/>
          <w:b/>
          <w:bCs/>
          <w:i/>
          <w:iCs/>
          <w:sz w:val="20"/>
          <w:szCs w:val="20"/>
          <w:lang w:val="es-AR" w:eastAsia="x-none"/>
        </w:rPr>
      </w:pPr>
    </w:p>
    <w:p w14:paraId="2850FD81" w14:textId="473DE0B3" w:rsidR="00874FC5" w:rsidRPr="00CA0A60" w:rsidRDefault="00874FC5" w:rsidP="00874FC5">
      <w:pPr>
        <w:keepNext/>
        <w:spacing w:after="0" w:line="240" w:lineRule="auto"/>
        <w:jc w:val="both"/>
        <w:rPr>
          <w:rFonts w:ascii="Garamond" w:eastAsia="Calibri" w:hAnsi="Garamond" w:cs="Times New Roman"/>
          <w:bCs/>
          <w:iCs/>
          <w:sz w:val="20"/>
          <w:szCs w:val="20"/>
          <w:lang w:val="es-AR" w:eastAsia="x-none"/>
        </w:rPr>
      </w:pPr>
      <w:r w:rsidRPr="00CA0A60">
        <w:rPr>
          <w:rFonts w:ascii="Garamond" w:eastAsia="Calibri" w:hAnsi="Garamond" w:cs="Times New Roman"/>
          <w:bCs/>
          <w:iCs/>
          <w:sz w:val="20"/>
          <w:szCs w:val="20"/>
          <w:lang w:val="es-AR" w:eastAsia="x-none"/>
        </w:rPr>
        <w:t>La Ley de Obligaciones Negociables requiere en su artículo 3 que las garantías registrables de las Obligaciones Negociables Clase II se encuentren inscriptas en sus correspondientes registros antes de iniciarse el período de colocación. En consecuencia, las Compañías han presentado para su registro</w:t>
      </w:r>
      <w:r w:rsidR="00CC334C" w:rsidRPr="00CA0A60">
        <w:rPr>
          <w:rFonts w:ascii="Garamond" w:eastAsia="Calibri" w:hAnsi="Garamond" w:cs="Times New Roman"/>
          <w:bCs/>
          <w:iCs/>
          <w:sz w:val="20"/>
          <w:szCs w:val="20"/>
          <w:lang w:val="es-AR" w:eastAsia="x-none"/>
        </w:rPr>
        <w:t xml:space="preserve"> y </w:t>
      </w:r>
      <w:r w:rsidRPr="00CA0A60">
        <w:rPr>
          <w:rFonts w:ascii="Garamond" w:eastAsia="Calibri" w:hAnsi="Garamond" w:cs="Times New Roman"/>
          <w:bCs/>
          <w:iCs/>
          <w:sz w:val="20"/>
          <w:szCs w:val="20"/>
          <w:lang w:val="es-AR" w:eastAsia="x-none"/>
        </w:rPr>
        <w:t>registrado con anterioridad a la fecha de este Suplemento la Escritura Hipotecaria Argentina</w:t>
      </w:r>
      <w:r w:rsidR="00E25695" w:rsidRPr="00CA0A60">
        <w:rPr>
          <w:rFonts w:ascii="Garamond" w:eastAsia="Calibri" w:hAnsi="Garamond" w:cs="Times New Roman"/>
          <w:bCs/>
          <w:iCs/>
          <w:sz w:val="20"/>
          <w:szCs w:val="20"/>
          <w:lang w:val="es-AR" w:eastAsia="x-none"/>
        </w:rPr>
        <w:t>,</w:t>
      </w:r>
      <w:r w:rsidRPr="00CA0A60">
        <w:rPr>
          <w:rFonts w:ascii="Garamond" w:eastAsia="Calibri" w:hAnsi="Garamond" w:cs="Times New Roman"/>
          <w:bCs/>
          <w:iCs/>
          <w:sz w:val="20"/>
          <w:szCs w:val="20"/>
          <w:lang w:val="es-AR" w:eastAsia="x-none"/>
        </w:rPr>
        <w:t xml:space="preserve"> </w:t>
      </w:r>
      <w:r w:rsidR="00CC334C" w:rsidRPr="00CA0A60">
        <w:rPr>
          <w:rFonts w:ascii="Garamond" w:eastAsia="Calibri" w:hAnsi="Garamond" w:cs="Times New Roman"/>
          <w:bCs/>
          <w:iCs/>
          <w:sz w:val="20"/>
          <w:szCs w:val="20"/>
          <w:lang w:val="es-AR" w:eastAsia="x-none"/>
        </w:rPr>
        <w:t>los</w:t>
      </w:r>
      <w:r w:rsidRPr="00CA0A60">
        <w:rPr>
          <w:rFonts w:ascii="Garamond" w:eastAsia="Calibri" w:hAnsi="Garamond" w:cs="Times New Roman"/>
          <w:bCs/>
          <w:iCs/>
          <w:sz w:val="20"/>
          <w:szCs w:val="20"/>
          <w:lang w:val="es-AR" w:eastAsia="x-none"/>
        </w:rPr>
        <w:t xml:space="preserve"> Contrato</w:t>
      </w:r>
      <w:r w:rsidR="00CC334C" w:rsidRPr="00CA0A60">
        <w:rPr>
          <w:rFonts w:ascii="Garamond" w:eastAsia="Calibri" w:hAnsi="Garamond" w:cs="Times New Roman"/>
          <w:bCs/>
          <w:iCs/>
          <w:sz w:val="20"/>
          <w:szCs w:val="20"/>
          <w:lang w:val="es-AR" w:eastAsia="x-none"/>
        </w:rPr>
        <w:t>s</w:t>
      </w:r>
      <w:r w:rsidRPr="00CA0A60">
        <w:rPr>
          <w:rFonts w:ascii="Garamond" w:eastAsia="Calibri" w:hAnsi="Garamond" w:cs="Times New Roman"/>
          <w:bCs/>
          <w:iCs/>
          <w:sz w:val="20"/>
          <w:szCs w:val="20"/>
          <w:lang w:val="es-AR" w:eastAsia="x-none"/>
        </w:rPr>
        <w:t xml:space="preserve"> de Prenda</w:t>
      </w:r>
      <w:r w:rsidR="00AE21DF" w:rsidRPr="00CA0A60">
        <w:rPr>
          <w:rFonts w:ascii="Garamond" w:eastAsia="Calibri" w:hAnsi="Garamond" w:cs="Times New Roman"/>
          <w:bCs/>
          <w:iCs/>
          <w:sz w:val="20"/>
          <w:szCs w:val="20"/>
          <w:lang w:val="es-AR" w:eastAsia="x-none"/>
        </w:rPr>
        <w:t xml:space="preserve"> en Primer Grado</w:t>
      </w:r>
      <w:r w:rsidR="00CC334C" w:rsidRPr="00CA0A60">
        <w:rPr>
          <w:rFonts w:ascii="Garamond" w:eastAsia="Calibri" w:hAnsi="Garamond" w:cs="Times New Roman"/>
          <w:bCs/>
          <w:iCs/>
          <w:sz w:val="20"/>
          <w:szCs w:val="20"/>
          <w:lang w:val="es-AR" w:eastAsia="x-none"/>
        </w:rPr>
        <w:t xml:space="preserve"> de Privilegio Argentinos</w:t>
      </w:r>
      <w:r w:rsidR="00AE21DF" w:rsidRPr="00CA0A60">
        <w:rPr>
          <w:rFonts w:ascii="Garamond" w:eastAsia="Calibri" w:hAnsi="Garamond" w:cs="Times New Roman"/>
          <w:bCs/>
          <w:iCs/>
          <w:sz w:val="20"/>
          <w:szCs w:val="20"/>
          <w:lang w:val="es-AR" w:eastAsia="x-none"/>
        </w:rPr>
        <w:t xml:space="preserve"> y el Contrato de Prenda en Segundo Grado</w:t>
      </w:r>
      <w:r w:rsidR="00102EA6" w:rsidRPr="00CA0A60">
        <w:rPr>
          <w:rFonts w:ascii="Garamond" w:eastAsia="Calibri" w:hAnsi="Garamond" w:cs="Times New Roman"/>
          <w:bCs/>
          <w:iCs/>
          <w:sz w:val="20"/>
          <w:szCs w:val="20"/>
          <w:lang w:val="es-AR" w:eastAsia="x-none"/>
        </w:rPr>
        <w:t xml:space="preserve"> de Privilegio</w:t>
      </w:r>
      <w:r w:rsidR="003B02D7" w:rsidRPr="00CA0A60">
        <w:rPr>
          <w:rFonts w:ascii="Garamond" w:eastAsia="Calibri" w:hAnsi="Garamond" w:cs="Times New Roman"/>
          <w:bCs/>
          <w:iCs/>
          <w:sz w:val="20"/>
          <w:szCs w:val="20"/>
          <w:lang w:val="es-AR" w:eastAsia="x-none"/>
        </w:rPr>
        <w:t xml:space="preserve"> Argentino</w:t>
      </w:r>
      <w:r w:rsidRPr="00CA0A60">
        <w:rPr>
          <w:rFonts w:ascii="Garamond" w:eastAsia="Calibri" w:hAnsi="Garamond" w:cs="Times New Roman"/>
          <w:bCs/>
          <w:iCs/>
          <w:sz w:val="20"/>
          <w:szCs w:val="20"/>
          <w:lang w:val="es-AR" w:eastAsia="x-none"/>
        </w:rPr>
        <w:t xml:space="preserve">. Asimismo, conforme se describe en </w:t>
      </w:r>
      <w:r w:rsidRPr="00CA0A60">
        <w:rPr>
          <w:rFonts w:ascii="Garamond" w:eastAsia="Calibri" w:hAnsi="Garamond" w:cs="Times New Roman"/>
          <w:bCs/>
          <w:i/>
          <w:iCs/>
          <w:sz w:val="20"/>
          <w:szCs w:val="20"/>
          <w:lang w:val="es-AR" w:eastAsia="x-none"/>
        </w:rPr>
        <w:t>“Descripción de la Oferta y la Negociación—Ciertos Compromisos”</w:t>
      </w:r>
      <w:r w:rsidRPr="00CA0A60">
        <w:rPr>
          <w:rFonts w:ascii="Garamond" w:eastAsia="Calibri" w:hAnsi="Garamond" w:cs="Times New Roman"/>
          <w:bCs/>
          <w:iCs/>
          <w:sz w:val="20"/>
          <w:szCs w:val="20"/>
          <w:lang w:val="es-AR" w:eastAsia="x-none"/>
        </w:rPr>
        <w:t xml:space="preserve">, las Compañías asumirán el </w:t>
      </w:r>
      <w:r w:rsidRPr="00CA0A60">
        <w:rPr>
          <w:rFonts w:ascii="Garamond" w:eastAsia="Calibri" w:hAnsi="Garamond" w:cs="Times New Roman"/>
          <w:bCs/>
          <w:iCs/>
          <w:sz w:val="20"/>
          <w:szCs w:val="20"/>
          <w:lang w:val="es-AR" w:eastAsia="x-none"/>
        </w:rPr>
        <w:lastRenderedPageBreak/>
        <w:t>compromiso de celebrar y presentar para su registro dentro de los cinco Días Hábiles de la Fecha de Emisión las correspondientes enmiendas.</w:t>
      </w:r>
    </w:p>
    <w:p w14:paraId="4619FD54" w14:textId="77777777" w:rsidR="00874FC5" w:rsidRPr="00CA0A60" w:rsidRDefault="00874FC5" w:rsidP="00874FC5">
      <w:pPr>
        <w:keepNext/>
        <w:spacing w:after="0" w:line="240" w:lineRule="auto"/>
        <w:jc w:val="both"/>
        <w:rPr>
          <w:rFonts w:ascii="Garamond" w:eastAsia="Calibri" w:hAnsi="Garamond" w:cs="Times New Roman"/>
          <w:bCs/>
          <w:iCs/>
          <w:sz w:val="20"/>
          <w:szCs w:val="20"/>
          <w:lang w:val="es-AR" w:eastAsia="x-none"/>
        </w:rPr>
      </w:pPr>
    </w:p>
    <w:p w14:paraId="07A20AD2" w14:textId="771D2BA9" w:rsidR="00874FC5" w:rsidRPr="00CA0A60" w:rsidRDefault="00874FC5" w:rsidP="00874FC5">
      <w:pPr>
        <w:keepNext/>
        <w:spacing w:after="0" w:line="240" w:lineRule="auto"/>
        <w:jc w:val="both"/>
        <w:rPr>
          <w:rFonts w:ascii="Garamond" w:eastAsia="Calibri" w:hAnsi="Garamond" w:cs="Times New Roman"/>
          <w:bCs/>
          <w:iCs/>
          <w:sz w:val="20"/>
          <w:szCs w:val="20"/>
          <w:lang w:val="es-AR" w:eastAsia="x-none"/>
        </w:rPr>
      </w:pPr>
      <w:r w:rsidRPr="00CA0A60">
        <w:rPr>
          <w:rFonts w:ascii="Garamond" w:eastAsia="Calibri" w:hAnsi="Garamond" w:cs="Times New Roman"/>
          <w:bCs/>
          <w:iCs/>
          <w:sz w:val="20"/>
          <w:szCs w:val="20"/>
          <w:lang w:val="es-AR" w:eastAsia="x-none"/>
        </w:rPr>
        <w:t xml:space="preserve">El derecho y la prioridad de los tenedores de Obligaciones Negociables Clase II sobre los bienes objeto de las prendas y de la hipoteca podrían verse afectados por la falta de inscripción oportuna o por pretensiones de terceros acreedores cursadas antes de la inscripción, lo que podría obstar el perfeccionamiento del derecho real sobre los bienes que hacen a su objeto o generar que los tenedores de Obligaciones Negociables Clase II concurran al cobro de lo producido en una eventual ejecución de los bienes en igual grado de prioridad o de forma subordinada a otros potenciales acreedores. </w:t>
      </w:r>
    </w:p>
    <w:p w14:paraId="6E85D2A2" w14:textId="77777777" w:rsidR="00874FC5" w:rsidRPr="00CA0A60" w:rsidRDefault="00874FC5" w:rsidP="00874FC5">
      <w:pPr>
        <w:keepNext/>
        <w:spacing w:after="0" w:line="240" w:lineRule="auto"/>
        <w:jc w:val="both"/>
        <w:rPr>
          <w:rFonts w:ascii="Garamond" w:eastAsia="Calibri" w:hAnsi="Garamond" w:cs="Times New Roman"/>
          <w:bCs/>
          <w:iCs/>
          <w:sz w:val="20"/>
          <w:szCs w:val="20"/>
          <w:lang w:val="es-AR" w:eastAsia="x-none"/>
        </w:rPr>
      </w:pPr>
    </w:p>
    <w:p w14:paraId="1EEE8179" w14:textId="77777777" w:rsidR="00874FC5" w:rsidRPr="00CA0A60" w:rsidRDefault="00874FC5" w:rsidP="00874FC5">
      <w:pPr>
        <w:keepNext/>
        <w:spacing w:after="0" w:line="240" w:lineRule="auto"/>
        <w:jc w:val="both"/>
        <w:rPr>
          <w:rFonts w:ascii="Garamond" w:eastAsia="Calibri" w:hAnsi="Garamond" w:cs="Times New Roman"/>
          <w:b/>
          <w:bCs/>
          <w:i/>
          <w:iCs/>
          <w:sz w:val="20"/>
          <w:szCs w:val="20"/>
          <w:lang w:val="es-AR" w:eastAsia="x-none"/>
        </w:rPr>
      </w:pPr>
      <w:r w:rsidRPr="00CA0A60">
        <w:rPr>
          <w:rFonts w:ascii="Garamond" w:eastAsia="Calibri" w:hAnsi="Garamond" w:cs="Times New Roman"/>
          <w:bCs/>
          <w:iCs/>
          <w:sz w:val="20"/>
          <w:szCs w:val="20"/>
          <w:lang w:val="es-AR" w:eastAsia="x-none"/>
        </w:rPr>
        <w:t>Así mismo, según la ley argentina las prendas con registro deben reinscribirse al cabo de cinco años y las hipotecas al cabo de treinta y cinco años, por lo que, si bien el Agente de Garantía tendrá facultades para reinscribir las prendas y las hipotecas, la falta de reinscripción oportuna podría generar la pérdida de la prioridad sobre los bienes objeto de las garantías de las Obligaciones Negociables Clase II</w:t>
      </w:r>
      <w:r w:rsidRPr="00CA0A60">
        <w:rPr>
          <w:rFonts w:ascii="Garamond" w:eastAsia="Calibri" w:hAnsi="Garamond" w:cs="Times New Roman"/>
          <w:b/>
          <w:bCs/>
          <w:i/>
          <w:iCs/>
          <w:sz w:val="20"/>
          <w:szCs w:val="20"/>
          <w:lang w:val="es-AR" w:eastAsia="x-none"/>
        </w:rPr>
        <w:t>.</w:t>
      </w:r>
    </w:p>
    <w:p w14:paraId="256AC6DA" w14:textId="77777777" w:rsidR="00EB7AD7" w:rsidRPr="00CA3A3D" w:rsidRDefault="00EB7AD7" w:rsidP="001E3DCC">
      <w:pPr>
        <w:spacing w:after="0" w:line="240" w:lineRule="auto"/>
        <w:jc w:val="both"/>
        <w:rPr>
          <w:rFonts w:ascii="Garamond" w:eastAsia="Calibri" w:hAnsi="Garamond" w:cs="Times New Roman"/>
          <w:color w:val="000000"/>
          <w:sz w:val="20"/>
          <w:szCs w:val="20"/>
          <w:lang w:val="es-AR" w:eastAsia="x-none"/>
        </w:rPr>
      </w:pPr>
    </w:p>
    <w:p w14:paraId="47A4D8CE" w14:textId="70AC4AC2" w:rsidR="00EB7AD7" w:rsidRPr="00CA3A3D" w:rsidRDefault="00EB7AD7" w:rsidP="002B1E31">
      <w:pPr>
        <w:keepNext/>
        <w:keepLines/>
        <w:spacing w:after="0" w:line="240" w:lineRule="auto"/>
        <w:jc w:val="both"/>
        <w:rPr>
          <w:rFonts w:ascii="Garamond" w:eastAsia="Calibri" w:hAnsi="Garamond" w:cs="Times New Roman"/>
          <w:b/>
          <w:bCs/>
          <w:i/>
          <w:iCs/>
          <w:color w:val="000000"/>
          <w:sz w:val="20"/>
          <w:szCs w:val="20"/>
          <w:lang w:val="es-AR" w:eastAsia="x-none"/>
        </w:rPr>
      </w:pPr>
      <w:r w:rsidRPr="00CA3A3D">
        <w:rPr>
          <w:rFonts w:ascii="Garamond" w:eastAsia="Calibri" w:hAnsi="Garamond" w:cs="Times New Roman"/>
          <w:b/>
          <w:bCs/>
          <w:i/>
          <w:iCs/>
          <w:color w:val="000000"/>
          <w:sz w:val="20"/>
          <w:szCs w:val="20"/>
          <w:lang w:val="es-AR" w:eastAsia="x-none"/>
        </w:rPr>
        <w:t>La capacidad del Agente de Garantía Local de ejecutar los bienes objeto de los derechos reales que garantizan el pago a los tenedores de las Obligaciones Negociables Clase II puede estar sujeta a problemas de prioridad y problemas prácticos asociados con el perfeccionamiento de los derechos reales</w:t>
      </w:r>
      <w:r w:rsidR="007D751C" w:rsidRPr="00CA3A3D">
        <w:rPr>
          <w:rFonts w:ascii="Garamond" w:eastAsia="Calibri" w:hAnsi="Garamond" w:cs="Times New Roman"/>
          <w:b/>
          <w:bCs/>
          <w:i/>
          <w:iCs/>
          <w:color w:val="000000"/>
          <w:sz w:val="20"/>
          <w:szCs w:val="20"/>
          <w:lang w:val="es-AR" w:eastAsia="x-none"/>
        </w:rPr>
        <w:t>.</w:t>
      </w:r>
    </w:p>
    <w:p w14:paraId="38AA98D6" w14:textId="77777777" w:rsidR="00A95F13" w:rsidRPr="00CA3A3D" w:rsidRDefault="00A95F13" w:rsidP="002B1E31">
      <w:pPr>
        <w:keepNext/>
        <w:keepLines/>
        <w:spacing w:after="0" w:line="240" w:lineRule="auto"/>
        <w:jc w:val="both"/>
        <w:rPr>
          <w:rFonts w:ascii="Garamond" w:eastAsia="Calibri" w:hAnsi="Garamond" w:cs="Times New Roman"/>
          <w:b/>
          <w:bCs/>
          <w:i/>
          <w:iCs/>
          <w:color w:val="000000"/>
          <w:sz w:val="20"/>
          <w:szCs w:val="20"/>
          <w:lang w:val="es-AR" w:eastAsia="x-none"/>
        </w:rPr>
      </w:pPr>
    </w:p>
    <w:p w14:paraId="54E58EA6" w14:textId="31075EDA" w:rsidR="00EB7AD7" w:rsidRPr="00CA3A3D" w:rsidRDefault="00EB7AD7" w:rsidP="002B1E31">
      <w:pPr>
        <w:keepNext/>
        <w:keepLines/>
        <w:spacing w:after="0" w:line="240" w:lineRule="auto"/>
        <w:jc w:val="both"/>
        <w:rPr>
          <w:rFonts w:ascii="Garamond" w:eastAsia="Calibri" w:hAnsi="Garamond" w:cs="Times New Roman"/>
          <w:color w:val="000000"/>
          <w:sz w:val="20"/>
          <w:szCs w:val="20"/>
          <w:lang w:val="es-AR" w:eastAsia="x-none"/>
        </w:rPr>
      </w:pPr>
      <w:r w:rsidRPr="00CA3A3D">
        <w:rPr>
          <w:rFonts w:ascii="Garamond" w:eastAsia="Calibri" w:hAnsi="Garamond" w:cs="Times New Roman"/>
          <w:color w:val="000000"/>
          <w:sz w:val="20"/>
          <w:szCs w:val="20"/>
          <w:lang w:val="es-AR" w:eastAsia="x-none"/>
        </w:rPr>
        <w:t>Los derechos sustanciales del Agente de Garantía Local están regidos por la ley argentina. Las leyes referidas a la creación y perfeccionamiento de los derechos reales en Argentina difieren de las leyes de los Estados Unidos y pueden estar sujetos a restricciones y limitaciones. Esas restricciones y limitaciones podrían generar efectos que limiten o demoren la ejecución de las garantías reales, y por ende, perjudi</w:t>
      </w:r>
      <w:r w:rsidR="00B61FEF" w:rsidRPr="00CA3A3D">
        <w:rPr>
          <w:rFonts w:ascii="Garamond" w:eastAsia="Calibri" w:hAnsi="Garamond" w:cs="Times New Roman"/>
          <w:color w:val="000000"/>
          <w:sz w:val="20"/>
          <w:szCs w:val="20"/>
          <w:lang w:val="es-AR" w:eastAsia="x-none"/>
        </w:rPr>
        <w:t>quen</w:t>
      </w:r>
      <w:r w:rsidRPr="00CA3A3D">
        <w:rPr>
          <w:rFonts w:ascii="Garamond" w:eastAsia="Calibri" w:hAnsi="Garamond" w:cs="Times New Roman"/>
          <w:color w:val="000000"/>
          <w:sz w:val="20"/>
          <w:szCs w:val="20"/>
          <w:lang w:val="es-AR" w:eastAsia="x-none"/>
        </w:rPr>
        <w:t xml:space="preserve"> materialmente los reclamos de los tenedores de las Obligaciones Negociables Clase II. Por otra parte, tal retraso podría disminuir la participación de los tenedores de las Obligaciones Negociables Clase II en los bienes objeto de los derechos reales de garantía, debido a, entre otras cosas, la existencia de otros acreedores. </w:t>
      </w:r>
    </w:p>
    <w:p w14:paraId="665A1408" w14:textId="77777777" w:rsidR="00A95F13" w:rsidRPr="00CA3A3D" w:rsidRDefault="00A95F13" w:rsidP="001E3DCC">
      <w:pPr>
        <w:spacing w:after="0" w:line="240" w:lineRule="auto"/>
        <w:jc w:val="both"/>
        <w:rPr>
          <w:rFonts w:ascii="Garamond" w:eastAsia="Calibri" w:hAnsi="Garamond" w:cs="Times New Roman"/>
          <w:color w:val="000000"/>
          <w:sz w:val="20"/>
          <w:szCs w:val="20"/>
          <w:lang w:val="es-AR" w:eastAsia="x-none"/>
        </w:rPr>
      </w:pPr>
    </w:p>
    <w:p w14:paraId="4DCBF04D" w14:textId="77777777" w:rsidR="00EB7AD7" w:rsidRPr="00CA3A3D" w:rsidRDefault="00EB7AD7" w:rsidP="001E3DCC">
      <w:pPr>
        <w:spacing w:after="0" w:line="240" w:lineRule="auto"/>
        <w:jc w:val="both"/>
        <w:rPr>
          <w:rFonts w:ascii="Garamond" w:eastAsia="Calibri" w:hAnsi="Garamond" w:cs="Times New Roman"/>
          <w:color w:val="000000"/>
          <w:sz w:val="20"/>
          <w:szCs w:val="20"/>
          <w:lang w:val="es-AR" w:eastAsia="x-none"/>
        </w:rPr>
      </w:pPr>
      <w:r w:rsidRPr="00CA3A3D">
        <w:rPr>
          <w:rFonts w:ascii="Garamond" w:eastAsia="Calibri" w:hAnsi="Garamond" w:cs="Times New Roman"/>
          <w:color w:val="000000"/>
          <w:sz w:val="20"/>
          <w:szCs w:val="20"/>
          <w:lang w:val="es-AR" w:eastAsia="x-none"/>
        </w:rPr>
        <w:t xml:space="preserve">Sumado a lo descripto en el párrafo anterior, la posibilidad del Agente de </w:t>
      </w:r>
      <w:r w:rsidR="00C058D1" w:rsidRPr="00CA3A3D">
        <w:rPr>
          <w:rFonts w:ascii="Garamond" w:eastAsia="Calibri" w:hAnsi="Garamond" w:cs="Times New Roman"/>
          <w:color w:val="000000"/>
          <w:sz w:val="20"/>
          <w:szCs w:val="20"/>
          <w:lang w:val="es-AR" w:eastAsia="x-none"/>
        </w:rPr>
        <w:t>la</w:t>
      </w:r>
      <w:r w:rsidRPr="00CA3A3D">
        <w:rPr>
          <w:rFonts w:ascii="Garamond" w:eastAsia="Calibri" w:hAnsi="Garamond" w:cs="Times New Roman"/>
          <w:color w:val="000000"/>
          <w:sz w:val="20"/>
          <w:szCs w:val="20"/>
          <w:lang w:val="es-AR" w:eastAsia="x-none"/>
        </w:rPr>
        <w:t xml:space="preserve"> Garantía</w:t>
      </w:r>
      <w:r w:rsidR="00C058D1" w:rsidRPr="00CA3A3D">
        <w:rPr>
          <w:rFonts w:ascii="Garamond" w:eastAsia="Calibri" w:hAnsi="Garamond" w:cs="Times New Roman"/>
          <w:color w:val="000000"/>
          <w:sz w:val="20"/>
          <w:szCs w:val="20"/>
          <w:lang w:val="es-AR" w:eastAsia="x-none"/>
        </w:rPr>
        <w:t xml:space="preserve"> Local</w:t>
      </w:r>
      <w:r w:rsidRPr="00CA3A3D">
        <w:rPr>
          <w:rFonts w:ascii="Garamond" w:eastAsia="Calibri" w:hAnsi="Garamond" w:cs="Times New Roman"/>
          <w:color w:val="000000"/>
          <w:sz w:val="20"/>
          <w:szCs w:val="20"/>
          <w:lang w:val="es-AR" w:eastAsia="x-none"/>
        </w:rPr>
        <w:t xml:space="preserve"> de ejecutar las garantías reales, podría ser limitada por consideraciones prácticas y legales, incluyendo pero sin limitación, el pago de tasas o aranceles, restricciones o demoras tanto administrativas como debidas a la aplicación de leyes de otras jurisdicciones o a la aplicación de leyes sobre insolvencia. </w:t>
      </w:r>
    </w:p>
    <w:p w14:paraId="4D16AC41" w14:textId="77777777" w:rsidR="00C058D1" w:rsidRPr="00CA3A3D" w:rsidRDefault="00C058D1" w:rsidP="001E3DCC">
      <w:pPr>
        <w:spacing w:after="0" w:line="240" w:lineRule="auto"/>
        <w:jc w:val="both"/>
        <w:rPr>
          <w:rFonts w:ascii="Garamond" w:eastAsia="Calibri" w:hAnsi="Garamond" w:cs="Times New Roman"/>
          <w:color w:val="000000"/>
          <w:sz w:val="20"/>
          <w:szCs w:val="20"/>
          <w:lang w:val="es-AR" w:eastAsia="x-none"/>
        </w:rPr>
      </w:pPr>
    </w:p>
    <w:p w14:paraId="6AFA9E19" w14:textId="5A7D433A" w:rsidR="00C058D1" w:rsidRPr="00CA3A3D" w:rsidRDefault="00C058D1" w:rsidP="00C058D1">
      <w:pPr>
        <w:spacing w:after="0" w:line="240" w:lineRule="auto"/>
        <w:jc w:val="both"/>
        <w:rPr>
          <w:rFonts w:ascii="Garamond" w:eastAsia="Calibri" w:hAnsi="Garamond" w:cs="Times New Roman"/>
          <w:color w:val="000000"/>
          <w:sz w:val="20"/>
          <w:szCs w:val="20"/>
          <w:lang w:val="es-AR" w:eastAsia="x-none"/>
        </w:rPr>
      </w:pPr>
      <w:r w:rsidRPr="00CA3A3D">
        <w:rPr>
          <w:rFonts w:ascii="Garamond" w:eastAsia="Calibri" w:hAnsi="Garamond" w:cs="Times New Roman"/>
          <w:color w:val="000000"/>
          <w:sz w:val="20"/>
          <w:szCs w:val="20"/>
          <w:lang w:val="es-AR" w:eastAsia="x-none"/>
        </w:rPr>
        <w:t xml:space="preserve">Asimismo, no se puede garantizar que se </w:t>
      </w:r>
      <w:r w:rsidR="00BF03FE" w:rsidRPr="00CA3A3D">
        <w:rPr>
          <w:rFonts w:ascii="Garamond" w:eastAsia="Calibri" w:hAnsi="Garamond" w:cs="Times New Roman"/>
          <w:color w:val="000000"/>
          <w:sz w:val="20"/>
          <w:szCs w:val="20"/>
          <w:lang w:val="es-AR" w:eastAsia="x-none"/>
        </w:rPr>
        <w:t xml:space="preserve">podrán </w:t>
      </w:r>
      <w:r w:rsidRPr="00CA3A3D">
        <w:rPr>
          <w:rFonts w:ascii="Garamond" w:eastAsia="Calibri" w:hAnsi="Garamond" w:cs="Times New Roman"/>
          <w:color w:val="000000"/>
          <w:sz w:val="20"/>
          <w:szCs w:val="20"/>
          <w:lang w:val="es-AR" w:eastAsia="x-none"/>
        </w:rPr>
        <w:t>llevar a cabo todos los actos jurídicos y registrales necesarios para el perfeccionamiento de dich</w:t>
      </w:r>
      <w:r w:rsidR="00E25695" w:rsidRPr="00CA3A3D">
        <w:rPr>
          <w:rFonts w:ascii="Garamond" w:eastAsia="Calibri" w:hAnsi="Garamond" w:cs="Times New Roman"/>
          <w:color w:val="000000"/>
          <w:sz w:val="20"/>
          <w:szCs w:val="20"/>
          <w:lang w:val="es-AR" w:eastAsia="x-none"/>
        </w:rPr>
        <w:t>o</w:t>
      </w:r>
      <w:r w:rsidRPr="00CA3A3D">
        <w:rPr>
          <w:rFonts w:ascii="Garamond" w:eastAsia="Calibri" w:hAnsi="Garamond" w:cs="Times New Roman"/>
          <w:color w:val="000000"/>
          <w:sz w:val="20"/>
          <w:szCs w:val="20"/>
          <w:lang w:val="es-AR" w:eastAsia="x-none"/>
        </w:rPr>
        <w:t xml:space="preserve">s </w:t>
      </w:r>
      <w:r w:rsidR="00E25695" w:rsidRPr="00CA3A3D">
        <w:rPr>
          <w:rFonts w:ascii="Garamond" w:eastAsia="Calibri" w:hAnsi="Garamond" w:cs="Times New Roman"/>
          <w:color w:val="000000"/>
          <w:sz w:val="20"/>
          <w:szCs w:val="20"/>
          <w:lang w:val="es-AR" w:eastAsia="x-none"/>
        </w:rPr>
        <w:t>Derechos de Garantía</w:t>
      </w:r>
      <w:r w:rsidRPr="00CA3A3D">
        <w:rPr>
          <w:rFonts w:ascii="Garamond" w:eastAsia="Calibri" w:hAnsi="Garamond" w:cs="Times New Roman"/>
          <w:color w:val="000000"/>
          <w:sz w:val="20"/>
          <w:szCs w:val="20"/>
          <w:lang w:val="es-AR" w:eastAsia="x-none"/>
        </w:rPr>
        <w:t>.</w:t>
      </w:r>
    </w:p>
    <w:p w14:paraId="12A4EA11" w14:textId="77777777" w:rsidR="00C058D1" w:rsidRPr="00CA3A3D" w:rsidRDefault="00C058D1" w:rsidP="001E3DCC">
      <w:pPr>
        <w:spacing w:after="0" w:line="240" w:lineRule="auto"/>
        <w:jc w:val="both"/>
        <w:rPr>
          <w:rFonts w:ascii="Garamond" w:eastAsia="Calibri" w:hAnsi="Garamond" w:cs="Times New Roman"/>
          <w:color w:val="000000"/>
          <w:sz w:val="20"/>
          <w:szCs w:val="20"/>
          <w:lang w:val="es-AR" w:eastAsia="x-none"/>
        </w:rPr>
      </w:pPr>
    </w:p>
    <w:p w14:paraId="402D22EC" w14:textId="1B8461C5" w:rsidR="00C058D1" w:rsidRPr="00CA3A3D" w:rsidRDefault="00487296" w:rsidP="001E3DCC">
      <w:pPr>
        <w:spacing w:after="0" w:line="240" w:lineRule="auto"/>
        <w:jc w:val="both"/>
        <w:rPr>
          <w:rFonts w:ascii="Garamond" w:eastAsia="Calibri" w:hAnsi="Garamond" w:cs="Times New Roman"/>
          <w:b/>
          <w:i/>
          <w:sz w:val="20"/>
          <w:szCs w:val="20"/>
          <w:lang w:val="es-AR"/>
        </w:rPr>
      </w:pPr>
      <w:r w:rsidRPr="00CA3A3D">
        <w:rPr>
          <w:rFonts w:ascii="Garamond" w:eastAsia="Calibri" w:hAnsi="Garamond" w:cs="Times New Roman"/>
          <w:b/>
          <w:i/>
          <w:sz w:val="20"/>
          <w:szCs w:val="20"/>
          <w:lang w:val="es-AR"/>
        </w:rPr>
        <w:t>La</w:t>
      </w:r>
      <w:r w:rsidR="00C058D1" w:rsidRPr="00CA3A3D">
        <w:rPr>
          <w:rFonts w:ascii="Garamond" w:eastAsia="Calibri" w:hAnsi="Garamond" w:cs="Times New Roman"/>
          <w:b/>
          <w:i/>
          <w:sz w:val="20"/>
          <w:szCs w:val="20"/>
          <w:lang w:val="es-AR"/>
        </w:rPr>
        <w:t xml:space="preserve"> </w:t>
      </w:r>
      <w:r w:rsidRPr="00CA3A3D">
        <w:rPr>
          <w:rFonts w:ascii="Garamond" w:eastAsia="Calibri" w:hAnsi="Garamond" w:cs="Times New Roman"/>
          <w:b/>
          <w:i/>
          <w:sz w:val="20"/>
          <w:szCs w:val="20"/>
          <w:lang w:val="es-AR"/>
        </w:rPr>
        <w:t xml:space="preserve">obtención de los Tenedores de un privilegio de primer grado sobre los </w:t>
      </w:r>
      <w:r w:rsidR="009109A7" w:rsidRPr="00CA3A3D">
        <w:rPr>
          <w:rFonts w:ascii="Garamond" w:eastAsia="Calibri" w:hAnsi="Garamond" w:cs="Times New Roman"/>
          <w:b/>
          <w:i/>
          <w:sz w:val="20"/>
          <w:szCs w:val="20"/>
          <w:lang w:val="es-AR"/>
        </w:rPr>
        <w:t>Equipos de Siemens</w:t>
      </w:r>
      <w:r w:rsidRPr="00CA3A3D">
        <w:rPr>
          <w:rFonts w:ascii="Garamond" w:eastAsia="Calibri" w:hAnsi="Garamond" w:cs="Times New Roman"/>
          <w:b/>
          <w:i/>
          <w:sz w:val="20"/>
          <w:szCs w:val="20"/>
          <w:lang w:val="es-AR"/>
        </w:rPr>
        <w:t xml:space="preserve"> y de la efectiva constitución del gravamen sobre los </w:t>
      </w:r>
      <w:r w:rsidR="00B816E3" w:rsidRPr="00CA3A3D">
        <w:rPr>
          <w:rFonts w:ascii="Garamond" w:eastAsia="Calibri" w:hAnsi="Garamond" w:cs="Times New Roman"/>
          <w:b/>
          <w:i/>
          <w:sz w:val="20"/>
          <w:szCs w:val="20"/>
          <w:lang w:val="es-AR"/>
        </w:rPr>
        <w:t>CCEE de Siemens</w:t>
      </w:r>
      <w:r w:rsidRPr="00CA3A3D">
        <w:rPr>
          <w:rFonts w:ascii="Garamond" w:eastAsia="Calibri" w:hAnsi="Garamond" w:cs="Times New Roman"/>
          <w:b/>
          <w:i/>
          <w:sz w:val="20"/>
          <w:szCs w:val="20"/>
          <w:lang w:val="es-AR"/>
        </w:rPr>
        <w:t xml:space="preserve"> </w:t>
      </w:r>
      <w:r w:rsidR="00C058D1" w:rsidRPr="00CA3A3D">
        <w:rPr>
          <w:rFonts w:ascii="Garamond" w:eastAsia="Calibri" w:hAnsi="Garamond" w:cs="Times New Roman"/>
          <w:b/>
          <w:i/>
          <w:sz w:val="20"/>
          <w:szCs w:val="20"/>
          <w:lang w:val="es-AR"/>
        </w:rPr>
        <w:t>está sujet</w:t>
      </w:r>
      <w:r w:rsidRPr="00CA3A3D">
        <w:rPr>
          <w:rFonts w:ascii="Garamond" w:eastAsia="Calibri" w:hAnsi="Garamond" w:cs="Times New Roman"/>
          <w:b/>
          <w:i/>
          <w:sz w:val="20"/>
          <w:szCs w:val="20"/>
          <w:lang w:val="es-AR"/>
        </w:rPr>
        <w:t>a</w:t>
      </w:r>
      <w:r w:rsidR="00C058D1" w:rsidRPr="00CA3A3D">
        <w:rPr>
          <w:rFonts w:ascii="Garamond" w:eastAsia="Calibri" w:hAnsi="Garamond" w:cs="Times New Roman"/>
          <w:b/>
          <w:i/>
          <w:sz w:val="20"/>
          <w:szCs w:val="20"/>
          <w:lang w:val="es-AR"/>
        </w:rPr>
        <w:t xml:space="preserve"> a l</w:t>
      </w:r>
      <w:r w:rsidRPr="00CA3A3D">
        <w:rPr>
          <w:rFonts w:ascii="Garamond" w:eastAsia="Calibri" w:hAnsi="Garamond" w:cs="Times New Roman"/>
          <w:b/>
          <w:i/>
          <w:sz w:val="20"/>
          <w:szCs w:val="20"/>
          <w:lang w:val="es-AR"/>
        </w:rPr>
        <w:t xml:space="preserve">a efectiva cancelación de la </w:t>
      </w:r>
      <w:r w:rsidR="00B816E3" w:rsidRPr="00CA3A3D">
        <w:rPr>
          <w:rFonts w:ascii="Garamond" w:eastAsia="Calibri" w:hAnsi="Garamond" w:cs="Times New Roman"/>
          <w:b/>
          <w:i/>
          <w:sz w:val="20"/>
          <w:szCs w:val="20"/>
          <w:lang w:val="es-AR"/>
        </w:rPr>
        <w:t>Deuda de Siemens</w:t>
      </w:r>
      <w:r w:rsidR="00C058D1" w:rsidRPr="00CA3A3D">
        <w:rPr>
          <w:rFonts w:ascii="Garamond" w:eastAsia="Calibri" w:hAnsi="Garamond" w:cs="Times New Roman"/>
          <w:b/>
          <w:i/>
          <w:sz w:val="20"/>
          <w:szCs w:val="20"/>
          <w:lang w:val="es-AR"/>
        </w:rPr>
        <w:t>.</w:t>
      </w:r>
    </w:p>
    <w:p w14:paraId="5A1EA135" w14:textId="77777777" w:rsidR="00C058D1" w:rsidRPr="00CA3A3D" w:rsidRDefault="00C058D1" w:rsidP="001E3DCC">
      <w:pPr>
        <w:spacing w:after="0" w:line="240" w:lineRule="auto"/>
        <w:jc w:val="both"/>
        <w:rPr>
          <w:rFonts w:ascii="Garamond" w:eastAsia="Calibri" w:hAnsi="Garamond" w:cs="Times New Roman"/>
          <w:b/>
          <w:i/>
          <w:sz w:val="20"/>
          <w:szCs w:val="20"/>
          <w:lang w:val="es-AR"/>
        </w:rPr>
      </w:pPr>
    </w:p>
    <w:p w14:paraId="2B9DD86E" w14:textId="25C81FAE" w:rsidR="005C5D24" w:rsidRPr="00CA3A3D" w:rsidRDefault="00487296" w:rsidP="00A86390">
      <w:pPr>
        <w:spacing w:after="0" w:line="240" w:lineRule="auto"/>
        <w:jc w:val="both"/>
        <w:rPr>
          <w:rFonts w:ascii="Garamond" w:eastAsia="Calibri" w:hAnsi="Garamond"/>
          <w:sz w:val="20"/>
          <w:szCs w:val="20"/>
          <w:lang w:val="es-AR"/>
        </w:rPr>
      </w:pPr>
      <w:r w:rsidRPr="00CA3A3D">
        <w:rPr>
          <w:rFonts w:ascii="Garamond" w:eastAsia="Calibri" w:hAnsi="Garamond"/>
          <w:sz w:val="20"/>
          <w:szCs w:val="20"/>
          <w:lang w:val="es-AR"/>
        </w:rPr>
        <w:t xml:space="preserve">La obtención de un privilegio de primer grado sobre los </w:t>
      </w:r>
      <w:r w:rsidR="009109A7" w:rsidRPr="00CA3A3D">
        <w:rPr>
          <w:rFonts w:ascii="Garamond" w:eastAsia="Calibri" w:hAnsi="Garamond"/>
          <w:sz w:val="20"/>
          <w:szCs w:val="20"/>
          <w:lang w:val="es-AR"/>
        </w:rPr>
        <w:t>Equipos de Siemens</w:t>
      </w:r>
      <w:r w:rsidRPr="00CA3A3D">
        <w:rPr>
          <w:rFonts w:ascii="Garamond" w:eastAsia="Calibri" w:hAnsi="Garamond"/>
          <w:sz w:val="20"/>
          <w:szCs w:val="20"/>
          <w:lang w:val="es-AR"/>
        </w:rPr>
        <w:t>, sobre los que inicialmente se constituirá un derecho real de prenda en segundo grado, conforme el Contrato de Prenda en Segundo Grado</w:t>
      </w:r>
      <w:r w:rsidR="00102EA6" w:rsidRPr="00CA3A3D">
        <w:rPr>
          <w:rFonts w:ascii="Garamond" w:eastAsia="Calibri" w:hAnsi="Garamond"/>
          <w:sz w:val="20"/>
          <w:szCs w:val="20"/>
          <w:lang w:val="es-AR"/>
        </w:rPr>
        <w:t xml:space="preserve"> de Privilegio</w:t>
      </w:r>
      <w:r w:rsidR="003B02D7" w:rsidRPr="00CA3A3D">
        <w:rPr>
          <w:rFonts w:ascii="Garamond" w:eastAsia="Calibri" w:hAnsi="Garamond"/>
          <w:sz w:val="20"/>
          <w:szCs w:val="20"/>
          <w:lang w:val="es-AR"/>
        </w:rPr>
        <w:t xml:space="preserve"> Argentino</w:t>
      </w:r>
      <w:r w:rsidRPr="00CA3A3D">
        <w:rPr>
          <w:rFonts w:ascii="Garamond" w:eastAsia="Calibri" w:hAnsi="Garamond"/>
          <w:sz w:val="20"/>
          <w:szCs w:val="20"/>
          <w:lang w:val="es-AR"/>
        </w:rPr>
        <w:t>, y de</w:t>
      </w:r>
      <w:r w:rsidR="008509C8" w:rsidRPr="00CA3A3D">
        <w:rPr>
          <w:rFonts w:ascii="Garamond" w:eastAsia="Calibri" w:hAnsi="Garamond"/>
          <w:sz w:val="20"/>
          <w:szCs w:val="20"/>
          <w:lang w:val="es-AR"/>
        </w:rPr>
        <w:t>l perfeccionamiento de la cesión de</w:t>
      </w:r>
      <w:r w:rsidRPr="00CA3A3D">
        <w:rPr>
          <w:rFonts w:ascii="Garamond" w:eastAsia="Calibri" w:hAnsi="Garamond"/>
          <w:sz w:val="20"/>
          <w:szCs w:val="20"/>
          <w:lang w:val="es-AR"/>
        </w:rPr>
        <w:t xml:space="preserve"> los </w:t>
      </w:r>
      <w:r w:rsidR="00B816E3" w:rsidRPr="00CA3A3D">
        <w:rPr>
          <w:rFonts w:ascii="Garamond" w:eastAsia="Calibri" w:hAnsi="Garamond"/>
          <w:sz w:val="20"/>
          <w:szCs w:val="20"/>
          <w:lang w:val="es-AR"/>
        </w:rPr>
        <w:t>CCEE de Siemens</w:t>
      </w:r>
      <w:r w:rsidRPr="00CA3A3D">
        <w:rPr>
          <w:rFonts w:ascii="Garamond" w:eastAsia="Calibri" w:hAnsi="Garamond"/>
          <w:sz w:val="20"/>
          <w:szCs w:val="20"/>
          <w:lang w:val="es-AR"/>
        </w:rPr>
        <w:t>, conforme el Contrato</w:t>
      </w:r>
      <w:r w:rsidR="008509C8" w:rsidRPr="00CA3A3D">
        <w:rPr>
          <w:rFonts w:ascii="Garamond" w:eastAsia="Calibri" w:hAnsi="Garamond"/>
          <w:sz w:val="20"/>
          <w:szCs w:val="20"/>
          <w:lang w:val="es-AR"/>
        </w:rPr>
        <w:t xml:space="preserve"> </w:t>
      </w:r>
      <w:r w:rsidR="001F4CF5" w:rsidRPr="00CA3A3D">
        <w:rPr>
          <w:rFonts w:ascii="Garamond" w:eastAsia="Calibri" w:hAnsi="Garamond"/>
          <w:sz w:val="20"/>
          <w:szCs w:val="20"/>
          <w:lang w:val="es-AR"/>
        </w:rPr>
        <w:t>de Fideicomiso con Fines de Garantía</w:t>
      </w:r>
      <w:r w:rsidR="008509C8" w:rsidRPr="00CA3A3D">
        <w:rPr>
          <w:rFonts w:ascii="Garamond" w:eastAsia="Calibri" w:hAnsi="Garamond"/>
          <w:sz w:val="20"/>
          <w:szCs w:val="20"/>
          <w:lang w:val="es-AR"/>
        </w:rPr>
        <w:t xml:space="preserve"> Argentino</w:t>
      </w:r>
      <w:r w:rsidR="001F4CF5" w:rsidRPr="00CA3A3D">
        <w:rPr>
          <w:rFonts w:ascii="Garamond" w:eastAsia="Calibri" w:hAnsi="Garamond"/>
          <w:sz w:val="20"/>
          <w:szCs w:val="20"/>
          <w:lang w:val="es-AR"/>
        </w:rPr>
        <w:t xml:space="preserve"> </w:t>
      </w:r>
      <w:r w:rsidRPr="00CA3A3D">
        <w:rPr>
          <w:rFonts w:ascii="Garamond" w:eastAsia="Calibri" w:hAnsi="Garamond"/>
          <w:sz w:val="20"/>
          <w:szCs w:val="20"/>
          <w:lang w:val="es-AR"/>
        </w:rPr>
        <w:t xml:space="preserve">está sujeta a la efectiva cancelación de la </w:t>
      </w:r>
      <w:r w:rsidR="00B816E3" w:rsidRPr="00CA3A3D">
        <w:rPr>
          <w:rFonts w:ascii="Garamond" w:eastAsia="Calibri" w:hAnsi="Garamond"/>
          <w:sz w:val="20"/>
          <w:szCs w:val="20"/>
          <w:lang w:val="es-AR"/>
        </w:rPr>
        <w:t>Deuda de Siemens</w:t>
      </w:r>
      <w:r w:rsidR="009237FD" w:rsidRPr="00CA3A3D">
        <w:rPr>
          <w:rFonts w:ascii="Garamond" w:eastAsia="Calibri" w:hAnsi="Garamond"/>
          <w:sz w:val="20"/>
          <w:szCs w:val="20"/>
          <w:lang w:val="es-AR"/>
        </w:rPr>
        <w:t>.</w:t>
      </w:r>
      <w:r w:rsidR="001F4CF5" w:rsidRPr="00CA3A3D">
        <w:rPr>
          <w:rFonts w:ascii="Garamond" w:eastAsia="Calibri" w:hAnsi="Garamond"/>
          <w:sz w:val="20"/>
          <w:szCs w:val="20"/>
          <w:lang w:val="es-AR"/>
        </w:rPr>
        <w:t xml:space="preserve"> </w:t>
      </w:r>
      <w:r w:rsidR="00A86390" w:rsidRPr="00CA3A3D">
        <w:rPr>
          <w:rFonts w:ascii="Garamond" w:eastAsia="Calibri" w:hAnsi="Garamond"/>
          <w:sz w:val="20"/>
          <w:szCs w:val="20"/>
          <w:lang w:val="es-AR"/>
        </w:rPr>
        <w:t xml:space="preserve">Las Sociedades no pueden garantizar que se podrán llevar a cabo la cancelación de la Deuda de Siemens ni efectuar todos los actos jurídicos y registrales necesarios para dejar constancia de dicha cancelación en los registros pertinentes para el perfeccionamiento de dichos Derechos de Garantía. </w:t>
      </w:r>
      <w:r w:rsidR="001F4CF5" w:rsidRPr="00CA3A3D">
        <w:rPr>
          <w:rFonts w:ascii="Garamond" w:eastAsia="Calibri" w:hAnsi="Garamond"/>
          <w:sz w:val="20"/>
          <w:szCs w:val="20"/>
          <w:lang w:val="es-AR"/>
        </w:rPr>
        <w:t xml:space="preserve">Para mayor información ver </w:t>
      </w:r>
      <w:r w:rsidR="001F4CF5" w:rsidRPr="00CA3A3D">
        <w:rPr>
          <w:rFonts w:ascii="Garamond" w:eastAsia="Calibri" w:hAnsi="Garamond" w:cs="Times New Roman"/>
          <w:color w:val="000000"/>
          <w:sz w:val="20"/>
          <w:szCs w:val="20"/>
          <w:lang w:val="es-AR" w:eastAsia="x-none"/>
        </w:rPr>
        <w:t>“</w:t>
      </w:r>
      <w:r w:rsidR="001F4CF5" w:rsidRPr="00CA3A3D">
        <w:rPr>
          <w:rFonts w:ascii="Garamond" w:eastAsia="Calibri" w:hAnsi="Garamond" w:cs="Times New Roman"/>
          <w:i/>
          <w:color w:val="000000"/>
          <w:sz w:val="20"/>
          <w:szCs w:val="20"/>
          <w:lang w:val="es-AR" w:eastAsia="x-none"/>
        </w:rPr>
        <w:t>Descripción de las Obligaciones Negociables</w:t>
      </w:r>
      <w:r w:rsidR="001F4CF5" w:rsidRPr="00CA3A3D">
        <w:rPr>
          <w:rFonts w:ascii="Garamond" w:hAnsi="Garamond" w:cstheme="minorHAnsi"/>
          <w:i/>
          <w:sz w:val="20"/>
          <w:szCs w:val="20"/>
          <w:lang w:val="es-AR"/>
        </w:rPr>
        <w:t>―</w:t>
      </w:r>
      <w:r w:rsidR="00B816E3" w:rsidRPr="00CA3A3D">
        <w:rPr>
          <w:rFonts w:ascii="Garamond" w:hAnsi="Garamond" w:cstheme="minorHAnsi"/>
          <w:i/>
          <w:sz w:val="20"/>
          <w:szCs w:val="20"/>
          <w:lang w:val="es-AR"/>
        </w:rPr>
        <w:t>Deuda de Siemens</w:t>
      </w:r>
      <w:r w:rsidR="001F4CF5" w:rsidRPr="00CA3A3D">
        <w:rPr>
          <w:rFonts w:ascii="Garamond" w:eastAsia="Calibri" w:hAnsi="Garamond" w:cs="Times New Roman"/>
          <w:color w:val="000000"/>
          <w:sz w:val="20"/>
          <w:szCs w:val="20"/>
          <w:lang w:val="es-AR" w:eastAsia="x-none"/>
        </w:rPr>
        <w:t>”.</w:t>
      </w:r>
      <w:r w:rsidR="005C5D24" w:rsidRPr="00CA3A3D">
        <w:rPr>
          <w:rFonts w:ascii="Garamond" w:eastAsia="Calibri" w:hAnsi="Garamond"/>
          <w:sz w:val="20"/>
          <w:szCs w:val="20"/>
          <w:lang w:val="es-AR"/>
        </w:rPr>
        <w:t xml:space="preserve"> </w:t>
      </w:r>
    </w:p>
    <w:p w14:paraId="61DAA4D5" w14:textId="77777777" w:rsidR="00A6269B" w:rsidRPr="00CA3A3D" w:rsidRDefault="00A6269B" w:rsidP="001E3DCC">
      <w:pPr>
        <w:spacing w:after="0" w:line="240" w:lineRule="auto"/>
        <w:jc w:val="both"/>
        <w:rPr>
          <w:rFonts w:ascii="Garamond" w:hAnsi="Garamond"/>
          <w:b/>
          <w:i/>
          <w:color w:val="000000"/>
          <w:sz w:val="20"/>
          <w:szCs w:val="20"/>
          <w:lang w:val="es-AR"/>
        </w:rPr>
      </w:pPr>
    </w:p>
    <w:p w14:paraId="7A27ED18" w14:textId="723D0964" w:rsidR="00EB7AD7" w:rsidRPr="00CA3A3D" w:rsidRDefault="00EB7AD7" w:rsidP="001E3DCC">
      <w:pPr>
        <w:spacing w:after="0" w:line="240" w:lineRule="auto"/>
        <w:jc w:val="both"/>
        <w:rPr>
          <w:rFonts w:ascii="Garamond" w:hAnsi="Garamond"/>
          <w:b/>
          <w:i/>
          <w:color w:val="000000"/>
          <w:sz w:val="20"/>
          <w:szCs w:val="20"/>
          <w:lang w:val="es-AR"/>
        </w:rPr>
      </w:pPr>
      <w:r w:rsidRPr="00CA3A3D">
        <w:rPr>
          <w:rFonts w:ascii="Garamond" w:hAnsi="Garamond"/>
          <w:b/>
          <w:i/>
          <w:color w:val="000000"/>
          <w:sz w:val="20"/>
          <w:szCs w:val="20"/>
          <w:lang w:val="es-AR"/>
        </w:rPr>
        <w:t>Las Obligaciones Negociables estarán garantizadas s</w:t>
      </w:r>
      <w:r w:rsidR="00A03EA6" w:rsidRPr="00CA3A3D">
        <w:rPr>
          <w:rFonts w:ascii="Garamond" w:hAnsi="Garamond"/>
          <w:b/>
          <w:i/>
          <w:color w:val="000000"/>
          <w:sz w:val="20"/>
          <w:szCs w:val="20"/>
          <w:lang w:val="es-AR"/>
        </w:rPr>
        <w:t>ó</w:t>
      </w:r>
      <w:r w:rsidRPr="00CA3A3D">
        <w:rPr>
          <w:rFonts w:ascii="Garamond" w:hAnsi="Garamond"/>
          <w:b/>
          <w:i/>
          <w:color w:val="000000"/>
          <w:sz w:val="20"/>
          <w:szCs w:val="20"/>
          <w:lang w:val="es-AR"/>
        </w:rPr>
        <w:t>lo en la medida del valor de los activos que se hayan otorgado como garantía para las Obligaciones Negociables</w:t>
      </w:r>
      <w:r w:rsidR="00C975B7">
        <w:rPr>
          <w:rFonts w:ascii="Garamond" w:hAnsi="Garamond"/>
          <w:b/>
          <w:i/>
          <w:color w:val="000000"/>
          <w:sz w:val="20"/>
          <w:szCs w:val="20"/>
          <w:lang w:val="es-AR"/>
        </w:rPr>
        <w:t>, sujeto al Monto de Garantía Máximo</w:t>
      </w:r>
      <w:r w:rsidR="00E035D3">
        <w:rPr>
          <w:rFonts w:ascii="Garamond" w:hAnsi="Garamond"/>
          <w:b/>
          <w:i/>
          <w:color w:val="000000"/>
          <w:sz w:val="20"/>
          <w:szCs w:val="20"/>
          <w:lang w:val="es-AR"/>
        </w:rPr>
        <w:t xml:space="preserve"> y </w:t>
      </w:r>
      <w:r w:rsidR="00C975B7">
        <w:rPr>
          <w:rFonts w:ascii="Garamond" w:hAnsi="Garamond"/>
          <w:b/>
          <w:i/>
          <w:color w:val="000000"/>
          <w:sz w:val="20"/>
          <w:szCs w:val="20"/>
          <w:lang w:val="es-AR"/>
        </w:rPr>
        <w:t xml:space="preserve"> a las limitaciones establecidas en cada uno de los</w:t>
      </w:r>
      <w:r w:rsidR="00E035D3">
        <w:rPr>
          <w:rFonts w:ascii="Garamond" w:hAnsi="Garamond"/>
          <w:b/>
          <w:i/>
          <w:color w:val="000000"/>
          <w:sz w:val="20"/>
          <w:szCs w:val="20"/>
          <w:lang w:val="es-AR"/>
        </w:rPr>
        <w:t xml:space="preserve"> </w:t>
      </w:r>
      <w:r w:rsidR="00566007">
        <w:rPr>
          <w:rFonts w:ascii="Garamond" w:hAnsi="Garamond"/>
          <w:b/>
          <w:i/>
          <w:color w:val="000000"/>
          <w:sz w:val="20"/>
          <w:szCs w:val="20"/>
          <w:lang w:val="es-AR"/>
        </w:rPr>
        <w:t xml:space="preserve">Derechos de </w:t>
      </w:r>
      <w:r w:rsidR="00E035D3">
        <w:rPr>
          <w:rFonts w:ascii="Garamond" w:hAnsi="Garamond"/>
          <w:b/>
          <w:i/>
          <w:color w:val="000000"/>
          <w:sz w:val="20"/>
          <w:szCs w:val="20"/>
          <w:lang w:val="es-AR"/>
        </w:rPr>
        <w:t>Garantía</w:t>
      </w:r>
      <w:r w:rsidRPr="00CA3A3D">
        <w:rPr>
          <w:rFonts w:ascii="Garamond" w:hAnsi="Garamond"/>
          <w:b/>
          <w:i/>
          <w:color w:val="000000"/>
          <w:sz w:val="20"/>
          <w:szCs w:val="20"/>
          <w:lang w:val="es-AR"/>
        </w:rPr>
        <w:t>.</w:t>
      </w:r>
    </w:p>
    <w:p w14:paraId="2AEAF47F" w14:textId="77777777" w:rsidR="00A95F13" w:rsidRPr="00CA3A3D" w:rsidRDefault="00A95F13" w:rsidP="001E3DCC">
      <w:pPr>
        <w:spacing w:after="0" w:line="240" w:lineRule="auto"/>
        <w:jc w:val="both"/>
        <w:rPr>
          <w:rFonts w:ascii="Garamond" w:eastAsia="Calibri" w:hAnsi="Garamond" w:cs="Times New Roman"/>
          <w:color w:val="000000"/>
          <w:sz w:val="20"/>
          <w:szCs w:val="20"/>
          <w:lang w:val="es-AR" w:eastAsia="x-none"/>
        </w:rPr>
      </w:pPr>
    </w:p>
    <w:p w14:paraId="72C0B0DB" w14:textId="4943379E" w:rsidR="00EB7AD7" w:rsidRPr="00CA3A3D" w:rsidRDefault="00EB7AD7" w:rsidP="00002289">
      <w:pPr>
        <w:autoSpaceDE w:val="0"/>
        <w:autoSpaceDN w:val="0"/>
        <w:adjustRightInd w:val="0"/>
        <w:spacing w:after="0" w:line="240" w:lineRule="auto"/>
        <w:jc w:val="both"/>
        <w:rPr>
          <w:rFonts w:ascii="Garamond" w:hAnsi="Garamond"/>
          <w:color w:val="000000"/>
          <w:sz w:val="20"/>
          <w:lang w:val="es-AR"/>
        </w:rPr>
      </w:pPr>
      <w:r w:rsidRPr="00CA3A3D">
        <w:rPr>
          <w:rFonts w:ascii="Garamond" w:hAnsi="Garamond"/>
          <w:color w:val="000000"/>
          <w:sz w:val="20"/>
          <w:lang w:val="es-AR"/>
        </w:rPr>
        <w:t>Las Obligaciones Negociables estarán garantizadas s</w:t>
      </w:r>
      <w:r w:rsidR="00A03EA6" w:rsidRPr="00CA3A3D">
        <w:rPr>
          <w:rFonts w:ascii="Garamond" w:hAnsi="Garamond"/>
          <w:color w:val="000000"/>
          <w:sz w:val="20"/>
          <w:lang w:val="es-AR"/>
        </w:rPr>
        <w:t>ó</w:t>
      </w:r>
      <w:r w:rsidRPr="00CA3A3D">
        <w:rPr>
          <w:rFonts w:ascii="Garamond" w:hAnsi="Garamond"/>
          <w:color w:val="000000"/>
          <w:sz w:val="20"/>
          <w:lang w:val="es-AR"/>
        </w:rPr>
        <w:t>lo en la medida del valor de los activos que se hayan otorgado como garantía para las Obligaciones Negociables</w:t>
      </w:r>
      <w:r w:rsidR="00FF1AFA" w:rsidRPr="00CA3A3D">
        <w:rPr>
          <w:rFonts w:ascii="Garamond" w:eastAsia="Calibri" w:hAnsi="Garamond" w:cs="Times New Roman"/>
          <w:color w:val="000000"/>
          <w:sz w:val="20"/>
          <w:szCs w:val="20"/>
          <w:lang w:val="es-AR" w:eastAsia="x-none"/>
        </w:rPr>
        <w:t xml:space="preserve"> y en el marco de las limitaciones impuest</w:t>
      </w:r>
      <w:r w:rsidR="00C975B7">
        <w:rPr>
          <w:rFonts w:ascii="Garamond" w:eastAsia="Calibri" w:hAnsi="Garamond" w:cs="Times New Roman"/>
          <w:color w:val="000000"/>
          <w:sz w:val="20"/>
          <w:szCs w:val="20"/>
          <w:lang w:val="es-AR" w:eastAsia="x-none"/>
        </w:rPr>
        <w:t>a</w:t>
      </w:r>
      <w:r w:rsidR="00FF1AFA" w:rsidRPr="00CA3A3D">
        <w:rPr>
          <w:rFonts w:ascii="Garamond" w:eastAsia="Calibri" w:hAnsi="Garamond" w:cs="Times New Roman"/>
          <w:color w:val="000000"/>
          <w:sz w:val="20"/>
          <w:szCs w:val="20"/>
          <w:lang w:val="es-AR" w:eastAsia="x-none"/>
        </w:rPr>
        <w:t>s por el Contrato de Fideicomiso</w:t>
      </w:r>
      <w:r w:rsidR="001F4CF5" w:rsidRPr="00CA3A3D">
        <w:rPr>
          <w:rFonts w:ascii="Garamond" w:eastAsia="Calibri" w:hAnsi="Garamond" w:cs="Times New Roman"/>
          <w:color w:val="000000"/>
          <w:sz w:val="20"/>
          <w:szCs w:val="20"/>
          <w:lang w:val="es-AR" w:eastAsia="x-none"/>
        </w:rPr>
        <w:t>.</w:t>
      </w:r>
      <w:r w:rsidRPr="00CA3A3D">
        <w:rPr>
          <w:rFonts w:ascii="Garamond" w:eastAsia="Calibri" w:hAnsi="Garamond" w:cs="Times New Roman"/>
          <w:color w:val="000000"/>
          <w:sz w:val="20"/>
          <w:szCs w:val="20"/>
          <w:lang w:val="es-AR" w:eastAsia="x-none"/>
        </w:rPr>
        <w:t xml:space="preserve"> </w:t>
      </w:r>
      <w:r w:rsidR="00C058D1" w:rsidRPr="00CA3A3D">
        <w:rPr>
          <w:rFonts w:ascii="Garamond" w:eastAsia="Calibri" w:hAnsi="Garamond" w:cs="Times New Roman"/>
          <w:color w:val="000000"/>
          <w:sz w:val="20"/>
          <w:szCs w:val="20"/>
          <w:lang w:val="es-AR" w:eastAsia="x-none"/>
        </w:rPr>
        <w:t>Asimismo, l</w:t>
      </w:r>
      <w:r w:rsidR="001F4CF5" w:rsidRPr="00CA3A3D">
        <w:rPr>
          <w:rFonts w:ascii="Garamond" w:eastAsia="Calibri" w:hAnsi="Garamond" w:cs="Times New Roman"/>
          <w:color w:val="000000"/>
          <w:sz w:val="20"/>
          <w:szCs w:val="20"/>
          <w:lang w:val="es-AR" w:eastAsia="x-none"/>
        </w:rPr>
        <w:t>o</w:t>
      </w:r>
      <w:r w:rsidR="00C058D1" w:rsidRPr="00CA3A3D">
        <w:rPr>
          <w:rFonts w:ascii="Garamond" w:eastAsia="Calibri" w:hAnsi="Garamond" w:cs="Times New Roman"/>
          <w:color w:val="000000"/>
          <w:sz w:val="20"/>
          <w:szCs w:val="20"/>
          <w:lang w:val="es-AR" w:eastAsia="x-none"/>
        </w:rPr>
        <w:t xml:space="preserve">s </w:t>
      </w:r>
      <w:r w:rsidR="001F4CF5" w:rsidRPr="00CA3A3D">
        <w:rPr>
          <w:rFonts w:ascii="Garamond" w:eastAsia="Calibri" w:hAnsi="Garamond" w:cs="Times New Roman"/>
          <w:color w:val="000000"/>
          <w:sz w:val="20"/>
          <w:szCs w:val="20"/>
          <w:lang w:val="es-AR" w:eastAsia="x-none"/>
        </w:rPr>
        <w:t xml:space="preserve">Derechos de Garantía </w:t>
      </w:r>
      <w:r w:rsidR="00C058D1" w:rsidRPr="00CA3A3D">
        <w:rPr>
          <w:rFonts w:ascii="Garamond" w:eastAsia="Calibri" w:hAnsi="Garamond" w:cs="Times New Roman"/>
          <w:color w:val="000000"/>
          <w:sz w:val="20"/>
          <w:szCs w:val="20"/>
          <w:lang w:val="es-AR" w:eastAsia="x-none"/>
        </w:rPr>
        <w:t>se encuentran sujet</w:t>
      </w:r>
      <w:r w:rsidR="001F4CF5" w:rsidRPr="00CA3A3D">
        <w:rPr>
          <w:rFonts w:ascii="Garamond" w:eastAsia="Calibri" w:hAnsi="Garamond" w:cs="Times New Roman"/>
          <w:color w:val="000000"/>
          <w:sz w:val="20"/>
          <w:szCs w:val="20"/>
          <w:lang w:val="es-AR" w:eastAsia="x-none"/>
        </w:rPr>
        <w:t>o</w:t>
      </w:r>
      <w:r w:rsidR="00D96B1E" w:rsidRPr="00CA3A3D">
        <w:rPr>
          <w:rFonts w:ascii="Garamond" w:eastAsia="Calibri" w:hAnsi="Garamond" w:cs="Times New Roman"/>
          <w:color w:val="000000"/>
          <w:sz w:val="20"/>
          <w:szCs w:val="20"/>
          <w:lang w:val="es-AR" w:eastAsia="x-none"/>
        </w:rPr>
        <w:t>s</w:t>
      </w:r>
      <w:r w:rsidR="00C058D1" w:rsidRPr="00CA3A3D">
        <w:rPr>
          <w:rFonts w:ascii="Garamond" w:eastAsia="Calibri" w:hAnsi="Garamond" w:cs="Times New Roman"/>
          <w:color w:val="000000"/>
          <w:sz w:val="20"/>
          <w:szCs w:val="20"/>
          <w:lang w:val="es-AR" w:eastAsia="x-none"/>
        </w:rPr>
        <w:t xml:space="preserve"> a ciertos límites, </w:t>
      </w:r>
      <w:r w:rsidR="00FC0F85">
        <w:rPr>
          <w:rFonts w:ascii="Garamond" w:eastAsia="Calibri" w:hAnsi="Garamond" w:cs="Times New Roman"/>
          <w:color w:val="000000"/>
          <w:sz w:val="20"/>
          <w:szCs w:val="20"/>
          <w:lang w:val="es-AR" w:eastAsia="x-none"/>
        </w:rPr>
        <w:t>incluyendo el Monto de Garantía Máximo y ciertos límites individuales respecto de cada Derecho de Garantía.</w:t>
      </w:r>
      <w:r w:rsidR="00FC0F85" w:rsidRPr="00CA3A3D">
        <w:rPr>
          <w:rFonts w:ascii="Garamond" w:eastAsia="Calibri" w:hAnsi="Garamond" w:cs="Times New Roman"/>
          <w:color w:val="000000"/>
          <w:sz w:val="20"/>
          <w:szCs w:val="20"/>
          <w:lang w:val="es-AR" w:eastAsia="x-none"/>
        </w:rPr>
        <w:t xml:space="preserve"> </w:t>
      </w:r>
      <w:r w:rsidR="00F606A8">
        <w:rPr>
          <w:rFonts w:ascii="Garamond" w:eastAsia="Calibri" w:hAnsi="Garamond" w:cs="Times New Roman"/>
          <w:color w:val="000000"/>
          <w:sz w:val="20"/>
          <w:szCs w:val="20"/>
          <w:lang w:val="es-AR" w:eastAsia="x-none"/>
        </w:rPr>
        <w:t>V</w:t>
      </w:r>
      <w:r w:rsidR="00C058D1" w:rsidRPr="00CA3A3D">
        <w:rPr>
          <w:rFonts w:ascii="Garamond" w:eastAsia="Calibri" w:hAnsi="Garamond" w:cs="Times New Roman"/>
          <w:color w:val="000000"/>
          <w:sz w:val="20"/>
          <w:szCs w:val="20"/>
          <w:lang w:val="es-AR" w:eastAsia="x-none"/>
        </w:rPr>
        <w:t>éase “</w:t>
      </w:r>
      <w:r w:rsidR="00C058D1" w:rsidRPr="00CA3A3D">
        <w:rPr>
          <w:rFonts w:ascii="Garamond" w:eastAsia="Calibri" w:hAnsi="Garamond" w:cs="Times New Roman"/>
          <w:i/>
          <w:color w:val="000000"/>
          <w:sz w:val="20"/>
          <w:szCs w:val="20"/>
          <w:lang w:val="es-AR" w:eastAsia="x-none"/>
        </w:rPr>
        <w:t>Descripción de las Obligaciones Negociables</w:t>
      </w:r>
      <w:r w:rsidR="00C058D1" w:rsidRPr="00CA3A3D">
        <w:rPr>
          <w:rFonts w:ascii="Garamond" w:hAnsi="Garamond" w:cstheme="minorHAnsi"/>
          <w:i/>
          <w:sz w:val="20"/>
          <w:szCs w:val="20"/>
          <w:lang w:val="es-AR"/>
        </w:rPr>
        <w:t>―</w:t>
      </w:r>
      <w:r w:rsidR="001F4CF5" w:rsidRPr="00CA3A3D">
        <w:rPr>
          <w:rFonts w:ascii="Garamond" w:hAnsi="Garamond" w:cstheme="minorHAnsi"/>
          <w:i/>
          <w:sz w:val="20"/>
          <w:szCs w:val="20"/>
          <w:lang w:val="es-AR"/>
        </w:rPr>
        <w:t>Derechos de Garantía</w:t>
      </w:r>
      <w:r w:rsidR="00C058D1" w:rsidRPr="00CA3A3D">
        <w:rPr>
          <w:rFonts w:ascii="Garamond" w:hAnsi="Garamond" w:cstheme="minorHAnsi"/>
          <w:i/>
          <w:sz w:val="20"/>
          <w:szCs w:val="20"/>
          <w:lang w:val="es-AR"/>
        </w:rPr>
        <w:t>―</w:t>
      </w:r>
      <w:r w:rsidR="00C058D1" w:rsidRPr="00CA3A3D">
        <w:rPr>
          <w:rFonts w:ascii="Garamond" w:eastAsia="Calibri" w:hAnsi="Garamond" w:cs="Times New Roman"/>
          <w:i/>
          <w:color w:val="000000"/>
          <w:sz w:val="20"/>
          <w:szCs w:val="20"/>
          <w:lang w:val="es-AR" w:eastAsia="x-none"/>
        </w:rPr>
        <w:t>Limitaciones a l</w:t>
      </w:r>
      <w:r w:rsidR="001F4CF5" w:rsidRPr="00CA3A3D">
        <w:rPr>
          <w:rFonts w:ascii="Garamond" w:eastAsia="Calibri" w:hAnsi="Garamond" w:cs="Times New Roman"/>
          <w:i/>
          <w:color w:val="000000"/>
          <w:sz w:val="20"/>
          <w:szCs w:val="20"/>
          <w:lang w:val="es-AR" w:eastAsia="x-none"/>
        </w:rPr>
        <w:t>o</w:t>
      </w:r>
      <w:r w:rsidR="00C058D1" w:rsidRPr="00CA3A3D">
        <w:rPr>
          <w:rFonts w:ascii="Garamond" w:eastAsia="Calibri" w:hAnsi="Garamond" w:cs="Times New Roman"/>
          <w:i/>
          <w:color w:val="000000"/>
          <w:sz w:val="20"/>
          <w:szCs w:val="20"/>
          <w:lang w:val="es-AR" w:eastAsia="x-none"/>
        </w:rPr>
        <w:t xml:space="preserve">s </w:t>
      </w:r>
      <w:r w:rsidR="001F4CF5" w:rsidRPr="00CA3A3D">
        <w:rPr>
          <w:rFonts w:ascii="Garamond" w:eastAsia="Calibri" w:hAnsi="Garamond" w:cs="Times New Roman"/>
          <w:i/>
          <w:color w:val="000000"/>
          <w:sz w:val="20"/>
          <w:szCs w:val="20"/>
          <w:lang w:val="es-AR" w:eastAsia="x-none"/>
        </w:rPr>
        <w:t>Derechos de Garantía</w:t>
      </w:r>
      <w:r w:rsidR="00C058D1" w:rsidRPr="00CA3A3D">
        <w:rPr>
          <w:rFonts w:ascii="Garamond" w:eastAsia="Calibri" w:hAnsi="Garamond" w:cs="Times New Roman"/>
          <w:color w:val="000000"/>
          <w:sz w:val="20"/>
          <w:szCs w:val="20"/>
          <w:lang w:val="es-AR" w:eastAsia="x-none"/>
        </w:rPr>
        <w:t>”.</w:t>
      </w:r>
    </w:p>
    <w:p w14:paraId="281B37BA" w14:textId="77777777" w:rsidR="00A95F13" w:rsidRPr="00CA3A3D" w:rsidRDefault="00A95F13" w:rsidP="00002289">
      <w:pPr>
        <w:autoSpaceDE w:val="0"/>
        <w:autoSpaceDN w:val="0"/>
        <w:adjustRightInd w:val="0"/>
        <w:spacing w:after="0" w:line="240" w:lineRule="auto"/>
        <w:jc w:val="both"/>
        <w:rPr>
          <w:rFonts w:ascii="Garamond" w:eastAsia="Calibri" w:hAnsi="Garamond" w:cs="Times New Roman"/>
          <w:color w:val="000000"/>
          <w:sz w:val="20"/>
          <w:szCs w:val="20"/>
          <w:lang w:val="es-AR" w:eastAsia="x-none"/>
        </w:rPr>
      </w:pPr>
    </w:p>
    <w:p w14:paraId="261409B0" w14:textId="152EC073" w:rsidR="00EB7AD7" w:rsidRPr="00CA3A3D" w:rsidRDefault="00EB7AD7" w:rsidP="001E3DCC">
      <w:pPr>
        <w:autoSpaceDE w:val="0"/>
        <w:autoSpaceDN w:val="0"/>
        <w:adjustRightInd w:val="0"/>
        <w:spacing w:after="0" w:line="240" w:lineRule="auto"/>
        <w:jc w:val="both"/>
        <w:rPr>
          <w:rFonts w:ascii="Garamond" w:eastAsia="Calibri" w:hAnsi="Garamond" w:cs="Times New Roman"/>
          <w:color w:val="000000"/>
          <w:sz w:val="20"/>
          <w:szCs w:val="20"/>
          <w:lang w:val="es-AR" w:eastAsia="x-none"/>
        </w:rPr>
      </w:pPr>
      <w:r w:rsidRPr="00CA3A3D">
        <w:rPr>
          <w:rFonts w:ascii="Garamond" w:eastAsia="Calibri" w:hAnsi="Garamond" w:cs="Times New Roman"/>
          <w:color w:val="000000"/>
          <w:sz w:val="20"/>
          <w:szCs w:val="20"/>
          <w:lang w:val="es-AR" w:eastAsia="x-none"/>
        </w:rPr>
        <w:t>Si hay un evento de incumplimiento bajo las Obligaciones Negociables, los</w:t>
      </w:r>
      <w:r w:rsidR="00531775" w:rsidRPr="00CA3A3D">
        <w:rPr>
          <w:rFonts w:ascii="Garamond" w:eastAsia="Calibri" w:hAnsi="Garamond" w:cs="Times New Roman"/>
          <w:color w:val="000000"/>
          <w:sz w:val="20"/>
          <w:szCs w:val="20"/>
          <w:lang w:val="es-AR" w:eastAsia="x-none"/>
        </w:rPr>
        <w:t xml:space="preserve"> T</w:t>
      </w:r>
      <w:r w:rsidRPr="00CA3A3D">
        <w:rPr>
          <w:rFonts w:ascii="Garamond" w:eastAsia="Calibri" w:hAnsi="Garamond" w:cs="Times New Roman"/>
          <w:color w:val="000000"/>
          <w:sz w:val="20"/>
          <w:szCs w:val="20"/>
          <w:lang w:val="es-AR" w:eastAsia="x-none"/>
        </w:rPr>
        <w:t>enedores de las Obligaciones Negociables estarán garantizados s</w:t>
      </w:r>
      <w:r w:rsidR="00BF03FE" w:rsidRPr="00CA3A3D">
        <w:rPr>
          <w:rFonts w:ascii="Garamond" w:eastAsia="Calibri" w:hAnsi="Garamond" w:cs="Times New Roman"/>
          <w:color w:val="000000"/>
          <w:sz w:val="20"/>
          <w:szCs w:val="20"/>
          <w:lang w:val="es-AR" w:eastAsia="x-none"/>
        </w:rPr>
        <w:t>ó</w:t>
      </w:r>
      <w:r w:rsidRPr="00CA3A3D">
        <w:rPr>
          <w:rFonts w:ascii="Garamond" w:eastAsia="Calibri" w:hAnsi="Garamond" w:cs="Times New Roman"/>
          <w:color w:val="000000"/>
          <w:sz w:val="20"/>
          <w:szCs w:val="20"/>
          <w:lang w:val="es-AR" w:eastAsia="x-none"/>
        </w:rPr>
        <w:t>lo en la medida del valor de los activos subyacentes a su interés de garantía</w:t>
      </w:r>
      <w:r w:rsidR="00C058D1" w:rsidRPr="00CA3A3D">
        <w:rPr>
          <w:rFonts w:ascii="Garamond" w:eastAsia="Calibri" w:hAnsi="Garamond" w:cs="Times New Roman"/>
          <w:color w:val="000000"/>
          <w:sz w:val="20"/>
          <w:szCs w:val="20"/>
          <w:lang w:val="es-AR" w:eastAsia="x-none"/>
        </w:rPr>
        <w:t xml:space="preserve"> y por hasta los montos establecidos en el Contrato de Fideicomiso</w:t>
      </w:r>
      <w:r w:rsidR="00E720CD">
        <w:rPr>
          <w:rFonts w:ascii="Garamond" w:eastAsia="Calibri" w:hAnsi="Garamond" w:cs="Times New Roman"/>
          <w:color w:val="000000"/>
          <w:sz w:val="20"/>
          <w:szCs w:val="20"/>
          <w:lang w:val="es-AR" w:eastAsia="x-none"/>
        </w:rPr>
        <w:t xml:space="preserve"> y en</w:t>
      </w:r>
      <w:r w:rsidR="00566007">
        <w:rPr>
          <w:rFonts w:ascii="Garamond" w:eastAsia="Calibri" w:hAnsi="Garamond" w:cs="Times New Roman"/>
          <w:color w:val="000000"/>
          <w:sz w:val="20"/>
          <w:szCs w:val="20"/>
          <w:lang w:val="es-AR" w:eastAsia="x-none"/>
        </w:rPr>
        <w:t xml:space="preserve"> cada uno de los Derechos de Garantía</w:t>
      </w:r>
      <w:r w:rsidR="00C058D1" w:rsidRPr="00CA3A3D">
        <w:rPr>
          <w:rFonts w:ascii="Garamond" w:eastAsia="Calibri" w:hAnsi="Garamond" w:cs="Times New Roman"/>
          <w:color w:val="000000"/>
          <w:sz w:val="20"/>
          <w:szCs w:val="20"/>
          <w:lang w:val="es-AR" w:eastAsia="x-none"/>
        </w:rPr>
        <w:t xml:space="preserve">, </w:t>
      </w:r>
      <w:r w:rsidR="00C058D1" w:rsidRPr="00CA3A3D">
        <w:rPr>
          <w:rFonts w:ascii="Garamond" w:eastAsia="Calibri" w:hAnsi="Garamond" w:cs="Times New Roman"/>
          <w:color w:val="000000"/>
          <w:sz w:val="20"/>
          <w:szCs w:val="20"/>
          <w:lang w:val="es-AR" w:eastAsia="x-none"/>
        </w:rPr>
        <w:lastRenderedPageBreak/>
        <w:t>véase “</w:t>
      </w:r>
      <w:r w:rsidR="00C058D1" w:rsidRPr="00CA3A3D">
        <w:rPr>
          <w:rFonts w:ascii="Garamond" w:eastAsia="Calibri" w:hAnsi="Garamond" w:cs="Times New Roman"/>
          <w:i/>
          <w:color w:val="000000"/>
          <w:sz w:val="20"/>
          <w:szCs w:val="20"/>
          <w:lang w:val="es-AR" w:eastAsia="x-none"/>
        </w:rPr>
        <w:t>Descripción de las Obligaciones Negociables</w:t>
      </w:r>
      <w:r w:rsidR="00C058D1" w:rsidRPr="00CA3A3D">
        <w:rPr>
          <w:rFonts w:ascii="Garamond" w:hAnsi="Garamond" w:cstheme="minorHAnsi"/>
          <w:i/>
          <w:sz w:val="20"/>
          <w:szCs w:val="20"/>
          <w:lang w:val="es-AR"/>
        </w:rPr>
        <w:t>―</w:t>
      </w:r>
      <w:r w:rsidR="00E7334F" w:rsidRPr="00CA3A3D" w:rsidDel="00E7334F">
        <w:rPr>
          <w:rFonts w:ascii="Garamond" w:hAnsi="Garamond" w:cstheme="minorHAnsi"/>
          <w:i/>
          <w:sz w:val="20"/>
          <w:szCs w:val="20"/>
          <w:lang w:val="es-AR"/>
        </w:rPr>
        <w:t xml:space="preserve"> </w:t>
      </w:r>
      <w:r w:rsidR="00E7334F" w:rsidRPr="00CA3A3D">
        <w:rPr>
          <w:rFonts w:ascii="Garamond" w:hAnsi="Garamond" w:cstheme="minorHAnsi"/>
          <w:i/>
          <w:sz w:val="20"/>
          <w:szCs w:val="20"/>
          <w:lang w:val="es-AR"/>
        </w:rPr>
        <w:t>l</w:t>
      </w:r>
      <w:r w:rsidR="00C74B16" w:rsidRPr="00CA3A3D">
        <w:rPr>
          <w:rFonts w:ascii="Garamond" w:hAnsi="Garamond" w:cstheme="minorHAnsi"/>
          <w:i/>
          <w:sz w:val="20"/>
          <w:szCs w:val="20"/>
          <w:lang w:val="es-AR"/>
        </w:rPr>
        <w:t>o</w:t>
      </w:r>
      <w:r w:rsidR="00E7334F" w:rsidRPr="00CA3A3D">
        <w:rPr>
          <w:rFonts w:ascii="Garamond" w:hAnsi="Garamond" w:cstheme="minorHAnsi"/>
          <w:i/>
          <w:sz w:val="20"/>
          <w:szCs w:val="20"/>
          <w:lang w:val="es-AR"/>
        </w:rPr>
        <w:t xml:space="preserve">s </w:t>
      </w:r>
      <w:r w:rsidR="00C74B16" w:rsidRPr="00CA3A3D">
        <w:rPr>
          <w:rFonts w:ascii="Garamond" w:hAnsi="Garamond" w:cstheme="minorHAnsi"/>
          <w:i/>
          <w:sz w:val="20"/>
          <w:szCs w:val="20"/>
          <w:lang w:val="es-AR"/>
        </w:rPr>
        <w:t>Derechos de Garantía</w:t>
      </w:r>
      <w:r w:rsidR="00C058D1" w:rsidRPr="00CA3A3D">
        <w:rPr>
          <w:rFonts w:ascii="Garamond" w:eastAsia="Calibri" w:hAnsi="Garamond" w:cs="Times New Roman"/>
          <w:i/>
          <w:color w:val="000000"/>
          <w:sz w:val="20"/>
          <w:szCs w:val="20"/>
          <w:lang w:val="es-AR" w:eastAsia="x-none"/>
        </w:rPr>
        <w:t>”</w:t>
      </w:r>
      <w:r w:rsidR="00C058D1" w:rsidRPr="00CA3A3D">
        <w:rPr>
          <w:rFonts w:ascii="Garamond" w:eastAsia="Calibri" w:hAnsi="Garamond" w:cs="Times New Roman"/>
          <w:color w:val="000000"/>
          <w:sz w:val="20"/>
          <w:szCs w:val="20"/>
          <w:lang w:val="es-AR" w:eastAsia="x-none"/>
        </w:rPr>
        <w:t xml:space="preserve"> </w:t>
      </w:r>
      <w:r w:rsidR="00E720CD">
        <w:rPr>
          <w:rFonts w:ascii="Garamond" w:eastAsia="Calibri" w:hAnsi="Garamond" w:cs="Times New Roman"/>
          <w:color w:val="000000"/>
          <w:sz w:val="20"/>
          <w:szCs w:val="20"/>
          <w:lang w:val="es-AR" w:eastAsia="x-none"/>
        </w:rPr>
        <w:t xml:space="preserve">y </w:t>
      </w:r>
      <w:r w:rsidR="00E720CD" w:rsidRPr="00CA3A3D">
        <w:rPr>
          <w:rFonts w:ascii="Garamond" w:eastAsia="Calibri" w:hAnsi="Garamond" w:cs="Times New Roman"/>
          <w:color w:val="000000"/>
          <w:sz w:val="20"/>
          <w:szCs w:val="20"/>
          <w:lang w:val="es-AR" w:eastAsia="x-none"/>
        </w:rPr>
        <w:t>“</w:t>
      </w:r>
      <w:r w:rsidR="00E720CD" w:rsidRPr="00CA3A3D">
        <w:rPr>
          <w:rFonts w:ascii="Garamond" w:eastAsia="Calibri" w:hAnsi="Garamond" w:cs="Times New Roman"/>
          <w:i/>
          <w:color w:val="000000"/>
          <w:sz w:val="20"/>
          <w:szCs w:val="20"/>
          <w:lang w:val="es-AR" w:eastAsia="x-none"/>
        </w:rPr>
        <w:t>Descripción de las Obligaciones Negociables</w:t>
      </w:r>
      <w:r w:rsidR="00E720CD" w:rsidRPr="00CA3A3D">
        <w:rPr>
          <w:rFonts w:ascii="Garamond" w:hAnsi="Garamond" w:cstheme="minorHAnsi"/>
          <w:i/>
          <w:sz w:val="20"/>
          <w:szCs w:val="20"/>
          <w:lang w:val="es-AR"/>
        </w:rPr>
        <w:t>―</w:t>
      </w:r>
      <w:r w:rsidR="00E720CD" w:rsidRPr="00CA3A3D" w:rsidDel="00E7334F">
        <w:rPr>
          <w:rFonts w:ascii="Garamond" w:hAnsi="Garamond" w:cstheme="minorHAnsi"/>
          <w:i/>
          <w:sz w:val="20"/>
          <w:szCs w:val="20"/>
          <w:lang w:val="es-AR"/>
        </w:rPr>
        <w:t xml:space="preserve"> </w:t>
      </w:r>
      <w:r w:rsidR="00E720CD" w:rsidRPr="00CA3A3D">
        <w:rPr>
          <w:rFonts w:ascii="Garamond" w:hAnsi="Garamond" w:cstheme="minorHAnsi"/>
          <w:i/>
          <w:sz w:val="20"/>
          <w:szCs w:val="20"/>
          <w:lang w:val="es-AR"/>
        </w:rPr>
        <w:t>los Derechos de Garantía</w:t>
      </w:r>
      <w:r w:rsidR="00E720CD">
        <w:rPr>
          <w:rFonts w:ascii="Garamond" w:hAnsi="Garamond" w:cstheme="minorHAnsi"/>
          <w:i/>
          <w:sz w:val="20"/>
          <w:szCs w:val="20"/>
          <w:lang w:val="es-AR"/>
        </w:rPr>
        <w:t>—Limitaciones a los Derechos de Garantía</w:t>
      </w:r>
      <w:r w:rsidR="00E720CD" w:rsidRPr="00CA3A3D">
        <w:rPr>
          <w:rFonts w:ascii="Garamond" w:eastAsia="Calibri" w:hAnsi="Garamond" w:cs="Times New Roman"/>
          <w:i/>
          <w:color w:val="000000"/>
          <w:sz w:val="20"/>
          <w:szCs w:val="20"/>
          <w:lang w:val="es-AR" w:eastAsia="x-none"/>
        </w:rPr>
        <w:t>”</w:t>
      </w:r>
      <w:r w:rsidR="00F606A8">
        <w:rPr>
          <w:rFonts w:ascii="Garamond" w:eastAsia="Calibri" w:hAnsi="Garamond" w:cs="Times New Roman"/>
          <w:i/>
          <w:color w:val="000000"/>
          <w:sz w:val="20"/>
          <w:szCs w:val="20"/>
          <w:lang w:val="es-AR" w:eastAsia="x-none"/>
        </w:rPr>
        <w:t xml:space="preserve"> </w:t>
      </w:r>
      <w:r w:rsidR="00C058D1" w:rsidRPr="00CA3A3D">
        <w:rPr>
          <w:rFonts w:ascii="Garamond" w:eastAsia="Calibri" w:hAnsi="Garamond" w:cs="Times New Roman"/>
          <w:color w:val="000000"/>
          <w:sz w:val="20"/>
          <w:szCs w:val="20"/>
          <w:lang w:val="es-AR" w:eastAsia="x-none"/>
        </w:rPr>
        <w:t>del presente Suplemento</w:t>
      </w:r>
      <w:r w:rsidRPr="00CA3A3D">
        <w:rPr>
          <w:rFonts w:ascii="Garamond" w:eastAsia="Calibri" w:hAnsi="Garamond" w:cs="Times New Roman"/>
          <w:color w:val="000000"/>
          <w:sz w:val="20"/>
          <w:szCs w:val="20"/>
          <w:lang w:val="es-AR" w:eastAsia="x-none"/>
        </w:rPr>
        <w:t>. S</w:t>
      </w:r>
      <w:r w:rsidR="00BF03FE" w:rsidRPr="00CA3A3D">
        <w:rPr>
          <w:rFonts w:ascii="Garamond" w:eastAsia="Calibri" w:hAnsi="Garamond" w:cs="Times New Roman"/>
          <w:color w:val="000000"/>
          <w:sz w:val="20"/>
          <w:szCs w:val="20"/>
          <w:lang w:val="es-AR" w:eastAsia="x-none"/>
        </w:rPr>
        <w:t>ó</w:t>
      </w:r>
      <w:r w:rsidRPr="00CA3A3D">
        <w:rPr>
          <w:rFonts w:ascii="Garamond" w:eastAsia="Calibri" w:hAnsi="Garamond" w:cs="Times New Roman"/>
          <w:color w:val="000000"/>
          <w:sz w:val="20"/>
          <w:szCs w:val="20"/>
          <w:lang w:val="es-AR" w:eastAsia="x-none"/>
        </w:rPr>
        <w:t xml:space="preserve">lo algunos de </w:t>
      </w:r>
      <w:r w:rsidR="00531775" w:rsidRPr="00CA3A3D">
        <w:rPr>
          <w:rFonts w:ascii="Garamond" w:eastAsia="Calibri" w:hAnsi="Garamond" w:cs="Times New Roman"/>
          <w:color w:val="000000"/>
          <w:sz w:val="20"/>
          <w:szCs w:val="20"/>
          <w:lang w:val="es-AR" w:eastAsia="x-none"/>
        </w:rPr>
        <w:t>los</w:t>
      </w:r>
      <w:r w:rsidRPr="00CA3A3D">
        <w:rPr>
          <w:rFonts w:ascii="Garamond" w:eastAsia="Calibri" w:hAnsi="Garamond" w:cs="Times New Roman"/>
          <w:color w:val="000000"/>
          <w:sz w:val="20"/>
          <w:szCs w:val="20"/>
          <w:lang w:val="es-AR" w:eastAsia="x-none"/>
        </w:rPr>
        <w:t xml:space="preserve"> activos </w:t>
      </w:r>
      <w:r w:rsidR="00531775" w:rsidRPr="00CA3A3D">
        <w:rPr>
          <w:rFonts w:ascii="Garamond" w:eastAsia="Calibri" w:hAnsi="Garamond" w:cs="Times New Roman"/>
          <w:color w:val="000000"/>
          <w:sz w:val="20"/>
          <w:szCs w:val="20"/>
          <w:lang w:val="es-AR" w:eastAsia="x-none"/>
        </w:rPr>
        <w:t xml:space="preserve">de </w:t>
      </w:r>
      <w:r w:rsidR="00D308A4" w:rsidRPr="00CA3A3D">
        <w:rPr>
          <w:rFonts w:ascii="Garamond" w:eastAsia="Calibri" w:hAnsi="Garamond" w:cs="Times New Roman"/>
          <w:color w:val="000000"/>
          <w:sz w:val="20"/>
          <w:szCs w:val="20"/>
          <w:lang w:val="es-AR" w:eastAsia="x-none"/>
        </w:rPr>
        <w:t>GEMSA</w:t>
      </w:r>
      <w:r w:rsidR="00531775" w:rsidRPr="00CA3A3D">
        <w:rPr>
          <w:rFonts w:ascii="Garamond" w:eastAsia="Calibri" w:hAnsi="Garamond" w:cs="Times New Roman"/>
          <w:color w:val="000000"/>
          <w:sz w:val="20"/>
          <w:szCs w:val="20"/>
          <w:lang w:val="es-AR" w:eastAsia="x-none"/>
        </w:rPr>
        <w:t xml:space="preserve"> </w:t>
      </w:r>
      <w:r w:rsidRPr="00CA3A3D">
        <w:rPr>
          <w:rFonts w:ascii="Garamond" w:eastAsia="Calibri" w:hAnsi="Garamond" w:cs="Times New Roman"/>
          <w:color w:val="000000"/>
          <w:sz w:val="20"/>
          <w:szCs w:val="20"/>
          <w:lang w:val="es-AR" w:eastAsia="x-none"/>
        </w:rPr>
        <w:t xml:space="preserve">aseguran las Obligaciones Negociables y muchos de </w:t>
      </w:r>
      <w:r w:rsidR="00531775" w:rsidRPr="00CA3A3D">
        <w:rPr>
          <w:rFonts w:ascii="Garamond" w:eastAsia="Calibri" w:hAnsi="Garamond" w:cs="Times New Roman"/>
          <w:color w:val="000000"/>
          <w:sz w:val="20"/>
          <w:szCs w:val="20"/>
          <w:lang w:val="es-AR" w:eastAsia="x-none"/>
        </w:rPr>
        <w:t>ellos</w:t>
      </w:r>
      <w:r w:rsidRPr="00CA3A3D">
        <w:rPr>
          <w:rFonts w:ascii="Garamond" w:eastAsia="Calibri" w:hAnsi="Garamond" w:cs="Times New Roman"/>
          <w:color w:val="000000"/>
          <w:sz w:val="20"/>
          <w:szCs w:val="20"/>
          <w:lang w:val="es-AR" w:eastAsia="x-none"/>
        </w:rPr>
        <w:t xml:space="preserve"> se excluyen de los </w:t>
      </w:r>
      <w:r w:rsidR="00C74B16" w:rsidRPr="00CA3A3D">
        <w:rPr>
          <w:rFonts w:ascii="Garamond" w:eastAsia="Calibri" w:hAnsi="Garamond" w:cs="Times New Roman"/>
          <w:color w:val="000000"/>
          <w:sz w:val="20"/>
          <w:szCs w:val="20"/>
          <w:lang w:val="es-AR" w:eastAsia="x-none"/>
        </w:rPr>
        <w:t xml:space="preserve">Derechos de Garantía </w:t>
      </w:r>
      <w:r w:rsidRPr="00CA3A3D">
        <w:rPr>
          <w:rFonts w:ascii="Garamond" w:eastAsia="Calibri" w:hAnsi="Garamond" w:cs="Times New Roman"/>
          <w:color w:val="000000"/>
          <w:sz w:val="20"/>
          <w:szCs w:val="20"/>
          <w:lang w:val="es-AR" w:eastAsia="x-none"/>
        </w:rPr>
        <w:t>que aseguran las Obligaciones Negociables, tal como se describe en “</w:t>
      </w:r>
      <w:r w:rsidRPr="00CA3A3D">
        <w:rPr>
          <w:rFonts w:ascii="Garamond" w:eastAsia="Calibri" w:hAnsi="Garamond" w:cs="Times New Roman"/>
          <w:i/>
          <w:color w:val="000000"/>
          <w:sz w:val="20"/>
          <w:szCs w:val="20"/>
          <w:lang w:val="es-AR" w:eastAsia="x-none"/>
        </w:rPr>
        <w:t>Descripción de la Oferta y la Negociación</w:t>
      </w:r>
      <w:r w:rsidRPr="00CA3A3D">
        <w:rPr>
          <w:rFonts w:ascii="Garamond" w:hAnsi="Garamond"/>
          <w:i/>
          <w:sz w:val="20"/>
          <w:szCs w:val="20"/>
          <w:lang w:val="es-AR"/>
        </w:rPr>
        <w:t>–</w:t>
      </w:r>
      <w:r w:rsidRPr="00CA3A3D">
        <w:rPr>
          <w:rFonts w:ascii="Garamond" w:eastAsia="Calibri" w:hAnsi="Garamond" w:cs="Times New Roman"/>
          <w:i/>
          <w:color w:val="000000"/>
          <w:sz w:val="20"/>
          <w:szCs w:val="20"/>
          <w:lang w:val="es-AR" w:eastAsia="x-none"/>
        </w:rPr>
        <w:t>Descripción de l</w:t>
      </w:r>
      <w:r w:rsidR="00C74B16" w:rsidRPr="00CA3A3D">
        <w:rPr>
          <w:rFonts w:ascii="Garamond" w:eastAsia="Calibri" w:hAnsi="Garamond" w:cs="Times New Roman"/>
          <w:i/>
          <w:color w:val="000000"/>
          <w:sz w:val="20"/>
          <w:szCs w:val="20"/>
          <w:lang w:val="es-AR" w:eastAsia="x-none"/>
        </w:rPr>
        <w:t>a</w:t>
      </w:r>
      <w:r w:rsidRPr="00CA3A3D">
        <w:rPr>
          <w:rFonts w:ascii="Garamond" w:eastAsia="Calibri" w:hAnsi="Garamond" w:cs="Times New Roman"/>
          <w:i/>
          <w:color w:val="000000"/>
          <w:sz w:val="20"/>
          <w:szCs w:val="20"/>
          <w:lang w:val="es-AR" w:eastAsia="x-none"/>
        </w:rPr>
        <w:t>s Obligaciones Negociables</w:t>
      </w:r>
      <w:r w:rsidRPr="00CA3A3D">
        <w:rPr>
          <w:rFonts w:ascii="Garamond" w:eastAsia="Calibri" w:hAnsi="Garamond" w:cs="Times New Roman"/>
          <w:color w:val="000000"/>
          <w:sz w:val="20"/>
          <w:szCs w:val="20"/>
          <w:lang w:val="es-AR" w:eastAsia="x-none"/>
        </w:rPr>
        <w:t xml:space="preserve">” en este Suplemento. </w:t>
      </w:r>
    </w:p>
    <w:p w14:paraId="2584EB7A" w14:textId="77777777" w:rsidR="00260C6B" w:rsidRPr="00CA3A3D" w:rsidRDefault="00260C6B" w:rsidP="001E3DCC">
      <w:pPr>
        <w:autoSpaceDE w:val="0"/>
        <w:autoSpaceDN w:val="0"/>
        <w:adjustRightInd w:val="0"/>
        <w:spacing w:after="0" w:line="240" w:lineRule="auto"/>
        <w:jc w:val="both"/>
        <w:rPr>
          <w:rFonts w:ascii="Garamond" w:eastAsia="Calibri" w:hAnsi="Garamond" w:cs="Times New Roman"/>
          <w:color w:val="000000"/>
          <w:sz w:val="20"/>
          <w:szCs w:val="20"/>
          <w:lang w:val="es-AR" w:eastAsia="x-none"/>
        </w:rPr>
      </w:pPr>
    </w:p>
    <w:p w14:paraId="2E500C74" w14:textId="121C263C" w:rsidR="00A95F13" w:rsidRPr="00CA3A3D" w:rsidRDefault="00260C6B" w:rsidP="00B51DCD">
      <w:pPr>
        <w:autoSpaceDE w:val="0"/>
        <w:autoSpaceDN w:val="0"/>
        <w:adjustRightInd w:val="0"/>
        <w:spacing w:after="0" w:line="240" w:lineRule="auto"/>
        <w:jc w:val="both"/>
        <w:rPr>
          <w:rFonts w:ascii="Garamond" w:eastAsia="Calibri" w:hAnsi="Garamond" w:cs="Times New Roman"/>
          <w:color w:val="000000"/>
          <w:sz w:val="20"/>
          <w:szCs w:val="20"/>
          <w:lang w:val="es-AR" w:eastAsia="x-none"/>
        </w:rPr>
      </w:pPr>
      <w:r w:rsidRPr="00CA3A3D">
        <w:rPr>
          <w:rFonts w:ascii="Garamond" w:eastAsia="Calibri" w:hAnsi="Garamond" w:cs="Times New Roman"/>
          <w:color w:val="000000"/>
          <w:sz w:val="20"/>
          <w:szCs w:val="20"/>
          <w:lang w:val="es-AR" w:eastAsia="x-none"/>
        </w:rPr>
        <w:t>Asimismo, los derechos de los tenedores de las Obligacion</w:t>
      </w:r>
      <w:r w:rsidR="00C404AD" w:rsidRPr="00CA3A3D">
        <w:rPr>
          <w:rFonts w:ascii="Garamond" w:eastAsia="Calibri" w:hAnsi="Garamond" w:cs="Times New Roman"/>
          <w:color w:val="000000"/>
          <w:sz w:val="20"/>
          <w:szCs w:val="20"/>
          <w:lang w:val="es-AR" w:eastAsia="x-none"/>
        </w:rPr>
        <w:t>es Negociables con respecto a l</w:t>
      </w:r>
      <w:r w:rsidR="00830255" w:rsidRPr="00CA3A3D">
        <w:rPr>
          <w:rFonts w:ascii="Garamond" w:eastAsia="Calibri" w:hAnsi="Garamond" w:cs="Times New Roman"/>
          <w:color w:val="000000"/>
          <w:sz w:val="20"/>
          <w:szCs w:val="20"/>
          <w:lang w:val="es-AR" w:eastAsia="x-none"/>
        </w:rPr>
        <w:t>o</w:t>
      </w:r>
      <w:r w:rsidR="00C404AD" w:rsidRPr="00CA3A3D">
        <w:rPr>
          <w:rFonts w:ascii="Garamond" w:eastAsia="Calibri" w:hAnsi="Garamond" w:cs="Times New Roman"/>
          <w:color w:val="000000"/>
          <w:sz w:val="20"/>
          <w:szCs w:val="20"/>
          <w:lang w:val="es-AR" w:eastAsia="x-none"/>
        </w:rPr>
        <w:t>s</w:t>
      </w:r>
      <w:r w:rsidRPr="00CA3A3D">
        <w:rPr>
          <w:rFonts w:ascii="Garamond" w:eastAsia="Calibri" w:hAnsi="Garamond" w:cs="Times New Roman"/>
          <w:color w:val="000000"/>
          <w:sz w:val="20"/>
          <w:szCs w:val="20"/>
          <w:lang w:val="es-AR" w:eastAsia="x-none"/>
        </w:rPr>
        <w:t xml:space="preserve"> </w:t>
      </w:r>
      <w:r w:rsidR="00830255" w:rsidRPr="00CA3A3D">
        <w:rPr>
          <w:rFonts w:ascii="Garamond" w:eastAsia="Calibri" w:hAnsi="Garamond" w:cs="Times New Roman"/>
          <w:color w:val="000000"/>
          <w:sz w:val="20"/>
          <w:szCs w:val="20"/>
          <w:lang w:val="es-AR" w:eastAsia="x-none"/>
        </w:rPr>
        <w:t xml:space="preserve">Derechos de Garantía </w:t>
      </w:r>
      <w:r w:rsidRPr="00CA3A3D">
        <w:rPr>
          <w:rFonts w:ascii="Garamond" w:eastAsia="Calibri" w:hAnsi="Garamond" w:cs="Times New Roman"/>
          <w:color w:val="000000"/>
          <w:sz w:val="20"/>
          <w:szCs w:val="20"/>
          <w:lang w:val="es-AR" w:eastAsia="x-none"/>
        </w:rPr>
        <w:t xml:space="preserve">estarán limitados por (i) el derecho aplicable, (ii) la falta de consentimiento por parte de autoridades gubernamentales, o (iii) la falta de consentimiento de terceros. En particular, </w:t>
      </w:r>
      <w:r w:rsidR="00B51DCD" w:rsidRPr="00CA3A3D">
        <w:rPr>
          <w:rFonts w:ascii="Garamond" w:eastAsia="Calibri" w:hAnsi="Garamond" w:cs="Times New Roman"/>
          <w:color w:val="000000"/>
          <w:sz w:val="20"/>
          <w:szCs w:val="20"/>
          <w:lang w:val="es-AR" w:eastAsia="x-none"/>
        </w:rPr>
        <w:t xml:space="preserve">con respecto a cualquiera de las </w:t>
      </w:r>
      <w:r w:rsidR="00830255" w:rsidRPr="00CA3A3D">
        <w:rPr>
          <w:rFonts w:ascii="Garamond" w:eastAsia="Calibri" w:hAnsi="Garamond" w:cs="Times New Roman"/>
          <w:color w:val="000000"/>
          <w:sz w:val="20"/>
          <w:szCs w:val="20"/>
          <w:lang w:val="es-AR" w:eastAsia="x-none"/>
        </w:rPr>
        <w:t>Derechos de Garantía</w:t>
      </w:r>
      <w:r w:rsidR="00B51DCD" w:rsidRPr="00CA3A3D">
        <w:rPr>
          <w:rFonts w:ascii="Garamond" w:eastAsia="Calibri" w:hAnsi="Garamond" w:cs="Times New Roman"/>
          <w:color w:val="000000"/>
          <w:sz w:val="20"/>
          <w:szCs w:val="20"/>
          <w:lang w:val="es-AR" w:eastAsia="x-none"/>
        </w:rPr>
        <w:t>, a cualquier fecha de determinación, se encontrarán limitad</w:t>
      </w:r>
      <w:r w:rsidR="00830255" w:rsidRPr="00CA3A3D">
        <w:rPr>
          <w:rFonts w:ascii="Garamond" w:eastAsia="Calibri" w:hAnsi="Garamond" w:cs="Times New Roman"/>
          <w:color w:val="000000"/>
          <w:sz w:val="20"/>
          <w:szCs w:val="20"/>
          <w:lang w:val="es-AR" w:eastAsia="x-none"/>
        </w:rPr>
        <w:t>o</w:t>
      </w:r>
      <w:r w:rsidR="00B51DCD" w:rsidRPr="00CA3A3D">
        <w:rPr>
          <w:rFonts w:ascii="Garamond" w:eastAsia="Calibri" w:hAnsi="Garamond" w:cs="Times New Roman"/>
          <w:color w:val="000000"/>
          <w:sz w:val="20"/>
          <w:szCs w:val="20"/>
          <w:lang w:val="es-AR" w:eastAsia="x-none"/>
        </w:rPr>
        <w:t>s a</w:t>
      </w:r>
      <w:r w:rsidR="00E720CD">
        <w:rPr>
          <w:rFonts w:ascii="Garamond" w:eastAsia="Calibri" w:hAnsi="Garamond" w:cs="Times New Roman"/>
          <w:color w:val="000000"/>
          <w:sz w:val="20"/>
          <w:szCs w:val="20"/>
          <w:lang w:val="es-AR" w:eastAsia="x-none"/>
        </w:rPr>
        <w:t>l Monto de Garantía Máximo, es decir aquél</w:t>
      </w:r>
      <w:r w:rsidR="00B51DCD" w:rsidRPr="00CA3A3D">
        <w:rPr>
          <w:rFonts w:ascii="Garamond" w:eastAsia="Calibri" w:hAnsi="Garamond" w:cs="Times New Roman"/>
          <w:color w:val="000000"/>
          <w:sz w:val="20"/>
          <w:szCs w:val="20"/>
          <w:lang w:val="es-AR" w:eastAsia="x-none"/>
        </w:rPr>
        <w:t xml:space="preserve"> monto máximo que no podrá dar lugar a un incumplimiento o violación por parte de las Co-Emisoras o el Garante a alguna disposición del Contrato de Fideicomiso de las Obligaciones Negociables al 9,625% a dicha fecha de determinación.</w:t>
      </w:r>
      <w:r w:rsidRPr="00CA3A3D">
        <w:rPr>
          <w:rFonts w:ascii="Garamond" w:eastAsia="Calibri" w:hAnsi="Garamond" w:cs="Times New Roman"/>
          <w:color w:val="000000"/>
          <w:sz w:val="20"/>
          <w:szCs w:val="20"/>
          <w:lang w:val="es-AR" w:eastAsia="x-none"/>
        </w:rPr>
        <w:t xml:space="preserve"> </w:t>
      </w:r>
      <w:r w:rsidR="00C137E1" w:rsidRPr="00CA3A3D">
        <w:rPr>
          <w:rFonts w:ascii="Garamond" w:eastAsia="Calibri" w:hAnsi="Garamond" w:cs="Times New Roman"/>
          <w:color w:val="000000"/>
          <w:sz w:val="20"/>
          <w:szCs w:val="20"/>
          <w:lang w:val="es-AR" w:eastAsia="x-none"/>
        </w:rPr>
        <w:t>Para mayor información v</w:t>
      </w:r>
      <w:r w:rsidRPr="00CA3A3D">
        <w:rPr>
          <w:rFonts w:ascii="Garamond" w:eastAsia="Calibri" w:hAnsi="Garamond" w:cs="Times New Roman"/>
          <w:color w:val="000000"/>
          <w:sz w:val="20"/>
          <w:szCs w:val="20"/>
          <w:lang w:val="es-AR" w:eastAsia="x-none"/>
        </w:rPr>
        <w:t xml:space="preserve">er </w:t>
      </w:r>
      <w:r w:rsidR="00714972" w:rsidRPr="00CA3A3D">
        <w:rPr>
          <w:rFonts w:ascii="Garamond" w:eastAsia="Calibri" w:hAnsi="Garamond" w:cs="Times New Roman"/>
          <w:i/>
          <w:color w:val="000000"/>
          <w:sz w:val="20"/>
          <w:szCs w:val="20"/>
          <w:lang w:val="es-AR" w:eastAsia="x-none"/>
        </w:rPr>
        <w:t xml:space="preserve">“Descripción de las Obligaciones Negociables –– </w:t>
      </w:r>
      <w:r w:rsidR="00D46E98" w:rsidRPr="00CA3A3D">
        <w:rPr>
          <w:rFonts w:ascii="Garamond" w:eastAsia="Calibri" w:hAnsi="Garamond" w:cs="Times New Roman"/>
          <w:i/>
          <w:color w:val="000000"/>
          <w:sz w:val="20"/>
          <w:szCs w:val="20"/>
          <w:lang w:val="es-AR" w:eastAsia="x-none"/>
        </w:rPr>
        <w:t xml:space="preserve">los </w:t>
      </w:r>
      <w:r w:rsidR="00C137E1" w:rsidRPr="00CA3A3D">
        <w:rPr>
          <w:rFonts w:ascii="Garamond" w:eastAsia="Calibri" w:hAnsi="Garamond" w:cs="Times New Roman"/>
          <w:i/>
          <w:color w:val="000000"/>
          <w:sz w:val="20"/>
          <w:szCs w:val="20"/>
          <w:lang w:val="es-AR" w:eastAsia="x-none"/>
        </w:rPr>
        <w:t xml:space="preserve">Derechos de Garantía </w:t>
      </w:r>
      <w:r w:rsidR="00900D07" w:rsidRPr="00CA3A3D">
        <w:rPr>
          <w:rFonts w:ascii="Garamond" w:eastAsia="Calibri" w:hAnsi="Garamond" w:cs="Times New Roman"/>
          <w:i/>
          <w:color w:val="000000"/>
          <w:sz w:val="20"/>
          <w:szCs w:val="20"/>
          <w:lang w:val="es-AR" w:eastAsia="x-none"/>
        </w:rPr>
        <w:t>––</w:t>
      </w:r>
      <w:r w:rsidR="00C137E1" w:rsidRPr="00CA3A3D">
        <w:rPr>
          <w:rFonts w:ascii="Garamond" w:eastAsia="Calibri" w:hAnsi="Garamond" w:cs="Times New Roman"/>
          <w:i/>
          <w:color w:val="000000"/>
          <w:sz w:val="20"/>
          <w:szCs w:val="20"/>
          <w:lang w:val="es-AR" w:eastAsia="x-none"/>
        </w:rPr>
        <w:t xml:space="preserve"> Limitaciones a los Derechos de Garantía</w:t>
      </w:r>
      <w:r w:rsidR="00714972" w:rsidRPr="00CA3A3D">
        <w:rPr>
          <w:rFonts w:ascii="Garamond" w:eastAsia="Calibri" w:hAnsi="Garamond" w:cs="Times New Roman"/>
          <w:i/>
          <w:color w:val="000000"/>
          <w:sz w:val="20"/>
          <w:szCs w:val="20"/>
          <w:lang w:val="es-AR" w:eastAsia="x-none"/>
        </w:rPr>
        <w:t>”</w:t>
      </w:r>
      <w:r w:rsidRPr="00CA3A3D">
        <w:rPr>
          <w:rFonts w:ascii="Garamond" w:eastAsia="Calibri" w:hAnsi="Garamond" w:cs="Times New Roman"/>
          <w:i/>
          <w:color w:val="000000"/>
          <w:sz w:val="20"/>
          <w:szCs w:val="20"/>
          <w:lang w:val="es-AR" w:eastAsia="x-none"/>
        </w:rPr>
        <w:t>.</w:t>
      </w:r>
    </w:p>
    <w:p w14:paraId="1A305585" w14:textId="77777777" w:rsidR="004A16F7" w:rsidRPr="00CA3A3D" w:rsidRDefault="004A16F7" w:rsidP="001E3DCC">
      <w:pPr>
        <w:autoSpaceDE w:val="0"/>
        <w:autoSpaceDN w:val="0"/>
        <w:adjustRightInd w:val="0"/>
        <w:spacing w:after="0" w:line="240" w:lineRule="auto"/>
        <w:jc w:val="both"/>
        <w:rPr>
          <w:rFonts w:ascii="Garamond" w:eastAsia="Calibri" w:hAnsi="Garamond" w:cs="Times New Roman"/>
          <w:color w:val="000000"/>
          <w:sz w:val="20"/>
          <w:szCs w:val="20"/>
          <w:lang w:val="es-AR" w:eastAsia="x-none"/>
        </w:rPr>
      </w:pPr>
    </w:p>
    <w:p w14:paraId="53436D2A" w14:textId="0BB6DF1D" w:rsidR="00EB7AD7" w:rsidRPr="00CA3A3D" w:rsidRDefault="00EB7AD7" w:rsidP="001E3DCC">
      <w:pPr>
        <w:autoSpaceDE w:val="0"/>
        <w:autoSpaceDN w:val="0"/>
        <w:adjustRightInd w:val="0"/>
        <w:spacing w:after="0" w:line="240" w:lineRule="auto"/>
        <w:jc w:val="both"/>
        <w:rPr>
          <w:rFonts w:ascii="Garamond" w:eastAsia="Calibri" w:hAnsi="Garamond" w:cs="Times New Roman"/>
          <w:color w:val="000000"/>
          <w:sz w:val="20"/>
          <w:szCs w:val="20"/>
          <w:lang w:val="es-AR" w:eastAsia="x-none"/>
        </w:rPr>
      </w:pPr>
      <w:r w:rsidRPr="00CA3A3D">
        <w:rPr>
          <w:rFonts w:ascii="Garamond" w:eastAsia="Calibri" w:hAnsi="Garamond" w:cs="Times New Roman"/>
          <w:color w:val="000000"/>
          <w:sz w:val="20"/>
          <w:szCs w:val="20"/>
          <w:lang w:val="es-AR" w:eastAsia="x-none"/>
        </w:rPr>
        <w:t xml:space="preserve">En la medida en que los reclamos de los </w:t>
      </w:r>
      <w:r w:rsidR="00531775" w:rsidRPr="00CA3A3D">
        <w:rPr>
          <w:rFonts w:ascii="Garamond" w:eastAsia="Calibri" w:hAnsi="Garamond" w:cs="Times New Roman"/>
          <w:color w:val="000000"/>
          <w:sz w:val="20"/>
          <w:szCs w:val="20"/>
          <w:lang w:val="es-AR" w:eastAsia="x-none"/>
        </w:rPr>
        <w:t>T</w:t>
      </w:r>
      <w:r w:rsidRPr="00CA3A3D">
        <w:rPr>
          <w:rFonts w:ascii="Garamond" w:eastAsia="Calibri" w:hAnsi="Garamond" w:cs="Times New Roman"/>
          <w:color w:val="000000"/>
          <w:sz w:val="20"/>
          <w:szCs w:val="20"/>
          <w:lang w:val="es-AR" w:eastAsia="x-none"/>
        </w:rPr>
        <w:t>enedores de las Obligaciones Negociables excedan el valor de los activos que garantizan esas obligaciones</w:t>
      </w:r>
      <w:r w:rsidR="00C058D1" w:rsidRPr="00CA3A3D">
        <w:rPr>
          <w:rFonts w:ascii="Garamond" w:eastAsia="Calibri" w:hAnsi="Garamond" w:cs="Times New Roman"/>
          <w:color w:val="000000"/>
          <w:sz w:val="20"/>
          <w:szCs w:val="20"/>
          <w:lang w:val="es-AR" w:eastAsia="x-none"/>
        </w:rPr>
        <w:t xml:space="preserve"> y estén por encima de los límites dispuesto en el Contrato de Fideicomiso</w:t>
      </w:r>
      <w:r w:rsidR="00E720CD">
        <w:rPr>
          <w:rFonts w:ascii="Garamond" w:eastAsia="Calibri" w:hAnsi="Garamond" w:cs="Times New Roman"/>
          <w:color w:val="000000"/>
          <w:sz w:val="20"/>
          <w:szCs w:val="20"/>
          <w:lang w:val="es-AR" w:eastAsia="x-none"/>
        </w:rPr>
        <w:t xml:space="preserve"> y los límites individuales de cada Derecho de Garantía, </w:t>
      </w:r>
      <w:r w:rsidR="00C058D1" w:rsidRPr="00CA3A3D">
        <w:rPr>
          <w:rFonts w:ascii="Garamond" w:eastAsia="Calibri" w:hAnsi="Garamond" w:cs="Times New Roman"/>
          <w:color w:val="000000"/>
          <w:sz w:val="20"/>
          <w:szCs w:val="20"/>
          <w:lang w:val="es-AR" w:eastAsia="x-none"/>
        </w:rPr>
        <w:t>véase “</w:t>
      </w:r>
      <w:r w:rsidR="00C058D1" w:rsidRPr="00CA3A3D">
        <w:rPr>
          <w:rFonts w:ascii="Garamond" w:eastAsia="Calibri" w:hAnsi="Garamond" w:cs="Times New Roman"/>
          <w:i/>
          <w:color w:val="000000"/>
          <w:sz w:val="20"/>
          <w:szCs w:val="20"/>
          <w:lang w:val="es-AR" w:eastAsia="x-none"/>
        </w:rPr>
        <w:t>Descripción de las Obligaciones Negociables</w:t>
      </w:r>
      <w:r w:rsidR="00C058D1" w:rsidRPr="00CA3A3D">
        <w:rPr>
          <w:rFonts w:ascii="Garamond" w:hAnsi="Garamond" w:cstheme="minorHAnsi"/>
          <w:i/>
          <w:sz w:val="20"/>
          <w:szCs w:val="20"/>
          <w:lang w:val="es-AR"/>
        </w:rPr>
        <w:t>―</w:t>
      </w:r>
      <w:r w:rsidR="00E7334F" w:rsidRPr="00CA3A3D">
        <w:rPr>
          <w:lang w:val="es-AR"/>
        </w:rPr>
        <w:t xml:space="preserve"> </w:t>
      </w:r>
      <w:r w:rsidR="00E7334F" w:rsidRPr="00CA3A3D">
        <w:rPr>
          <w:rFonts w:ascii="Garamond" w:hAnsi="Garamond" w:cstheme="minorHAnsi"/>
          <w:i/>
          <w:sz w:val="20"/>
          <w:szCs w:val="20"/>
          <w:lang w:val="es-AR"/>
        </w:rPr>
        <w:t>l</w:t>
      </w:r>
      <w:r w:rsidR="00900D07" w:rsidRPr="00CA3A3D">
        <w:rPr>
          <w:rFonts w:ascii="Garamond" w:hAnsi="Garamond" w:cstheme="minorHAnsi"/>
          <w:i/>
          <w:sz w:val="20"/>
          <w:szCs w:val="20"/>
          <w:lang w:val="es-AR"/>
        </w:rPr>
        <w:t>o</w:t>
      </w:r>
      <w:r w:rsidR="00E7334F" w:rsidRPr="00CA3A3D">
        <w:rPr>
          <w:rFonts w:ascii="Garamond" w:hAnsi="Garamond" w:cstheme="minorHAnsi"/>
          <w:i/>
          <w:sz w:val="20"/>
          <w:szCs w:val="20"/>
          <w:lang w:val="es-AR"/>
        </w:rPr>
        <w:t xml:space="preserve">s </w:t>
      </w:r>
      <w:r w:rsidR="00900D07" w:rsidRPr="00CA3A3D">
        <w:rPr>
          <w:rFonts w:ascii="Garamond" w:hAnsi="Garamond" w:cstheme="minorHAnsi"/>
          <w:i/>
          <w:sz w:val="20"/>
          <w:szCs w:val="20"/>
          <w:lang w:val="es-AR"/>
        </w:rPr>
        <w:t>Derechos de Garantía</w:t>
      </w:r>
      <w:r w:rsidR="00C058D1" w:rsidRPr="00CA3A3D">
        <w:rPr>
          <w:rFonts w:ascii="Garamond" w:hAnsi="Garamond" w:cstheme="minorHAnsi"/>
          <w:i/>
          <w:sz w:val="20"/>
          <w:szCs w:val="20"/>
          <w:lang w:val="es-AR"/>
        </w:rPr>
        <w:t>―</w:t>
      </w:r>
      <w:r w:rsidR="00C058D1" w:rsidRPr="00CA3A3D">
        <w:rPr>
          <w:rFonts w:ascii="Garamond" w:eastAsia="Calibri" w:hAnsi="Garamond" w:cs="Times New Roman"/>
          <w:i/>
          <w:color w:val="000000"/>
          <w:sz w:val="20"/>
          <w:szCs w:val="20"/>
          <w:lang w:val="es-AR" w:eastAsia="x-none"/>
        </w:rPr>
        <w:t>Limitaciones a l</w:t>
      </w:r>
      <w:r w:rsidR="00900D07" w:rsidRPr="00CA3A3D">
        <w:rPr>
          <w:rFonts w:ascii="Garamond" w:eastAsia="Calibri" w:hAnsi="Garamond" w:cs="Times New Roman"/>
          <w:i/>
          <w:color w:val="000000"/>
          <w:sz w:val="20"/>
          <w:szCs w:val="20"/>
          <w:lang w:val="es-AR" w:eastAsia="x-none"/>
        </w:rPr>
        <w:t>o</w:t>
      </w:r>
      <w:r w:rsidR="00C058D1" w:rsidRPr="00CA3A3D">
        <w:rPr>
          <w:rFonts w:ascii="Garamond" w:eastAsia="Calibri" w:hAnsi="Garamond" w:cs="Times New Roman"/>
          <w:i/>
          <w:color w:val="000000"/>
          <w:sz w:val="20"/>
          <w:szCs w:val="20"/>
          <w:lang w:val="es-AR" w:eastAsia="x-none"/>
        </w:rPr>
        <w:t xml:space="preserve">s </w:t>
      </w:r>
      <w:r w:rsidR="00900D07" w:rsidRPr="00CA3A3D">
        <w:rPr>
          <w:rFonts w:ascii="Garamond" w:eastAsia="Calibri" w:hAnsi="Garamond" w:cs="Times New Roman"/>
          <w:i/>
          <w:color w:val="000000"/>
          <w:sz w:val="20"/>
          <w:szCs w:val="20"/>
          <w:lang w:val="es-AR" w:eastAsia="x-none"/>
        </w:rPr>
        <w:t>Derechos de Garantía</w:t>
      </w:r>
      <w:r w:rsidR="00C058D1" w:rsidRPr="00CA3A3D">
        <w:rPr>
          <w:rFonts w:ascii="Garamond" w:eastAsia="Calibri" w:hAnsi="Garamond" w:cs="Times New Roman"/>
          <w:color w:val="000000"/>
          <w:sz w:val="20"/>
          <w:szCs w:val="20"/>
          <w:lang w:val="es-AR" w:eastAsia="x-none"/>
        </w:rPr>
        <w:t>” del presente Suplemento</w:t>
      </w:r>
      <w:r w:rsidRPr="00CA3A3D">
        <w:rPr>
          <w:rFonts w:ascii="Garamond" w:eastAsia="Calibri" w:hAnsi="Garamond" w:cs="Times New Roman"/>
          <w:color w:val="000000"/>
          <w:sz w:val="20"/>
          <w:szCs w:val="20"/>
          <w:lang w:val="es-AR" w:eastAsia="x-none"/>
        </w:rPr>
        <w:t xml:space="preserve">, esos reclamos </w:t>
      </w:r>
      <w:r w:rsidR="00E720CD">
        <w:rPr>
          <w:rFonts w:ascii="Garamond" w:eastAsia="Calibri" w:hAnsi="Garamond" w:cs="Times New Roman"/>
          <w:color w:val="000000"/>
          <w:sz w:val="20"/>
          <w:szCs w:val="20"/>
          <w:lang w:val="es-AR" w:eastAsia="x-none"/>
        </w:rPr>
        <w:t>tendrán el mismo rango de privilegio (</w:t>
      </w:r>
      <w:r w:rsidR="00E720CD">
        <w:rPr>
          <w:rFonts w:ascii="Garamond" w:eastAsia="Calibri" w:hAnsi="Garamond" w:cs="Times New Roman"/>
          <w:i/>
          <w:color w:val="000000"/>
          <w:sz w:val="20"/>
          <w:szCs w:val="20"/>
          <w:lang w:val="es-AR" w:eastAsia="x-none"/>
        </w:rPr>
        <w:t xml:space="preserve">pari passu) </w:t>
      </w:r>
      <w:r w:rsidR="00E720CD">
        <w:rPr>
          <w:rFonts w:ascii="Garamond" w:eastAsia="Calibri" w:hAnsi="Garamond" w:cs="Times New Roman"/>
          <w:color w:val="000000"/>
          <w:sz w:val="20"/>
          <w:szCs w:val="20"/>
          <w:lang w:val="es-AR" w:eastAsia="x-none"/>
        </w:rPr>
        <w:t>que los restantes créditos, existentes y futuros, de los acreedores quirografarios de las Co-Emisoras y del Garante</w:t>
      </w:r>
      <w:r w:rsidRPr="00CA3A3D">
        <w:rPr>
          <w:rFonts w:ascii="Garamond" w:eastAsia="Calibri" w:hAnsi="Garamond" w:cs="Times New Roman"/>
          <w:color w:val="000000"/>
          <w:sz w:val="20"/>
          <w:szCs w:val="20"/>
          <w:lang w:val="es-AR" w:eastAsia="x-none"/>
        </w:rPr>
        <w:t xml:space="preserve">. Por lo tanto, si el valor de los activos </w:t>
      </w:r>
      <w:r w:rsidR="006D03A3" w:rsidRPr="00CA3A3D">
        <w:rPr>
          <w:rFonts w:ascii="Garamond" w:eastAsia="Calibri" w:hAnsi="Garamond" w:cs="Times New Roman"/>
          <w:color w:val="000000"/>
          <w:sz w:val="20"/>
          <w:szCs w:val="20"/>
          <w:lang w:val="es-AR" w:eastAsia="x-none"/>
        </w:rPr>
        <w:t>otorgados</w:t>
      </w:r>
      <w:r w:rsidRPr="00CA3A3D">
        <w:rPr>
          <w:rFonts w:ascii="Garamond" w:eastAsia="Calibri" w:hAnsi="Garamond" w:cs="Times New Roman"/>
          <w:color w:val="000000"/>
          <w:sz w:val="20"/>
          <w:szCs w:val="20"/>
          <w:lang w:val="es-AR" w:eastAsia="x-none"/>
        </w:rPr>
        <w:t xml:space="preserve"> en garantía para las Obligaciones Negociables </w:t>
      </w:r>
      <w:r w:rsidR="00C058D1" w:rsidRPr="00CA3A3D">
        <w:rPr>
          <w:rFonts w:ascii="Garamond" w:eastAsia="Calibri" w:hAnsi="Garamond" w:cs="Times New Roman"/>
          <w:color w:val="000000"/>
          <w:sz w:val="20"/>
          <w:szCs w:val="20"/>
          <w:lang w:val="es-AR" w:eastAsia="x-none"/>
        </w:rPr>
        <w:t>(i)</w:t>
      </w:r>
      <w:r w:rsidRPr="00CA3A3D">
        <w:rPr>
          <w:rFonts w:ascii="Garamond" w:eastAsia="Calibri" w:hAnsi="Garamond" w:cs="Times New Roman"/>
          <w:color w:val="000000"/>
          <w:sz w:val="20"/>
          <w:szCs w:val="20"/>
          <w:lang w:val="es-AR" w:eastAsia="x-none"/>
        </w:rPr>
        <w:t xml:space="preserve"> es menor que el valor de los créditos de los </w:t>
      </w:r>
      <w:r w:rsidR="002F30D3" w:rsidRPr="00CA3A3D">
        <w:rPr>
          <w:rFonts w:ascii="Garamond" w:eastAsia="Calibri" w:hAnsi="Garamond" w:cs="Times New Roman"/>
          <w:color w:val="000000"/>
          <w:sz w:val="20"/>
          <w:szCs w:val="20"/>
          <w:lang w:val="es-AR" w:eastAsia="x-none"/>
        </w:rPr>
        <w:t>T</w:t>
      </w:r>
      <w:r w:rsidR="00C058D1" w:rsidRPr="00CA3A3D">
        <w:rPr>
          <w:rFonts w:ascii="Garamond" w:eastAsia="Calibri" w:hAnsi="Garamond" w:cs="Times New Roman"/>
          <w:color w:val="000000"/>
          <w:sz w:val="20"/>
          <w:szCs w:val="20"/>
          <w:lang w:val="es-AR" w:eastAsia="x-none"/>
        </w:rPr>
        <w:t>enedores de las Obligaciones Negociables, o (ii) mayor que el valor de los créditos de los tenedores de las Obligaciones Negociables pero por encima de los límites dispuesto en el Contrato de Fideicomiso</w:t>
      </w:r>
      <w:r w:rsidR="00E720CD">
        <w:rPr>
          <w:rFonts w:ascii="Garamond" w:eastAsia="Calibri" w:hAnsi="Garamond" w:cs="Times New Roman"/>
          <w:color w:val="000000"/>
          <w:sz w:val="20"/>
          <w:szCs w:val="20"/>
          <w:lang w:val="es-AR" w:eastAsia="x-none"/>
        </w:rPr>
        <w:t xml:space="preserve"> y en cada Derecho de Garantía</w:t>
      </w:r>
      <w:r w:rsidR="00C058D1" w:rsidRPr="00CA3A3D">
        <w:rPr>
          <w:rFonts w:ascii="Garamond" w:eastAsia="Calibri" w:hAnsi="Garamond" w:cs="Times New Roman"/>
          <w:color w:val="000000"/>
          <w:sz w:val="20"/>
          <w:szCs w:val="20"/>
          <w:lang w:val="es-AR" w:eastAsia="x-none"/>
        </w:rPr>
        <w:t>, véase “</w:t>
      </w:r>
      <w:r w:rsidR="00C058D1" w:rsidRPr="00CA3A3D">
        <w:rPr>
          <w:rFonts w:ascii="Garamond" w:eastAsia="Calibri" w:hAnsi="Garamond" w:cs="Times New Roman"/>
          <w:i/>
          <w:color w:val="000000"/>
          <w:sz w:val="20"/>
          <w:szCs w:val="20"/>
          <w:lang w:val="es-AR" w:eastAsia="x-none"/>
        </w:rPr>
        <w:t>Descripción de las Obligaciones Negociables</w:t>
      </w:r>
      <w:r w:rsidR="00C058D1" w:rsidRPr="00CA3A3D">
        <w:rPr>
          <w:rFonts w:ascii="Garamond" w:hAnsi="Garamond" w:cstheme="minorHAnsi"/>
          <w:i/>
          <w:sz w:val="20"/>
          <w:szCs w:val="20"/>
          <w:lang w:val="es-AR"/>
        </w:rPr>
        <w:t>―</w:t>
      </w:r>
      <w:r w:rsidR="00E7334F" w:rsidRPr="00CA3A3D">
        <w:rPr>
          <w:lang w:val="es-AR"/>
        </w:rPr>
        <w:t xml:space="preserve"> </w:t>
      </w:r>
      <w:r w:rsidR="00E7334F" w:rsidRPr="00CA3A3D">
        <w:rPr>
          <w:rFonts w:ascii="Garamond" w:hAnsi="Garamond" w:cstheme="minorHAnsi"/>
          <w:i/>
          <w:sz w:val="20"/>
          <w:szCs w:val="20"/>
          <w:lang w:val="es-AR"/>
        </w:rPr>
        <w:t>l</w:t>
      </w:r>
      <w:r w:rsidR="00D46E98" w:rsidRPr="00CA3A3D">
        <w:rPr>
          <w:rFonts w:ascii="Garamond" w:hAnsi="Garamond" w:cstheme="minorHAnsi"/>
          <w:i/>
          <w:sz w:val="20"/>
          <w:szCs w:val="20"/>
          <w:lang w:val="es-AR"/>
        </w:rPr>
        <w:t>o</w:t>
      </w:r>
      <w:r w:rsidR="00E7334F" w:rsidRPr="00CA3A3D">
        <w:rPr>
          <w:rFonts w:ascii="Garamond" w:hAnsi="Garamond" w:cstheme="minorHAnsi"/>
          <w:i/>
          <w:sz w:val="20"/>
          <w:szCs w:val="20"/>
          <w:lang w:val="es-AR"/>
        </w:rPr>
        <w:t>s</w:t>
      </w:r>
      <w:r w:rsidR="00E7334F" w:rsidRPr="00CA3A3D">
        <w:rPr>
          <w:lang w:val="es-AR"/>
        </w:rPr>
        <w:t xml:space="preserve"> </w:t>
      </w:r>
      <w:r w:rsidR="00D46E98" w:rsidRPr="00CA3A3D">
        <w:rPr>
          <w:rFonts w:ascii="Garamond" w:hAnsi="Garamond" w:cstheme="minorHAnsi"/>
          <w:i/>
          <w:sz w:val="20"/>
          <w:szCs w:val="20"/>
          <w:lang w:val="es-AR"/>
        </w:rPr>
        <w:t>Derechos de Garantía</w:t>
      </w:r>
      <w:r w:rsidR="00C058D1" w:rsidRPr="00CA3A3D">
        <w:rPr>
          <w:rFonts w:ascii="Garamond" w:hAnsi="Garamond" w:cstheme="minorHAnsi"/>
          <w:i/>
          <w:sz w:val="20"/>
          <w:szCs w:val="20"/>
          <w:lang w:val="es-AR"/>
        </w:rPr>
        <w:t>―</w:t>
      </w:r>
      <w:r w:rsidR="00C058D1" w:rsidRPr="00CA3A3D">
        <w:rPr>
          <w:rFonts w:ascii="Garamond" w:eastAsia="Calibri" w:hAnsi="Garamond" w:cs="Times New Roman"/>
          <w:i/>
          <w:color w:val="000000"/>
          <w:sz w:val="20"/>
          <w:szCs w:val="20"/>
          <w:lang w:val="es-AR" w:eastAsia="x-none"/>
        </w:rPr>
        <w:t xml:space="preserve">Limitaciones a </w:t>
      </w:r>
      <w:r w:rsidR="00E7334F" w:rsidRPr="00CA3A3D">
        <w:rPr>
          <w:rFonts w:ascii="Garamond" w:eastAsia="Calibri" w:hAnsi="Garamond" w:cs="Times New Roman"/>
          <w:i/>
          <w:color w:val="000000"/>
          <w:sz w:val="20"/>
          <w:szCs w:val="20"/>
          <w:lang w:val="es-AR" w:eastAsia="x-none"/>
        </w:rPr>
        <w:t>l</w:t>
      </w:r>
      <w:r w:rsidR="00D46E98" w:rsidRPr="00CA3A3D">
        <w:rPr>
          <w:rFonts w:ascii="Garamond" w:eastAsia="Calibri" w:hAnsi="Garamond" w:cs="Times New Roman"/>
          <w:i/>
          <w:color w:val="000000"/>
          <w:sz w:val="20"/>
          <w:szCs w:val="20"/>
          <w:lang w:val="es-AR" w:eastAsia="x-none"/>
        </w:rPr>
        <w:t>o</w:t>
      </w:r>
      <w:r w:rsidR="00E7334F" w:rsidRPr="00CA3A3D">
        <w:rPr>
          <w:rFonts w:ascii="Garamond" w:eastAsia="Calibri" w:hAnsi="Garamond" w:cs="Times New Roman"/>
          <w:i/>
          <w:color w:val="000000"/>
          <w:sz w:val="20"/>
          <w:szCs w:val="20"/>
          <w:lang w:val="es-AR" w:eastAsia="x-none"/>
        </w:rPr>
        <w:t xml:space="preserve">s </w:t>
      </w:r>
      <w:r w:rsidR="00D46E98" w:rsidRPr="00CA3A3D">
        <w:rPr>
          <w:rFonts w:ascii="Garamond" w:eastAsia="Calibri" w:hAnsi="Garamond" w:cs="Times New Roman"/>
          <w:i/>
          <w:color w:val="000000"/>
          <w:sz w:val="20"/>
          <w:szCs w:val="20"/>
          <w:lang w:val="es-AR" w:eastAsia="x-none"/>
        </w:rPr>
        <w:t>Derechos de Garantía</w:t>
      </w:r>
      <w:r w:rsidR="00C058D1" w:rsidRPr="00CA3A3D">
        <w:rPr>
          <w:rFonts w:ascii="Garamond" w:eastAsia="Calibri" w:hAnsi="Garamond" w:cs="Times New Roman"/>
          <w:color w:val="000000"/>
          <w:sz w:val="20"/>
          <w:szCs w:val="20"/>
          <w:lang w:val="es-AR" w:eastAsia="x-none"/>
        </w:rPr>
        <w:t>” del presente Suplemento</w:t>
      </w:r>
      <w:r w:rsidRPr="00CA3A3D">
        <w:rPr>
          <w:rFonts w:ascii="Garamond" w:eastAsia="Calibri" w:hAnsi="Garamond" w:cs="Times New Roman"/>
          <w:color w:val="000000"/>
          <w:sz w:val="20"/>
          <w:szCs w:val="20"/>
          <w:lang w:val="es-AR" w:eastAsia="x-none"/>
        </w:rPr>
        <w:t>, dichos reclamos podr</w:t>
      </w:r>
      <w:r w:rsidR="00F606A8">
        <w:rPr>
          <w:rFonts w:ascii="Garamond" w:eastAsia="Calibri" w:hAnsi="Garamond" w:cs="Times New Roman"/>
          <w:color w:val="000000"/>
          <w:sz w:val="20"/>
          <w:szCs w:val="20"/>
          <w:lang w:val="es-AR" w:eastAsia="x-none"/>
        </w:rPr>
        <w:t>ía</w:t>
      </w:r>
      <w:r w:rsidRPr="00CA3A3D">
        <w:rPr>
          <w:rFonts w:ascii="Garamond" w:eastAsia="Calibri" w:hAnsi="Garamond" w:cs="Times New Roman"/>
          <w:color w:val="000000"/>
          <w:sz w:val="20"/>
          <w:szCs w:val="20"/>
          <w:lang w:val="es-AR" w:eastAsia="x-none"/>
        </w:rPr>
        <w:t xml:space="preserve">n </w:t>
      </w:r>
      <w:r w:rsidR="00E720CD">
        <w:rPr>
          <w:rFonts w:ascii="Garamond" w:eastAsia="Calibri" w:hAnsi="Garamond" w:cs="Times New Roman"/>
          <w:color w:val="000000"/>
          <w:sz w:val="20"/>
          <w:szCs w:val="20"/>
          <w:lang w:val="es-AR" w:eastAsia="x-none"/>
        </w:rPr>
        <w:t xml:space="preserve">no </w:t>
      </w:r>
      <w:r w:rsidRPr="00CA3A3D">
        <w:rPr>
          <w:rFonts w:ascii="Garamond" w:eastAsia="Calibri" w:hAnsi="Garamond" w:cs="Times New Roman"/>
          <w:color w:val="000000"/>
          <w:sz w:val="20"/>
          <w:szCs w:val="20"/>
          <w:lang w:val="es-AR" w:eastAsia="x-none"/>
        </w:rPr>
        <w:t xml:space="preserve">ser satisfechos en su totalidad antes de que se paguen los reclamos de </w:t>
      </w:r>
      <w:r w:rsidR="00E720CD">
        <w:rPr>
          <w:rFonts w:ascii="Garamond" w:eastAsia="Calibri" w:hAnsi="Garamond" w:cs="Times New Roman"/>
          <w:color w:val="000000"/>
          <w:sz w:val="20"/>
          <w:szCs w:val="20"/>
          <w:lang w:val="es-AR" w:eastAsia="x-none"/>
        </w:rPr>
        <w:t>otros</w:t>
      </w:r>
      <w:r w:rsidR="00E720CD" w:rsidRPr="00CA3A3D">
        <w:rPr>
          <w:rFonts w:ascii="Garamond" w:eastAsia="Calibri" w:hAnsi="Garamond" w:cs="Times New Roman"/>
          <w:color w:val="000000"/>
          <w:sz w:val="20"/>
          <w:szCs w:val="20"/>
          <w:lang w:val="es-AR" w:eastAsia="x-none"/>
        </w:rPr>
        <w:t xml:space="preserve"> </w:t>
      </w:r>
      <w:r w:rsidRPr="00CA3A3D">
        <w:rPr>
          <w:rFonts w:ascii="Garamond" w:eastAsia="Calibri" w:hAnsi="Garamond" w:cs="Times New Roman"/>
          <w:color w:val="000000"/>
          <w:sz w:val="20"/>
          <w:szCs w:val="20"/>
          <w:lang w:val="es-AR" w:eastAsia="x-none"/>
        </w:rPr>
        <w:t xml:space="preserve">acreedores no garantizados. </w:t>
      </w:r>
    </w:p>
    <w:p w14:paraId="74CD1D1F" w14:textId="040A3889" w:rsidR="00471521" w:rsidRPr="00CA3A3D" w:rsidRDefault="00471521" w:rsidP="001E3DCC">
      <w:pPr>
        <w:autoSpaceDE w:val="0"/>
        <w:autoSpaceDN w:val="0"/>
        <w:adjustRightInd w:val="0"/>
        <w:spacing w:after="0" w:line="240" w:lineRule="auto"/>
        <w:jc w:val="both"/>
        <w:rPr>
          <w:rFonts w:ascii="Garamond" w:eastAsia="Calibri" w:hAnsi="Garamond" w:cs="Times New Roman"/>
          <w:color w:val="000000"/>
          <w:sz w:val="20"/>
          <w:szCs w:val="20"/>
          <w:lang w:val="es-AR" w:eastAsia="x-none"/>
        </w:rPr>
      </w:pPr>
    </w:p>
    <w:p w14:paraId="22DCB1F7" w14:textId="63D7BBB9" w:rsidR="003219D2" w:rsidRDefault="00EB7AD7" w:rsidP="001E3DCC">
      <w:pPr>
        <w:pStyle w:val="Default"/>
        <w:jc w:val="both"/>
        <w:rPr>
          <w:rFonts w:eastAsia="Calibri" w:cs="Times New Roman"/>
          <w:sz w:val="20"/>
          <w:szCs w:val="20"/>
          <w:lang w:val="es-AR" w:eastAsia="x-none"/>
        </w:rPr>
      </w:pPr>
      <w:r w:rsidRPr="00CA3A3D">
        <w:rPr>
          <w:rFonts w:eastAsia="Calibri" w:cs="Times New Roman"/>
          <w:sz w:val="20"/>
          <w:szCs w:val="20"/>
          <w:lang w:val="es-AR" w:eastAsia="x-none"/>
        </w:rPr>
        <w:t>No se ha realizado una tasación del valor de l</w:t>
      </w:r>
      <w:r w:rsidR="00935577" w:rsidRPr="00CA3A3D">
        <w:rPr>
          <w:rFonts w:eastAsia="Calibri" w:cs="Times New Roman"/>
          <w:sz w:val="20"/>
          <w:szCs w:val="20"/>
          <w:lang w:val="es-AR" w:eastAsia="x-none"/>
        </w:rPr>
        <w:t>o</w:t>
      </w:r>
      <w:r w:rsidRPr="00CA3A3D">
        <w:rPr>
          <w:rFonts w:eastAsia="Calibri" w:cs="Times New Roman"/>
          <w:sz w:val="20"/>
          <w:szCs w:val="20"/>
          <w:lang w:val="es-AR" w:eastAsia="x-none"/>
        </w:rPr>
        <w:t xml:space="preserve">s </w:t>
      </w:r>
      <w:r w:rsidR="002220EC">
        <w:rPr>
          <w:rFonts w:eastAsia="Calibri" w:cs="Times New Roman"/>
          <w:sz w:val="20"/>
          <w:szCs w:val="20"/>
          <w:lang w:val="es-AR" w:eastAsia="x-none"/>
        </w:rPr>
        <w:t xml:space="preserve">activos que son objeto de los </w:t>
      </w:r>
      <w:r w:rsidR="00935577" w:rsidRPr="00CA3A3D">
        <w:rPr>
          <w:rFonts w:eastAsia="Calibri" w:cs="Times New Roman"/>
          <w:sz w:val="20"/>
          <w:szCs w:val="20"/>
          <w:lang w:val="es-AR" w:eastAsia="x-none"/>
        </w:rPr>
        <w:t xml:space="preserve">Derechos de Garantía </w:t>
      </w:r>
      <w:r w:rsidRPr="00CA3A3D">
        <w:rPr>
          <w:rFonts w:eastAsia="Calibri" w:cs="Times New Roman"/>
          <w:sz w:val="20"/>
          <w:szCs w:val="20"/>
          <w:lang w:val="es-AR" w:eastAsia="x-none"/>
        </w:rPr>
        <w:t xml:space="preserve">en relación con esta oferta y el valor justo de mercado de </w:t>
      </w:r>
      <w:r w:rsidR="002220EC" w:rsidRPr="00CA3A3D">
        <w:rPr>
          <w:rFonts w:eastAsia="Calibri" w:cs="Times New Roman"/>
          <w:sz w:val="20"/>
          <w:szCs w:val="20"/>
          <w:lang w:val="es-AR" w:eastAsia="x-none"/>
        </w:rPr>
        <w:t xml:space="preserve">los </w:t>
      </w:r>
      <w:r w:rsidR="002220EC">
        <w:rPr>
          <w:rFonts w:eastAsia="Calibri" w:cs="Times New Roman"/>
          <w:sz w:val="20"/>
          <w:szCs w:val="20"/>
          <w:lang w:val="es-AR" w:eastAsia="x-none"/>
        </w:rPr>
        <w:t xml:space="preserve">activos que son objeto de los </w:t>
      </w:r>
      <w:r w:rsidR="00935577" w:rsidRPr="00CA3A3D">
        <w:rPr>
          <w:rFonts w:eastAsia="Calibri" w:cs="Times New Roman"/>
          <w:sz w:val="20"/>
          <w:szCs w:val="20"/>
          <w:lang w:val="es-AR" w:eastAsia="x-none"/>
        </w:rPr>
        <w:t xml:space="preserve">Derechos de Garantía </w:t>
      </w:r>
      <w:r w:rsidRPr="00CA3A3D">
        <w:rPr>
          <w:rFonts w:eastAsia="Calibri" w:cs="Times New Roman"/>
          <w:sz w:val="20"/>
          <w:szCs w:val="20"/>
          <w:lang w:val="es-AR" w:eastAsia="x-none"/>
        </w:rPr>
        <w:t xml:space="preserve">(salvo la Cuenta de Reserva) puede estar sujeto a fluctuaciones basadas en factores que incluyen, entre otros, condiciones económicas generales, condiciones de la industria y factores similares. El monto que se recibirá después de la venta de </w:t>
      </w:r>
      <w:r w:rsidR="00E7334F" w:rsidRPr="00CA3A3D">
        <w:rPr>
          <w:rFonts w:eastAsia="Calibri" w:cs="Times New Roman"/>
          <w:sz w:val="20"/>
          <w:szCs w:val="20"/>
          <w:lang w:val="es-AR" w:eastAsia="x-none"/>
        </w:rPr>
        <w:t>l</w:t>
      </w:r>
      <w:r w:rsidR="00935577" w:rsidRPr="00CA3A3D">
        <w:rPr>
          <w:rFonts w:eastAsia="Calibri" w:cs="Times New Roman"/>
          <w:sz w:val="20"/>
          <w:szCs w:val="20"/>
          <w:lang w:val="es-AR" w:eastAsia="x-none"/>
        </w:rPr>
        <w:t>o</w:t>
      </w:r>
      <w:r w:rsidR="00E7334F" w:rsidRPr="00CA3A3D">
        <w:rPr>
          <w:rFonts w:eastAsia="Calibri" w:cs="Times New Roman"/>
          <w:sz w:val="20"/>
          <w:szCs w:val="20"/>
          <w:lang w:val="es-AR" w:eastAsia="x-none"/>
        </w:rPr>
        <w:t>s</w:t>
      </w:r>
      <w:r w:rsidR="002220EC">
        <w:rPr>
          <w:rFonts w:eastAsia="Calibri" w:cs="Times New Roman"/>
          <w:sz w:val="20"/>
          <w:szCs w:val="20"/>
          <w:lang w:val="es-AR" w:eastAsia="x-none"/>
        </w:rPr>
        <w:t xml:space="preserve"> activos que son objeto de los</w:t>
      </w:r>
      <w:r w:rsidR="00E7334F" w:rsidRPr="00CA3A3D">
        <w:rPr>
          <w:rFonts w:eastAsia="Calibri" w:cs="Times New Roman"/>
          <w:sz w:val="20"/>
          <w:szCs w:val="20"/>
          <w:lang w:val="es-AR" w:eastAsia="x-none"/>
        </w:rPr>
        <w:t xml:space="preserve"> </w:t>
      </w:r>
      <w:r w:rsidR="002A04E0">
        <w:rPr>
          <w:rFonts w:eastAsia="Calibri" w:cs="Times New Roman"/>
          <w:sz w:val="20"/>
          <w:szCs w:val="20"/>
          <w:lang w:val="es-AR" w:eastAsia="x-none"/>
        </w:rPr>
        <w:t>Derechos de Garantía</w:t>
      </w:r>
      <w:r w:rsidR="00E7334F" w:rsidRPr="00CA3A3D" w:rsidDel="00E7334F">
        <w:rPr>
          <w:rFonts w:eastAsia="Calibri" w:cs="Times New Roman"/>
          <w:sz w:val="20"/>
          <w:szCs w:val="20"/>
          <w:lang w:val="es-AR" w:eastAsia="x-none"/>
        </w:rPr>
        <w:t xml:space="preserve"> </w:t>
      </w:r>
      <w:r w:rsidRPr="00CA3A3D">
        <w:rPr>
          <w:rFonts w:eastAsia="Calibri" w:cs="Times New Roman"/>
          <w:sz w:val="20"/>
          <w:szCs w:val="20"/>
          <w:lang w:val="es-AR" w:eastAsia="x-none"/>
        </w:rPr>
        <w:t xml:space="preserve">dependerá de numerosos factores, que incluyen, entre otros, el valor real de mercado de </w:t>
      </w:r>
      <w:r w:rsidR="00E7334F" w:rsidRPr="00CA3A3D">
        <w:rPr>
          <w:rFonts w:eastAsia="Calibri" w:cs="Times New Roman"/>
          <w:sz w:val="20"/>
          <w:szCs w:val="20"/>
          <w:lang w:val="es-AR" w:eastAsia="x-none"/>
        </w:rPr>
        <w:t>l</w:t>
      </w:r>
      <w:r w:rsidR="00935577" w:rsidRPr="00CA3A3D">
        <w:rPr>
          <w:rFonts w:eastAsia="Calibri" w:cs="Times New Roman"/>
          <w:sz w:val="20"/>
          <w:szCs w:val="20"/>
          <w:lang w:val="es-AR" w:eastAsia="x-none"/>
        </w:rPr>
        <w:t>o</w:t>
      </w:r>
      <w:r w:rsidR="00E7334F" w:rsidRPr="00CA3A3D">
        <w:rPr>
          <w:rFonts w:eastAsia="Calibri" w:cs="Times New Roman"/>
          <w:sz w:val="20"/>
          <w:szCs w:val="20"/>
          <w:lang w:val="es-AR" w:eastAsia="x-none"/>
        </w:rPr>
        <w:t xml:space="preserve">s </w:t>
      </w:r>
      <w:r w:rsidR="002220EC">
        <w:rPr>
          <w:rFonts w:eastAsia="Calibri" w:cs="Times New Roman"/>
          <w:sz w:val="20"/>
          <w:szCs w:val="20"/>
          <w:lang w:val="es-AR" w:eastAsia="x-none"/>
        </w:rPr>
        <w:t>activos que son objeto de los</w:t>
      </w:r>
      <w:r w:rsidR="002220EC" w:rsidRPr="00CA3A3D">
        <w:rPr>
          <w:rFonts w:eastAsia="Calibri" w:cs="Times New Roman"/>
          <w:sz w:val="20"/>
          <w:szCs w:val="20"/>
          <w:lang w:val="es-AR" w:eastAsia="x-none"/>
        </w:rPr>
        <w:t xml:space="preserve"> </w:t>
      </w:r>
      <w:r w:rsidR="002A04E0">
        <w:rPr>
          <w:rFonts w:eastAsia="Calibri" w:cs="Times New Roman"/>
          <w:sz w:val="20"/>
          <w:szCs w:val="20"/>
          <w:lang w:val="es-AR" w:eastAsia="x-none"/>
        </w:rPr>
        <w:t>Derechos de Garantía</w:t>
      </w:r>
      <w:r w:rsidR="00935577" w:rsidRPr="00CA3A3D">
        <w:rPr>
          <w:rFonts w:eastAsia="Calibri" w:cs="Times New Roman"/>
          <w:sz w:val="20"/>
          <w:szCs w:val="20"/>
          <w:lang w:val="es-AR" w:eastAsia="x-none"/>
        </w:rPr>
        <w:t xml:space="preserve"> </w:t>
      </w:r>
      <w:r w:rsidRPr="00CA3A3D">
        <w:rPr>
          <w:rFonts w:eastAsia="Calibri" w:cs="Times New Roman"/>
          <w:sz w:val="20"/>
          <w:szCs w:val="20"/>
          <w:lang w:val="es-AR" w:eastAsia="x-none"/>
        </w:rPr>
        <w:t xml:space="preserve">en ese momento y la forma (incluida la posibilidad que </w:t>
      </w:r>
      <w:r w:rsidR="00E7334F" w:rsidRPr="00CA3A3D">
        <w:rPr>
          <w:rFonts w:eastAsia="Calibri" w:cs="Times New Roman"/>
          <w:sz w:val="20"/>
          <w:szCs w:val="20"/>
          <w:lang w:val="es-AR" w:eastAsia="x-none"/>
        </w:rPr>
        <w:t>l</w:t>
      </w:r>
      <w:r w:rsidR="00935577" w:rsidRPr="00CA3A3D">
        <w:rPr>
          <w:rFonts w:eastAsia="Calibri" w:cs="Times New Roman"/>
          <w:sz w:val="20"/>
          <w:szCs w:val="20"/>
          <w:lang w:val="es-AR" w:eastAsia="x-none"/>
        </w:rPr>
        <w:t>o</w:t>
      </w:r>
      <w:r w:rsidR="00E7334F" w:rsidRPr="00CA3A3D">
        <w:rPr>
          <w:rFonts w:eastAsia="Calibri" w:cs="Times New Roman"/>
          <w:sz w:val="20"/>
          <w:szCs w:val="20"/>
          <w:lang w:val="es-AR" w:eastAsia="x-none"/>
        </w:rPr>
        <w:t xml:space="preserve">s </w:t>
      </w:r>
      <w:r w:rsidR="002A04E0">
        <w:rPr>
          <w:rFonts w:eastAsia="Calibri" w:cs="Times New Roman"/>
          <w:sz w:val="20"/>
          <w:szCs w:val="20"/>
          <w:lang w:val="es-AR" w:eastAsia="x-none"/>
        </w:rPr>
        <w:t>Derechos de Garantía</w:t>
      </w:r>
      <w:r w:rsidR="00935577" w:rsidRPr="00CA3A3D">
        <w:rPr>
          <w:rFonts w:eastAsia="Calibri" w:cs="Times New Roman"/>
          <w:sz w:val="20"/>
          <w:szCs w:val="20"/>
          <w:lang w:val="es-AR" w:eastAsia="x-none"/>
        </w:rPr>
        <w:t xml:space="preserve"> </w:t>
      </w:r>
      <w:r w:rsidRPr="00CA3A3D">
        <w:rPr>
          <w:rFonts w:eastAsia="Calibri" w:cs="Times New Roman"/>
          <w:sz w:val="20"/>
          <w:szCs w:val="20"/>
          <w:lang w:val="es-AR" w:eastAsia="x-none"/>
        </w:rPr>
        <w:t>o partes de los cuales se venden junt</w:t>
      </w:r>
      <w:r w:rsidR="00935577" w:rsidRPr="00CA3A3D">
        <w:rPr>
          <w:rFonts w:eastAsia="Calibri" w:cs="Times New Roman"/>
          <w:sz w:val="20"/>
          <w:szCs w:val="20"/>
          <w:lang w:val="es-AR" w:eastAsia="x-none"/>
        </w:rPr>
        <w:t>o</w:t>
      </w:r>
      <w:r w:rsidRPr="00CA3A3D">
        <w:rPr>
          <w:rFonts w:eastAsia="Calibri" w:cs="Times New Roman"/>
          <w:sz w:val="20"/>
          <w:szCs w:val="20"/>
          <w:lang w:val="es-AR" w:eastAsia="x-none"/>
        </w:rPr>
        <w:t xml:space="preserve">s o como un negocio operativo) de la venta y la disponibilidad de los compradores. Por su naturaleza, algunos de los activos que </w:t>
      </w:r>
      <w:r w:rsidR="00935577" w:rsidRPr="00CA3A3D">
        <w:rPr>
          <w:rFonts w:eastAsia="Calibri" w:cs="Times New Roman"/>
          <w:sz w:val="20"/>
          <w:szCs w:val="20"/>
          <w:lang w:val="es-AR" w:eastAsia="x-none"/>
        </w:rPr>
        <w:t xml:space="preserve">son objeto de </w:t>
      </w:r>
      <w:r w:rsidR="00E7334F" w:rsidRPr="00CA3A3D">
        <w:rPr>
          <w:rFonts w:eastAsia="Calibri" w:cs="Times New Roman"/>
          <w:sz w:val="20"/>
          <w:szCs w:val="20"/>
          <w:lang w:val="es-AR" w:eastAsia="x-none"/>
        </w:rPr>
        <w:t>l</w:t>
      </w:r>
      <w:r w:rsidR="00935577" w:rsidRPr="00CA3A3D">
        <w:rPr>
          <w:rFonts w:eastAsia="Calibri" w:cs="Times New Roman"/>
          <w:sz w:val="20"/>
          <w:szCs w:val="20"/>
          <w:lang w:val="es-AR" w:eastAsia="x-none"/>
        </w:rPr>
        <w:t>o</w:t>
      </w:r>
      <w:r w:rsidR="00E7334F" w:rsidRPr="00CA3A3D">
        <w:rPr>
          <w:rFonts w:eastAsia="Calibri" w:cs="Times New Roman"/>
          <w:sz w:val="20"/>
          <w:szCs w:val="20"/>
          <w:lang w:val="es-AR" w:eastAsia="x-none"/>
        </w:rPr>
        <w:t xml:space="preserve">s </w:t>
      </w:r>
      <w:r w:rsidR="00935577" w:rsidRPr="00CA3A3D">
        <w:rPr>
          <w:rFonts w:eastAsia="Calibri" w:cs="Times New Roman"/>
          <w:sz w:val="20"/>
          <w:szCs w:val="20"/>
          <w:lang w:val="es-AR" w:eastAsia="x-none"/>
        </w:rPr>
        <w:t xml:space="preserve">Derechos de Garantía </w:t>
      </w:r>
      <w:r w:rsidRPr="00CA3A3D">
        <w:rPr>
          <w:rFonts w:eastAsia="Calibri" w:cs="Times New Roman"/>
          <w:sz w:val="20"/>
          <w:szCs w:val="20"/>
          <w:lang w:val="es-AR" w:eastAsia="x-none"/>
        </w:rPr>
        <w:t xml:space="preserve">pueden ser ilíquidos y no tener un valor de mercado fácilmente determinable. No puede garantizarse que </w:t>
      </w:r>
      <w:r w:rsidR="00E7334F" w:rsidRPr="00CA3A3D">
        <w:rPr>
          <w:rFonts w:eastAsia="Calibri" w:cs="Times New Roman"/>
          <w:sz w:val="20"/>
          <w:szCs w:val="20"/>
          <w:lang w:val="es-AR" w:eastAsia="x-none"/>
        </w:rPr>
        <w:t>l</w:t>
      </w:r>
      <w:r w:rsidR="00935577" w:rsidRPr="00CA3A3D">
        <w:rPr>
          <w:rFonts w:eastAsia="Calibri" w:cs="Times New Roman"/>
          <w:sz w:val="20"/>
          <w:szCs w:val="20"/>
          <w:lang w:val="es-AR" w:eastAsia="x-none"/>
        </w:rPr>
        <w:t>o</w:t>
      </w:r>
      <w:r w:rsidR="00E7334F" w:rsidRPr="00CA3A3D">
        <w:rPr>
          <w:rFonts w:eastAsia="Calibri" w:cs="Times New Roman"/>
          <w:sz w:val="20"/>
          <w:szCs w:val="20"/>
          <w:lang w:val="es-AR" w:eastAsia="x-none"/>
        </w:rPr>
        <w:t>s</w:t>
      </w:r>
      <w:r w:rsidR="002220EC">
        <w:rPr>
          <w:rFonts w:eastAsia="Calibri" w:cs="Times New Roman"/>
          <w:sz w:val="20"/>
          <w:szCs w:val="20"/>
          <w:lang w:val="es-AR" w:eastAsia="x-none"/>
        </w:rPr>
        <w:t xml:space="preserve"> activos que son objeto de los</w:t>
      </w:r>
      <w:r w:rsidR="00E7334F" w:rsidRPr="00CA3A3D">
        <w:rPr>
          <w:rFonts w:eastAsia="Calibri" w:cs="Times New Roman"/>
          <w:sz w:val="20"/>
          <w:szCs w:val="20"/>
          <w:lang w:val="es-AR" w:eastAsia="x-none"/>
        </w:rPr>
        <w:t xml:space="preserve"> </w:t>
      </w:r>
      <w:r w:rsidR="002A04E0">
        <w:rPr>
          <w:rFonts w:eastAsia="Calibri" w:cs="Times New Roman"/>
          <w:sz w:val="20"/>
          <w:szCs w:val="20"/>
          <w:lang w:val="es-AR" w:eastAsia="x-none"/>
        </w:rPr>
        <w:t>D</w:t>
      </w:r>
      <w:r w:rsidR="006E3DE2" w:rsidRPr="00CA3A3D">
        <w:rPr>
          <w:rFonts w:eastAsia="Calibri" w:cs="Times New Roman"/>
          <w:sz w:val="20"/>
          <w:szCs w:val="20"/>
          <w:lang w:val="es-AR" w:eastAsia="x-none"/>
        </w:rPr>
        <w:t>erechos</w:t>
      </w:r>
      <w:r w:rsidR="00935577" w:rsidRPr="00CA3A3D">
        <w:rPr>
          <w:rFonts w:eastAsia="Calibri" w:cs="Times New Roman"/>
          <w:sz w:val="20"/>
          <w:szCs w:val="20"/>
          <w:lang w:val="es-AR" w:eastAsia="x-none"/>
        </w:rPr>
        <w:t xml:space="preserve"> en Garantía </w:t>
      </w:r>
      <w:r w:rsidRPr="00CA3A3D">
        <w:rPr>
          <w:rFonts w:eastAsia="Calibri" w:cs="Times New Roman"/>
          <w:sz w:val="20"/>
          <w:szCs w:val="20"/>
          <w:lang w:val="es-AR" w:eastAsia="x-none"/>
        </w:rPr>
        <w:t xml:space="preserve">puedan venderse e, incluso si </w:t>
      </w:r>
      <w:r w:rsidR="00935577" w:rsidRPr="00CA3A3D">
        <w:rPr>
          <w:rFonts w:eastAsia="Calibri" w:cs="Times New Roman"/>
          <w:sz w:val="20"/>
          <w:szCs w:val="20"/>
          <w:lang w:val="es-AR" w:eastAsia="x-none"/>
        </w:rPr>
        <w:t>fueran</w:t>
      </w:r>
      <w:r w:rsidRPr="00CA3A3D">
        <w:rPr>
          <w:rFonts w:eastAsia="Calibri" w:cs="Times New Roman"/>
          <w:sz w:val="20"/>
          <w:szCs w:val="20"/>
          <w:lang w:val="es-AR" w:eastAsia="x-none"/>
        </w:rPr>
        <w:t xml:space="preserve"> vendible</w:t>
      </w:r>
      <w:r w:rsidR="00935577" w:rsidRPr="00CA3A3D">
        <w:rPr>
          <w:rFonts w:eastAsia="Calibri" w:cs="Times New Roman"/>
          <w:sz w:val="20"/>
          <w:szCs w:val="20"/>
          <w:lang w:val="es-AR" w:eastAsia="x-none"/>
        </w:rPr>
        <w:t>s</w:t>
      </w:r>
      <w:r w:rsidRPr="00CA3A3D">
        <w:rPr>
          <w:rFonts w:eastAsia="Calibri" w:cs="Times New Roman"/>
          <w:sz w:val="20"/>
          <w:szCs w:val="20"/>
          <w:lang w:val="es-AR" w:eastAsia="x-none"/>
        </w:rPr>
        <w:t xml:space="preserve">, el momento de su liquidación y el valor que se derivará de la misma son inciertos. En caso de una ejecución hipotecaria, liquidación, quiebra o procedimiento similar, </w:t>
      </w:r>
      <w:r w:rsidR="00E7334F" w:rsidRPr="00CA3A3D">
        <w:rPr>
          <w:rFonts w:eastAsia="Calibri" w:cs="Times New Roman"/>
          <w:sz w:val="20"/>
          <w:szCs w:val="20"/>
          <w:lang w:val="es-AR" w:eastAsia="x-none"/>
        </w:rPr>
        <w:t>l</w:t>
      </w:r>
      <w:r w:rsidR="00935577" w:rsidRPr="00CA3A3D">
        <w:rPr>
          <w:rFonts w:eastAsia="Calibri" w:cs="Times New Roman"/>
          <w:sz w:val="20"/>
          <w:szCs w:val="20"/>
          <w:lang w:val="es-AR" w:eastAsia="x-none"/>
        </w:rPr>
        <w:t>o</w:t>
      </w:r>
      <w:r w:rsidR="00E7334F" w:rsidRPr="00CA3A3D">
        <w:rPr>
          <w:rFonts w:eastAsia="Calibri" w:cs="Times New Roman"/>
          <w:sz w:val="20"/>
          <w:szCs w:val="20"/>
          <w:lang w:val="es-AR" w:eastAsia="x-none"/>
        </w:rPr>
        <w:t>s</w:t>
      </w:r>
      <w:r w:rsidR="00F16FB9">
        <w:rPr>
          <w:rFonts w:eastAsia="Calibri" w:cs="Times New Roman"/>
          <w:sz w:val="20"/>
          <w:szCs w:val="20"/>
          <w:lang w:val="es-AR" w:eastAsia="x-none"/>
        </w:rPr>
        <w:t xml:space="preserve"> </w:t>
      </w:r>
      <w:r w:rsidR="002220EC">
        <w:rPr>
          <w:rFonts w:eastAsia="Calibri" w:cs="Times New Roman"/>
          <w:sz w:val="20"/>
          <w:szCs w:val="20"/>
          <w:lang w:val="es-AR" w:eastAsia="x-none"/>
        </w:rPr>
        <w:t>activos que son objeto de los</w:t>
      </w:r>
      <w:r w:rsidR="002220EC" w:rsidRPr="00CA3A3D">
        <w:rPr>
          <w:rFonts w:eastAsia="Calibri" w:cs="Times New Roman"/>
          <w:sz w:val="20"/>
          <w:szCs w:val="20"/>
          <w:lang w:val="es-AR" w:eastAsia="x-none"/>
        </w:rPr>
        <w:t xml:space="preserve"> </w:t>
      </w:r>
      <w:r w:rsidR="002A04E0">
        <w:rPr>
          <w:rFonts w:eastAsia="Calibri" w:cs="Times New Roman"/>
          <w:sz w:val="20"/>
          <w:szCs w:val="20"/>
          <w:lang w:val="es-AR" w:eastAsia="x-none"/>
        </w:rPr>
        <w:t>Derechos de Garantía</w:t>
      </w:r>
      <w:r w:rsidR="00935577" w:rsidRPr="00CA3A3D">
        <w:rPr>
          <w:rFonts w:eastAsia="Calibri" w:cs="Times New Roman"/>
          <w:sz w:val="20"/>
          <w:szCs w:val="20"/>
          <w:lang w:val="es-AR" w:eastAsia="x-none"/>
        </w:rPr>
        <w:t xml:space="preserve"> </w:t>
      </w:r>
      <w:r w:rsidRPr="00CA3A3D">
        <w:rPr>
          <w:rFonts w:eastAsia="Calibri" w:cs="Times New Roman"/>
          <w:sz w:val="20"/>
          <w:szCs w:val="20"/>
          <w:lang w:val="es-AR" w:eastAsia="x-none"/>
        </w:rPr>
        <w:t xml:space="preserve">(salvo la Cuenta de Reserva) no puede venderse de manera oportuna u ordenada, y los ingresos de cualquier venta o liquidación </w:t>
      </w:r>
      <w:r w:rsidR="002220EC">
        <w:rPr>
          <w:rFonts w:eastAsia="Calibri" w:cs="Times New Roman"/>
          <w:sz w:val="20"/>
          <w:szCs w:val="20"/>
          <w:lang w:val="es-AR" w:eastAsia="x-none"/>
        </w:rPr>
        <w:t>de los</w:t>
      </w:r>
      <w:r w:rsidR="002220EC" w:rsidRPr="002220EC">
        <w:rPr>
          <w:rFonts w:eastAsia="Calibri" w:cs="Times New Roman"/>
          <w:sz w:val="20"/>
          <w:szCs w:val="20"/>
          <w:lang w:val="es-AR" w:eastAsia="x-none"/>
        </w:rPr>
        <w:t xml:space="preserve"> </w:t>
      </w:r>
      <w:r w:rsidR="002220EC">
        <w:rPr>
          <w:rFonts w:eastAsia="Calibri" w:cs="Times New Roman"/>
          <w:sz w:val="20"/>
          <w:szCs w:val="20"/>
          <w:lang w:val="es-AR" w:eastAsia="x-none"/>
        </w:rPr>
        <w:t>activos que son objeto de los</w:t>
      </w:r>
      <w:r w:rsidR="00776B33" w:rsidRPr="00CA3A3D">
        <w:rPr>
          <w:rFonts w:eastAsia="Calibri" w:cs="Times New Roman"/>
          <w:sz w:val="20"/>
          <w:szCs w:val="20"/>
          <w:lang w:val="es-AR" w:eastAsia="x-none"/>
        </w:rPr>
        <w:t xml:space="preserve"> </w:t>
      </w:r>
      <w:r w:rsidR="002A04E0">
        <w:rPr>
          <w:rFonts w:eastAsia="Calibri" w:cs="Times New Roman"/>
          <w:sz w:val="20"/>
          <w:szCs w:val="20"/>
          <w:lang w:val="es-AR" w:eastAsia="x-none"/>
        </w:rPr>
        <w:t>Derechos de Garantía</w:t>
      </w:r>
      <w:r w:rsidR="00935577" w:rsidRPr="00CA3A3D">
        <w:rPr>
          <w:rFonts w:eastAsia="Calibri" w:cs="Times New Roman"/>
          <w:sz w:val="20"/>
          <w:szCs w:val="20"/>
          <w:lang w:val="es-AR" w:eastAsia="x-none"/>
        </w:rPr>
        <w:t xml:space="preserve"> </w:t>
      </w:r>
      <w:r w:rsidRPr="00CA3A3D">
        <w:rPr>
          <w:rFonts w:eastAsia="Calibri" w:cs="Times New Roman"/>
          <w:sz w:val="20"/>
          <w:szCs w:val="20"/>
          <w:lang w:val="es-AR" w:eastAsia="x-none"/>
        </w:rPr>
        <w:t>pueden no ser suficientes para pagar las obligaciones establecidas en las Obligaciones Negociables.</w:t>
      </w:r>
    </w:p>
    <w:p w14:paraId="4C2A826E" w14:textId="77777777" w:rsidR="003219D2" w:rsidRDefault="003219D2" w:rsidP="001E3DCC">
      <w:pPr>
        <w:pStyle w:val="Default"/>
        <w:jc w:val="both"/>
        <w:rPr>
          <w:rFonts w:eastAsia="Calibri" w:cs="Times New Roman"/>
          <w:sz w:val="20"/>
          <w:szCs w:val="20"/>
          <w:lang w:val="es-AR" w:eastAsia="x-none"/>
        </w:rPr>
      </w:pPr>
    </w:p>
    <w:p w14:paraId="733A90F2" w14:textId="77777777" w:rsidR="00D82CFA" w:rsidRPr="00D82CFA" w:rsidRDefault="00D82CFA" w:rsidP="00D82CFA">
      <w:pPr>
        <w:pStyle w:val="Default"/>
        <w:jc w:val="both"/>
        <w:rPr>
          <w:rFonts w:eastAsia="Calibri" w:cs="Times New Roman"/>
          <w:b/>
          <w:bCs/>
          <w:i/>
          <w:iCs/>
          <w:sz w:val="20"/>
          <w:szCs w:val="20"/>
          <w:lang w:val="es-AR" w:eastAsia="x-none"/>
        </w:rPr>
      </w:pPr>
      <w:r w:rsidRPr="00D82CFA">
        <w:rPr>
          <w:rFonts w:eastAsia="Calibri" w:cs="Times New Roman"/>
          <w:b/>
          <w:bCs/>
          <w:i/>
          <w:iCs/>
          <w:sz w:val="20"/>
          <w:szCs w:val="20"/>
          <w:lang w:val="es-AR" w:eastAsia="x-none"/>
        </w:rPr>
        <w:t>Las Co-Emisoras podrían verse imposibilitadas de desarrollar sus proyectos, ya que estos requieren inversiones de capital considerables</w:t>
      </w:r>
    </w:p>
    <w:p w14:paraId="28D78D99" w14:textId="77777777" w:rsidR="00D82CFA" w:rsidRPr="00D82CFA" w:rsidRDefault="00D82CFA" w:rsidP="00D82CFA">
      <w:pPr>
        <w:pStyle w:val="Default"/>
        <w:jc w:val="both"/>
        <w:rPr>
          <w:rFonts w:eastAsia="Calibri" w:cs="Times New Roman"/>
          <w:b/>
          <w:bCs/>
          <w:i/>
          <w:iCs/>
          <w:sz w:val="20"/>
          <w:szCs w:val="20"/>
          <w:lang w:val="es-AR" w:eastAsia="x-none"/>
        </w:rPr>
      </w:pPr>
    </w:p>
    <w:p w14:paraId="15D13950" w14:textId="04710596" w:rsidR="008B6600" w:rsidRPr="00CA3A3D" w:rsidRDefault="00D82CFA" w:rsidP="001E3DCC">
      <w:pPr>
        <w:pStyle w:val="Default"/>
        <w:jc w:val="both"/>
        <w:rPr>
          <w:rFonts w:eastAsia="Calibri" w:cs="Times New Roman"/>
          <w:sz w:val="20"/>
          <w:szCs w:val="20"/>
          <w:lang w:val="es-AR" w:eastAsia="x-none"/>
        </w:rPr>
      </w:pPr>
      <w:r w:rsidRPr="0034558A">
        <w:rPr>
          <w:rFonts w:eastAsia="Calibri" w:cs="Times New Roman"/>
          <w:sz w:val="20"/>
          <w:szCs w:val="20"/>
          <w:lang w:val="es-AR" w:eastAsia="x-none"/>
        </w:rPr>
        <w:t>Las Co-Emisoras tienen dos proyectos significativos para la expansión y conversión de ciclo combinado de dos de sus plantas existentes. Las Compañías han firmado contratos de compra de energía con CAMMESA en relación a esos proyectos, que requieren que éstos últimos sean completados atento a los cronogramas de fechas de operaciones comerciales fijados en dichos contratos de compra de energía. Estos proyectos requerirán que las Sociedades incurran en significativas inversiones de capital, para las cuales las Compañías requerirán financiamiento. Las Co-Emisoras no pueden asegurar que obtendrán tal financiamiento, o que, en caso de obtenerlo, los términos sean lo más favorables posibles. Si las Co-Emisoras no son capaces de obtener financiamiento en términos favorables, podrán verse imposibilitadas de completar los proyectos, y podrían enfrentar multas impuestas por CAMMESA.</w:t>
      </w:r>
    </w:p>
    <w:p w14:paraId="3E1DFF16" w14:textId="0CCE239B" w:rsidR="008B6600" w:rsidRPr="00CA3A3D" w:rsidRDefault="008B6600" w:rsidP="00582114">
      <w:pPr>
        <w:pStyle w:val="Default"/>
        <w:keepNext/>
        <w:keepLines/>
        <w:rPr>
          <w:rFonts w:eastAsia="Calibri" w:cs="Times New Roman"/>
          <w:b/>
          <w:i/>
          <w:sz w:val="20"/>
          <w:szCs w:val="20"/>
          <w:lang w:val="es-AR" w:eastAsia="x-none"/>
        </w:rPr>
      </w:pPr>
      <w:r w:rsidRPr="00CA3A3D">
        <w:rPr>
          <w:rFonts w:eastAsia="Calibri" w:cs="Times New Roman"/>
          <w:b/>
          <w:i/>
          <w:sz w:val="20"/>
          <w:szCs w:val="20"/>
          <w:lang w:val="es-AR" w:eastAsia="x-none"/>
        </w:rPr>
        <w:lastRenderedPageBreak/>
        <w:t xml:space="preserve">El valor de los </w:t>
      </w:r>
      <w:r w:rsidR="002A04E0">
        <w:rPr>
          <w:rFonts w:eastAsia="Calibri" w:cs="Times New Roman"/>
          <w:b/>
          <w:i/>
          <w:sz w:val="20"/>
          <w:szCs w:val="20"/>
          <w:lang w:val="es-AR" w:eastAsia="x-none"/>
        </w:rPr>
        <w:t>Derechos de Garantía</w:t>
      </w:r>
      <w:r w:rsidRPr="00CA3A3D">
        <w:rPr>
          <w:rFonts w:eastAsia="Calibri" w:cs="Times New Roman"/>
          <w:b/>
          <w:i/>
          <w:sz w:val="20"/>
          <w:szCs w:val="20"/>
          <w:lang w:val="es-AR" w:eastAsia="x-none"/>
        </w:rPr>
        <w:t xml:space="preserve"> puede no ser suficiente para cubrir los importes adeudados respecto de las Obligaciones Negociables, y puede ser difícil realizar el valor de estos.</w:t>
      </w:r>
    </w:p>
    <w:p w14:paraId="0EB31F0B" w14:textId="77777777" w:rsidR="008B6600" w:rsidRPr="00CA3A3D" w:rsidRDefault="008B6600" w:rsidP="00582114">
      <w:pPr>
        <w:pStyle w:val="Default"/>
        <w:keepNext/>
        <w:keepLines/>
        <w:rPr>
          <w:rFonts w:eastAsia="Calibri" w:cs="Times New Roman"/>
          <w:b/>
          <w:i/>
          <w:sz w:val="20"/>
          <w:szCs w:val="20"/>
          <w:lang w:val="es-AR" w:eastAsia="x-none"/>
        </w:rPr>
      </w:pPr>
    </w:p>
    <w:p w14:paraId="455C269A" w14:textId="284ADC57" w:rsidR="00184452" w:rsidRPr="00CA3A3D" w:rsidRDefault="008B6600" w:rsidP="00582114">
      <w:pPr>
        <w:pStyle w:val="Default"/>
        <w:keepNext/>
        <w:keepLines/>
        <w:jc w:val="both"/>
        <w:rPr>
          <w:rFonts w:eastAsia="Calibri" w:cs="Times New Roman"/>
          <w:sz w:val="20"/>
          <w:szCs w:val="20"/>
          <w:lang w:val="es-AR" w:eastAsia="x-none"/>
        </w:rPr>
      </w:pPr>
      <w:r w:rsidRPr="00CA3A3D">
        <w:rPr>
          <w:rFonts w:eastAsia="Calibri" w:cs="Times New Roman"/>
          <w:sz w:val="20"/>
          <w:szCs w:val="20"/>
          <w:lang w:val="es-AR" w:eastAsia="x-none"/>
        </w:rPr>
        <w:t xml:space="preserve">Las Co-Emisoras no pueden asegurar a los inversores que, en caso de que </w:t>
      </w:r>
      <w:r w:rsidR="00FA4A82" w:rsidRPr="00CA3A3D">
        <w:rPr>
          <w:rFonts w:eastAsia="Calibri" w:cs="Times New Roman"/>
          <w:sz w:val="20"/>
          <w:szCs w:val="20"/>
          <w:lang w:val="es-AR" w:eastAsia="x-none"/>
        </w:rPr>
        <w:t>incumplieran los</w:t>
      </w:r>
      <w:r w:rsidRPr="00CA3A3D">
        <w:rPr>
          <w:rFonts w:eastAsia="Calibri" w:cs="Times New Roman"/>
          <w:sz w:val="20"/>
          <w:szCs w:val="20"/>
          <w:lang w:val="es-AR" w:eastAsia="x-none"/>
        </w:rPr>
        <w:t xml:space="preserve"> pagos respecto de las Obligaciones Negociables y de que los Agentes </w:t>
      </w:r>
      <w:r w:rsidR="00FA4A82" w:rsidRPr="00CA3A3D">
        <w:rPr>
          <w:rFonts w:eastAsia="Calibri" w:cs="Times New Roman"/>
          <w:sz w:val="20"/>
          <w:szCs w:val="20"/>
          <w:lang w:val="es-AR" w:eastAsia="x-none"/>
        </w:rPr>
        <w:t>de la Garantía</w:t>
      </w:r>
      <w:r w:rsidRPr="00CA3A3D">
        <w:rPr>
          <w:rFonts w:eastAsia="Calibri" w:cs="Times New Roman"/>
          <w:sz w:val="20"/>
          <w:szCs w:val="20"/>
          <w:lang w:val="es-AR" w:eastAsia="x-none"/>
        </w:rPr>
        <w:t xml:space="preserve"> ejecutaran los </w:t>
      </w:r>
      <w:r w:rsidR="002A04E0">
        <w:rPr>
          <w:rFonts w:eastAsia="Calibri" w:cs="Times New Roman"/>
          <w:sz w:val="20"/>
          <w:szCs w:val="20"/>
          <w:lang w:val="es-AR" w:eastAsia="x-none"/>
        </w:rPr>
        <w:t>Derechos de Garantía</w:t>
      </w:r>
      <w:r w:rsidRPr="00CA3A3D">
        <w:rPr>
          <w:rFonts w:eastAsia="Calibri" w:cs="Times New Roman"/>
          <w:sz w:val="20"/>
          <w:szCs w:val="20"/>
          <w:lang w:val="es-AR" w:eastAsia="x-none"/>
        </w:rPr>
        <w:t xml:space="preserve">, los titulares de </w:t>
      </w:r>
      <w:r w:rsidR="00184452" w:rsidRPr="00CA3A3D">
        <w:rPr>
          <w:rFonts w:eastAsia="Calibri" w:cs="Times New Roman"/>
          <w:sz w:val="20"/>
          <w:szCs w:val="20"/>
          <w:lang w:val="es-AR" w:eastAsia="x-none"/>
        </w:rPr>
        <w:t>las</w:t>
      </w:r>
      <w:r w:rsidRPr="00CA3A3D">
        <w:rPr>
          <w:rFonts w:eastAsia="Calibri" w:cs="Times New Roman"/>
          <w:sz w:val="20"/>
          <w:szCs w:val="20"/>
          <w:lang w:val="es-AR" w:eastAsia="x-none"/>
        </w:rPr>
        <w:t xml:space="preserve"> Obligaciones</w:t>
      </w:r>
      <w:r w:rsidR="00184452" w:rsidRPr="00CA3A3D">
        <w:rPr>
          <w:rFonts w:eastAsia="Calibri" w:cs="Times New Roman"/>
          <w:sz w:val="20"/>
          <w:szCs w:val="20"/>
          <w:lang w:val="es-AR" w:eastAsia="x-none"/>
        </w:rPr>
        <w:t xml:space="preserve"> Negociables</w:t>
      </w:r>
      <w:r w:rsidRPr="00CA3A3D">
        <w:rPr>
          <w:rFonts w:eastAsia="Calibri" w:cs="Times New Roman"/>
          <w:sz w:val="20"/>
          <w:szCs w:val="20"/>
          <w:lang w:val="es-AR" w:eastAsia="x-none"/>
        </w:rPr>
        <w:t xml:space="preserve"> recibirán fondos suficientes para pagar los importes adeudados por dichas Obligaciones Negociables. Asimismo, si los Agentes de la Garantía intentaran ejecutar </w:t>
      </w:r>
      <w:r w:rsidR="00184452" w:rsidRPr="00CA3A3D">
        <w:rPr>
          <w:rFonts w:eastAsia="Calibri" w:cs="Times New Roman"/>
          <w:sz w:val="20"/>
          <w:szCs w:val="20"/>
          <w:lang w:val="es-AR" w:eastAsia="x-none"/>
        </w:rPr>
        <w:t>lo</w:t>
      </w:r>
      <w:r w:rsidRPr="00CA3A3D">
        <w:rPr>
          <w:rFonts w:eastAsia="Calibri" w:cs="Times New Roman"/>
          <w:sz w:val="20"/>
          <w:szCs w:val="20"/>
          <w:lang w:val="es-AR" w:eastAsia="x-none"/>
        </w:rPr>
        <w:t>s bienes</w:t>
      </w:r>
      <w:r w:rsidR="00184452" w:rsidRPr="00CA3A3D">
        <w:rPr>
          <w:rFonts w:eastAsia="Calibri" w:cs="Times New Roman"/>
          <w:sz w:val="20"/>
          <w:szCs w:val="20"/>
          <w:lang w:val="es-AR" w:eastAsia="x-none"/>
        </w:rPr>
        <w:t xml:space="preserve"> de las Co-Emisoras</w:t>
      </w:r>
      <w:r w:rsidRPr="00CA3A3D">
        <w:rPr>
          <w:rFonts w:eastAsia="Calibri" w:cs="Times New Roman"/>
          <w:sz w:val="20"/>
          <w:szCs w:val="20"/>
          <w:lang w:val="es-AR" w:eastAsia="x-none"/>
        </w:rPr>
        <w:t>, hay ciertos bienes, incluido</w:t>
      </w:r>
      <w:r w:rsidR="007F1725" w:rsidRPr="00CA3A3D">
        <w:rPr>
          <w:rFonts w:eastAsia="Calibri" w:cs="Times New Roman"/>
          <w:sz w:val="20"/>
          <w:szCs w:val="20"/>
          <w:lang w:val="es-AR" w:eastAsia="x-none"/>
        </w:rPr>
        <w:t>s</w:t>
      </w:r>
      <w:r w:rsidRPr="00CA3A3D">
        <w:rPr>
          <w:rFonts w:eastAsia="Calibri" w:cs="Times New Roman"/>
          <w:sz w:val="20"/>
          <w:szCs w:val="20"/>
          <w:lang w:val="es-AR" w:eastAsia="x-none"/>
        </w:rPr>
        <w:t xml:space="preserve"> </w:t>
      </w:r>
      <w:r w:rsidR="007F1725" w:rsidRPr="00CA3A3D">
        <w:rPr>
          <w:rFonts w:eastAsia="Calibri" w:cs="Times New Roman"/>
          <w:sz w:val="20"/>
          <w:szCs w:val="20"/>
          <w:lang w:val="es-AR" w:eastAsia="x-none"/>
        </w:rPr>
        <w:t>los</w:t>
      </w:r>
      <w:r w:rsidRPr="00CA3A3D">
        <w:rPr>
          <w:rFonts w:eastAsia="Calibri" w:cs="Times New Roman"/>
          <w:sz w:val="20"/>
          <w:szCs w:val="20"/>
          <w:lang w:val="es-AR" w:eastAsia="x-none"/>
        </w:rPr>
        <w:t xml:space="preserve"> </w:t>
      </w:r>
      <w:r w:rsidR="00184452" w:rsidRPr="00CA3A3D">
        <w:rPr>
          <w:rFonts w:eastAsia="Calibri" w:cs="Times New Roman"/>
          <w:sz w:val="20"/>
          <w:szCs w:val="20"/>
          <w:lang w:val="es-AR" w:eastAsia="x-none"/>
        </w:rPr>
        <w:t>CCEE</w:t>
      </w:r>
      <w:r w:rsidRPr="00CA3A3D">
        <w:rPr>
          <w:rFonts w:eastAsia="Calibri" w:cs="Times New Roman"/>
          <w:sz w:val="20"/>
          <w:szCs w:val="20"/>
          <w:lang w:val="es-AR" w:eastAsia="x-none"/>
        </w:rPr>
        <w:t xml:space="preserve"> y otros acuerdos significativos, que los Agentes de la Garantía no podrán ejecutar en forma efectiva sin el consentimiento de terceros, tales como una autoridad gubernamental. </w:t>
      </w:r>
      <w:r w:rsidR="00184452" w:rsidRPr="00CA3A3D">
        <w:rPr>
          <w:rFonts w:eastAsia="Calibri" w:cs="Times New Roman"/>
          <w:sz w:val="20"/>
          <w:szCs w:val="20"/>
          <w:lang w:val="es-AR" w:eastAsia="x-none"/>
        </w:rPr>
        <w:t>Las Co-Emisoras n</w:t>
      </w:r>
      <w:r w:rsidRPr="00CA3A3D">
        <w:rPr>
          <w:rFonts w:eastAsia="Calibri" w:cs="Times New Roman"/>
          <w:sz w:val="20"/>
          <w:szCs w:val="20"/>
          <w:lang w:val="es-AR" w:eastAsia="x-none"/>
        </w:rPr>
        <w:t xml:space="preserve">o </w:t>
      </w:r>
      <w:r w:rsidR="00184452" w:rsidRPr="00CA3A3D">
        <w:rPr>
          <w:rFonts w:eastAsia="Calibri" w:cs="Times New Roman"/>
          <w:sz w:val="20"/>
          <w:szCs w:val="20"/>
          <w:lang w:val="es-AR" w:eastAsia="x-none"/>
        </w:rPr>
        <w:t>pueden</w:t>
      </w:r>
      <w:r w:rsidRPr="00CA3A3D">
        <w:rPr>
          <w:rFonts w:eastAsia="Calibri" w:cs="Times New Roman"/>
          <w:sz w:val="20"/>
          <w:szCs w:val="20"/>
          <w:lang w:val="es-AR" w:eastAsia="x-none"/>
        </w:rPr>
        <w:t xml:space="preserve"> </w:t>
      </w:r>
      <w:r w:rsidR="00184452" w:rsidRPr="00CA3A3D">
        <w:rPr>
          <w:rFonts w:eastAsia="Calibri" w:cs="Times New Roman"/>
          <w:sz w:val="20"/>
          <w:szCs w:val="20"/>
          <w:lang w:val="es-AR" w:eastAsia="x-none"/>
        </w:rPr>
        <w:t>asegurar</w:t>
      </w:r>
      <w:r w:rsidRPr="00CA3A3D">
        <w:rPr>
          <w:rFonts w:eastAsia="Calibri" w:cs="Times New Roman"/>
          <w:sz w:val="20"/>
          <w:szCs w:val="20"/>
          <w:lang w:val="es-AR" w:eastAsia="x-none"/>
        </w:rPr>
        <w:t xml:space="preserve"> a los inversores </w:t>
      </w:r>
      <w:r w:rsidR="00184452" w:rsidRPr="00CA3A3D">
        <w:rPr>
          <w:rFonts w:eastAsia="Calibri" w:cs="Times New Roman"/>
          <w:sz w:val="20"/>
          <w:szCs w:val="20"/>
          <w:lang w:val="es-AR" w:eastAsia="x-none"/>
        </w:rPr>
        <w:t xml:space="preserve">que </w:t>
      </w:r>
      <w:r w:rsidRPr="00CA3A3D">
        <w:rPr>
          <w:rFonts w:eastAsia="Calibri" w:cs="Times New Roman"/>
          <w:sz w:val="20"/>
          <w:szCs w:val="20"/>
          <w:lang w:val="es-AR" w:eastAsia="x-none"/>
        </w:rPr>
        <w:t xml:space="preserve">en caso de </w:t>
      </w:r>
      <w:r w:rsidR="00184452" w:rsidRPr="00CA3A3D">
        <w:rPr>
          <w:rFonts w:eastAsia="Calibri" w:cs="Times New Roman"/>
          <w:sz w:val="20"/>
          <w:szCs w:val="20"/>
          <w:lang w:val="es-AR" w:eastAsia="x-none"/>
        </w:rPr>
        <w:t>ejecución de los bienes de las Co-Emisoras a instancias de</w:t>
      </w:r>
      <w:r w:rsidRPr="00CA3A3D">
        <w:rPr>
          <w:rFonts w:eastAsia="Calibri" w:cs="Times New Roman"/>
          <w:sz w:val="20"/>
          <w:szCs w:val="20"/>
          <w:lang w:val="es-AR" w:eastAsia="x-none"/>
        </w:rPr>
        <w:t xml:space="preserve"> los Agentes de la Garantía, éstos p</w:t>
      </w:r>
      <w:r w:rsidR="00184452" w:rsidRPr="00CA3A3D">
        <w:rPr>
          <w:rFonts w:eastAsia="Calibri" w:cs="Times New Roman"/>
          <w:sz w:val="20"/>
          <w:szCs w:val="20"/>
          <w:lang w:val="es-AR" w:eastAsia="x-none"/>
        </w:rPr>
        <w:t>ueda</w:t>
      </w:r>
      <w:r w:rsidRPr="00CA3A3D">
        <w:rPr>
          <w:rFonts w:eastAsia="Calibri" w:cs="Times New Roman"/>
          <w:sz w:val="20"/>
          <w:szCs w:val="20"/>
          <w:lang w:val="es-AR" w:eastAsia="x-none"/>
        </w:rPr>
        <w:t xml:space="preserve">n obtener las aprobaciones necesarias de terceros a fin de adquirir o transferir la propiedad de los activos </w:t>
      </w:r>
      <w:r w:rsidR="00184452" w:rsidRPr="00CA3A3D">
        <w:rPr>
          <w:rFonts w:eastAsia="Calibri" w:cs="Times New Roman"/>
          <w:sz w:val="20"/>
          <w:szCs w:val="20"/>
          <w:lang w:val="es-AR" w:eastAsia="x-none"/>
        </w:rPr>
        <w:t>que intentan ejecutar.</w:t>
      </w:r>
      <w:r w:rsidRPr="00CA3A3D">
        <w:rPr>
          <w:rFonts w:eastAsia="Calibri" w:cs="Times New Roman"/>
          <w:sz w:val="20"/>
          <w:szCs w:val="20"/>
          <w:lang w:val="es-AR" w:eastAsia="x-none"/>
        </w:rPr>
        <w:t xml:space="preserve"> Asimismo, si los Agentes de la Garantía ejecutaran </w:t>
      </w:r>
      <w:r w:rsidR="00184452" w:rsidRPr="00CA3A3D">
        <w:rPr>
          <w:rFonts w:eastAsia="Calibri" w:cs="Times New Roman"/>
          <w:sz w:val="20"/>
          <w:szCs w:val="20"/>
          <w:lang w:val="es-AR" w:eastAsia="x-none"/>
        </w:rPr>
        <w:t>l</w:t>
      </w:r>
      <w:r w:rsidR="0036168F" w:rsidRPr="00CA3A3D">
        <w:rPr>
          <w:rFonts w:eastAsia="Calibri" w:cs="Times New Roman"/>
          <w:sz w:val="20"/>
          <w:szCs w:val="20"/>
          <w:lang w:val="es-AR" w:eastAsia="x-none"/>
        </w:rPr>
        <w:t>o</w:t>
      </w:r>
      <w:r w:rsidR="00184452" w:rsidRPr="00CA3A3D">
        <w:rPr>
          <w:rFonts w:eastAsia="Calibri" w:cs="Times New Roman"/>
          <w:sz w:val="20"/>
          <w:szCs w:val="20"/>
          <w:lang w:val="es-AR" w:eastAsia="x-none"/>
        </w:rPr>
        <w:t xml:space="preserve">s </w:t>
      </w:r>
      <w:r w:rsidR="002A04E0">
        <w:rPr>
          <w:rFonts w:eastAsia="Calibri" w:cs="Times New Roman"/>
          <w:sz w:val="20"/>
          <w:szCs w:val="20"/>
          <w:lang w:val="es-AR" w:eastAsia="x-none"/>
        </w:rPr>
        <w:t>Derechos de Garantía</w:t>
      </w:r>
      <w:r w:rsidRPr="00CA3A3D">
        <w:rPr>
          <w:rFonts w:eastAsia="Calibri" w:cs="Times New Roman"/>
          <w:sz w:val="20"/>
          <w:szCs w:val="20"/>
          <w:lang w:val="es-AR" w:eastAsia="x-none"/>
        </w:rPr>
        <w:t xml:space="preserve">, entonces, en relación con esto, la transferencia de los permisos requeridos a algún comprador u operador nuevo </w:t>
      </w:r>
      <w:r w:rsidR="007F1725" w:rsidRPr="00CA3A3D">
        <w:rPr>
          <w:rFonts w:eastAsia="Calibri" w:cs="Times New Roman"/>
          <w:sz w:val="20"/>
          <w:szCs w:val="20"/>
          <w:lang w:val="es-AR" w:eastAsia="x-none"/>
        </w:rPr>
        <w:t>del proyecto que se tratara,</w:t>
      </w:r>
      <w:r w:rsidRPr="00CA3A3D">
        <w:rPr>
          <w:rFonts w:eastAsia="Calibri" w:cs="Times New Roman"/>
          <w:sz w:val="20"/>
          <w:szCs w:val="20"/>
          <w:lang w:val="es-AR" w:eastAsia="x-none"/>
        </w:rPr>
        <w:t xml:space="preserve"> podrá requerir más aprobaciones o procedimientos del </w:t>
      </w:r>
      <w:r w:rsidR="00184452" w:rsidRPr="00CA3A3D">
        <w:rPr>
          <w:rFonts w:eastAsia="Calibri" w:cs="Times New Roman"/>
          <w:sz w:val="20"/>
          <w:szCs w:val="20"/>
          <w:lang w:val="es-AR" w:eastAsia="x-none"/>
        </w:rPr>
        <w:t>g</w:t>
      </w:r>
      <w:r w:rsidRPr="00CA3A3D">
        <w:rPr>
          <w:rFonts w:eastAsia="Calibri" w:cs="Times New Roman"/>
          <w:sz w:val="20"/>
          <w:szCs w:val="20"/>
          <w:lang w:val="es-AR" w:eastAsia="x-none"/>
        </w:rPr>
        <w:t xml:space="preserve">obierno, lo que podría traer aparejadas demoras. De acuerdo con esto, podría no haber </w:t>
      </w:r>
      <w:r w:rsidR="00184452" w:rsidRPr="00CA3A3D">
        <w:rPr>
          <w:rFonts w:eastAsia="Calibri" w:cs="Times New Roman"/>
          <w:sz w:val="20"/>
          <w:szCs w:val="20"/>
          <w:lang w:val="es-AR" w:eastAsia="x-none"/>
        </w:rPr>
        <w:t xml:space="preserve">fondos </w:t>
      </w:r>
      <w:r w:rsidRPr="00CA3A3D">
        <w:rPr>
          <w:rFonts w:eastAsia="Calibri" w:cs="Times New Roman"/>
          <w:sz w:val="20"/>
          <w:szCs w:val="20"/>
          <w:lang w:val="es-AR" w:eastAsia="x-none"/>
        </w:rPr>
        <w:t xml:space="preserve">suficientes </w:t>
      </w:r>
      <w:r w:rsidR="00184452" w:rsidRPr="00CA3A3D">
        <w:rPr>
          <w:rFonts w:eastAsia="Calibri" w:cs="Times New Roman"/>
          <w:sz w:val="20"/>
          <w:szCs w:val="20"/>
          <w:lang w:val="es-AR" w:eastAsia="x-none"/>
        </w:rPr>
        <w:t xml:space="preserve">procedentes de los </w:t>
      </w:r>
      <w:r w:rsidR="002A04E0">
        <w:rPr>
          <w:rFonts w:eastAsia="Calibri" w:cs="Times New Roman"/>
          <w:sz w:val="20"/>
          <w:szCs w:val="20"/>
          <w:lang w:val="es-AR" w:eastAsia="x-none"/>
        </w:rPr>
        <w:t>Derechos de Garantía</w:t>
      </w:r>
      <w:r w:rsidRPr="00CA3A3D">
        <w:rPr>
          <w:rFonts w:eastAsia="Calibri" w:cs="Times New Roman"/>
          <w:sz w:val="20"/>
          <w:szCs w:val="20"/>
          <w:lang w:val="es-AR" w:eastAsia="x-none"/>
        </w:rPr>
        <w:t xml:space="preserve"> a fin de pagar todos los importes adeudados en relación con las Obligaciones Negociables. </w:t>
      </w:r>
    </w:p>
    <w:p w14:paraId="2315E7F8" w14:textId="77777777" w:rsidR="00184452" w:rsidRPr="00CA3A3D" w:rsidRDefault="00184452" w:rsidP="00557592">
      <w:pPr>
        <w:pStyle w:val="Default"/>
        <w:jc w:val="both"/>
        <w:rPr>
          <w:rFonts w:eastAsia="Calibri" w:cs="Times New Roman"/>
          <w:sz w:val="20"/>
          <w:szCs w:val="20"/>
          <w:lang w:val="es-AR" w:eastAsia="x-none"/>
        </w:rPr>
      </w:pPr>
    </w:p>
    <w:p w14:paraId="1FCFD340" w14:textId="65628D99" w:rsidR="008B6600" w:rsidRPr="00CA3A3D" w:rsidRDefault="008B6600" w:rsidP="00557592">
      <w:pPr>
        <w:pStyle w:val="Default"/>
        <w:jc w:val="both"/>
        <w:rPr>
          <w:rFonts w:eastAsia="Calibri" w:cs="Times New Roman"/>
          <w:sz w:val="20"/>
          <w:szCs w:val="20"/>
          <w:lang w:val="es-AR" w:eastAsia="x-none"/>
        </w:rPr>
      </w:pPr>
      <w:r w:rsidRPr="00CA3A3D">
        <w:rPr>
          <w:rFonts w:eastAsia="Calibri" w:cs="Times New Roman"/>
          <w:sz w:val="20"/>
          <w:szCs w:val="20"/>
          <w:lang w:val="es-AR" w:eastAsia="x-none"/>
        </w:rPr>
        <w:t>Asimismo, y debido a su naturaleza, tod</w:t>
      </w:r>
      <w:r w:rsidR="002518CC">
        <w:rPr>
          <w:rFonts w:eastAsia="Calibri" w:cs="Times New Roman"/>
          <w:sz w:val="20"/>
          <w:szCs w:val="20"/>
          <w:lang w:val="es-AR" w:eastAsia="x-none"/>
        </w:rPr>
        <w:t>o</w:t>
      </w:r>
      <w:r w:rsidRPr="00CA3A3D">
        <w:rPr>
          <w:rFonts w:eastAsia="Calibri" w:cs="Times New Roman"/>
          <w:sz w:val="20"/>
          <w:szCs w:val="20"/>
          <w:lang w:val="es-AR" w:eastAsia="x-none"/>
        </w:rPr>
        <w:t xml:space="preserve"> o parte de </w:t>
      </w:r>
      <w:r w:rsidR="00184452" w:rsidRPr="00CA3A3D">
        <w:rPr>
          <w:rFonts w:eastAsia="Calibri" w:cs="Times New Roman"/>
          <w:sz w:val="20"/>
          <w:szCs w:val="20"/>
          <w:lang w:val="es-AR" w:eastAsia="x-none"/>
        </w:rPr>
        <w:t xml:space="preserve">los </w:t>
      </w:r>
      <w:r w:rsidR="002A04E0">
        <w:rPr>
          <w:rFonts w:eastAsia="Calibri" w:cs="Times New Roman"/>
          <w:sz w:val="20"/>
          <w:szCs w:val="20"/>
          <w:lang w:val="es-AR" w:eastAsia="x-none"/>
        </w:rPr>
        <w:t>Derechos de Garantía</w:t>
      </w:r>
      <w:r w:rsidRPr="00CA3A3D">
        <w:rPr>
          <w:rFonts w:eastAsia="Calibri" w:cs="Times New Roman"/>
          <w:sz w:val="20"/>
          <w:szCs w:val="20"/>
          <w:lang w:val="es-AR" w:eastAsia="x-none"/>
        </w:rPr>
        <w:t xml:space="preserve"> </w:t>
      </w:r>
      <w:r w:rsidR="00184452" w:rsidRPr="00CA3A3D">
        <w:rPr>
          <w:rFonts w:eastAsia="Calibri" w:cs="Times New Roman"/>
          <w:sz w:val="20"/>
          <w:szCs w:val="20"/>
          <w:lang w:val="es-AR" w:eastAsia="x-none"/>
        </w:rPr>
        <w:t>pueden ser</w:t>
      </w:r>
      <w:r w:rsidRPr="00CA3A3D">
        <w:rPr>
          <w:rFonts w:eastAsia="Calibri" w:cs="Times New Roman"/>
          <w:sz w:val="20"/>
          <w:szCs w:val="20"/>
          <w:lang w:val="es-AR" w:eastAsia="x-none"/>
        </w:rPr>
        <w:t xml:space="preserve"> ilíquid</w:t>
      </w:r>
      <w:r w:rsidR="00184452" w:rsidRPr="00CA3A3D">
        <w:rPr>
          <w:rFonts w:eastAsia="Calibri" w:cs="Times New Roman"/>
          <w:sz w:val="20"/>
          <w:szCs w:val="20"/>
          <w:lang w:val="es-AR" w:eastAsia="x-none"/>
        </w:rPr>
        <w:t>os</w:t>
      </w:r>
      <w:r w:rsidRPr="00CA3A3D">
        <w:rPr>
          <w:rFonts w:eastAsia="Calibri" w:cs="Times New Roman"/>
          <w:sz w:val="20"/>
          <w:szCs w:val="20"/>
          <w:lang w:val="es-AR" w:eastAsia="x-none"/>
        </w:rPr>
        <w:t xml:space="preserve"> y podría</w:t>
      </w:r>
      <w:r w:rsidR="00184452" w:rsidRPr="00CA3A3D">
        <w:rPr>
          <w:rFonts w:eastAsia="Calibri" w:cs="Times New Roman"/>
          <w:sz w:val="20"/>
          <w:szCs w:val="20"/>
          <w:lang w:val="es-AR" w:eastAsia="x-none"/>
        </w:rPr>
        <w:t>n</w:t>
      </w:r>
      <w:r w:rsidRPr="00CA3A3D">
        <w:rPr>
          <w:rFonts w:eastAsia="Calibri" w:cs="Times New Roman"/>
          <w:sz w:val="20"/>
          <w:szCs w:val="20"/>
          <w:lang w:val="es-AR" w:eastAsia="x-none"/>
        </w:rPr>
        <w:t xml:space="preserve"> no tener un valor de mercado fácil de determinar. Parte de </w:t>
      </w:r>
      <w:r w:rsidR="00184452" w:rsidRPr="00CA3A3D">
        <w:rPr>
          <w:rFonts w:eastAsia="Calibri" w:cs="Times New Roman"/>
          <w:sz w:val="20"/>
          <w:szCs w:val="20"/>
          <w:lang w:val="es-AR" w:eastAsia="x-none"/>
        </w:rPr>
        <w:t xml:space="preserve">los </w:t>
      </w:r>
      <w:r w:rsidR="002A04E0">
        <w:rPr>
          <w:rFonts w:eastAsia="Calibri" w:cs="Times New Roman"/>
          <w:sz w:val="20"/>
          <w:szCs w:val="20"/>
          <w:lang w:val="es-AR" w:eastAsia="x-none"/>
        </w:rPr>
        <w:t>Derechos de Garantía</w:t>
      </w:r>
      <w:r w:rsidRPr="00CA3A3D">
        <w:rPr>
          <w:rFonts w:eastAsia="Calibri" w:cs="Times New Roman"/>
          <w:sz w:val="20"/>
          <w:szCs w:val="20"/>
          <w:lang w:val="es-AR" w:eastAsia="x-none"/>
        </w:rPr>
        <w:t xml:space="preserve"> podría</w:t>
      </w:r>
      <w:r w:rsidR="00184452" w:rsidRPr="00CA3A3D">
        <w:rPr>
          <w:rFonts w:eastAsia="Calibri" w:cs="Times New Roman"/>
          <w:sz w:val="20"/>
          <w:szCs w:val="20"/>
          <w:lang w:val="es-AR" w:eastAsia="x-none"/>
        </w:rPr>
        <w:t>n</w:t>
      </w:r>
      <w:r w:rsidRPr="00CA3A3D">
        <w:rPr>
          <w:rFonts w:eastAsia="Calibri" w:cs="Times New Roman"/>
          <w:sz w:val="20"/>
          <w:szCs w:val="20"/>
          <w:lang w:val="es-AR" w:eastAsia="x-none"/>
        </w:rPr>
        <w:t xml:space="preserve"> no tener un valor independiente significativo aparte de los otros </w:t>
      </w:r>
      <w:r w:rsidR="002A04E0">
        <w:rPr>
          <w:rFonts w:eastAsia="Calibri" w:cs="Times New Roman"/>
          <w:sz w:val="20"/>
          <w:szCs w:val="20"/>
          <w:lang w:val="es-AR" w:eastAsia="x-none"/>
        </w:rPr>
        <w:t>Derechos de Garantía</w:t>
      </w:r>
      <w:r w:rsidRPr="00CA3A3D">
        <w:rPr>
          <w:rFonts w:eastAsia="Calibri" w:cs="Times New Roman"/>
          <w:sz w:val="20"/>
          <w:szCs w:val="20"/>
          <w:lang w:val="es-AR" w:eastAsia="x-none"/>
        </w:rPr>
        <w:t xml:space="preserve"> o podrían verse afectada en el futuro como resultado de las condiciones económicas y de </w:t>
      </w:r>
      <w:r w:rsidR="00184452" w:rsidRPr="00CA3A3D">
        <w:rPr>
          <w:rFonts w:eastAsia="Calibri" w:cs="Times New Roman"/>
          <w:sz w:val="20"/>
          <w:szCs w:val="20"/>
          <w:lang w:val="es-AR" w:eastAsia="x-none"/>
        </w:rPr>
        <w:t xml:space="preserve">cambios en el </w:t>
      </w:r>
      <w:r w:rsidRPr="00CA3A3D">
        <w:rPr>
          <w:rFonts w:eastAsia="Calibri" w:cs="Times New Roman"/>
          <w:sz w:val="20"/>
          <w:szCs w:val="20"/>
          <w:lang w:val="es-AR" w:eastAsia="x-none"/>
        </w:rPr>
        <w:t xml:space="preserve">mercado. Parte </w:t>
      </w:r>
      <w:r w:rsidR="00184452" w:rsidRPr="00CA3A3D">
        <w:rPr>
          <w:rFonts w:eastAsia="Calibri" w:cs="Times New Roman"/>
          <w:sz w:val="20"/>
          <w:szCs w:val="20"/>
          <w:lang w:val="es-AR" w:eastAsia="x-none"/>
        </w:rPr>
        <w:t xml:space="preserve">o todos los </w:t>
      </w:r>
      <w:r w:rsidR="002A04E0">
        <w:rPr>
          <w:rFonts w:eastAsia="Calibri" w:cs="Times New Roman"/>
          <w:sz w:val="20"/>
          <w:szCs w:val="20"/>
          <w:lang w:val="es-AR" w:eastAsia="x-none"/>
        </w:rPr>
        <w:t>Derechos de Garantía</w:t>
      </w:r>
      <w:r w:rsidRPr="00CA3A3D">
        <w:rPr>
          <w:rFonts w:eastAsia="Calibri" w:cs="Times New Roman"/>
          <w:sz w:val="20"/>
          <w:szCs w:val="20"/>
          <w:lang w:val="es-AR" w:eastAsia="x-none"/>
        </w:rPr>
        <w:t xml:space="preserve"> podría</w:t>
      </w:r>
      <w:r w:rsidR="00184452" w:rsidRPr="00CA3A3D">
        <w:rPr>
          <w:rFonts w:eastAsia="Calibri" w:cs="Times New Roman"/>
          <w:sz w:val="20"/>
          <w:szCs w:val="20"/>
          <w:lang w:val="es-AR" w:eastAsia="x-none"/>
        </w:rPr>
        <w:t>n</w:t>
      </w:r>
      <w:r w:rsidRPr="00CA3A3D">
        <w:rPr>
          <w:rFonts w:eastAsia="Calibri" w:cs="Times New Roman"/>
          <w:sz w:val="20"/>
          <w:szCs w:val="20"/>
          <w:lang w:val="es-AR" w:eastAsia="x-none"/>
        </w:rPr>
        <w:t xml:space="preserve"> no ser fácil de vender o, si lo fuese</w:t>
      </w:r>
      <w:r w:rsidR="00184452" w:rsidRPr="00CA3A3D">
        <w:rPr>
          <w:rFonts w:eastAsia="Calibri" w:cs="Times New Roman"/>
          <w:sz w:val="20"/>
          <w:szCs w:val="20"/>
          <w:lang w:val="es-AR" w:eastAsia="x-none"/>
        </w:rPr>
        <w:t>n</w:t>
      </w:r>
      <w:r w:rsidRPr="00CA3A3D">
        <w:rPr>
          <w:rFonts w:eastAsia="Calibri" w:cs="Times New Roman"/>
          <w:sz w:val="20"/>
          <w:szCs w:val="20"/>
          <w:lang w:val="es-AR" w:eastAsia="x-none"/>
        </w:rPr>
        <w:t>, podría haber demoras sustanciales en su liquidación. Asimismo, el Contrato de Fideicomiso establece protecciones limitadas respecto de l</w:t>
      </w:r>
      <w:r w:rsidR="000901B6" w:rsidRPr="00CA3A3D">
        <w:rPr>
          <w:rFonts w:eastAsia="Calibri" w:cs="Times New Roman"/>
          <w:sz w:val="20"/>
          <w:szCs w:val="20"/>
          <w:lang w:val="es-AR" w:eastAsia="x-none"/>
        </w:rPr>
        <w:t>o</w:t>
      </w:r>
      <w:r w:rsidR="00184452" w:rsidRPr="00CA3A3D">
        <w:rPr>
          <w:rFonts w:eastAsia="Calibri" w:cs="Times New Roman"/>
          <w:sz w:val="20"/>
          <w:szCs w:val="20"/>
          <w:lang w:val="es-AR" w:eastAsia="x-none"/>
        </w:rPr>
        <w:t>s</w:t>
      </w:r>
      <w:r w:rsidRPr="00CA3A3D">
        <w:rPr>
          <w:rFonts w:eastAsia="Calibri" w:cs="Times New Roman"/>
          <w:sz w:val="20"/>
          <w:szCs w:val="20"/>
          <w:lang w:val="es-AR" w:eastAsia="x-none"/>
        </w:rPr>
        <w:t xml:space="preserve"> </w:t>
      </w:r>
      <w:r w:rsidR="000901B6" w:rsidRPr="00CA3A3D">
        <w:rPr>
          <w:rFonts w:eastAsia="Calibri" w:cs="Times New Roman"/>
          <w:sz w:val="20"/>
          <w:szCs w:val="20"/>
          <w:lang w:val="es-AR" w:eastAsia="x-none"/>
        </w:rPr>
        <w:t xml:space="preserve">Derechos de Garantía </w:t>
      </w:r>
      <w:r w:rsidRPr="00CA3A3D">
        <w:rPr>
          <w:rFonts w:eastAsia="Calibri" w:cs="Times New Roman"/>
          <w:sz w:val="20"/>
          <w:szCs w:val="20"/>
          <w:lang w:val="es-AR" w:eastAsia="x-none"/>
        </w:rPr>
        <w:t>y podría</w:t>
      </w:r>
      <w:r w:rsidR="000901B6" w:rsidRPr="00CA3A3D">
        <w:rPr>
          <w:rFonts w:eastAsia="Calibri" w:cs="Times New Roman"/>
          <w:sz w:val="20"/>
          <w:szCs w:val="20"/>
          <w:lang w:val="es-AR" w:eastAsia="x-none"/>
        </w:rPr>
        <w:t>n</w:t>
      </w:r>
      <w:r w:rsidRPr="00CA3A3D">
        <w:rPr>
          <w:rFonts w:eastAsia="Calibri" w:cs="Times New Roman"/>
          <w:sz w:val="20"/>
          <w:szCs w:val="20"/>
          <w:lang w:val="es-AR" w:eastAsia="x-none"/>
        </w:rPr>
        <w:t xml:space="preserve"> no proteger</w:t>
      </w:r>
      <w:r w:rsidR="00184452" w:rsidRPr="00CA3A3D">
        <w:rPr>
          <w:rFonts w:eastAsia="Calibri" w:cs="Times New Roman"/>
          <w:sz w:val="20"/>
          <w:szCs w:val="20"/>
          <w:lang w:val="es-AR" w:eastAsia="x-none"/>
        </w:rPr>
        <w:t xml:space="preserve"> al inversor</w:t>
      </w:r>
      <w:r w:rsidRPr="00CA3A3D">
        <w:rPr>
          <w:rFonts w:eastAsia="Calibri" w:cs="Times New Roman"/>
          <w:sz w:val="20"/>
          <w:szCs w:val="20"/>
          <w:lang w:val="es-AR" w:eastAsia="x-none"/>
        </w:rPr>
        <w:t xml:space="preserve"> ante acciones que pudi</w:t>
      </w:r>
      <w:r w:rsidR="00184452" w:rsidRPr="00CA3A3D">
        <w:rPr>
          <w:rFonts w:eastAsia="Calibri" w:cs="Times New Roman"/>
          <w:sz w:val="20"/>
          <w:szCs w:val="20"/>
          <w:lang w:val="es-AR" w:eastAsia="x-none"/>
        </w:rPr>
        <w:t>e</w:t>
      </w:r>
      <w:r w:rsidRPr="00CA3A3D">
        <w:rPr>
          <w:rFonts w:eastAsia="Calibri" w:cs="Times New Roman"/>
          <w:sz w:val="20"/>
          <w:szCs w:val="20"/>
          <w:lang w:val="es-AR" w:eastAsia="x-none"/>
        </w:rPr>
        <w:t>ra</w:t>
      </w:r>
      <w:r w:rsidR="00184452" w:rsidRPr="00CA3A3D">
        <w:rPr>
          <w:rFonts w:eastAsia="Calibri" w:cs="Times New Roman"/>
          <w:sz w:val="20"/>
          <w:szCs w:val="20"/>
          <w:lang w:val="es-AR" w:eastAsia="x-none"/>
        </w:rPr>
        <w:t>n</w:t>
      </w:r>
      <w:r w:rsidRPr="00CA3A3D">
        <w:rPr>
          <w:rFonts w:eastAsia="Calibri" w:cs="Times New Roman"/>
          <w:sz w:val="20"/>
          <w:szCs w:val="20"/>
          <w:lang w:val="es-AR" w:eastAsia="x-none"/>
        </w:rPr>
        <w:t xml:space="preserve"> tomar </w:t>
      </w:r>
      <w:r w:rsidR="00184452" w:rsidRPr="00CA3A3D">
        <w:rPr>
          <w:rFonts w:eastAsia="Calibri" w:cs="Times New Roman"/>
          <w:sz w:val="20"/>
          <w:szCs w:val="20"/>
          <w:lang w:val="es-AR" w:eastAsia="x-none"/>
        </w:rPr>
        <w:t xml:space="preserve">las Co-Emisoras </w:t>
      </w:r>
      <w:r w:rsidRPr="00CA3A3D">
        <w:rPr>
          <w:rFonts w:eastAsia="Calibri" w:cs="Times New Roman"/>
          <w:sz w:val="20"/>
          <w:szCs w:val="20"/>
          <w:lang w:val="es-AR" w:eastAsia="x-none"/>
        </w:rPr>
        <w:t>que afect</w:t>
      </w:r>
      <w:r w:rsidR="00184452" w:rsidRPr="00CA3A3D">
        <w:rPr>
          <w:rFonts w:eastAsia="Calibri" w:cs="Times New Roman"/>
          <w:sz w:val="20"/>
          <w:szCs w:val="20"/>
          <w:lang w:val="es-AR" w:eastAsia="x-none"/>
        </w:rPr>
        <w:t>en</w:t>
      </w:r>
      <w:r w:rsidRPr="00CA3A3D">
        <w:rPr>
          <w:rFonts w:eastAsia="Calibri" w:cs="Times New Roman"/>
          <w:sz w:val="20"/>
          <w:szCs w:val="20"/>
          <w:lang w:val="es-AR" w:eastAsia="x-none"/>
        </w:rPr>
        <w:t xml:space="preserve"> el valor de los </w:t>
      </w:r>
      <w:r w:rsidR="002A04E0">
        <w:rPr>
          <w:rFonts w:eastAsia="Calibri" w:cs="Times New Roman"/>
          <w:sz w:val="20"/>
          <w:szCs w:val="20"/>
          <w:lang w:val="es-AR" w:eastAsia="x-none"/>
        </w:rPr>
        <w:t>Derechos de Garantía</w:t>
      </w:r>
      <w:r w:rsidRPr="00CA3A3D">
        <w:rPr>
          <w:rFonts w:eastAsia="Calibri" w:cs="Times New Roman"/>
          <w:sz w:val="20"/>
          <w:szCs w:val="20"/>
          <w:lang w:val="es-AR" w:eastAsia="x-none"/>
        </w:rPr>
        <w:t>. Asimismo, no tod</w:t>
      </w:r>
      <w:r w:rsidR="000901B6" w:rsidRPr="00CA3A3D">
        <w:rPr>
          <w:rFonts w:eastAsia="Calibri" w:cs="Times New Roman"/>
          <w:sz w:val="20"/>
          <w:szCs w:val="20"/>
          <w:lang w:val="es-AR" w:eastAsia="x-none"/>
        </w:rPr>
        <w:t>o</w:t>
      </w:r>
      <w:r w:rsidRPr="00CA3A3D">
        <w:rPr>
          <w:rFonts w:eastAsia="Calibri" w:cs="Times New Roman"/>
          <w:sz w:val="20"/>
          <w:szCs w:val="20"/>
          <w:lang w:val="es-AR" w:eastAsia="x-none"/>
        </w:rPr>
        <w:t>s l</w:t>
      </w:r>
      <w:r w:rsidR="000901B6" w:rsidRPr="00CA3A3D">
        <w:rPr>
          <w:rFonts w:eastAsia="Calibri" w:cs="Times New Roman"/>
          <w:sz w:val="20"/>
          <w:szCs w:val="20"/>
          <w:lang w:val="es-AR" w:eastAsia="x-none"/>
        </w:rPr>
        <w:t>o</w:t>
      </w:r>
      <w:r w:rsidRPr="00CA3A3D">
        <w:rPr>
          <w:rFonts w:eastAsia="Calibri" w:cs="Times New Roman"/>
          <w:sz w:val="20"/>
          <w:szCs w:val="20"/>
          <w:lang w:val="es-AR" w:eastAsia="x-none"/>
        </w:rPr>
        <w:t xml:space="preserve">s </w:t>
      </w:r>
      <w:r w:rsidR="000901B6" w:rsidRPr="00CA3A3D">
        <w:rPr>
          <w:rFonts w:eastAsia="Calibri" w:cs="Times New Roman"/>
          <w:sz w:val="20"/>
          <w:szCs w:val="20"/>
          <w:lang w:val="es-AR" w:eastAsia="x-none"/>
        </w:rPr>
        <w:t xml:space="preserve">Derechos de Garantía </w:t>
      </w:r>
      <w:r w:rsidRPr="00CA3A3D">
        <w:rPr>
          <w:rFonts w:eastAsia="Calibri" w:cs="Times New Roman"/>
          <w:sz w:val="20"/>
          <w:szCs w:val="20"/>
          <w:lang w:val="es-AR" w:eastAsia="x-none"/>
        </w:rPr>
        <w:t xml:space="preserve">existirán en la Fecha de Emisión y </w:t>
      </w:r>
      <w:r w:rsidR="00184452" w:rsidRPr="00CA3A3D">
        <w:rPr>
          <w:rFonts w:eastAsia="Calibri" w:cs="Times New Roman"/>
          <w:sz w:val="20"/>
          <w:szCs w:val="20"/>
          <w:lang w:val="es-AR" w:eastAsia="x-none"/>
        </w:rPr>
        <w:t xml:space="preserve">las Co-Emisoras </w:t>
      </w:r>
      <w:r w:rsidRPr="00CA3A3D">
        <w:rPr>
          <w:rFonts w:eastAsia="Calibri" w:cs="Times New Roman"/>
          <w:sz w:val="20"/>
          <w:szCs w:val="20"/>
          <w:lang w:val="es-AR" w:eastAsia="x-none"/>
        </w:rPr>
        <w:t>no p</w:t>
      </w:r>
      <w:r w:rsidR="00184452" w:rsidRPr="00CA3A3D">
        <w:rPr>
          <w:rFonts w:eastAsia="Calibri" w:cs="Times New Roman"/>
          <w:sz w:val="20"/>
          <w:szCs w:val="20"/>
          <w:lang w:val="es-AR" w:eastAsia="x-none"/>
        </w:rPr>
        <w:t>ueden</w:t>
      </w:r>
      <w:r w:rsidRPr="00CA3A3D">
        <w:rPr>
          <w:rFonts w:eastAsia="Calibri" w:cs="Times New Roman"/>
          <w:sz w:val="20"/>
          <w:szCs w:val="20"/>
          <w:lang w:val="es-AR" w:eastAsia="x-none"/>
        </w:rPr>
        <w:t xml:space="preserve"> asegurar que </w:t>
      </w:r>
      <w:r w:rsidR="00184452" w:rsidRPr="00CA3A3D">
        <w:rPr>
          <w:rFonts w:eastAsia="Calibri" w:cs="Times New Roman"/>
          <w:sz w:val="20"/>
          <w:szCs w:val="20"/>
          <w:lang w:val="es-AR" w:eastAsia="x-none"/>
        </w:rPr>
        <w:t>efectivamente</w:t>
      </w:r>
      <w:r w:rsidRPr="00CA3A3D">
        <w:rPr>
          <w:rFonts w:eastAsia="Calibri" w:cs="Times New Roman"/>
          <w:sz w:val="20"/>
          <w:szCs w:val="20"/>
          <w:lang w:val="es-AR" w:eastAsia="x-none"/>
        </w:rPr>
        <w:t xml:space="preserve"> </w:t>
      </w:r>
      <w:r w:rsidR="00184452" w:rsidRPr="00CA3A3D">
        <w:rPr>
          <w:rFonts w:eastAsia="Calibri" w:cs="Times New Roman"/>
          <w:sz w:val="20"/>
          <w:szCs w:val="20"/>
          <w:lang w:val="es-AR" w:eastAsia="x-none"/>
        </w:rPr>
        <w:t>todas</w:t>
      </w:r>
      <w:r w:rsidRPr="00CA3A3D">
        <w:rPr>
          <w:rFonts w:eastAsia="Calibri" w:cs="Times New Roman"/>
          <w:sz w:val="20"/>
          <w:szCs w:val="20"/>
          <w:lang w:val="es-AR" w:eastAsia="x-none"/>
        </w:rPr>
        <w:t xml:space="preserve"> ell</w:t>
      </w:r>
      <w:r w:rsidR="00184452" w:rsidRPr="00CA3A3D">
        <w:rPr>
          <w:rFonts w:eastAsia="Calibri" w:cs="Times New Roman"/>
          <w:sz w:val="20"/>
          <w:szCs w:val="20"/>
          <w:lang w:val="es-AR" w:eastAsia="x-none"/>
        </w:rPr>
        <w:t>a</w:t>
      </w:r>
      <w:r w:rsidRPr="00CA3A3D">
        <w:rPr>
          <w:rFonts w:eastAsia="Calibri" w:cs="Times New Roman"/>
          <w:sz w:val="20"/>
          <w:szCs w:val="20"/>
          <w:lang w:val="es-AR" w:eastAsia="x-none"/>
        </w:rPr>
        <w:t>s se creará</w:t>
      </w:r>
      <w:r w:rsidR="00184452" w:rsidRPr="00CA3A3D">
        <w:rPr>
          <w:rFonts w:eastAsia="Calibri" w:cs="Times New Roman"/>
          <w:sz w:val="20"/>
          <w:szCs w:val="20"/>
          <w:lang w:val="es-AR" w:eastAsia="x-none"/>
        </w:rPr>
        <w:t>n</w:t>
      </w:r>
      <w:r w:rsidRPr="00CA3A3D">
        <w:rPr>
          <w:rFonts w:eastAsia="Calibri" w:cs="Times New Roman"/>
          <w:sz w:val="20"/>
          <w:szCs w:val="20"/>
          <w:lang w:val="es-AR" w:eastAsia="x-none"/>
        </w:rPr>
        <w:t xml:space="preserve"> y perfeccionará</w:t>
      </w:r>
      <w:r w:rsidR="00184452" w:rsidRPr="00CA3A3D">
        <w:rPr>
          <w:rFonts w:eastAsia="Calibri" w:cs="Times New Roman"/>
          <w:sz w:val="20"/>
          <w:szCs w:val="20"/>
          <w:lang w:val="es-AR" w:eastAsia="x-none"/>
        </w:rPr>
        <w:t>n</w:t>
      </w:r>
      <w:r w:rsidRPr="00CA3A3D">
        <w:rPr>
          <w:rFonts w:eastAsia="Calibri" w:cs="Times New Roman"/>
          <w:sz w:val="20"/>
          <w:szCs w:val="20"/>
          <w:lang w:val="es-AR" w:eastAsia="x-none"/>
        </w:rPr>
        <w:t xml:space="preserve"> según lo que establece el Contrato de Fideicomiso. </w:t>
      </w:r>
      <w:r w:rsidR="00184452" w:rsidRPr="00CA3A3D">
        <w:rPr>
          <w:rFonts w:eastAsia="Calibri" w:cs="Times New Roman"/>
          <w:sz w:val="20"/>
          <w:szCs w:val="20"/>
          <w:lang w:val="es-AR" w:eastAsia="x-none"/>
        </w:rPr>
        <w:t>Las Co-Emisoras t</w:t>
      </w:r>
      <w:r w:rsidRPr="00CA3A3D">
        <w:rPr>
          <w:rFonts w:eastAsia="Calibri" w:cs="Times New Roman"/>
          <w:sz w:val="20"/>
          <w:szCs w:val="20"/>
          <w:lang w:val="es-AR" w:eastAsia="x-none"/>
        </w:rPr>
        <w:t>ampoco p</w:t>
      </w:r>
      <w:r w:rsidR="00184452" w:rsidRPr="00CA3A3D">
        <w:rPr>
          <w:rFonts w:eastAsia="Calibri" w:cs="Times New Roman"/>
          <w:sz w:val="20"/>
          <w:szCs w:val="20"/>
          <w:lang w:val="es-AR" w:eastAsia="x-none"/>
        </w:rPr>
        <w:t>ueden</w:t>
      </w:r>
      <w:r w:rsidRPr="00CA3A3D">
        <w:rPr>
          <w:rFonts w:eastAsia="Calibri" w:cs="Times New Roman"/>
          <w:sz w:val="20"/>
          <w:szCs w:val="20"/>
          <w:lang w:val="es-AR" w:eastAsia="x-none"/>
        </w:rPr>
        <w:t xml:space="preserve"> asegurar que los ingresos </w:t>
      </w:r>
      <w:r w:rsidR="00184452" w:rsidRPr="00CA3A3D">
        <w:rPr>
          <w:rFonts w:eastAsia="Calibri" w:cs="Times New Roman"/>
          <w:sz w:val="20"/>
          <w:szCs w:val="20"/>
          <w:lang w:val="es-AR" w:eastAsia="x-none"/>
        </w:rPr>
        <w:t>por</w:t>
      </w:r>
      <w:r w:rsidRPr="00CA3A3D">
        <w:rPr>
          <w:rFonts w:eastAsia="Calibri" w:cs="Times New Roman"/>
          <w:sz w:val="20"/>
          <w:szCs w:val="20"/>
          <w:lang w:val="es-AR" w:eastAsia="x-none"/>
        </w:rPr>
        <w:t xml:space="preserve"> venta </w:t>
      </w:r>
      <w:r w:rsidR="000901B6" w:rsidRPr="00CA3A3D">
        <w:rPr>
          <w:rFonts w:eastAsia="Calibri" w:cs="Times New Roman"/>
          <w:sz w:val="20"/>
          <w:szCs w:val="20"/>
          <w:lang w:val="es-AR" w:eastAsia="x-none"/>
        </w:rPr>
        <w:t xml:space="preserve">de los bienes objeto </w:t>
      </w:r>
      <w:r w:rsidRPr="00CA3A3D">
        <w:rPr>
          <w:rFonts w:eastAsia="Calibri" w:cs="Times New Roman"/>
          <w:sz w:val="20"/>
          <w:szCs w:val="20"/>
          <w:lang w:val="es-AR" w:eastAsia="x-none"/>
        </w:rPr>
        <w:t xml:space="preserve">de </w:t>
      </w:r>
      <w:r w:rsidR="000901B6" w:rsidRPr="00CA3A3D">
        <w:rPr>
          <w:rFonts w:eastAsia="Calibri" w:cs="Times New Roman"/>
          <w:sz w:val="20"/>
          <w:szCs w:val="20"/>
          <w:lang w:val="es-AR" w:eastAsia="x-none"/>
        </w:rPr>
        <w:t xml:space="preserve">los </w:t>
      </w:r>
      <w:r w:rsidR="002A04E0">
        <w:rPr>
          <w:rFonts w:eastAsia="Calibri" w:cs="Times New Roman"/>
          <w:sz w:val="20"/>
          <w:szCs w:val="20"/>
          <w:lang w:val="es-AR" w:eastAsia="x-none"/>
        </w:rPr>
        <w:t>Derechos de Garantía</w:t>
      </w:r>
      <w:r w:rsidRPr="00CA3A3D">
        <w:rPr>
          <w:rFonts w:eastAsia="Calibri" w:cs="Times New Roman"/>
          <w:sz w:val="20"/>
          <w:szCs w:val="20"/>
          <w:lang w:val="es-AR" w:eastAsia="x-none"/>
        </w:rPr>
        <w:t xml:space="preserve"> serán suficientes para reembolsarles a los titulares los importes </w:t>
      </w:r>
      <w:r w:rsidR="00921056" w:rsidRPr="00CA3A3D">
        <w:rPr>
          <w:rFonts w:eastAsia="Calibri" w:cs="Times New Roman"/>
          <w:sz w:val="20"/>
          <w:szCs w:val="20"/>
          <w:lang w:val="es-AR" w:eastAsia="x-none"/>
        </w:rPr>
        <w:t xml:space="preserve">a ellos </w:t>
      </w:r>
      <w:r w:rsidRPr="00CA3A3D">
        <w:rPr>
          <w:rFonts w:eastAsia="Calibri" w:cs="Times New Roman"/>
          <w:sz w:val="20"/>
          <w:szCs w:val="20"/>
          <w:lang w:val="es-AR" w:eastAsia="x-none"/>
        </w:rPr>
        <w:t>debidos conforme a las Obligaciones Negociables.</w:t>
      </w:r>
    </w:p>
    <w:p w14:paraId="19FCD3D5" w14:textId="77777777" w:rsidR="00921056" w:rsidRPr="00CA3A3D" w:rsidRDefault="00921056" w:rsidP="00557592">
      <w:pPr>
        <w:pStyle w:val="Default"/>
        <w:jc w:val="both"/>
        <w:rPr>
          <w:rFonts w:eastAsia="Calibri" w:cs="Times New Roman"/>
          <w:sz w:val="20"/>
          <w:szCs w:val="20"/>
          <w:lang w:val="es-AR" w:eastAsia="x-none"/>
        </w:rPr>
      </w:pPr>
    </w:p>
    <w:p w14:paraId="02E7F314" w14:textId="47254E42" w:rsidR="008B6600" w:rsidRPr="00CA3A3D" w:rsidRDefault="00921056" w:rsidP="00557592">
      <w:pPr>
        <w:pStyle w:val="Default"/>
        <w:jc w:val="both"/>
        <w:rPr>
          <w:rFonts w:eastAsia="Calibri" w:cs="Times New Roman"/>
          <w:sz w:val="20"/>
          <w:szCs w:val="20"/>
          <w:lang w:val="es-AR" w:eastAsia="x-none"/>
        </w:rPr>
      </w:pPr>
      <w:r w:rsidRPr="00CA3A3D">
        <w:rPr>
          <w:rFonts w:eastAsia="Calibri" w:cs="Times New Roman"/>
          <w:sz w:val="20"/>
          <w:szCs w:val="20"/>
          <w:lang w:val="es-AR" w:eastAsia="x-none"/>
        </w:rPr>
        <w:t>Si l</w:t>
      </w:r>
      <w:r w:rsidR="005B3544" w:rsidRPr="00CA3A3D">
        <w:rPr>
          <w:rFonts w:eastAsia="Calibri" w:cs="Times New Roman"/>
          <w:sz w:val="20"/>
          <w:szCs w:val="20"/>
          <w:lang w:val="es-AR" w:eastAsia="x-none"/>
        </w:rPr>
        <w:t>o</w:t>
      </w:r>
      <w:r w:rsidRPr="00CA3A3D">
        <w:rPr>
          <w:rFonts w:eastAsia="Calibri" w:cs="Times New Roman"/>
          <w:sz w:val="20"/>
          <w:szCs w:val="20"/>
          <w:lang w:val="es-AR" w:eastAsia="x-none"/>
        </w:rPr>
        <w:t xml:space="preserve">s </w:t>
      </w:r>
      <w:r w:rsidR="005B3544" w:rsidRPr="00CA3A3D">
        <w:rPr>
          <w:rFonts w:eastAsia="Calibri" w:cs="Times New Roman"/>
          <w:sz w:val="20"/>
          <w:szCs w:val="20"/>
          <w:lang w:val="es-AR" w:eastAsia="x-none"/>
        </w:rPr>
        <w:t xml:space="preserve">Derechos de Garantía </w:t>
      </w:r>
      <w:r w:rsidR="008B6600" w:rsidRPr="00CA3A3D">
        <w:rPr>
          <w:rFonts w:eastAsia="Calibri" w:cs="Times New Roman"/>
          <w:sz w:val="20"/>
          <w:szCs w:val="20"/>
          <w:lang w:val="es-AR" w:eastAsia="x-none"/>
        </w:rPr>
        <w:t>fuese</w:t>
      </w:r>
      <w:r w:rsidRPr="00CA3A3D">
        <w:rPr>
          <w:rFonts w:eastAsia="Calibri" w:cs="Times New Roman"/>
          <w:sz w:val="20"/>
          <w:szCs w:val="20"/>
          <w:lang w:val="es-AR" w:eastAsia="x-none"/>
        </w:rPr>
        <w:t>n</w:t>
      </w:r>
      <w:r w:rsidR="008B6600" w:rsidRPr="00CA3A3D">
        <w:rPr>
          <w:rFonts w:eastAsia="Calibri" w:cs="Times New Roman"/>
          <w:sz w:val="20"/>
          <w:szCs w:val="20"/>
          <w:lang w:val="es-AR" w:eastAsia="x-none"/>
        </w:rPr>
        <w:t xml:space="preserve"> insuficiente</w:t>
      </w:r>
      <w:r w:rsidRPr="00CA3A3D">
        <w:rPr>
          <w:rFonts w:eastAsia="Calibri" w:cs="Times New Roman"/>
          <w:sz w:val="20"/>
          <w:szCs w:val="20"/>
          <w:lang w:val="es-AR" w:eastAsia="x-none"/>
        </w:rPr>
        <w:t>s</w:t>
      </w:r>
      <w:r w:rsidR="008B6600" w:rsidRPr="00CA3A3D">
        <w:rPr>
          <w:rFonts w:eastAsia="Calibri" w:cs="Times New Roman"/>
          <w:sz w:val="20"/>
          <w:szCs w:val="20"/>
          <w:lang w:val="es-AR" w:eastAsia="x-none"/>
        </w:rPr>
        <w:t xml:space="preserve"> para satisfacer los reclamos de los </w:t>
      </w:r>
      <w:r w:rsidRPr="00CA3A3D">
        <w:rPr>
          <w:rFonts w:eastAsia="Calibri" w:cs="Times New Roman"/>
          <w:sz w:val="20"/>
          <w:szCs w:val="20"/>
          <w:lang w:val="es-AR" w:eastAsia="x-none"/>
        </w:rPr>
        <w:t>tenedores</w:t>
      </w:r>
      <w:r w:rsidR="008B6600" w:rsidRPr="00CA3A3D">
        <w:rPr>
          <w:rFonts w:eastAsia="Calibri" w:cs="Times New Roman"/>
          <w:sz w:val="20"/>
          <w:szCs w:val="20"/>
          <w:lang w:val="es-AR" w:eastAsia="x-none"/>
        </w:rPr>
        <w:t xml:space="preserve"> de las Obligaciones Negociables, los </w:t>
      </w:r>
      <w:r w:rsidRPr="00CA3A3D">
        <w:rPr>
          <w:rFonts w:eastAsia="Calibri" w:cs="Times New Roman"/>
          <w:sz w:val="20"/>
          <w:szCs w:val="20"/>
          <w:lang w:val="es-AR" w:eastAsia="x-none"/>
        </w:rPr>
        <w:t>tenedores</w:t>
      </w:r>
      <w:r w:rsidR="008B6600" w:rsidRPr="00CA3A3D">
        <w:rPr>
          <w:rFonts w:eastAsia="Calibri" w:cs="Times New Roman"/>
          <w:sz w:val="20"/>
          <w:szCs w:val="20"/>
          <w:lang w:val="es-AR" w:eastAsia="x-none"/>
        </w:rPr>
        <w:t xml:space="preserve"> tendrán </w:t>
      </w:r>
      <w:r w:rsidRPr="00CA3A3D">
        <w:rPr>
          <w:rFonts w:eastAsia="Calibri" w:cs="Times New Roman"/>
          <w:sz w:val="20"/>
          <w:szCs w:val="20"/>
          <w:lang w:val="es-AR" w:eastAsia="x-none"/>
        </w:rPr>
        <w:t>derechos quirografarios</w:t>
      </w:r>
      <w:r w:rsidR="008B6600" w:rsidRPr="00CA3A3D">
        <w:rPr>
          <w:rFonts w:eastAsia="Calibri" w:cs="Times New Roman"/>
          <w:sz w:val="20"/>
          <w:szCs w:val="20"/>
          <w:lang w:val="es-AR" w:eastAsia="x-none"/>
        </w:rPr>
        <w:t xml:space="preserve"> contra</w:t>
      </w:r>
      <w:r w:rsidRPr="00CA3A3D">
        <w:rPr>
          <w:rFonts w:eastAsia="Calibri" w:cs="Times New Roman"/>
          <w:sz w:val="20"/>
          <w:szCs w:val="20"/>
          <w:lang w:val="es-AR" w:eastAsia="x-none"/>
        </w:rPr>
        <w:t xml:space="preserve"> las Co-Emisoras</w:t>
      </w:r>
      <w:r w:rsidR="008B6600" w:rsidRPr="00CA3A3D">
        <w:rPr>
          <w:rFonts w:eastAsia="Calibri" w:cs="Times New Roman"/>
          <w:sz w:val="20"/>
          <w:szCs w:val="20"/>
          <w:lang w:val="es-AR" w:eastAsia="x-none"/>
        </w:rPr>
        <w:t xml:space="preserve"> respecto de sus Obligaciones Negociables, </w:t>
      </w:r>
      <w:r w:rsidRPr="00CA3A3D">
        <w:rPr>
          <w:rFonts w:eastAsia="Calibri" w:cs="Times New Roman"/>
          <w:sz w:val="20"/>
          <w:szCs w:val="20"/>
          <w:lang w:val="es-AR" w:eastAsia="x-none"/>
        </w:rPr>
        <w:t>y</w:t>
      </w:r>
      <w:r w:rsidR="008B6600" w:rsidRPr="00CA3A3D">
        <w:rPr>
          <w:rFonts w:eastAsia="Calibri" w:cs="Times New Roman"/>
          <w:sz w:val="20"/>
          <w:szCs w:val="20"/>
          <w:lang w:val="es-AR" w:eastAsia="x-none"/>
        </w:rPr>
        <w:t xml:space="preserve"> se encontrarán en un pie de igualdad y en forma proporcional con los reclamos de </w:t>
      </w:r>
      <w:r w:rsidRPr="00CA3A3D">
        <w:rPr>
          <w:rFonts w:eastAsia="Calibri" w:cs="Times New Roman"/>
          <w:sz w:val="20"/>
          <w:szCs w:val="20"/>
          <w:lang w:val="es-AR" w:eastAsia="x-none"/>
        </w:rPr>
        <w:t>otros</w:t>
      </w:r>
      <w:r w:rsidR="008B6600" w:rsidRPr="00CA3A3D">
        <w:rPr>
          <w:rFonts w:eastAsia="Calibri" w:cs="Times New Roman"/>
          <w:sz w:val="20"/>
          <w:szCs w:val="20"/>
          <w:lang w:val="es-AR" w:eastAsia="x-none"/>
        </w:rPr>
        <w:t xml:space="preserve"> acreedores </w:t>
      </w:r>
      <w:r w:rsidRPr="00CA3A3D">
        <w:rPr>
          <w:rFonts w:eastAsia="Calibri" w:cs="Times New Roman"/>
          <w:sz w:val="20"/>
          <w:szCs w:val="20"/>
          <w:lang w:val="es-AR" w:eastAsia="x-none"/>
        </w:rPr>
        <w:t>quirografarios</w:t>
      </w:r>
      <w:r w:rsidR="008B6600" w:rsidRPr="00CA3A3D">
        <w:rPr>
          <w:rFonts w:eastAsia="Calibri" w:cs="Times New Roman"/>
          <w:sz w:val="20"/>
          <w:szCs w:val="20"/>
          <w:lang w:val="es-AR" w:eastAsia="x-none"/>
        </w:rPr>
        <w:t xml:space="preserve">, incluidos los titulares de </w:t>
      </w:r>
      <w:r w:rsidRPr="00CA3A3D">
        <w:rPr>
          <w:rFonts w:eastAsia="Calibri" w:cs="Times New Roman"/>
          <w:sz w:val="20"/>
          <w:szCs w:val="20"/>
          <w:lang w:val="es-AR" w:eastAsia="x-none"/>
        </w:rPr>
        <w:t>la</w:t>
      </w:r>
      <w:r w:rsidR="008B6600" w:rsidRPr="00CA3A3D">
        <w:rPr>
          <w:rFonts w:eastAsia="Calibri" w:cs="Times New Roman"/>
          <w:sz w:val="20"/>
          <w:szCs w:val="20"/>
          <w:lang w:val="es-AR" w:eastAsia="x-none"/>
        </w:rPr>
        <w:t xml:space="preserve"> deuda senior y </w:t>
      </w:r>
      <w:r w:rsidRPr="00CA3A3D">
        <w:rPr>
          <w:rFonts w:eastAsia="Calibri" w:cs="Times New Roman"/>
          <w:sz w:val="20"/>
          <w:szCs w:val="20"/>
          <w:lang w:val="es-AR" w:eastAsia="x-none"/>
        </w:rPr>
        <w:t>los</w:t>
      </w:r>
      <w:r w:rsidR="008B6600" w:rsidRPr="00CA3A3D">
        <w:rPr>
          <w:rFonts w:eastAsia="Calibri" w:cs="Times New Roman"/>
          <w:sz w:val="20"/>
          <w:szCs w:val="20"/>
          <w:lang w:val="es-AR" w:eastAsia="x-none"/>
        </w:rPr>
        <w:t xml:space="preserve"> acreedores comerciales. Ver </w:t>
      </w:r>
      <w:r w:rsidR="008B6600" w:rsidRPr="00CA3A3D">
        <w:rPr>
          <w:rFonts w:eastAsia="Calibri" w:cs="Times New Roman"/>
          <w:i/>
          <w:sz w:val="20"/>
          <w:szCs w:val="20"/>
          <w:lang w:val="es-AR" w:eastAsia="x-none"/>
        </w:rPr>
        <w:t xml:space="preserve">“Descripción de las Obligaciones Negociables – </w:t>
      </w:r>
      <w:r w:rsidR="00C31669" w:rsidRPr="00CA3A3D">
        <w:rPr>
          <w:rFonts w:eastAsia="Calibri" w:cs="Times New Roman"/>
          <w:i/>
          <w:sz w:val="20"/>
          <w:szCs w:val="20"/>
          <w:lang w:val="es-AR" w:eastAsia="x-none"/>
        </w:rPr>
        <w:t>Consideraciones Generales</w:t>
      </w:r>
      <w:r w:rsidR="008B6600" w:rsidRPr="00CA3A3D">
        <w:rPr>
          <w:rFonts w:eastAsia="Calibri" w:cs="Times New Roman"/>
          <w:i/>
          <w:sz w:val="20"/>
          <w:szCs w:val="20"/>
          <w:lang w:val="es-AR" w:eastAsia="x-none"/>
        </w:rPr>
        <w:t>”.</w:t>
      </w:r>
      <w:r w:rsidR="008B6600" w:rsidRPr="00CA3A3D">
        <w:rPr>
          <w:rFonts w:eastAsia="Calibri" w:cs="Times New Roman"/>
          <w:sz w:val="20"/>
          <w:szCs w:val="20"/>
          <w:lang w:val="es-AR" w:eastAsia="x-none"/>
        </w:rPr>
        <w:t xml:space="preserve"> </w:t>
      </w:r>
    </w:p>
    <w:p w14:paraId="1C5BEDD8" w14:textId="77777777" w:rsidR="00EB7AD7" w:rsidRPr="00CA3A3D" w:rsidRDefault="00EB7AD7" w:rsidP="001E3DCC">
      <w:pPr>
        <w:spacing w:after="0" w:line="240" w:lineRule="auto"/>
        <w:jc w:val="both"/>
        <w:rPr>
          <w:rFonts w:ascii="Garamond" w:eastAsia="Calibri" w:hAnsi="Garamond" w:cs="Times New Roman"/>
          <w:color w:val="000000"/>
          <w:sz w:val="20"/>
          <w:szCs w:val="20"/>
          <w:lang w:val="es-AR" w:eastAsia="x-none"/>
        </w:rPr>
      </w:pPr>
    </w:p>
    <w:p w14:paraId="4031FC61" w14:textId="3A9491DB" w:rsidR="00EB7AD7" w:rsidRPr="00CA3A3D" w:rsidRDefault="00EB7AD7" w:rsidP="001E3DCC">
      <w:pPr>
        <w:pStyle w:val="Default"/>
        <w:jc w:val="both"/>
        <w:rPr>
          <w:b/>
          <w:i/>
          <w:sz w:val="20"/>
          <w:szCs w:val="20"/>
          <w:lang w:val="es-AR"/>
        </w:rPr>
      </w:pPr>
      <w:r w:rsidRPr="00CA3A3D">
        <w:rPr>
          <w:b/>
          <w:i/>
          <w:sz w:val="20"/>
          <w:szCs w:val="20"/>
          <w:lang w:val="es-AR"/>
        </w:rPr>
        <w:t>Las Co-Emisoras no puede</w:t>
      </w:r>
      <w:r w:rsidR="00260C6B" w:rsidRPr="00CA3A3D">
        <w:rPr>
          <w:b/>
          <w:i/>
          <w:sz w:val="20"/>
          <w:szCs w:val="20"/>
          <w:lang w:val="es-AR"/>
        </w:rPr>
        <w:t>n</w:t>
      </w:r>
      <w:r w:rsidRPr="00CA3A3D">
        <w:rPr>
          <w:b/>
          <w:i/>
          <w:sz w:val="20"/>
          <w:szCs w:val="20"/>
          <w:lang w:val="es-AR"/>
        </w:rPr>
        <w:t xml:space="preserve"> garantizar que terceros no cuestionarán las obligaciones asumidas por el Garante en virtud de la Garantía de ASA lo que podría incluir acciones de nulidad o liberación del compromiso asumido por ASA</w:t>
      </w:r>
      <w:r w:rsidR="007D751C" w:rsidRPr="00CA3A3D">
        <w:rPr>
          <w:b/>
          <w:i/>
          <w:sz w:val="20"/>
          <w:szCs w:val="20"/>
          <w:lang w:val="es-AR"/>
        </w:rPr>
        <w:t>.</w:t>
      </w:r>
    </w:p>
    <w:p w14:paraId="02915484" w14:textId="77777777" w:rsidR="00A95F13" w:rsidRPr="00CA3A3D" w:rsidRDefault="00A95F13" w:rsidP="001E3DCC">
      <w:pPr>
        <w:pStyle w:val="Default"/>
        <w:jc w:val="both"/>
        <w:rPr>
          <w:b/>
          <w:i/>
          <w:sz w:val="20"/>
          <w:szCs w:val="20"/>
          <w:lang w:val="es-AR"/>
        </w:rPr>
      </w:pPr>
    </w:p>
    <w:p w14:paraId="492762E7" w14:textId="7D40B5CF" w:rsidR="00EB7AD7" w:rsidRPr="00CA3A3D" w:rsidRDefault="00EB7AD7" w:rsidP="001E3DCC">
      <w:pPr>
        <w:pStyle w:val="Default"/>
        <w:jc w:val="both"/>
        <w:rPr>
          <w:sz w:val="20"/>
          <w:szCs w:val="20"/>
          <w:lang w:val="es-AR"/>
        </w:rPr>
      </w:pPr>
      <w:r w:rsidRPr="00CA3A3D">
        <w:rPr>
          <w:sz w:val="20"/>
          <w:szCs w:val="20"/>
          <w:lang w:val="es-AR"/>
        </w:rPr>
        <w:t xml:space="preserve">Un </w:t>
      </w:r>
      <w:r w:rsidR="007C21D8" w:rsidRPr="00CA3A3D">
        <w:rPr>
          <w:sz w:val="20"/>
          <w:szCs w:val="20"/>
          <w:lang w:val="es-AR"/>
        </w:rPr>
        <w:t>T</w:t>
      </w:r>
      <w:r w:rsidRPr="00CA3A3D">
        <w:rPr>
          <w:sz w:val="20"/>
          <w:szCs w:val="20"/>
          <w:lang w:val="es-AR"/>
        </w:rPr>
        <w:t>enedor de Obligaciones Negociables goza</w:t>
      </w:r>
      <w:r w:rsidR="0072500E" w:rsidRPr="00CA3A3D">
        <w:rPr>
          <w:sz w:val="20"/>
          <w:szCs w:val="20"/>
          <w:lang w:val="es-AR"/>
        </w:rPr>
        <w:t>, entre otras,</w:t>
      </w:r>
      <w:r w:rsidRPr="00CA3A3D">
        <w:rPr>
          <w:sz w:val="20"/>
          <w:szCs w:val="20"/>
          <w:lang w:val="es-AR"/>
        </w:rPr>
        <w:t xml:space="preserve"> del beneficio de las garantías otorgadas por el Garante. Las Co-Emisoras consideran que </w:t>
      </w:r>
      <w:r w:rsidR="0072500E" w:rsidRPr="00CA3A3D">
        <w:rPr>
          <w:sz w:val="20"/>
          <w:szCs w:val="20"/>
          <w:lang w:val="es-AR"/>
        </w:rPr>
        <w:t>la</w:t>
      </w:r>
      <w:r w:rsidRPr="00CA3A3D">
        <w:rPr>
          <w:sz w:val="20"/>
          <w:szCs w:val="20"/>
          <w:lang w:val="es-AR"/>
        </w:rPr>
        <w:t xml:space="preserve"> garantía</w:t>
      </w:r>
      <w:r w:rsidR="0072500E" w:rsidRPr="00CA3A3D">
        <w:rPr>
          <w:sz w:val="20"/>
          <w:szCs w:val="20"/>
          <w:lang w:val="es-AR"/>
        </w:rPr>
        <w:t xml:space="preserve"> del Garante</w:t>
      </w:r>
      <w:r w:rsidRPr="00CA3A3D">
        <w:rPr>
          <w:sz w:val="20"/>
          <w:szCs w:val="20"/>
          <w:lang w:val="es-AR"/>
        </w:rPr>
        <w:t xml:space="preserve"> fue válidamente otorgada y </w:t>
      </w:r>
      <w:r w:rsidR="0072500E" w:rsidRPr="00CA3A3D">
        <w:rPr>
          <w:sz w:val="20"/>
          <w:szCs w:val="20"/>
          <w:lang w:val="es-AR"/>
        </w:rPr>
        <w:t>es</w:t>
      </w:r>
      <w:r w:rsidRPr="00CA3A3D">
        <w:rPr>
          <w:sz w:val="20"/>
          <w:szCs w:val="20"/>
          <w:lang w:val="es-AR"/>
        </w:rPr>
        <w:t xml:space="preserve"> plenamente ejecutable. En este sentido, el directorio del Garante aprobó por unanimidad el otorgamiento de la Garantía en su reunión de fecha </w:t>
      </w:r>
      <w:r w:rsidR="005F4E4C" w:rsidRPr="00CA3A3D">
        <w:rPr>
          <w:sz w:val="20"/>
          <w:szCs w:val="20"/>
          <w:lang w:val="es-AR"/>
        </w:rPr>
        <w:t>16</w:t>
      </w:r>
      <w:r w:rsidR="00452C10" w:rsidRPr="00CA3A3D">
        <w:rPr>
          <w:sz w:val="20"/>
          <w:szCs w:val="20"/>
          <w:lang w:val="es-AR"/>
        </w:rPr>
        <w:t xml:space="preserve"> de </w:t>
      </w:r>
      <w:r w:rsidR="005F4E4C" w:rsidRPr="00CA3A3D">
        <w:rPr>
          <w:sz w:val="20"/>
          <w:szCs w:val="20"/>
          <w:lang w:val="es-AR"/>
        </w:rPr>
        <w:t>julio</w:t>
      </w:r>
      <w:r w:rsidR="007F1725" w:rsidRPr="00CA3A3D">
        <w:rPr>
          <w:sz w:val="20"/>
          <w:szCs w:val="20"/>
          <w:lang w:val="es-AR"/>
        </w:rPr>
        <w:t xml:space="preserve"> </w:t>
      </w:r>
      <w:r w:rsidR="00452C10" w:rsidRPr="00CA3A3D">
        <w:rPr>
          <w:sz w:val="20"/>
          <w:szCs w:val="20"/>
          <w:lang w:val="es-AR"/>
        </w:rPr>
        <w:t>de 2019</w:t>
      </w:r>
      <w:r w:rsidRPr="00CA3A3D">
        <w:rPr>
          <w:sz w:val="20"/>
          <w:szCs w:val="20"/>
          <w:lang w:val="es-AR"/>
        </w:rPr>
        <w:t xml:space="preserve">. En cuanto principal accionista de las Sociedades, el Garante considera que se verá beneficiado directamente por el acceso a los mercados de capitales internacionales por parte de las Co-Emisoras. </w:t>
      </w:r>
    </w:p>
    <w:p w14:paraId="03B94F49" w14:textId="77777777" w:rsidR="00A95F13" w:rsidRPr="00CA3A3D" w:rsidRDefault="00A95F13" w:rsidP="001E3DCC">
      <w:pPr>
        <w:pStyle w:val="Default"/>
        <w:jc w:val="both"/>
        <w:rPr>
          <w:sz w:val="20"/>
          <w:szCs w:val="20"/>
          <w:lang w:val="es-AR"/>
        </w:rPr>
      </w:pPr>
    </w:p>
    <w:p w14:paraId="10579271" w14:textId="77777777" w:rsidR="00EB7AD7" w:rsidRPr="00CA3A3D" w:rsidRDefault="00EB7AD7" w:rsidP="001E3DCC">
      <w:pPr>
        <w:pStyle w:val="Default"/>
        <w:jc w:val="both"/>
        <w:rPr>
          <w:sz w:val="20"/>
          <w:szCs w:val="20"/>
          <w:lang w:val="es-AR"/>
        </w:rPr>
      </w:pPr>
      <w:r w:rsidRPr="00CA3A3D">
        <w:rPr>
          <w:sz w:val="20"/>
          <w:szCs w:val="20"/>
          <w:lang w:val="es-AR"/>
        </w:rPr>
        <w:t>Sin perjuicio de lo antedicho, la responsabilidad del Garante en virtud de la Garantía ASA, respectivamente, podría reducirse a cero, según el monto de las demás obligaciones asumidas por el Garante. Asimismo, bajo las circunstancias analizadas con mayor detalle más adelante, en virtud de las leyes aplicables en materia de transferencia y transmisión fraudulentas, un tribunal podría declarar la nulidad de las obligaciones bajo una garantía o bien subordinarlas a las restantes obligaciones del Garante.</w:t>
      </w:r>
    </w:p>
    <w:p w14:paraId="6D846F5D" w14:textId="77777777" w:rsidR="00A95F13" w:rsidRPr="00CA3A3D" w:rsidRDefault="00A95F13" w:rsidP="001E3DCC">
      <w:pPr>
        <w:pStyle w:val="Default"/>
        <w:jc w:val="both"/>
        <w:rPr>
          <w:sz w:val="20"/>
          <w:szCs w:val="20"/>
          <w:lang w:val="es-AR"/>
        </w:rPr>
      </w:pPr>
    </w:p>
    <w:p w14:paraId="74FDF687" w14:textId="77777777" w:rsidR="00EB7AD7" w:rsidRPr="00CA3A3D" w:rsidRDefault="00EB7AD7" w:rsidP="001E3DCC">
      <w:pPr>
        <w:pStyle w:val="Default"/>
        <w:jc w:val="both"/>
        <w:rPr>
          <w:sz w:val="20"/>
          <w:szCs w:val="20"/>
          <w:lang w:val="es-AR"/>
        </w:rPr>
      </w:pPr>
      <w:r w:rsidRPr="00CA3A3D">
        <w:rPr>
          <w:sz w:val="20"/>
          <w:szCs w:val="20"/>
          <w:lang w:val="es-AR"/>
        </w:rPr>
        <w:t xml:space="preserve">Por ende, la responsabilidad del Garante bajo la Garantía de ASA podría verse sustancialmente reducida o ser eliminada según los montos de sus restantes obligaciones y conforme a las leyes aplicables. En particular, una garantía emitida por una sociedad que no favorezca sus propios intereses societarios o por una sociedad cuyas obligaciones bajo la garantía excedan el beneficio para la sociedad podría no resultar válida y exigible. Es posible que un acreedor del Garante o el síndico del concurso o quiebra en el supuesto de concurso de una de ellas puedan impugnar la validez y exigibilidad de la Garantía de ASA y que los tribunales correspondientes puedan determinar que las mismas deben limitarse y/o anularse. En caso de que se considere que la Garantía de ASA es inválida o inexigible en forma total o parcial, o en la medida en que resulten de aplicación limitaciones </w:t>
      </w:r>
      <w:r w:rsidRPr="00CA3A3D">
        <w:rPr>
          <w:sz w:val="20"/>
          <w:szCs w:val="20"/>
          <w:lang w:val="es-AR"/>
        </w:rPr>
        <w:lastRenderedPageBreak/>
        <w:t>acordadas respecto de la obligación derivada de la garantía, las Obligaciones Negociables ofrecidas por el presente quedarían efectivamente subordinadas a todos los pasivos del Garante en cuestión, incluyendo sus créditos comerciales a pagar.</w:t>
      </w:r>
    </w:p>
    <w:p w14:paraId="62F015AF" w14:textId="77777777" w:rsidR="00A95F13" w:rsidRPr="00CA3A3D" w:rsidRDefault="00A95F13" w:rsidP="001E3DCC">
      <w:pPr>
        <w:pStyle w:val="Default"/>
        <w:jc w:val="both"/>
        <w:rPr>
          <w:sz w:val="20"/>
          <w:szCs w:val="20"/>
          <w:lang w:val="es-AR"/>
        </w:rPr>
      </w:pPr>
    </w:p>
    <w:p w14:paraId="3F14FD98" w14:textId="7A0CA876" w:rsidR="00EB7AD7" w:rsidRPr="00CA3A3D" w:rsidRDefault="00EB7AD7" w:rsidP="001E3DCC">
      <w:pPr>
        <w:pStyle w:val="Default"/>
        <w:jc w:val="both"/>
        <w:rPr>
          <w:sz w:val="20"/>
          <w:szCs w:val="20"/>
          <w:lang w:val="es-AR"/>
        </w:rPr>
      </w:pPr>
      <w:r w:rsidRPr="00CA3A3D">
        <w:rPr>
          <w:sz w:val="20"/>
          <w:szCs w:val="20"/>
          <w:lang w:val="es-AR"/>
        </w:rPr>
        <w:t xml:space="preserve">Además, conforme a la ley argentina, las obligaciones del Garante bajo </w:t>
      </w:r>
      <w:r w:rsidR="0072500E" w:rsidRPr="00CA3A3D">
        <w:rPr>
          <w:sz w:val="20"/>
          <w:szCs w:val="20"/>
          <w:lang w:val="es-AR"/>
        </w:rPr>
        <w:t>esta</w:t>
      </w:r>
      <w:r w:rsidRPr="00CA3A3D">
        <w:rPr>
          <w:sz w:val="20"/>
          <w:szCs w:val="20"/>
          <w:lang w:val="es-AR"/>
        </w:rPr>
        <w:t xml:space="preserve"> garantía está</w:t>
      </w:r>
      <w:r w:rsidR="007178F4" w:rsidRPr="00CA3A3D">
        <w:rPr>
          <w:sz w:val="20"/>
          <w:szCs w:val="20"/>
          <w:lang w:val="es-AR"/>
        </w:rPr>
        <w:t>n</w:t>
      </w:r>
      <w:r w:rsidRPr="00CA3A3D">
        <w:rPr>
          <w:sz w:val="20"/>
          <w:szCs w:val="20"/>
          <w:lang w:val="es-AR"/>
        </w:rPr>
        <w:t xml:space="preserve"> subordinada</w:t>
      </w:r>
      <w:r w:rsidR="007178F4" w:rsidRPr="00CA3A3D">
        <w:rPr>
          <w:sz w:val="20"/>
          <w:szCs w:val="20"/>
          <w:lang w:val="es-AR"/>
        </w:rPr>
        <w:t>s</w:t>
      </w:r>
      <w:r w:rsidRPr="00CA3A3D">
        <w:rPr>
          <w:sz w:val="20"/>
          <w:szCs w:val="20"/>
          <w:lang w:val="es-AR"/>
        </w:rPr>
        <w:t xml:space="preserve"> a determinadas preferencias establecidas por ley, incluyendo reclamos en concepto de sueldos, jornales, obligaciones garantizadas, cargas sociales, impuestos, tasas de justicia, costas y gastos judiciales. En caso de quiebra del Garante, dichas preferencias establecidas por ley tendrán preferencia sobre cualquier otro reclamo, incluyendo los reclamos de cualquier tenedor de las Obligaciones Negociables.</w:t>
      </w:r>
    </w:p>
    <w:p w14:paraId="1B15DD1D" w14:textId="77777777" w:rsidR="0072500E" w:rsidRPr="00CA3A3D" w:rsidRDefault="0072500E" w:rsidP="001E3DCC">
      <w:pPr>
        <w:pStyle w:val="Default"/>
        <w:jc w:val="both"/>
        <w:rPr>
          <w:rFonts w:eastAsia="Calibri" w:cs="Times New Roman"/>
          <w:sz w:val="20"/>
          <w:szCs w:val="20"/>
          <w:lang w:val="es-AR" w:eastAsia="x-none"/>
        </w:rPr>
      </w:pPr>
    </w:p>
    <w:p w14:paraId="02BF39FD" w14:textId="14D6E2FA" w:rsidR="00EB7AD7" w:rsidRPr="00CA3A3D" w:rsidRDefault="00EB7AD7" w:rsidP="001E3DCC">
      <w:pPr>
        <w:pStyle w:val="Default"/>
        <w:jc w:val="both"/>
        <w:rPr>
          <w:b/>
          <w:i/>
          <w:sz w:val="20"/>
          <w:szCs w:val="20"/>
          <w:lang w:val="es-AR"/>
        </w:rPr>
      </w:pPr>
      <w:r w:rsidRPr="00CA3A3D">
        <w:rPr>
          <w:b/>
          <w:i/>
          <w:sz w:val="20"/>
          <w:szCs w:val="20"/>
          <w:lang w:val="es-AR"/>
        </w:rPr>
        <w:t xml:space="preserve">Las leyes argentinas sobre transferencias fraudulentas permiten a los tribunales declarar la nulidad de las </w:t>
      </w:r>
      <w:r w:rsidR="007D751C" w:rsidRPr="00CA3A3D">
        <w:rPr>
          <w:b/>
          <w:i/>
          <w:sz w:val="20"/>
          <w:szCs w:val="20"/>
          <w:lang w:val="es-AR"/>
        </w:rPr>
        <w:t>g</w:t>
      </w:r>
      <w:r w:rsidRPr="00CA3A3D">
        <w:rPr>
          <w:b/>
          <w:i/>
          <w:sz w:val="20"/>
          <w:szCs w:val="20"/>
          <w:lang w:val="es-AR"/>
        </w:rPr>
        <w:t>arantías bajo determinadas circunstancias</w:t>
      </w:r>
      <w:r w:rsidR="007D751C" w:rsidRPr="00CA3A3D">
        <w:rPr>
          <w:b/>
          <w:i/>
          <w:sz w:val="20"/>
          <w:szCs w:val="20"/>
          <w:lang w:val="es-AR"/>
        </w:rPr>
        <w:t>.</w:t>
      </w:r>
    </w:p>
    <w:p w14:paraId="6E681184" w14:textId="77777777" w:rsidR="00A95F13" w:rsidRPr="00CA3A3D" w:rsidRDefault="00A95F13" w:rsidP="001E3DCC">
      <w:pPr>
        <w:pStyle w:val="Default"/>
        <w:jc w:val="both"/>
        <w:rPr>
          <w:b/>
          <w:i/>
          <w:sz w:val="20"/>
          <w:szCs w:val="20"/>
          <w:lang w:val="es-AR"/>
        </w:rPr>
      </w:pPr>
    </w:p>
    <w:p w14:paraId="49793ECF" w14:textId="77777777" w:rsidR="00EB7AD7" w:rsidRPr="00CA3A3D" w:rsidRDefault="00EB7AD7" w:rsidP="001E3DCC">
      <w:pPr>
        <w:pStyle w:val="Default"/>
        <w:jc w:val="both"/>
        <w:rPr>
          <w:sz w:val="20"/>
          <w:szCs w:val="20"/>
          <w:lang w:val="es-AR"/>
        </w:rPr>
      </w:pPr>
      <w:r w:rsidRPr="00CA3A3D">
        <w:rPr>
          <w:sz w:val="20"/>
          <w:szCs w:val="20"/>
          <w:lang w:val="es-AR"/>
        </w:rPr>
        <w:t>Las leyes vigentes no prohíben a las empresas otorgar garantías, y en consecuencia, no impiden que las garantías sean válidas, vinculantes y exigibles contra los garantes. No obstante, si el Garante fuera objeto de un concurso o quiebra, podría considerarse que la Garantía de ASA pertinente, en caso de haberse otorgado durante los dos años anteriores a la declaración de quiebra, constituye una transferencia fraudulenta y puede ser declarada nula si se determina que el Garante no ha recibido una contraprestación adecuada a cambio de tal garantía. La validez y exigibilidad de la garantía otorgada por un garante requiere que la garantía sea favorable a los mejores intereses del garante y que éste reciba una contraprestación justa y adecuada por el otorgamiento de su garantía.</w:t>
      </w:r>
    </w:p>
    <w:p w14:paraId="230165FA" w14:textId="77777777" w:rsidR="0072500E" w:rsidRPr="00CA3A3D" w:rsidRDefault="0072500E" w:rsidP="001E3DCC">
      <w:pPr>
        <w:pStyle w:val="Default"/>
        <w:jc w:val="both"/>
        <w:rPr>
          <w:rFonts w:eastAsia="Calibri" w:cs="Times New Roman"/>
          <w:sz w:val="20"/>
          <w:szCs w:val="20"/>
          <w:lang w:val="es-AR" w:eastAsia="x-none"/>
        </w:rPr>
      </w:pPr>
    </w:p>
    <w:p w14:paraId="4F14A5F7" w14:textId="4AB126C1" w:rsidR="00EB7AD7" w:rsidRPr="00CA3A3D" w:rsidRDefault="00EB7AD7" w:rsidP="00582114">
      <w:pPr>
        <w:pStyle w:val="Default"/>
        <w:keepNext/>
        <w:keepLines/>
        <w:jc w:val="both"/>
        <w:rPr>
          <w:b/>
          <w:i/>
          <w:sz w:val="20"/>
          <w:szCs w:val="20"/>
          <w:lang w:val="es-AR"/>
        </w:rPr>
      </w:pPr>
      <w:r w:rsidRPr="00CA3A3D">
        <w:rPr>
          <w:b/>
          <w:i/>
          <w:sz w:val="20"/>
          <w:szCs w:val="20"/>
          <w:lang w:val="es-AR"/>
        </w:rPr>
        <w:t>L</w:t>
      </w:r>
      <w:r w:rsidR="00831C3F" w:rsidRPr="00CA3A3D">
        <w:rPr>
          <w:b/>
          <w:i/>
          <w:sz w:val="20"/>
          <w:szCs w:val="20"/>
          <w:lang w:val="es-AR"/>
        </w:rPr>
        <w:t>o</w:t>
      </w:r>
      <w:r w:rsidRPr="00CA3A3D">
        <w:rPr>
          <w:b/>
          <w:i/>
          <w:sz w:val="20"/>
          <w:szCs w:val="20"/>
          <w:lang w:val="es-AR"/>
        </w:rPr>
        <w:t xml:space="preserve">s </w:t>
      </w:r>
      <w:r w:rsidR="00831C3F" w:rsidRPr="00CA3A3D">
        <w:rPr>
          <w:b/>
          <w:i/>
          <w:sz w:val="20"/>
          <w:szCs w:val="20"/>
          <w:lang w:val="es-AR"/>
        </w:rPr>
        <w:t xml:space="preserve">Derechos de Garantía </w:t>
      </w:r>
      <w:r w:rsidRPr="00CA3A3D">
        <w:rPr>
          <w:b/>
          <w:i/>
          <w:sz w:val="20"/>
          <w:szCs w:val="20"/>
          <w:lang w:val="es-AR"/>
        </w:rPr>
        <w:t xml:space="preserve">podrían </w:t>
      </w:r>
      <w:r w:rsidR="005059A8" w:rsidRPr="00CA3A3D">
        <w:rPr>
          <w:b/>
          <w:i/>
          <w:sz w:val="20"/>
          <w:szCs w:val="20"/>
          <w:lang w:val="es-AR"/>
        </w:rPr>
        <w:t>verse perjudicad</w:t>
      </w:r>
      <w:r w:rsidR="00831C3F" w:rsidRPr="00CA3A3D">
        <w:rPr>
          <w:b/>
          <w:i/>
          <w:sz w:val="20"/>
          <w:szCs w:val="20"/>
          <w:lang w:val="es-AR"/>
        </w:rPr>
        <w:t>o</w:t>
      </w:r>
      <w:r w:rsidR="005059A8" w:rsidRPr="00CA3A3D">
        <w:rPr>
          <w:b/>
          <w:i/>
          <w:sz w:val="20"/>
          <w:szCs w:val="20"/>
          <w:lang w:val="es-AR"/>
        </w:rPr>
        <w:t>s</w:t>
      </w:r>
      <w:r w:rsidRPr="00CA3A3D">
        <w:rPr>
          <w:b/>
          <w:i/>
          <w:sz w:val="20"/>
          <w:szCs w:val="20"/>
          <w:lang w:val="es-AR"/>
        </w:rPr>
        <w:t xml:space="preserve"> en un escenario de insolvencia de GEMSA</w:t>
      </w:r>
      <w:r w:rsidR="007D751C" w:rsidRPr="00CA3A3D">
        <w:rPr>
          <w:b/>
          <w:i/>
          <w:sz w:val="20"/>
          <w:szCs w:val="20"/>
          <w:lang w:val="es-AR"/>
        </w:rPr>
        <w:t>.</w:t>
      </w:r>
    </w:p>
    <w:p w14:paraId="7CB33CA5" w14:textId="77777777" w:rsidR="00A95F13" w:rsidRPr="00CA3A3D" w:rsidRDefault="00A95F13" w:rsidP="00582114">
      <w:pPr>
        <w:pStyle w:val="Default"/>
        <w:keepNext/>
        <w:keepLines/>
        <w:jc w:val="both"/>
        <w:rPr>
          <w:b/>
          <w:i/>
          <w:sz w:val="20"/>
          <w:szCs w:val="20"/>
          <w:lang w:val="es-AR"/>
        </w:rPr>
      </w:pPr>
    </w:p>
    <w:p w14:paraId="2777E57D" w14:textId="56D07061" w:rsidR="00EB7AD7" w:rsidRPr="00CA3A3D" w:rsidRDefault="00EB7AD7" w:rsidP="00582114">
      <w:pPr>
        <w:pStyle w:val="Default"/>
        <w:keepNext/>
        <w:keepLines/>
        <w:jc w:val="both"/>
        <w:rPr>
          <w:sz w:val="20"/>
          <w:szCs w:val="20"/>
          <w:lang w:val="es-AR"/>
        </w:rPr>
      </w:pPr>
      <w:r w:rsidRPr="00CA3A3D">
        <w:rPr>
          <w:sz w:val="20"/>
          <w:szCs w:val="20"/>
          <w:lang w:val="es-AR"/>
        </w:rPr>
        <w:t xml:space="preserve">La Ley de Concursos y Quiebras no regula de una manera especial la situación de los fideicomisos en caso de insolvencia del fiduciante. En un escenario de insolvencia de GEMSA los tribunales argentinos podrían considerar </w:t>
      </w:r>
      <w:r w:rsidR="005059A8" w:rsidRPr="00CA3A3D">
        <w:rPr>
          <w:sz w:val="20"/>
          <w:szCs w:val="20"/>
          <w:lang w:val="es-AR"/>
        </w:rPr>
        <w:t>que</w:t>
      </w:r>
      <w:r w:rsidRPr="00CA3A3D">
        <w:rPr>
          <w:sz w:val="20"/>
          <w:szCs w:val="20"/>
          <w:lang w:val="es-AR"/>
        </w:rPr>
        <w:t xml:space="preserve"> la</w:t>
      </w:r>
      <w:r w:rsidR="00452C10" w:rsidRPr="00CA3A3D">
        <w:rPr>
          <w:sz w:val="20"/>
          <w:szCs w:val="20"/>
          <w:lang w:val="es-AR"/>
        </w:rPr>
        <w:t>s</w:t>
      </w:r>
      <w:r w:rsidRPr="00CA3A3D">
        <w:rPr>
          <w:sz w:val="20"/>
          <w:szCs w:val="20"/>
          <w:lang w:val="es-AR"/>
        </w:rPr>
        <w:t xml:space="preserve"> garantía</w:t>
      </w:r>
      <w:r w:rsidR="00452C10" w:rsidRPr="00CA3A3D">
        <w:rPr>
          <w:sz w:val="20"/>
          <w:szCs w:val="20"/>
          <w:lang w:val="es-AR"/>
        </w:rPr>
        <w:t>s</w:t>
      </w:r>
      <w:r w:rsidRPr="00CA3A3D">
        <w:rPr>
          <w:sz w:val="20"/>
          <w:szCs w:val="20"/>
          <w:lang w:val="es-AR"/>
        </w:rPr>
        <w:t xml:space="preserve"> constituida</w:t>
      </w:r>
      <w:r w:rsidR="00452C10" w:rsidRPr="00CA3A3D">
        <w:rPr>
          <w:sz w:val="20"/>
          <w:szCs w:val="20"/>
          <w:lang w:val="es-AR"/>
        </w:rPr>
        <w:t>s</w:t>
      </w:r>
      <w:r w:rsidRPr="00CA3A3D">
        <w:rPr>
          <w:sz w:val="20"/>
          <w:szCs w:val="20"/>
          <w:lang w:val="es-AR"/>
        </w:rPr>
        <w:t xml:space="preserve"> en virtud del </w:t>
      </w:r>
      <w:r w:rsidR="00831C3F" w:rsidRPr="00CA3A3D">
        <w:rPr>
          <w:sz w:val="20"/>
          <w:szCs w:val="20"/>
          <w:lang w:val="es-AR"/>
        </w:rPr>
        <w:t xml:space="preserve">Contrato Argentino de </w:t>
      </w:r>
      <w:r w:rsidRPr="00CA3A3D">
        <w:rPr>
          <w:sz w:val="20"/>
          <w:szCs w:val="20"/>
          <w:lang w:val="es-AR"/>
        </w:rPr>
        <w:t>Fideicomiso con Fines de Garantía es inoponible al proceso falencial por tratarse de cesiones fiduciarias en garantía, que podrían disminuir los ingresos de GEMSA, especialmente si consideraran que, como consecuencia de dichas cesiones fiduciarias, GEMSA ha quedado con ingresos insuficientes para continuar con su explotación ordinaria.</w:t>
      </w:r>
    </w:p>
    <w:p w14:paraId="17414610" w14:textId="77777777" w:rsidR="00A95F13" w:rsidRPr="00CA3A3D" w:rsidRDefault="00A95F13" w:rsidP="001E3DCC">
      <w:pPr>
        <w:pStyle w:val="Default"/>
        <w:jc w:val="both"/>
        <w:rPr>
          <w:sz w:val="20"/>
          <w:szCs w:val="20"/>
          <w:lang w:val="es-AR"/>
        </w:rPr>
      </w:pPr>
    </w:p>
    <w:p w14:paraId="5D97C90E" w14:textId="77777777" w:rsidR="00EB7AD7" w:rsidRPr="00CA3A3D" w:rsidRDefault="00EB7AD7" w:rsidP="001E3DCC">
      <w:pPr>
        <w:pStyle w:val="Default"/>
        <w:jc w:val="both"/>
        <w:rPr>
          <w:sz w:val="20"/>
          <w:szCs w:val="20"/>
          <w:lang w:val="es-AR"/>
        </w:rPr>
      </w:pPr>
      <w:r w:rsidRPr="00CA3A3D">
        <w:rPr>
          <w:sz w:val="20"/>
          <w:szCs w:val="20"/>
          <w:lang w:val="es-AR"/>
        </w:rPr>
        <w:t>Asimismo, no hay consenso en la jurisprudencia respecto si es necesario que los beneficiarios de los fideicomisos en garantía obtengan, previo a ejercer sus derechos sobre los bienes fideicomitidos, la verificación de sus créditos en el concurso preventivo o quiebra del fiduciante.</w:t>
      </w:r>
    </w:p>
    <w:p w14:paraId="781DF2CB" w14:textId="77777777" w:rsidR="00A95F13" w:rsidRPr="00CA3A3D" w:rsidRDefault="00A95F13" w:rsidP="001E3DCC">
      <w:pPr>
        <w:pStyle w:val="Default"/>
        <w:jc w:val="both"/>
        <w:rPr>
          <w:sz w:val="20"/>
          <w:szCs w:val="20"/>
          <w:lang w:val="es-AR"/>
        </w:rPr>
      </w:pPr>
    </w:p>
    <w:p w14:paraId="6CD6B218" w14:textId="58EEA093" w:rsidR="00EB7AD7" w:rsidRPr="00CA3A3D" w:rsidRDefault="00EB7AD7" w:rsidP="001E3DCC">
      <w:pPr>
        <w:pStyle w:val="Default"/>
        <w:jc w:val="both"/>
        <w:rPr>
          <w:sz w:val="20"/>
          <w:szCs w:val="20"/>
          <w:lang w:val="es-AR"/>
        </w:rPr>
      </w:pPr>
      <w:r w:rsidRPr="00CA3A3D">
        <w:rPr>
          <w:sz w:val="20"/>
          <w:szCs w:val="20"/>
          <w:lang w:val="es-AR"/>
        </w:rPr>
        <w:t xml:space="preserve">En el eventual caso de que el fiduciante fuera declarado en quiebra por un tribunal competente con posterioridad a la celebración del </w:t>
      </w:r>
      <w:r w:rsidR="001B0143" w:rsidRPr="00CA3A3D">
        <w:rPr>
          <w:sz w:val="20"/>
          <w:szCs w:val="20"/>
          <w:lang w:val="es-AR"/>
        </w:rPr>
        <w:t xml:space="preserve">Contrato Argentino de </w:t>
      </w:r>
      <w:r w:rsidRPr="00CA3A3D">
        <w:rPr>
          <w:sz w:val="20"/>
          <w:szCs w:val="20"/>
          <w:lang w:val="es-AR"/>
        </w:rPr>
        <w:t xml:space="preserve">Fideicomiso con Fines de Garantía, y dicho tribunal, a petición del síndico o de cualquier acreedor de </w:t>
      </w:r>
      <w:r w:rsidR="005059A8" w:rsidRPr="00CA3A3D">
        <w:rPr>
          <w:sz w:val="20"/>
          <w:szCs w:val="20"/>
          <w:lang w:val="es-AR"/>
        </w:rPr>
        <w:t>dich</w:t>
      </w:r>
      <w:r w:rsidRPr="00CA3A3D">
        <w:rPr>
          <w:sz w:val="20"/>
          <w:szCs w:val="20"/>
          <w:lang w:val="es-AR"/>
        </w:rPr>
        <w:t>a Compañía, determinase que la transferencia de todo o parte de los derechos cedidos ocurrió durante el período de sospecha, de conformidad con la Ley de Concursos y Quiebras, dicha transferencia de todo o parte de los derechos cedidos y/o de los montos correspondientes a los derechos cedidos podría ser declarada inoponible a la masa de acreedores del fiduciante si se acreditasen los requisitos establecidos en los artículos 118 o 119 de dicha ley. La declaración de ineficacia implicaría que la constitución del fideicomiso y/o la transferencia de los bienes fideicomitidos no producirían efectos frente a la masa de acreedores, por lo que – en los hechos – el síndico del procedimiento de quiebra podría reclamar la devolución de las sumas percibidas en virtud de dichos derechos para la masa concursal.</w:t>
      </w:r>
    </w:p>
    <w:p w14:paraId="16788234" w14:textId="77777777" w:rsidR="00A95F13" w:rsidRPr="00CA3A3D" w:rsidRDefault="00A95F13" w:rsidP="001E3DCC">
      <w:pPr>
        <w:pStyle w:val="Default"/>
        <w:jc w:val="both"/>
        <w:rPr>
          <w:sz w:val="20"/>
          <w:szCs w:val="20"/>
          <w:lang w:val="es-AR"/>
        </w:rPr>
      </w:pPr>
    </w:p>
    <w:p w14:paraId="0986903F" w14:textId="286E4D6E" w:rsidR="00EB7AD7" w:rsidRDefault="00EB7AD7" w:rsidP="001E3DCC">
      <w:pPr>
        <w:pStyle w:val="Default"/>
        <w:jc w:val="both"/>
        <w:rPr>
          <w:sz w:val="20"/>
          <w:szCs w:val="20"/>
          <w:lang w:val="es-AR"/>
        </w:rPr>
      </w:pPr>
      <w:r w:rsidRPr="00CA3A3D">
        <w:rPr>
          <w:sz w:val="20"/>
          <w:szCs w:val="20"/>
          <w:lang w:val="es-AR"/>
        </w:rPr>
        <w:t xml:space="preserve">Asimismo, cualquiera de las Sociedades que comience un proceso buscando la quiebra o la protección contra los acreedores </w:t>
      </w:r>
      <w:r w:rsidR="00E13EFA" w:rsidRPr="00CA3A3D">
        <w:rPr>
          <w:sz w:val="20"/>
          <w:szCs w:val="20"/>
          <w:lang w:val="es-AR"/>
        </w:rPr>
        <w:t>facultará a C</w:t>
      </w:r>
      <w:r w:rsidR="007B0C93" w:rsidRPr="00CA3A3D">
        <w:rPr>
          <w:sz w:val="20"/>
          <w:szCs w:val="20"/>
          <w:lang w:val="es-AR"/>
        </w:rPr>
        <w:t>AMMESA</w:t>
      </w:r>
      <w:r w:rsidR="00E13EFA" w:rsidRPr="00CA3A3D">
        <w:rPr>
          <w:sz w:val="20"/>
          <w:szCs w:val="20"/>
          <w:lang w:val="es-AR"/>
        </w:rPr>
        <w:t xml:space="preserve"> a </w:t>
      </w:r>
      <w:r w:rsidRPr="00CA3A3D">
        <w:rPr>
          <w:sz w:val="20"/>
          <w:szCs w:val="20"/>
          <w:lang w:val="es-AR"/>
        </w:rPr>
        <w:t>termina</w:t>
      </w:r>
      <w:r w:rsidR="00E13EFA" w:rsidRPr="00CA3A3D">
        <w:rPr>
          <w:sz w:val="20"/>
          <w:szCs w:val="20"/>
          <w:lang w:val="es-AR"/>
        </w:rPr>
        <w:t>r</w:t>
      </w:r>
      <w:r w:rsidRPr="00CA3A3D">
        <w:rPr>
          <w:sz w:val="20"/>
          <w:szCs w:val="20"/>
          <w:lang w:val="es-AR"/>
        </w:rPr>
        <w:t xml:space="preserve"> automática</w:t>
      </w:r>
      <w:r w:rsidR="00E13EFA" w:rsidRPr="00CA3A3D">
        <w:rPr>
          <w:sz w:val="20"/>
          <w:szCs w:val="20"/>
          <w:lang w:val="es-AR"/>
        </w:rPr>
        <w:t>mente</w:t>
      </w:r>
      <w:r w:rsidRPr="00CA3A3D">
        <w:rPr>
          <w:sz w:val="20"/>
          <w:szCs w:val="20"/>
          <w:lang w:val="es-AR"/>
        </w:rPr>
        <w:t xml:space="preserve"> </w:t>
      </w:r>
      <w:r w:rsidR="0052303B" w:rsidRPr="00CA3A3D">
        <w:rPr>
          <w:sz w:val="20"/>
          <w:szCs w:val="20"/>
          <w:lang w:val="es-AR"/>
        </w:rPr>
        <w:t>los</w:t>
      </w:r>
      <w:r w:rsidRPr="00CA3A3D">
        <w:rPr>
          <w:sz w:val="20"/>
          <w:szCs w:val="20"/>
          <w:lang w:val="es-AR"/>
        </w:rPr>
        <w:t xml:space="preserve"> </w:t>
      </w:r>
      <w:r w:rsidR="0072500E" w:rsidRPr="00CA3A3D">
        <w:rPr>
          <w:sz w:val="20"/>
          <w:szCs w:val="20"/>
          <w:lang w:val="es-AR"/>
        </w:rPr>
        <w:t>CCEE</w:t>
      </w:r>
      <w:r w:rsidRPr="00CA3A3D">
        <w:rPr>
          <w:sz w:val="20"/>
          <w:szCs w:val="20"/>
          <w:lang w:val="es-AR"/>
        </w:rPr>
        <w:t>, lo cual puede afectar significativamente la capacidad de las Sociedades de generar ingresos y realizar los pagos con respecto a las Obligaciones Negociables.</w:t>
      </w:r>
    </w:p>
    <w:p w14:paraId="35D8C43A" w14:textId="77777777" w:rsidR="00540D6F" w:rsidRPr="00CA3A3D" w:rsidRDefault="00540D6F" w:rsidP="001E3DCC">
      <w:pPr>
        <w:pStyle w:val="Default"/>
        <w:jc w:val="both"/>
        <w:rPr>
          <w:sz w:val="20"/>
          <w:szCs w:val="20"/>
          <w:lang w:val="es-AR"/>
        </w:rPr>
      </w:pPr>
    </w:p>
    <w:p w14:paraId="270B404C" w14:textId="0466F068" w:rsidR="00540D6F" w:rsidRDefault="00540D6F" w:rsidP="00540D6F">
      <w:pPr>
        <w:spacing w:after="0" w:line="240" w:lineRule="auto"/>
        <w:jc w:val="both"/>
        <w:rPr>
          <w:rFonts w:ascii="Garamond" w:eastAsia="Calibri" w:hAnsi="Garamond" w:cs="Times New Roman"/>
          <w:b/>
          <w:bCs/>
          <w:i/>
          <w:iCs/>
          <w:sz w:val="20"/>
          <w:szCs w:val="20"/>
          <w:lang w:eastAsia="x-none"/>
        </w:rPr>
      </w:pPr>
      <w:r w:rsidRPr="00EB7AD7">
        <w:rPr>
          <w:rFonts w:ascii="Garamond" w:eastAsia="Calibri" w:hAnsi="Garamond" w:cs="Times New Roman"/>
          <w:b/>
          <w:bCs/>
          <w:i/>
          <w:iCs/>
          <w:sz w:val="20"/>
          <w:szCs w:val="20"/>
          <w:lang w:eastAsia="x-none"/>
        </w:rPr>
        <w:t>El Modelo Financiero y las proyecciones financieras podrían tener errores o estimaciones imprecisas que difieran materialmente de los resultados reales</w:t>
      </w:r>
      <w:r w:rsidR="00512949">
        <w:rPr>
          <w:rFonts w:ascii="Garamond" w:eastAsia="Calibri" w:hAnsi="Garamond" w:cs="Times New Roman"/>
          <w:b/>
          <w:bCs/>
          <w:i/>
          <w:iCs/>
          <w:sz w:val="20"/>
          <w:szCs w:val="20"/>
          <w:lang w:eastAsia="x-none"/>
        </w:rPr>
        <w:t>.</w:t>
      </w:r>
    </w:p>
    <w:p w14:paraId="75AE5CB4" w14:textId="77777777" w:rsidR="00540D6F" w:rsidRPr="00EB7AD7" w:rsidRDefault="00540D6F" w:rsidP="00540D6F">
      <w:pPr>
        <w:spacing w:after="0" w:line="240" w:lineRule="auto"/>
        <w:jc w:val="both"/>
        <w:rPr>
          <w:rFonts w:ascii="Garamond" w:eastAsia="Calibri" w:hAnsi="Garamond" w:cs="Times New Roman"/>
          <w:b/>
          <w:bCs/>
          <w:i/>
          <w:iCs/>
          <w:sz w:val="20"/>
          <w:szCs w:val="20"/>
          <w:lang w:eastAsia="x-none"/>
        </w:rPr>
      </w:pPr>
    </w:p>
    <w:p w14:paraId="3D274EF7" w14:textId="5CAB690A" w:rsidR="00540D6F" w:rsidRDefault="00540D6F" w:rsidP="00540D6F">
      <w:pPr>
        <w:spacing w:after="0" w:line="240" w:lineRule="auto"/>
        <w:jc w:val="both"/>
        <w:rPr>
          <w:rFonts w:ascii="Garamond" w:eastAsia="Calibri" w:hAnsi="Garamond" w:cs="Times New Roman"/>
          <w:sz w:val="20"/>
          <w:szCs w:val="20"/>
        </w:rPr>
      </w:pPr>
      <w:r w:rsidRPr="00EB7AD7">
        <w:rPr>
          <w:rFonts w:ascii="Garamond" w:eastAsia="Calibri" w:hAnsi="Garamond" w:cs="Times New Roman"/>
          <w:sz w:val="20"/>
          <w:szCs w:val="20"/>
        </w:rPr>
        <w:t>El Modelo Financiero y las proyecciones incluidas en el presente Suplemento contienen declaraciones sobre hechos futuros, estimaciones y proyecciones. Para mayor información sobre el Modelo Financiero ver “</w:t>
      </w:r>
      <w:r>
        <w:rPr>
          <w:rFonts w:ascii="Garamond" w:eastAsia="Calibri" w:hAnsi="Garamond" w:cs="Times New Roman"/>
          <w:i/>
          <w:sz w:val="20"/>
          <w:szCs w:val="20"/>
        </w:rPr>
        <w:t>Información Financiera—Otra Información Financiera—Modelo Financiero</w:t>
      </w:r>
      <w:r w:rsidRPr="00EB7AD7">
        <w:rPr>
          <w:rFonts w:ascii="Garamond" w:eastAsia="Calibri" w:hAnsi="Garamond" w:cs="Times New Roman"/>
          <w:sz w:val="20"/>
          <w:szCs w:val="20"/>
        </w:rPr>
        <w:t xml:space="preserve">” en el presente Suplemento. Estas declaraciones sobre hechos futuros reflejan las expectativas y proyecciones de las Compañías acerca de eventos futuros, basados en el conocimiento de hechos presentes y circunstancias y supuestos sobre hechos futuros. Estas declaraciones sobre hechos futuros no son necesariamente indicativas de resultados futuros e implican inherentemente riesgos e incertidumbres que van a causar que los resultados reales difieran, quizá materialmente, de las expectativas de las Compañías. Para mayor información sobre algunos de los riesgos, incertidumbres y otros factores importantes que podrían causar que los resultados reales difieran materialmente, </w:t>
      </w:r>
      <w:r w:rsidRPr="00EB7AD7">
        <w:rPr>
          <w:rFonts w:ascii="Garamond" w:eastAsia="Calibri" w:hAnsi="Garamond" w:cs="Times New Roman"/>
          <w:sz w:val="20"/>
          <w:szCs w:val="20"/>
        </w:rPr>
        <w:lastRenderedPageBreak/>
        <w:t>o que podrían tener un efecto adverso sobre las Compañías, ver “</w:t>
      </w:r>
      <w:r w:rsidR="00F43E19">
        <w:rPr>
          <w:rFonts w:ascii="Garamond" w:eastAsia="Calibri" w:hAnsi="Garamond" w:cs="Times New Roman"/>
          <w:i/>
          <w:sz w:val="20"/>
          <w:szCs w:val="20"/>
        </w:rPr>
        <w:t>Información Financiera—Otra Información Financiera—Modelo Financiero</w:t>
      </w:r>
      <w:r w:rsidRPr="00EB7AD7">
        <w:rPr>
          <w:rFonts w:ascii="Garamond" w:eastAsia="Calibri" w:hAnsi="Garamond" w:cs="Times New Roman"/>
          <w:sz w:val="20"/>
          <w:szCs w:val="20"/>
        </w:rPr>
        <w:t>”.</w:t>
      </w:r>
    </w:p>
    <w:p w14:paraId="280D3106" w14:textId="77777777" w:rsidR="00540D6F" w:rsidRPr="00EB7AD7" w:rsidRDefault="00540D6F" w:rsidP="00540D6F">
      <w:pPr>
        <w:spacing w:after="0" w:line="240" w:lineRule="auto"/>
        <w:jc w:val="both"/>
        <w:rPr>
          <w:rFonts w:ascii="Garamond" w:eastAsia="Calibri" w:hAnsi="Garamond" w:cs="Times New Roman"/>
          <w:sz w:val="20"/>
          <w:szCs w:val="20"/>
        </w:rPr>
      </w:pPr>
    </w:p>
    <w:p w14:paraId="57A6A0F0" w14:textId="1DFE9EE2" w:rsidR="00EB7AD7" w:rsidRPr="00CA3A3D" w:rsidRDefault="00540D6F" w:rsidP="00540D6F">
      <w:pPr>
        <w:spacing w:after="0" w:line="240" w:lineRule="auto"/>
        <w:jc w:val="both"/>
        <w:rPr>
          <w:rFonts w:ascii="Garamond" w:hAnsi="Garamond" w:cs="Times New Roman"/>
          <w:sz w:val="20"/>
          <w:szCs w:val="20"/>
          <w:lang w:val="es-AR" w:eastAsia="x-none"/>
        </w:rPr>
      </w:pPr>
      <w:r w:rsidRPr="00EB7AD7">
        <w:rPr>
          <w:rFonts w:ascii="Garamond" w:eastAsia="Calibri" w:hAnsi="Garamond" w:cs="Times New Roman"/>
          <w:sz w:val="20"/>
          <w:szCs w:val="20"/>
        </w:rPr>
        <w:t xml:space="preserve">Las declaraciones sobre hechos futuros contenidas en el Modelo Financiero, están basadas en supuestos diversos, muchos de los cuales son ajenos al control de las Compañías. Por las razones precedentes y porque el negocio de las Compañías está sujeto a numerosos riesgos, incertidumbres y otras variables, incluidas en el presente Suplemento y en </w:t>
      </w:r>
      <w:r w:rsidRPr="00EB7AD7">
        <w:rPr>
          <w:rFonts w:ascii="Garamond" w:eastAsia="Calibri" w:hAnsi="Garamond" w:cs="Times New Roman"/>
          <w:i/>
          <w:sz w:val="20"/>
          <w:szCs w:val="20"/>
        </w:rPr>
        <w:t>“Información Adicional – Factores de Riesgo”</w:t>
      </w:r>
      <w:r w:rsidRPr="00EB7AD7">
        <w:rPr>
          <w:rFonts w:ascii="Garamond" w:eastAsia="Calibri" w:hAnsi="Garamond" w:cs="Times New Roman"/>
          <w:sz w:val="20"/>
          <w:szCs w:val="20"/>
        </w:rPr>
        <w:t xml:space="preserve"> en el Prospecto, los inversores no deberían depositar una confianza indebida en la información contenida en el Modelo Financiero, como una estimación o predicción de futuros rendimientos. Más aún, las Compañías niegan cualquier obligación de actualizar la información del Modelo Financiero o revelar cualquier diferencia entre los resultados reales y los reflejados en la información financiera futura empleada por el Modelo Financiero.</w:t>
      </w:r>
    </w:p>
    <w:p w14:paraId="175D53C2" w14:textId="77777777" w:rsidR="00EB7AD7" w:rsidRPr="00CA3A3D" w:rsidRDefault="00EB7AD7" w:rsidP="001E3DCC">
      <w:pPr>
        <w:spacing w:after="0" w:line="240" w:lineRule="auto"/>
        <w:jc w:val="both"/>
        <w:rPr>
          <w:rFonts w:ascii="Garamond" w:hAnsi="Garamond"/>
          <w:sz w:val="20"/>
          <w:szCs w:val="20"/>
          <w:lang w:val="es-AR"/>
        </w:rPr>
      </w:pPr>
    </w:p>
    <w:p w14:paraId="1E055AE8" w14:textId="110EA9AC" w:rsidR="00EB7AD7" w:rsidRPr="00CA3A3D" w:rsidRDefault="00EB7AD7" w:rsidP="00582114">
      <w:pPr>
        <w:keepNext/>
        <w:keepLines/>
        <w:spacing w:after="0" w:line="240" w:lineRule="auto"/>
        <w:jc w:val="both"/>
        <w:rPr>
          <w:rFonts w:ascii="Garamond" w:eastAsia="Calibri" w:hAnsi="Garamond" w:cs="Times New Roman"/>
          <w:b/>
          <w:bCs/>
          <w:i/>
          <w:iCs/>
          <w:color w:val="000000"/>
          <w:sz w:val="20"/>
          <w:szCs w:val="20"/>
          <w:lang w:val="es-AR" w:eastAsia="x-none"/>
        </w:rPr>
      </w:pPr>
      <w:r w:rsidRPr="00CA3A3D">
        <w:rPr>
          <w:rFonts w:ascii="Garamond" w:eastAsia="Calibri" w:hAnsi="Garamond" w:cs="Times New Roman"/>
          <w:b/>
          <w:bCs/>
          <w:i/>
          <w:iCs/>
          <w:color w:val="000000"/>
          <w:sz w:val="20"/>
          <w:szCs w:val="20"/>
          <w:lang w:val="es-AR" w:eastAsia="x-none"/>
        </w:rPr>
        <w:t>Las Compañías podrían verse imposibilitadas de renovar sus CCEE o entrar en nuevos CCEE para la venta de la capacidad generada y electricidad en el futuro, o dichos CCEE podrían ser modificados o rescindidos unilateralmente</w:t>
      </w:r>
      <w:r w:rsidR="00512949">
        <w:rPr>
          <w:rFonts w:ascii="Garamond" w:eastAsia="Calibri" w:hAnsi="Garamond" w:cs="Times New Roman"/>
          <w:b/>
          <w:bCs/>
          <w:i/>
          <w:iCs/>
          <w:color w:val="000000"/>
          <w:sz w:val="20"/>
          <w:szCs w:val="20"/>
          <w:lang w:val="es-AR" w:eastAsia="x-none"/>
        </w:rPr>
        <w:t>.</w:t>
      </w:r>
    </w:p>
    <w:p w14:paraId="7DB1D1D4" w14:textId="77777777" w:rsidR="00A95F13" w:rsidRPr="00CA3A3D" w:rsidRDefault="00A95F13" w:rsidP="00582114">
      <w:pPr>
        <w:keepNext/>
        <w:keepLines/>
        <w:spacing w:after="0" w:line="240" w:lineRule="auto"/>
        <w:jc w:val="both"/>
        <w:rPr>
          <w:rFonts w:ascii="Garamond" w:eastAsia="Calibri" w:hAnsi="Garamond" w:cs="Times New Roman"/>
          <w:b/>
          <w:bCs/>
          <w:i/>
          <w:iCs/>
          <w:color w:val="000000"/>
          <w:sz w:val="20"/>
          <w:szCs w:val="20"/>
          <w:lang w:val="es-AR" w:eastAsia="x-none"/>
        </w:rPr>
      </w:pPr>
    </w:p>
    <w:p w14:paraId="11B77089" w14:textId="77777777" w:rsidR="00A95F13" w:rsidRPr="00CA3A3D" w:rsidRDefault="00EB7AD7" w:rsidP="00582114">
      <w:pPr>
        <w:keepNext/>
        <w:keepLines/>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 xml:space="preserve">Las Compañías pueden no ser capaces de renovar sus CCEE y ser adjudicado con nuevos CCEE, en términos favorables, incluyendo razones ajenas a las Compañías. Adicionalmente, los términos y condiciones de los CCEE de las Compañías pueden ser modificados o rescindidos unilateralmente o incluso pueden quedar expuestos a incumplimientos contractuales por razones ajenas a su control. Por ejemplo, los CCEE podrían estipular que ante situaciones de fuerza mayor (según la definición de este instituto en el Código Civil y Comercial de Argentina) que no se subsanen dentro de determinada cantidad de días posteriores a la fecha de su comienzo darán derecho a cualquiera de las partes a extinguir el CCEE sin la obligación de pagar daños y perjuicios (ni de reclamarle daños y perjuicios) a la otra parte. Para mayor información acerca de los CCEE de las Compañías, por favor ver </w:t>
      </w:r>
      <w:r w:rsidRPr="00CA3A3D">
        <w:rPr>
          <w:rFonts w:ascii="Garamond" w:eastAsia="Calibri" w:hAnsi="Garamond" w:cs="Times New Roman"/>
          <w:bCs/>
          <w:sz w:val="20"/>
          <w:szCs w:val="20"/>
          <w:lang w:val="es-AR"/>
        </w:rPr>
        <w:t>“</w:t>
      </w:r>
      <w:r w:rsidRPr="00CA3A3D">
        <w:rPr>
          <w:rFonts w:ascii="Garamond" w:eastAsia="Calibri" w:hAnsi="Garamond" w:cs="Times New Roman"/>
          <w:bCs/>
          <w:i/>
          <w:sz w:val="20"/>
          <w:szCs w:val="20"/>
          <w:lang w:val="es-AR"/>
        </w:rPr>
        <w:t>Información de las Co-emisoras</w:t>
      </w:r>
      <w:r w:rsidRPr="00CA3A3D">
        <w:rPr>
          <w:rFonts w:ascii="Garamond" w:eastAsia="Calibri" w:hAnsi="Garamond" w:cs="Times New Roman"/>
          <w:bCs/>
          <w:sz w:val="20"/>
          <w:szCs w:val="20"/>
          <w:lang w:val="es-AR"/>
        </w:rPr>
        <w:t xml:space="preserve">” en el </w:t>
      </w:r>
      <w:r w:rsidRPr="00CA3A3D">
        <w:rPr>
          <w:rFonts w:ascii="Garamond" w:eastAsia="Calibri" w:hAnsi="Garamond" w:cs="Times New Roman"/>
          <w:sz w:val="20"/>
          <w:szCs w:val="20"/>
          <w:lang w:val="es-AR"/>
        </w:rPr>
        <w:t>Prospecto. La falta de renovación, rescisión o modificación de cualquiera de los CCEE de las Compañías en un modo sustancialmente adverso a sus intereses, podrían tener un efecto sustancial adverso sobre los negocios, y los resultados de las operaciones de las Compañías, así como las garantías otorgadas en relación a dichos CCEE.</w:t>
      </w:r>
    </w:p>
    <w:p w14:paraId="0841E4F5" w14:textId="77777777" w:rsidR="00A03EA6" w:rsidRPr="00CA3A3D" w:rsidRDefault="00A03EA6">
      <w:pPr>
        <w:spacing w:after="0" w:line="240" w:lineRule="auto"/>
        <w:jc w:val="both"/>
        <w:rPr>
          <w:rFonts w:ascii="Garamond" w:eastAsia="Calibri" w:hAnsi="Garamond" w:cs="Times New Roman"/>
          <w:sz w:val="20"/>
          <w:szCs w:val="20"/>
          <w:lang w:val="es-AR"/>
        </w:rPr>
      </w:pPr>
    </w:p>
    <w:p w14:paraId="0B1CAC68" w14:textId="312407A9" w:rsidR="00A03EA6" w:rsidRPr="00CA3A3D" w:rsidRDefault="00A03EA6" w:rsidP="00A438F1">
      <w:pPr>
        <w:pStyle w:val="TitleBI"/>
        <w:keepLines/>
        <w:spacing w:after="0"/>
        <w:jc w:val="both"/>
        <w:rPr>
          <w:rFonts w:ascii="Garamond" w:hAnsi="Garamond"/>
          <w:lang w:val="es-AR" w:eastAsia="en-US"/>
        </w:rPr>
      </w:pPr>
      <w:r w:rsidRPr="00CA3A3D">
        <w:rPr>
          <w:rFonts w:ascii="Garamond" w:hAnsi="Garamond"/>
          <w:lang w:val="es-AR" w:eastAsia="en-US"/>
        </w:rPr>
        <w:t xml:space="preserve">Los pagos correspondientes a las Obligaciones Negociables Clase II dependen únicamente del flujo de efectivo generado por la centrales eléctricas, y el incumplimiento de los </w:t>
      </w:r>
      <w:r w:rsidR="00F27711" w:rsidRPr="00CA3A3D">
        <w:rPr>
          <w:rFonts w:ascii="Garamond" w:hAnsi="Garamond"/>
          <w:lang w:val="es-AR"/>
        </w:rPr>
        <w:t>contratos de compra de energía</w:t>
      </w:r>
      <w:r w:rsidR="00F27711" w:rsidRPr="00CA0A60">
        <w:rPr>
          <w:rFonts w:ascii="Garamond" w:eastAsia="Times New Roman" w:hAnsi="Garamond"/>
          <w:szCs w:val="18"/>
          <w:lang w:val="es-AR"/>
        </w:rPr>
        <w:t xml:space="preserve"> </w:t>
      </w:r>
      <w:r w:rsidRPr="00CA3A3D">
        <w:rPr>
          <w:rFonts w:ascii="Garamond" w:hAnsi="Garamond"/>
          <w:lang w:val="es-AR" w:eastAsia="en-US"/>
        </w:rPr>
        <w:t>de las Compañías o la rescisión anticipada de los mismos podría afectar significativa y adversamente los resultados de las operaciones de las Compañías y su capacidad para efectuar pagos sobre las Obligaciones Negociables.</w:t>
      </w:r>
    </w:p>
    <w:p w14:paraId="711A9A35" w14:textId="77777777" w:rsidR="00A95F13" w:rsidRPr="00CA3A3D" w:rsidRDefault="00A95F13" w:rsidP="00A438F1">
      <w:pPr>
        <w:keepNext/>
        <w:keepLines/>
        <w:spacing w:after="0"/>
        <w:rPr>
          <w:lang w:val="es-AR"/>
        </w:rPr>
      </w:pPr>
    </w:p>
    <w:p w14:paraId="05E26F43" w14:textId="15741807" w:rsidR="00A03EA6" w:rsidRPr="00CA3A3D" w:rsidRDefault="00A03EA6" w:rsidP="00A438F1">
      <w:pPr>
        <w:pStyle w:val="BodyText2SglJ"/>
        <w:keepNext/>
        <w:keepLines/>
        <w:spacing w:after="0"/>
        <w:ind w:firstLine="0"/>
        <w:rPr>
          <w:rFonts w:ascii="Garamond" w:hAnsi="Garamond"/>
          <w:lang w:val="es-AR" w:eastAsia="en-US"/>
        </w:rPr>
      </w:pPr>
      <w:r w:rsidRPr="00CA3A3D">
        <w:rPr>
          <w:rFonts w:ascii="Garamond" w:hAnsi="Garamond"/>
          <w:lang w:val="es-AR" w:eastAsia="en-US"/>
        </w:rPr>
        <w:t>Las centrales eléctricas constituyen sustancialmente la totalidad de los activos de las Co-Emisoras. En consecuencia, para poder realizar los pagos correspondientes a las Obligaciones Negociables Clase</w:t>
      </w:r>
      <w:r w:rsidR="00E54D44" w:rsidRPr="00CA3A3D">
        <w:rPr>
          <w:rFonts w:ascii="Garamond" w:hAnsi="Garamond"/>
          <w:lang w:val="es-AR" w:eastAsia="en-US"/>
        </w:rPr>
        <w:t xml:space="preserve"> II</w:t>
      </w:r>
      <w:r w:rsidRPr="00CA3A3D">
        <w:rPr>
          <w:rFonts w:ascii="Garamond" w:hAnsi="Garamond"/>
          <w:lang w:val="es-AR" w:eastAsia="en-US"/>
        </w:rPr>
        <w:t xml:space="preserve">, las Compañías dependen del flujo de efectivo generado por las centrales eléctricas en virtud de sus </w:t>
      </w:r>
      <w:r w:rsidR="00F27711" w:rsidRPr="00CA3A3D">
        <w:rPr>
          <w:rFonts w:ascii="Garamond" w:hAnsi="Garamond"/>
          <w:lang w:val="es-AR"/>
        </w:rPr>
        <w:t>contratos de compra de energía</w:t>
      </w:r>
      <w:r w:rsidRPr="00CA3A3D">
        <w:rPr>
          <w:rFonts w:ascii="Garamond" w:hAnsi="Garamond"/>
          <w:lang w:val="es-AR" w:eastAsia="en-US"/>
        </w:rPr>
        <w:t xml:space="preserve">. Si las Compañías no cumplen con sus obligaciones bajo los </w:t>
      </w:r>
      <w:r w:rsidR="00F27711" w:rsidRPr="00CA3A3D">
        <w:rPr>
          <w:rFonts w:ascii="Garamond" w:hAnsi="Garamond"/>
          <w:lang w:val="es-AR"/>
        </w:rPr>
        <w:t>contratos de compra de energía</w:t>
      </w:r>
      <w:r w:rsidR="00F27711" w:rsidRPr="00CA0A60">
        <w:rPr>
          <w:rFonts w:ascii="Garamond" w:eastAsia="Times New Roman" w:hAnsi="Garamond"/>
          <w:szCs w:val="18"/>
          <w:lang w:val="es-AR"/>
        </w:rPr>
        <w:t xml:space="preserve"> </w:t>
      </w:r>
      <w:r w:rsidRPr="00CA3A3D">
        <w:rPr>
          <w:rFonts w:ascii="Garamond" w:hAnsi="Garamond"/>
          <w:lang w:val="es-AR" w:eastAsia="en-US"/>
        </w:rPr>
        <w:t xml:space="preserve">o no logran obtener y mantener vigentes las autorizaciones gubernamentales necesarias, o bien no cumplen con las normas y reglamentaciones aplicables en Argentina, podrían quedar sujetas a sanciones impuestas por la Secretaría de Gobierno de Energía o por otros organismos gubernamentales pertinentes, entre las que se incluyen advertencias, multas, intervención, rescisión anticipada de los </w:t>
      </w:r>
      <w:r w:rsidR="00F27711" w:rsidRPr="00CA3A3D">
        <w:rPr>
          <w:rFonts w:ascii="Garamond" w:hAnsi="Garamond"/>
          <w:lang w:val="es-AR"/>
        </w:rPr>
        <w:t>contratos de compra de energía</w:t>
      </w:r>
      <w:r w:rsidR="00F27711" w:rsidRPr="00CA0A60">
        <w:rPr>
          <w:rFonts w:ascii="Garamond" w:eastAsia="Times New Roman" w:hAnsi="Garamond"/>
          <w:szCs w:val="18"/>
          <w:lang w:val="es-AR"/>
        </w:rPr>
        <w:t xml:space="preserve"> </w:t>
      </w:r>
      <w:r w:rsidRPr="00CA3A3D">
        <w:rPr>
          <w:rFonts w:ascii="Garamond" w:hAnsi="Garamond"/>
          <w:lang w:val="es-AR" w:eastAsia="en-US"/>
        </w:rPr>
        <w:t xml:space="preserve">o de las autorizaciones gubernamentales pertinentes. A su vez, no puede garantizarse que las Compañías recibirán los montos a los que tienen derecho en virtud de los </w:t>
      </w:r>
      <w:r w:rsidR="00F27711" w:rsidRPr="00CA3A3D">
        <w:rPr>
          <w:rFonts w:ascii="Garamond" w:hAnsi="Garamond"/>
          <w:lang w:val="es-AR"/>
        </w:rPr>
        <w:t>contratos de compra de energía</w:t>
      </w:r>
      <w:r w:rsidR="00F27711" w:rsidRPr="00CA0A60">
        <w:rPr>
          <w:rFonts w:ascii="Garamond" w:eastAsia="Times New Roman" w:hAnsi="Garamond"/>
          <w:szCs w:val="18"/>
          <w:lang w:val="es-AR"/>
        </w:rPr>
        <w:t xml:space="preserve"> </w:t>
      </w:r>
      <w:r w:rsidRPr="00CA3A3D">
        <w:rPr>
          <w:rFonts w:ascii="Garamond" w:hAnsi="Garamond"/>
          <w:lang w:val="es-AR" w:eastAsia="en-US"/>
        </w:rPr>
        <w:t xml:space="preserve">o la ley aplicable en relación con cualquier rescisión anticipada de los </w:t>
      </w:r>
      <w:r w:rsidR="00F27711" w:rsidRPr="00CA3A3D">
        <w:rPr>
          <w:rFonts w:ascii="Garamond" w:hAnsi="Garamond"/>
          <w:lang w:val="es-AR"/>
        </w:rPr>
        <w:t>contratos de compra de energía</w:t>
      </w:r>
      <w:r w:rsidR="00F27711" w:rsidRPr="00CA0A60">
        <w:rPr>
          <w:rFonts w:ascii="Garamond" w:eastAsia="Times New Roman" w:hAnsi="Garamond"/>
          <w:szCs w:val="18"/>
          <w:lang w:val="es-AR"/>
        </w:rPr>
        <w:t xml:space="preserve"> </w:t>
      </w:r>
      <w:r w:rsidRPr="00CA3A3D">
        <w:rPr>
          <w:rFonts w:ascii="Garamond" w:hAnsi="Garamond"/>
          <w:lang w:val="es-AR" w:eastAsia="en-US"/>
        </w:rPr>
        <w:t xml:space="preserve">sin causa, o que, de ser recibidos, éstos serán suficientes para indemnizarlas por su pérdida. Asimismo, CAMMESA puede rescindir los </w:t>
      </w:r>
      <w:r w:rsidR="00F27711" w:rsidRPr="00CA3A3D">
        <w:rPr>
          <w:rFonts w:ascii="Garamond" w:hAnsi="Garamond"/>
          <w:lang w:val="es-AR"/>
        </w:rPr>
        <w:t>contratos de compra de energía</w:t>
      </w:r>
      <w:r w:rsidR="00F27711" w:rsidRPr="00CA0A60">
        <w:rPr>
          <w:rFonts w:ascii="Garamond" w:eastAsia="Times New Roman" w:hAnsi="Garamond"/>
          <w:szCs w:val="18"/>
          <w:lang w:val="es-AR"/>
        </w:rPr>
        <w:t xml:space="preserve"> </w:t>
      </w:r>
      <w:r w:rsidRPr="00CA3A3D">
        <w:rPr>
          <w:rFonts w:ascii="Garamond" w:hAnsi="Garamond"/>
          <w:lang w:val="es-AR" w:eastAsia="en-US"/>
        </w:rPr>
        <w:t>celebrados con las Compañías a su criterio y en la fecha que desee ante el acaecimiento de cualquiera de los siguientes supuestos de incumplimiento (los “</w:t>
      </w:r>
      <w:r w:rsidRPr="00CA3A3D">
        <w:rPr>
          <w:rFonts w:ascii="Garamond" w:hAnsi="Garamond"/>
          <w:u w:val="single"/>
          <w:lang w:val="es-AR" w:eastAsia="en-US"/>
        </w:rPr>
        <w:t xml:space="preserve">Supuestos de Incumplimiento </w:t>
      </w:r>
      <w:r w:rsidR="00F27711" w:rsidRPr="00CA3A3D">
        <w:rPr>
          <w:rFonts w:ascii="Garamond" w:hAnsi="Garamond"/>
          <w:u w:val="single"/>
          <w:lang w:val="es-AR" w:eastAsia="en-US"/>
        </w:rPr>
        <w:t>de los C</w:t>
      </w:r>
      <w:r w:rsidR="00F27711" w:rsidRPr="00CA3A3D">
        <w:rPr>
          <w:rFonts w:ascii="Garamond" w:hAnsi="Garamond"/>
          <w:u w:val="single"/>
          <w:lang w:val="es-AR"/>
        </w:rPr>
        <w:t>ontratos de Compra de Energía</w:t>
      </w:r>
      <w:r w:rsidRPr="00CA3A3D">
        <w:rPr>
          <w:rFonts w:ascii="Garamond" w:hAnsi="Garamond"/>
          <w:lang w:val="es-AR" w:eastAsia="en-US"/>
        </w:rPr>
        <w:t xml:space="preserve">”), y en tanto el Supuesto de Incumplimiento </w:t>
      </w:r>
      <w:r w:rsidR="00560464" w:rsidRPr="00CA3A3D">
        <w:rPr>
          <w:rFonts w:ascii="Garamond" w:hAnsi="Garamond"/>
          <w:lang w:val="es-AR" w:eastAsia="en-US"/>
        </w:rPr>
        <w:t>de los C</w:t>
      </w:r>
      <w:r w:rsidR="00F27711" w:rsidRPr="00CA3A3D">
        <w:rPr>
          <w:rFonts w:ascii="Garamond" w:hAnsi="Garamond"/>
          <w:lang w:val="es-AR"/>
        </w:rPr>
        <w:t xml:space="preserve">ontratos de </w:t>
      </w:r>
      <w:r w:rsidR="00560464" w:rsidRPr="00CA3A3D">
        <w:rPr>
          <w:rFonts w:ascii="Garamond" w:hAnsi="Garamond"/>
          <w:lang w:val="es-AR"/>
        </w:rPr>
        <w:t>C</w:t>
      </w:r>
      <w:r w:rsidR="00F27711" w:rsidRPr="00CA3A3D">
        <w:rPr>
          <w:rFonts w:ascii="Garamond" w:hAnsi="Garamond"/>
          <w:lang w:val="es-AR"/>
        </w:rPr>
        <w:t xml:space="preserve">ompra de </w:t>
      </w:r>
      <w:r w:rsidR="00560464" w:rsidRPr="00CA3A3D">
        <w:rPr>
          <w:rFonts w:ascii="Garamond" w:hAnsi="Garamond"/>
          <w:lang w:val="es-AR"/>
        </w:rPr>
        <w:t>E</w:t>
      </w:r>
      <w:r w:rsidR="00F27711" w:rsidRPr="00CA3A3D">
        <w:rPr>
          <w:rFonts w:ascii="Garamond" w:hAnsi="Garamond"/>
          <w:lang w:val="es-AR"/>
        </w:rPr>
        <w:t>nergía</w:t>
      </w:r>
      <w:r w:rsidR="00F27711" w:rsidRPr="00CA0A60">
        <w:rPr>
          <w:rFonts w:ascii="Garamond" w:eastAsia="Times New Roman" w:hAnsi="Garamond"/>
          <w:szCs w:val="18"/>
          <w:lang w:val="es-AR"/>
        </w:rPr>
        <w:t xml:space="preserve"> </w:t>
      </w:r>
      <w:r w:rsidRPr="00CA3A3D">
        <w:rPr>
          <w:rFonts w:ascii="Garamond" w:hAnsi="Garamond"/>
          <w:lang w:val="es-AR" w:eastAsia="en-US"/>
        </w:rPr>
        <w:t>no haya sido subsanado:</w:t>
      </w:r>
    </w:p>
    <w:p w14:paraId="4EE333D4" w14:textId="77777777" w:rsidR="00A95F13" w:rsidRPr="00CA3A3D" w:rsidRDefault="00A95F13" w:rsidP="001E3DCC">
      <w:pPr>
        <w:pStyle w:val="BodyText2SglJ"/>
        <w:spacing w:after="0"/>
        <w:ind w:firstLine="0"/>
        <w:rPr>
          <w:rFonts w:ascii="Garamond" w:hAnsi="Garamond"/>
          <w:lang w:val="es-AR" w:eastAsia="en-US"/>
        </w:rPr>
      </w:pPr>
    </w:p>
    <w:p w14:paraId="71044B21" w14:textId="4E46BA7B" w:rsidR="00A03EA6" w:rsidRPr="00CA3A3D" w:rsidRDefault="00A03EA6" w:rsidP="001E3DCC">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 xml:space="preserve">la compañía operativa pertinente renunciara </w:t>
      </w:r>
      <w:r w:rsidR="00E54D44" w:rsidRPr="00CA3A3D">
        <w:rPr>
          <w:rFonts w:ascii="Garamond" w:eastAsia="Calibri" w:hAnsi="Garamond" w:cs="Times New Roman"/>
          <w:szCs w:val="20"/>
          <w:lang w:val="es-AR"/>
        </w:rPr>
        <w:t>o perdiera</w:t>
      </w:r>
      <w:r w:rsidRPr="00CA3A3D">
        <w:rPr>
          <w:rFonts w:ascii="Garamond" w:eastAsia="Calibri" w:hAnsi="Garamond" w:cs="Times New Roman"/>
          <w:szCs w:val="20"/>
          <w:lang w:val="es-AR"/>
        </w:rPr>
        <w:t xml:space="preserve"> su carácter de Agente del MEM para la planta correspondiente;</w:t>
      </w:r>
    </w:p>
    <w:p w14:paraId="0D6BC734" w14:textId="77777777" w:rsidR="00A95F13" w:rsidRPr="00CA3A3D" w:rsidRDefault="00A95F13" w:rsidP="001E3DCC">
      <w:pPr>
        <w:pStyle w:val="ListBullet3SglJ"/>
        <w:numPr>
          <w:ilvl w:val="0"/>
          <w:numId w:val="0"/>
        </w:numPr>
        <w:spacing w:after="0"/>
        <w:ind w:left="1080"/>
        <w:rPr>
          <w:rFonts w:ascii="Garamond" w:eastAsia="Calibri" w:hAnsi="Garamond" w:cs="Times New Roman"/>
          <w:szCs w:val="20"/>
          <w:lang w:val="es-AR"/>
        </w:rPr>
      </w:pPr>
    </w:p>
    <w:p w14:paraId="7722ADD7" w14:textId="77777777" w:rsidR="00A03EA6" w:rsidRPr="00CA3A3D" w:rsidRDefault="00A03EA6" w:rsidP="001E3DCC">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 xml:space="preserve">la compañía operativa pertinente adoptara cualquier medida que derivara en la invalidez o inexigibilidad de sus obligaciones bajo el </w:t>
      </w:r>
      <w:r w:rsidR="00F27711" w:rsidRPr="00CA3A3D">
        <w:rPr>
          <w:rFonts w:ascii="Garamond" w:hAnsi="Garamond" w:cs="Times New Roman"/>
          <w:szCs w:val="20"/>
          <w:lang w:val="es-AR"/>
        </w:rPr>
        <w:t>contrato de compra de energía</w:t>
      </w:r>
      <w:r w:rsidR="00F27711" w:rsidRPr="00CA0A60">
        <w:rPr>
          <w:rFonts w:ascii="Garamond" w:eastAsia="Times New Roman" w:hAnsi="Garamond" w:cs="Times New Roman"/>
          <w:szCs w:val="18"/>
          <w:lang w:val="es-AR"/>
        </w:rPr>
        <w:t xml:space="preserve"> </w:t>
      </w:r>
      <w:r w:rsidRPr="00CA3A3D">
        <w:rPr>
          <w:rFonts w:ascii="Garamond" w:eastAsia="Calibri" w:hAnsi="Garamond" w:cs="Times New Roman"/>
          <w:szCs w:val="20"/>
          <w:lang w:val="es-AR"/>
        </w:rPr>
        <w:t>pertinente;</w:t>
      </w:r>
    </w:p>
    <w:p w14:paraId="34A104AC" w14:textId="77777777" w:rsidR="00A95F13" w:rsidRPr="00CA3A3D" w:rsidRDefault="00A95F13" w:rsidP="001E3DCC">
      <w:pPr>
        <w:pStyle w:val="ListBullet3SglJ"/>
        <w:numPr>
          <w:ilvl w:val="0"/>
          <w:numId w:val="0"/>
        </w:numPr>
        <w:spacing w:after="0"/>
        <w:ind w:left="1080"/>
        <w:rPr>
          <w:rFonts w:ascii="Garamond" w:eastAsia="Calibri" w:hAnsi="Garamond" w:cs="Times New Roman"/>
          <w:szCs w:val="20"/>
          <w:lang w:val="es-AR"/>
        </w:rPr>
      </w:pPr>
    </w:p>
    <w:p w14:paraId="6F0DC05C" w14:textId="77777777" w:rsidR="00A03EA6" w:rsidRPr="00CA3A3D" w:rsidRDefault="00A03EA6" w:rsidP="001E3DCC">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la compañía operativa pertinente fuera disuelta o entrara en proceso de liquidación;</w:t>
      </w:r>
    </w:p>
    <w:p w14:paraId="114B4F84" w14:textId="77777777" w:rsidR="00A95F13" w:rsidRPr="00CA3A3D" w:rsidRDefault="00A95F13" w:rsidP="001E3DCC">
      <w:pPr>
        <w:pStyle w:val="ListBullet3SglJ"/>
        <w:numPr>
          <w:ilvl w:val="0"/>
          <w:numId w:val="0"/>
        </w:numPr>
        <w:spacing w:after="0"/>
        <w:ind w:left="1080"/>
        <w:rPr>
          <w:rFonts w:ascii="Garamond" w:eastAsia="Calibri" w:hAnsi="Garamond" w:cs="Times New Roman"/>
          <w:szCs w:val="20"/>
          <w:lang w:val="es-AR"/>
        </w:rPr>
      </w:pPr>
    </w:p>
    <w:p w14:paraId="22853359" w14:textId="77777777" w:rsidR="00A03EA6" w:rsidRPr="00CA3A3D" w:rsidRDefault="00A03EA6" w:rsidP="001E3DCC">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la compañía operativa pertinente entrara en estado de cesación de pagos;</w:t>
      </w:r>
    </w:p>
    <w:p w14:paraId="1AABDC09" w14:textId="77777777" w:rsidR="00A95F13" w:rsidRPr="00CA3A3D" w:rsidRDefault="00A95F13" w:rsidP="001E3DCC">
      <w:pPr>
        <w:pStyle w:val="ListBullet3SglJ"/>
        <w:numPr>
          <w:ilvl w:val="0"/>
          <w:numId w:val="0"/>
        </w:numPr>
        <w:spacing w:after="0"/>
        <w:ind w:left="1080"/>
        <w:rPr>
          <w:rFonts w:ascii="Garamond" w:eastAsia="Calibri" w:hAnsi="Garamond" w:cs="Times New Roman"/>
          <w:szCs w:val="20"/>
          <w:lang w:val="es-AR"/>
        </w:rPr>
      </w:pPr>
    </w:p>
    <w:p w14:paraId="4007541B" w14:textId="77777777" w:rsidR="00A03EA6" w:rsidRPr="00CA3A3D" w:rsidRDefault="00A03EA6" w:rsidP="001E3DCC">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la compañía operativa pertinente fuera declarada en quiebra;</w:t>
      </w:r>
    </w:p>
    <w:p w14:paraId="3F82752B" w14:textId="77777777" w:rsidR="00A95F13" w:rsidRPr="00CA3A3D" w:rsidRDefault="00A95F13" w:rsidP="001E3DCC">
      <w:pPr>
        <w:pStyle w:val="ListBullet3SglJ"/>
        <w:numPr>
          <w:ilvl w:val="0"/>
          <w:numId w:val="0"/>
        </w:numPr>
        <w:spacing w:after="0"/>
        <w:ind w:left="1080"/>
        <w:rPr>
          <w:rFonts w:ascii="Garamond" w:eastAsia="Calibri" w:hAnsi="Garamond" w:cs="Times New Roman"/>
          <w:szCs w:val="20"/>
          <w:lang w:val="es-AR"/>
        </w:rPr>
      </w:pPr>
    </w:p>
    <w:p w14:paraId="35B703D5" w14:textId="77777777" w:rsidR="00A03EA6" w:rsidRPr="00CA3A3D" w:rsidRDefault="00A03EA6" w:rsidP="001E3DCC">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la compañía operativa pertinente presentara un pedido de concurso preventivo o quiebra;</w:t>
      </w:r>
    </w:p>
    <w:p w14:paraId="6CA203BD" w14:textId="77777777" w:rsidR="00A95F13" w:rsidRPr="00CA3A3D" w:rsidRDefault="00A95F13" w:rsidP="001E3DCC">
      <w:pPr>
        <w:pStyle w:val="ListBullet3SglJ"/>
        <w:numPr>
          <w:ilvl w:val="0"/>
          <w:numId w:val="0"/>
        </w:numPr>
        <w:spacing w:after="0"/>
        <w:ind w:left="1080"/>
        <w:rPr>
          <w:rFonts w:ascii="Garamond" w:eastAsia="Calibri" w:hAnsi="Garamond" w:cs="Times New Roman"/>
          <w:szCs w:val="20"/>
          <w:lang w:val="es-AR"/>
        </w:rPr>
      </w:pPr>
    </w:p>
    <w:p w14:paraId="2949445E" w14:textId="77777777" w:rsidR="00A03EA6" w:rsidRPr="00CA3A3D" w:rsidRDefault="00A03EA6" w:rsidP="001E3DCC">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un tercero presentara un pedido de quiebra contra la compañía operativa pertinente y no se presentara una apelación contra ese pedido en la primera oportunidad procesal para ello;</w:t>
      </w:r>
    </w:p>
    <w:p w14:paraId="1EEB5C65" w14:textId="77777777" w:rsidR="00A95F13" w:rsidRPr="00CA3A3D" w:rsidRDefault="00A95F13" w:rsidP="001E3DCC">
      <w:pPr>
        <w:pStyle w:val="ListBullet3SglJ"/>
        <w:numPr>
          <w:ilvl w:val="0"/>
          <w:numId w:val="0"/>
        </w:numPr>
        <w:spacing w:after="0"/>
        <w:ind w:left="1080"/>
        <w:rPr>
          <w:rFonts w:ascii="Garamond" w:eastAsia="Calibri" w:hAnsi="Garamond" w:cs="Times New Roman"/>
          <w:szCs w:val="20"/>
          <w:lang w:val="es-AR"/>
        </w:rPr>
      </w:pPr>
    </w:p>
    <w:p w14:paraId="77BBB9B3" w14:textId="77777777" w:rsidR="00A03EA6" w:rsidRPr="00CA3A3D" w:rsidRDefault="00A03EA6" w:rsidP="001E3DCC">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el acaecimiento de cualquier hecho o supuesto que, en virtud de las reglamentaciones vigentes, desencadenara efectos similares a los descriptos en los apartados (a) a (g) precedentes;</w:t>
      </w:r>
    </w:p>
    <w:p w14:paraId="27EFE50A" w14:textId="77777777" w:rsidR="00A95F13" w:rsidRPr="00CA3A3D" w:rsidRDefault="00A95F13" w:rsidP="001E3DCC">
      <w:pPr>
        <w:pStyle w:val="ListBullet3SglJ"/>
        <w:numPr>
          <w:ilvl w:val="0"/>
          <w:numId w:val="0"/>
        </w:numPr>
        <w:spacing w:after="0"/>
        <w:ind w:left="1080"/>
        <w:rPr>
          <w:rFonts w:ascii="Garamond" w:eastAsia="Calibri" w:hAnsi="Garamond" w:cs="Times New Roman"/>
          <w:szCs w:val="20"/>
          <w:lang w:val="es-AR"/>
        </w:rPr>
      </w:pPr>
    </w:p>
    <w:p w14:paraId="73AF41A1" w14:textId="77777777" w:rsidR="00A03EA6" w:rsidRPr="00CA3A3D" w:rsidRDefault="00A03EA6" w:rsidP="00B638F6">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 xml:space="preserve">la compañía operativa pertinente cediera una parte sustancial de sus activos o derechos que, a exclusivo criterio de CAMMESA, menoscaba o pudiera menoscabar el cumplimiento de sus obligaciones bajo el </w:t>
      </w:r>
      <w:r w:rsidR="00F27711" w:rsidRPr="00CA3A3D">
        <w:rPr>
          <w:rFonts w:ascii="Garamond" w:hAnsi="Garamond" w:cs="Times New Roman"/>
          <w:szCs w:val="20"/>
          <w:lang w:val="es-AR"/>
        </w:rPr>
        <w:t>contrato de compra de energía</w:t>
      </w:r>
      <w:r w:rsidR="00F27711" w:rsidRPr="00CA0A60">
        <w:rPr>
          <w:rFonts w:ascii="Garamond" w:eastAsia="Times New Roman" w:hAnsi="Garamond" w:cs="Times New Roman"/>
          <w:szCs w:val="18"/>
          <w:lang w:val="es-AR"/>
        </w:rPr>
        <w:t xml:space="preserve"> </w:t>
      </w:r>
      <w:r w:rsidRPr="00CA3A3D">
        <w:rPr>
          <w:rFonts w:ascii="Garamond" w:eastAsia="Calibri" w:hAnsi="Garamond" w:cs="Times New Roman"/>
          <w:szCs w:val="20"/>
          <w:lang w:val="es-AR"/>
        </w:rPr>
        <w:t>pertinente;</w:t>
      </w:r>
    </w:p>
    <w:p w14:paraId="44D1216F" w14:textId="77777777" w:rsidR="00A95F13" w:rsidRPr="00CA3A3D" w:rsidRDefault="00A95F13" w:rsidP="005E14F3">
      <w:pPr>
        <w:pStyle w:val="ListBullet3SglJ"/>
        <w:numPr>
          <w:ilvl w:val="0"/>
          <w:numId w:val="0"/>
        </w:numPr>
        <w:spacing w:after="0"/>
        <w:ind w:left="1080"/>
        <w:rPr>
          <w:rFonts w:ascii="Garamond" w:eastAsia="Calibri" w:hAnsi="Garamond" w:cs="Times New Roman"/>
          <w:szCs w:val="20"/>
          <w:lang w:val="es-AR"/>
        </w:rPr>
      </w:pPr>
    </w:p>
    <w:p w14:paraId="75308BC5" w14:textId="77777777" w:rsidR="00A03EA6" w:rsidRPr="00CA3A3D" w:rsidRDefault="00A03EA6">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la compañía operativa pertinente celebrara un acuerdo preventivo extrajudicial;</w:t>
      </w:r>
    </w:p>
    <w:p w14:paraId="3517F98F" w14:textId="77777777" w:rsidR="00560464" w:rsidRPr="00CA3A3D" w:rsidRDefault="00560464" w:rsidP="005E14F3">
      <w:pPr>
        <w:pStyle w:val="Prrafodelista"/>
        <w:spacing w:after="0"/>
        <w:contextualSpacing w:val="0"/>
        <w:rPr>
          <w:rFonts w:ascii="Garamond" w:eastAsia="Calibri" w:hAnsi="Garamond" w:cs="Times New Roman"/>
          <w:szCs w:val="20"/>
          <w:lang w:val="es-AR"/>
        </w:rPr>
      </w:pPr>
    </w:p>
    <w:p w14:paraId="16D86ECB" w14:textId="77777777" w:rsidR="00A03EA6" w:rsidRPr="00CA3A3D" w:rsidRDefault="00A03EA6">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la imposición de un interventor judicial para la administración societaria de la compañía operativa pertinente, o la ejecución de una parte sustancial de los activos de la compañía operativa pertinente en cumplimiento de una sentencia o de un reclamo; o</w:t>
      </w:r>
    </w:p>
    <w:p w14:paraId="34223B45" w14:textId="77777777" w:rsidR="00A95F13" w:rsidRPr="00CA3A3D" w:rsidRDefault="00A95F13" w:rsidP="005E14F3">
      <w:pPr>
        <w:pStyle w:val="ListBullet3SglJ"/>
        <w:numPr>
          <w:ilvl w:val="0"/>
          <w:numId w:val="0"/>
        </w:numPr>
        <w:spacing w:after="0"/>
        <w:ind w:left="1080"/>
        <w:rPr>
          <w:rFonts w:ascii="Garamond" w:eastAsia="Calibri" w:hAnsi="Garamond" w:cs="Times New Roman"/>
          <w:szCs w:val="20"/>
          <w:lang w:val="es-AR"/>
        </w:rPr>
      </w:pPr>
    </w:p>
    <w:p w14:paraId="225911B4" w14:textId="77777777" w:rsidR="00A03EA6" w:rsidRPr="00CA3A3D" w:rsidRDefault="00A03EA6">
      <w:pPr>
        <w:pStyle w:val="ListBullet3SglJ"/>
        <w:spacing w:after="0"/>
        <w:rPr>
          <w:rFonts w:ascii="Garamond" w:eastAsia="Calibri" w:hAnsi="Garamond" w:cs="Times New Roman"/>
          <w:szCs w:val="20"/>
          <w:lang w:val="es-AR"/>
        </w:rPr>
      </w:pPr>
      <w:r w:rsidRPr="00CA3A3D">
        <w:rPr>
          <w:rFonts w:ascii="Garamond" w:eastAsia="Calibri" w:hAnsi="Garamond" w:cs="Times New Roman"/>
          <w:szCs w:val="20"/>
          <w:lang w:val="es-AR"/>
        </w:rPr>
        <w:t>el incumplimiento sustancial y reiterado o prolongado por parte de las Compañías de suministrar la capacidad contratada sin justa causa.</w:t>
      </w:r>
    </w:p>
    <w:p w14:paraId="539CD7A1" w14:textId="77777777" w:rsidR="00A95F13" w:rsidRPr="00CA3A3D" w:rsidRDefault="00A95F13" w:rsidP="001E3DCC">
      <w:pPr>
        <w:pStyle w:val="BodyText2SglJ"/>
        <w:spacing w:after="0"/>
        <w:ind w:firstLine="0"/>
        <w:rPr>
          <w:rFonts w:ascii="Garamond" w:hAnsi="Garamond"/>
          <w:lang w:val="es-AR"/>
        </w:rPr>
      </w:pPr>
    </w:p>
    <w:p w14:paraId="72C1CDD4" w14:textId="21CA6F67" w:rsidR="00A03EA6" w:rsidRPr="00CA3A3D" w:rsidRDefault="00A03EA6" w:rsidP="001E3DCC">
      <w:pPr>
        <w:pStyle w:val="BodyText2SglJ"/>
        <w:spacing w:after="0"/>
        <w:ind w:firstLine="0"/>
        <w:rPr>
          <w:rFonts w:ascii="Garamond" w:hAnsi="Garamond"/>
          <w:lang w:val="es-AR"/>
        </w:rPr>
      </w:pPr>
      <w:r w:rsidRPr="00CA3A3D">
        <w:rPr>
          <w:rFonts w:ascii="Garamond" w:hAnsi="Garamond"/>
          <w:lang w:val="es-AR" w:eastAsia="en-US"/>
        </w:rPr>
        <w:t>Por lo tanto, cualquiera de las sanciones descriptas anteriormente podría tener un efecto significativo adverso sobre el flujo de efectivo, la situación patrimonial y los resultados de las operaciones de las Compañías y afectar su capacidad de realizar los pagos correspondientes a las Obligaciones Negociables.</w:t>
      </w:r>
    </w:p>
    <w:p w14:paraId="6A9A2604" w14:textId="77777777" w:rsidR="00EB7AD7" w:rsidRPr="00CA3A3D" w:rsidRDefault="00EB7AD7" w:rsidP="001E3DCC">
      <w:pPr>
        <w:spacing w:after="0" w:line="240" w:lineRule="auto"/>
        <w:jc w:val="both"/>
        <w:rPr>
          <w:rFonts w:ascii="Garamond" w:eastAsia="Calibri" w:hAnsi="Garamond" w:cs="Times New Roman"/>
          <w:sz w:val="20"/>
          <w:szCs w:val="20"/>
          <w:lang w:val="es-AR"/>
        </w:rPr>
      </w:pPr>
    </w:p>
    <w:p w14:paraId="4C4AB075" w14:textId="39911801" w:rsidR="00EB7AD7" w:rsidRPr="00CA3A3D" w:rsidRDefault="00EB7AD7" w:rsidP="001E3DCC">
      <w:pPr>
        <w:keepNext/>
        <w:spacing w:after="0" w:line="240" w:lineRule="auto"/>
        <w:jc w:val="both"/>
        <w:rPr>
          <w:rFonts w:ascii="Garamond" w:eastAsia="Calibri" w:hAnsi="Garamond" w:cs="Times New Roman"/>
          <w:b/>
          <w:bCs/>
          <w:i/>
          <w:iCs/>
          <w:color w:val="000000"/>
          <w:sz w:val="20"/>
          <w:szCs w:val="20"/>
          <w:lang w:val="es-AR" w:eastAsia="x-none"/>
        </w:rPr>
      </w:pPr>
      <w:r w:rsidRPr="00CA3A3D">
        <w:rPr>
          <w:rFonts w:ascii="Garamond" w:eastAsia="Calibri" w:hAnsi="Garamond" w:cs="Times New Roman"/>
          <w:b/>
          <w:bCs/>
          <w:i/>
          <w:iCs/>
          <w:color w:val="000000"/>
          <w:sz w:val="20"/>
          <w:szCs w:val="20"/>
          <w:lang w:val="es-AR" w:eastAsia="x-none"/>
        </w:rPr>
        <w:t>El resultado de las próximas elecciones en el país podría generar incertidumbre en la economía argentina y en consecuencia en los negocios y los resultados de las operaciones de las Compañías</w:t>
      </w:r>
      <w:r w:rsidR="007D751C" w:rsidRPr="00CA3A3D">
        <w:rPr>
          <w:rFonts w:ascii="Garamond" w:eastAsia="Calibri" w:hAnsi="Garamond" w:cs="Times New Roman"/>
          <w:b/>
          <w:bCs/>
          <w:i/>
          <w:iCs/>
          <w:color w:val="000000"/>
          <w:sz w:val="20"/>
          <w:szCs w:val="20"/>
          <w:lang w:val="es-AR" w:eastAsia="x-none"/>
        </w:rPr>
        <w:t>.</w:t>
      </w:r>
    </w:p>
    <w:p w14:paraId="3DD220FA" w14:textId="77777777" w:rsidR="00A95F13" w:rsidRPr="00CA3A3D" w:rsidRDefault="00A95F13" w:rsidP="001E3DCC">
      <w:pPr>
        <w:keepNext/>
        <w:spacing w:after="0" w:line="240" w:lineRule="auto"/>
        <w:jc w:val="both"/>
        <w:rPr>
          <w:rFonts w:ascii="Garamond" w:eastAsia="Calibri" w:hAnsi="Garamond" w:cs="Times New Roman"/>
          <w:sz w:val="20"/>
          <w:szCs w:val="20"/>
          <w:lang w:val="es-AR"/>
        </w:rPr>
      </w:pPr>
    </w:p>
    <w:p w14:paraId="63E9F9FF" w14:textId="77777777" w:rsidR="00BF71FE" w:rsidRPr="00CA3A3D" w:rsidRDefault="00EB7AD7" w:rsidP="001E3DCC">
      <w:pPr>
        <w:keepNext/>
        <w:spacing w:after="0" w:line="240" w:lineRule="auto"/>
        <w:jc w:val="both"/>
        <w:rPr>
          <w:rFonts w:ascii="Garamond" w:hAnsi="Garamond"/>
          <w:sz w:val="20"/>
          <w:szCs w:val="20"/>
          <w:lang w:val="es-AR"/>
        </w:rPr>
      </w:pPr>
      <w:r w:rsidRPr="00CA3A3D">
        <w:rPr>
          <w:rFonts w:ascii="Garamond" w:eastAsia="Calibri" w:hAnsi="Garamond" w:cs="Times New Roman"/>
          <w:sz w:val="20"/>
          <w:szCs w:val="20"/>
          <w:lang w:val="es-AR"/>
        </w:rPr>
        <w:t xml:space="preserve">En octubre de 2019 tendrán lugar las elecciones presidenciales, legislativas y de ciertos gobiernos municipales y provinciales de Argentina. La incertidumbre relativa a las campañas electorales en lo que hace a los resultados de las elecciones, o la incertidumbre respecto de si el nuevo Gobierno Argentino implementará cambios en las políticas o regulaciones, podrían afectar negativamente la economía argentina. </w:t>
      </w:r>
      <w:r w:rsidR="00BF71FE" w:rsidRPr="00CA3A3D">
        <w:rPr>
          <w:rFonts w:ascii="Garamond" w:hAnsi="Garamond"/>
          <w:sz w:val="20"/>
          <w:szCs w:val="20"/>
          <w:lang w:val="es-AR"/>
        </w:rPr>
        <w:t xml:space="preserve">A manera de ejemplo, el 29 de abril de 2019 el Comité de Política Monetaria del BCRA anunció la modificación de la política monetaria en el mercado cambiario, consistente en la revisión de los lineamientos de flotación administrada por bandas de tipo de cambio definidos el 1 de octubre de 2018, permitiendo en consecuencia la intervención del mercado cambiario en aquellos valores del Dólar estadounidense que se encuentren por fuera de las antiguas bandas y aumentando el monto máximo diario que el BCRA podrá destinar a la intervención del mercado cambiario con la finalidad de contener el tipo de cambio. Para más información, ver </w:t>
      </w:r>
      <w:r w:rsidR="00BF71FE" w:rsidRPr="00CA3A3D">
        <w:rPr>
          <w:rFonts w:ascii="Garamond" w:hAnsi="Garamond"/>
          <w:i/>
          <w:iCs/>
          <w:sz w:val="20"/>
          <w:szCs w:val="20"/>
          <w:lang w:val="es-AR"/>
        </w:rPr>
        <w:t>“Factores de Riesgo – Riesgos Relaciones Con la Argentina”</w:t>
      </w:r>
      <w:r w:rsidR="00BF71FE" w:rsidRPr="00CA3A3D">
        <w:rPr>
          <w:rFonts w:ascii="Garamond" w:hAnsi="Garamond"/>
          <w:sz w:val="20"/>
          <w:szCs w:val="20"/>
          <w:lang w:val="es-AR"/>
        </w:rPr>
        <w:t xml:space="preserve"> en el Prospecto.</w:t>
      </w:r>
    </w:p>
    <w:p w14:paraId="0BB73B67" w14:textId="77777777" w:rsidR="00BF71FE" w:rsidRPr="00CA3A3D" w:rsidRDefault="00BF71FE" w:rsidP="001E3DCC">
      <w:pPr>
        <w:keepNext/>
        <w:spacing w:after="0" w:line="240" w:lineRule="auto"/>
        <w:jc w:val="both"/>
        <w:rPr>
          <w:rFonts w:ascii="Garamond" w:hAnsi="Garamond"/>
          <w:sz w:val="20"/>
          <w:szCs w:val="20"/>
          <w:lang w:val="es-AR"/>
        </w:rPr>
      </w:pPr>
    </w:p>
    <w:p w14:paraId="6B387067" w14:textId="57412EAC" w:rsidR="00EB7AD7" w:rsidRPr="00CA3A3D" w:rsidRDefault="00EB7AD7" w:rsidP="001E3DCC">
      <w:pPr>
        <w:keepNext/>
        <w:spacing w:after="0" w:line="240" w:lineRule="auto"/>
        <w:jc w:val="both"/>
        <w:rPr>
          <w:rFonts w:ascii="Garamond" w:eastAsia="Calibri" w:hAnsi="Garamond" w:cs="Times New Roman"/>
          <w:sz w:val="20"/>
          <w:szCs w:val="20"/>
          <w:lang w:val="es-AR"/>
        </w:rPr>
      </w:pPr>
      <w:r w:rsidRPr="00CA3A3D">
        <w:rPr>
          <w:rFonts w:ascii="Garamond" w:eastAsia="Calibri" w:hAnsi="Garamond" w:cs="Times New Roman"/>
          <w:sz w:val="20"/>
          <w:szCs w:val="20"/>
          <w:lang w:val="es-AR"/>
        </w:rPr>
        <w:t>El Gobierno Argentino en todos sus niveles y a través de sus distintos organismos, cuenta con facultades considerables para fijar las políticas de gobierno y las medidas relacionadas con la economía argentina y, en consecuencia, los resultados de las operaciones o la situación patrimonial de las Compañías podrían verse afectados. Las Compañías no pueden garantizar que las políticas que el Gobierno Argentino pueda implementar luego de dichas elecciones no afectarán negativamente su negocio, su situación patrimonial y los resultados de sus operaciones.</w:t>
      </w:r>
      <w:r w:rsidR="008F2D14" w:rsidRPr="00CA3A3D">
        <w:rPr>
          <w:rFonts w:ascii="Garamond" w:eastAsia="Calibri" w:hAnsi="Garamond" w:cs="Times New Roman"/>
          <w:sz w:val="20"/>
          <w:szCs w:val="20"/>
          <w:lang w:val="es-AR"/>
        </w:rPr>
        <w:t xml:space="preserve"> En particular, no hay certeza con respecto a las medidas que podría tomar un gobierno futuro con respecto a los programas y políticas del sector energético.</w:t>
      </w:r>
    </w:p>
    <w:p w14:paraId="7BC2AF30" w14:textId="77777777" w:rsidR="00C00B7B" w:rsidRPr="00CA3A3D" w:rsidRDefault="00C00B7B" w:rsidP="001E3DCC">
      <w:pPr>
        <w:keepNext/>
        <w:spacing w:after="0" w:line="240" w:lineRule="auto"/>
        <w:jc w:val="both"/>
        <w:rPr>
          <w:rFonts w:ascii="Garamond" w:eastAsia="Calibri" w:hAnsi="Garamond" w:cs="Times New Roman"/>
          <w:sz w:val="20"/>
          <w:szCs w:val="20"/>
          <w:lang w:val="es-AR"/>
        </w:rPr>
      </w:pPr>
    </w:p>
    <w:p w14:paraId="6E059BF1" w14:textId="05D1FA6D" w:rsidR="00676512" w:rsidRPr="00CA0A60" w:rsidRDefault="00676512" w:rsidP="00676512">
      <w:pPr>
        <w:keepNext/>
        <w:spacing w:after="0" w:line="240" w:lineRule="auto"/>
        <w:jc w:val="both"/>
        <w:rPr>
          <w:rFonts w:ascii="Garamond" w:eastAsia="Calibri" w:hAnsi="Garamond" w:cs="Times New Roman"/>
          <w:b/>
          <w:bCs/>
          <w:i/>
          <w:iCs/>
          <w:sz w:val="20"/>
          <w:szCs w:val="20"/>
          <w:lang w:val="es-AR"/>
        </w:rPr>
      </w:pPr>
      <w:r w:rsidRPr="00713D6E">
        <w:rPr>
          <w:rFonts w:ascii="Garamond" w:eastAsia="Calibri" w:hAnsi="Garamond" w:cs="Times New Roman"/>
          <w:b/>
          <w:bCs/>
          <w:i/>
          <w:iCs/>
          <w:sz w:val="20"/>
          <w:szCs w:val="20"/>
          <w:lang w:val="es-AR"/>
        </w:rPr>
        <w:t>Una disminución en la calificación crediticia o en la perspectiva de calificación de Argentina po</w:t>
      </w:r>
      <w:r w:rsidRPr="00CA0A60">
        <w:rPr>
          <w:rFonts w:ascii="Garamond" w:eastAsia="Calibri" w:hAnsi="Garamond" w:cs="Times New Roman"/>
          <w:b/>
          <w:bCs/>
          <w:i/>
          <w:iCs/>
          <w:sz w:val="20"/>
          <w:szCs w:val="20"/>
          <w:lang w:val="es-AR"/>
        </w:rPr>
        <w:t xml:space="preserve">dría afectar la calificación de </w:t>
      </w:r>
      <w:r w:rsidR="00D96B1E" w:rsidRPr="00CA0A60">
        <w:rPr>
          <w:rFonts w:ascii="Garamond" w:eastAsia="Calibri" w:hAnsi="Garamond" w:cs="Times New Roman"/>
          <w:b/>
          <w:bCs/>
          <w:i/>
          <w:iCs/>
          <w:sz w:val="20"/>
          <w:szCs w:val="20"/>
          <w:lang w:val="es-AR"/>
        </w:rPr>
        <w:t>los</w:t>
      </w:r>
      <w:r w:rsidRPr="00CA0A60">
        <w:rPr>
          <w:rFonts w:ascii="Garamond" w:eastAsia="Calibri" w:hAnsi="Garamond" w:cs="Times New Roman"/>
          <w:b/>
          <w:bCs/>
          <w:i/>
          <w:iCs/>
          <w:sz w:val="20"/>
          <w:szCs w:val="20"/>
          <w:lang w:val="es-AR"/>
        </w:rPr>
        <w:t xml:space="preserve"> títulos valores </w:t>
      </w:r>
      <w:r w:rsidR="00D96B1E" w:rsidRPr="00CA0A60">
        <w:rPr>
          <w:rFonts w:ascii="Garamond" w:eastAsia="Calibri" w:hAnsi="Garamond" w:cs="Times New Roman"/>
          <w:b/>
          <w:bCs/>
          <w:i/>
          <w:iCs/>
          <w:sz w:val="20"/>
          <w:szCs w:val="20"/>
          <w:lang w:val="es-AR"/>
        </w:rPr>
        <w:t xml:space="preserve">de las Co-Emisoras </w:t>
      </w:r>
      <w:r w:rsidRPr="00CA0A60">
        <w:rPr>
          <w:rFonts w:ascii="Garamond" w:eastAsia="Calibri" w:hAnsi="Garamond" w:cs="Times New Roman"/>
          <w:b/>
          <w:bCs/>
          <w:i/>
          <w:iCs/>
          <w:sz w:val="20"/>
          <w:szCs w:val="20"/>
          <w:lang w:val="es-AR"/>
        </w:rPr>
        <w:t>o tener un efecto negativo en el precio de mercado de s</w:t>
      </w:r>
      <w:r w:rsidR="00D96B1E" w:rsidRPr="00CA0A60">
        <w:rPr>
          <w:rFonts w:ascii="Garamond" w:eastAsia="Calibri" w:hAnsi="Garamond" w:cs="Times New Roman"/>
          <w:b/>
          <w:bCs/>
          <w:i/>
          <w:iCs/>
          <w:sz w:val="20"/>
          <w:szCs w:val="20"/>
          <w:lang w:val="es-AR"/>
        </w:rPr>
        <w:t>us</w:t>
      </w:r>
      <w:r w:rsidRPr="00CA0A60">
        <w:rPr>
          <w:rFonts w:ascii="Garamond" w:eastAsia="Calibri" w:hAnsi="Garamond" w:cs="Times New Roman"/>
          <w:b/>
          <w:bCs/>
          <w:i/>
          <w:iCs/>
          <w:sz w:val="20"/>
          <w:szCs w:val="20"/>
          <w:lang w:val="es-AR"/>
        </w:rPr>
        <w:t xml:space="preserve"> títulos valores.</w:t>
      </w:r>
    </w:p>
    <w:p w14:paraId="7188A51A" w14:textId="77777777" w:rsidR="00676512" w:rsidRPr="00CA0A60" w:rsidRDefault="00676512" w:rsidP="00676512">
      <w:pPr>
        <w:keepNext/>
        <w:spacing w:after="0" w:line="240" w:lineRule="auto"/>
        <w:jc w:val="both"/>
        <w:rPr>
          <w:rFonts w:ascii="Garamond" w:eastAsia="Calibri" w:hAnsi="Garamond" w:cs="Times New Roman"/>
          <w:b/>
          <w:bCs/>
          <w:i/>
          <w:iCs/>
          <w:sz w:val="20"/>
          <w:szCs w:val="20"/>
          <w:lang w:val="es-AR"/>
        </w:rPr>
      </w:pPr>
    </w:p>
    <w:p w14:paraId="5B5833E4" w14:textId="627588D0" w:rsidR="00676512" w:rsidRPr="00CA0A60" w:rsidRDefault="00676512" w:rsidP="00676512">
      <w:pPr>
        <w:keepNext/>
        <w:spacing w:after="0" w:line="240" w:lineRule="auto"/>
        <w:jc w:val="both"/>
        <w:rPr>
          <w:rFonts w:ascii="Garamond" w:eastAsia="Calibri" w:hAnsi="Garamond" w:cs="Times New Roman"/>
          <w:sz w:val="20"/>
          <w:szCs w:val="20"/>
          <w:lang w:val="es-AR"/>
        </w:rPr>
      </w:pPr>
      <w:r w:rsidRPr="00CA0A60">
        <w:rPr>
          <w:rFonts w:ascii="Garamond" w:eastAsia="Calibri" w:hAnsi="Garamond" w:cs="Times New Roman"/>
          <w:sz w:val="20"/>
          <w:szCs w:val="20"/>
          <w:lang w:val="es-AR"/>
        </w:rPr>
        <w:t>En la actualidad, Moody’s le otorga a la deuda en moneda extranjera a largo plazo de Argentina una calificación “B2”, S&amp;P la califica como “B”, y Fitch, como “B”. Moody’s mantiene actualmente una perspectiva</w:t>
      </w:r>
      <w:r w:rsidR="00F16FB9">
        <w:rPr>
          <w:rFonts w:ascii="Garamond" w:eastAsia="Calibri" w:hAnsi="Garamond" w:cs="Times New Roman"/>
          <w:sz w:val="20"/>
          <w:szCs w:val="20"/>
          <w:lang w:val="es-AR"/>
        </w:rPr>
        <w:t xml:space="preserve"> negativa y </w:t>
      </w:r>
      <w:r w:rsidRPr="00CA0A60">
        <w:rPr>
          <w:rFonts w:ascii="Garamond" w:eastAsia="Calibri" w:hAnsi="Garamond" w:cs="Times New Roman"/>
          <w:sz w:val="20"/>
          <w:szCs w:val="20"/>
          <w:lang w:val="es-AR"/>
        </w:rPr>
        <w:t xml:space="preserve"> Fitch </w:t>
      </w:r>
      <w:r w:rsidR="00F16FB9">
        <w:rPr>
          <w:rFonts w:ascii="Garamond" w:eastAsia="Calibri" w:hAnsi="Garamond" w:cs="Times New Roman"/>
          <w:sz w:val="20"/>
          <w:szCs w:val="20"/>
          <w:lang w:val="es-AR"/>
        </w:rPr>
        <w:t>también mantiene una perspectiva</w:t>
      </w:r>
      <w:r w:rsidRPr="00CA0A60">
        <w:rPr>
          <w:rFonts w:ascii="Garamond" w:eastAsia="Calibri" w:hAnsi="Garamond" w:cs="Times New Roman"/>
          <w:sz w:val="20"/>
          <w:szCs w:val="20"/>
          <w:lang w:val="es-AR"/>
        </w:rPr>
        <w:t xml:space="preserve"> negativa </w:t>
      </w:r>
      <w:r w:rsidR="00F16FB9">
        <w:rPr>
          <w:rFonts w:ascii="Garamond" w:eastAsia="Calibri" w:hAnsi="Garamond" w:cs="Times New Roman"/>
          <w:sz w:val="20"/>
          <w:szCs w:val="20"/>
          <w:lang w:val="es-AR"/>
        </w:rPr>
        <w:t xml:space="preserve">en relación a </w:t>
      </w:r>
      <w:r w:rsidRPr="00CA0A60">
        <w:rPr>
          <w:rFonts w:ascii="Garamond" w:eastAsia="Calibri" w:hAnsi="Garamond" w:cs="Times New Roman"/>
          <w:sz w:val="20"/>
          <w:szCs w:val="20"/>
          <w:lang w:val="es-AR"/>
        </w:rPr>
        <w:t xml:space="preserve">la deuda soberana a largo y corto plazo de Argentina. No se puede asegurar que la calificación crediticia o la perspectiva de calificación de Argentina no </w:t>
      </w:r>
      <w:r w:rsidRPr="00CA0A60">
        <w:rPr>
          <w:rFonts w:ascii="Garamond" w:eastAsia="Calibri" w:hAnsi="Garamond" w:cs="Times New Roman"/>
          <w:sz w:val="20"/>
          <w:szCs w:val="20"/>
          <w:lang w:val="es-AR"/>
        </w:rPr>
        <w:lastRenderedPageBreak/>
        <w:t xml:space="preserve">será reducida en el futuro, lo cual podría afectar de manera negativa la calificación o el precio de mercado de </w:t>
      </w:r>
      <w:r w:rsidR="00F16FB9">
        <w:rPr>
          <w:rFonts w:ascii="Garamond" w:eastAsia="Calibri" w:hAnsi="Garamond" w:cs="Times New Roman"/>
          <w:sz w:val="20"/>
          <w:szCs w:val="20"/>
          <w:lang w:val="es-AR"/>
        </w:rPr>
        <w:t xml:space="preserve">los </w:t>
      </w:r>
      <w:r w:rsidRPr="00CA0A60">
        <w:rPr>
          <w:rFonts w:ascii="Garamond" w:eastAsia="Calibri" w:hAnsi="Garamond" w:cs="Times New Roman"/>
          <w:sz w:val="20"/>
          <w:szCs w:val="20"/>
          <w:lang w:val="es-AR"/>
        </w:rPr>
        <w:t>títulos valores</w:t>
      </w:r>
      <w:r w:rsidR="00F16FB9">
        <w:rPr>
          <w:rFonts w:ascii="Garamond" w:eastAsia="Calibri" w:hAnsi="Garamond" w:cs="Times New Roman"/>
          <w:sz w:val="20"/>
          <w:szCs w:val="20"/>
          <w:lang w:val="es-AR"/>
        </w:rPr>
        <w:t xml:space="preserve"> de las Compañías</w:t>
      </w:r>
      <w:r w:rsidRPr="00CA0A60">
        <w:rPr>
          <w:rFonts w:ascii="Garamond" w:eastAsia="Calibri" w:hAnsi="Garamond" w:cs="Times New Roman"/>
          <w:sz w:val="20"/>
          <w:szCs w:val="20"/>
          <w:lang w:val="es-AR"/>
        </w:rPr>
        <w:t>.</w:t>
      </w:r>
    </w:p>
    <w:p w14:paraId="5CEDE7C7" w14:textId="77777777" w:rsidR="00D96B1E" w:rsidRPr="00CA0A60" w:rsidRDefault="00D96B1E" w:rsidP="00676512">
      <w:pPr>
        <w:keepNext/>
        <w:spacing w:after="0" w:line="240" w:lineRule="auto"/>
        <w:jc w:val="both"/>
        <w:rPr>
          <w:rFonts w:ascii="Garamond" w:eastAsia="Calibri" w:hAnsi="Garamond" w:cs="Times New Roman"/>
          <w:sz w:val="20"/>
          <w:szCs w:val="20"/>
          <w:lang w:val="es-AR"/>
        </w:rPr>
      </w:pPr>
    </w:p>
    <w:p w14:paraId="08C3E8C7" w14:textId="0F20333D" w:rsidR="0039201D" w:rsidRPr="00CA3A3D" w:rsidRDefault="0039201D" w:rsidP="00B638F6">
      <w:pPr>
        <w:pStyle w:val="TitleBI"/>
        <w:spacing w:after="0"/>
        <w:jc w:val="both"/>
        <w:rPr>
          <w:rFonts w:ascii="Garamond" w:hAnsi="Garamond"/>
          <w:bCs/>
          <w:iCs/>
          <w:color w:val="000000"/>
          <w:lang w:val="es-AR"/>
        </w:rPr>
      </w:pPr>
      <w:r w:rsidRPr="00CA3A3D">
        <w:rPr>
          <w:rFonts w:ascii="Garamond" w:hAnsi="Garamond"/>
          <w:bCs/>
          <w:iCs/>
          <w:color w:val="000000"/>
          <w:lang w:val="es-AR"/>
        </w:rPr>
        <w:t>Las Compañías están sujetas a leyes y reglamentaciones en materia de prevención contra la corrupción, sobornos, lavado de activos y defensa de la competencia en Argentina, y la violación de cualquiera de esas leyes o reglamentaciones podría tener un impacto adverso significativo sobre la reputación y los resultados de las operaciones de las Compañías.</w:t>
      </w:r>
    </w:p>
    <w:p w14:paraId="4F24943C" w14:textId="77777777" w:rsidR="00A95F13" w:rsidRPr="00CA3A3D" w:rsidRDefault="00A95F13" w:rsidP="005E14F3">
      <w:pPr>
        <w:spacing w:after="0" w:line="240" w:lineRule="auto"/>
        <w:ind w:firstLine="708"/>
        <w:rPr>
          <w:lang w:val="es-AR"/>
        </w:rPr>
      </w:pPr>
    </w:p>
    <w:p w14:paraId="2D4A2A1A" w14:textId="615A69F3" w:rsidR="0039201D" w:rsidRPr="00CA3A3D" w:rsidRDefault="0039201D" w:rsidP="00B638F6">
      <w:pPr>
        <w:pStyle w:val="BodyText2SglJ"/>
        <w:spacing w:after="0"/>
        <w:ind w:firstLine="0"/>
        <w:rPr>
          <w:rFonts w:ascii="Garamond" w:hAnsi="Garamond"/>
          <w:lang w:val="es-AR"/>
        </w:rPr>
      </w:pPr>
      <w:r w:rsidRPr="00CA3A3D">
        <w:rPr>
          <w:rFonts w:ascii="Garamond" w:hAnsi="Garamond"/>
          <w:lang w:val="es-AR" w:eastAsia="en-US"/>
        </w:rPr>
        <w:t>Las entidades controladas por el Gobierno Nacional, o en las que el Gobierno Nacional detenta una participación, constituyen los clientes principales de las Compañías. Las Compañías están sujetas a leyes y reglamentaciones en materia de prevención de la corrupción, sobornos, lavado de activos, defensa de la competencia y demás leyes y reglamentaciones internacionales y están obligadas a cumplir con las leyes y reglamentaciones aplicables de Argentina. A su vez, están sujetas a reglamentaciones en materia de sanciones económicas que restringen sus negociaciones con ciertos países, personas físicas y jurídicas objeto de sanciones. No puede garantizarse que las políticas y los procedimientos internos de las Compañías serán suficientes para prevenir o detectar todas las prácticas indebidas, fraudes o violaciones de leyes por cualquiera de las afiliadas, empleados, directores, funcionarios, socios, agentes y prestadores de servicios de las Compañías o que ninguna de esas personas adoptará medidas en incumplimiento de esas políticas y procedimientos. La violación por parte de las Compañías de las leyes antisoborno y anticorrupción o las reglamentaciones en materia de sanciones podría tener un efecto adverso significativo sobre sus negocios o reputación o sobre los resultados de sus operaciones.</w:t>
      </w:r>
    </w:p>
    <w:p w14:paraId="6AD9664E" w14:textId="77777777" w:rsidR="00A95F13" w:rsidRPr="00CA3A3D" w:rsidRDefault="00A95F13" w:rsidP="001E3DCC">
      <w:pPr>
        <w:pStyle w:val="BodyText2SglJ"/>
        <w:spacing w:after="0"/>
        <w:ind w:firstLine="0"/>
        <w:rPr>
          <w:rFonts w:ascii="Garamond" w:hAnsi="Garamond"/>
          <w:lang w:val="es-AR"/>
        </w:rPr>
      </w:pPr>
    </w:p>
    <w:p w14:paraId="59948557" w14:textId="34B7D90E" w:rsidR="003504C7" w:rsidRPr="00CA3A3D" w:rsidRDefault="003504C7">
      <w:pPr>
        <w:pStyle w:val="TitleBI"/>
        <w:spacing w:after="0"/>
        <w:jc w:val="both"/>
        <w:rPr>
          <w:rFonts w:ascii="Garamond" w:hAnsi="Garamond"/>
          <w:bCs/>
          <w:iCs/>
          <w:color w:val="000000"/>
          <w:lang w:val="es-AR"/>
        </w:rPr>
      </w:pPr>
      <w:r w:rsidRPr="00CA3A3D">
        <w:rPr>
          <w:rFonts w:ascii="Garamond" w:hAnsi="Garamond"/>
          <w:bCs/>
          <w:iCs/>
          <w:color w:val="000000"/>
          <w:lang w:val="es-AR"/>
        </w:rPr>
        <w:t>Las sentencias de tribunales argentinos tendientes a hacer cumplir obligaciones denominadas en moneda extranjera pueden ordenar el pago en Pesos Argentinos.</w:t>
      </w:r>
    </w:p>
    <w:p w14:paraId="6BF7610E" w14:textId="77777777" w:rsidR="00A95F13" w:rsidRPr="00CA3A3D" w:rsidRDefault="00A95F13" w:rsidP="00002289">
      <w:pPr>
        <w:keepNext/>
        <w:spacing w:after="0"/>
        <w:rPr>
          <w:lang w:val="es-AR"/>
        </w:rPr>
      </w:pPr>
    </w:p>
    <w:p w14:paraId="457AE879" w14:textId="649F715B" w:rsidR="003504C7" w:rsidRPr="00CA3A3D" w:rsidRDefault="003504C7" w:rsidP="00002289">
      <w:pPr>
        <w:pStyle w:val="BodyText2SglJ"/>
        <w:keepNext/>
        <w:spacing w:after="0"/>
        <w:ind w:firstLine="0"/>
        <w:rPr>
          <w:rFonts w:ascii="Garamond" w:hAnsi="Garamond"/>
          <w:lang w:val="es-AR"/>
        </w:rPr>
      </w:pPr>
      <w:r w:rsidRPr="00CA3A3D">
        <w:rPr>
          <w:rFonts w:ascii="Garamond" w:hAnsi="Garamond"/>
          <w:lang w:val="es-AR" w:eastAsia="en-US"/>
        </w:rPr>
        <w:t>Si se iniciaran procedimientos ante los tribunales argentinos con el objeto de hacer valer las obligaciones de las Compañías bajo las Obligaciones Negociables Clase II o l</w:t>
      </w:r>
      <w:r w:rsidR="007D751C" w:rsidRPr="00CA3A3D">
        <w:rPr>
          <w:rFonts w:ascii="Garamond" w:hAnsi="Garamond"/>
          <w:lang w:val="es-AR" w:eastAsia="en-US"/>
        </w:rPr>
        <w:t>o</w:t>
      </w:r>
      <w:r w:rsidRPr="00CA3A3D">
        <w:rPr>
          <w:rFonts w:ascii="Garamond" w:hAnsi="Garamond"/>
          <w:lang w:val="es-AR" w:eastAsia="en-US"/>
        </w:rPr>
        <w:t xml:space="preserve">s </w:t>
      </w:r>
      <w:r w:rsidR="002A04E0">
        <w:rPr>
          <w:rFonts w:ascii="Garamond" w:hAnsi="Garamond"/>
          <w:lang w:val="es-AR" w:eastAsia="en-US"/>
        </w:rPr>
        <w:t>Derechos de Garantía</w:t>
      </w:r>
      <w:r w:rsidRPr="00CA3A3D">
        <w:rPr>
          <w:rFonts w:ascii="Garamond" w:hAnsi="Garamond"/>
          <w:lang w:val="es-AR" w:eastAsia="en-US"/>
        </w:rPr>
        <w:t>, estas obligaciones podrían resultar pagaderas en Pesos Argentinos por una suma equivalente al monto de Pesos Argentinos requerido para cancelar la obligación denominada en moneda extranjera bajo los términos acordados y sujeto a la ley aplicable o, alternativamente, según el tipo de cambio del peso argentino-dólar estadounidense vigente al momento del pago. No es posible asegurar que dichos tipos de cambio brindarán a los inversores una compensación total del monto invertido en las obligaciones negociables con más los intereses devengados.</w:t>
      </w:r>
    </w:p>
    <w:p w14:paraId="25DC539F" w14:textId="77777777" w:rsidR="00A95F13" w:rsidRPr="00CA3A3D" w:rsidRDefault="00A95F13" w:rsidP="001E3DCC">
      <w:pPr>
        <w:pStyle w:val="BodyText2SglJ"/>
        <w:spacing w:after="0"/>
        <w:ind w:firstLine="0"/>
        <w:rPr>
          <w:rFonts w:ascii="Garamond" w:hAnsi="Garamond"/>
          <w:lang w:val="es-AR"/>
        </w:rPr>
      </w:pPr>
    </w:p>
    <w:p w14:paraId="6E1E56BD" w14:textId="4E8B255F" w:rsidR="00C7624D" w:rsidRPr="00CA0A60" w:rsidRDefault="00C7624D" w:rsidP="001E3DCC">
      <w:pPr>
        <w:keepNext/>
        <w:spacing w:after="0" w:line="240" w:lineRule="auto"/>
        <w:jc w:val="both"/>
        <w:rPr>
          <w:rFonts w:ascii="Garamond" w:eastAsia="Calibri" w:hAnsi="Garamond" w:cs="Times New Roman"/>
          <w:b/>
          <w:i/>
          <w:sz w:val="20"/>
          <w:szCs w:val="20"/>
          <w:lang w:val="es-AR"/>
        </w:rPr>
      </w:pPr>
      <w:r w:rsidRPr="00CA0A60">
        <w:rPr>
          <w:rFonts w:ascii="Garamond" w:eastAsia="Calibri" w:hAnsi="Garamond" w:cs="Times New Roman"/>
          <w:b/>
          <w:i/>
          <w:sz w:val="20"/>
          <w:szCs w:val="20"/>
          <w:lang w:val="es-AR"/>
        </w:rPr>
        <w:t>La reputación de las Co-Emisoras podría verse afectada negativamente por el Proceso Penal</w:t>
      </w:r>
      <w:r w:rsidR="007D751C" w:rsidRPr="00713D6E">
        <w:rPr>
          <w:rFonts w:ascii="Garamond" w:eastAsia="Calibri" w:hAnsi="Garamond" w:cs="Times New Roman"/>
          <w:b/>
          <w:i/>
          <w:sz w:val="20"/>
          <w:szCs w:val="20"/>
          <w:lang w:val="es-AR"/>
        </w:rPr>
        <w:t>.</w:t>
      </w:r>
    </w:p>
    <w:p w14:paraId="63E83F18" w14:textId="77777777" w:rsidR="00A95F13" w:rsidRPr="00CA0A60" w:rsidRDefault="00A95F13" w:rsidP="001E3DCC">
      <w:pPr>
        <w:keepNext/>
        <w:spacing w:after="0" w:line="240" w:lineRule="auto"/>
        <w:jc w:val="both"/>
        <w:rPr>
          <w:rFonts w:ascii="Garamond" w:eastAsia="Calibri" w:hAnsi="Garamond" w:cs="Times New Roman"/>
          <w:b/>
          <w:i/>
          <w:sz w:val="20"/>
          <w:szCs w:val="20"/>
          <w:lang w:val="es-AR"/>
        </w:rPr>
      </w:pPr>
    </w:p>
    <w:p w14:paraId="2FF33F2D" w14:textId="77777777" w:rsidR="00C7624D" w:rsidRPr="00CA0A60" w:rsidRDefault="00C7624D" w:rsidP="001E3DCC">
      <w:pPr>
        <w:keepNext/>
        <w:spacing w:after="0" w:line="240" w:lineRule="auto"/>
        <w:jc w:val="both"/>
        <w:rPr>
          <w:rFonts w:ascii="Garamond" w:eastAsia="Calibri" w:hAnsi="Garamond" w:cs="Times New Roman"/>
          <w:sz w:val="20"/>
          <w:szCs w:val="20"/>
          <w:lang w:val="es-AR"/>
        </w:rPr>
      </w:pPr>
      <w:r w:rsidRPr="00CA0A60">
        <w:rPr>
          <w:rFonts w:ascii="Garamond" w:eastAsia="Calibri" w:hAnsi="Garamond" w:cs="Times New Roman"/>
          <w:sz w:val="20"/>
          <w:szCs w:val="20"/>
          <w:lang w:val="es-AR"/>
        </w:rPr>
        <w:t xml:space="preserve">El Sr. Armando Roberto Losón, quien se desempeñó como presidente de las sociedades que conforman el Grupo Albanesi hasta el 7 de agosto de 2018 (fecha en la que cada órgano de administración aceptó la renuncia a su cargo) y quien continúa siendo el accionista controlante de las Compañías, es una de las partes involucradas en el Proceso Penal. En tal medida, la reputación de las Co-Emisoras podría verse afectada negativamente como resultado de la existencia de la misma y las imputaciones realizadas al Sr. Armando Roberto Losón. </w:t>
      </w:r>
    </w:p>
    <w:p w14:paraId="6FBAD364" w14:textId="77777777" w:rsidR="00A95F13" w:rsidRPr="00CA0A60" w:rsidRDefault="00A95F13" w:rsidP="001E3DCC">
      <w:pPr>
        <w:keepNext/>
        <w:spacing w:after="0" w:line="240" w:lineRule="auto"/>
        <w:jc w:val="both"/>
        <w:rPr>
          <w:rFonts w:ascii="Garamond" w:eastAsia="Calibri" w:hAnsi="Garamond" w:cs="Times New Roman"/>
          <w:sz w:val="20"/>
          <w:szCs w:val="20"/>
          <w:lang w:val="es-AR"/>
        </w:rPr>
      </w:pPr>
    </w:p>
    <w:p w14:paraId="6FAA372A" w14:textId="77777777" w:rsidR="00C7624D" w:rsidRPr="00CA0A60" w:rsidRDefault="00C7624D" w:rsidP="001E3DCC">
      <w:pPr>
        <w:keepNext/>
        <w:spacing w:after="0" w:line="240" w:lineRule="auto"/>
        <w:jc w:val="both"/>
        <w:rPr>
          <w:rFonts w:ascii="Garamond" w:eastAsia="Calibri" w:hAnsi="Garamond" w:cs="Times New Roman"/>
          <w:sz w:val="20"/>
          <w:szCs w:val="20"/>
          <w:lang w:val="es-AR"/>
        </w:rPr>
      </w:pPr>
      <w:r w:rsidRPr="00CA0A60">
        <w:rPr>
          <w:rFonts w:ascii="Garamond" w:eastAsia="Calibri" w:hAnsi="Garamond" w:cs="Times New Roman"/>
          <w:sz w:val="20"/>
          <w:szCs w:val="20"/>
          <w:lang w:val="es-AR"/>
        </w:rPr>
        <w:t>La reputación de las Co-Emisoras es un factor clave para su participación en diversas licitaciones públicas, en la disposición de los jugadores clave de la industria para asociarse con estas, en las relaciones con entidades financieras para obtener nuevas fuentes de financiamiento y en los procesos de reclutamiento y retención de personal talentoso. La realización del Proceso Penal podría afectar negativamente el negocio de las Co-Emisoras.</w:t>
      </w:r>
    </w:p>
    <w:p w14:paraId="5DC4596E" w14:textId="77777777" w:rsidR="00354069" w:rsidRPr="00CA0A60" w:rsidRDefault="00354069" w:rsidP="00354069">
      <w:pPr>
        <w:rPr>
          <w:rFonts w:ascii="Times New Roman" w:eastAsia="MS Mincho" w:hAnsi="Times New Roman" w:cs="Times New Roman"/>
          <w:sz w:val="24"/>
          <w:szCs w:val="20"/>
          <w:lang w:val="es-AR" w:eastAsia="es-ES"/>
        </w:rPr>
      </w:pPr>
      <w:r w:rsidRPr="00CA0A60">
        <w:rPr>
          <w:rFonts w:ascii="Times New Roman" w:eastAsia="MS Mincho" w:hAnsi="Times New Roman" w:cs="Times New Roman"/>
          <w:sz w:val="24"/>
          <w:szCs w:val="20"/>
          <w:lang w:val="es-AR" w:eastAsia="es-ES"/>
        </w:rPr>
        <w:br w:type="page"/>
      </w:r>
    </w:p>
    <w:p w14:paraId="028D90FB" w14:textId="77777777" w:rsidR="00354069" w:rsidRPr="00CA0A60" w:rsidRDefault="00354069" w:rsidP="00060DAB">
      <w:pPr>
        <w:widowControl w:val="0"/>
        <w:spacing w:before="120" w:after="120" w:line="240" w:lineRule="auto"/>
        <w:jc w:val="center"/>
        <w:outlineLvl w:val="0"/>
        <w:rPr>
          <w:rFonts w:ascii="Garamond" w:eastAsia="MS Mincho" w:hAnsi="Garamond" w:cs="Times New Roman"/>
          <w:sz w:val="24"/>
          <w:szCs w:val="20"/>
          <w:lang w:val="es-AR" w:eastAsia="es-ES"/>
        </w:rPr>
      </w:pPr>
      <w:bookmarkStart w:id="91" w:name="_Toc14922247"/>
      <w:r w:rsidRPr="00CA0A60">
        <w:rPr>
          <w:rFonts w:ascii="Garamond" w:eastAsia="MS Mincho" w:hAnsi="Garamond" w:cs="Times New Roman"/>
          <w:b/>
          <w:sz w:val="24"/>
          <w:szCs w:val="20"/>
          <w:lang w:val="es-AR" w:eastAsia="es-ES"/>
        </w:rPr>
        <w:lastRenderedPageBreak/>
        <w:t>INFORMACIÓN FINANCIERA</w:t>
      </w:r>
      <w:bookmarkEnd w:id="91"/>
    </w:p>
    <w:p w14:paraId="71E9947C" w14:textId="77777777" w:rsidR="00354069" w:rsidRPr="00CA0A60" w:rsidRDefault="00354069" w:rsidP="00060DAB">
      <w:pPr>
        <w:spacing w:before="120" w:after="120" w:line="240" w:lineRule="auto"/>
        <w:rPr>
          <w:rFonts w:ascii="Garamond" w:eastAsia="MS Mincho" w:hAnsi="Garamond" w:cs="Times New Roman"/>
          <w:sz w:val="20"/>
          <w:szCs w:val="20"/>
          <w:lang w:val="es-AR" w:eastAsia="es-ES"/>
        </w:rPr>
      </w:pPr>
    </w:p>
    <w:p w14:paraId="536D1E57" w14:textId="4B454CFE" w:rsidR="00D31D22" w:rsidRPr="00CA0A60" w:rsidRDefault="00D31D22" w:rsidP="00D31D22">
      <w:pPr>
        <w:spacing w:after="0" w:line="240" w:lineRule="auto"/>
        <w:jc w:val="both"/>
        <w:rPr>
          <w:rFonts w:ascii="Garamond" w:hAnsi="Garamond"/>
          <w:sz w:val="20"/>
          <w:lang w:val="es-AR"/>
        </w:rPr>
      </w:pPr>
      <w:r w:rsidRPr="00CA0A60">
        <w:rPr>
          <w:rFonts w:ascii="Garamond" w:hAnsi="Garamond"/>
          <w:sz w:val="20"/>
          <w:lang w:val="es-AR"/>
        </w:rPr>
        <w:t xml:space="preserve">El siguiente análisis está basado en los estados financieros de las Co-Emisoras </w:t>
      </w:r>
      <w:r w:rsidRPr="00CA0A60">
        <w:rPr>
          <w:rFonts w:ascii="Garamond" w:hAnsi="Garamond"/>
          <w:sz w:val="20"/>
          <w:szCs w:val="20"/>
          <w:lang w:val="es-AR"/>
        </w:rPr>
        <w:t>correspondientes los</w:t>
      </w:r>
      <w:r w:rsidR="006D303F" w:rsidRPr="00CA0A60">
        <w:rPr>
          <w:rFonts w:ascii="Garamond" w:hAnsi="Garamond"/>
          <w:sz w:val="20"/>
          <w:szCs w:val="20"/>
          <w:lang w:val="es-AR"/>
        </w:rPr>
        <w:t xml:space="preserve"> períodos de</w:t>
      </w:r>
      <w:r w:rsidRPr="00CA0A60">
        <w:rPr>
          <w:rFonts w:ascii="Garamond" w:hAnsi="Garamond"/>
          <w:sz w:val="20"/>
          <w:szCs w:val="20"/>
          <w:lang w:val="es-AR"/>
        </w:rPr>
        <w:t xml:space="preserve"> tres meses finalizados al 31 de marzo de 2019</w:t>
      </w:r>
      <w:r w:rsidRPr="00CA0A60">
        <w:rPr>
          <w:rFonts w:ascii="Garamond" w:hAnsi="Garamond"/>
          <w:sz w:val="20"/>
          <w:lang w:val="es-AR"/>
        </w:rPr>
        <w:t xml:space="preserve"> y sus correspondientes notas contenidas o incorporadas a este Suplemento por su referencia, y demás información contable expuesta en otros capítulos de este Suplemento o el Prospecto, y debe leerse juntamente con ellos.</w:t>
      </w:r>
    </w:p>
    <w:p w14:paraId="1C31D3B6" w14:textId="77777777" w:rsidR="00D31D22" w:rsidRPr="00CA0A60" w:rsidRDefault="00D31D22" w:rsidP="00002289">
      <w:pPr>
        <w:spacing w:after="0" w:line="240" w:lineRule="auto"/>
        <w:jc w:val="both"/>
        <w:rPr>
          <w:rFonts w:ascii="Garamond" w:hAnsi="Garamond"/>
          <w:i/>
          <w:sz w:val="20"/>
          <w:lang w:val="es-AR"/>
        </w:rPr>
      </w:pPr>
    </w:p>
    <w:p w14:paraId="3E93BA5E" w14:textId="10920E35" w:rsidR="00D31D22" w:rsidRPr="00CA0A60" w:rsidRDefault="00D31D22" w:rsidP="00D31D22">
      <w:pPr>
        <w:spacing w:after="0" w:line="240" w:lineRule="auto"/>
        <w:jc w:val="both"/>
        <w:rPr>
          <w:rFonts w:ascii="Garamond" w:hAnsi="Garamond"/>
          <w:b/>
          <w:sz w:val="20"/>
          <w:szCs w:val="20"/>
          <w:u w:val="single"/>
          <w:lang w:val="es-AR"/>
        </w:rPr>
      </w:pPr>
      <w:r w:rsidRPr="00CA0A60">
        <w:rPr>
          <w:rFonts w:ascii="Garamond" w:hAnsi="Garamond"/>
          <w:b/>
          <w:sz w:val="20"/>
          <w:szCs w:val="20"/>
          <w:u w:val="single"/>
          <w:lang w:val="es-AR"/>
        </w:rPr>
        <w:t xml:space="preserve">Bases de preparación y presentación de los </w:t>
      </w:r>
      <w:r w:rsidRPr="00CA0A60">
        <w:rPr>
          <w:rFonts w:ascii="Garamond" w:hAnsi="Garamond"/>
          <w:b/>
          <w:sz w:val="20"/>
          <w:u w:val="single"/>
          <w:lang w:val="es-AR"/>
        </w:rPr>
        <w:t>estados financieros</w:t>
      </w:r>
    </w:p>
    <w:p w14:paraId="44618C67" w14:textId="77777777" w:rsidR="00D31D22" w:rsidRPr="00CA0A60" w:rsidRDefault="00D31D22" w:rsidP="00D31D22">
      <w:pPr>
        <w:spacing w:after="0" w:line="240" w:lineRule="auto"/>
        <w:jc w:val="both"/>
        <w:rPr>
          <w:rFonts w:ascii="Garamond" w:hAnsi="Garamond"/>
          <w:sz w:val="20"/>
          <w:szCs w:val="20"/>
          <w:lang w:val="es-AR"/>
        </w:rPr>
      </w:pPr>
    </w:p>
    <w:p w14:paraId="6D54269A" w14:textId="5C671C15" w:rsidR="00D31D22" w:rsidRPr="00CA0A60" w:rsidRDefault="00D31D22" w:rsidP="00D31D22">
      <w:pPr>
        <w:spacing w:after="0" w:line="240" w:lineRule="auto"/>
        <w:jc w:val="both"/>
        <w:rPr>
          <w:rFonts w:ascii="Garamond" w:hAnsi="Garamond"/>
          <w:sz w:val="20"/>
          <w:szCs w:val="20"/>
          <w:lang w:val="es-AR"/>
        </w:rPr>
      </w:pPr>
      <w:r w:rsidRPr="00CA0A60">
        <w:rPr>
          <w:rFonts w:ascii="Garamond" w:hAnsi="Garamond"/>
          <w:sz w:val="20"/>
          <w:szCs w:val="20"/>
          <w:lang w:val="es-AR"/>
        </w:rPr>
        <w:t>Los estados financieros intermedios correspondientes a los períodos de tres meses</w:t>
      </w:r>
      <w:r w:rsidRPr="00CA0A60">
        <w:rPr>
          <w:rFonts w:ascii="Garamond" w:hAnsi="Garamond"/>
          <w:sz w:val="20"/>
          <w:lang w:val="es-AR"/>
        </w:rPr>
        <w:t xml:space="preserve"> finalizados al 31 de </w:t>
      </w:r>
      <w:r w:rsidRPr="00CA0A60">
        <w:rPr>
          <w:rFonts w:ascii="Garamond" w:hAnsi="Garamond"/>
          <w:sz w:val="20"/>
          <w:szCs w:val="20"/>
          <w:lang w:val="es-AR"/>
        </w:rPr>
        <w:t>marzo de 2019 y 2018 de las Compañías, están expresados en Pesos, y fueron confeccionados conforme a las normas contables de exposición y valuación contenidas en las RT N°26 y N° 29 de la Federación Argentina de Consejos Profesionales de Ciencias Económicas (“</w:t>
      </w:r>
      <w:r w:rsidRPr="00CA0A60">
        <w:rPr>
          <w:rFonts w:ascii="Garamond" w:hAnsi="Garamond"/>
          <w:sz w:val="20"/>
          <w:szCs w:val="20"/>
          <w:u w:val="single"/>
          <w:lang w:val="es-AR"/>
        </w:rPr>
        <w:t>FACPCE</w:t>
      </w:r>
      <w:r w:rsidRPr="00CA0A60">
        <w:rPr>
          <w:rFonts w:ascii="Garamond" w:hAnsi="Garamond"/>
          <w:sz w:val="20"/>
          <w:szCs w:val="20"/>
          <w:lang w:val="es-AR"/>
        </w:rPr>
        <w:t>”) que adopta de las Normas Internacionales de Información Financiera (“</w:t>
      </w:r>
      <w:r w:rsidRPr="00CA0A60">
        <w:rPr>
          <w:rFonts w:ascii="Garamond" w:hAnsi="Garamond"/>
          <w:sz w:val="20"/>
          <w:szCs w:val="20"/>
          <w:u w:val="single"/>
          <w:lang w:val="es-AR"/>
        </w:rPr>
        <w:t>NIIF</w:t>
      </w:r>
      <w:r w:rsidRPr="00CA0A60">
        <w:rPr>
          <w:rFonts w:ascii="Garamond" w:hAnsi="Garamond"/>
          <w:sz w:val="20"/>
          <w:szCs w:val="20"/>
          <w:lang w:val="es-AR"/>
        </w:rPr>
        <w:t xml:space="preserve">”) emitidas por el Consejo de Normas Internacionales de Contabilidad (IASB, según sus siglas </w:t>
      </w:r>
      <w:r w:rsidRPr="00CA0A60">
        <w:rPr>
          <w:rFonts w:ascii="Garamond" w:hAnsi="Garamond"/>
          <w:sz w:val="20"/>
          <w:lang w:val="es-AR"/>
        </w:rPr>
        <w:t xml:space="preserve">en </w:t>
      </w:r>
      <w:r w:rsidRPr="00CA0A60">
        <w:rPr>
          <w:rFonts w:ascii="Garamond" w:hAnsi="Garamond"/>
          <w:sz w:val="20"/>
          <w:szCs w:val="20"/>
          <w:lang w:val="es-AR"/>
        </w:rPr>
        <w:t>inglés) e Interpretaciones</w:t>
      </w:r>
      <w:r w:rsidRPr="00CA0A60">
        <w:rPr>
          <w:rFonts w:ascii="Garamond" w:hAnsi="Garamond"/>
          <w:sz w:val="20"/>
          <w:lang w:val="es-AR"/>
        </w:rPr>
        <w:t xml:space="preserve"> del </w:t>
      </w:r>
      <w:r w:rsidRPr="00CA0A60">
        <w:rPr>
          <w:rFonts w:ascii="Garamond" w:hAnsi="Garamond"/>
          <w:sz w:val="20"/>
          <w:szCs w:val="20"/>
          <w:lang w:val="es-AR"/>
        </w:rPr>
        <w:t xml:space="preserve">CINIIF, y de acuerdo con las resoluciones emitidas por </w:t>
      </w:r>
      <w:r w:rsidRPr="00CA0A60">
        <w:rPr>
          <w:rFonts w:ascii="Garamond" w:hAnsi="Garamond"/>
          <w:sz w:val="20"/>
          <w:lang w:val="es-AR"/>
        </w:rPr>
        <w:t xml:space="preserve">la </w:t>
      </w:r>
      <w:r w:rsidRPr="00CA0A60">
        <w:rPr>
          <w:rFonts w:ascii="Garamond" w:hAnsi="Garamond"/>
          <w:sz w:val="20"/>
          <w:szCs w:val="20"/>
          <w:lang w:val="es-AR"/>
        </w:rPr>
        <w:t>CNV.</w:t>
      </w:r>
    </w:p>
    <w:p w14:paraId="5059E452" w14:textId="77777777" w:rsidR="00D31D22" w:rsidRDefault="00D31D22" w:rsidP="00D31D22">
      <w:pPr>
        <w:spacing w:after="0" w:line="240" w:lineRule="auto"/>
        <w:jc w:val="both"/>
        <w:rPr>
          <w:rFonts w:ascii="Garamond" w:hAnsi="Garamond"/>
          <w:sz w:val="20"/>
          <w:szCs w:val="20"/>
          <w:lang w:val="es-AR"/>
        </w:rPr>
      </w:pPr>
    </w:p>
    <w:p w14:paraId="07CD2778" w14:textId="45475E22" w:rsidR="00AE4A2E" w:rsidRDefault="00AE4A2E" w:rsidP="00D31D22">
      <w:pPr>
        <w:spacing w:after="0" w:line="240" w:lineRule="auto"/>
        <w:jc w:val="both"/>
        <w:rPr>
          <w:rFonts w:ascii="Garamond" w:hAnsi="Garamond"/>
          <w:b/>
          <w:sz w:val="20"/>
          <w:szCs w:val="20"/>
          <w:u w:val="single"/>
          <w:lang w:val="es-AR"/>
        </w:rPr>
      </w:pPr>
      <w:r>
        <w:rPr>
          <w:rFonts w:ascii="Garamond" w:hAnsi="Garamond"/>
          <w:b/>
          <w:sz w:val="20"/>
          <w:szCs w:val="20"/>
          <w:u w:val="single"/>
          <w:lang w:val="es-AR"/>
        </w:rPr>
        <w:t>Otra Información Financiera</w:t>
      </w:r>
    </w:p>
    <w:p w14:paraId="5D773D0F" w14:textId="77777777" w:rsidR="008E21A6" w:rsidRPr="00582114" w:rsidRDefault="008E21A6" w:rsidP="008E21A6">
      <w:pPr>
        <w:spacing w:before="120" w:after="120" w:line="240" w:lineRule="auto"/>
        <w:jc w:val="both"/>
        <w:rPr>
          <w:rFonts w:ascii="Garamond" w:eastAsia="MS Mincho" w:hAnsi="Garamond" w:cs="Times New Roman"/>
          <w:b/>
          <w:sz w:val="20"/>
          <w:szCs w:val="20"/>
          <w:lang w:eastAsia="es-ES"/>
        </w:rPr>
      </w:pPr>
      <w:r w:rsidRPr="00582114">
        <w:rPr>
          <w:rFonts w:ascii="Garamond" w:eastAsia="MS Mincho" w:hAnsi="Garamond" w:cs="Times New Roman"/>
          <w:b/>
          <w:i/>
          <w:sz w:val="20"/>
          <w:szCs w:val="20"/>
          <w:lang w:eastAsia="es-ES"/>
        </w:rPr>
        <w:t xml:space="preserve">Proyecciones del Grupo Albanesi </w:t>
      </w:r>
    </w:p>
    <w:p w14:paraId="426E4057" w14:textId="77777777" w:rsidR="008E21A6" w:rsidRPr="00582114" w:rsidRDefault="008E21A6" w:rsidP="008E21A6">
      <w:pPr>
        <w:spacing w:before="120" w:after="120" w:line="240" w:lineRule="auto"/>
        <w:jc w:val="both"/>
        <w:rPr>
          <w:rFonts w:ascii="Garamond" w:eastAsia="MS Mincho" w:hAnsi="Garamond" w:cs="Times New Roman"/>
          <w:sz w:val="20"/>
          <w:szCs w:val="20"/>
          <w:lang w:eastAsia="es-ES"/>
        </w:rPr>
      </w:pPr>
      <w:r w:rsidRPr="00582114">
        <w:rPr>
          <w:rFonts w:ascii="Garamond" w:eastAsia="MS Mincho" w:hAnsi="Garamond" w:cs="Times New Roman"/>
          <w:sz w:val="20"/>
          <w:szCs w:val="20"/>
          <w:lang w:eastAsia="es-ES"/>
        </w:rPr>
        <w:t>En la presente sección, se presenta la siguiente información respecto de las Co-Emisoras:</w:t>
      </w:r>
    </w:p>
    <w:p w14:paraId="1AA725EB" w14:textId="77777777" w:rsidR="008E21A6" w:rsidRPr="00582114" w:rsidRDefault="008E21A6" w:rsidP="008E21A6">
      <w:pPr>
        <w:pStyle w:val="Prrafodelista"/>
        <w:numPr>
          <w:ilvl w:val="0"/>
          <w:numId w:val="135"/>
        </w:numPr>
        <w:spacing w:before="120" w:after="120" w:line="240" w:lineRule="auto"/>
        <w:jc w:val="both"/>
        <w:rPr>
          <w:rFonts w:ascii="Garamond" w:hAnsi="Garamond"/>
          <w:sz w:val="20"/>
          <w:szCs w:val="20"/>
        </w:rPr>
      </w:pPr>
      <w:r w:rsidRPr="00582114">
        <w:rPr>
          <w:rFonts w:ascii="Garamond" w:hAnsi="Garamond"/>
          <w:sz w:val="20"/>
          <w:szCs w:val="20"/>
        </w:rPr>
        <w:t>Cálculos de ingresos, gastos y EBITDA ilustrativos a doce meses (el “Cálculo de EBITDA Ilustrativo”) que se basan, entre otros factores, en expectativas de las Co-Emisoras con respecto al rendimiento sus nuestras centrales de generación y los términos de sus CCEE (en virtud de la Resolución 220/07, Resolución 21/16), la Resolución 19/17, Resolución 01/19 y Resolución 1281/06 aplicables a cada una de sus centrales de generación. Estos cálculos incluyen declaraciones sobre hechos futuros y estimaciones, puesto que consideramos que brindan información complementaria útil sobre nuestras expectativas de flujos de efectivo operativos.</w:t>
      </w:r>
    </w:p>
    <w:p w14:paraId="196679D2" w14:textId="77777777" w:rsidR="008E21A6" w:rsidRPr="00582114" w:rsidRDefault="008E21A6" w:rsidP="008E21A6">
      <w:pPr>
        <w:pStyle w:val="Prrafodelista"/>
        <w:spacing w:before="120" w:after="120" w:line="240" w:lineRule="auto"/>
        <w:ind w:left="1080"/>
        <w:jc w:val="both"/>
        <w:rPr>
          <w:rFonts w:ascii="Garamond" w:hAnsi="Garamond"/>
          <w:sz w:val="20"/>
          <w:szCs w:val="20"/>
        </w:rPr>
      </w:pPr>
    </w:p>
    <w:p w14:paraId="0B5C31C7" w14:textId="77777777" w:rsidR="008E21A6" w:rsidRPr="00582114" w:rsidRDefault="008E21A6" w:rsidP="008E21A6">
      <w:pPr>
        <w:pStyle w:val="Prrafodelista"/>
        <w:numPr>
          <w:ilvl w:val="0"/>
          <w:numId w:val="135"/>
        </w:numPr>
        <w:spacing w:before="120" w:after="120" w:line="240" w:lineRule="auto"/>
        <w:jc w:val="both"/>
        <w:rPr>
          <w:rFonts w:ascii="Garamond" w:hAnsi="Garamond"/>
          <w:sz w:val="20"/>
          <w:szCs w:val="20"/>
        </w:rPr>
      </w:pPr>
      <w:r w:rsidRPr="00582114">
        <w:rPr>
          <w:rFonts w:ascii="Garamond" w:hAnsi="Garamond"/>
          <w:sz w:val="20"/>
          <w:szCs w:val="20"/>
        </w:rPr>
        <w:t>Cierta información financiera proyectada para cada ejercicio, a partir de 2019 y hasta el año 2025, que se basa, entre otros factores, en nuestros cálculos de flujo de efectivo operativo ilustrativo y en nuestras estrategias de negocio y crecimiento actuales. Estas proyecciones incluyen declaraciones sobre hechos futuros y estimaciones, puesto que consideramos que brindan información útil para nuestro rendimiento comercial y financiero futuro (junto con el Cálculo de EBITDA Ilustrativo, el “</w:t>
      </w:r>
      <w:r w:rsidRPr="00582114">
        <w:rPr>
          <w:rFonts w:ascii="Garamond" w:hAnsi="Garamond"/>
          <w:sz w:val="20"/>
          <w:szCs w:val="20"/>
          <w:u w:val="single"/>
        </w:rPr>
        <w:t>Modelo Financiero</w:t>
      </w:r>
      <w:r w:rsidRPr="00582114">
        <w:rPr>
          <w:rFonts w:ascii="Garamond" w:hAnsi="Garamond"/>
          <w:sz w:val="20"/>
          <w:szCs w:val="20"/>
        </w:rPr>
        <w:t xml:space="preserve">”). </w:t>
      </w:r>
    </w:p>
    <w:p w14:paraId="6AEE5384" w14:textId="77777777" w:rsidR="008E21A6" w:rsidRPr="00582114" w:rsidRDefault="008E21A6" w:rsidP="008E21A6">
      <w:pPr>
        <w:pStyle w:val="Prrafodelista"/>
        <w:rPr>
          <w:rFonts w:ascii="Garamond" w:hAnsi="Garamond"/>
          <w:sz w:val="20"/>
          <w:szCs w:val="20"/>
        </w:rPr>
      </w:pPr>
    </w:p>
    <w:p w14:paraId="5406DFF2" w14:textId="17983A6E" w:rsidR="008E21A6" w:rsidRPr="00582114" w:rsidRDefault="008E21A6" w:rsidP="008E21A6">
      <w:pPr>
        <w:spacing w:before="120" w:after="120" w:line="240" w:lineRule="auto"/>
        <w:jc w:val="both"/>
        <w:rPr>
          <w:rFonts w:ascii="Garamond" w:hAnsi="Garamond"/>
          <w:sz w:val="20"/>
          <w:szCs w:val="20"/>
        </w:rPr>
      </w:pPr>
      <w:r w:rsidRPr="00582114">
        <w:rPr>
          <w:rFonts w:ascii="Garamond" w:hAnsi="Garamond"/>
          <w:sz w:val="20"/>
          <w:szCs w:val="20"/>
        </w:rPr>
        <w:t>El Modelo Financiero no incluye los proyectos de conversión a ciclo combinado para las plantas de Río IV – TG 6:7:8 y Ezeiza TG 1:2:3:4 relacionados a los CCEE bajo Resolución 287/17. Estos CCEE bajo Resolución 287/17 están plenamente vigentes y intención obtener financiamiento en el futuro que permita completar los pagos requeridos por la inversión en activos fijos y alcanzar la operación comercial de los mismos. Teniendo esto en consideración, los resultados futuros pueden diferir significativamente de lo expuesto en el Modelo Financiero, dependiendo de la habilidad de la organización para desarrollar los proyectos en línea con los términos de los CCEE.</w:t>
      </w:r>
    </w:p>
    <w:p w14:paraId="26CA1D75" w14:textId="10B68FCE" w:rsidR="008E21A6" w:rsidRPr="00582114" w:rsidRDefault="008E21A6" w:rsidP="008E21A6">
      <w:pPr>
        <w:spacing w:before="120" w:after="120" w:line="240" w:lineRule="auto"/>
        <w:jc w:val="both"/>
        <w:rPr>
          <w:rFonts w:ascii="Garamond" w:eastAsia="MS Mincho" w:hAnsi="Garamond" w:cs="Times New Roman"/>
          <w:sz w:val="20"/>
          <w:szCs w:val="20"/>
          <w:lang w:eastAsia="es-ES"/>
        </w:rPr>
      </w:pPr>
      <w:r w:rsidRPr="00582114">
        <w:rPr>
          <w:rFonts w:ascii="Garamond" w:eastAsia="MS Mincho" w:hAnsi="Garamond" w:cs="Times New Roman"/>
          <w:sz w:val="20"/>
          <w:szCs w:val="20"/>
          <w:lang w:eastAsia="es-ES"/>
        </w:rPr>
        <w:t>El Modelo Financiero está basado en el conocimiento actual de los hechos y circunstancias presentes, y sobre la base de ciertas asunciones respecto de eventos futuros tal como se establece en las tablas incluidas más abajo, y en cualquier otro lugar en el presente Suplemento o en el Prospecto, donde se refiera al Modelo Financiero. Tal como es usado en el presente Suplemento, las estimaciones y proyecciones contenidas en el Modelo Financiero, incluyendo las asunciones hechas, describen estimaciones actuales de buena fe sobre eventos futuros. Si bien las Co-Emisoras cuentan con una amplia trayectoria en el sector energético y así un vasto historial financiero de manera de sustentar su conocimiento de hechos y circunstancias actuales en una base sólida y confiable, los mismos pueden no ser correctos y verse afectados por diversas circunstancias. El inversor no debe asumir que el desempeño futuro de las Co-Emisoras vaya a ser consistente con la información proyectada futura presentada en el Modelo Financiero o con su trayectoria y experiencia pasada, o con la de otras compañías en el mercado energético en la Argentina. Las declaraciones sobre hechos futuros incluidas en el Modelo Financiero, implican riesgos e incertidumbres que pueden causar que los resultados reales difieran, talvez materialmente, de las estimaciones y expectativas proyectadas en el Modelo Financiero. Las Co-Emisoras advierten a potenciales inversores a considerar cuidadosa y debidamente los varios factores y variables asumidas en la formación del presente Modelo Financiero. Asimismo, las Co-Emisoras advierten a potenciales inversores a leer, considerar y analizar cuidadosa y debidamente los factores descriptos bajo las secciones “</w:t>
      </w:r>
      <w:r w:rsidRPr="00582114">
        <w:rPr>
          <w:rFonts w:ascii="Garamond" w:eastAsia="MS Mincho" w:hAnsi="Garamond" w:cs="Times New Roman"/>
          <w:i/>
          <w:sz w:val="20"/>
          <w:szCs w:val="20"/>
          <w:lang w:eastAsia="es-ES"/>
        </w:rPr>
        <w:t>Declaraciones sobre Hechos Futuros</w:t>
      </w:r>
      <w:r w:rsidRPr="00582114">
        <w:rPr>
          <w:rFonts w:ascii="Garamond" w:eastAsia="MS Mincho" w:hAnsi="Garamond" w:cs="Times New Roman"/>
          <w:sz w:val="20"/>
          <w:szCs w:val="20"/>
          <w:lang w:eastAsia="es-ES"/>
        </w:rPr>
        <w:t>” y “</w:t>
      </w:r>
      <w:r w:rsidRPr="00582114">
        <w:rPr>
          <w:rFonts w:ascii="Garamond" w:eastAsia="MS Mincho" w:hAnsi="Garamond" w:cs="Times New Roman"/>
          <w:i/>
          <w:sz w:val="20"/>
          <w:szCs w:val="20"/>
          <w:lang w:eastAsia="es-ES"/>
        </w:rPr>
        <w:t>Factores de Riesgo</w:t>
      </w:r>
      <w:r w:rsidRPr="00582114">
        <w:rPr>
          <w:rFonts w:ascii="Garamond" w:eastAsia="MS Mincho" w:hAnsi="Garamond" w:cs="Times New Roman"/>
          <w:sz w:val="20"/>
          <w:szCs w:val="20"/>
          <w:lang w:eastAsia="es-ES"/>
        </w:rPr>
        <w:t xml:space="preserve">”, incluidas tanto en el presente Suplemento como el Prospecto, dado </w:t>
      </w:r>
      <w:r w:rsidRPr="00582114">
        <w:rPr>
          <w:rFonts w:ascii="Garamond" w:eastAsia="MS Mincho" w:hAnsi="Garamond" w:cs="Times New Roman"/>
          <w:sz w:val="20"/>
          <w:szCs w:val="20"/>
          <w:lang w:eastAsia="es-ES"/>
        </w:rPr>
        <w:lastRenderedPageBreak/>
        <w:t>que estos factores pueden en el futuro: (a) afectar (i) las declaraciones sobre hechos futuros y proyecciones futuras incluidas en el presente Suplemento y en el Prospecto, y/o (ii) la capacidad de las Co-Emisoras y el Garante de implementar sus estrategias de negocios y crecimiento o sus habilidades en pos de alcanzar sus resultados financieros y operativos esperados; y (b) causar que sus resultados financieros y operativos reales difieran materialmente de las estimaciones y proyecciones incluidas en el presente Suplemento y en el Prospecto.</w:t>
      </w:r>
    </w:p>
    <w:p w14:paraId="32D8E37A" w14:textId="77777777" w:rsidR="008E21A6" w:rsidRPr="00582114" w:rsidRDefault="008E21A6" w:rsidP="008E21A6">
      <w:pPr>
        <w:spacing w:before="120" w:after="120" w:line="240" w:lineRule="auto"/>
        <w:jc w:val="both"/>
        <w:rPr>
          <w:rFonts w:ascii="Garamond" w:eastAsia="MS Mincho" w:hAnsi="Garamond" w:cs="Times New Roman"/>
          <w:sz w:val="20"/>
          <w:szCs w:val="20"/>
          <w:lang w:eastAsia="es-ES"/>
        </w:rPr>
      </w:pPr>
      <w:r w:rsidRPr="00582114">
        <w:rPr>
          <w:rFonts w:ascii="Garamond" w:eastAsia="MS Mincho" w:hAnsi="Garamond" w:cs="Times New Roman"/>
          <w:sz w:val="20"/>
          <w:szCs w:val="20"/>
          <w:lang w:eastAsia="es-ES"/>
        </w:rPr>
        <w:t xml:space="preserve">El directorio y la gerencia de las Co-Emisoras considera que el Modelo Financiero ha sido preparado sobre una base razonable, reflejando sus mejores proyecciones, estimaciones, asunciones y juicios actuales, y representa, para el mayor conocimiento del directorio y la gerencia de las Co-Emisoras, su curso de acción esperado a la fecha del presente Suplemento. Las declaraciones sobre hechos futuros y proyecciones sobre hechos futuros, incluyendo estimaciones financieras y cualquier otra información contenida en el Modelo Financiero, no debe ser considerada por los potenciales inversores, en su totalidad ni en parte, como un sustituto del ejercicio de juicio, evaluación y valoración personal. Cualquier opinión, juicio, estimación, proyección o valoración expresada en el presente Suplemento así como en el Prospecto, podrá variar sin preaviso. No es intención de las Co-Emisoras actualizar o de otra forma revisar el Modelo Financiero en pos de reflejar circunstancias existentes con posterioridad a la fecha del presente Suplemento, incluyendo sin limitación la ocurrencia de eventos improvistos o cambios en las condiciones económicas, regulatorias o cualquier otra de los mercados donde las Co-Emisoras tienen sus negocios, incluso si cualquiera de las suposiciones descriptas debajo resultara errónea. </w:t>
      </w:r>
    </w:p>
    <w:p w14:paraId="459B8E38" w14:textId="77777777" w:rsidR="008E21A6" w:rsidRPr="00582114" w:rsidRDefault="008E21A6" w:rsidP="008E21A6">
      <w:pPr>
        <w:spacing w:before="120" w:after="120" w:line="240" w:lineRule="auto"/>
        <w:jc w:val="both"/>
        <w:rPr>
          <w:rFonts w:ascii="Garamond" w:eastAsia="MS Mincho" w:hAnsi="Garamond" w:cs="Times New Roman"/>
          <w:sz w:val="20"/>
          <w:szCs w:val="20"/>
          <w:lang w:eastAsia="es-ES"/>
        </w:rPr>
      </w:pPr>
      <w:r w:rsidRPr="00582114">
        <w:rPr>
          <w:rFonts w:ascii="Garamond" w:eastAsia="MS Mincho" w:hAnsi="Garamond" w:cs="Times New Roman"/>
          <w:sz w:val="20"/>
          <w:szCs w:val="20"/>
          <w:lang w:eastAsia="es-ES"/>
        </w:rPr>
        <w:t>Por los motivos arriba descriptos y porque las Co-Emisoras están sujetas a numerosos riesgos, incertidumbres y otros factores, incluyendo aquellos descriptos bajo la sección “</w:t>
      </w:r>
      <w:r w:rsidRPr="00582114">
        <w:rPr>
          <w:rFonts w:ascii="Garamond" w:eastAsia="MS Mincho" w:hAnsi="Garamond" w:cs="Times New Roman"/>
          <w:i/>
          <w:sz w:val="20"/>
          <w:szCs w:val="20"/>
          <w:lang w:eastAsia="es-ES"/>
        </w:rPr>
        <w:t>Factores de Riesgo</w:t>
      </w:r>
      <w:r w:rsidRPr="00582114">
        <w:rPr>
          <w:rFonts w:ascii="Garamond" w:eastAsia="MS Mincho" w:hAnsi="Garamond" w:cs="Times New Roman"/>
          <w:sz w:val="20"/>
          <w:szCs w:val="20"/>
          <w:lang w:eastAsia="es-ES"/>
        </w:rPr>
        <w:t>” del Suplemento y del Prospecto, una decisión de inversión no deber estar basada en las declaraciones y proyecciones sobre hechos futuros contenidas en la presente sección. Los resultados reales pueden diferir, incluso materialmente, de aquellos contenidos en la presente sección. Los potenciales inversores deben consultar sus propios asesores legales, impositivos, contables, regulatorios, financieros y comerciales como ellos lo consideren necesario, y deben tomar su decisión de inversión en las Obligaciones Negociables basada en su propio juicio, evaluación y valoración.</w:t>
      </w:r>
    </w:p>
    <w:p w14:paraId="3224B52D" w14:textId="0C118240" w:rsidR="00AE4A2E" w:rsidRPr="00546790" w:rsidRDefault="008E21A6" w:rsidP="008E21A6">
      <w:pPr>
        <w:spacing w:after="0" w:line="240" w:lineRule="auto"/>
        <w:jc w:val="both"/>
        <w:rPr>
          <w:rFonts w:ascii="Garamond" w:hAnsi="Garamond"/>
          <w:sz w:val="20"/>
          <w:szCs w:val="20"/>
          <w:lang w:val="es-AR"/>
        </w:rPr>
      </w:pPr>
      <w:r w:rsidRPr="00582114">
        <w:rPr>
          <w:rFonts w:ascii="Garamond" w:eastAsia="MS Mincho" w:hAnsi="Garamond" w:cs="Times New Roman"/>
          <w:sz w:val="20"/>
          <w:szCs w:val="20"/>
          <w:lang w:eastAsia="es-ES"/>
        </w:rPr>
        <w:t xml:space="preserve">Para mayor información ver las secciones de </w:t>
      </w:r>
      <w:r w:rsidRPr="00582114">
        <w:rPr>
          <w:rFonts w:ascii="Garamond" w:eastAsia="MS Mincho" w:hAnsi="Garamond" w:cs="Times New Roman"/>
          <w:i/>
          <w:sz w:val="20"/>
          <w:szCs w:val="20"/>
          <w:lang w:eastAsia="es-ES"/>
        </w:rPr>
        <w:t>“Factores de Riesgo”</w:t>
      </w:r>
      <w:r w:rsidRPr="00582114">
        <w:rPr>
          <w:rFonts w:ascii="Garamond" w:eastAsia="MS Mincho" w:hAnsi="Garamond" w:cs="Times New Roman"/>
          <w:sz w:val="20"/>
          <w:szCs w:val="20"/>
          <w:lang w:eastAsia="es-ES"/>
        </w:rPr>
        <w:t xml:space="preserve"> y </w:t>
      </w:r>
      <w:r w:rsidRPr="00582114">
        <w:rPr>
          <w:rFonts w:ascii="Garamond" w:eastAsia="MS Mincho" w:hAnsi="Garamond" w:cs="Times New Roman"/>
          <w:i/>
          <w:sz w:val="20"/>
          <w:szCs w:val="20"/>
          <w:lang w:eastAsia="es-ES"/>
        </w:rPr>
        <w:t>“Declaraciones sobre Hechos Futuros”</w:t>
      </w:r>
      <w:r w:rsidRPr="00582114">
        <w:rPr>
          <w:rFonts w:ascii="Garamond" w:eastAsia="MS Mincho" w:hAnsi="Garamond" w:cs="Times New Roman"/>
          <w:sz w:val="20"/>
          <w:szCs w:val="20"/>
          <w:lang w:eastAsia="es-ES"/>
        </w:rPr>
        <w:t xml:space="preserve"> incluidas tanto en el presente Suplemento como en el Prospecto.</w:t>
      </w:r>
    </w:p>
    <w:p w14:paraId="3279D7F0" w14:textId="77777777" w:rsidR="008E21A6" w:rsidRDefault="008E21A6" w:rsidP="0059285D">
      <w:pPr>
        <w:spacing w:after="0" w:line="240" w:lineRule="auto"/>
        <w:jc w:val="both"/>
        <w:rPr>
          <w:rFonts w:ascii="Garamond" w:hAnsi="Garamond"/>
          <w:sz w:val="20"/>
          <w:szCs w:val="20"/>
          <w:lang w:val="es-AR"/>
        </w:rPr>
      </w:pPr>
      <w:r w:rsidRPr="00582114">
        <w:rPr>
          <w:rFonts w:ascii="Garamond" w:hAnsi="Garamond"/>
          <w:noProof/>
          <w:sz w:val="20"/>
          <w:szCs w:val="20"/>
          <w:lang w:val="es-AR" w:eastAsia="es-AR"/>
        </w:rPr>
        <w:drawing>
          <wp:inline distT="0" distB="0" distL="0" distR="0" wp14:anchorId="2BEA2EA2" wp14:editId="3EED58F0">
            <wp:extent cx="5378058" cy="2381250"/>
            <wp:effectExtent l="0" t="0" r="0" b="0"/>
            <wp:docPr id="1124" name="Imagen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8446" cy="2394705"/>
                    </a:xfrm>
                    <a:prstGeom prst="rect">
                      <a:avLst/>
                    </a:prstGeom>
                    <a:noFill/>
                  </pic:spPr>
                </pic:pic>
              </a:graphicData>
            </a:graphic>
          </wp:inline>
        </w:drawing>
      </w:r>
    </w:p>
    <w:p w14:paraId="6288240F"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*Los proyectos de conversión a ciclo combinado de las centrales de Generación Río IV – TG 6:7:8 y Ezeiza – TG 1:2:3:4 no están considerados en los ingresos ilustrativos arriba detallados.</w:t>
      </w:r>
    </w:p>
    <w:p w14:paraId="1F81F9A2"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(1) “CC” significa “ciclo combinado” y “TG” significa “turbina de gas” y las cifras al costado de “CC” o “TG” refieren al número de la turbina.</w:t>
      </w:r>
    </w:p>
    <w:p w14:paraId="6D5FAC66" w14:textId="58527685"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(2) Según consta en el CCEE o en la Resolución pertinente. Las centrales de generación bajo la Resolución 19/17 (modificada por la Resolución 1/19 efectiva a partir del 1 de Marzo de 2019) reflejan el esquema remunerativo a la fecha del presente. En el caso de las centrales de generación Tucumán TG 3:4, Ezeiza TG 1:2:3 y C.T. Roca, que tienen más de un CCEE, mostramos el promedio ponderado de los precios contratados de los CCEE. En virtud de la Resolución 1281/06 (Energía Plus), los contratos tienen un plazo promedio que oscila entre los 12 y los 24 meses. Suponemos que los contratos se renuevan a su vencimiento en términos similares y que no se contrata nueva capacidad bajo este esquema regulatorio.</w:t>
      </w:r>
    </w:p>
    <w:p w14:paraId="0A65BF0B"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(3) Supone la disponibilidad de la capacidad total de la planta. La disponibilidad esperada se basa en el rendimiento histórico reciente.</w:t>
      </w:r>
    </w:p>
    <w:p w14:paraId="7C5EB161"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 xml:space="preserve">(4) Despacho de electricidad promedio proyectado (basado en horas de despacho) para el período de 12 meses calculado conforme al programa de simulación V-Margo, el cual es un software creado, utilizado y puesto a disposición por CAMMESA para simular la operatoria del sistema eléctrico argentino. En base principalmente a la capacidad de generación, el índice de calor, el combustible empleado y el punto de interconexión a la red del generador pertinente, así como el suministro y la demanda de electricidad proyectados del sistema eléctrico </w:t>
      </w:r>
      <w:r w:rsidRPr="00582114">
        <w:rPr>
          <w:rFonts w:ascii="Garamond" w:eastAsia="MS Mincho" w:hAnsi="Garamond" w:cs="Times New Roman"/>
          <w:sz w:val="16"/>
          <w:szCs w:val="16"/>
          <w:lang w:eastAsia="es-ES"/>
        </w:rPr>
        <w:lastRenderedPageBreak/>
        <w:t>argentino, el programa de simulación V-Margo estima las horas de despacho proyectadas para cada central de generación y el combustible utilizado para el despacho durante un período de tres años relativo a los niveles de despacho de la industria.</w:t>
      </w:r>
    </w:p>
    <w:p w14:paraId="57C7D2C5"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(5) Disponibilidad de capacidad de generación contratada mensual promedio utilizando gas como combustible, conforme a lo previsto en el CCEE pertinente, en la Resolución 19/17 y en la Resolución 1/19.</w:t>
      </w:r>
    </w:p>
    <w:p w14:paraId="27EDA536"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 xml:space="preserve">(6) Porcentaje de MWh de electricidad generada utilizando gas natural, según lo estimado por el programa de simulación V-Margo empleado por CAMMESA.  </w:t>
      </w:r>
    </w:p>
    <w:p w14:paraId="62E7D3B2"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(7) Basado en el precio por MWh de electricidad generada utilizando gas natural conforme a lo previsto en el CCEE pertinente, la Resolución 19/17 y la Resolución 1/19. En el caso de las centrales de generación Tucumán TG 3:4, Ezeiza TG 1:2:3 y C.T. Roca, que tienen más de un CCEE, mostramos el promedio ponderado de los precios contratados de los CCEE.</w:t>
      </w:r>
    </w:p>
    <w:p w14:paraId="72B12DA6"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(8) Disponibilidad de capacidad de generación contratada mensual promedio utilizando diesel como combustible, conforme a lo previsto en el CCEE pertinente, en la Resolución 19/17 y en la Resolución 1/19.</w:t>
      </w:r>
    </w:p>
    <w:p w14:paraId="12313F48"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 xml:space="preserve">(9) Porcentaje de MWh de electricidad generada utilizando diesel, según lo estimado por el programa de simulación V-Margo empleado por CAMMESA.  </w:t>
      </w:r>
    </w:p>
    <w:p w14:paraId="065557F2"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(10) Basado en el precio por MWh de electricidad generada utilizando diesel conforme a lo previsto en el CCEE pertinente, la Resolución 19/17 y la Resolución 1/19. En el caso de las centrales de generación Tucumán TG 3:4, Ezeiza TG 1:2:3 y C.T. Roca, que tienen más de un CCEE, mostramos el promedio ponderado de los precios contratados de los CCEE.</w:t>
      </w:r>
    </w:p>
    <w:p w14:paraId="131B8787"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(11) Capacidad promedio esperada a ser demandada por los clientes. Se calcula multiplicando la capacidad contratada promedio mensual por el % de factor de uso histórico reciente.</w:t>
      </w:r>
    </w:p>
    <w:p w14:paraId="222B0AC1"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(12) Consumo de capacidad de energía esperado promedio por clientes privados sobre la capacidad contratada mensual promedio en base a la demanda histórica reciente.</w:t>
      </w:r>
    </w:p>
    <w:p w14:paraId="6848573E" w14:textId="77777777" w:rsidR="008E21A6" w:rsidRPr="00582114" w:rsidRDefault="008E21A6"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(13) Precio promedio por MWh estimado de capacidad contratada con clientes privados en virtud de Energía Plus (Resolución 1281/06), considerando los precios de capacidad y energía netos de costos de generación (incluyendo el suministro de combustible).</w:t>
      </w:r>
    </w:p>
    <w:p w14:paraId="446CE5AB" w14:textId="1223CB92" w:rsidR="00401B26" w:rsidRPr="00582114" w:rsidRDefault="00401B26" w:rsidP="0059285D">
      <w:pPr>
        <w:spacing w:after="0" w:line="240" w:lineRule="auto"/>
        <w:jc w:val="both"/>
        <w:rPr>
          <w:rFonts w:ascii="Garamond" w:hAnsi="Garamond"/>
          <w:sz w:val="16"/>
          <w:szCs w:val="16"/>
          <w:lang w:val="es-AR"/>
        </w:rPr>
      </w:pPr>
    </w:p>
    <w:p w14:paraId="57EDF53D" w14:textId="25766FF6" w:rsidR="00AE4A2E" w:rsidRDefault="007325F3" w:rsidP="00A438F1">
      <w:pPr>
        <w:keepNext/>
        <w:keepLines/>
        <w:spacing w:after="0" w:line="240" w:lineRule="auto"/>
        <w:jc w:val="both"/>
        <w:rPr>
          <w:rFonts w:ascii="Garamond" w:hAnsi="Garamond"/>
          <w:sz w:val="20"/>
          <w:szCs w:val="20"/>
          <w:lang w:val="es-AR"/>
        </w:rPr>
      </w:pPr>
      <w:r w:rsidRPr="00582114">
        <w:rPr>
          <w:rFonts w:ascii="Garamond" w:hAnsi="Garamond"/>
          <w:noProof/>
          <w:sz w:val="10"/>
          <w:szCs w:val="10"/>
          <w:lang w:val="es-AR" w:eastAsia="es-AR"/>
        </w:rPr>
        <w:drawing>
          <wp:inline distT="0" distB="0" distL="0" distR="0" wp14:anchorId="73028AEA" wp14:editId="7E490F10">
            <wp:extent cx="5390175" cy="1506182"/>
            <wp:effectExtent l="0" t="0" r="1270" b="0"/>
            <wp:docPr id="1125" name="Imagen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37089" cy="1519291"/>
                    </a:xfrm>
                    <a:prstGeom prst="rect">
                      <a:avLst/>
                    </a:prstGeom>
                    <a:noFill/>
                  </pic:spPr>
                </pic:pic>
              </a:graphicData>
            </a:graphic>
          </wp:inline>
        </w:drawing>
      </w:r>
    </w:p>
    <w:p w14:paraId="2D38A450" w14:textId="77777777" w:rsidR="00401B26" w:rsidRDefault="00401B26" w:rsidP="00A438F1">
      <w:pPr>
        <w:keepNext/>
        <w:keepLines/>
        <w:spacing w:after="0" w:line="240" w:lineRule="auto"/>
        <w:jc w:val="both"/>
        <w:rPr>
          <w:rFonts w:ascii="Garamond" w:hAnsi="Garamond"/>
          <w:sz w:val="20"/>
          <w:szCs w:val="20"/>
          <w:lang w:val="es-AR"/>
        </w:rPr>
      </w:pPr>
    </w:p>
    <w:p w14:paraId="280A3B6E" w14:textId="77777777" w:rsidR="007325F3" w:rsidRPr="00582114" w:rsidRDefault="007325F3"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*Los proyectos de conversión a ciclo combinado de las centrales de Generación Río IV – TG 6:7:8 y Ezeiza – TG 1:2:3:4 no están considerados en la información contenida en el cuadro arriba detallado.</w:t>
      </w:r>
    </w:p>
    <w:p w14:paraId="2B96C434" w14:textId="77777777" w:rsidR="007325F3" w:rsidRPr="00582114" w:rsidRDefault="007325F3"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 xml:space="preserve"> (1) Aproximadamente el 60% de los gastos estimados esta denominado en U$S y el 40% está denominado en AR$. Suponemos que las variaciones en el índice de inflación y en el tipo de cambio se compensan ligeramente entre sí.</w:t>
      </w:r>
    </w:p>
    <w:p w14:paraId="51F1BF2E" w14:textId="77777777" w:rsidR="007325F3" w:rsidRPr="00582114" w:rsidRDefault="007325F3"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(2) Refleja los costos de mantenimiento de las turbinas, en base a los contratos vigentes con los proveedores de equipos conforme a lo siguiente:</w:t>
      </w:r>
    </w:p>
    <w:p w14:paraId="42401BB5" w14:textId="6A863D5F" w:rsidR="007325F3" w:rsidRPr="00582114" w:rsidRDefault="007325F3"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I) PWPS: centrales de generación Tio IV TG 3:4:5, Tucum</w:t>
      </w:r>
      <w:r w:rsidR="00892038">
        <w:rPr>
          <w:rFonts w:ascii="Garamond" w:eastAsia="MS Mincho" w:hAnsi="Garamond" w:cs="Times New Roman"/>
          <w:sz w:val="16"/>
          <w:szCs w:val="16"/>
          <w:lang w:eastAsia="es-ES"/>
        </w:rPr>
        <w:t>á</w:t>
      </w:r>
      <w:r w:rsidRPr="00582114">
        <w:rPr>
          <w:rFonts w:ascii="Garamond" w:eastAsia="MS Mincho" w:hAnsi="Garamond" w:cs="Times New Roman"/>
          <w:sz w:val="16"/>
          <w:szCs w:val="16"/>
          <w:lang w:eastAsia="es-ES"/>
        </w:rPr>
        <w:t>n 1:2 y Frías. El costo comprende la tarifa variable por hora de alimentación, cotizada de acuerdo al combustible utilizado, y una tarifa fija.</w:t>
      </w:r>
    </w:p>
    <w:p w14:paraId="3073B9FC" w14:textId="77777777" w:rsidR="007325F3" w:rsidRPr="00582114" w:rsidRDefault="007325F3"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El costo anual promedio estimado es 9.00 U$S/MWh generados para el período considerado. El contrato prevé un factor de incremento anual.</w:t>
      </w:r>
    </w:p>
    <w:p w14:paraId="62B2BA1B" w14:textId="77777777" w:rsidR="007325F3" w:rsidRPr="00582114" w:rsidRDefault="007325F3"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II) General Electric: contrato para nuestra planta en CT Roca que establece una tarifa fija con un incremento anual del 5%. Considerando el factor de despacho esperado anual, el costo promedio estimado es de 1.10 U$S/MWh generado para el período considerado. Además de la tarifa fija, el contrato cubre reparaciones, inspecciones y reacondicionamientos sustanciales solicitados. No se esperan reacondicionamientos sustanciales en 2019.</w:t>
      </w:r>
    </w:p>
    <w:p w14:paraId="7D9A9B89" w14:textId="3AED5DEC" w:rsidR="007325F3" w:rsidRPr="00582114" w:rsidRDefault="007325F3"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 xml:space="preserve">III) Siemens: (a) Partes extranjeras: incluye una tarifa variable trimestral sobre horas equivalentes efectivas y una tarifa fija. (b) Servicios extranjeros: incluye una tarifa fija trimestral. (c) Servicios en el país: incluye una tarifa fija trimestral e inspecciones programadas. Todas las tarifas están sujetas a incrementos trimestrales conforme a lo previsto en los contratos. Debido al escaso despacho esperado en las centrales de generación de La Rioja y </w:t>
      </w:r>
      <w:r w:rsidR="00892038" w:rsidRPr="00582114">
        <w:rPr>
          <w:rFonts w:ascii="Garamond" w:eastAsia="MS Mincho" w:hAnsi="Garamond" w:cs="Times New Roman"/>
          <w:sz w:val="16"/>
          <w:szCs w:val="16"/>
          <w:lang w:eastAsia="es-ES"/>
        </w:rPr>
        <w:t>Tucumán</w:t>
      </w:r>
      <w:r w:rsidRPr="00582114">
        <w:rPr>
          <w:rFonts w:ascii="Garamond" w:eastAsia="MS Mincho" w:hAnsi="Garamond" w:cs="Times New Roman"/>
          <w:sz w:val="16"/>
          <w:szCs w:val="16"/>
          <w:lang w:eastAsia="es-ES"/>
        </w:rPr>
        <w:t>, el costo anual promedio es de 6.00 U$S/MWh generado para el período considerado.</w:t>
      </w:r>
    </w:p>
    <w:p w14:paraId="2F4DCF08" w14:textId="77777777" w:rsidR="007325F3" w:rsidRPr="00582114" w:rsidRDefault="007325F3"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(3) Basado en costos estimados promedio por empleado multiplicado por la cantidad de empleados (152 en Generación Mediterránea y 28 en Central Térmica Roca).</w:t>
      </w:r>
    </w:p>
    <w:p w14:paraId="570C2DE9" w14:textId="77777777" w:rsidR="007325F3" w:rsidRPr="00582114" w:rsidRDefault="007325F3" w:rsidP="00582114">
      <w:pPr>
        <w:spacing w:line="240" w:lineRule="auto"/>
        <w:jc w:val="both"/>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(4) Incluye: seguro, rubros de mantenimiento, gastos generales y de auditores, costos legales, impuestos locales y municipales, personal y costos administrativos, costos de CAMMESA.</w:t>
      </w:r>
    </w:p>
    <w:p w14:paraId="13D5AB78" w14:textId="77777777" w:rsidR="00401B26" w:rsidRDefault="00401B26" w:rsidP="00A438F1">
      <w:pPr>
        <w:keepNext/>
        <w:keepLines/>
        <w:spacing w:after="0" w:line="240" w:lineRule="auto"/>
        <w:jc w:val="both"/>
        <w:rPr>
          <w:rFonts w:ascii="Garamond" w:hAnsi="Garamond"/>
          <w:sz w:val="10"/>
          <w:szCs w:val="10"/>
          <w:lang w:val="es-AR"/>
        </w:rPr>
      </w:pPr>
    </w:p>
    <w:p w14:paraId="071FD557" w14:textId="04683A43" w:rsidR="00401B26" w:rsidRDefault="007325F3" w:rsidP="00A438F1">
      <w:pPr>
        <w:keepNext/>
        <w:keepLines/>
        <w:spacing w:after="0" w:line="240" w:lineRule="auto"/>
        <w:jc w:val="both"/>
        <w:rPr>
          <w:rFonts w:ascii="Garamond" w:hAnsi="Garamond"/>
          <w:sz w:val="10"/>
          <w:szCs w:val="10"/>
          <w:lang w:val="es-AR"/>
        </w:rPr>
      </w:pPr>
      <w:r w:rsidRPr="00582114">
        <w:rPr>
          <w:rFonts w:ascii="Garamond" w:hAnsi="Garamond"/>
          <w:noProof/>
          <w:sz w:val="10"/>
          <w:szCs w:val="10"/>
          <w:lang w:val="es-AR" w:eastAsia="es-AR"/>
        </w:rPr>
        <w:drawing>
          <wp:inline distT="0" distB="0" distL="0" distR="0" wp14:anchorId="30949AA5" wp14:editId="0F2E6A1E">
            <wp:extent cx="5372338" cy="2625931"/>
            <wp:effectExtent l="0" t="0" r="0" b="0"/>
            <wp:docPr id="1126" name="Imagen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2789" cy="2631039"/>
                    </a:xfrm>
                    <a:prstGeom prst="rect">
                      <a:avLst/>
                    </a:prstGeom>
                    <a:noFill/>
                  </pic:spPr>
                </pic:pic>
              </a:graphicData>
            </a:graphic>
          </wp:inline>
        </w:drawing>
      </w:r>
    </w:p>
    <w:p w14:paraId="217BB91C" w14:textId="77777777" w:rsidR="007325F3" w:rsidRPr="00582114" w:rsidRDefault="007325F3" w:rsidP="007325F3">
      <w:pPr>
        <w:spacing w:line="240" w:lineRule="auto"/>
        <w:rPr>
          <w:rFonts w:ascii="Garamond" w:eastAsia="MS Mincho" w:hAnsi="Garamond" w:cs="Times New Roman"/>
          <w:sz w:val="16"/>
          <w:szCs w:val="16"/>
          <w:lang w:eastAsia="es-ES"/>
        </w:rPr>
      </w:pPr>
      <w:r w:rsidRPr="00582114">
        <w:rPr>
          <w:rFonts w:ascii="Garamond" w:eastAsia="MS Mincho" w:hAnsi="Garamond" w:cs="Times New Roman"/>
          <w:sz w:val="16"/>
          <w:szCs w:val="16"/>
          <w:lang w:eastAsia="es-ES"/>
        </w:rPr>
        <w:t>*Los proyectos de conversión a ciclo combinado de las centrales de Generación Río IV – TG 6:7:8 y Ezeiza – TG 1:2:3:4 no están considerados en la información contenida bajo el cuadro del Modelo Financiero que figura arriba.</w:t>
      </w:r>
    </w:p>
    <w:p w14:paraId="227926F0" w14:textId="77777777" w:rsidR="007325F3" w:rsidRPr="007325F3" w:rsidRDefault="007325F3" w:rsidP="007325F3">
      <w:pPr>
        <w:spacing w:before="120" w:after="120" w:line="240" w:lineRule="auto"/>
        <w:ind w:left="142"/>
        <w:contextualSpacing/>
        <w:jc w:val="both"/>
        <w:rPr>
          <w:rFonts w:ascii="Garamond" w:hAnsi="Garamond"/>
          <w:sz w:val="18"/>
          <w:szCs w:val="18"/>
        </w:rPr>
      </w:pPr>
    </w:p>
    <w:p w14:paraId="1CD78EC5" w14:textId="77777777" w:rsidR="007325F3" w:rsidRPr="00582114" w:rsidRDefault="007325F3" w:rsidP="00582114">
      <w:pPr>
        <w:keepNext/>
        <w:keepLines/>
        <w:numPr>
          <w:ilvl w:val="0"/>
          <w:numId w:val="137"/>
        </w:numPr>
        <w:spacing w:before="120" w:after="120" w:line="240" w:lineRule="auto"/>
        <w:ind w:left="0" w:firstLine="0"/>
        <w:contextualSpacing/>
        <w:jc w:val="both"/>
        <w:rPr>
          <w:rFonts w:ascii="Garamond" w:hAnsi="Garamond"/>
          <w:sz w:val="16"/>
          <w:szCs w:val="16"/>
        </w:rPr>
      </w:pPr>
      <w:r w:rsidRPr="00582114">
        <w:rPr>
          <w:rFonts w:ascii="Garamond" w:hAnsi="Garamond"/>
          <w:sz w:val="16"/>
          <w:szCs w:val="16"/>
        </w:rPr>
        <w:lastRenderedPageBreak/>
        <w:t>Los ingresos en virtud de la Resolución 1/19 reflejan el esquema de precios actual al 1ero de marzo de 2019 (la compensación anterior fue establecida en virtud de la Resolución 19/17). Con respecto a la Resolución 1281/06 (Energía Plus), los contratos tienen un plazo promedio que oscila entre los 12 y los 24 meses. Suponemos que los contratos se renuevan a su vencimiento en términos similares y que no se contrata nueva capacidad en virtud de este esquema regulatorio. La suposición cuando se extingue el plazo de un CCEE es que la capacidad disponible previamente contratada en virtud de ese CCEE quedará sujeta al marco regulatorio previsto por la Resolución 1/19 y será remunerada conforme al mismo. Esta suposición se basa en las características actuales y esperadas de las turbinas y de su estado de mantenimiento, entre otros factores. El cuadro debajo incluye información relacionada con nuestras centrales de generación, incluido el plazo de los CCEE para cada central de generación.</w:t>
      </w:r>
    </w:p>
    <w:p w14:paraId="4B478C8B" w14:textId="2C5EB6F9" w:rsidR="00401B26" w:rsidRDefault="00401B26">
      <w:pPr>
        <w:keepNext/>
        <w:keepLines/>
        <w:spacing w:after="0" w:line="240" w:lineRule="auto"/>
        <w:jc w:val="both"/>
        <w:rPr>
          <w:rFonts w:ascii="Garamond" w:hAnsi="Garamond"/>
          <w:sz w:val="10"/>
          <w:szCs w:val="10"/>
          <w:lang w:val="es-AR"/>
        </w:rPr>
      </w:pPr>
      <w:r>
        <w:rPr>
          <w:rFonts w:ascii="Garamond" w:hAnsi="Garamond"/>
          <w:sz w:val="10"/>
          <w:szCs w:val="10"/>
          <w:lang w:val="es-AR"/>
        </w:rPr>
        <w:tab/>
      </w:r>
    </w:p>
    <w:p w14:paraId="59AD9386" w14:textId="77777777" w:rsidR="00401B26" w:rsidRDefault="00401B26">
      <w:pPr>
        <w:keepNext/>
        <w:keepLines/>
        <w:spacing w:after="0" w:line="240" w:lineRule="auto"/>
        <w:jc w:val="both"/>
        <w:rPr>
          <w:rFonts w:ascii="Garamond" w:hAnsi="Garamond"/>
          <w:sz w:val="10"/>
          <w:szCs w:val="10"/>
          <w:lang w:val="es-AR"/>
        </w:rPr>
      </w:pPr>
    </w:p>
    <w:p w14:paraId="247D3D9D" w14:textId="05FF514E" w:rsidR="00401B26" w:rsidRDefault="00401B26">
      <w:pPr>
        <w:keepNext/>
        <w:keepLines/>
        <w:spacing w:after="0" w:line="240" w:lineRule="auto"/>
        <w:jc w:val="both"/>
        <w:rPr>
          <w:rFonts w:ascii="Garamond" w:hAnsi="Garamond"/>
          <w:sz w:val="10"/>
          <w:szCs w:val="10"/>
          <w:lang w:val="es-AR"/>
        </w:rPr>
      </w:pPr>
      <w:r>
        <w:rPr>
          <w:rFonts w:ascii="Garamond" w:hAnsi="Garamond"/>
          <w:noProof/>
          <w:sz w:val="10"/>
          <w:szCs w:val="10"/>
          <w:lang w:val="es-AR" w:eastAsia="es-AR"/>
        </w:rPr>
        <w:drawing>
          <wp:inline distT="0" distB="0" distL="0" distR="0" wp14:anchorId="7C1EA253" wp14:editId="69CA1184">
            <wp:extent cx="5405755" cy="2217687"/>
            <wp:effectExtent l="0" t="0" r="4445" b="0"/>
            <wp:docPr id="1123" name="Imagen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44064" cy="2233403"/>
                    </a:xfrm>
                    <a:prstGeom prst="rect">
                      <a:avLst/>
                    </a:prstGeom>
                    <a:noFill/>
                  </pic:spPr>
                </pic:pic>
              </a:graphicData>
            </a:graphic>
          </wp:inline>
        </w:drawing>
      </w:r>
    </w:p>
    <w:p w14:paraId="0B8889E1" w14:textId="6E20985C" w:rsidR="00401B26" w:rsidRPr="00582114" w:rsidRDefault="00401B26">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w:t>
      </w:r>
      <w:r w:rsidR="00C5743F">
        <w:rPr>
          <w:rFonts w:ascii="Garamond" w:hAnsi="Garamond"/>
          <w:sz w:val="16"/>
          <w:szCs w:val="16"/>
          <w:lang w:val="es-AR"/>
        </w:rPr>
        <w:t>2</w:t>
      </w:r>
      <w:r w:rsidRPr="00582114">
        <w:rPr>
          <w:rFonts w:ascii="Garamond" w:hAnsi="Garamond"/>
          <w:sz w:val="16"/>
          <w:szCs w:val="16"/>
          <w:lang w:val="es-AR"/>
        </w:rPr>
        <w:t>)</w:t>
      </w:r>
      <w:r w:rsidRPr="00582114">
        <w:rPr>
          <w:rFonts w:ascii="Garamond" w:hAnsi="Garamond"/>
          <w:sz w:val="16"/>
          <w:szCs w:val="16"/>
          <w:lang w:val="es-AR"/>
        </w:rPr>
        <w:tab/>
        <w:t>Aproximadamente el 60% de los gastos estimados está denominado en U$S y el 40% está denominado en AR$. Suponemos que las variaciones en el índice de inflación y en el tipo de cambio se compensan ligeramente entre sí.</w:t>
      </w:r>
    </w:p>
    <w:p w14:paraId="101E31AE" w14:textId="77777777" w:rsidR="00401B26" w:rsidRPr="00582114" w:rsidRDefault="00401B26" w:rsidP="00A438F1">
      <w:pPr>
        <w:keepNext/>
        <w:keepLines/>
        <w:spacing w:after="0" w:line="240" w:lineRule="auto"/>
        <w:jc w:val="both"/>
        <w:rPr>
          <w:rFonts w:ascii="Garamond" w:hAnsi="Garamond"/>
          <w:sz w:val="16"/>
          <w:szCs w:val="16"/>
          <w:lang w:val="es-AR"/>
        </w:rPr>
      </w:pPr>
    </w:p>
    <w:p w14:paraId="71648D21" w14:textId="7381E85F" w:rsidR="00401B26" w:rsidRPr="00582114" w:rsidRDefault="00401B26" w:rsidP="00A438F1">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w:t>
      </w:r>
      <w:r w:rsidR="00C5743F">
        <w:rPr>
          <w:rFonts w:ascii="Garamond" w:hAnsi="Garamond"/>
          <w:sz w:val="16"/>
          <w:szCs w:val="16"/>
          <w:lang w:val="es-AR"/>
        </w:rPr>
        <w:t>3</w:t>
      </w:r>
      <w:r w:rsidRPr="00582114">
        <w:rPr>
          <w:rFonts w:ascii="Garamond" w:hAnsi="Garamond"/>
          <w:sz w:val="16"/>
          <w:szCs w:val="16"/>
          <w:lang w:val="es-AR"/>
        </w:rPr>
        <w:t>)</w:t>
      </w:r>
      <w:r w:rsidRPr="00582114">
        <w:rPr>
          <w:rFonts w:ascii="Garamond" w:hAnsi="Garamond"/>
          <w:sz w:val="16"/>
          <w:szCs w:val="16"/>
          <w:lang w:val="es-AR"/>
        </w:rPr>
        <w:tab/>
        <w:t>Refleja ingresos menos gastos y no incluye depreciación y amortización, intereses pagados, ganancia financiera e impuesto a las ganancias.</w:t>
      </w:r>
    </w:p>
    <w:p w14:paraId="398713ED" w14:textId="77777777" w:rsidR="00401B26" w:rsidRPr="00582114" w:rsidRDefault="00401B26" w:rsidP="00A438F1">
      <w:pPr>
        <w:keepNext/>
        <w:keepLines/>
        <w:spacing w:after="0" w:line="240" w:lineRule="auto"/>
        <w:jc w:val="both"/>
        <w:rPr>
          <w:rFonts w:ascii="Garamond" w:hAnsi="Garamond"/>
          <w:sz w:val="16"/>
          <w:szCs w:val="16"/>
          <w:lang w:val="es-AR"/>
        </w:rPr>
      </w:pPr>
    </w:p>
    <w:p w14:paraId="0E1440BE" w14:textId="59BC7487" w:rsidR="00401B26" w:rsidRPr="00582114" w:rsidRDefault="00401B26" w:rsidP="00A438F1">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w:t>
      </w:r>
      <w:r w:rsidR="00C5743F">
        <w:rPr>
          <w:rFonts w:ascii="Garamond" w:hAnsi="Garamond"/>
          <w:sz w:val="16"/>
          <w:szCs w:val="16"/>
          <w:lang w:val="es-AR"/>
        </w:rPr>
        <w:t>4</w:t>
      </w:r>
      <w:r w:rsidRPr="00582114">
        <w:rPr>
          <w:rFonts w:ascii="Garamond" w:hAnsi="Garamond"/>
          <w:sz w:val="16"/>
          <w:szCs w:val="16"/>
          <w:lang w:val="es-AR"/>
        </w:rPr>
        <w:t>)</w:t>
      </w:r>
      <w:r w:rsidRPr="00582114">
        <w:rPr>
          <w:rFonts w:ascii="Garamond" w:hAnsi="Garamond"/>
          <w:sz w:val="16"/>
          <w:szCs w:val="16"/>
          <w:lang w:val="es-AR"/>
        </w:rPr>
        <w:tab/>
        <w:t>Refleja ingresos (más IVA) menos contratos por servicios (más IVA), gastos por personal, impuesto a las ganancias y otros gastos (más IVA).</w:t>
      </w:r>
    </w:p>
    <w:p w14:paraId="3A04841A" w14:textId="77777777" w:rsidR="00401B26" w:rsidRPr="00582114" w:rsidRDefault="00401B26" w:rsidP="00A438F1">
      <w:pPr>
        <w:keepNext/>
        <w:keepLines/>
        <w:spacing w:after="0" w:line="240" w:lineRule="auto"/>
        <w:jc w:val="both"/>
        <w:rPr>
          <w:rFonts w:ascii="Garamond" w:hAnsi="Garamond"/>
          <w:sz w:val="16"/>
          <w:szCs w:val="16"/>
          <w:lang w:val="es-AR"/>
        </w:rPr>
      </w:pPr>
    </w:p>
    <w:p w14:paraId="5A4CB36F" w14:textId="2DCF4E2A" w:rsidR="00401B26" w:rsidRPr="00582114" w:rsidRDefault="00401B26" w:rsidP="00A438F1">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w:t>
      </w:r>
      <w:r w:rsidR="00C5743F">
        <w:rPr>
          <w:rFonts w:ascii="Garamond" w:hAnsi="Garamond"/>
          <w:sz w:val="16"/>
          <w:szCs w:val="16"/>
          <w:lang w:val="es-AR"/>
        </w:rPr>
        <w:t>5</w:t>
      </w:r>
      <w:r w:rsidRPr="00582114">
        <w:rPr>
          <w:rFonts w:ascii="Garamond" w:hAnsi="Garamond"/>
          <w:sz w:val="16"/>
          <w:szCs w:val="16"/>
          <w:lang w:val="es-AR"/>
        </w:rPr>
        <w:t>)</w:t>
      </w:r>
      <w:r w:rsidRPr="00582114">
        <w:rPr>
          <w:rFonts w:ascii="Garamond" w:hAnsi="Garamond"/>
          <w:sz w:val="16"/>
          <w:szCs w:val="16"/>
          <w:lang w:val="es-AR"/>
        </w:rPr>
        <w:tab/>
        <w:t>Supone las siguientes inversiones de capital para los siguientes años:</w:t>
      </w:r>
    </w:p>
    <w:p w14:paraId="4B8C88EF" w14:textId="77777777" w:rsidR="00401B26" w:rsidRPr="00582114" w:rsidRDefault="00401B26" w:rsidP="00A438F1">
      <w:pPr>
        <w:keepNext/>
        <w:keepLines/>
        <w:spacing w:after="0" w:line="240" w:lineRule="auto"/>
        <w:jc w:val="both"/>
        <w:rPr>
          <w:rFonts w:ascii="Garamond" w:hAnsi="Garamond"/>
          <w:sz w:val="16"/>
          <w:szCs w:val="16"/>
          <w:lang w:val="es-AR"/>
        </w:rPr>
      </w:pPr>
    </w:p>
    <w:p w14:paraId="696E09F8" w14:textId="77777777" w:rsidR="00401B26" w:rsidRPr="00582114" w:rsidRDefault="00401B26" w:rsidP="00A438F1">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a.</w:t>
      </w:r>
      <w:r w:rsidRPr="00582114">
        <w:rPr>
          <w:rFonts w:ascii="Garamond" w:hAnsi="Garamond"/>
          <w:sz w:val="16"/>
          <w:szCs w:val="16"/>
          <w:lang w:val="es-AR"/>
        </w:rPr>
        <w:tab/>
        <w:t>2019: saldo por financiamiento comercial (Siemens) por la construcción de nuestras centrales de generación de ciclo simple en Ezeiza (en virtud de los CCEE bajo la Resolución 21/16) y Tucumán (en virtud de los CCEE bajo la Resolución 21/16) y principalmente equipo, IVA asociado a la importación de esos equipos y trabajos en el sitio relacionados con la ampliación y la conversión a ciclo combinado en nuestras centrales ubicadas en Río Cuarto y en Ezeiza en virtud de los CCEE adjudicados bajo la Resolución 287/17.</w:t>
      </w:r>
    </w:p>
    <w:p w14:paraId="3D81646F" w14:textId="77777777" w:rsidR="00401B26" w:rsidRPr="00582114" w:rsidRDefault="00401B26" w:rsidP="00A438F1">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b.</w:t>
      </w:r>
      <w:r w:rsidRPr="00582114">
        <w:rPr>
          <w:rFonts w:ascii="Garamond" w:hAnsi="Garamond"/>
          <w:sz w:val="16"/>
          <w:szCs w:val="16"/>
          <w:lang w:val="es-AR"/>
        </w:rPr>
        <w:tab/>
        <w:t>2020: saldo por financiamiento comercial (Siemens) por la construcción de nuestras centrales de generación de ciclo simple en Ezeiza (en virtud de los CCEE bajo la Resolución 21/16)</w:t>
      </w:r>
    </w:p>
    <w:p w14:paraId="27F6BB09" w14:textId="77777777" w:rsidR="00401B26" w:rsidRPr="00582114" w:rsidRDefault="00401B26" w:rsidP="00A438F1">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c.</w:t>
      </w:r>
      <w:r w:rsidRPr="00582114">
        <w:rPr>
          <w:rFonts w:ascii="Garamond" w:hAnsi="Garamond"/>
          <w:sz w:val="16"/>
          <w:szCs w:val="16"/>
          <w:lang w:val="es-AR"/>
        </w:rPr>
        <w:tab/>
        <w:t xml:space="preserve">2021 y 2022: pagos en virtud de contratos de leasing de equipos (transformadores eléctricos) adquiridos para la ampliación de capacidad de nuestras centrales de generación ubicadas en Tucumán y en Ezeiza. </w:t>
      </w:r>
    </w:p>
    <w:p w14:paraId="3F721166" w14:textId="77777777" w:rsidR="00401B26" w:rsidRPr="00582114" w:rsidRDefault="00401B26" w:rsidP="00A438F1">
      <w:pPr>
        <w:keepNext/>
        <w:keepLines/>
        <w:spacing w:after="0" w:line="240" w:lineRule="auto"/>
        <w:jc w:val="both"/>
        <w:rPr>
          <w:rFonts w:ascii="Garamond" w:hAnsi="Garamond"/>
          <w:sz w:val="16"/>
          <w:szCs w:val="16"/>
          <w:lang w:val="es-AR"/>
        </w:rPr>
      </w:pPr>
    </w:p>
    <w:p w14:paraId="16125AB0" w14:textId="04F6630C" w:rsidR="00401B26" w:rsidRPr="00582114" w:rsidRDefault="00401B26" w:rsidP="00A438F1">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w:t>
      </w:r>
      <w:r w:rsidR="00C5743F">
        <w:rPr>
          <w:rFonts w:ascii="Garamond" w:hAnsi="Garamond"/>
          <w:sz w:val="16"/>
          <w:szCs w:val="16"/>
          <w:lang w:val="es-AR"/>
        </w:rPr>
        <w:t>6</w:t>
      </w:r>
      <w:r w:rsidRPr="00582114">
        <w:rPr>
          <w:rFonts w:ascii="Garamond" w:hAnsi="Garamond"/>
          <w:sz w:val="16"/>
          <w:szCs w:val="16"/>
          <w:lang w:val="es-AR"/>
        </w:rPr>
        <w:t>)</w:t>
      </w:r>
      <w:r w:rsidRPr="00582114">
        <w:rPr>
          <w:rFonts w:ascii="Garamond" w:hAnsi="Garamond"/>
          <w:sz w:val="16"/>
          <w:szCs w:val="16"/>
          <w:lang w:val="es-AR"/>
        </w:rPr>
        <w:tab/>
        <w:t>Refleja el flujo de efectivo operativo menos inversiones de capital.</w:t>
      </w:r>
    </w:p>
    <w:p w14:paraId="592DC33D" w14:textId="77777777" w:rsidR="00401B26" w:rsidRPr="00582114" w:rsidRDefault="00401B26" w:rsidP="00A438F1">
      <w:pPr>
        <w:keepNext/>
        <w:keepLines/>
        <w:spacing w:after="0" w:line="240" w:lineRule="auto"/>
        <w:jc w:val="both"/>
        <w:rPr>
          <w:rFonts w:ascii="Garamond" w:hAnsi="Garamond"/>
          <w:sz w:val="16"/>
          <w:szCs w:val="16"/>
          <w:lang w:val="es-AR"/>
        </w:rPr>
      </w:pPr>
    </w:p>
    <w:p w14:paraId="4BA7E8EE" w14:textId="7B428944" w:rsidR="00401B26" w:rsidRPr="00582114" w:rsidRDefault="00401B26" w:rsidP="00A438F1">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w:t>
      </w:r>
      <w:r w:rsidR="00C5743F">
        <w:rPr>
          <w:rFonts w:ascii="Garamond" w:hAnsi="Garamond"/>
          <w:sz w:val="16"/>
          <w:szCs w:val="16"/>
          <w:lang w:val="es-AR"/>
        </w:rPr>
        <w:t>7</w:t>
      </w:r>
      <w:r w:rsidRPr="00582114">
        <w:rPr>
          <w:rFonts w:ascii="Garamond" w:hAnsi="Garamond"/>
          <w:sz w:val="16"/>
          <w:szCs w:val="16"/>
          <w:lang w:val="es-AR"/>
        </w:rPr>
        <w:t>)</w:t>
      </w:r>
      <w:r w:rsidRPr="00582114">
        <w:rPr>
          <w:rFonts w:ascii="Garamond" w:hAnsi="Garamond"/>
          <w:sz w:val="16"/>
          <w:szCs w:val="16"/>
          <w:lang w:val="es-AR"/>
        </w:rPr>
        <w:tab/>
        <w:t>Supone que el monto de capital de las obligaciones negociables ofrecidas por el presente será de U$S 80 millones. El financiamiento comercial no se incluye en la Deuda Financiera Total.</w:t>
      </w:r>
    </w:p>
    <w:p w14:paraId="039FD046" w14:textId="77777777" w:rsidR="00401B26" w:rsidRPr="00582114" w:rsidRDefault="00401B26" w:rsidP="00A438F1">
      <w:pPr>
        <w:keepNext/>
        <w:keepLines/>
        <w:spacing w:after="0" w:line="240" w:lineRule="auto"/>
        <w:jc w:val="both"/>
        <w:rPr>
          <w:rFonts w:ascii="Garamond" w:hAnsi="Garamond"/>
          <w:sz w:val="16"/>
          <w:szCs w:val="16"/>
          <w:lang w:val="es-AR"/>
        </w:rPr>
      </w:pPr>
    </w:p>
    <w:p w14:paraId="2505D0CB" w14:textId="4298E19A" w:rsidR="00401B26" w:rsidRPr="00582114" w:rsidRDefault="00401B26" w:rsidP="00A438F1">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w:t>
      </w:r>
      <w:r w:rsidR="00C5743F">
        <w:rPr>
          <w:rFonts w:ascii="Garamond" w:hAnsi="Garamond"/>
          <w:sz w:val="16"/>
          <w:szCs w:val="16"/>
          <w:lang w:val="es-AR"/>
        </w:rPr>
        <w:t>8</w:t>
      </w:r>
      <w:r w:rsidRPr="00582114">
        <w:rPr>
          <w:rFonts w:ascii="Garamond" w:hAnsi="Garamond"/>
          <w:sz w:val="16"/>
          <w:szCs w:val="16"/>
          <w:lang w:val="es-AR"/>
        </w:rPr>
        <w:t>)</w:t>
      </w:r>
      <w:r w:rsidRPr="00582114">
        <w:rPr>
          <w:rFonts w:ascii="Garamond" w:hAnsi="Garamond"/>
          <w:sz w:val="16"/>
          <w:szCs w:val="16"/>
          <w:lang w:val="es-AR"/>
        </w:rPr>
        <w:tab/>
        <w:t xml:space="preserve">Refleja el efectivo al cierre del ejercicio anterior más el flujo de efectivo libre durante el ejercicio más la nueva deuda financiera incurrida menos la deuda financiera cancelada menos los gastos financieros e intereses pagados. Los intereses financieros pagados se calculan sobre la deuda financiera total. Suponemos una tasa de interés promedio ilustrativa del 10%. Un aumento o disminución del 10% de nuestra tasa de interés promedio ilustrativa pagadera sobre nuestra deuda financiera aumentaría o disminuiría, respectivamente, nuestros intereses financieros pagados en aproximadamente U$S 6 millones anuales. </w:t>
      </w:r>
    </w:p>
    <w:p w14:paraId="6B27BA89" w14:textId="77777777" w:rsidR="00401B26" w:rsidRPr="00582114" w:rsidRDefault="00401B26" w:rsidP="00A438F1">
      <w:pPr>
        <w:keepNext/>
        <w:keepLines/>
        <w:spacing w:after="0" w:line="240" w:lineRule="auto"/>
        <w:jc w:val="both"/>
        <w:rPr>
          <w:rFonts w:ascii="Garamond" w:hAnsi="Garamond"/>
          <w:sz w:val="16"/>
          <w:szCs w:val="16"/>
          <w:lang w:val="es-AR"/>
        </w:rPr>
      </w:pPr>
    </w:p>
    <w:p w14:paraId="61EE8FDD" w14:textId="7E1399FF" w:rsidR="00401B26" w:rsidRPr="00582114" w:rsidRDefault="00401B26" w:rsidP="00A438F1">
      <w:pPr>
        <w:keepNext/>
        <w:keepLines/>
        <w:spacing w:after="0" w:line="240" w:lineRule="auto"/>
        <w:jc w:val="both"/>
        <w:rPr>
          <w:rFonts w:ascii="Garamond" w:hAnsi="Garamond"/>
          <w:sz w:val="16"/>
          <w:szCs w:val="16"/>
          <w:lang w:val="es-AR"/>
        </w:rPr>
      </w:pPr>
      <w:r w:rsidRPr="00582114">
        <w:rPr>
          <w:rFonts w:ascii="Garamond" w:hAnsi="Garamond"/>
          <w:sz w:val="16"/>
          <w:szCs w:val="16"/>
          <w:lang w:val="es-AR"/>
        </w:rPr>
        <w:t>(</w:t>
      </w:r>
      <w:r w:rsidR="00C5743F">
        <w:rPr>
          <w:rFonts w:ascii="Garamond" w:hAnsi="Garamond"/>
          <w:sz w:val="16"/>
          <w:szCs w:val="16"/>
          <w:lang w:val="es-AR"/>
        </w:rPr>
        <w:t>9</w:t>
      </w:r>
      <w:r w:rsidRPr="00582114">
        <w:rPr>
          <w:rFonts w:ascii="Garamond" w:hAnsi="Garamond"/>
          <w:sz w:val="16"/>
          <w:szCs w:val="16"/>
          <w:lang w:val="es-AR"/>
        </w:rPr>
        <w:t>)</w:t>
      </w:r>
      <w:r w:rsidRPr="00582114">
        <w:rPr>
          <w:rFonts w:ascii="Garamond" w:hAnsi="Garamond"/>
          <w:sz w:val="16"/>
          <w:szCs w:val="16"/>
          <w:lang w:val="es-AR"/>
        </w:rPr>
        <w:tab/>
        <w:t>Refleja la deuda financiera total menos efectivo y equivalentes de efectivo.</w:t>
      </w:r>
    </w:p>
    <w:p w14:paraId="5B62656A" w14:textId="40C9BB2B" w:rsidR="007325F3" w:rsidRPr="00A438F1" w:rsidRDefault="007325F3" w:rsidP="00A438F1">
      <w:pPr>
        <w:keepNext/>
        <w:keepLines/>
        <w:spacing w:after="0" w:line="240" w:lineRule="auto"/>
        <w:jc w:val="both"/>
        <w:rPr>
          <w:rFonts w:ascii="Garamond" w:hAnsi="Garamond"/>
          <w:sz w:val="10"/>
          <w:szCs w:val="10"/>
          <w:lang w:val="es-AR"/>
        </w:rPr>
      </w:pPr>
    </w:p>
    <w:p w14:paraId="2869AB32" w14:textId="77777777" w:rsidR="00401B26" w:rsidRDefault="00401B26" w:rsidP="00D31D22">
      <w:pPr>
        <w:spacing w:after="0" w:line="240" w:lineRule="auto"/>
        <w:jc w:val="both"/>
        <w:rPr>
          <w:rFonts w:ascii="Garamond" w:hAnsi="Garamond"/>
          <w:b/>
          <w:i/>
          <w:sz w:val="20"/>
          <w:szCs w:val="20"/>
          <w:lang w:val="es-AR"/>
        </w:rPr>
      </w:pPr>
    </w:p>
    <w:p w14:paraId="3CA5E48E" w14:textId="77777777" w:rsidR="007325F3" w:rsidRDefault="007325F3">
      <w:pPr>
        <w:rPr>
          <w:rFonts w:ascii="Garamond" w:hAnsi="Garamond"/>
          <w:b/>
          <w:i/>
          <w:sz w:val="20"/>
          <w:szCs w:val="20"/>
          <w:lang w:val="es-AR"/>
        </w:rPr>
      </w:pPr>
      <w:r>
        <w:rPr>
          <w:rFonts w:ascii="Garamond" w:hAnsi="Garamond"/>
          <w:b/>
          <w:i/>
          <w:sz w:val="20"/>
          <w:szCs w:val="20"/>
          <w:lang w:val="es-AR"/>
        </w:rPr>
        <w:br w:type="page"/>
      </w:r>
    </w:p>
    <w:p w14:paraId="2398F9BA" w14:textId="2F7F2B1E" w:rsidR="00D31D22" w:rsidRPr="00CA0A60" w:rsidRDefault="00D31D22" w:rsidP="00D31D22">
      <w:pPr>
        <w:spacing w:after="0" w:line="240" w:lineRule="auto"/>
        <w:jc w:val="both"/>
        <w:rPr>
          <w:rFonts w:ascii="Garamond" w:hAnsi="Garamond"/>
          <w:b/>
          <w:i/>
          <w:sz w:val="20"/>
          <w:szCs w:val="20"/>
          <w:lang w:val="es-AR"/>
        </w:rPr>
      </w:pPr>
      <w:r w:rsidRPr="00CA0A60">
        <w:rPr>
          <w:rFonts w:ascii="Garamond" w:hAnsi="Garamond"/>
          <w:b/>
          <w:i/>
          <w:sz w:val="20"/>
          <w:szCs w:val="20"/>
          <w:lang w:val="es-AR"/>
        </w:rPr>
        <w:lastRenderedPageBreak/>
        <w:t>GEMSA</w:t>
      </w:r>
    </w:p>
    <w:p w14:paraId="3EB1298A" w14:textId="77777777" w:rsidR="00D31D22" w:rsidRPr="00CA0A60" w:rsidRDefault="00D31D22" w:rsidP="00D31D22">
      <w:pPr>
        <w:spacing w:after="0" w:line="240" w:lineRule="auto"/>
        <w:jc w:val="both"/>
        <w:rPr>
          <w:rFonts w:ascii="Garamond" w:hAnsi="Garamond"/>
          <w:sz w:val="20"/>
          <w:szCs w:val="20"/>
          <w:lang w:val="es-AR"/>
        </w:rPr>
      </w:pPr>
    </w:p>
    <w:p w14:paraId="2D936C39" w14:textId="14E883D5" w:rsidR="00D31D22" w:rsidRPr="00CA0A60" w:rsidRDefault="00D31D22" w:rsidP="00002289">
      <w:pPr>
        <w:spacing w:after="0" w:line="240" w:lineRule="auto"/>
        <w:jc w:val="both"/>
        <w:rPr>
          <w:rFonts w:ascii="Garamond" w:hAnsi="Garamond"/>
          <w:sz w:val="20"/>
          <w:szCs w:val="20"/>
          <w:lang w:val="es-AR"/>
        </w:rPr>
      </w:pPr>
      <w:r w:rsidRPr="00CA0A60">
        <w:rPr>
          <w:rFonts w:ascii="Garamond" w:hAnsi="Garamond"/>
          <w:sz w:val="20"/>
          <w:szCs w:val="20"/>
          <w:lang w:val="es-AR"/>
        </w:rPr>
        <w:t>La</w:t>
      </w:r>
      <w:r w:rsidRPr="00CA0A60">
        <w:rPr>
          <w:rFonts w:ascii="Garamond" w:hAnsi="Garamond"/>
          <w:sz w:val="20"/>
          <w:lang w:val="es-AR"/>
        </w:rPr>
        <w:t xml:space="preserve"> información financiera </w:t>
      </w:r>
      <w:r w:rsidRPr="00CA0A60">
        <w:rPr>
          <w:rFonts w:ascii="Garamond" w:hAnsi="Garamond"/>
          <w:sz w:val="20"/>
          <w:szCs w:val="20"/>
          <w:lang w:val="es-AR"/>
        </w:rPr>
        <w:t>incluida en esta</w:t>
      </w:r>
      <w:r w:rsidRPr="00CA0A60">
        <w:rPr>
          <w:rFonts w:ascii="Garamond" w:hAnsi="Garamond"/>
          <w:sz w:val="20"/>
          <w:lang w:val="es-AR"/>
        </w:rPr>
        <w:t xml:space="preserve"> sección </w:t>
      </w:r>
      <w:r w:rsidRPr="00CA0A60">
        <w:rPr>
          <w:rFonts w:ascii="Garamond" w:hAnsi="Garamond"/>
          <w:sz w:val="20"/>
          <w:szCs w:val="20"/>
          <w:lang w:val="es-AR"/>
        </w:rPr>
        <w:t>correspondiente a los períodos de tres meses finalizados al 31 de marzo de 2019 y 2018 de GEMSA</w:t>
      </w:r>
      <w:r w:rsidR="00C33FD4" w:rsidRPr="00CA0A60">
        <w:rPr>
          <w:rFonts w:ascii="Garamond" w:hAnsi="Garamond"/>
          <w:sz w:val="20"/>
          <w:szCs w:val="20"/>
          <w:lang w:val="es-AR"/>
        </w:rPr>
        <w:t>, que</w:t>
      </w:r>
      <w:r w:rsidRPr="00CA0A60">
        <w:rPr>
          <w:rFonts w:ascii="Garamond" w:hAnsi="Garamond"/>
          <w:sz w:val="20"/>
          <w:szCs w:val="20"/>
          <w:lang w:val="es-AR"/>
        </w:rPr>
        <w:t xml:space="preserve"> ha sido extraída de los estados financieros intermedios por los períodos de tres meses finalizados al 31 de marzo de 2019 y 2018 de GEMSA, </w:t>
      </w:r>
      <w:r w:rsidR="004F7520" w:rsidRPr="00CA0A60">
        <w:rPr>
          <w:rFonts w:ascii="Garamond" w:hAnsi="Garamond"/>
          <w:sz w:val="20"/>
          <w:szCs w:val="20"/>
          <w:lang w:val="es-AR"/>
        </w:rPr>
        <w:t>y</w:t>
      </w:r>
      <w:r w:rsidRPr="00CA0A60">
        <w:rPr>
          <w:rFonts w:ascii="Garamond" w:hAnsi="Garamond"/>
          <w:sz w:val="20"/>
          <w:szCs w:val="20"/>
          <w:lang w:val="es-AR"/>
        </w:rPr>
        <w:t xml:space="preserve"> se encuentran disponibles en la página web y en oficinas de la Compañía, así como en la Autopista de la Información Financiera en la página web de la CNV publicados bajo los ID </w:t>
      </w:r>
      <w:r w:rsidR="00C33FD4" w:rsidRPr="00CA0A60">
        <w:rPr>
          <w:rFonts w:ascii="Garamond" w:hAnsi="Garamond"/>
          <w:sz w:val="20"/>
          <w:szCs w:val="20"/>
          <w:lang w:val="es-AR"/>
        </w:rPr>
        <w:t>4-2471045-D</w:t>
      </w:r>
      <w:r w:rsidRPr="00CA0A60">
        <w:rPr>
          <w:rFonts w:ascii="Garamond" w:hAnsi="Garamond"/>
          <w:sz w:val="20"/>
          <w:szCs w:val="20"/>
          <w:lang w:val="es-AR"/>
        </w:rPr>
        <w:t xml:space="preserve"> y ID </w:t>
      </w:r>
      <w:r w:rsidR="00421967" w:rsidRPr="00CA0A60">
        <w:rPr>
          <w:rFonts w:ascii="Garamond" w:hAnsi="Garamond"/>
          <w:sz w:val="20"/>
          <w:szCs w:val="20"/>
          <w:lang w:val="es-AR"/>
        </w:rPr>
        <w:t>4-572146-D</w:t>
      </w:r>
      <w:r w:rsidRPr="00CA0A60">
        <w:rPr>
          <w:rFonts w:ascii="Garamond" w:hAnsi="Garamond"/>
          <w:sz w:val="20"/>
          <w:szCs w:val="20"/>
          <w:lang w:val="es-AR"/>
        </w:rPr>
        <w:t>, respectivamente.</w:t>
      </w:r>
    </w:p>
    <w:p w14:paraId="0BAB9F6D" w14:textId="569A4CA8" w:rsidR="00D31D22" w:rsidRPr="00CA0A60" w:rsidRDefault="00D31D22" w:rsidP="00D31D22">
      <w:pPr>
        <w:spacing w:after="0" w:line="240" w:lineRule="auto"/>
        <w:jc w:val="both"/>
        <w:rPr>
          <w:rFonts w:ascii="Garamond" w:hAnsi="Garamond"/>
          <w:sz w:val="20"/>
          <w:szCs w:val="20"/>
          <w:lang w:val="es-AR"/>
        </w:rPr>
      </w:pPr>
    </w:p>
    <w:p w14:paraId="5D817B30" w14:textId="77777777" w:rsidR="00AE32CA" w:rsidRPr="00CA3A3D" w:rsidRDefault="00AE32CA" w:rsidP="00AE32CA">
      <w:pPr>
        <w:keepNext/>
        <w:keepLines/>
        <w:autoSpaceDE w:val="0"/>
        <w:autoSpaceDN w:val="0"/>
        <w:adjustRightInd w:val="0"/>
        <w:spacing w:after="0" w:line="224" w:lineRule="exact"/>
        <w:ind w:right="74"/>
        <w:rPr>
          <w:rFonts w:ascii="Garamond" w:hAnsi="Garamond"/>
          <w:b/>
          <w:sz w:val="20"/>
          <w:szCs w:val="20"/>
          <w:lang w:val="es-AR"/>
        </w:rPr>
      </w:pPr>
      <w:r w:rsidRPr="00CA3A3D">
        <w:rPr>
          <w:rFonts w:ascii="Garamond" w:hAnsi="Garamond"/>
          <w:b/>
          <w:i/>
          <w:sz w:val="20"/>
          <w:szCs w:val="20"/>
          <w:lang w:val="es-AR"/>
        </w:rPr>
        <w:t>Información sobre el estado de resultados (expresado en miles de pesos)</w:t>
      </w:r>
    </w:p>
    <w:p w14:paraId="4B5FCF8E" w14:textId="77777777" w:rsidR="00AE32CA" w:rsidRPr="00CA3A3D" w:rsidRDefault="00AE32CA" w:rsidP="00AE32CA">
      <w:pPr>
        <w:spacing w:after="0" w:line="240" w:lineRule="auto"/>
        <w:jc w:val="both"/>
        <w:rPr>
          <w:rFonts w:ascii="Garamond" w:hAnsi="Garamond"/>
          <w:b/>
          <w:sz w:val="20"/>
          <w:szCs w:val="20"/>
          <w:lang w:val="es-AR"/>
        </w:rPr>
      </w:pPr>
    </w:p>
    <w:p w14:paraId="35AA62BD" w14:textId="77777777" w:rsidR="00AE32CA" w:rsidRPr="00CA0A60" w:rsidRDefault="00AE32CA" w:rsidP="00AE32CA">
      <w:pPr>
        <w:keepNext/>
        <w:keepLines/>
        <w:spacing w:after="0"/>
        <w:rPr>
          <w:rFonts w:ascii="Garamond" w:hAnsi="Garamond"/>
          <w:b/>
          <w:sz w:val="20"/>
          <w:szCs w:val="20"/>
          <w:lang w:val="es-AR"/>
        </w:rPr>
      </w:pPr>
      <w:r w:rsidRPr="00CA3A3D">
        <w:rPr>
          <w:rFonts w:ascii="Garamond" w:hAnsi="Garamond"/>
          <w:sz w:val="20"/>
          <w:szCs w:val="20"/>
          <w:lang w:val="es-AR"/>
        </w:rPr>
        <w:t>Períodos de tres meses finalizados el 31 de marzo de 2019 y 2018 (expresados en pesos y bajo NIIF)</w:t>
      </w:r>
    </w:p>
    <w:p w14:paraId="649AB291" w14:textId="77777777" w:rsidR="00AE32CA" w:rsidRPr="00CA0A60" w:rsidRDefault="00AE32CA" w:rsidP="002B1E31">
      <w:pPr>
        <w:spacing w:after="0" w:line="240" w:lineRule="auto"/>
        <w:jc w:val="center"/>
        <w:rPr>
          <w:rFonts w:ascii="Garamond" w:hAnsi="Garamond"/>
          <w:b/>
          <w:sz w:val="20"/>
          <w:szCs w:val="20"/>
          <w:lang w:val="es-AR"/>
        </w:rPr>
      </w:pPr>
      <w:r w:rsidRPr="00CA0A60">
        <w:rPr>
          <w:noProof/>
          <w:lang w:val="es-AR" w:eastAsia="es-AR"/>
        </w:rPr>
        <w:drawing>
          <wp:inline distT="0" distB="0" distL="0" distR="0" wp14:anchorId="1DC15093" wp14:editId="1C3CE076">
            <wp:extent cx="4324350" cy="39338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4350" cy="3933825"/>
                    </a:xfrm>
                    <a:prstGeom prst="rect">
                      <a:avLst/>
                    </a:prstGeom>
                    <a:noFill/>
                    <a:ln>
                      <a:noFill/>
                    </a:ln>
                  </pic:spPr>
                </pic:pic>
              </a:graphicData>
            </a:graphic>
          </wp:inline>
        </w:drawing>
      </w:r>
    </w:p>
    <w:p w14:paraId="58B08A75" w14:textId="77777777" w:rsidR="00AE32CA" w:rsidRPr="00CA3A3D" w:rsidRDefault="00AE32CA" w:rsidP="002B1E31">
      <w:pPr>
        <w:keepNext/>
        <w:keepLines/>
        <w:spacing w:after="0" w:line="240" w:lineRule="auto"/>
        <w:jc w:val="both"/>
        <w:rPr>
          <w:rFonts w:ascii="Garamond" w:hAnsi="Garamond"/>
          <w:b/>
          <w:sz w:val="20"/>
          <w:szCs w:val="20"/>
          <w:lang w:val="es-AR"/>
        </w:rPr>
      </w:pPr>
      <w:r w:rsidRPr="00CA3A3D">
        <w:rPr>
          <w:rFonts w:ascii="Garamond" w:hAnsi="Garamond"/>
          <w:b/>
          <w:i/>
          <w:sz w:val="20"/>
          <w:szCs w:val="20"/>
          <w:lang w:val="es-AR"/>
        </w:rPr>
        <w:lastRenderedPageBreak/>
        <w:t>Información sobre el estado de situación patrimonial (expresado en miles de pesos)</w:t>
      </w:r>
      <w:r w:rsidRPr="00CA3A3D">
        <w:rPr>
          <w:rFonts w:ascii="Garamond" w:hAnsi="Garamond"/>
          <w:b/>
          <w:i/>
          <w:sz w:val="20"/>
          <w:szCs w:val="20"/>
          <w:lang w:val="es-AR"/>
        </w:rPr>
        <w:br/>
      </w:r>
      <w:r w:rsidRPr="00CA3A3D">
        <w:rPr>
          <w:rFonts w:ascii="Garamond" w:hAnsi="Garamond"/>
          <w:sz w:val="20"/>
          <w:szCs w:val="20"/>
          <w:lang w:val="es-AR"/>
        </w:rPr>
        <w:t>Saldos al 31 de marzo de 2019 (expresados en pesos y bajo NIIF)</w:t>
      </w:r>
    </w:p>
    <w:p w14:paraId="208BEC71" w14:textId="77777777" w:rsidR="00AE32CA" w:rsidRPr="00CA0A60" w:rsidRDefault="00AE32CA" w:rsidP="002B1E31">
      <w:pPr>
        <w:keepNext/>
        <w:keepLines/>
        <w:spacing w:after="0" w:line="240" w:lineRule="auto"/>
        <w:jc w:val="center"/>
        <w:rPr>
          <w:rFonts w:ascii="Garamond" w:hAnsi="Garamond"/>
          <w:b/>
          <w:sz w:val="20"/>
          <w:szCs w:val="20"/>
          <w:lang w:val="es-AR"/>
        </w:rPr>
      </w:pPr>
      <w:r w:rsidRPr="00CA0A60">
        <w:rPr>
          <w:noProof/>
          <w:lang w:val="es-AR" w:eastAsia="es-AR"/>
        </w:rPr>
        <w:drawing>
          <wp:inline distT="0" distB="0" distL="0" distR="0" wp14:anchorId="556B82DF" wp14:editId="18888825">
            <wp:extent cx="3246120" cy="825881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46120" cy="8258810"/>
                    </a:xfrm>
                    <a:prstGeom prst="rect">
                      <a:avLst/>
                    </a:prstGeom>
                    <a:noFill/>
                    <a:ln>
                      <a:noFill/>
                    </a:ln>
                  </pic:spPr>
                </pic:pic>
              </a:graphicData>
            </a:graphic>
          </wp:inline>
        </w:drawing>
      </w:r>
    </w:p>
    <w:p w14:paraId="4F1C7842" w14:textId="77777777" w:rsidR="00AE32CA" w:rsidRPr="00CA0A60" w:rsidRDefault="00AE32CA" w:rsidP="002B1E31">
      <w:pPr>
        <w:keepNext/>
        <w:keepLines/>
        <w:spacing w:after="0" w:line="240" w:lineRule="auto"/>
        <w:jc w:val="center"/>
        <w:rPr>
          <w:rFonts w:ascii="Garamond" w:hAnsi="Garamond"/>
          <w:b/>
          <w:sz w:val="20"/>
          <w:szCs w:val="20"/>
          <w:lang w:val="es-AR"/>
        </w:rPr>
      </w:pPr>
    </w:p>
    <w:p w14:paraId="123E6674" w14:textId="77777777" w:rsidR="00AE32CA" w:rsidRPr="00CA0A60" w:rsidRDefault="00AE32CA" w:rsidP="002B1E31">
      <w:pPr>
        <w:keepNext/>
        <w:keepLines/>
        <w:spacing w:after="0" w:line="240" w:lineRule="auto"/>
        <w:jc w:val="center"/>
        <w:rPr>
          <w:rFonts w:ascii="Garamond" w:hAnsi="Garamond"/>
          <w:b/>
          <w:sz w:val="20"/>
          <w:szCs w:val="20"/>
          <w:lang w:val="es-AR"/>
        </w:rPr>
      </w:pPr>
    </w:p>
    <w:p w14:paraId="7EED27E2" w14:textId="77777777" w:rsidR="00AE32CA" w:rsidRPr="00CA3A3D" w:rsidRDefault="00AE32CA" w:rsidP="00AE32CA">
      <w:pPr>
        <w:keepNext/>
        <w:keepLines/>
        <w:spacing w:after="0"/>
        <w:rPr>
          <w:rFonts w:ascii="Garamond" w:hAnsi="Garamond"/>
          <w:sz w:val="20"/>
          <w:szCs w:val="20"/>
          <w:lang w:val="es-AR"/>
        </w:rPr>
      </w:pPr>
      <w:r w:rsidRPr="00CA0A60">
        <w:rPr>
          <w:rFonts w:ascii="Garamond" w:hAnsi="Garamond"/>
          <w:b/>
          <w:i/>
          <w:sz w:val="20"/>
          <w:szCs w:val="20"/>
          <w:lang w:val="es-AR"/>
        </w:rPr>
        <w:lastRenderedPageBreak/>
        <w:t xml:space="preserve">Composición del patrimonio neto </w:t>
      </w:r>
      <w:r w:rsidRPr="00CA0A60">
        <w:rPr>
          <w:rFonts w:ascii="Garamond" w:hAnsi="Garamond"/>
          <w:b/>
          <w:i/>
          <w:color w:val="000000"/>
          <w:sz w:val="20"/>
          <w:szCs w:val="20"/>
          <w:lang w:val="es-AR"/>
        </w:rPr>
        <w:t xml:space="preserve">(expresado en miles de pesos) </w:t>
      </w:r>
      <w:r w:rsidRPr="00CA0A60">
        <w:rPr>
          <w:rFonts w:ascii="Garamond" w:hAnsi="Garamond"/>
          <w:b/>
          <w:i/>
          <w:color w:val="000000"/>
          <w:sz w:val="20"/>
          <w:szCs w:val="20"/>
          <w:lang w:val="es-AR"/>
        </w:rPr>
        <w:br/>
      </w:r>
      <w:r w:rsidRPr="00CA3A3D">
        <w:rPr>
          <w:rFonts w:ascii="Garamond" w:hAnsi="Garamond"/>
          <w:sz w:val="20"/>
          <w:szCs w:val="20"/>
          <w:lang w:val="es-AR"/>
        </w:rPr>
        <w:t>Por los períodos de tres meses finalizados el 31 de marzo de 2019 y 2018 bajo NIIF:</w:t>
      </w:r>
    </w:p>
    <w:p w14:paraId="6B200EB2" w14:textId="77777777" w:rsidR="00AE32CA" w:rsidRPr="00CA3A3D" w:rsidRDefault="00AE32CA" w:rsidP="002B1E31">
      <w:pPr>
        <w:jc w:val="center"/>
        <w:rPr>
          <w:lang w:val="es-AR"/>
        </w:rPr>
      </w:pPr>
      <w:r w:rsidRPr="00CA0A60">
        <w:rPr>
          <w:noProof/>
          <w:lang w:val="es-AR" w:eastAsia="es-AR"/>
        </w:rPr>
        <w:drawing>
          <wp:inline distT="0" distB="0" distL="0" distR="0" wp14:anchorId="47E0BDC5" wp14:editId="13DD1931">
            <wp:extent cx="2505075" cy="2619375"/>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05075" cy="2619375"/>
                    </a:xfrm>
                    <a:prstGeom prst="rect">
                      <a:avLst/>
                    </a:prstGeom>
                    <a:noFill/>
                    <a:ln>
                      <a:noFill/>
                    </a:ln>
                  </pic:spPr>
                </pic:pic>
              </a:graphicData>
            </a:graphic>
          </wp:inline>
        </w:drawing>
      </w:r>
    </w:p>
    <w:p w14:paraId="1DA9C6DC" w14:textId="77777777" w:rsidR="00AE32CA" w:rsidRPr="00CA3A3D" w:rsidRDefault="00AE32CA" w:rsidP="00AE32CA">
      <w:pPr>
        <w:keepNext/>
        <w:spacing w:after="0"/>
        <w:rPr>
          <w:rFonts w:ascii="Garamond" w:hAnsi="Garamond"/>
          <w:b/>
          <w:i/>
          <w:sz w:val="20"/>
          <w:szCs w:val="20"/>
          <w:lang w:val="es-AR"/>
        </w:rPr>
      </w:pPr>
      <w:r w:rsidRPr="00CA3A3D">
        <w:rPr>
          <w:rFonts w:ascii="Garamond" w:hAnsi="Garamond"/>
          <w:b/>
          <w:i/>
          <w:sz w:val="20"/>
          <w:szCs w:val="20"/>
          <w:lang w:val="es-AR"/>
        </w:rPr>
        <w:t>Información sobre el estado de flujo de efectivo</w:t>
      </w:r>
    </w:p>
    <w:p w14:paraId="153EAC35" w14:textId="77777777" w:rsidR="00AE32CA" w:rsidRPr="00CA3A3D" w:rsidRDefault="00AE32CA" w:rsidP="00AE32CA">
      <w:pPr>
        <w:keepNext/>
        <w:spacing w:after="0"/>
        <w:rPr>
          <w:rFonts w:ascii="Garamond" w:hAnsi="Garamond"/>
          <w:b/>
          <w:i/>
          <w:sz w:val="20"/>
          <w:szCs w:val="20"/>
          <w:lang w:val="es-AR"/>
        </w:rPr>
      </w:pPr>
    </w:p>
    <w:p w14:paraId="20612F45" w14:textId="77777777" w:rsidR="00AE32CA" w:rsidRPr="00CA3A3D" w:rsidRDefault="00AE32CA" w:rsidP="002B1E31">
      <w:pPr>
        <w:keepNext/>
        <w:spacing w:after="0"/>
        <w:jc w:val="center"/>
        <w:rPr>
          <w:rFonts w:ascii="Garamond" w:hAnsi="Garamond"/>
          <w:b/>
          <w:i/>
          <w:sz w:val="20"/>
          <w:szCs w:val="20"/>
          <w:lang w:val="es-AR"/>
        </w:rPr>
      </w:pPr>
      <w:r w:rsidRPr="00CA0A60">
        <w:rPr>
          <w:noProof/>
          <w:lang w:val="es-AR" w:eastAsia="es-AR"/>
        </w:rPr>
        <w:drawing>
          <wp:inline distT="0" distB="0" distL="0" distR="0" wp14:anchorId="69F1642F" wp14:editId="6C9D4367">
            <wp:extent cx="5429250" cy="25241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29250" cy="2524125"/>
                    </a:xfrm>
                    <a:prstGeom prst="rect">
                      <a:avLst/>
                    </a:prstGeom>
                    <a:noFill/>
                    <a:ln>
                      <a:noFill/>
                    </a:ln>
                  </pic:spPr>
                </pic:pic>
              </a:graphicData>
            </a:graphic>
          </wp:inline>
        </w:drawing>
      </w:r>
    </w:p>
    <w:p w14:paraId="4B5F1E84" w14:textId="77777777" w:rsidR="00AE32CA" w:rsidRPr="00CA3A3D" w:rsidRDefault="00AE32CA" w:rsidP="00AE32CA">
      <w:pPr>
        <w:keepNext/>
        <w:spacing w:after="0"/>
        <w:rPr>
          <w:rFonts w:ascii="Garamond" w:hAnsi="Garamond"/>
          <w:b/>
          <w:i/>
          <w:sz w:val="20"/>
          <w:szCs w:val="20"/>
          <w:lang w:val="es-AR"/>
        </w:rPr>
      </w:pPr>
    </w:p>
    <w:p w14:paraId="1B228D7D" w14:textId="77777777" w:rsidR="00AE32CA" w:rsidRPr="00CA3A3D" w:rsidRDefault="00AE32CA" w:rsidP="00AE32CA">
      <w:pPr>
        <w:spacing w:after="0"/>
        <w:rPr>
          <w:rFonts w:ascii="Garamond" w:hAnsi="Garamond"/>
          <w:b/>
          <w:i/>
          <w:sz w:val="20"/>
          <w:szCs w:val="20"/>
          <w:lang w:val="es-AR"/>
        </w:rPr>
      </w:pPr>
      <w:r w:rsidRPr="00CA3A3D">
        <w:rPr>
          <w:rFonts w:ascii="Garamond" w:hAnsi="Garamond"/>
          <w:b/>
          <w:i/>
          <w:sz w:val="20"/>
          <w:szCs w:val="20"/>
          <w:lang w:val="es-AR"/>
        </w:rPr>
        <w:t>Período finalizado el 31 de marzo de 2019</w:t>
      </w:r>
    </w:p>
    <w:p w14:paraId="179ABE98" w14:textId="77777777" w:rsidR="00AE32CA" w:rsidRPr="00CA3A3D" w:rsidRDefault="00AE32CA" w:rsidP="00AE32CA">
      <w:pPr>
        <w:spacing w:after="0"/>
        <w:rPr>
          <w:rFonts w:ascii="Garamond" w:hAnsi="Garamond"/>
          <w:b/>
          <w:sz w:val="20"/>
          <w:szCs w:val="20"/>
          <w:lang w:val="es-AR"/>
        </w:rPr>
      </w:pPr>
    </w:p>
    <w:p w14:paraId="268E79F4" w14:textId="77777777" w:rsidR="00AE32CA" w:rsidRPr="00CA3A3D" w:rsidRDefault="00AE32CA" w:rsidP="00AE32CA">
      <w:pPr>
        <w:spacing w:after="0"/>
        <w:rPr>
          <w:rFonts w:ascii="Garamond" w:hAnsi="Garamond"/>
          <w:i/>
          <w:sz w:val="20"/>
          <w:szCs w:val="20"/>
          <w:lang w:val="es-AR"/>
        </w:rPr>
      </w:pPr>
      <w:r w:rsidRPr="00CA3A3D">
        <w:rPr>
          <w:rFonts w:ascii="Garamond" w:hAnsi="Garamond"/>
          <w:i/>
          <w:sz w:val="20"/>
          <w:szCs w:val="20"/>
          <w:lang w:val="es-AR"/>
        </w:rPr>
        <w:t>Efectivo neto generado por actividades operativas</w:t>
      </w:r>
    </w:p>
    <w:p w14:paraId="42E949FA" w14:textId="77777777" w:rsidR="00AE32CA" w:rsidRPr="00CA3A3D" w:rsidRDefault="00AE32CA" w:rsidP="00AE32CA">
      <w:pPr>
        <w:spacing w:after="0"/>
        <w:rPr>
          <w:rFonts w:ascii="Garamond" w:hAnsi="Garamond"/>
          <w:i/>
          <w:sz w:val="20"/>
          <w:szCs w:val="20"/>
          <w:lang w:val="es-AR"/>
        </w:rPr>
      </w:pPr>
    </w:p>
    <w:p w14:paraId="0AC7C87A"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Durante el período finalizado el 31 de marzo de 2019, se generaron fondos netos por $1.402,0 millones, principalmente debido al efecto de una ganancia neta ajustada por partidas que no consumieron fondos netos por $1.442,9 millones, a un aumento de créditos por ventas, otros créditos e inventarios por $14,0 millones, parcialmente absorbido por una disminución de deudas comerciales, otras deudas y remuneraciones y deudas sociales por $173,2 millones y un aumento deudas fiscales por $146,3 millones.</w:t>
      </w:r>
    </w:p>
    <w:p w14:paraId="2D629CD4" w14:textId="77777777" w:rsidR="00AE32CA" w:rsidRPr="00CA3A3D" w:rsidRDefault="00AE32CA" w:rsidP="00AE32CA">
      <w:pPr>
        <w:spacing w:after="0"/>
        <w:rPr>
          <w:rFonts w:ascii="Garamond" w:hAnsi="Garamond"/>
          <w:sz w:val="20"/>
          <w:szCs w:val="20"/>
          <w:lang w:val="es-AR"/>
        </w:rPr>
      </w:pPr>
    </w:p>
    <w:p w14:paraId="3B2746CF" w14:textId="77777777" w:rsidR="00AE32CA" w:rsidRPr="00CA3A3D" w:rsidRDefault="00AE32CA" w:rsidP="00AE32CA">
      <w:pPr>
        <w:spacing w:after="0"/>
        <w:jc w:val="both"/>
        <w:rPr>
          <w:rFonts w:ascii="Garamond" w:hAnsi="Garamond"/>
          <w:i/>
          <w:sz w:val="20"/>
          <w:szCs w:val="20"/>
          <w:lang w:val="es-AR"/>
        </w:rPr>
      </w:pPr>
      <w:r w:rsidRPr="00CA3A3D">
        <w:rPr>
          <w:rFonts w:ascii="Garamond" w:hAnsi="Garamond"/>
          <w:i/>
          <w:sz w:val="20"/>
          <w:szCs w:val="20"/>
          <w:lang w:val="es-AR"/>
        </w:rPr>
        <w:t>Efectivo neto generado por actividades de inversión</w:t>
      </w:r>
    </w:p>
    <w:p w14:paraId="6CD44C36" w14:textId="77777777" w:rsidR="00AE32CA" w:rsidRPr="00CA3A3D" w:rsidRDefault="00AE32CA" w:rsidP="00AE32CA">
      <w:pPr>
        <w:spacing w:after="0"/>
        <w:jc w:val="both"/>
        <w:rPr>
          <w:rFonts w:ascii="Garamond" w:hAnsi="Garamond"/>
          <w:sz w:val="20"/>
          <w:szCs w:val="20"/>
          <w:lang w:val="es-AR"/>
        </w:rPr>
      </w:pPr>
    </w:p>
    <w:p w14:paraId="277CABBB"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 xml:space="preserve">Los fondos netos aplicados por las actividades de inversión durante el período finalizado el 31 de marzo de 2019 fueron de $663,7 millones, principalmente debido a adquisiciones de bienes de uso. </w:t>
      </w:r>
    </w:p>
    <w:p w14:paraId="74D4DF00" w14:textId="77777777" w:rsidR="00AE32CA" w:rsidRPr="00CA3A3D" w:rsidRDefault="00AE32CA" w:rsidP="00AE32CA">
      <w:pPr>
        <w:spacing w:after="0"/>
        <w:jc w:val="both"/>
        <w:rPr>
          <w:rFonts w:ascii="Garamond" w:hAnsi="Garamond"/>
          <w:i/>
          <w:sz w:val="20"/>
          <w:szCs w:val="20"/>
          <w:lang w:val="es-AR"/>
        </w:rPr>
      </w:pPr>
    </w:p>
    <w:p w14:paraId="257BFA70" w14:textId="77777777" w:rsidR="00AE32CA" w:rsidRPr="00CA3A3D" w:rsidRDefault="00AE32CA" w:rsidP="002B1E31">
      <w:pPr>
        <w:keepNext/>
        <w:keepLines/>
        <w:spacing w:after="0"/>
        <w:jc w:val="both"/>
        <w:rPr>
          <w:rFonts w:ascii="Garamond" w:hAnsi="Garamond"/>
          <w:i/>
          <w:sz w:val="20"/>
          <w:szCs w:val="20"/>
          <w:lang w:val="es-AR"/>
        </w:rPr>
      </w:pPr>
      <w:r w:rsidRPr="00CA3A3D">
        <w:rPr>
          <w:rFonts w:ascii="Garamond" w:hAnsi="Garamond"/>
          <w:i/>
          <w:sz w:val="20"/>
          <w:szCs w:val="20"/>
          <w:lang w:val="es-AR"/>
        </w:rPr>
        <w:lastRenderedPageBreak/>
        <w:t>Efectivo neto aplicado a actividades de financiación</w:t>
      </w:r>
    </w:p>
    <w:p w14:paraId="204362D9" w14:textId="77777777" w:rsidR="00AE32CA" w:rsidRPr="00CA3A3D" w:rsidRDefault="00AE32CA" w:rsidP="002B1E31">
      <w:pPr>
        <w:keepNext/>
        <w:keepLines/>
        <w:spacing w:after="0"/>
        <w:jc w:val="both"/>
        <w:rPr>
          <w:rFonts w:ascii="Garamond" w:hAnsi="Garamond"/>
          <w:sz w:val="20"/>
          <w:szCs w:val="20"/>
          <w:lang w:val="es-AR"/>
        </w:rPr>
      </w:pPr>
    </w:p>
    <w:p w14:paraId="5433CF3C" w14:textId="77777777" w:rsidR="00AE32CA" w:rsidRPr="00CA3A3D" w:rsidRDefault="00AE32CA" w:rsidP="002B1E31">
      <w:pPr>
        <w:keepNext/>
        <w:keepLines/>
        <w:spacing w:after="0"/>
        <w:jc w:val="both"/>
        <w:rPr>
          <w:rFonts w:ascii="Garamond" w:hAnsi="Garamond"/>
          <w:sz w:val="20"/>
          <w:szCs w:val="20"/>
          <w:lang w:val="es-AR"/>
        </w:rPr>
      </w:pPr>
      <w:r w:rsidRPr="00CA3A3D">
        <w:rPr>
          <w:rFonts w:ascii="Garamond" w:hAnsi="Garamond"/>
          <w:sz w:val="20"/>
          <w:szCs w:val="20"/>
          <w:lang w:val="es-AR"/>
        </w:rPr>
        <w:t>Los fondos netos aplicados a las actividades de financiación durante el período finalizado el 31 de marzo de 2019 fueron de $1.025,3 millones, debido al pago de préstamos por $705,6 millones, al pago de intereses por $843,0 millones, parcialmente absorbido por la obtención de nuevos préstamos y cobros de instrumentos financieros por $523,3 millones.</w:t>
      </w:r>
    </w:p>
    <w:p w14:paraId="62A217AC" w14:textId="77777777" w:rsidR="00AE32CA" w:rsidRPr="00CA3A3D" w:rsidRDefault="00AE32CA" w:rsidP="00AE32CA">
      <w:pPr>
        <w:spacing w:after="0"/>
        <w:rPr>
          <w:rFonts w:ascii="Garamond" w:hAnsi="Garamond"/>
          <w:sz w:val="20"/>
          <w:szCs w:val="20"/>
          <w:lang w:val="es-AR"/>
        </w:rPr>
      </w:pPr>
    </w:p>
    <w:p w14:paraId="7F730A61" w14:textId="77777777" w:rsidR="00AE32CA" w:rsidRPr="00CA3A3D" w:rsidRDefault="00AE32CA" w:rsidP="00AE32CA">
      <w:pPr>
        <w:spacing w:after="0"/>
        <w:rPr>
          <w:rFonts w:ascii="Garamond" w:hAnsi="Garamond"/>
          <w:sz w:val="20"/>
          <w:szCs w:val="20"/>
          <w:lang w:val="es-AR"/>
        </w:rPr>
      </w:pPr>
      <w:r w:rsidRPr="00CA3A3D">
        <w:rPr>
          <w:rFonts w:ascii="Garamond" w:hAnsi="Garamond"/>
          <w:sz w:val="20"/>
          <w:szCs w:val="20"/>
          <w:lang w:val="es-AR"/>
        </w:rPr>
        <w:t>Al cierre del período la posición de efectivo era de $116,9 millones.</w:t>
      </w:r>
    </w:p>
    <w:p w14:paraId="7B6236D4" w14:textId="77777777" w:rsidR="00AE32CA" w:rsidRPr="00CA3A3D" w:rsidRDefault="00AE32CA" w:rsidP="00AE32CA">
      <w:pPr>
        <w:spacing w:after="0"/>
        <w:rPr>
          <w:rFonts w:ascii="Garamond" w:hAnsi="Garamond"/>
          <w:b/>
          <w:i/>
          <w:sz w:val="20"/>
          <w:szCs w:val="20"/>
          <w:lang w:val="es-AR"/>
        </w:rPr>
      </w:pPr>
    </w:p>
    <w:p w14:paraId="01DE4C25" w14:textId="77777777" w:rsidR="00AE32CA" w:rsidRPr="00CA3A3D" w:rsidRDefault="00AE32CA" w:rsidP="00AE32CA">
      <w:pPr>
        <w:keepNext/>
        <w:keepLines/>
        <w:spacing w:after="0"/>
        <w:rPr>
          <w:rFonts w:ascii="Garamond" w:hAnsi="Garamond"/>
          <w:b/>
          <w:i/>
          <w:sz w:val="20"/>
          <w:szCs w:val="20"/>
          <w:lang w:val="es-AR"/>
        </w:rPr>
      </w:pPr>
      <w:r w:rsidRPr="00CA3A3D">
        <w:rPr>
          <w:rFonts w:ascii="Garamond" w:hAnsi="Garamond"/>
          <w:b/>
          <w:i/>
          <w:sz w:val="20"/>
          <w:szCs w:val="20"/>
          <w:lang w:val="es-AR"/>
        </w:rPr>
        <w:t>Período finalizado el 31 de marzo de 2018</w:t>
      </w:r>
    </w:p>
    <w:p w14:paraId="481BD4EC" w14:textId="77777777" w:rsidR="00AE32CA" w:rsidRPr="00CA3A3D" w:rsidRDefault="00AE32CA" w:rsidP="00AE32CA">
      <w:pPr>
        <w:keepNext/>
        <w:keepLines/>
        <w:spacing w:after="0"/>
        <w:rPr>
          <w:rFonts w:ascii="Garamond" w:hAnsi="Garamond"/>
          <w:b/>
          <w:sz w:val="20"/>
          <w:szCs w:val="20"/>
          <w:lang w:val="es-AR"/>
        </w:rPr>
      </w:pPr>
    </w:p>
    <w:p w14:paraId="6EC44564" w14:textId="77777777" w:rsidR="00AE32CA" w:rsidRPr="00CA3A3D" w:rsidRDefault="00AE32CA" w:rsidP="00AE32CA">
      <w:pPr>
        <w:keepNext/>
        <w:keepLines/>
        <w:spacing w:after="0"/>
        <w:rPr>
          <w:rFonts w:ascii="Garamond" w:hAnsi="Garamond"/>
          <w:i/>
          <w:sz w:val="20"/>
          <w:szCs w:val="20"/>
          <w:lang w:val="es-AR"/>
        </w:rPr>
      </w:pPr>
      <w:r w:rsidRPr="00CA3A3D">
        <w:rPr>
          <w:rFonts w:ascii="Garamond" w:hAnsi="Garamond"/>
          <w:i/>
          <w:sz w:val="20"/>
          <w:szCs w:val="20"/>
          <w:lang w:val="es-AR"/>
        </w:rPr>
        <w:t>Efectivo neto generado por actividades operativas</w:t>
      </w:r>
    </w:p>
    <w:p w14:paraId="7AA6EE22" w14:textId="77777777" w:rsidR="00AE32CA" w:rsidRPr="00CA3A3D" w:rsidRDefault="00AE32CA" w:rsidP="00AE32CA">
      <w:pPr>
        <w:keepNext/>
        <w:keepLines/>
        <w:spacing w:after="0"/>
        <w:rPr>
          <w:rFonts w:ascii="Garamond" w:hAnsi="Garamond"/>
          <w:i/>
          <w:sz w:val="20"/>
          <w:szCs w:val="20"/>
          <w:lang w:val="es-AR"/>
        </w:rPr>
      </w:pPr>
    </w:p>
    <w:p w14:paraId="710A8243" w14:textId="77777777" w:rsidR="00AE32CA" w:rsidRPr="00CA3A3D" w:rsidRDefault="00AE32CA" w:rsidP="00AE32CA">
      <w:pPr>
        <w:keepNext/>
        <w:keepLines/>
        <w:spacing w:after="0"/>
        <w:jc w:val="both"/>
        <w:rPr>
          <w:rFonts w:ascii="Garamond" w:hAnsi="Garamond"/>
          <w:sz w:val="20"/>
          <w:szCs w:val="20"/>
          <w:lang w:val="es-AR"/>
        </w:rPr>
      </w:pPr>
      <w:r w:rsidRPr="00CA3A3D">
        <w:rPr>
          <w:rFonts w:ascii="Garamond" w:hAnsi="Garamond"/>
          <w:sz w:val="20"/>
          <w:szCs w:val="20"/>
          <w:lang w:val="es-AR"/>
        </w:rPr>
        <w:t>Durante el período finalizado el 31 de marzo de 2018, se aplicaron fondos netos por $47,9 millones, principalmente debido al efecto de una ganancia neta ajustada por partidas que no consumieron fondos netos por $888,6 millones, a un aumento de créditos por ventas, otros créditos y de materiales y repuestos por $74,3 millones, parcialmente absorbido por una disminución de deudas comerciales, otras deudas y remuneraciones y deudas sociales por $766,4 millones.</w:t>
      </w:r>
    </w:p>
    <w:p w14:paraId="3B34448B" w14:textId="77777777" w:rsidR="00AE32CA" w:rsidRPr="00CA3A3D" w:rsidRDefault="00AE32CA" w:rsidP="00AE32CA">
      <w:pPr>
        <w:spacing w:after="0"/>
        <w:rPr>
          <w:rFonts w:ascii="Garamond" w:hAnsi="Garamond"/>
          <w:sz w:val="20"/>
          <w:szCs w:val="20"/>
          <w:lang w:val="es-AR"/>
        </w:rPr>
      </w:pPr>
      <w:r w:rsidRPr="00CA3A3D">
        <w:rPr>
          <w:rFonts w:ascii="Garamond" w:hAnsi="Garamond"/>
          <w:sz w:val="20"/>
          <w:szCs w:val="20"/>
          <w:lang w:val="es-AR"/>
        </w:rPr>
        <w:tab/>
      </w:r>
    </w:p>
    <w:p w14:paraId="5F365A3E" w14:textId="77777777" w:rsidR="00AE32CA" w:rsidRPr="00CA3A3D" w:rsidRDefault="00AE32CA" w:rsidP="00AE32CA">
      <w:pPr>
        <w:spacing w:after="0"/>
        <w:jc w:val="both"/>
        <w:rPr>
          <w:rFonts w:ascii="Garamond" w:hAnsi="Garamond"/>
          <w:i/>
          <w:sz w:val="20"/>
          <w:szCs w:val="20"/>
          <w:lang w:val="es-AR"/>
        </w:rPr>
      </w:pPr>
      <w:r w:rsidRPr="00CA3A3D">
        <w:rPr>
          <w:rFonts w:ascii="Garamond" w:hAnsi="Garamond"/>
          <w:i/>
          <w:sz w:val="20"/>
          <w:szCs w:val="20"/>
          <w:lang w:val="es-AR"/>
        </w:rPr>
        <w:t>Efectivo neto generado por actividades de inversión</w:t>
      </w:r>
    </w:p>
    <w:p w14:paraId="4330DCE2" w14:textId="77777777" w:rsidR="00AE32CA" w:rsidRPr="00CA3A3D" w:rsidRDefault="00AE32CA" w:rsidP="00AE32CA">
      <w:pPr>
        <w:spacing w:after="0"/>
        <w:jc w:val="both"/>
        <w:rPr>
          <w:rFonts w:ascii="Garamond" w:hAnsi="Garamond"/>
          <w:sz w:val="20"/>
          <w:szCs w:val="20"/>
          <w:lang w:val="es-AR"/>
        </w:rPr>
      </w:pPr>
    </w:p>
    <w:p w14:paraId="44969435"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 xml:space="preserve">Los fondos netos aplicados por las actividades de inversión durante el período finalizado el 31 de marzo de 2018 fueron de $654,3 millones, principalmente debido a adquisiciones de bienes de uso. </w:t>
      </w:r>
    </w:p>
    <w:p w14:paraId="5FC08161" w14:textId="77777777" w:rsidR="00AE32CA" w:rsidRPr="00CA3A3D" w:rsidRDefault="00AE32CA" w:rsidP="00AE32CA">
      <w:pPr>
        <w:spacing w:after="0"/>
        <w:jc w:val="both"/>
        <w:rPr>
          <w:rFonts w:ascii="Garamond" w:hAnsi="Garamond"/>
          <w:i/>
          <w:sz w:val="20"/>
          <w:szCs w:val="20"/>
          <w:lang w:val="es-AR"/>
        </w:rPr>
      </w:pPr>
    </w:p>
    <w:p w14:paraId="7730550E" w14:textId="77777777" w:rsidR="00AE32CA" w:rsidRPr="00CA3A3D" w:rsidRDefault="00AE32CA" w:rsidP="00AE32CA">
      <w:pPr>
        <w:spacing w:after="0"/>
        <w:jc w:val="both"/>
        <w:rPr>
          <w:rFonts w:ascii="Garamond" w:hAnsi="Garamond"/>
          <w:i/>
          <w:sz w:val="20"/>
          <w:szCs w:val="20"/>
          <w:lang w:val="es-AR"/>
        </w:rPr>
      </w:pPr>
      <w:r w:rsidRPr="00CA3A3D">
        <w:rPr>
          <w:rFonts w:ascii="Garamond" w:hAnsi="Garamond"/>
          <w:i/>
          <w:sz w:val="20"/>
          <w:szCs w:val="20"/>
          <w:lang w:val="es-AR"/>
        </w:rPr>
        <w:t>Efectivo neto aplicado a actividades de financiación</w:t>
      </w:r>
    </w:p>
    <w:p w14:paraId="143BECBB" w14:textId="77777777" w:rsidR="00AE32CA" w:rsidRPr="00CA3A3D" w:rsidRDefault="00AE32CA" w:rsidP="00AE32CA">
      <w:pPr>
        <w:spacing w:after="0"/>
        <w:jc w:val="both"/>
        <w:rPr>
          <w:rFonts w:ascii="Garamond" w:hAnsi="Garamond"/>
          <w:sz w:val="20"/>
          <w:szCs w:val="20"/>
          <w:lang w:val="es-AR"/>
        </w:rPr>
      </w:pPr>
    </w:p>
    <w:p w14:paraId="59F5721C"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Los fondos netos generados por las actividades de financiación durante el período finalizado el 31 de marzo de 2018 fueron de $949,3 millones, debido al pago de préstamos por $901,7 millones, al pago de intereses por $544,0 millones, parcialmente absorbido por la obtención de nuevos préstamos y cobros de instrumentos financieros por $2.395,0 millones.</w:t>
      </w:r>
    </w:p>
    <w:p w14:paraId="38279482" w14:textId="77777777" w:rsidR="00AE32CA" w:rsidRPr="00CA3A3D" w:rsidRDefault="00AE32CA" w:rsidP="00AE32CA">
      <w:pPr>
        <w:spacing w:after="0"/>
        <w:jc w:val="both"/>
        <w:rPr>
          <w:rFonts w:ascii="Garamond" w:hAnsi="Garamond"/>
          <w:sz w:val="20"/>
          <w:szCs w:val="20"/>
          <w:lang w:val="es-AR"/>
        </w:rPr>
      </w:pPr>
    </w:p>
    <w:p w14:paraId="61790E20"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Al cierre del período la posición de efectivo era de $483,7 millones.</w:t>
      </w:r>
    </w:p>
    <w:p w14:paraId="7C1FC5BA" w14:textId="77777777" w:rsidR="00AE32CA" w:rsidRPr="00CA3A3D" w:rsidRDefault="00AE32CA" w:rsidP="00AE32CA">
      <w:pPr>
        <w:keepNext/>
        <w:spacing w:after="0"/>
        <w:rPr>
          <w:rFonts w:ascii="Garamond" w:hAnsi="Garamond"/>
          <w:b/>
          <w:i/>
          <w:sz w:val="20"/>
          <w:szCs w:val="20"/>
          <w:lang w:val="es-AR"/>
        </w:rPr>
      </w:pPr>
    </w:p>
    <w:p w14:paraId="420B8F8A" w14:textId="77777777" w:rsidR="00AE32CA" w:rsidRPr="00CA3A3D" w:rsidRDefault="00AE32CA" w:rsidP="00AE32CA">
      <w:pPr>
        <w:keepNext/>
        <w:keepLines/>
        <w:spacing w:after="0"/>
        <w:rPr>
          <w:rFonts w:ascii="Garamond" w:hAnsi="Garamond"/>
          <w:b/>
          <w:i/>
          <w:sz w:val="20"/>
          <w:szCs w:val="20"/>
          <w:lang w:val="es-AR"/>
        </w:rPr>
      </w:pPr>
      <w:r w:rsidRPr="00CA3A3D">
        <w:rPr>
          <w:rFonts w:ascii="Garamond" w:hAnsi="Garamond"/>
          <w:b/>
          <w:i/>
          <w:sz w:val="20"/>
          <w:szCs w:val="20"/>
          <w:lang w:val="es-AR"/>
        </w:rPr>
        <w:t xml:space="preserve">Índices financieros seleccionados </w:t>
      </w:r>
    </w:p>
    <w:p w14:paraId="508E7BDF" w14:textId="77777777" w:rsidR="00AE32CA" w:rsidRPr="00CA0A60" w:rsidRDefault="00AE32CA" w:rsidP="00AE32CA">
      <w:pPr>
        <w:spacing w:after="0"/>
        <w:rPr>
          <w:rFonts w:ascii="Garamond" w:hAnsi="Garamond"/>
          <w:b/>
          <w:color w:val="000000"/>
          <w:sz w:val="20"/>
          <w:szCs w:val="20"/>
          <w:lang w:val="es-AR"/>
        </w:rPr>
      </w:pPr>
      <w:r w:rsidRPr="00CA0A60">
        <w:rPr>
          <w:rFonts w:ascii="Garamond" w:hAnsi="Garamond"/>
          <w:color w:val="000000"/>
          <w:sz w:val="20"/>
          <w:szCs w:val="20"/>
          <w:lang w:val="es-AR"/>
        </w:rPr>
        <w:t>Índices por los períodos de tres meses finalizados el 31 de marzo de 2019 y 2018 bajo NIIF</w:t>
      </w:r>
      <w:r w:rsidRPr="00713D6E">
        <w:rPr>
          <w:rFonts w:ascii="Garamond" w:hAnsi="Garamond"/>
          <w:b/>
          <w:color w:val="000000"/>
          <w:sz w:val="20"/>
          <w:szCs w:val="20"/>
          <w:lang w:val="es-AR"/>
        </w:rPr>
        <w:t>:</w:t>
      </w:r>
    </w:p>
    <w:p w14:paraId="0532F295" w14:textId="77777777" w:rsidR="00AE32CA" w:rsidRPr="00CA0A60" w:rsidRDefault="00AE32CA" w:rsidP="00AE32CA">
      <w:pPr>
        <w:spacing w:after="0"/>
        <w:rPr>
          <w:rFonts w:ascii="Garamond" w:hAnsi="Garamond"/>
          <w:b/>
          <w:color w:val="000000"/>
          <w:sz w:val="20"/>
          <w:szCs w:val="20"/>
          <w:lang w:val="es-AR"/>
        </w:rPr>
      </w:pPr>
    </w:p>
    <w:p w14:paraId="0E90E612" w14:textId="77777777" w:rsidR="00AE32CA" w:rsidRPr="00CA0A60" w:rsidRDefault="00AE32CA" w:rsidP="002B1E31">
      <w:pPr>
        <w:spacing w:after="0"/>
        <w:jc w:val="center"/>
        <w:rPr>
          <w:rFonts w:ascii="Garamond" w:hAnsi="Garamond"/>
          <w:b/>
          <w:color w:val="000000"/>
          <w:sz w:val="20"/>
          <w:szCs w:val="20"/>
          <w:lang w:val="es-AR"/>
        </w:rPr>
      </w:pPr>
      <w:r w:rsidRPr="00CA0A60">
        <w:rPr>
          <w:noProof/>
          <w:lang w:val="es-AR" w:eastAsia="es-AR"/>
        </w:rPr>
        <w:drawing>
          <wp:inline distT="0" distB="0" distL="0" distR="0" wp14:anchorId="67D6ECE5" wp14:editId="3B4AFB69">
            <wp:extent cx="4143375" cy="20955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43375" cy="2095500"/>
                    </a:xfrm>
                    <a:prstGeom prst="rect">
                      <a:avLst/>
                    </a:prstGeom>
                    <a:noFill/>
                    <a:ln>
                      <a:noFill/>
                    </a:ln>
                  </pic:spPr>
                </pic:pic>
              </a:graphicData>
            </a:graphic>
          </wp:inline>
        </w:drawing>
      </w:r>
    </w:p>
    <w:p w14:paraId="7F0E4209" w14:textId="77777777" w:rsidR="00AE32CA" w:rsidRPr="00CA3A3D" w:rsidRDefault="00AE32CA" w:rsidP="002B1E31">
      <w:pPr>
        <w:keepNext/>
        <w:keepLines/>
        <w:rPr>
          <w:rFonts w:ascii="Garamond" w:eastAsia="Times New Roman" w:hAnsi="Garamond"/>
          <w:b/>
          <w:sz w:val="18"/>
          <w:szCs w:val="18"/>
          <w:lang w:val="es-AR" w:eastAsia="es-AR"/>
        </w:rPr>
      </w:pPr>
      <w:r w:rsidRPr="00CA3A3D">
        <w:rPr>
          <w:rFonts w:ascii="Garamond" w:eastAsia="Times New Roman" w:hAnsi="Garamond"/>
          <w:b/>
          <w:sz w:val="18"/>
          <w:szCs w:val="18"/>
          <w:lang w:val="es-AR" w:eastAsia="es-AR"/>
        </w:rPr>
        <w:lastRenderedPageBreak/>
        <w:t>Endeudamiento</w:t>
      </w:r>
    </w:p>
    <w:p w14:paraId="61085425" w14:textId="77777777" w:rsidR="00AE32CA" w:rsidRPr="00CA3A3D" w:rsidRDefault="00AE32CA" w:rsidP="002B1E31">
      <w:pPr>
        <w:keepNext/>
        <w:keepLines/>
        <w:rPr>
          <w:rFonts w:ascii="Garamond" w:eastAsia="Times New Roman" w:hAnsi="Garamond"/>
          <w:sz w:val="18"/>
          <w:szCs w:val="18"/>
          <w:lang w:val="es-AR" w:eastAsia="es-AR"/>
        </w:rPr>
      </w:pPr>
      <w:r w:rsidRPr="00CA3A3D">
        <w:rPr>
          <w:rFonts w:ascii="Garamond" w:eastAsia="Times New Roman" w:hAnsi="Garamond"/>
          <w:sz w:val="18"/>
          <w:szCs w:val="18"/>
          <w:lang w:val="es-AR" w:eastAsia="es-AR"/>
        </w:rPr>
        <w:t>El siguiente cuadro refleja la composición del rubro préstamos de las deudas financieras tanto corrientes como no corrientes en Pesos al 31 de marzo de 2019:</w:t>
      </w:r>
    </w:p>
    <w:p w14:paraId="1790F978" w14:textId="77777777" w:rsidR="00AE32CA" w:rsidRPr="00CA3A3D" w:rsidRDefault="00AE32CA" w:rsidP="002B1E31">
      <w:pPr>
        <w:keepNext/>
        <w:keepLines/>
        <w:jc w:val="center"/>
        <w:rPr>
          <w:rFonts w:ascii="Garamond" w:eastAsia="Times New Roman" w:hAnsi="Garamond"/>
          <w:sz w:val="18"/>
          <w:szCs w:val="18"/>
          <w:lang w:val="es-AR" w:eastAsia="es-AR"/>
        </w:rPr>
      </w:pPr>
      <w:r w:rsidRPr="00CA0A60">
        <w:rPr>
          <w:noProof/>
          <w:lang w:val="es-AR" w:eastAsia="es-AR"/>
        </w:rPr>
        <w:drawing>
          <wp:inline distT="0" distB="0" distL="0" distR="0" wp14:anchorId="2FBF24E5" wp14:editId="52F736CA">
            <wp:extent cx="2971800" cy="220027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71800" cy="2200275"/>
                    </a:xfrm>
                    <a:prstGeom prst="rect">
                      <a:avLst/>
                    </a:prstGeom>
                    <a:noFill/>
                    <a:ln>
                      <a:noFill/>
                    </a:ln>
                  </pic:spPr>
                </pic:pic>
              </a:graphicData>
            </a:graphic>
          </wp:inline>
        </w:drawing>
      </w:r>
    </w:p>
    <w:p w14:paraId="3853004F" w14:textId="77777777" w:rsidR="00AE32CA" w:rsidRPr="00CA3A3D" w:rsidRDefault="00AE32CA" w:rsidP="00AE32CA">
      <w:pPr>
        <w:rPr>
          <w:rFonts w:ascii="Garamond" w:eastAsia="Times New Roman" w:hAnsi="Garamond"/>
          <w:sz w:val="18"/>
          <w:szCs w:val="18"/>
          <w:u w:val="single"/>
          <w:lang w:val="es-AR" w:eastAsia="es-AR"/>
        </w:rPr>
      </w:pPr>
      <w:r w:rsidRPr="00CA3A3D">
        <w:rPr>
          <w:rFonts w:ascii="Garamond" w:eastAsia="Times New Roman" w:hAnsi="Garamond"/>
          <w:sz w:val="18"/>
          <w:szCs w:val="18"/>
          <w:u w:val="single"/>
          <w:lang w:val="es-AR" w:eastAsia="es-AR"/>
        </w:rPr>
        <w:t>Valores negociables en circulación</w:t>
      </w:r>
    </w:p>
    <w:p w14:paraId="633FBAC4" w14:textId="77777777" w:rsidR="00AE32CA" w:rsidRPr="00CA0A60" w:rsidRDefault="00AE32CA" w:rsidP="00AE32CA">
      <w:pPr>
        <w:spacing w:after="200" w:line="240" w:lineRule="auto"/>
        <w:jc w:val="both"/>
        <w:rPr>
          <w:rFonts w:ascii="Garamond" w:eastAsia="Calibri" w:hAnsi="Garamond" w:cs="Times New Roman"/>
          <w:sz w:val="18"/>
          <w:lang w:val="es-AR"/>
        </w:rPr>
      </w:pPr>
      <w:r w:rsidRPr="00CA0A60">
        <w:rPr>
          <w:rFonts w:ascii="Garamond" w:eastAsia="Calibri" w:hAnsi="Garamond" w:cs="Times New Roman"/>
          <w:sz w:val="18"/>
          <w:lang w:val="es-AR"/>
        </w:rPr>
        <w:t>Mediante Resolución N°18.648 de fecha 10 de mayo de 2017, el Directorio de la CNV dispuso la transferencia de oferta pública de las obligaciones negociables emitidas por GFSA de GFSA a GEMSA.</w:t>
      </w:r>
    </w:p>
    <w:p w14:paraId="1EECCE1E" w14:textId="77777777" w:rsidR="00AE32CA" w:rsidRPr="00CA0A60" w:rsidRDefault="00AE32CA" w:rsidP="00AE32CA">
      <w:pPr>
        <w:spacing w:after="200" w:line="240" w:lineRule="auto"/>
        <w:jc w:val="both"/>
        <w:rPr>
          <w:rFonts w:ascii="Garamond" w:eastAsia="Calibri" w:hAnsi="Garamond" w:cs="Times New Roman"/>
          <w:sz w:val="18"/>
          <w:lang w:val="es-AR"/>
        </w:rPr>
      </w:pPr>
      <w:r w:rsidRPr="00CA0A60">
        <w:rPr>
          <w:rFonts w:ascii="Garamond" w:eastAsia="Calibri" w:hAnsi="Garamond" w:cs="Times New Roman"/>
          <w:sz w:val="18"/>
          <w:lang w:val="es-AR"/>
        </w:rPr>
        <w:t xml:space="preserve">Con fecha 7 de julio de 2016 GEMSA, GFSA y CTR obtuvieron, mediante Resolución 18.110 de la CNV, la autorización para la co-emisión en el mercado local e internacional, de obligaciones negociables simples, no convertibles en acciones, garantizadas y no subordinadas. El 27 de julio de 2016 se emitieron obligaciones negociables por un monto de U$S250 millones con vencimiento a 7 años. Dichas obligaciones negociables están incondicionalmente garantizadas en su totalidad por ASA. </w:t>
      </w:r>
    </w:p>
    <w:p w14:paraId="7DAC115D" w14:textId="77777777" w:rsidR="00AE32CA" w:rsidRPr="00CA0A60" w:rsidRDefault="00AE32CA" w:rsidP="00AE32CA">
      <w:pPr>
        <w:spacing w:after="200" w:line="240" w:lineRule="auto"/>
        <w:jc w:val="both"/>
        <w:rPr>
          <w:rFonts w:ascii="Garamond" w:eastAsia="Calibri" w:hAnsi="Garamond" w:cs="Times New Roman"/>
          <w:sz w:val="18"/>
          <w:lang w:val="es-AR"/>
        </w:rPr>
      </w:pPr>
      <w:r w:rsidRPr="00CA0A60">
        <w:rPr>
          <w:rFonts w:ascii="Garamond" w:eastAsia="Calibri" w:hAnsi="Garamond" w:cs="Times New Roman"/>
          <w:sz w:val="18"/>
          <w:lang w:val="es-AR"/>
        </w:rPr>
        <w:t>Con fecha 8 de noviembre de 2017 GEMSA y CTR obtuvieron, mediante Resolución 19.033 de la CNV, autorización para la co-emisión en el mercado local e internacional, de obligaciones negociables adicionales a las emitidas con fecha 7 de julio de 2016, por un monto de hasta V/N U$S 100 millones, aumentando el monto del programa de obligaciones negociables de V/N U$S 250 millones a V/N U$S 350 millones. El 5 de diciembre de 2017 se emitieron obligaciones negociables adicionales por un monto de U$S 86 millones. Dichas obligaciones negociables tienen la calificación B+ (Fitch ratings) / B3 (Moody’s).</w:t>
      </w:r>
    </w:p>
    <w:p w14:paraId="4D230D07" w14:textId="0218EEDC" w:rsidR="00AE32CA" w:rsidRPr="00CA0A60" w:rsidRDefault="00AE32CA" w:rsidP="00AE32CA">
      <w:pPr>
        <w:spacing w:after="200" w:line="240" w:lineRule="auto"/>
        <w:jc w:val="both"/>
        <w:rPr>
          <w:rFonts w:ascii="Garamond" w:eastAsia="Calibri" w:hAnsi="Garamond" w:cs="Times New Roman"/>
          <w:sz w:val="18"/>
          <w:lang w:val="es-AR"/>
        </w:rPr>
      </w:pPr>
      <w:r w:rsidRPr="00CA0A60">
        <w:rPr>
          <w:rFonts w:ascii="Garamond" w:eastAsia="Calibri" w:hAnsi="Garamond" w:cs="Times New Roman"/>
          <w:sz w:val="18"/>
          <w:lang w:val="es-AR"/>
        </w:rPr>
        <w:t>Las obligaciones negociables existentes en el marco de la co-emisión internacional antes mencionada, devengan interés a una tasa fija en dólares de 9,625% (las “</w:t>
      </w:r>
      <w:r w:rsidRPr="00CA0A60">
        <w:rPr>
          <w:rFonts w:ascii="Garamond" w:eastAsia="Calibri" w:hAnsi="Garamond" w:cs="Times New Roman"/>
          <w:sz w:val="18"/>
          <w:u w:val="single"/>
          <w:lang w:val="es-AR"/>
        </w:rPr>
        <w:t>ONs Existentes</w:t>
      </w:r>
      <w:r w:rsidRPr="00CA0A60">
        <w:rPr>
          <w:rFonts w:ascii="Garamond" w:eastAsia="Calibri" w:hAnsi="Garamond" w:cs="Times New Roman"/>
          <w:sz w:val="18"/>
          <w:lang w:val="es-AR"/>
        </w:rPr>
        <w:t xml:space="preserve">”). El interés se paga semestralmente y el capital en un único pago en la fecha de vencimiento del 27 de julio de 2023. El saldo de capital por las ONs Existentes a la fecha de este </w:t>
      </w:r>
      <w:r w:rsidR="00D66702" w:rsidRPr="00CA0A60">
        <w:rPr>
          <w:rFonts w:ascii="Garamond" w:eastAsia="Calibri" w:hAnsi="Garamond" w:cs="Times New Roman"/>
          <w:sz w:val="18"/>
          <w:lang w:val="es-AR"/>
        </w:rPr>
        <w:t>Suplemento</w:t>
      </w:r>
      <w:r w:rsidRPr="00CA0A60">
        <w:rPr>
          <w:rFonts w:ascii="Garamond" w:eastAsia="Calibri" w:hAnsi="Garamond" w:cs="Times New Roman"/>
          <w:sz w:val="18"/>
          <w:lang w:val="es-AR"/>
        </w:rPr>
        <w:t xml:space="preserve"> asciende a U$S336 millones.</w:t>
      </w:r>
    </w:p>
    <w:p w14:paraId="54B7A347" w14:textId="4A80369E" w:rsidR="00AE32CA" w:rsidRPr="00CA0A60" w:rsidRDefault="00AE32CA" w:rsidP="00AE32CA">
      <w:pPr>
        <w:spacing w:after="200" w:line="240" w:lineRule="auto"/>
        <w:jc w:val="both"/>
        <w:rPr>
          <w:rFonts w:ascii="Garamond" w:eastAsia="Calibri" w:hAnsi="Garamond" w:cs="Times New Roman"/>
          <w:sz w:val="18"/>
          <w:lang w:val="es-AR"/>
        </w:rPr>
      </w:pPr>
      <w:r w:rsidRPr="00CA0A60">
        <w:rPr>
          <w:rFonts w:ascii="Garamond" w:eastAsia="Calibri" w:hAnsi="Garamond" w:cs="Times New Roman"/>
          <w:sz w:val="18"/>
          <w:lang w:val="es-AR"/>
        </w:rPr>
        <w:t xml:space="preserve">La emisión de la clase I de las obligaciones negociables existentes en el marco de la co-emisión local fue realizada el 11 de octubre de 2017 y fue aprobada por la CNV el 29 de septiembre de 2017, por un monto de U$S 20 millones, ampliable a U$S 30 millones. Devengan una tasa fija en dólares de 6,68%. El interés se paga trimestralmente y el capital se amortiza en su totalidad al vencimiento, que operará el 11 de octubre de 2020. El saldo de capital por las obligaciones negociables de la Co-emisión local clase I a la fecha de este </w:t>
      </w:r>
      <w:r w:rsidR="00D66702" w:rsidRPr="00CA0A60">
        <w:rPr>
          <w:rFonts w:ascii="Garamond" w:eastAsia="Calibri" w:hAnsi="Garamond" w:cs="Times New Roman"/>
          <w:sz w:val="18"/>
          <w:lang w:val="es-AR"/>
        </w:rPr>
        <w:t>Suplemento</w:t>
      </w:r>
      <w:r w:rsidRPr="00CA0A60">
        <w:rPr>
          <w:rFonts w:ascii="Garamond" w:eastAsia="Calibri" w:hAnsi="Garamond" w:cs="Times New Roman"/>
          <w:sz w:val="18"/>
          <w:lang w:val="es-AR"/>
        </w:rPr>
        <w:t xml:space="preserve"> asciende a U$S30 millones. </w:t>
      </w:r>
    </w:p>
    <w:p w14:paraId="23FFBD8D" w14:textId="7CCF6F37" w:rsidR="00AE32CA" w:rsidRPr="00CA0A60" w:rsidRDefault="00AE32CA" w:rsidP="00AE32CA">
      <w:pPr>
        <w:spacing w:after="200" w:line="240" w:lineRule="auto"/>
        <w:jc w:val="both"/>
        <w:rPr>
          <w:rFonts w:ascii="Garamond" w:eastAsia="Calibri" w:hAnsi="Garamond" w:cs="Times New Roman"/>
          <w:sz w:val="18"/>
          <w:lang w:val="es-AR"/>
        </w:rPr>
      </w:pPr>
      <w:r w:rsidRPr="00CA0A60">
        <w:rPr>
          <w:rFonts w:ascii="Garamond" w:eastAsia="Calibri" w:hAnsi="Garamond" w:cs="Times New Roman"/>
          <w:sz w:val="18"/>
          <w:lang w:val="es-AR"/>
        </w:rPr>
        <w:t xml:space="preserve">Con fecha 16 de febrero de 2017, GEMSA realizó la emisión de las obligaciones negociables clase VI. Las obligaciones negociables clase VI fueron colocadas por un total de </w:t>
      </w:r>
      <w:r w:rsidRPr="00CA3A3D">
        <w:rPr>
          <w:rFonts w:ascii="Garamond" w:eastAsia="Calibri" w:hAnsi="Garamond" w:cs="Times New Roman"/>
          <w:sz w:val="18"/>
          <w:szCs w:val="18"/>
          <w:lang w:val="es-AR" w:bidi="en-US"/>
        </w:rPr>
        <w:t>U$S</w:t>
      </w:r>
      <w:r w:rsidRPr="00CA0A60">
        <w:rPr>
          <w:rFonts w:ascii="Garamond" w:eastAsia="Calibri" w:hAnsi="Garamond" w:cs="Times New Roman"/>
          <w:sz w:val="18"/>
          <w:lang w:val="es-AR"/>
        </w:rPr>
        <w:t xml:space="preserve">34,7 millones, a una tasa fija del 8%, con pagos de intereses trimestrales y vencimiento en febrero 2020. El monto de las obligaciones negociables clases VI se suscribió en efectivo y en especie mediante canje voluntario con las (i) obligaciones negociables clase IV, (ii) obligaciones negociables clase V de GEMSA, (iii) obligaciones negociables clase II; y (iv) obligaciones negociables clase III de GFSA. El saldo de capital por las obligaciones negociables clase VI a la fecha de este Suplemento asciende a </w:t>
      </w:r>
      <w:r w:rsidRPr="00CA3A3D">
        <w:rPr>
          <w:rFonts w:ascii="Garamond" w:eastAsia="Calibri" w:hAnsi="Garamond" w:cs="Times New Roman"/>
          <w:sz w:val="18"/>
          <w:szCs w:val="18"/>
          <w:lang w:val="es-AR" w:bidi="en-US"/>
        </w:rPr>
        <w:t>U$S</w:t>
      </w:r>
      <w:r w:rsidRPr="00CA0A60">
        <w:rPr>
          <w:rFonts w:ascii="Garamond" w:eastAsia="Calibri" w:hAnsi="Garamond" w:cs="Times New Roman"/>
          <w:sz w:val="18"/>
          <w:lang w:val="es-AR"/>
        </w:rPr>
        <w:t xml:space="preserve">34.696.397. Con fecha 29 de agosto de 2017 se emitieron las obligaciones negociables clase VIII por un monto de ARS 312,9 millones, las que fueron suscriptas en efectivo y en especie mediante canje voluntario con las obligaciones negociables clase V de GEMSA y obligaciones negociables clase II y clase III de GFSA, que en su momento se encontraban a nombre de GEMSA. Las obligaciones negociables clase VIII se emitieron con tasa variable. El interés se paga trimestralmente y el capital en un único pago equivalente al 100% del valor nominal al vencimiento que opera en agosto de 2021. El saldo de capital por las obligaciones negociables clase VIII a la fecha de este Suplemento asciende a </w:t>
      </w:r>
      <w:r w:rsidRPr="00CA3A3D">
        <w:rPr>
          <w:rFonts w:ascii="Garamond" w:eastAsia="Calibri" w:hAnsi="Garamond" w:cs="Times New Roman"/>
          <w:sz w:val="18"/>
          <w:szCs w:val="18"/>
          <w:lang w:val="es-AR" w:bidi="en-US"/>
        </w:rPr>
        <w:t>$</w:t>
      </w:r>
      <w:r w:rsidRPr="00CA0A60">
        <w:rPr>
          <w:rFonts w:ascii="Garamond" w:eastAsia="Calibri" w:hAnsi="Garamond" w:cs="Times New Roman"/>
          <w:sz w:val="18"/>
          <w:lang w:val="es-AR"/>
        </w:rPr>
        <w:t>312.884.660.</w:t>
      </w:r>
    </w:p>
    <w:p w14:paraId="25178D23" w14:textId="77777777" w:rsidR="00AE32CA" w:rsidRPr="00CA3A3D" w:rsidRDefault="00AE32CA" w:rsidP="00AE32CA">
      <w:pPr>
        <w:spacing w:after="0"/>
        <w:rPr>
          <w:rFonts w:ascii="Garamond" w:hAnsi="Garamond"/>
          <w:b/>
          <w:sz w:val="18"/>
          <w:lang w:val="es-AR"/>
        </w:rPr>
      </w:pPr>
    </w:p>
    <w:p w14:paraId="138E3310" w14:textId="77777777" w:rsidR="00AE32CA" w:rsidRPr="00CA3A3D" w:rsidRDefault="00AE32CA" w:rsidP="002B1E31">
      <w:pPr>
        <w:keepNext/>
        <w:keepLines/>
        <w:spacing w:after="0"/>
        <w:rPr>
          <w:rFonts w:ascii="Garamond" w:hAnsi="Garamond"/>
          <w:b/>
          <w:sz w:val="18"/>
          <w:lang w:val="es-AR"/>
        </w:rPr>
      </w:pPr>
      <w:r w:rsidRPr="00CA3A3D">
        <w:rPr>
          <w:rFonts w:ascii="Garamond" w:hAnsi="Garamond"/>
          <w:b/>
          <w:sz w:val="18"/>
          <w:lang w:val="es-AR"/>
        </w:rPr>
        <w:lastRenderedPageBreak/>
        <w:t>Perspectiva Operativa y Financiera</w:t>
      </w:r>
    </w:p>
    <w:p w14:paraId="51499AE5" w14:textId="77777777" w:rsidR="00AE32CA" w:rsidRPr="00CA3A3D" w:rsidRDefault="00AE32CA" w:rsidP="002B1E31">
      <w:pPr>
        <w:keepNext/>
        <w:keepLines/>
        <w:spacing w:after="0"/>
        <w:rPr>
          <w:rFonts w:ascii="Garamond" w:hAnsi="Garamond"/>
          <w:b/>
          <w:sz w:val="18"/>
          <w:lang w:val="es-AR"/>
        </w:rPr>
      </w:pPr>
    </w:p>
    <w:p w14:paraId="0FC811DF" w14:textId="77777777" w:rsidR="00AE32CA" w:rsidRPr="00CA3A3D" w:rsidRDefault="00AE32CA" w:rsidP="002B1E31">
      <w:pPr>
        <w:keepNext/>
        <w:keepLines/>
        <w:spacing w:after="0"/>
        <w:rPr>
          <w:rFonts w:ascii="Garamond" w:hAnsi="Garamond"/>
          <w:i/>
          <w:sz w:val="18"/>
          <w:lang w:val="es-AR"/>
        </w:rPr>
      </w:pPr>
      <w:r w:rsidRPr="00CA3A3D">
        <w:rPr>
          <w:rFonts w:ascii="Garamond" w:hAnsi="Garamond"/>
          <w:i/>
          <w:sz w:val="18"/>
          <w:lang w:val="es-AR"/>
        </w:rPr>
        <w:t>Resultado de las operaciones para el período de tres meses finalizado el 31 de marzo de 2019 comparado con el período de tres meses finalizado el 31 de marzo de 2018</w:t>
      </w:r>
    </w:p>
    <w:p w14:paraId="096240DA" w14:textId="77777777" w:rsidR="00AE32CA" w:rsidRPr="00CA3A3D" w:rsidRDefault="00AE32CA" w:rsidP="002B1E31">
      <w:pPr>
        <w:keepNext/>
        <w:keepLines/>
        <w:spacing w:after="0"/>
        <w:rPr>
          <w:rFonts w:ascii="Garamond" w:hAnsi="Garamond"/>
          <w:b/>
          <w:sz w:val="20"/>
          <w:szCs w:val="20"/>
          <w:lang w:val="es-AR"/>
        </w:rPr>
      </w:pPr>
    </w:p>
    <w:p w14:paraId="195E9E73" w14:textId="77777777" w:rsidR="00AE32CA" w:rsidRPr="00CA3A3D" w:rsidRDefault="00AE32CA" w:rsidP="002B1E31">
      <w:pPr>
        <w:keepNext/>
        <w:keepLines/>
        <w:jc w:val="both"/>
        <w:rPr>
          <w:rFonts w:ascii="Garamond" w:hAnsi="Garamond"/>
          <w:sz w:val="20"/>
          <w:szCs w:val="20"/>
          <w:lang w:val="es-AR"/>
        </w:rPr>
      </w:pPr>
      <w:r w:rsidRPr="00CA3A3D">
        <w:rPr>
          <w:rFonts w:ascii="Garamond" w:hAnsi="Garamond"/>
          <w:sz w:val="20"/>
          <w:szCs w:val="20"/>
          <w:u w:val="single"/>
          <w:lang w:val="es-AR"/>
        </w:rPr>
        <w:t>Ventas:</w:t>
      </w:r>
      <w:r w:rsidRPr="00CA3A3D">
        <w:rPr>
          <w:rFonts w:ascii="Garamond" w:hAnsi="Garamond"/>
          <w:sz w:val="20"/>
          <w:szCs w:val="20"/>
          <w:lang w:val="es-AR"/>
        </w:rPr>
        <w:t xml:space="preserve">  </w:t>
      </w:r>
    </w:p>
    <w:p w14:paraId="5DF15E8B" w14:textId="77777777" w:rsidR="00AE32CA" w:rsidRPr="00CA3A3D" w:rsidRDefault="00AE32CA" w:rsidP="002B1E31">
      <w:pPr>
        <w:pStyle w:val="Textoindependiente"/>
        <w:keepNext/>
        <w:keepLines/>
        <w:spacing w:after="0"/>
        <w:ind w:firstLine="0"/>
        <w:rPr>
          <w:rFonts w:ascii="Garamond" w:eastAsia="Times New Roman" w:hAnsi="Garamond"/>
          <w:lang w:val="es-AR" w:eastAsia="es-AR"/>
        </w:rPr>
      </w:pPr>
      <w:r w:rsidRPr="00CA3A3D">
        <w:rPr>
          <w:rFonts w:ascii="Garamond" w:eastAsia="Times New Roman" w:hAnsi="Garamond"/>
          <w:lang w:val="es-AR" w:eastAsia="es-AR"/>
        </w:rPr>
        <w:t>Las ventas netas ascendieron a $1.937,8</w:t>
      </w:r>
      <w:r w:rsidRPr="00CA3A3D">
        <w:rPr>
          <w:rFonts w:ascii="Garamond" w:hAnsi="Garamond"/>
          <w:lang w:val="es-AR"/>
        </w:rPr>
        <w:t xml:space="preserve"> </w:t>
      </w:r>
      <w:r w:rsidRPr="00CA3A3D">
        <w:rPr>
          <w:rFonts w:ascii="Garamond" w:eastAsia="Times New Roman" w:hAnsi="Garamond"/>
          <w:lang w:val="es-AR" w:eastAsia="es-AR"/>
        </w:rPr>
        <w:t>millones para el período de tres meses finalizado el 31 de marzo de 2019, comparado con los $1.470,0</w:t>
      </w:r>
      <w:r w:rsidRPr="00CA3A3D">
        <w:rPr>
          <w:rFonts w:ascii="Garamond" w:hAnsi="Garamond"/>
          <w:lang w:val="es-AR"/>
        </w:rPr>
        <w:t xml:space="preserve"> </w:t>
      </w:r>
      <w:r w:rsidRPr="00CA3A3D">
        <w:rPr>
          <w:rFonts w:ascii="Garamond" w:eastAsia="Times New Roman" w:hAnsi="Garamond"/>
          <w:lang w:val="es-AR" w:eastAsia="es-AR"/>
        </w:rPr>
        <w:t>millones para el mismo período de 2018, lo que equivale u</w:t>
      </w:r>
      <w:r w:rsidRPr="00CA3A3D">
        <w:rPr>
          <w:rFonts w:ascii="Garamond" w:hAnsi="Garamond"/>
          <w:lang w:val="es-AR"/>
        </w:rPr>
        <w:t>n aumento</w:t>
      </w:r>
      <w:r w:rsidRPr="00CA3A3D">
        <w:rPr>
          <w:rFonts w:ascii="Garamond" w:eastAsia="Times New Roman" w:hAnsi="Garamond"/>
          <w:lang w:val="es-AR" w:eastAsia="es-AR"/>
        </w:rPr>
        <w:t xml:space="preserve"> de $467,8</w:t>
      </w:r>
      <w:r w:rsidRPr="00CA3A3D">
        <w:rPr>
          <w:rFonts w:ascii="Garamond" w:hAnsi="Garamond"/>
          <w:lang w:val="es-AR"/>
        </w:rPr>
        <w:t xml:space="preserve"> </w:t>
      </w:r>
      <w:r w:rsidRPr="00CA3A3D">
        <w:rPr>
          <w:rFonts w:ascii="Garamond" w:eastAsia="Times New Roman" w:hAnsi="Garamond"/>
          <w:lang w:val="es-AR" w:eastAsia="es-AR"/>
        </w:rPr>
        <w:t>millones (o</w:t>
      </w:r>
      <w:r w:rsidRPr="00CA3A3D">
        <w:rPr>
          <w:rFonts w:ascii="Garamond" w:hAnsi="Garamond"/>
          <w:lang w:val="es-AR"/>
        </w:rPr>
        <w:t xml:space="preserve"> 32%</w:t>
      </w:r>
      <w:r w:rsidRPr="00CA3A3D">
        <w:rPr>
          <w:rFonts w:ascii="Garamond" w:eastAsia="Times New Roman" w:hAnsi="Garamond"/>
          <w:lang w:val="es-AR" w:eastAsia="es-AR"/>
        </w:rPr>
        <w:t xml:space="preserve">). </w:t>
      </w:r>
    </w:p>
    <w:p w14:paraId="0FC4E041" w14:textId="77777777" w:rsidR="00AE32CA" w:rsidRPr="00CA3A3D" w:rsidRDefault="00AE32CA" w:rsidP="002B1E31">
      <w:pPr>
        <w:pStyle w:val="Textoindependiente"/>
        <w:keepNext/>
        <w:keepLines/>
        <w:spacing w:after="0"/>
        <w:rPr>
          <w:rFonts w:ascii="Garamond" w:eastAsia="Times New Roman" w:hAnsi="Garamond"/>
          <w:lang w:val="es-AR" w:eastAsia="es-AR"/>
        </w:rPr>
      </w:pPr>
    </w:p>
    <w:p w14:paraId="0EDBC45B" w14:textId="77777777" w:rsidR="00AE32CA" w:rsidRPr="00CA3A3D" w:rsidRDefault="00AE32CA" w:rsidP="002B1E31">
      <w:pPr>
        <w:pStyle w:val="Textoindependiente"/>
        <w:keepNext/>
        <w:keepLines/>
        <w:spacing w:after="0"/>
        <w:ind w:firstLine="0"/>
        <w:rPr>
          <w:rFonts w:ascii="Garamond" w:eastAsia="Times New Roman" w:hAnsi="Garamond"/>
          <w:lang w:val="es-AR" w:eastAsia="es-AR"/>
        </w:rPr>
      </w:pPr>
      <w:r w:rsidRPr="00CA3A3D">
        <w:rPr>
          <w:rFonts w:ascii="Garamond" w:eastAsia="Times New Roman" w:hAnsi="Garamond"/>
          <w:lang w:val="es-AR" w:eastAsia="es-AR"/>
        </w:rPr>
        <w:t xml:space="preserve">Durante los primeros tres meses de 2019, la venta de energía fue de 558 GWh, lo que representa </w:t>
      </w:r>
      <w:r w:rsidRPr="00CA3A3D">
        <w:rPr>
          <w:rFonts w:ascii="Garamond" w:hAnsi="Garamond"/>
          <w:lang w:val="es-AR"/>
        </w:rPr>
        <w:t>un aumento del 25%</w:t>
      </w:r>
      <w:r w:rsidRPr="00CA3A3D">
        <w:rPr>
          <w:rFonts w:ascii="Garamond" w:eastAsia="Times New Roman" w:hAnsi="Garamond"/>
          <w:lang w:val="es-AR" w:eastAsia="es-AR"/>
        </w:rPr>
        <w:t xml:space="preserve"> comparado con los 446 GWh para el mismo período de 2018.</w:t>
      </w:r>
    </w:p>
    <w:p w14:paraId="20088704" w14:textId="77777777" w:rsidR="00AE32CA" w:rsidRPr="00CA0A60" w:rsidRDefault="00AE32CA" w:rsidP="002B1E31">
      <w:pPr>
        <w:keepNext/>
        <w:keepLines/>
        <w:spacing w:after="0"/>
        <w:jc w:val="both"/>
        <w:rPr>
          <w:lang w:val="es-AR"/>
        </w:rPr>
      </w:pPr>
    </w:p>
    <w:p w14:paraId="02306186" w14:textId="77777777" w:rsidR="00AE32CA" w:rsidRPr="00CA0A60" w:rsidRDefault="00AE32CA" w:rsidP="002B1E31">
      <w:pPr>
        <w:spacing w:after="0"/>
        <w:jc w:val="center"/>
        <w:rPr>
          <w:lang w:val="es-AR"/>
        </w:rPr>
      </w:pPr>
      <w:r w:rsidRPr="00CA0A60">
        <w:rPr>
          <w:noProof/>
          <w:lang w:val="es-AR" w:eastAsia="es-AR"/>
        </w:rPr>
        <w:drawing>
          <wp:inline distT="0" distB="0" distL="0" distR="0" wp14:anchorId="68BB4FDF" wp14:editId="74F3FC7E">
            <wp:extent cx="4562475" cy="1676400"/>
            <wp:effectExtent l="0" t="0" r="9525" b="0"/>
            <wp:docPr id="1141" name="Imagen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62475" cy="1676400"/>
                    </a:xfrm>
                    <a:prstGeom prst="rect">
                      <a:avLst/>
                    </a:prstGeom>
                    <a:noFill/>
                    <a:ln>
                      <a:noFill/>
                    </a:ln>
                  </pic:spPr>
                </pic:pic>
              </a:graphicData>
            </a:graphic>
          </wp:inline>
        </w:drawing>
      </w:r>
    </w:p>
    <w:p w14:paraId="151A0695" w14:textId="77777777" w:rsidR="00AE32CA" w:rsidRPr="00CA0A60" w:rsidRDefault="00AE32CA" w:rsidP="00AE32CA">
      <w:pPr>
        <w:spacing w:after="0"/>
        <w:jc w:val="both"/>
        <w:rPr>
          <w:b/>
          <w:lang w:val="es-AR"/>
        </w:rPr>
      </w:pPr>
    </w:p>
    <w:p w14:paraId="227B3EC0" w14:textId="77777777" w:rsidR="00AE32CA" w:rsidRPr="00CA0A60" w:rsidRDefault="00AE32CA" w:rsidP="00AE32CA">
      <w:pPr>
        <w:jc w:val="both"/>
        <w:rPr>
          <w:rFonts w:ascii="Garamond" w:hAnsi="Garamond"/>
          <w:sz w:val="20"/>
          <w:szCs w:val="20"/>
          <w:lang w:val="es-AR"/>
        </w:rPr>
      </w:pPr>
      <w:r w:rsidRPr="00CA0A60">
        <w:rPr>
          <w:rFonts w:ascii="Garamond" w:hAnsi="Garamond"/>
          <w:sz w:val="20"/>
          <w:szCs w:val="20"/>
          <w:lang w:val="es-AR"/>
        </w:rPr>
        <w:t>A continuación se incluyen las ventas para cada mercado (en millones de Pesos):</w:t>
      </w:r>
    </w:p>
    <w:p w14:paraId="6D231434" w14:textId="77777777" w:rsidR="00AE32CA" w:rsidRPr="00CA0A60" w:rsidRDefault="00AE32CA" w:rsidP="00AE32CA">
      <w:pPr>
        <w:spacing w:after="0"/>
        <w:jc w:val="both"/>
        <w:rPr>
          <w:b/>
          <w:lang w:val="es-AR"/>
        </w:rPr>
      </w:pPr>
    </w:p>
    <w:p w14:paraId="75CB0187" w14:textId="77777777" w:rsidR="00AE32CA" w:rsidRPr="00CA0A60" w:rsidRDefault="00AE32CA" w:rsidP="002B1E31">
      <w:pPr>
        <w:spacing w:after="0"/>
        <w:jc w:val="center"/>
        <w:rPr>
          <w:b/>
          <w:lang w:val="es-AR"/>
        </w:rPr>
      </w:pPr>
      <w:r w:rsidRPr="00CA0A60">
        <w:rPr>
          <w:noProof/>
          <w:lang w:val="es-AR" w:eastAsia="es-AR"/>
        </w:rPr>
        <w:drawing>
          <wp:inline distT="0" distB="0" distL="0" distR="0" wp14:anchorId="4F2A6FD9" wp14:editId="2A11BE43">
            <wp:extent cx="4562475" cy="1714500"/>
            <wp:effectExtent l="0" t="0" r="9525" b="0"/>
            <wp:docPr id="1142" name="Imagen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62475" cy="1714500"/>
                    </a:xfrm>
                    <a:prstGeom prst="rect">
                      <a:avLst/>
                    </a:prstGeom>
                    <a:noFill/>
                    <a:ln>
                      <a:noFill/>
                    </a:ln>
                  </pic:spPr>
                </pic:pic>
              </a:graphicData>
            </a:graphic>
          </wp:inline>
        </w:drawing>
      </w:r>
    </w:p>
    <w:p w14:paraId="080694F4" w14:textId="77777777" w:rsidR="00AE32CA" w:rsidRPr="00CA0A60" w:rsidRDefault="00AE32CA" w:rsidP="00AE32CA">
      <w:pPr>
        <w:spacing w:after="0"/>
        <w:jc w:val="both"/>
        <w:rPr>
          <w:b/>
          <w:lang w:val="es-AR"/>
        </w:rPr>
      </w:pPr>
    </w:p>
    <w:p w14:paraId="7F8D0052" w14:textId="77777777" w:rsidR="00AE32CA" w:rsidRPr="00CA3A3D" w:rsidRDefault="00AE32CA" w:rsidP="00AE32CA">
      <w:pPr>
        <w:jc w:val="both"/>
        <w:rPr>
          <w:rFonts w:ascii="Garamond" w:hAnsi="Garamond"/>
          <w:sz w:val="20"/>
          <w:szCs w:val="20"/>
          <w:lang w:val="es-AR"/>
        </w:rPr>
      </w:pPr>
      <w:r w:rsidRPr="00CA3A3D">
        <w:rPr>
          <w:rFonts w:ascii="Garamond" w:hAnsi="Garamond"/>
          <w:sz w:val="20"/>
          <w:szCs w:val="20"/>
          <w:lang w:val="es-AR"/>
        </w:rPr>
        <w:t>A continuación, se describen los principales ingresos de GEMSA, así como su comportamiento durante el período de tres meses finalizado el 31 de marzo de 2019 en comparación con el mismo período del año anterior:</w:t>
      </w:r>
    </w:p>
    <w:p w14:paraId="5F524605" w14:textId="77777777" w:rsidR="00AE32CA" w:rsidRPr="00CA3A3D" w:rsidRDefault="00AE32CA" w:rsidP="00AE32CA">
      <w:pPr>
        <w:numPr>
          <w:ilvl w:val="0"/>
          <w:numId w:val="299"/>
        </w:numPr>
        <w:spacing w:after="0" w:line="240" w:lineRule="auto"/>
        <w:ind w:left="426"/>
        <w:jc w:val="both"/>
        <w:rPr>
          <w:rFonts w:ascii="Garamond" w:hAnsi="Garamond"/>
          <w:sz w:val="20"/>
          <w:szCs w:val="20"/>
          <w:lang w:val="es-AR"/>
        </w:rPr>
      </w:pPr>
      <w:r w:rsidRPr="00CA3A3D">
        <w:rPr>
          <w:rFonts w:ascii="Garamond" w:hAnsi="Garamond"/>
          <w:sz w:val="20"/>
          <w:szCs w:val="20"/>
          <w:lang w:val="es-AR"/>
        </w:rPr>
        <w:t xml:space="preserve">$396,5 millones por ventas de Energía Plus, lo que representó una disminución del 1% respecto de los $400,2 millones para el mismo período de 2018. </w:t>
      </w:r>
    </w:p>
    <w:p w14:paraId="72550DF2" w14:textId="77777777" w:rsidR="00AE32CA" w:rsidRPr="00CA3A3D" w:rsidRDefault="00AE32CA" w:rsidP="00AE32CA">
      <w:pPr>
        <w:spacing w:after="0"/>
        <w:ind w:left="426"/>
        <w:jc w:val="both"/>
        <w:rPr>
          <w:rFonts w:ascii="Garamond" w:hAnsi="Garamond"/>
          <w:sz w:val="20"/>
          <w:szCs w:val="20"/>
          <w:lang w:val="es-AR"/>
        </w:rPr>
      </w:pPr>
    </w:p>
    <w:p w14:paraId="4404FED7" w14:textId="77777777" w:rsidR="00AE32CA" w:rsidRPr="00CA3A3D" w:rsidRDefault="00AE32CA" w:rsidP="00AE32CA">
      <w:pPr>
        <w:numPr>
          <w:ilvl w:val="0"/>
          <w:numId w:val="299"/>
        </w:numPr>
        <w:spacing w:after="0" w:line="240" w:lineRule="auto"/>
        <w:ind w:left="426"/>
        <w:jc w:val="both"/>
        <w:rPr>
          <w:rFonts w:ascii="Garamond" w:hAnsi="Garamond"/>
          <w:sz w:val="20"/>
          <w:szCs w:val="20"/>
          <w:lang w:val="es-AR"/>
        </w:rPr>
      </w:pPr>
      <w:r w:rsidRPr="00CA3A3D">
        <w:rPr>
          <w:rFonts w:ascii="Garamond" w:hAnsi="Garamond"/>
          <w:sz w:val="20"/>
          <w:szCs w:val="20"/>
          <w:lang w:val="es-AR"/>
        </w:rPr>
        <w:t>$607,1 millones por ventas de energía en el mercado a término a CAMMESA en el marco de la Resolución 220/2007, lo que representó un aumento del 10% respecto de los $552,2 millones del mismo período de 2018. Dicha variación se explica por un aumento del tipo de cambio.</w:t>
      </w:r>
    </w:p>
    <w:p w14:paraId="0EB156C0" w14:textId="77777777" w:rsidR="00AE32CA" w:rsidRPr="00CA3A3D" w:rsidRDefault="00AE32CA" w:rsidP="00AE32CA">
      <w:pPr>
        <w:spacing w:after="0"/>
        <w:jc w:val="both"/>
        <w:rPr>
          <w:rFonts w:ascii="Garamond" w:hAnsi="Garamond"/>
          <w:sz w:val="20"/>
          <w:szCs w:val="20"/>
          <w:lang w:val="es-AR"/>
        </w:rPr>
      </w:pPr>
    </w:p>
    <w:p w14:paraId="4459B2A8" w14:textId="77777777" w:rsidR="00AE32CA" w:rsidRPr="00CA3A3D" w:rsidRDefault="00AE32CA" w:rsidP="00AE32CA">
      <w:pPr>
        <w:numPr>
          <w:ilvl w:val="0"/>
          <w:numId w:val="299"/>
        </w:numPr>
        <w:spacing w:after="0" w:line="240" w:lineRule="auto"/>
        <w:ind w:left="426"/>
        <w:jc w:val="both"/>
        <w:rPr>
          <w:rFonts w:ascii="Garamond" w:hAnsi="Garamond"/>
          <w:sz w:val="20"/>
          <w:szCs w:val="20"/>
          <w:lang w:val="es-AR"/>
        </w:rPr>
      </w:pPr>
      <w:r w:rsidRPr="00CA3A3D">
        <w:rPr>
          <w:rFonts w:ascii="Garamond" w:hAnsi="Garamond"/>
          <w:sz w:val="20"/>
          <w:szCs w:val="20"/>
          <w:lang w:val="es-AR"/>
        </w:rPr>
        <w:t xml:space="preserve">$69,7 millones por ventas de energía bajo Res. 95/529/482/22/19 y Mercado Spot, lo que representó una disminución del 34% respecto de los $105,1 millones para el mismo período de 2018. </w:t>
      </w:r>
    </w:p>
    <w:p w14:paraId="4027A5A2" w14:textId="77777777" w:rsidR="00AE32CA" w:rsidRPr="00CA3A3D" w:rsidRDefault="00AE32CA" w:rsidP="00AE32CA">
      <w:pPr>
        <w:spacing w:after="0"/>
        <w:ind w:left="426"/>
        <w:jc w:val="both"/>
        <w:rPr>
          <w:rFonts w:ascii="Garamond" w:hAnsi="Garamond"/>
          <w:sz w:val="20"/>
          <w:szCs w:val="20"/>
          <w:lang w:val="es-AR"/>
        </w:rPr>
      </w:pPr>
    </w:p>
    <w:p w14:paraId="4C0A0015" w14:textId="77777777" w:rsidR="00AE32CA" w:rsidRPr="00CA3A3D" w:rsidRDefault="00AE32CA" w:rsidP="00AE32CA">
      <w:pPr>
        <w:numPr>
          <w:ilvl w:val="0"/>
          <w:numId w:val="299"/>
        </w:numPr>
        <w:spacing w:after="0" w:line="240" w:lineRule="auto"/>
        <w:ind w:left="426"/>
        <w:jc w:val="both"/>
        <w:rPr>
          <w:rFonts w:ascii="Garamond" w:hAnsi="Garamond"/>
          <w:sz w:val="20"/>
          <w:szCs w:val="20"/>
          <w:lang w:val="es-AR"/>
        </w:rPr>
      </w:pPr>
      <w:r w:rsidRPr="00CA3A3D">
        <w:rPr>
          <w:rFonts w:ascii="Garamond" w:hAnsi="Garamond"/>
          <w:sz w:val="20"/>
          <w:szCs w:val="20"/>
          <w:lang w:val="es-AR"/>
        </w:rPr>
        <w:t>$864,5 millones por ventas de energía bajo Res.21, lo que representó un aumento del 110% respecto de los $412,5 millones para el mismo período de 2018. Dicha variación se explica por la puesta en marcha de las nuevas turbinas durante el tercer trimestre 2018.</w:t>
      </w:r>
    </w:p>
    <w:p w14:paraId="36B2035D" w14:textId="77777777" w:rsidR="00AE32CA" w:rsidRPr="00CA3A3D" w:rsidRDefault="00AE32CA" w:rsidP="00AE32CA">
      <w:pPr>
        <w:widowControl w:val="0"/>
        <w:autoSpaceDE w:val="0"/>
        <w:autoSpaceDN w:val="0"/>
        <w:adjustRightInd w:val="0"/>
        <w:spacing w:before="9" w:after="0"/>
        <w:jc w:val="both"/>
        <w:rPr>
          <w:rFonts w:ascii="Garamond" w:hAnsi="Garamond"/>
          <w:sz w:val="20"/>
          <w:szCs w:val="20"/>
          <w:u w:val="single"/>
          <w:lang w:val="es-AR"/>
        </w:rPr>
      </w:pPr>
    </w:p>
    <w:p w14:paraId="6637E98A" w14:textId="77777777" w:rsidR="00AE32CA" w:rsidRPr="00CA3A3D" w:rsidRDefault="00AE32CA" w:rsidP="002B1E31">
      <w:pPr>
        <w:keepNext/>
        <w:keepLines/>
        <w:autoSpaceDE w:val="0"/>
        <w:autoSpaceDN w:val="0"/>
        <w:adjustRightInd w:val="0"/>
        <w:spacing w:before="9" w:after="0"/>
        <w:jc w:val="both"/>
        <w:rPr>
          <w:rFonts w:ascii="Garamond" w:hAnsi="Garamond"/>
          <w:sz w:val="20"/>
          <w:szCs w:val="20"/>
          <w:u w:val="single"/>
          <w:lang w:val="es-AR"/>
        </w:rPr>
      </w:pPr>
      <w:r w:rsidRPr="00CA3A3D">
        <w:rPr>
          <w:rFonts w:ascii="Garamond" w:hAnsi="Garamond"/>
          <w:sz w:val="20"/>
          <w:szCs w:val="20"/>
          <w:u w:val="single"/>
          <w:lang w:val="es-AR"/>
        </w:rPr>
        <w:lastRenderedPageBreak/>
        <w:t>Costo de ventas:</w:t>
      </w:r>
    </w:p>
    <w:p w14:paraId="0A073C69" w14:textId="77777777" w:rsidR="00AE32CA" w:rsidRPr="00CA3A3D" w:rsidRDefault="00AE32CA" w:rsidP="002B1E31">
      <w:pPr>
        <w:pStyle w:val="Textoindependiente"/>
        <w:keepNext/>
        <w:keepLines/>
        <w:spacing w:after="0"/>
        <w:rPr>
          <w:rFonts w:ascii="Garamond" w:hAnsi="Garamond"/>
          <w:lang w:val="es-AR"/>
        </w:rPr>
      </w:pPr>
    </w:p>
    <w:p w14:paraId="52A5437D" w14:textId="77777777" w:rsidR="00AE32CA" w:rsidRPr="00CA3A3D" w:rsidRDefault="00AE32CA" w:rsidP="002B1E31">
      <w:pPr>
        <w:pStyle w:val="Textoindependiente"/>
        <w:keepNext/>
        <w:keepLines/>
        <w:spacing w:after="0"/>
        <w:ind w:firstLine="0"/>
        <w:jc w:val="both"/>
        <w:rPr>
          <w:rFonts w:ascii="Garamond" w:eastAsia="Times New Roman" w:hAnsi="Garamond"/>
          <w:lang w:val="es-AR" w:eastAsia="es-AR"/>
        </w:rPr>
      </w:pPr>
      <w:r w:rsidRPr="00CA3A3D">
        <w:rPr>
          <w:rFonts w:ascii="Garamond" w:eastAsia="Times New Roman" w:hAnsi="Garamond"/>
          <w:lang w:val="es-AR" w:eastAsia="es-AR"/>
        </w:rPr>
        <w:t>El costo de ventas total para el período de tres meses finalizado el 31 de marzo de 2019 fue de $728,4</w:t>
      </w:r>
      <w:r w:rsidRPr="00CA3A3D">
        <w:rPr>
          <w:rFonts w:ascii="Garamond" w:hAnsi="Garamond"/>
          <w:lang w:val="es-AR"/>
        </w:rPr>
        <w:t xml:space="preserve"> </w:t>
      </w:r>
      <w:r w:rsidRPr="00CA3A3D">
        <w:rPr>
          <w:rFonts w:ascii="Garamond" w:eastAsia="Times New Roman" w:hAnsi="Garamond"/>
          <w:lang w:val="es-AR" w:eastAsia="es-AR"/>
        </w:rPr>
        <w:t>millones comparado con $691,2</w:t>
      </w:r>
      <w:r w:rsidRPr="00CA3A3D">
        <w:rPr>
          <w:rFonts w:ascii="Garamond" w:hAnsi="Garamond"/>
          <w:lang w:val="es-AR"/>
        </w:rPr>
        <w:t xml:space="preserve"> </w:t>
      </w:r>
      <w:r w:rsidRPr="00CA3A3D">
        <w:rPr>
          <w:rFonts w:ascii="Garamond" w:eastAsia="Times New Roman" w:hAnsi="Garamond"/>
          <w:lang w:val="es-AR" w:eastAsia="es-AR"/>
        </w:rPr>
        <w:t xml:space="preserve">millones para el mismo período de 2018, lo que equivale a </w:t>
      </w:r>
      <w:r w:rsidRPr="00CA3A3D">
        <w:rPr>
          <w:rFonts w:ascii="Garamond" w:hAnsi="Garamond"/>
          <w:lang w:val="es-AR"/>
        </w:rPr>
        <w:t xml:space="preserve">un aumento de </w:t>
      </w:r>
      <w:r w:rsidRPr="00CA3A3D">
        <w:rPr>
          <w:rFonts w:ascii="Garamond" w:eastAsia="Times New Roman" w:hAnsi="Garamond"/>
          <w:lang w:val="es-AR" w:eastAsia="es-AR"/>
        </w:rPr>
        <w:t>$37,2 millones (o</w:t>
      </w:r>
      <w:r w:rsidRPr="00CA3A3D">
        <w:rPr>
          <w:rFonts w:ascii="Garamond" w:hAnsi="Garamond"/>
          <w:lang w:val="es-AR"/>
        </w:rPr>
        <w:t xml:space="preserve"> 5%</w:t>
      </w:r>
      <w:r w:rsidRPr="00CA3A3D">
        <w:rPr>
          <w:rFonts w:ascii="Garamond" w:eastAsia="Times New Roman" w:hAnsi="Garamond"/>
          <w:lang w:val="es-AR" w:eastAsia="es-AR"/>
        </w:rPr>
        <w:t>).</w:t>
      </w:r>
    </w:p>
    <w:p w14:paraId="7C5582FE" w14:textId="77777777" w:rsidR="00AE32CA" w:rsidRPr="00CA0A60" w:rsidRDefault="00AE32CA" w:rsidP="002B1E31">
      <w:pPr>
        <w:keepNext/>
        <w:keepLines/>
        <w:spacing w:after="0"/>
        <w:jc w:val="both"/>
        <w:rPr>
          <w:b/>
          <w:lang w:val="es-AR"/>
        </w:rPr>
      </w:pPr>
    </w:p>
    <w:p w14:paraId="778F4A3F" w14:textId="77777777" w:rsidR="00AE32CA" w:rsidRPr="00CA0A60" w:rsidRDefault="00AE32CA" w:rsidP="002B1E31">
      <w:pPr>
        <w:keepNext/>
        <w:keepLines/>
        <w:spacing w:after="0"/>
        <w:jc w:val="center"/>
        <w:rPr>
          <w:b/>
          <w:lang w:val="es-AR"/>
        </w:rPr>
      </w:pPr>
      <w:r w:rsidRPr="00CA0A60">
        <w:rPr>
          <w:noProof/>
          <w:lang w:val="es-AR" w:eastAsia="es-AR"/>
        </w:rPr>
        <w:drawing>
          <wp:inline distT="0" distB="0" distL="0" distR="0" wp14:anchorId="05BCCF6F" wp14:editId="376E868E">
            <wp:extent cx="5400040" cy="2178685"/>
            <wp:effectExtent l="0" t="0" r="0" b="0"/>
            <wp:docPr id="1143" name="Imagen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040" cy="2178685"/>
                    </a:xfrm>
                    <a:prstGeom prst="rect">
                      <a:avLst/>
                    </a:prstGeom>
                    <a:noFill/>
                    <a:ln>
                      <a:noFill/>
                    </a:ln>
                  </pic:spPr>
                </pic:pic>
              </a:graphicData>
            </a:graphic>
          </wp:inline>
        </w:drawing>
      </w:r>
    </w:p>
    <w:p w14:paraId="4F205C61" w14:textId="77777777" w:rsidR="00AE32CA" w:rsidRPr="00CA0A60" w:rsidRDefault="00AE32CA" w:rsidP="00AE32CA">
      <w:pPr>
        <w:spacing w:after="0"/>
        <w:jc w:val="both"/>
        <w:rPr>
          <w:b/>
          <w:lang w:val="es-AR"/>
        </w:rPr>
      </w:pPr>
    </w:p>
    <w:p w14:paraId="2784DB11" w14:textId="79E4C30C" w:rsidR="00AE32CA" w:rsidRPr="00CA3A3D" w:rsidRDefault="00AE32CA" w:rsidP="0007258F">
      <w:pPr>
        <w:pStyle w:val="Textoindependiente"/>
        <w:spacing w:after="0"/>
        <w:ind w:firstLine="0"/>
        <w:rPr>
          <w:rFonts w:ascii="Garamond" w:eastAsia="Times New Roman" w:hAnsi="Garamond"/>
          <w:lang w:val="es-AR" w:eastAsia="es-AR"/>
        </w:rPr>
      </w:pPr>
      <w:r w:rsidRPr="00CA3A3D">
        <w:rPr>
          <w:rFonts w:ascii="Garamond" w:eastAsia="Times New Roman" w:hAnsi="Garamond"/>
          <w:lang w:val="es-AR" w:eastAsia="es-AR"/>
        </w:rPr>
        <w:t xml:space="preserve">A continuación, se describen los principales costos de venta de </w:t>
      </w:r>
      <w:r w:rsidR="008E1A99" w:rsidRPr="00CA0A60">
        <w:rPr>
          <w:rFonts w:ascii="Garamond" w:eastAsia="Times New Roman" w:hAnsi="Garamond"/>
          <w:lang w:val="es-AR" w:eastAsia="es-AR"/>
        </w:rPr>
        <w:t>GEMSA</w:t>
      </w:r>
      <w:r w:rsidRPr="00CA3A3D">
        <w:rPr>
          <w:rFonts w:ascii="Garamond" w:eastAsia="Times New Roman" w:hAnsi="Garamond"/>
          <w:lang w:val="es-AR" w:eastAsia="es-AR"/>
        </w:rPr>
        <w:t xml:space="preserve"> en millones de pesos, así como su comportamiento durante el presente período en comparación con el mismo período del ejercicio anterior:</w:t>
      </w:r>
    </w:p>
    <w:p w14:paraId="2ED4EF3F" w14:textId="77777777" w:rsidR="00AE32CA" w:rsidRPr="00CA3A3D" w:rsidRDefault="00AE32CA" w:rsidP="00AE32CA">
      <w:pPr>
        <w:pStyle w:val="Textoindependiente"/>
        <w:spacing w:after="0"/>
        <w:rPr>
          <w:rFonts w:ascii="Garamond" w:eastAsia="Times New Roman" w:hAnsi="Garamond"/>
          <w:lang w:val="es-AR" w:eastAsia="es-AR"/>
        </w:rPr>
      </w:pPr>
    </w:p>
    <w:p w14:paraId="39EB1615" w14:textId="77777777" w:rsidR="00AE32CA" w:rsidRPr="00CA3A3D" w:rsidRDefault="00AE32CA" w:rsidP="00AE32CA">
      <w:pPr>
        <w:numPr>
          <w:ilvl w:val="0"/>
          <w:numId w:val="300"/>
        </w:numPr>
        <w:spacing w:after="0" w:line="240" w:lineRule="auto"/>
        <w:ind w:left="426"/>
        <w:jc w:val="both"/>
        <w:rPr>
          <w:rFonts w:ascii="Garamond" w:hAnsi="Garamond"/>
          <w:sz w:val="20"/>
          <w:szCs w:val="20"/>
          <w:lang w:val="es-AR"/>
        </w:rPr>
      </w:pPr>
      <w:r w:rsidRPr="00CA3A3D">
        <w:rPr>
          <w:rFonts w:ascii="Garamond" w:hAnsi="Garamond"/>
          <w:sz w:val="20"/>
          <w:szCs w:val="20"/>
          <w:lang w:val="es-AR"/>
        </w:rPr>
        <w:t xml:space="preserve">$165,9 millones por compras de energía eléctrica, lo que representó una disminución del 49% respecto de $326,6 millones para el mismo período de 2018. </w:t>
      </w:r>
    </w:p>
    <w:p w14:paraId="0ABB0770" w14:textId="77777777" w:rsidR="00AE32CA" w:rsidRPr="00CA3A3D" w:rsidRDefault="00AE32CA" w:rsidP="00AE32CA">
      <w:pPr>
        <w:spacing w:after="0"/>
        <w:ind w:left="426"/>
        <w:jc w:val="both"/>
        <w:rPr>
          <w:rFonts w:ascii="Garamond" w:hAnsi="Garamond"/>
          <w:sz w:val="20"/>
          <w:szCs w:val="20"/>
          <w:lang w:val="es-AR"/>
        </w:rPr>
      </w:pPr>
    </w:p>
    <w:p w14:paraId="44190511" w14:textId="77777777" w:rsidR="00AE32CA" w:rsidRPr="00CA3A3D" w:rsidRDefault="00AE32CA" w:rsidP="00AE32CA">
      <w:pPr>
        <w:numPr>
          <w:ilvl w:val="0"/>
          <w:numId w:val="300"/>
        </w:numPr>
        <w:spacing w:after="0" w:line="240" w:lineRule="auto"/>
        <w:ind w:left="426"/>
        <w:jc w:val="both"/>
        <w:rPr>
          <w:rFonts w:ascii="Garamond" w:hAnsi="Garamond"/>
          <w:sz w:val="20"/>
          <w:szCs w:val="20"/>
          <w:lang w:val="es-AR"/>
        </w:rPr>
      </w:pPr>
      <w:r w:rsidRPr="00CA3A3D">
        <w:rPr>
          <w:rFonts w:ascii="Garamond" w:hAnsi="Garamond"/>
          <w:sz w:val="20"/>
          <w:szCs w:val="20"/>
          <w:lang w:val="es-AR"/>
        </w:rPr>
        <w:t>No hubo por costo de consumo de gas y gasoil de planta, lo que representó una disminución del 100% respecto de los $5,0 millones para el mismo período de 2018. Esta variación se debió a un cambio de liquidación del consumo de gas por parte de CAMMESA.</w:t>
      </w:r>
      <w:r w:rsidRPr="00CA3A3D">
        <w:rPr>
          <w:rFonts w:ascii="Garamond" w:hAnsi="Garamond"/>
          <w:sz w:val="20"/>
          <w:szCs w:val="20"/>
          <w:lang w:val="es-AR"/>
        </w:rPr>
        <w:tab/>
      </w:r>
    </w:p>
    <w:p w14:paraId="0EE42B8E" w14:textId="77777777" w:rsidR="00AE32CA" w:rsidRPr="00CA3A3D" w:rsidRDefault="00AE32CA" w:rsidP="00AE32CA">
      <w:pPr>
        <w:spacing w:after="0"/>
        <w:ind w:left="426"/>
        <w:jc w:val="both"/>
        <w:rPr>
          <w:rFonts w:ascii="Garamond" w:hAnsi="Garamond"/>
          <w:sz w:val="20"/>
          <w:szCs w:val="20"/>
          <w:lang w:val="es-AR"/>
        </w:rPr>
      </w:pPr>
    </w:p>
    <w:p w14:paraId="626799E9" w14:textId="77777777" w:rsidR="00AE32CA" w:rsidRPr="00CA3A3D" w:rsidRDefault="00AE32CA" w:rsidP="00AE32CA">
      <w:pPr>
        <w:numPr>
          <w:ilvl w:val="0"/>
          <w:numId w:val="300"/>
        </w:numPr>
        <w:spacing w:after="0" w:line="240" w:lineRule="auto"/>
        <w:ind w:left="426"/>
        <w:jc w:val="both"/>
        <w:rPr>
          <w:rFonts w:ascii="Garamond" w:hAnsi="Garamond"/>
          <w:sz w:val="20"/>
          <w:szCs w:val="20"/>
          <w:lang w:val="es-AR"/>
        </w:rPr>
      </w:pPr>
      <w:r w:rsidRPr="00CA3A3D">
        <w:rPr>
          <w:rFonts w:ascii="Garamond" w:hAnsi="Garamond"/>
          <w:sz w:val="20"/>
          <w:szCs w:val="20"/>
          <w:lang w:val="es-AR"/>
        </w:rPr>
        <w:t>$157,2 millones por servicios de mantenimiento, lo que representó un aumento del 59% respecto de los $98,7 millones para el mismo período de 2018. Esta variación se debió a la variación del tipo de cambio del dólar y la puesta en marcha de nuevas turbinas.</w:t>
      </w:r>
    </w:p>
    <w:p w14:paraId="3B8869BE" w14:textId="77777777" w:rsidR="00AE32CA" w:rsidRPr="00CA3A3D" w:rsidRDefault="00AE32CA" w:rsidP="00AE32CA">
      <w:pPr>
        <w:spacing w:after="0"/>
        <w:jc w:val="both"/>
        <w:rPr>
          <w:rFonts w:ascii="Garamond" w:hAnsi="Garamond"/>
          <w:sz w:val="20"/>
          <w:szCs w:val="20"/>
          <w:lang w:val="es-AR"/>
        </w:rPr>
      </w:pPr>
    </w:p>
    <w:p w14:paraId="7B4D7FA7" w14:textId="77777777" w:rsidR="00AE32CA" w:rsidRPr="00CA3A3D" w:rsidRDefault="00AE32CA" w:rsidP="00AE32CA">
      <w:pPr>
        <w:numPr>
          <w:ilvl w:val="0"/>
          <w:numId w:val="300"/>
        </w:numPr>
        <w:spacing w:after="0" w:line="240" w:lineRule="auto"/>
        <w:ind w:left="426"/>
        <w:jc w:val="both"/>
        <w:rPr>
          <w:rFonts w:ascii="Garamond" w:hAnsi="Garamond"/>
          <w:sz w:val="20"/>
          <w:szCs w:val="20"/>
          <w:lang w:val="es-AR"/>
        </w:rPr>
      </w:pPr>
      <w:r w:rsidRPr="00CA3A3D">
        <w:rPr>
          <w:rFonts w:ascii="Garamond" w:hAnsi="Garamond"/>
          <w:sz w:val="20"/>
          <w:szCs w:val="20"/>
          <w:lang w:val="es-AR"/>
        </w:rPr>
        <w:t>$298,3 millones por depreciación de propiedades, planta y equipo, lo que representó un aumento del 53% respecto de los $194,5 millones para el mismo período de 2018. Esta variación se origina principalmente por el mayor valor de amortización en los rubros edificios, instalaciones y maquinarias como consecuencia de la revaluación de los mismos al 31 de diciembre de 2018 y las puestas en marchas de los nuevos proyectos. </w:t>
      </w:r>
      <w:r w:rsidRPr="00CA3A3D">
        <w:rPr>
          <w:rFonts w:ascii="Garamond" w:hAnsi="Garamond" w:cs="Segoe UI"/>
          <w:color w:val="000000"/>
          <w:sz w:val="20"/>
          <w:szCs w:val="20"/>
          <w:lang w:val="es-AR"/>
        </w:rPr>
        <w:t xml:space="preserve"> </w:t>
      </w:r>
    </w:p>
    <w:p w14:paraId="67271D81"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 xml:space="preserve"> </w:t>
      </w:r>
    </w:p>
    <w:p w14:paraId="62A3D72C" w14:textId="77777777" w:rsidR="00AE32CA" w:rsidRPr="00CA3A3D" w:rsidRDefault="00AE32CA" w:rsidP="00AE32CA">
      <w:pPr>
        <w:numPr>
          <w:ilvl w:val="0"/>
          <w:numId w:val="300"/>
        </w:numPr>
        <w:spacing w:after="0" w:line="240" w:lineRule="auto"/>
        <w:ind w:left="426"/>
        <w:jc w:val="both"/>
        <w:rPr>
          <w:rFonts w:ascii="Garamond" w:hAnsi="Garamond"/>
          <w:sz w:val="20"/>
          <w:szCs w:val="20"/>
          <w:lang w:val="es-AR"/>
        </w:rPr>
      </w:pPr>
      <w:r w:rsidRPr="00CA3A3D">
        <w:rPr>
          <w:rFonts w:ascii="Garamond" w:hAnsi="Garamond"/>
          <w:sz w:val="20"/>
          <w:szCs w:val="20"/>
          <w:lang w:val="es-AR"/>
        </w:rPr>
        <w:t>$70,4 millones por sueldos y jornales y contribuciones sociales, lo que representó un aumento del 122% respecto de los $31,7 millones para el mismo período de 2018, aumento principalmente atribuible a que parte del personal dejó de estar abocado directamente a nuevos proyectos como consecuencia de la finalización de estos.</w:t>
      </w:r>
    </w:p>
    <w:p w14:paraId="42828FBF" w14:textId="77777777" w:rsidR="00AE32CA" w:rsidRPr="00CA3A3D" w:rsidRDefault="00AE32CA" w:rsidP="00AE32CA">
      <w:pPr>
        <w:spacing w:after="0"/>
        <w:ind w:left="426"/>
        <w:jc w:val="both"/>
        <w:rPr>
          <w:rFonts w:ascii="Garamond" w:hAnsi="Garamond"/>
          <w:sz w:val="20"/>
          <w:szCs w:val="20"/>
          <w:lang w:val="es-AR"/>
        </w:rPr>
      </w:pPr>
    </w:p>
    <w:p w14:paraId="25D16748" w14:textId="77777777" w:rsidR="00AE32CA" w:rsidRPr="00CA3A3D" w:rsidRDefault="00AE32CA" w:rsidP="00AE32CA">
      <w:pPr>
        <w:numPr>
          <w:ilvl w:val="0"/>
          <w:numId w:val="300"/>
        </w:numPr>
        <w:spacing w:after="0" w:line="240" w:lineRule="auto"/>
        <w:ind w:left="426"/>
        <w:jc w:val="both"/>
        <w:rPr>
          <w:rFonts w:ascii="Garamond" w:hAnsi="Garamond"/>
          <w:sz w:val="20"/>
          <w:szCs w:val="20"/>
          <w:lang w:val="es-AR"/>
        </w:rPr>
      </w:pPr>
      <w:r w:rsidRPr="00CA3A3D">
        <w:rPr>
          <w:rFonts w:ascii="Garamond" w:hAnsi="Garamond"/>
          <w:sz w:val="20"/>
          <w:szCs w:val="20"/>
          <w:lang w:val="es-AR"/>
        </w:rPr>
        <w:t>$10,1 millones por seguros, lo que representó una disminución del 28% respecto de los $14,1 millones del mismo período de 2018.</w:t>
      </w:r>
    </w:p>
    <w:p w14:paraId="6D740746" w14:textId="77777777" w:rsidR="00AE32CA" w:rsidRPr="00CA3A3D" w:rsidRDefault="00AE32CA" w:rsidP="00AE32CA">
      <w:pPr>
        <w:pStyle w:val="Textoindependiente"/>
        <w:spacing w:after="0"/>
        <w:rPr>
          <w:rFonts w:ascii="Garamond" w:eastAsia="Times New Roman" w:hAnsi="Garamond"/>
          <w:lang w:val="es-AR" w:eastAsia="es-AR"/>
        </w:rPr>
      </w:pPr>
    </w:p>
    <w:p w14:paraId="17480BA2" w14:textId="77777777" w:rsidR="00AE32CA" w:rsidRPr="00CA0A60" w:rsidRDefault="00AE32CA" w:rsidP="00AE32CA">
      <w:pPr>
        <w:spacing w:after="0"/>
        <w:jc w:val="both"/>
        <w:rPr>
          <w:rFonts w:ascii="Garamond" w:hAnsi="Garamond"/>
          <w:b/>
          <w:sz w:val="20"/>
          <w:szCs w:val="20"/>
          <w:lang w:val="es-AR"/>
        </w:rPr>
      </w:pPr>
    </w:p>
    <w:p w14:paraId="41F2FB6D" w14:textId="77777777" w:rsidR="00AE32CA" w:rsidRPr="00CA3A3D" w:rsidRDefault="00AE32CA" w:rsidP="00AE32CA">
      <w:pPr>
        <w:widowControl w:val="0"/>
        <w:autoSpaceDE w:val="0"/>
        <w:autoSpaceDN w:val="0"/>
        <w:adjustRightInd w:val="0"/>
        <w:spacing w:before="32" w:after="0"/>
        <w:jc w:val="both"/>
        <w:rPr>
          <w:rFonts w:ascii="Garamond" w:hAnsi="Garamond"/>
          <w:sz w:val="20"/>
          <w:szCs w:val="20"/>
          <w:u w:val="single"/>
          <w:lang w:val="es-AR"/>
        </w:rPr>
      </w:pPr>
      <w:r w:rsidRPr="00CA3A3D">
        <w:rPr>
          <w:rFonts w:ascii="Garamond" w:hAnsi="Garamond"/>
          <w:sz w:val="20"/>
          <w:szCs w:val="20"/>
          <w:u w:val="single"/>
          <w:lang w:val="es-AR"/>
        </w:rPr>
        <w:t>Resultado bruto:</w:t>
      </w:r>
    </w:p>
    <w:p w14:paraId="21A45992" w14:textId="77777777" w:rsidR="00AE32CA" w:rsidRPr="00CA3A3D" w:rsidRDefault="00AE32CA" w:rsidP="00AE32CA">
      <w:pPr>
        <w:widowControl w:val="0"/>
        <w:autoSpaceDE w:val="0"/>
        <w:autoSpaceDN w:val="0"/>
        <w:adjustRightInd w:val="0"/>
        <w:spacing w:before="32" w:after="0"/>
        <w:jc w:val="both"/>
        <w:rPr>
          <w:rFonts w:ascii="Garamond" w:hAnsi="Garamond"/>
          <w:sz w:val="20"/>
          <w:szCs w:val="20"/>
          <w:lang w:val="es-AR"/>
        </w:rPr>
      </w:pPr>
    </w:p>
    <w:p w14:paraId="390CE8C4" w14:textId="77777777" w:rsidR="00AE32CA" w:rsidRPr="00CA3A3D" w:rsidRDefault="00AE32CA" w:rsidP="00AE32CA">
      <w:pPr>
        <w:widowControl w:val="0"/>
        <w:autoSpaceDE w:val="0"/>
        <w:autoSpaceDN w:val="0"/>
        <w:adjustRightInd w:val="0"/>
        <w:spacing w:before="32" w:after="0"/>
        <w:jc w:val="both"/>
        <w:rPr>
          <w:rFonts w:ascii="Garamond" w:hAnsi="Garamond"/>
          <w:sz w:val="20"/>
          <w:szCs w:val="20"/>
          <w:lang w:val="es-AR"/>
        </w:rPr>
      </w:pPr>
      <w:r w:rsidRPr="00CA3A3D">
        <w:rPr>
          <w:rFonts w:ascii="Garamond" w:hAnsi="Garamond"/>
          <w:sz w:val="20"/>
          <w:szCs w:val="20"/>
          <w:lang w:val="es-AR"/>
        </w:rPr>
        <w:t>El resultado bruto para el período de tres meses finalizado el 31 de marzo de 2019 arrojó una ganancia de $1.209,4 millones, comparado con una ganancia de $778,8 millones para el mismo período de 2018, representando un aumento del 55%. Esto se debe a la variación en el tipo de cambio y la habilitación comercial de nuevas turbinas.</w:t>
      </w:r>
    </w:p>
    <w:p w14:paraId="3F4A7FEB" w14:textId="77777777" w:rsidR="00AE32CA" w:rsidRPr="00CA3A3D" w:rsidRDefault="00AE32CA" w:rsidP="00AE32CA">
      <w:pPr>
        <w:spacing w:after="0"/>
        <w:jc w:val="both"/>
        <w:rPr>
          <w:rFonts w:ascii="Garamond" w:hAnsi="Garamond"/>
          <w:b/>
          <w:sz w:val="20"/>
          <w:szCs w:val="20"/>
          <w:lang w:val="es-AR"/>
        </w:rPr>
      </w:pPr>
    </w:p>
    <w:p w14:paraId="281A369C" w14:textId="77777777" w:rsidR="00AE32CA" w:rsidRPr="00CA3A3D" w:rsidRDefault="00AE32CA" w:rsidP="002B1E31">
      <w:pPr>
        <w:keepNext/>
        <w:keepLines/>
        <w:autoSpaceDE w:val="0"/>
        <w:autoSpaceDN w:val="0"/>
        <w:adjustRightInd w:val="0"/>
        <w:spacing w:before="32" w:after="0"/>
        <w:jc w:val="both"/>
        <w:rPr>
          <w:rFonts w:ascii="Garamond" w:hAnsi="Garamond"/>
          <w:spacing w:val="11"/>
          <w:position w:val="-1"/>
          <w:sz w:val="20"/>
          <w:szCs w:val="20"/>
          <w:lang w:val="es-AR"/>
        </w:rPr>
      </w:pPr>
      <w:r w:rsidRPr="00CA3A3D">
        <w:rPr>
          <w:rFonts w:ascii="Garamond" w:hAnsi="Garamond"/>
          <w:sz w:val="20"/>
          <w:szCs w:val="20"/>
          <w:u w:val="single"/>
          <w:lang w:val="es-AR"/>
        </w:rPr>
        <w:lastRenderedPageBreak/>
        <w:t>Gastos de comercialización:</w:t>
      </w:r>
    </w:p>
    <w:p w14:paraId="10ADC927" w14:textId="77777777" w:rsidR="00AE32CA" w:rsidRPr="00CA3A3D" w:rsidRDefault="00AE32CA" w:rsidP="002B1E31">
      <w:pPr>
        <w:keepNext/>
        <w:keepLines/>
        <w:autoSpaceDE w:val="0"/>
        <w:autoSpaceDN w:val="0"/>
        <w:adjustRightInd w:val="0"/>
        <w:spacing w:before="6" w:after="0"/>
        <w:rPr>
          <w:lang w:val="es-AR"/>
        </w:rPr>
      </w:pPr>
    </w:p>
    <w:p w14:paraId="760AA5C5" w14:textId="4E701708" w:rsidR="00AE32CA" w:rsidRPr="00CA3A3D" w:rsidRDefault="00AE32CA" w:rsidP="002B1E31">
      <w:pPr>
        <w:pStyle w:val="Textoindependiente"/>
        <w:keepNext/>
        <w:keepLines/>
        <w:spacing w:after="0"/>
        <w:ind w:firstLine="0"/>
        <w:jc w:val="both"/>
        <w:rPr>
          <w:rFonts w:ascii="Garamond" w:eastAsia="Times New Roman" w:hAnsi="Garamond"/>
          <w:lang w:val="es-AR" w:eastAsia="es-AR"/>
        </w:rPr>
      </w:pPr>
      <w:r w:rsidRPr="00CA3A3D">
        <w:rPr>
          <w:rFonts w:ascii="Garamond" w:eastAsia="Times New Roman" w:hAnsi="Garamond"/>
          <w:lang w:val="es-AR" w:eastAsia="es-AR"/>
        </w:rPr>
        <w:t xml:space="preserve">Los gastos de comercialización </w:t>
      </w:r>
      <w:r w:rsidRPr="00CA3A3D">
        <w:rPr>
          <w:rFonts w:ascii="Garamond" w:hAnsi="Garamond"/>
          <w:lang w:val="es-AR" w:eastAsia="es-AR"/>
        </w:rPr>
        <w:t xml:space="preserve">para el período de tres meses finalizado el 31 de marzo de 2019 fueron de </w:t>
      </w:r>
      <w:r w:rsidRPr="00CA3A3D">
        <w:rPr>
          <w:rFonts w:ascii="Garamond" w:eastAsia="Times New Roman" w:hAnsi="Garamond"/>
          <w:lang w:val="es-AR" w:eastAsia="es-AR"/>
        </w:rPr>
        <w:t xml:space="preserve">$1,1 millones de pérdida, comparado con los $0,6 millones para el mismo período de 2018, lo que equivale a un aumento de $0,5 millones (o 85%). </w:t>
      </w:r>
    </w:p>
    <w:p w14:paraId="3D306725" w14:textId="77777777" w:rsidR="004512E8" w:rsidRPr="00CA3A3D" w:rsidRDefault="004512E8" w:rsidP="002B1E31">
      <w:pPr>
        <w:pStyle w:val="Textoindependiente"/>
        <w:keepNext/>
        <w:keepLines/>
        <w:spacing w:after="0"/>
        <w:ind w:firstLine="0"/>
        <w:jc w:val="both"/>
        <w:rPr>
          <w:rFonts w:ascii="Garamond" w:eastAsia="Times New Roman" w:hAnsi="Garamond"/>
          <w:lang w:val="es-AR" w:eastAsia="es-AR"/>
        </w:rPr>
      </w:pPr>
    </w:p>
    <w:p w14:paraId="22926A4F" w14:textId="47E70E46" w:rsidR="004512E8" w:rsidRPr="00CA3A3D" w:rsidRDefault="004512E8" w:rsidP="002B1E31">
      <w:pPr>
        <w:pStyle w:val="Textoindependiente"/>
        <w:keepNext/>
        <w:keepLines/>
        <w:spacing w:after="0"/>
        <w:ind w:firstLine="0"/>
        <w:jc w:val="both"/>
        <w:rPr>
          <w:rFonts w:ascii="Garamond" w:eastAsia="Times New Roman" w:hAnsi="Garamond"/>
          <w:lang w:val="es-AR" w:eastAsia="es-AR"/>
        </w:rPr>
      </w:pPr>
      <w:r w:rsidRPr="00CA0A60">
        <w:rPr>
          <w:noProof/>
          <w:lang w:val="es-AR" w:eastAsia="es-AR"/>
        </w:rPr>
        <w:drawing>
          <wp:inline distT="0" distB="0" distL="0" distR="0" wp14:anchorId="061B67CE" wp14:editId="62A06AD7">
            <wp:extent cx="5114260" cy="88963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09134" cy="923534"/>
                    </a:xfrm>
                    <a:prstGeom prst="rect">
                      <a:avLst/>
                    </a:prstGeom>
                    <a:noFill/>
                    <a:ln>
                      <a:noFill/>
                    </a:ln>
                  </pic:spPr>
                </pic:pic>
              </a:graphicData>
            </a:graphic>
          </wp:inline>
        </w:drawing>
      </w:r>
    </w:p>
    <w:p w14:paraId="11867726" w14:textId="7CB5B3A8" w:rsidR="00AE32CA" w:rsidRPr="00CA3A3D" w:rsidRDefault="00AE32CA" w:rsidP="002B1E31">
      <w:pPr>
        <w:pStyle w:val="Textoindependiente"/>
        <w:keepNext/>
        <w:keepLines/>
        <w:spacing w:after="0"/>
        <w:jc w:val="center"/>
        <w:rPr>
          <w:color w:val="000000" w:themeColor="text1"/>
          <w:lang w:val="es-AR"/>
        </w:rPr>
      </w:pPr>
    </w:p>
    <w:p w14:paraId="6E959497" w14:textId="77777777" w:rsidR="00AE32CA" w:rsidRPr="00CA0A60" w:rsidRDefault="00AE32CA" w:rsidP="002B1E31">
      <w:pPr>
        <w:keepNext/>
        <w:keepLines/>
        <w:spacing w:after="0"/>
        <w:jc w:val="both"/>
        <w:rPr>
          <w:b/>
          <w:lang w:val="es-AR"/>
        </w:rPr>
      </w:pPr>
    </w:p>
    <w:p w14:paraId="7B725000" w14:textId="77777777" w:rsidR="00AE32CA" w:rsidRPr="00CA3A3D" w:rsidRDefault="00AE32CA" w:rsidP="00AE32CA">
      <w:pPr>
        <w:keepNext/>
        <w:keepLines/>
        <w:jc w:val="both"/>
        <w:rPr>
          <w:rFonts w:ascii="Garamond" w:hAnsi="Garamond"/>
          <w:sz w:val="20"/>
          <w:szCs w:val="20"/>
          <w:u w:val="single"/>
          <w:lang w:val="es-AR"/>
        </w:rPr>
      </w:pPr>
      <w:r w:rsidRPr="00CA3A3D">
        <w:rPr>
          <w:rFonts w:ascii="Garamond" w:hAnsi="Garamond"/>
          <w:sz w:val="20"/>
          <w:szCs w:val="20"/>
          <w:u w:val="single"/>
          <w:lang w:val="es-AR"/>
        </w:rPr>
        <w:t xml:space="preserve">Gastos de administración </w:t>
      </w:r>
    </w:p>
    <w:p w14:paraId="6B74069C" w14:textId="77777777" w:rsidR="00AE32CA" w:rsidRPr="00CA3A3D" w:rsidRDefault="00AE32CA" w:rsidP="002B1E31">
      <w:pPr>
        <w:pStyle w:val="Textoindependiente"/>
        <w:keepNext/>
        <w:keepLines/>
        <w:spacing w:after="0"/>
        <w:ind w:firstLine="0"/>
        <w:jc w:val="both"/>
        <w:rPr>
          <w:rFonts w:ascii="Garamond" w:eastAsia="Times New Roman" w:hAnsi="Garamond"/>
          <w:lang w:val="es-AR" w:eastAsia="es-AR"/>
        </w:rPr>
      </w:pPr>
      <w:r w:rsidRPr="00CA3A3D">
        <w:rPr>
          <w:rFonts w:ascii="Garamond" w:eastAsia="Times New Roman" w:hAnsi="Garamond"/>
          <w:lang w:val="es-AR" w:eastAsia="es-AR"/>
        </w:rPr>
        <w:t xml:space="preserve">Los gastos de administración </w:t>
      </w:r>
      <w:r w:rsidRPr="00CA3A3D">
        <w:rPr>
          <w:rFonts w:ascii="Garamond" w:hAnsi="Garamond"/>
          <w:lang w:val="es-AR" w:eastAsia="es-AR"/>
        </w:rPr>
        <w:t xml:space="preserve">para el período de tres meses finalizado el 31 de marzo de 2019 </w:t>
      </w:r>
      <w:r w:rsidRPr="00CA3A3D">
        <w:rPr>
          <w:rFonts w:ascii="Garamond" w:eastAsia="Times New Roman" w:hAnsi="Garamond"/>
          <w:lang w:val="es-AR" w:eastAsia="es-AR"/>
        </w:rPr>
        <w:t>ascendieron a $32,8 millones, comparado con los $34,4 millones para el mismo período de 2018, lo que equivale u</w:t>
      </w:r>
      <w:r w:rsidRPr="00CA3A3D">
        <w:rPr>
          <w:rFonts w:ascii="Garamond" w:hAnsi="Garamond"/>
          <w:lang w:val="es-AR"/>
        </w:rPr>
        <w:t xml:space="preserve">na disminución </w:t>
      </w:r>
      <w:r w:rsidRPr="00CA3A3D">
        <w:rPr>
          <w:rFonts w:ascii="Garamond" w:eastAsia="Times New Roman" w:hAnsi="Garamond"/>
          <w:lang w:val="es-AR" w:eastAsia="es-AR"/>
        </w:rPr>
        <w:t>de $1,6</w:t>
      </w:r>
      <w:r w:rsidRPr="00CA3A3D">
        <w:rPr>
          <w:rFonts w:ascii="Garamond" w:hAnsi="Garamond"/>
          <w:lang w:val="es-AR"/>
        </w:rPr>
        <w:t xml:space="preserve"> </w:t>
      </w:r>
      <w:r w:rsidRPr="00CA3A3D">
        <w:rPr>
          <w:rFonts w:ascii="Garamond" w:eastAsia="Times New Roman" w:hAnsi="Garamond"/>
          <w:lang w:val="es-AR" w:eastAsia="es-AR"/>
        </w:rPr>
        <w:t>millones (o</w:t>
      </w:r>
      <w:r w:rsidRPr="00CA3A3D">
        <w:rPr>
          <w:rFonts w:ascii="Garamond" w:hAnsi="Garamond"/>
          <w:lang w:val="es-AR"/>
        </w:rPr>
        <w:t xml:space="preserve"> 5%</w:t>
      </w:r>
      <w:r w:rsidRPr="00CA3A3D">
        <w:rPr>
          <w:rFonts w:ascii="Garamond" w:eastAsia="Times New Roman" w:hAnsi="Garamond"/>
          <w:lang w:val="es-AR" w:eastAsia="es-AR"/>
        </w:rPr>
        <w:t>).</w:t>
      </w:r>
    </w:p>
    <w:p w14:paraId="5D2E7D31" w14:textId="77777777" w:rsidR="00AE32CA" w:rsidRPr="00CA3A3D" w:rsidRDefault="00AE32CA" w:rsidP="00AE32CA">
      <w:pPr>
        <w:pStyle w:val="Textoindependiente"/>
        <w:spacing w:after="0"/>
        <w:rPr>
          <w:rFonts w:eastAsia="Times New Roman"/>
          <w:szCs w:val="18"/>
          <w:lang w:val="es-AR" w:eastAsia="es-AR"/>
        </w:rPr>
      </w:pPr>
    </w:p>
    <w:p w14:paraId="5B8597A4" w14:textId="77777777" w:rsidR="00AE32CA" w:rsidRPr="00CA0A60" w:rsidRDefault="00AE32CA" w:rsidP="00AE32CA">
      <w:pPr>
        <w:spacing w:after="0"/>
        <w:jc w:val="both"/>
        <w:rPr>
          <w:b/>
          <w:lang w:val="es-AR"/>
        </w:rPr>
      </w:pPr>
    </w:p>
    <w:p w14:paraId="2F175C6D" w14:textId="77777777" w:rsidR="00AE32CA" w:rsidRPr="00CA0A60" w:rsidRDefault="00AE32CA" w:rsidP="002B1E31">
      <w:pPr>
        <w:spacing w:after="0"/>
        <w:jc w:val="center"/>
        <w:rPr>
          <w:b/>
          <w:lang w:val="es-AR"/>
        </w:rPr>
      </w:pPr>
      <w:r w:rsidRPr="00CA0A60">
        <w:rPr>
          <w:noProof/>
          <w:lang w:val="es-AR" w:eastAsia="es-AR"/>
        </w:rPr>
        <w:drawing>
          <wp:inline distT="0" distB="0" distL="0" distR="0" wp14:anchorId="403BA985" wp14:editId="4BE33BFE">
            <wp:extent cx="5400040" cy="1714500"/>
            <wp:effectExtent l="0" t="0" r="0" b="0"/>
            <wp:docPr id="1145" name="Imagen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040" cy="1714500"/>
                    </a:xfrm>
                    <a:prstGeom prst="rect">
                      <a:avLst/>
                    </a:prstGeom>
                    <a:noFill/>
                    <a:ln>
                      <a:noFill/>
                    </a:ln>
                  </pic:spPr>
                </pic:pic>
              </a:graphicData>
            </a:graphic>
          </wp:inline>
        </w:drawing>
      </w:r>
    </w:p>
    <w:p w14:paraId="2E418004" w14:textId="77777777" w:rsidR="00AE32CA" w:rsidRPr="00CA0A60" w:rsidRDefault="00AE32CA" w:rsidP="00AE32CA">
      <w:pPr>
        <w:spacing w:after="0"/>
        <w:jc w:val="both"/>
        <w:rPr>
          <w:b/>
          <w:szCs w:val="18"/>
          <w:lang w:val="es-AR"/>
        </w:rPr>
      </w:pPr>
    </w:p>
    <w:p w14:paraId="21D8D8B2" w14:textId="77777777" w:rsidR="00AE32CA" w:rsidRPr="00CA3A3D" w:rsidRDefault="00AE32CA" w:rsidP="00AE32CA">
      <w:pPr>
        <w:widowControl w:val="0"/>
        <w:autoSpaceDE w:val="0"/>
        <w:autoSpaceDN w:val="0"/>
        <w:adjustRightInd w:val="0"/>
        <w:spacing w:after="0"/>
        <w:ind w:right="79"/>
        <w:jc w:val="both"/>
        <w:rPr>
          <w:rFonts w:ascii="Garamond" w:hAnsi="Garamond"/>
          <w:sz w:val="20"/>
          <w:szCs w:val="20"/>
          <w:lang w:val="es-AR"/>
        </w:rPr>
      </w:pPr>
      <w:r w:rsidRPr="00CA3A3D">
        <w:rPr>
          <w:rFonts w:ascii="Garamond" w:hAnsi="Garamond"/>
          <w:sz w:val="20"/>
          <w:szCs w:val="20"/>
          <w:lang w:val="es-AR"/>
        </w:rPr>
        <w:t>Los principales componentes de los gastos de administración de la Sociedad son los siguientes:</w:t>
      </w:r>
    </w:p>
    <w:p w14:paraId="16FDE3D5" w14:textId="77777777" w:rsidR="00AE32CA" w:rsidRPr="00CA3A3D" w:rsidRDefault="00AE32CA" w:rsidP="00AE32CA">
      <w:pPr>
        <w:widowControl w:val="0"/>
        <w:autoSpaceDE w:val="0"/>
        <w:autoSpaceDN w:val="0"/>
        <w:adjustRightInd w:val="0"/>
        <w:spacing w:after="0"/>
        <w:ind w:right="76"/>
        <w:jc w:val="both"/>
        <w:rPr>
          <w:rFonts w:ascii="Garamond" w:hAnsi="Garamond"/>
          <w:sz w:val="20"/>
          <w:szCs w:val="20"/>
          <w:lang w:val="es-AR"/>
        </w:rPr>
      </w:pPr>
    </w:p>
    <w:p w14:paraId="251A1A94" w14:textId="77777777" w:rsidR="00AE32CA" w:rsidRPr="00CA3A3D" w:rsidRDefault="00AE32CA" w:rsidP="00AE32CA">
      <w:pPr>
        <w:pStyle w:val="Prrafodelista"/>
        <w:widowControl w:val="0"/>
        <w:numPr>
          <w:ilvl w:val="0"/>
          <w:numId w:val="297"/>
        </w:numPr>
        <w:autoSpaceDE w:val="0"/>
        <w:autoSpaceDN w:val="0"/>
        <w:adjustRightInd w:val="0"/>
        <w:spacing w:after="0" w:line="240" w:lineRule="auto"/>
        <w:ind w:left="426" w:right="79" w:hanging="426"/>
        <w:jc w:val="both"/>
        <w:rPr>
          <w:rFonts w:ascii="Garamond" w:hAnsi="Garamond"/>
          <w:sz w:val="20"/>
          <w:szCs w:val="20"/>
          <w:lang w:val="es-AR"/>
        </w:rPr>
      </w:pPr>
      <w:r w:rsidRPr="00CA3A3D">
        <w:rPr>
          <w:rFonts w:ascii="Garamond" w:hAnsi="Garamond"/>
          <w:sz w:val="20"/>
          <w:szCs w:val="20"/>
          <w:lang w:val="es-AR"/>
        </w:rPr>
        <w:t xml:space="preserve">$30,1 millones de honorarios y retribuciones por servicios, lo que representó un aumento del 5% respecto de los $28,8 millones del mismo período del año anterior. </w:t>
      </w:r>
    </w:p>
    <w:p w14:paraId="757A5C14" w14:textId="77777777" w:rsidR="00AE32CA" w:rsidRPr="00CA3A3D" w:rsidRDefault="00AE32CA" w:rsidP="00AE32CA">
      <w:pPr>
        <w:pStyle w:val="Prrafodelista"/>
        <w:widowControl w:val="0"/>
        <w:autoSpaceDE w:val="0"/>
        <w:autoSpaceDN w:val="0"/>
        <w:adjustRightInd w:val="0"/>
        <w:ind w:left="426" w:right="79"/>
        <w:rPr>
          <w:rFonts w:ascii="Garamond" w:hAnsi="Garamond"/>
          <w:sz w:val="20"/>
          <w:szCs w:val="20"/>
          <w:lang w:val="es-AR"/>
        </w:rPr>
      </w:pPr>
    </w:p>
    <w:p w14:paraId="722B73EF" w14:textId="77777777" w:rsidR="00AE32CA" w:rsidRPr="00CA3A3D" w:rsidRDefault="00AE32CA" w:rsidP="00AE32CA">
      <w:pPr>
        <w:pStyle w:val="Prrafodelista"/>
        <w:widowControl w:val="0"/>
        <w:numPr>
          <w:ilvl w:val="0"/>
          <w:numId w:val="297"/>
        </w:numPr>
        <w:tabs>
          <w:tab w:val="left" w:pos="0"/>
          <w:tab w:val="left" w:pos="3686"/>
        </w:tabs>
        <w:autoSpaceDE w:val="0"/>
        <w:autoSpaceDN w:val="0"/>
        <w:adjustRightInd w:val="0"/>
        <w:spacing w:after="0" w:line="240" w:lineRule="auto"/>
        <w:ind w:left="426" w:right="-32" w:hanging="426"/>
        <w:jc w:val="both"/>
        <w:rPr>
          <w:rFonts w:ascii="Garamond" w:hAnsi="Garamond"/>
          <w:spacing w:val="-2"/>
          <w:sz w:val="20"/>
          <w:lang w:val="es-AR"/>
        </w:rPr>
      </w:pPr>
      <w:r w:rsidRPr="00CA3A3D">
        <w:rPr>
          <w:rFonts w:ascii="Garamond" w:hAnsi="Garamond"/>
          <w:sz w:val="20"/>
          <w:szCs w:val="20"/>
          <w:lang w:val="es-AR"/>
        </w:rPr>
        <w:t>$1,5 millones de alquileres, lo que representó una disminución del 21% respecto del $1,9 millones del mismo período del año anterior.</w:t>
      </w:r>
      <w:r w:rsidRPr="00CA3A3D">
        <w:rPr>
          <w:rFonts w:ascii="Garamond" w:hAnsi="Garamond"/>
          <w:spacing w:val="-2"/>
          <w:sz w:val="20"/>
          <w:lang w:val="es-AR"/>
        </w:rPr>
        <w:t xml:space="preserve"> </w:t>
      </w:r>
    </w:p>
    <w:p w14:paraId="080B7DA8" w14:textId="77777777" w:rsidR="00AE32CA" w:rsidRPr="00CA3A3D" w:rsidRDefault="00AE32CA" w:rsidP="00AE32CA">
      <w:pPr>
        <w:spacing w:after="0"/>
        <w:jc w:val="both"/>
        <w:rPr>
          <w:rFonts w:ascii="Garamond" w:hAnsi="Garamond"/>
          <w:b/>
          <w:sz w:val="20"/>
          <w:szCs w:val="20"/>
          <w:lang w:val="es-AR"/>
        </w:rPr>
      </w:pPr>
    </w:p>
    <w:p w14:paraId="3BE043D0" w14:textId="77777777" w:rsidR="00AE32CA" w:rsidRPr="00CA3A3D" w:rsidRDefault="00AE32CA">
      <w:pPr>
        <w:widowControl w:val="0"/>
        <w:tabs>
          <w:tab w:val="left" w:pos="0"/>
          <w:tab w:val="left" w:pos="3686"/>
        </w:tabs>
        <w:autoSpaceDE w:val="0"/>
        <w:autoSpaceDN w:val="0"/>
        <w:adjustRightInd w:val="0"/>
        <w:spacing w:after="0"/>
        <w:ind w:right="-32"/>
        <w:jc w:val="both"/>
        <w:rPr>
          <w:rFonts w:ascii="Garamond" w:hAnsi="Garamond"/>
          <w:spacing w:val="-2"/>
          <w:sz w:val="20"/>
          <w:szCs w:val="20"/>
          <w:u w:val="single"/>
          <w:lang w:val="es-AR"/>
        </w:rPr>
      </w:pPr>
      <w:r w:rsidRPr="00CA3A3D">
        <w:rPr>
          <w:rFonts w:ascii="Garamond" w:hAnsi="Garamond"/>
          <w:spacing w:val="-2"/>
          <w:sz w:val="20"/>
          <w:szCs w:val="20"/>
          <w:u w:val="single"/>
          <w:lang w:val="es-AR"/>
        </w:rPr>
        <w:t>Otros ingresos:</w:t>
      </w:r>
    </w:p>
    <w:p w14:paraId="25965BBB" w14:textId="77777777" w:rsidR="00AE32CA" w:rsidRPr="00CA3A3D" w:rsidRDefault="00AE32CA">
      <w:pPr>
        <w:widowControl w:val="0"/>
        <w:tabs>
          <w:tab w:val="left" w:pos="3686"/>
        </w:tabs>
        <w:autoSpaceDE w:val="0"/>
        <w:autoSpaceDN w:val="0"/>
        <w:adjustRightInd w:val="0"/>
        <w:spacing w:after="0"/>
        <w:ind w:right="6768"/>
        <w:jc w:val="both"/>
        <w:rPr>
          <w:rFonts w:ascii="Garamond" w:hAnsi="Garamond"/>
          <w:sz w:val="20"/>
          <w:szCs w:val="20"/>
          <w:highlight w:val="yellow"/>
          <w:lang w:val="es-AR"/>
        </w:rPr>
      </w:pPr>
    </w:p>
    <w:p w14:paraId="1449CE42" w14:textId="77777777" w:rsidR="00AE32CA" w:rsidRPr="00CA3A3D" w:rsidRDefault="00AE32CA">
      <w:pPr>
        <w:widowControl w:val="0"/>
        <w:autoSpaceDE w:val="0"/>
        <w:autoSpaceDN w:val="0"/>
        <w:adjustRightInd w:val="0"/>
        <w:spacing w:after="0"/>
        <w:ind w:right="-32"/>
        <w:jc w:val="both"/>
        <w:rPr>
          <w:rFonts w:ascii="Garamond" w:hAnsi="Garamond"/>
          <w:sz w:val="20"/>
          <w:szCs w:val="20"/>
          <w:lang w:val="es-AR"/>
        </w:rPr>
      </w:pPr>
      <w:r w:rsidRPr="00CA3A3D">
        <w:rPr>
          <w:rFonts w:ascii="Garamond" w:hAnsi="Garamond"/>
          <w:sz w:val="20"/>
          <w:szCs w:val="20"/>
          <w:lang w:val="es-AR"/>
        </w:rPr>
        <w:t>Otros ingresos operativos para el período de tres meses finalizado el 31 de marzo de 2019 ascendieron a $0,2 millones lo que representó una disminución del 86% respecto al mismo período de 2018.</w:t>
      </w:r>
    </w:p>
    <w:p w14:paraId="6E7A6BBA" w14:textId="77777777" w:rsidR="00AE32CA" w:rsidRPr="00CA3A3D" w:rsidRDefault="00AE32CA">
      <w:pPr>
        <w:widowControl w:val="0"/>
        <w:autoSpaceDE w:val="0"/>
        <w:autoSpaceDN w:val="0"/>
        <w:adjustRightInd w:val="0"/>
        <w:spacing w:after="0"/>
        <w:ind w:right="-32"/>
        <w:jc w:val="both"/>
        <w:rPr>
          <w:rFonts w:ascii="Garamond" w:hAnsi="Garamond"/>
          <w:sz w:val="20"/>
          <w:szCs w:val="20"/>
          <w:lang w:val="es-AR"/>
        </w:rPr>
      </w:pPr>
    </w:p>
    <w:p w14:paraId="6983AFC9" w14:textId="77777777" w:rsidR="00AE32CA" w:rsidRPr="00CA3A3D" w:rsidRDefault="00AE32CA">
      <w:pPr>
        <w:widowControl w:val="0"/>
        <w:autoSpaceDE w:val="0"/>
        <w:autoSpaceDN w:val="0"/>
        <w:adjustRightInd w:val="0"/>
        <w:spacing w:after="0"/>
        <w:ind w:right="-32"/>
        <w:jc w:val="both"/>
        <w:rPr>
          <w:rFonts w:ascii="Garamond" w:hAnsi="Garamond"/>
          <w:sz w:val="20"/>
          <w:szCs w:val="20"/>
          <w:u w:val="single"/>
          <w:lang w:val="es-AR"/>
        </w:rPr>
      </w:pPr>
      <w:r w:rsidRPr="00CA3A3D">
        <w:rPr>
          <w:rFonts w:ascii="Garamond" w:hAnsi="Garamond"/>
          <w:sz w:val="20"/>
          <w:szCs w:val="20"/>
          <w:u w:val="single"/>
          <w:lang w:val="es-AR"/>
        </w:rPr>
        <w:t>Resultado operativo:</w:t>
      </w:r>
    </w:p>
    <w:p w14:paraId="7BFB9D8A" w14:textId="77777777" w:rsidR="00AE32CA" w:rsidRPr="00CA3A3D" w:rsidRDefault="00AE32CA">
      <w:pPr>
        <w:widowControl w:val="0"/>
        <w:autoSpaceDE w:val="0"/>
        <w:autoSpaceDN w:val="0"/>
        <w:adjustRightInd w:val="0"/>
        <w:spacing w:after="0"/>
        <w:ind w:right="-32"/>
        <w:jc w:val="both"/>
        <w:rPr>
          <w:rFonts w:ascii="Garamond" w:hAnsi="Garamond"/>
          <w:sz w:val="20"/>
          <w:szCs w:val="20"/>
          <w:u w:val="single"/>
          <w:lang w:val="es-AR"/>
        </w:rPr>
      </w:pPr>
    </w:p>
    <w:p w14:paraId="7ED7AA12" w14:textId="77777777" w:rsidR="00AE32CA" w:rsidRPr="00CA3A3D" w:rsidRDefault="00AE32CA">
      <w:pPr>
        <w:widowControl w:val="0"/>
        <w:autoSpaceDE w:val="0"/>
        <w:autoSpaceDN w:val="0"/>
        <w:adjustRightInd w:val="0"/>
        <w:spacing w:after="0"/>
        <w:ind w:right="-32"/>
        <w:jc w:val="both"/>
        <w:rPr>
          <w:rFonts w:ascii="Garamond" w:hAnsi="Garamond"/>
          <w:sz w:val="20"/>
          <w:szCs w:val="20"/>
          <w:lang w:val="es-AR"/>
        </w:rPr>
      </w:pPr>
      <w:r w:rsidRPr="00CA3A3D">
        <w:rPr>
          <w:rFonts w:ascii="Garamond" w:hAnsi="Garamond"/>
          <w:sz w:val="20"/>
          <w:szCs w:val="20"/>
          <w:lang w:val="es-AR"/>
        </w:rPr>
        <w:t xml:space="preserve">El resultado operativo para el período de tres meses finalizado el 31 de marzo de 2019 fue una ganancia de $1.175,6 millones, comparado con una ganancia de $745,2 millones para el para el mismo período de 2018, representando un aumento del 58%. </w:t>
      </w:r>
    </w:p>
    <w:p w14:paraId="32A466F5" w14:textId="77777777" w:rsidR="00AE32CA" w:rsidRPr="00CA3A3D" w:rsidRDefault="00AE32CA">
      <w:pPr>
        <w:widowControl w:val="0"/>
        <w:autoSpaceDE w:val="0"/>
        <w:autoSpaceDN w:val="0"/>
        <w:adjustRightInd w:val="0"/>
        <w:spacing w:after="0"/>
        <w:ind w:right="-32"/>
        <w:jc w:val="both"/>
        <w:rPr>
          <w:rFonts w:ascii="Garamond" w:hAnsi="Garamond"/>
          <w:sz w:val="20"/>
          <w:szCs w:val="20"/>
          <w:lang w:val="es-AR"/>
        </w:rPr>
      </w:pPr>
    </w:p>
    <w:p w14:paraId="680E8690" w14:textId="77777777" w:rsidR="00AE32CA" w:rsidRPr="00CA3A3D" w:rsidRDefault="00AE32CA">
      <w:pPr>
        <w:widowControl w:val="0"/>
        <w:autoSpaceDE w:val="0"/>
        <w:autoSpaceDN w:val="0"/>
        <w:adjustRightInd w:val="0"/>
        <w:spacing w:after="0"/>
        <w:ind w:right="3937"/>
        <w:jc w:val="both"/>
        <w:rPr>
          <w:rFonts w:ascii="Garamond" w:hAnsi="Garamond"/>
          <w:sz w:val="20"/>
          <w:szCs w:val="20"/>
          <w:u w:val="single"/>
          <w:lang w:val="es-AR"/>
        </w:rPr>
      </w:pPr>
      <w:r w:rsidRPr="00CA3A3D">
        <w:rPr>
          <w:rFonts w:ascii="Garamond" w:hAnsi="Garamond"/>
          <w:sz w:val="20"/>
          <w:szCs w:val="20"/>
          <w:u w:val="single"/>
          <w:lang w:val="es-AR"/>
        </w:rPr>
        <w:t>Resultados financieros:</w:t>
      </w:r>
    </w:p>
    <w:p w14:paraId="104D400C" w14:textId="77777777" w:rsidR="00AE32CA" w:rsidRPr="00CA3A3D" w:rsidRDefault="00AE32CA">
      <w:pPr>
        <w:widowControl w:val="0"/>
        <w:autoSpaceDE w:val="0"/>
        <w:autoSpaceDN w:val="0"/>
        <w:adjustRightInd w:val="0"/>
        <w:spacing w:after="0"/>
        <w:ind w:right="73"/>
        <w:jc w:val="both"/>
        <w:rPr>
          <w:rFonts w:ascii="Garamond" w:hAnsi="Garamond"/>
          <w:spacing w:val="-2"/>
          <w:sz w:val="20"/>
          <w:szCs w:val="20"/>
          <w:lang w:val="es-AR"/>
        </w:rPr>
      </w:pPr>
    </w:p>
    <w:p w14:paraId="7E9EB7E4" w14:textId="77777777" w:rsidR="00AE32CA" w:rsidRPr="00CA3A3D" w:rsidRDefault="00AE32CA" w:rsidP="002B1E31">
      <w:pPr>
        <w:pStyle w:val="Textoindependiente"/>
        <w:spacing w:after="0"/>
        <w:ind w:firstLine="0"/>
        <w:jc w:val="both"/>
        <w:rPr>
          <w:rFonts w:ascii="Garamond" w:eastAsia="Times New Roman" w:hAnsi="Garamond"/>
          <w:lang w:val="es-AR" w:eastAsia="es-AR"/>
        </w:rPr>
      </w:pPr>
      <w:r w:rsidRPr="00CA3A3D">
        <w:rPr>
          <w:rFonts w:ascii="Garamond" w:eastAsia="Times New Roman" w:hAnsi="Garamond"/>
          <w:lang w:val="es-AR" w:eastAsia="es-AR"/>
        </w:rPr>
        <w:t>Los resultados financieros para el período de tres meses finalizado el 31 de marzo de 2019 totalizaron una pérdida de $928,2</w:t>
      </w:r>
      <w:r w:rsidRPr="00CA3A3D">
        <w:rPr>
          <w:rFonts w:ascii="Garamond" w:hAnsi="Garamond"/>
          <w:lang w:val="es-AR"/>
        </w:rPr>
        <w:t xml:space="preserve"> </w:t>
      </w:r>
      <w:r w:rsidRPr="00CA3A3D">
        <w:rPr>
          <w:rFonts w:ascii="Garamond" w:eastAsia="Times New Roman" w:hAnsi="Garamond"/>
          <w:lang w:val="es-AR" w:eastAsia="es-AR"/>
        </w:rPr>
        <w:t xml:space="preserve">millones, comparado con una pérdida de $372,8 millones para el mismo período de 2018, representando </w:t>
      </w:r>
      <w:r w:rsidRPr="00CA3A3D">
        <w:rPr>
          <w:rFonts w:ascii="Garamond" w:hAnsi="Garamond"/>
          <w:lang w:val="es-AR"/>
        </w:rPr>
        <w:t xml:space="preserve">un aumento </w:t>
      </w:r>
      <w:r w:rsidRPr="00CA3A3D">
        <w:rPr>
          <w:rFonts w:ascii="Garamond" w:eastAsia="Times New Roman" w:hAnsi="Garamond"/>
          <w:lang w:val="es-AR" w:eastAsia="es-AR"/>
        </w:rPr>
        <w:t>del</w:t>
      </w:r>
      <w:r w:rsidRPr="00CA3A3D">
        <w:rPr>
          <w:rFonts w:ascii="Garamond" w:hAnsi="Garamond"/>
          <w:lang w:val="es-AR"/>
        </w:rPr>
        <w:t xml:space="preserve"> 149%</w:t>
      </w:r>
      <w:r w:rsidRPr="00CA3A3D">
        <w:rPr>
          <w:rFonts w:ascii="Garamond" w:eastAsia="Times New Roman" w:hAnsi="Garamond"/>
          <w:lang w:val="es-AR" w:eastAsia="es-AR"/>
        </w:rPr>
        <w:t>.</w:t>
      </w:r>
    </w:p>
    <w:p w14:paraId="2A019420" w14:textId="77777777" w:rsidR="00AE32CA" w:rsidRPr="00CA0A60" w:rsidRDefault="00AE32CA" w:rsidP="00AE32CA">
      <w:pPr>
        <w:widowControl w:val="0"/>
        <w:autoSpaceDE w:val="0"/>
        <w:autoSpaceDN w:val="0"/>
        <w:adjustRightInd w:val="0"/>
        <w:spacing w:after="0"/>
        <w:ind w:right="-32"/>
        <w:rPr>
          <w:szCs w:val="18"/>
          <w:u w:val="single"/>
          <w:lang w:val="es-AR"/>
        </w:rPr>
      </w:pPr>
    </w:p>
    <w:p w14:paraId="199C517D" w14:textId="77777777" w:rsidR="00AE32CA" w:rsidRPr="00CA3A3D" w:rsidRDefault="00AE32CA" w:rsidP="00AE32CA">
      <w:pPr>
        <w:spacing w:after="0"/>
        <w:rPr>
          <w:b/>
          <w:lang w:val="es-AR"/>
        </w:rPr>
      </w:pPr>
    </w:p>
    <w:p w14:paraId="1CEEF54A" w14:textId="77777777" w:rsidR="00AE32CA" w:rsidRPr="00CA3A3D" w:rsidRDefault="00AE32CA" w:rsidP="002B1E31">
      <w:pPr>
        <w:spacing w:after="0"/>
        <w:jc w:val="center"/>
        <w:rPr>
          <w:b/>
          <w:lang w:val="es-AR"/>
        </w:rPr>
      </w:pPr>
      <w:r w:rsidRPr="00CA0A60">
        <w:rPr>
          <w:noProof/>
          <w:lang w:val="es-AR" w:eastAsia="es-AR"/>
        </w:rPr>
        <w:drawing>
          <wp:inline distT="0" distB="0" distL="0" distR="0" wp14:anchorId="67814F98" wp14:editId="66D76FA1">
            <wp:extent cx="5400040" cy="1885315"/>
            <wp:effectExtent l="0" t="0" r="0" b="0"/>
            <wp:docPr id="1146" name="Imagen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040" cy="1885315"/>
                    </a:xfrm>
                    <a:prstGeom prst="rect">
                      <a:avLst/>
                    </a:prstGeom>
                    <a:noFill/>
                    <a:ln>
                      <a:noFill/>
                    </a:ln>
                  </pic:spPr>
                </pic:pic>
              </a:graphicData>
            </a:graphic>
          </wp:inline>
        </w:drawing>
      </w:r>
    </w:p>
    <w:p w14:paraId="1644D94C" w14:textId="77777777" w:rsidR="00AE32CA" w:rsidRPr="00CA3A3D" w:rsidRDefault="00AE32CA" w:rsidP="00AE32CA">
      <w:pPr>
        <w:spacing w:after="0"/>
        <w:jc w:val="both"/>
        <w:rPr>
          <w:b/>
          <w:szCs w:val="18"/>
          <w:lang w:val="es-AR"/>
        </w:rPr>
      </w:pPr>
    </w:p>
    <w:p w14:paraId="6A510209" w14:textId="77777777" w:rsidR="00AE32CA" w:rsidRPr="00CA3A3D" w:rsidRDefault="00AE32CA" w:rsidP="00AE32CA">
      <w:pPr>
        <w:keepNext/>
        <w:keepLines/>
        <w:autoSpaceDE w:val="0"/>
        <w:autoSpaceDN w:val="0"/>
        <w:adjustRightInd w:val="0"/>
        <w:spacing w:after="0"/>
        <w:ind w:right="2520"/>
        <w:jc w:val="both"/>
        <w:rPr>
          <w:rFonts w:ascii="Garamond" w:hAnsi="Garamond"/>
          <w:sz w:val="20"/>
          <w:szCs w:val="20"/>
          <w:lang w:val="es-AR"/>
        </w:rPr>
      </w:pPr>
      <w:r w:rsidRPr="00CA3A3D">
        <w:rPr>
          <w:rFonts w:ascii="Garamond" w:hAnsi="Garamond"/>
          <w:sz w:val="20"/>
          <w:szCs w:val="20"/>
          <w:lang w:val="es-AR"/>
        </w:rPr>
        <w:t>Los aspectos más salientes de dicha variación son los siguientes:</w:t>
      </w:r>
    </w:p>
    <w:p w14:paraId="40C813C6" w14:textId="77777777" w:rsidR="00AE32CA" w:rsidRPr="00CA3A3D" w:rsidRDefault="00AE32CA" w:rsidP="00AE32CA">
      <w:pPr>
        <w:keepNext/>
        <w:keepLines/>
        <w:autoSpaceDE w:val="0"/>
        <w:autoSpaceDN w:val="0"/>
        <w:adjustRightInd w:val="0"/>
        <w:spacing w:before="8" w:after="0"/>
        <w:jc w:val="both"/>
        <w:rPr>
          <w:rFonts w:ascii="Garamond" w:hAnsi="Garamond"/>
          <w:sz w:val="20"/>
          <w:szCs w:val="20"/>
          <w:lang w:val="es-AR"/>
        </w:rPr>
      </w:pPr>
    </w:p>
    <w:p w14:paraId="56AB5A1C" w14:textId="77777777" w:rsidR="00AE32CA" w:rsidRPr="00CA3A3D" w:rsidRDefault="00AE32CA" w:rsidP="00AE32CA">
      <w:pPr>
        <w:keepNext/>
        <w:keepLines/>
        <w:numPr>
          <w:ilvl w:val="0"/>
          <w:numId w:val="298"/>
        </w:numPr>
        <w:spacing w:after="0" w:line="240" w:lineRule="auto"/>
        <w:ind w:left="426"/>
        <w:jc w:val="both"/>
        <w:rPr>
          <w:rFonts w:ascii="Garamond" w:hAnsi="Garamond"/>
          <w:sz w:val="20"/>
          <w:szCs w:val="20"/>
          <w:lang w:val="es-AR"/>
        </w:rPr>
      </w:pPr>
      <w:r w:rsidRPr="00CA3A3D">
        <w:rPr>
          <w:rFonts w:ascii="Garamond" w:hAnsi="Garamond"/>
          <w:sz w:val="20"/>
          <w:szCs w:val="20"/>
          <w:lang w:val="es-AR"/>
        </w:rPr>
        <w:t>$266,9 millones de pérdida por intereses financieros, lo que representó una disminución del 14% respecto de los $310,9 millones de pérdida para el mismo período de 2018.</w:t>
      </w:r>
    </w:p>
    <w:p w14:paraId="06ACD372" w14:textId="77777777" w:rsidR="00AE32CA" w:rsidRPr="00CA3A3D" w:rsidRDefault="00AE32CA" w:rsidP="00AE32CA">
      <w:pPr>
        <w:keepNext/>
        <w:keepLines/>
        <w:spacing w:after="0"/>
        <w:ind w:left="426"/>
        <w:jc w:val="both"/>
        <w:rPr>
          <w:rFonts w:ascii="Garamond" w:hAnsi="Garamond"/>
          <w:sz w:val="20"/>
          <w:szCs w:val="20"/>
          <w:lang w:val="es-AR"/>
        </w:rPr>
      </w:pPr>
      <w:r w:rsidRPr="00CA3A3D">
        <w:rPr>
          <w:rFonts w:ascii="Garamond" w:hAnsi="Garamond"/>
          <w:sz w:val="20"/>
          <w:szCs w:val="20"/>
          <w:lang w:val="es-AR"/>
        </w:rPr>
        <w:t xml:space="preserve"> </w:t>
      </w:r>
    </w:p>
    <w:p w14:paraId="2F3865C7" w14:textId="77777777" w:rsidR="00AE32CA" w:rsidRPr="00CA3A3D" w:rsidRDefault="00AE32CA" w:rsidP="00AE32CA">
      <w:pPr>
        <w:keepNext/>
        <w:keepLines/>
        <w:numPr>
          <w:ilvl w:val="0"/>
          <w:numId w:val="298"/>
        </w:numPr>
        <w:spacing w:after="0" w:line="240" w:lineRule="auto"/>
        <w:ind w:left="426"/>
        <w:jc w:val="both"/>
        <w:rPr>
          <w:rFonts w:ascii="Garamond" w:hAnsi="Garamond"/>
          <w:sz w:val="20"/>
          <w:szCs w:val="20"/>
          <w:lang w:val="es-AR"/>
        </w:rPr>
      </w:pPr>
      <w:r w:rsidRPr="00CA3A3D">
        <w:rPr>
          <w:rFonts w:ascii="Garamond" w:hAnsi="Garamond"/>
          <w:sz w:val="20"/>
          <w:szCs w:val="20"/>
          <w:lang w:val="es-AR"/>
        </w:rPr>
        <w:t>$55,4 millones por otros resultados financieros, lo que representó un aumento del 122% respecto de los $25,0 millones de pérdida para el mismo periodo de 2018.</w:t>
      </w:r>
    </w:p>
    <w:p w14:paraId="21A540F6" w14:textId="77777777" w:rsidR="00AE32CA" w:rsidRPr="00CA3A3D" w:rsidRDefault="00AE32CA" w:rsidP="00AE32CA">
      <w:pPr>
        <w:keepNext/>
        <w:keepLines/>
        <w:spacing w:after="0"/>
        <w:jc w:val="both"/>
        <w:rPr>
          <w:rFonts w:ascii="Garamond" w:hAnsi="Garamond"/>
          <w:sz w:val="20"/>
          <w:szCs w:val="20"/>
          <w:lang w:val="es-AR"/>
        </w:rPr>
      </w:pPr>
    </w:p>
    <w:p w14:paraId="5BB9E3A6" w14:textId="77777777" w:rsidR="00AE32CA" w:rsidRPr="00CA3A3D" w:rsidRDefault="00AE32CA" w:rsidP="00AE32CA">
      <w:pPr>
        <w:keepNext/>
        <w:keepLines/>
        <w:numPr>
          <w:ilvl w:val="0"/>
          <w:numId w:val="298"/>
        </w:numPr>
        <w:spacing w:after="0" w:line="240" w:lineRule="auto"/>
        <w:ind w:left="426"/>
        <w:jc w:val="both"/>
        <w:rPr>
          <w:rFonts w:ascii="Garamond" w:hAnsi="Garamond"/>
          <w:sz w:val="20"/>
          <w:szCs w:val="20"/>
          <w:lang w:val="es-AR"/>
        </w:rPr>
      </w:pPr>
      <w:r w:rsidRPr="00CA3A3D">
        <w:rPr>
          <w:rFonts w:ascii="Garamond" w:hAnsi="Garamond"/>
          <w:sz w:val="20"/>
          <w:szCs w:val="20"/>
          <w:lang w:val="es-AR"/>
        </w:rPr>
        <w:t>$2.428,7 millones de pérdida por diferencias de cambio netas, lo que representó un aumento de 200% respecto de los $808,8 millones de pérdida del mismo período del año anterior.</w:t>
      </w:r>
    </w:p>
    <w:p w14:paraId="055F3FAF" w14:textId="77777777" w:rsidR="00AE32CA" w:rsidRPr="00CA3A3D" w:rsidRDefault="00AE32CA" w:rsidP="00AE32CA">
      <w:pPr>
        <w:spacing w:after="0"/>
        <w:jc w:val="both"/>
        <w:rPr>
          <w:rFonts w:ascii="Garamond" w:hAnsi="Garamond"/>
          <w:b/>
          <w:sz w:val="20"/>
          <w:szCs w:val="20"/>
          <w:lang w:val="es-AR"/>
        </w:rPr>
      </w:pPr>
    </w:p>
    <w:p w14:paraId="321AD106" w14:textId="77777777" w:rsidR="00AE32CA" w:rsidRPr="00CA3A3D" w:rsidRDefault="00AE32CA" w:rsidP="00AE32CA">
      <w:pPr>
        <w:pStyle w:val="Prrafodelista"/>
        <w:ind w:left="0"/>
        <w:rPr>
          <w:rFonts w:ascii="Garamond" w:hAnsi="Garamond"/>
          <w:spacing w:val="-2"/>
          <w:sz w:val="20"/>
          <w:szCs w:val="20"/>
          <w:u w:val="single"/>
          <w:lang w:val="es-AR"/>
        </w:rPr>
      </w:pPr>
      <w:r w:rsidRPr="00CA3A3D">
        <w:rPr>
          <w:rFonts w:ascii="Garamond" w:hAnsi="Garamond"/>
          <w:spacing w:val="-2"/>
          <w:sz w:val="20"/>
          <w:szCs w:val="20"/>
          <w:u w:val="single"/>
          <w:lang w:val="es-AR"/>
        </w:rPr>
        <w:t>Resultado antes de impuestos:</w:t>
      </w:r>
    </w:p>
    <w:p w14:paraId="0CC1E0AA" w14:textId="2BF08F30" w:rsidR="00AE32CA" w:rsidRPr="00CA3A3D" w:rsidRDefault="00AE32CA">
      <w:pPr>
        <w:widowControl w:val="0"/>
        <w:autoSpaceDE w:val="0"/>
        <w:autoSpaceDN w:val="0"/>
        <w:adjustRightInd w:val="0"/>
        <w:spacing w:after="0" w:line="224" w:lineRule="exact"/>
        <w:ind w:right="74"/>
        <w:jc w:val="both"/>
        <w:rPr>
          <w:rFonts w:ascii="Garamond" w:hAnsi="Garamond"/>
          <w:sz w:val="20"/>
          <w:szCs w:val="20"/>
          <w:lang w:val="es-AR"/>
        </w:rPr>
      </w:pPr>
      <w:r w:rsidRPr="00CA3A3D">
        <w:rPr>
          <w:rFonts w:ascii="Garamond" w:hAnsi="Garamond"/>
          <w:sz w:val="20"/>
          <w:szCs w:val="20"/>
          <w:lang w:val="es-AR"/>
        </w:rPr>
        <w:t xml:space="preserve">Para el período de tres meses finalizado el 31 de marzo de 2019, </w:t>
      </w:r>
      <w:r w:rsidR="008E1A99" w:rsidRPr="00CA3A3D">
        <w:rPr>
          <w:rFonts w:ascii="Garamond" w:hAnsi="Garamond"/>
          <w:sz w:val="20"/>
          <w:szCs w:val="20"/>
          <w:lang w:val="es-AR"/>
        </w:rPr>
        <w:t>GEMSA</w:t>
      </w:r>
      <w:r w:rsidRPr="00CA3A3D">
        <w:rPr>
          <w:rFonts w:ascii="Garamond" w:hAnsi="Garamond"/>
          <w:sz w:val="20"/>
          <w:szCs w:val="20"/>
          <w:lang w:val="es-AR"/>
        </w:rPr>
        <w:t xml:space="preserve"> registra una ganancia antes de impuestos de $247,4 millones, comparada con una ganancia de $372,4 millones para el mismo período del año anterior, lo que representa una disminución del 34%. Dicha variación se explica principalmente por la variación del tipo de cambio, la variación de intereses por préstamos y el incremento en el resultado bruto.</w:t>
      </w:r>
    </w:p>
    <w:p w14:paraId="04D4867E" w14:textId="77777777" w:rsidR="00AE32CA" w:rsidRPr="00CA3A3D" w:rsidRDefault="00AE32CA" w:rsidP="002B1E31">
      <w:pPr>
        <w:pStyle w:val="Textoindependiente"/>
        <w:spacing w:after="0"/>
        <w:jc w:val="both"/>
        <w:rPr>
          <w:rFonts w:ascii="Garamond" w:eastAsia="Times New Roman" w:hAnsi="Garamond"/>
          <w:lang w:val="es-AR" w:eastAsia="es-AR"/>
        </w:rPr>
      </w:pPr>
    </w:p>
    <w:p w14:paraId="6838541B" w14:textId="77777777" w:rsidR="00AE32CA" w:rsidRPr="00CA3A3D" w:rsidRDefault="00AE32CA">
      <w:pPr>
        <w:widowControl w:val="0"/>
        <w:autoSpaceDE w:val="0"/>
        <w:autoSpaceDN w:val="0"/>
        <w:adjustRightInd w:val="0"/>
        <w:spacing w:after="0" w:line="224" w:lineRule="exact"/>
        <w:ind w:right="74"/>
        <w:jc w:val="both"/>
        <w:rPr>
          <w:rFonts w:ascii="Garamond" w:eastAsia="Calibri" w:hAnsi="Garamond"/>
          <w:sz w:val="20"/>
          <w:szCs w:val="20"/>
          <w:lang w:val="es-AR"/>
        </w:rPr>
      </w:pPr>
      <w:bookmarkStart w:id="92" w:name="_Hlk528338806"/>
      <w:r w:rsidRPr="00CA3A3D">
        <w:rPr>
          <w:rFonts w:ascii="Garamond" w:hAnsi="Garamond"/>
          <w:sz w:val="20"/>
          <w:szCs w:val="20"/>
          <w:lang w:val="es-AR"/>
        </w:rPr>
        <w:t xml:space="preserve"> El resultado de impuesto a las ganancias fue de $21,2 millones para el período actual en comparación con los $104,1 millones de pérdida del mismo período del año anterior.</w:t>
      </w:r>
    </w:p>
    <w:p w14:paraId="53FF82D3" w14:textId="77777777" w:rsidR="00AE32CA" w:rsidRPr="00CA3A3D" w:rsidRDefault="00AE32CA" w:rsidP="00AE32CA">
      <w:pPr>
        <w:widowControl w:val="0"/>
        <w:autoSpaceDE w:val="0"/>
        <w:autoSpaceDN w:val="0"/>
        <w:adjustRightInd w:val="0"/>
        <w:spacing w:after="0" w:line="224" w:lineRule="exact"/>
        <w:ind w:right="74"/>
        <w:jc w:val="both"/>
        <w:rPr>
          <w:rFonts w:ascii="Garamond" w:hAnsi="Garamond"/>
          <w:sz w:val="20"/>
          <w:szCs w:val="20"/>
          <w:lang w:val="es-AR"/>
        </w:rPr>
      </w:pPr>
    </w:p>
    <w:p w14:paraId="0C4AAB87" w14:textId="77777777" w:rsidR="00AE32CA" w:rsidRPr="00CA3A3D" w:rsidRDefault="00AE32CA" w:rsidP="00AE32CA">
      <w:pPr>
        <w:widowControl w:val="0"/>
        <w:autoSpaceDE w:val="0"/>
        <w:autoSpaceDN w:val="0"/>
        <w:adjustRightInd w:val="0"/>
        <w:spacing w:after="0" w:line="224" w:lineRule="exact"/>
        <w:ind w:right="74"/>
        <w:jc w:val="both"/>
        <w:rPr>
          <w:rFonts w:ascii="Garamond" w:hAnsi="Garamond"/>
          <w:sz w:val="20"/>
          <w:szCs w:val="20"/>
          <w:lang w:val="es-AR"/>
        </w:rPr>
      </w:pPr>
      <w:r w:rsidRPr="00CA3A3D">
        <w:rPr>
          <w:rFonts w:ascii="Garamond" w:hAnsi="Garamond"/>
          <w:sz w:val="20"/>
          <w:szCs w:val="20"/>
          <w:u w:val="single"/>
          <w:lang w:val="es-AR"/>
        </w:rPr>
        <w:t>Resultado neto</w:t>
      </w:r>
      <w:r w:rsidRPr="00CA3A3D">
        <w:rPr>
          <w:rFonts w:ascii="Garamond" w:hAnsi="Garamond"/>
          <w:sz w:val="20"/>
          <w:szCs w:val="20"/>
          <w:lang w:val="es-AR"/>
        </w:rPr>
        <w:t>:</w:t>
      </w:r>
    </w:p>
    <w:p w14:paraId="27A30979" w14:textId="77777777" w:rsidR="00AE32CA" w:rsidRPr="00CA3A3D" w:rsidRDefault="00AE32CA" w:rsidP="00AE32CA">
      <w:pPr>
        <w:widowControl w:val="0"/>
        <w:autoSpaceDE w:val="0"/>
        <w:autoSpaceDN w:val="0"/>
        <w:adjustRightInd w:val="0"/>
        <w:spacing w:after="0" w:line="224" w:lineRule="exact"/>
        <w:ind w:right="74"/>
        <w:jc w:val="both"/>
        <w:rPr>
          <w:rFonts w:ascii="Garamond" w:hAnsi="Garamond"/>
          <w:sz w:val="20"/>
          <w:szCs w:val="20"/>
          <w:lang w:val="es-AR"/>
        </w:rPr>
      </w:pPr>
    </w:p>
    <w:p w14:paraId="34AF3FF9" w14:textId="77777777" w:rsidR="00AE32CA" w:rsidRPr="00CA3A3D" w:rsidRDefault="00AE32CA" w:rsidP="00AE32CA">
      <w:pPr>
        <w:widowControl w:val="0"/>
        <w:autoSpaceDE w:val="0"/>
        <w:autoSpaceDN w:val="0"/>
        <w:adjustRightInd w:val="0"/>
        <w:spacing w:after="0" w:line="224" w:lineRule="exact"/>
        <w:ind w:right="74"/>
        <w:jc w:val="both"/>
        <w:rPr>
          <w:rFonts w:ascii="Garamond" w:hAnsi="Garamond"/>
          <w:sz w:val="20"/>
          <w:szCs w:val="20"/>
          <w:lang w:val="es-AR"/>
        </w:rPr>
      </w:pPr>
      <w:r w:rsidRPr="00CA3A3D">
        <w:rPr>
          <w:rFonts w:ascii="Garamond" w:hAnsi="Garamond"/>
          <w:sz w:val="20"/>
          <w:szCs w:val="20"/>
          <w:lang w:val="es-AR"/>
        </w:rPr>
        <w:t>El resultado neto correspondiente al período de tres meses finalizado el 31 de marzo de 2019 fue una ganancia de $226,2 millones comparado con los $268,5 millones de ganancia del mismo período de 2018.</w:t>
      </w:r>
    </w:p>
    <w:p w14:paraId="42360534" w14:textId="77777777" w:rsidR="00AE32CA" w:rsidRPr="00CA3A3D" w:rsidRDefault="00AE32CA" w:rsidP="00AE32CA">
      <w:pPr>
        <w:widowControl w:val="0"/>
        <w:autoSpaceDE w:val="0"/>
        <w:autoSpaceDN w:val="0"/>
        <w:adjustRightInd w:val="0"/>
        <w:spacing w:after="0" w:line="224" w:lineRule="exact"/>
        <w:ind w:right="74"/>
        <w:jc w:val="both"/>
        <w:rPr>
          <w:rFonts w:ascii="Garamond" w:hAnsi="Garamond"/>
          <w:sz w:val="20"/>
          <w:szCs w:val="20"/>
          <w:lang w:val="es-AR"/>
        </w:rPr>
      </w:pPr>
    </w:p>
    <w:p w14:paraId="2D727C40" w14:textId="77777777" w:rsidR="00AE32CA" w:rsidRPr="00CA3A3D" w:rsidRDefault="00AE32CA" w:rsidP="00AE32CA">
      <w:pPr>
        <w:pStyle w:val="Prrafodelista"/>
        <w:ind w:left="0"/>
        <w:rPr>
          <w:rFonts w:ascii="Garamond" w:hAnsi="Garamond"/>
          <w:spacing w:val="-2"/>
          <w:sz w:val="20"/>
          <w:szCs w:val="20"/>
          <w:u w:val="single"/>
          <w:lang w:val="es-AR"/>
        </w:rPr>
      </w:pPr>
      <w:r w:rsidRPr="00CA3A3D">
        <w:rPr>
          <w:rFonts w:ascii="Garamond" w:hAnsi="Garamond"/>
          <w:spacing w:val="-2"/>
          <w:sz w:val="20"/>
          <w:szCs w:val="20"/>
          <w:u w:val="single"/>
          <w:lang w:val="es-AR"/>
        </w:rPr>
        <w:t xml:space="preserve">Resultados integrales del </w:t>
      </w:r>
      <w:r w:rsidRPr="00CA3A3D">
        <w:rPr>
          <w:rFonts w:ascii="Garamond" w:hAnsi="Garamond"/>
          <w:spacing w:val="-2"/>
          <w:sz w:val="20"/>
          <w:u w:val="single"/>
          <w:lang w:val="es-AR"/>
        </w:rPr>
        <w:t>período</w:t>
      </w:r>
      <w:r w:rsidRPr="00CA3A3D">
        <w:rPr>
          <w:rFonts w:ascii="Garamond" w:hAnsi="Garamond"/>
          <w:spacing w:val="-2"/>
          <w:sz w:val="20"/>
          <w:szCs w:val="20"/>
          <w:u w:val="single"/>
          <w:lang w:val="es-AR"/>
        </w:rPr>
        <w:t>:</w:t>
      </w:r>
    </w:p>
    <w:p w14:paraId="1C156D5B" w14:textId="77777777" w:rsidR="00AE32CA" w:rsidRPr="00CA3A3D" w:rsidRDefault="00AE32CA" w:rsidP="00AE32CA">
      <w:pPr>
        <w:widowControl w:val="0"/>
        <w:autoSpaceDE w:val="0"/>
        <w:autoSpaceDN w:val="0"/>
        <w:adjustRightInd w:val="0"/>
        <w:spacing w:after="0" w:line="224" w:lineRule="exact"/>
        <w:ind w:right="74"/>
        <w:jc w:val="both"/>
        <w:rPr>
          <w:rFonts w:ascii="Garamond" w:hAnsi="Garamond"/>
          <w:sz w:val="20"/>
          <w:szCs w:val="20"/>
          <w:lang w:val="es-AR"/>
        </w:rPr>
      </w:pPr>
    </w:p>
    <w:bookmarkEnd w:id="92"/>
    <w:p w14:paraId="7D11082F" w14:textId="77777777" w:rsidR="00AE32CA" w:rsidRPr="00CA3A3D" w:rsidRDefault="00AE32CA" w:rsidP="00AE32CA">
      <w:pPr>
        <w:spacing w:after="0"/>
        <w:jc w:val="both"/>
        <w:rPr>
          <w:rFonts w:ascii="Garamond" w:eastAsia="MS Mincho" w:hAnsi="Garamond"/>
          <w:sz w:val="20"/>
          <w:szCs w:val="20"/>
          <w:lang w:val="es-AR"/>
        </w:rPr>
      </w:pPr>
      <w:r w:rsidRPr="00CA3A3D">
        <w:rPr>
          <w:rFonts w:ascii="Garamond" w:eastAsia="MS Mincho" w:hAnsi="Garamond"/>
          <w:sz w:val="20"/>
          <w:szCs w:val="20"/>
          <w:lang w:val="es-AR"/>
        </w:rPr>
        <w:t>El resultado integral total del periodo finalizado el 31 de marzo de 2019 es una ganancia de $64,7 millones, representando una disminución del 76% respecto de la ganancia integral del marzo 2018, de $268,5 millones.</w:t>
      </w:r>
    </w:p>
    <w:p w14:paraId="1173E1E5" w14:textId="77777777" w:rsidR="00AE32CA" w:rsidRPr="00CA3A3D" w:rsidRDefault="00AE32CA" w:rsidP="00AE32CA">
      <w:pPr>
        <w:spacing w:after="0"/>
        <w:rPr>
          <w:rFonts w:ascii="Garamond" w:eastAsia="Times New Roman" w:hAnsi="Garamond"/>
          <w:sz w:val="18"/>
          <w:szCs w:val="18"/>
          <w:u w:val="single"/>
          <w:lang w:val="es-AR" w:eastAsia="es-AR"/>
        </w:rPr>
      </w:pPr>
    </w:p>
    <w:p w14:paraId="19A5E3DC" w14:textId="77777777" w:rsidR="00AE32CA" w:rsidRPr="00CA3A3D" w:rsidRDefault="00AE32CA" w:rsidP="00AE32CA">
      <w:pPr>
        <w:rPr>
          <w:rFonts w:ascii="Garamond" w:eastAsia="Times New Roman" w:hAnsi="Garamond"/>
          <w:b/>
          <w:i/>
          <w:sz w:val="18"/>
          <w:szCs w:val="18"/>
          <w:lang w:val="es-AR" w:eastAsia="es-AR"/>
        </w:rPr>
      </w:pPr>
      <w:r w:rsidRPr="00CA3A3D">
        <w:rPr>
          <w:rFonts w:ascii="Garamond" w:eastAsia="Times New Roman" w:hAnsi="Garamond"/>
          <w:b/>
          <w:i/>
          <w:sz w:val="18"/>
          <w:szCs w:val="18"/>
          <w:lang w:val="es-AR" w:eastAsia="es-AR"/>
        </w:rPr>
        <w:t>CTR</w:t>
      </w:r>
    </w:p>
    <w:p w14:paraId="0C232ED7" w14:textId="28BFEC5F" w:rsidR="00AE32CA" w:rsidRPr="00CA0A60" w:rsidRDefault="00AE32CA" w:rsidP="00AE32CA">
      <w:pPr>
        <w:spacing w:after="0" w:line="240" w:lineRule="auto"/>
        <w:jc w:val="both"/>
        <w:rPr>
          <w:rFonts w:ascii="Garamond" w:hAnsi="Garamond"/>
          <w:sz w:val="20"/>
          <w:szCs w:val="20"/>
          <w:lang w:val="es-AR"/>
        </w:rPr>
      </w:pPr>
      <w:r w:rsidRPr="00CA0A60">
        <w:rPr>
          <w:rFonts w:ascii="Garamond" w:hAnsi="Garamond"/>
          <w:sz w:val="20"/>
          <w:szCs w:val="20"/>
          <w:lang w:val="es-AR"/>
        </w:rPr>
        <w:t>La información financiera incl</w:t>
      </w:r>
      <w:r w:rsidRPr="00713D6E">
        <w:rPr>
          <w:rFonts w:ascii="Garamond" w:hAnsi="Garamond"/>
          <w:sz w:val="20"/>
          <w:szCs w:val="20"/>
          <w:lang w:val="es-AR"/>
        </w:rPr>
        <w:t xml:space="preserve">uida en esta sección correspondiente a los períodos </w:t>
      </w:r>
      <w:r w:rsidRPr="00CA0A60">
        <w:rPr>
          <w:rFonts w:ascii="Garamond" w:hAnsi="Garamond"/>
          <w:sz w:val="20"/>
          <w:szCs w:val="20"/>
          <w:lang w:val="es-AR"/>
        </w:rPr>
        <w:t xml:space="preserve">de tres meses finalizados al 31 de marzo de 2019 y 2018 de CTR ha sido extraída de los estados financieros condensados intermedios por los períodos de tres meses finalizados al 31 de marzo de 2019 y 2018 de CTR, </w:t>
      </w:r>
      <w:r w:rsidR="004F7520" w:rsidRPr="00CA0A60">
        <w:rPr>
          <w:rFonts w:ascii="Garamond" w:hAnsi="Garamond"/>
          <w:sz w:val="20"/>
          <w:szCs w:val="20"/>
          <w:lang w:val="es-AR"/>
        </w:rPr>
        <w:t>y</w:t>
      </w:r>
      <w:r w:rsidRPr="00CA0A60">
        <w:rPr>
          <w:rFonts w:ascii="Garamond" w:hAnsi="Garamond"/>
          <w:sz w:val="20"/>
          <w:szCs w:val="20"/>
          <w:lang w:val="es-AR"/>
        </w:rPr>
        <w:t xml:space="preserve"> se encuentran disponibles en la página web y en oficinas de la Compañía, así como en la Autopista de la Información Financiera en la página web de la CNV publicados bajo el ID 4-2470971-D</w:t>
      </w:r>
      <w:r w:rsidRPr="00CA0A60" w:rsidDel="00A576DF">
        <w:rPr>
          <w:rFonts w:ascii="Garamond" w:hAnsi="Garamond"/>
          <w:sz w:val="20"/>
          <w:szCs w:val="20"/>
          <w:lang w:val="es-AR"/>
        </w:rPr>
        <w:t xml:space="preserve"> </w:t>
      </w:r>
      <w:r w:rsidR="004F7520" w:rsidRPr="00CA0A60">
        <w:rPr>
          <w:rFonts w:ascii="Garamond" w:hAnsi="Garamond"/>
          <w:sz w:val="20"/>
          <w:szCs w:val="20"/>
          <w:lang w:val="es-AR"/>
        </w:rPr>
        <w:t xml:space="preserve">y ID </w:t>
      </w:r>
      <w:r w:rsidR="006B3401" w:rsidRPr="00CA0A60">
        <w:rPr>
          <w:rFonts w:ascii="Garamond" w:hAnsi="Garamond"/>
          <w:sz w:val="20"/>
          <w:szCs w:val="20"/>
          <w:lang w:val="es-AR"/>
        </w:rPr>
        <w:t>4-571943-D</w:t>
      </w:r>
      <w:r w:rsidR="004F7520" w:rsidRPr="00CA0A60">
        <w:rPr>
          <w:rFonts w:ascii="Garamond" w:hAnsi="Garamond"/>
          <w:sz w:val="20"/>
          <w:szCs w:val="20"/>
          <w:lang w:val="es-AR"/>
        </w:rPr>
        <w:t>, respectivamente</w:t>
      </w:r>
      <w:r w:rsidRPr="00CA0A60">
        <w:rPr>
          <w:rFonts w:ascii="Garamond" w:hAnsi="Garamond"/>
          <w:sz w:val="20"/>
          <w:szCs w:val="20"/>
          <w:lang w:val="es-AR"/>
        </w:rPr>
        <w:t>.</w:t>
      </w:r>
      <w:r w:rsidR="004F7520" w:rsidRPr="00CA0A60">
        <w:rPr>
          <w:rStyle w:val="Refdenotaalpie"/>
          <w:rFonts w:ascii="Garamond" w:hAnsi="Garamond"/>
          <w:sz w:val="20"/>
          <w:szCs w:val="20"/>
          <w:lang w:val="es-AR"/>
        </w:rPr>
        <w:t xml:space="preserve"> </w:t>
      </w:r>
    </w:p>
    <w:p w14:paraId="33499788" w14:textId="77777777" w:rsidR="004F7520" w:rsidRPr="00CA0A60" w:rsidRDefault="004F7520" w:rsidP="00AE32CA">
      <w:pPr>
        <w:spacing w:after="0" w:line="240" w:lineRule="auto"/>
        <w:jc w:val="both"/>
        <w:rPr>
          <w:rFonts w:ascii="Garamond" w:hAnsi="Garamond"/>
          <w:sz w:val="20"/>
          <w:szCs w:val="20"/>
          <w:lang w:val="es-AR"/>
        </w:rPr>
      </w:pPr>
    </w:p>
    <w:p w14:paraId="3CC89F42" w14:textId="77777777" w:rsidR="00AE32CA" w:rsidRPr="00CA3A3D" w:rsidRDefault="00AE32CA">
      <w:pPr>
        <w:keepNext/>
        <w:keepLines/>
        <w:autoSpaceDE w:val="0"/>
        <w:autoSpaceDN w:val="0"/>
        <w:adjustRightInd w:val="0"/>
        <w:spacing w:after="0" w:line="224" w:lineRule="exact"/>
        <w:ind w:right="74"/>
        <w:rPr>
          <w:rFonts w:ascii="Garamond" w:hAnsi="Garamond"/>
          <w:b/>
          <w:sz w:val="20"/>
          <w:szCs w:val="20"/>
          <w:lang w:val="es-AR"/>
        </w:rPr>
      </w:pPr>
      <w:r w:rsidRPr="00CA3A3D">
        <w:rPr>
          <w:rFonts w:ascii="Garamond" w:hAnsi="Garamond"/>
          <w:b/>
          <w:i/>
          <w:sz w:val="20"/>
          <w:szCs w:val="20"/>
          <w:lang w:val="es-AR"/>
        </w:rPr>
        <w:lastRenderedPageBreak/>
        <w:t>Información sobre el estado de resultados (expresado en miles de pesos)</w:t>
      </w:r>
    </w:p>
    <w:p w14:paraId="779286CF" w14:textId="77777777" w:rsidR="00AE32CA" w:rsidRPr="00CA3A3D" w:rsidRDefault="00AE32CA" w:rsidP="002B1E31">
      <w:pPr>
        <w:keepNext/>
        <w:keepLines/>
        <w:spacing w:after="0" w:line="240" w:lineRule="auto"/>
        <w:jc w:val="both"/>
        <w:rPr>
          <w:rFonts w:ascii="Garamond" w:hAnsi="Garamond"/>
          <w:b/>
          <w:sz w:val="20"/>
          <w:szCs w:val="20"/>
          <w:lang w:val="es-AR"/>
        </w:rPr>
      </w:pPr>
    </w:p>
    <w:p w14:paraId="4B4A9940" w14:textId="77777777" w:rsidR="00AE32CA" w:rsidRPr="00CA3A3D" w:rsidRDefault="00AE32CA">
      <w:pPr>
        <w:keepNext/>
        <w:keepLines/>
        <w:spacing w:after="0"/>
        <w:rPr>
          <w:rFonts w:ascii="Garamond" w:hAnsi="Garamond"/>
          <w:sz w:val="20"/>
          <w:szCs w:val="20"/>
          <w:lang w:val="es-AR"/>
        </w:rPr>
      </w:pPr>
      <w:r w:rsidRPr="00CA3A3D">
        <w:rPr>
          <w:rFonts w:ascii="Garamond" w:hAnsi="Garamond"/>
          <w:sz w:val="20"/>
          <w:szCs w:val="20"/>
          <w:lang w:val="es-AR"/>
        </w:rPr>
        <w:t>Períodos de tres meses finalizados el 31 de marzo de 2019 y 2018 (expresados en pesos y bajo NIIF)</w:t>
      </w:r>
    </w:p>
    <w:p w14:paraId="07E61561" w14:textId="77777777" w:rsidR="00AE32CA" w:rsidRPr="00CA3A3D" w:rsidRDefault="00AE32CA">
      <w:pPr>
        <w:keepNext/>
        <w:keepLines/>
        <w:spacing w:after="0"/>
        <w:rPr>
          <w:rFonts w:ascii="Garamond" w:hAnsi="Garamond"/>
          <w:sz w:val="20"/>
          <w:szCs w:val="20"/>
          <w:lang w:val="es-AR"/>
        </w:rPr>
      </w:pPr>
    </w:p>
    <w:p w14:paraId="20CED7A6" w14:textId="77777777" w:rsidR="00AE32CA" w:rsidRPr="00CA0A60" w:rsidRDefault="00AE32CA" w:rsidP="002B1E31">
      <w:pPr>
        <w:keepNext/>
        <w:keepLines/>
        <w:spacing w:after="0"/>
        <w:jc w:val="center"/>
        <w:rPr>
          <w:rFonts w:ascii="Garamond" w:hAnsi="Garamond"/>
          <w:b/>
          <w:sz w:val="20"/>
          <w:szCs w:val="20"/>
          <w:lang w:val="es-AR"/>
        </w:rPr>
      </w:pPr>
      <w:r w:rsidRPr="00CA0A60">
        <w:rPr>
          <w:noProof/>
          <w:lang w:val="es-AR" w:eastAsia="es-AR"/>
        </w:rPr>
        <w:drawing>
          <wp:inline distT="0" distB="0" distL="0" distR="0" wp14:anchorId="71E26587" wp14:editId="155DD76B">
            <wp:extent cx="4124325" cy="3609975"/>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24325" cy="3609975"/>
                    </a:xfrm>
                    <a:prstGeom prst="rect">
                      <a:avLst/>
                    </a:prstGeom>
                    <a:noFill/>
                    <a:ln>
                      <a:noFill/>
                    </a:ln>
                  </pic:spPr>
                </pic:pic>
              </a:graphicData>
            </a:graphic>
          </wp:inline>
        </w:drawing>
      </w:r>
    </w:p>
    <w:p w14:paraId="3A33B1A1" w14:textId="77777777" w:rsidR="00AE32CA" w:rsidRPr="00CA0A60" w:rsidRDefault="00AE32CA" w:rsidP="00AE32CA">
      <w:pPr>
        <w:spacing w:after="0" w:line="240" w:lineRule="auto"/>
        <w:jc w:val="both"/>
        <w:rPr>
          <w:rFonts w:ascii="Garamond" w:hAnsi="Garamond"/>
          <w:b/>
          <w:sz w:val="20"/>
          <w:szCs w:val="20"/>
          <w:lang w:val="es-AR"/>
        </w:rPr>
      </w:pPr>
    </w:p>
    <w:p w14:paraId="6C323B69" w14:textId="77777777" w:rsidR="00AE32CA" w:rsidRPr="00CA0A60" w:rsidRDefault="00AE32CA" w:rsidP="00AE32CA">
      <w:pPr>
        <w:spacing w:after="0" w:line="240" w:lineRule="auto"/>
        <w:jc w:val="both"/>
        <w:rPr>
          <w:rFonts w:ascii="Garamond" w:hAnsi="Garamond"/>
          <w:b/>
          <w:sz w:val="20"/>
          <w:szCs w:val="20"/>
          <w:lang w:val="es-AR"/>
        </w:rPr>
      </w:pPr>
    </w:p>
    <w:p w14:paraId="5E1E27C0" w14:textId="77777777" w:rsidR="00AE32CA" w:rsidRPr="00CA3A3D" w:rsidRDefault="00AE32CA" w:rsidP="002B1E31">
      <w:pPr>
        <w:keepNext/>
        <w:keepLines/>
        <w:rPr>
          <w:rFonts w:ascii="Garamond" w:hAnsi="Garamond"/>
          <w:sz w:val="20"/>
          <w:szCs w:val="20"/>
          <w:lang w:val="es-AR"/>
        </w:rPr>
      </w:pPr>
      <w:r w:rsidRPr="00CA3A3D">
        <w:rPr>
          <w:rFonts w:ascii="Garamond" w:hAnsi="Garamond"/>
          <w:b/>
          <w:i/>
          <w:sz w:val="20"/>
          <w:szCs w:val="20"/>
          <w:lang w:val="es-AR"/>
        </w:rPr>
        <w:lastRenderedPageBreak/>
        <w:t>Información sobre el estado de situación patrimonial (expresado en miles de pesos)</w:t>
      </w:r>
      <w:r w:rsidRPr="00CA3A3D">
        <w:rPr>
          <w:rFonts w:ascii="Garamond" w:hAnsi="Garamond"/>
          <w:b/>
          <w:i/>
          <w:sz w:val="20"/>
          <w:szCs w:val="20"/>
          <w:lang w:val="es-AR"/>
        </w:rPr>
        <w:br/>
      </w:r>
      <w:r w:rsidRPr="00CA3A3D">
        <w:rPr>
          <w:rFonts w:ascii="Garamond" w:hAnsi="Garamond"/>
          <w:sz w:val="20"/>
          <w:szCs w:val="20"/>
          <w:lang w:val="es-AR"/>
        </w:rPr>
        <w:t>Saldos al 31 de marzo de 2019 (expresados en pesos y bajo NIIF)</w:t>
      </w:r>
    </w:p>
    <w:p w14:paraId="45E7CD49" w14:textId="77777777" w:rsidR="00AE32CA" w:rsidRPr="00CA3A3D" w:rsidRDefault="00AE32CA" w:rsidP="002B1E31">
      <w:pPr>
        <w:keepNext/>
        <w:keepLines/>
        <w:jc w:val="center"/>
        <w:rPr>
          <w:lang w:val="es-AR"/>
        </w:rPr>
      </w:pPr>
      <w:r w:rsidRPr="00CA0A60">
        <w:rPr>
          <w:noProof/>
          <w:lang w:val="es-AR" w:eastAsia="es-AR"/>
        </w:rPr>
        <w:drawing>
          <wp:inline distT="0" distB="0" distL="0" distR="0" wp14:anchorId="4C1DE296" wp14:editId="318A6F9B">
            <wp:extent cx="3343275" cy="704850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43275" cy="7048500"/>
                    </a:xfrm>
                    <a:prstGeom prst="rect">
                      <a:avLst/>
                    </a:prstGeom>
                    <a:noFill/>
                    <a:ln>
                      <a:noFill/>
                    </a:ln>
                  </pic:spPr>
                </pic:pic>
              </a:graphicData>
            </a:graphic>
          </wp:inline>
        </w:drawing>
      </w:r>
    </w:p>
    <w:p w14:paraId="68007D54" w14:textId="77777777" w:rsidR="0007258F" w:rsidRPr="00CA3A3D" w:rsidRDefault="0007258F" w:rsidP="002B1E31">
      <w:pPr>
        <w:keepNext/>
        <w:keepLines/>
        <w:jc w:val="center"/>
        <w:rPr>
          <w:lang w:val="es-AR"/>
        </w:rPr>
      </w:pPr>
    </w:p>
    <w:p w14:paraId="75D4E591" w14:textId="77777777" w:rsidR="0007258F" w:rsidRPr="00CA3A3D" w:rsidRDefault="0007258F" w:rsidP="002B1E31">
      <w:pPr>
        <w:keepNext/>
        <w:keepLines/>
        <w:jc w:val="center"/>
        <w:rPr>
          <w:lang w:val="es-AR"/>
        </w:rPr>
      </w:pPr>
    </w:p>
    <w:p w14:paraId="0377D4A8" w14:textId="77777777" w:rsidR="0007258F" w:rsidRPr="00CA3A3D" w:rsidRDefault="0007258F" w:rsidP="002B1E31">
      <w:pPr>
        <w:keepNext/>
        <w:keepLines/>
        <w:jc w:val="center"/>
        <w:rPr>
          <w:lang w:val="es-AR"/>
        </w:rPr>
      </w:pPr>
    </w:p>
    <w:p w14:paraId="2725D094" w14:textId="77777777" w:rsidR="0007258F" w:rsidRPr="00CA3A3D" w:rsidRDefault="0007258F" w:rsidP="002B1E31">
      <w:pPr>
        <w:keepNext/>
        <w:keepLines/>
        <w:jc w:val="center"/>
        <w:rPr>
          <w:lang w:val="es-AR"/>
        </w:rPr>
      </w:pPr>
    </w:p>
    <w:p w14:paraId="27EA2272" w14:textId="77777777" w:rsidR="00AE32CA" w:rsidRPr="00CA3A3D" w:rsidRDefault="00AE32CA">
      <w:pPr>
        <w:keepNext/>
        <w:keepLines/>
        <w:spacing w:after="0"/>
        <w:rPr>
          <w:rFonts w:ascii="Garamond" w:hAnsi="Garamond"/>
          <w:sz w:val="20"/>
          <w:szCs w:val="20"/>
          <w:lang w:val="es-AR"/>
        </w:rPr>
      </w:pPr>
      <w:r w:rsidRPr="00CA0A60">
        <w:rPr>
          <w:rFonts w:ascii="Garamond" w:hAnsi="Garamond"/>
          <w:b/>
          <w:i/>
          <w:sz w:val="20"/>
          <w:szCs w:val="20"/>
          <w:lang w:val="es-AR"/>
        </w:rPr>
        <w:lastRenderedPageBreak/>
        <w:t xml:space="preserve">Composición del patrimonio neto </w:t>
      </w:r>
      <w:r w:rsidRPr="00713D6E">
        <w:rPr>
          <w:rFonts w:ascii="Garamond" w:hAnsi="Garamond"/>
          <w:b/>
          <w:i/>
          <w:color w:val="000000"/>
          <w:sz w:val="20"/>
          <w:szCs w:val="20"/>
          <w:lang w:val="es-AR"/>
        </w:rPr>
        <w:t xml:space="preserve">(expresado en miles de pesos) </w:t>
      </w:r>
      <w:r w:rsidRPr="00713D6E">
        <w:rPr>
          <w:rFonts w:ascii="Garamond" w:hAnsi="Garamond"/>
          <w:b/>
          <w:i/>
          <w:color w:val="000000"/>
          <w:sz w:val="20"/>
          <w:szCs w:val="20"/>
          <w:lang w:val="es-AR"/>
        </w:rPr>
        <w:br/>
      </w:r>
      <w:r w:rsidRPr="00CA3A3D">
        <w:rPr>
          <w:rFonts w:ascii="Garamond" w:hAnsi="Garamond"/>
          <w:sz w:val="20"/>
          <w:szCs w:val="20"/>
          <w:lang w:val="es-AR"/>
        </w:rPr>
        <w:t>Por los períodos de tres meses finalizados el 31 de marzo de 2019 y 2018 bajo NIIF:</w:t>
      </w:r>
    </w:p>
    <w:p w14:paraId="5C384043" w14:textId="77777777" w:rsidR="00AE32CA" w:rsidRPr="00CA3A3D" w:rsidRDefault="00AE32CA">
      <w:pPr>
        <w:keepNext/>
        <w:keepLines/>
        <w:spacing w:after="0"/>
        <w:rPr>
          <w:rFonts w:ascii="Garamond" w:hAnsi="Garamond"/>
          <w:sz w:val="20"/>
          <w:szCs w:val="20"/>
          <w:lang w:val="es-AR"/>
        </w:rPr>
      </w:pPr>
    </w:p>
    <w:p w14:paraId="750623CD" w14:textId="77777777" w:rsidR="00AE32CA" w:rsidRPr="00CA3A3D" w:rsidRDefault="00AE32CA" w:rsidP="002B1E31">
      <w:pPr>
        <w:keepNext/>
        <w:keepLines/>
        <w:spacing w:after="0"/>
        <w:jc w:val="center"/>
        <w:rPr>
          <w:rFonts w:ascii="Garamond" w:hAnsi="Garamond"/>
          <w:sz w:val="20"/>
          <w:szCs w:val="20"/>
          <w:lang w:val="es-AR"/>
        </w:rPr>
      </w:pPr>
      <w:r w:rsidRPr="00CA0A60">
        <w:rPr>
          <w:noProof/>
          <w:lang w:val="es-AR" w:eastAsia="es-AR"/>
        </w:rPr>
        <w:drawing>
          <wp:inline distT="0" distB="0" distL="0" distR="0" wp14:anchorId="07986B08" wp14:editId="7D4ED99C">
            <wp:extent cx="2505075" cy="2295525"/>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5075" cy="2295525"/>
                    </a:xfrm>
                    <a:prstGeom prst="rect">
                      <a:avLst/>
                    </a:prstGeom>
                    <a:noFill/>
                    <a:ln>
                      <a:noFill/>
                    </a:ln>
                  </pic:spPr>
                </pic:pic>
              </a:graphicData>
            </a:graphic>
          </wp:inline>
        </w:drawing>
      </w:r>
    </w:p>
    <w:p w14:paraId="70BF834C" w14:textId="77777777" w:rsidR="0007258F" w:rsidRPr="00CA3A3D" w:rsidRDefault="0007258F" w:rsidP="002B1E31">
      <w:pPr>
        <w:keepNext/>
        <w:keepLines/>
        <w:spacing w:after="0"/>
        <w:jc w:val="center"/>
        <w:rPr>
          <w:rFonts w:ascii="Garamond" w:hAnsi="Garamond"/>
          <w:sz w:val="20"/>
          <w:szCs w:val="20"/>
          <w:lang w:val="es-AR"/>
        </w:rPr>
      </w:pPr>
    </w:p>
    <w:p w14:paraId="044A6DC1" w14:textId="77777777" w:rsidR="00AE32CA" w:rsidRPr="00CA3A3D" w:rsidRDefault="00AE32CA" w:rsidP="00AE32CA">
      <w:pPr>
        <w:keepNext/>
        <w:spacing w:after="0"/>
        <w:rPr>
          <w:rFonts w:ascii="Garamond" w:hAnsi="Garamond"/>
          <w:b/>
          <w:i/>
          <w:sz w:val="20"/>
          <w:szCs w:val="20"/>
          <w:lang w:val="es-AR"/>
        </w:rPr>
      </w:pPr>
      <w:r w:rsidRPr="00CA3A3D">
        <w:rPr>
          <w:rFonts w:ascii="Garamond" w:hAnsi="Garamond"/>
          <w:b/>
          <w:i/>
          <w:sz w:val="20"/>
          <w:szCs w:val="20"/>
          <w:lang w:val="es-AR"/>
        </w:rPr>
        <w:t>Información sobre el estado de flujo de efectivo</w:t>
      </w:r>
    </w:p>
    <w:p w14:paraId="4A9F6C35" w14:textId="77777777" w:rsidR="00AE32CA" w:rsidRPr="00CA3A3D" w:rsidRDefault="00AE32CA" w:rsidP="002B1E31">
      <w:pPr>
        <w:keepNext/>
        <w:spacing w:after="0"/>
        <w:jc w:val="center"/>
        <w:rPr>
          <w:rFonts w:ascii="Garamond" w:hAnsi="Garamond"/>
          <w:b/>
          <w:i/>
          <w:sz w:val="20"/>
          <w:szCs w:val="20"/>
          <w:lang w:val="es-AR"/>
        </w:rPr>
      </w:pPr>
      <w:r w:rsidRPr="00CA0A60">
        <w:rPr>
          <w:noProof/>
          <w:lang w:val="es-AR" w:eastAsia="es-AR"/>
        </w:rPr>
        <w:drawing>
          <wp:inline distT="0" distB="0" distL="0" distR="0" wp14:anchorId="3C33C141" wp14:editId="2889ADC9">
            <wp:extent cx="5429250" cy="26860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29250" cy="2686050"/>
                    </a:xfrm>
                    <a:prstGeom prst="rect">
                      <a:avLst/>
                    </a:prstGeom>
                    <a:noFill/>
                    <a:ln>
                      <a:noFill/>
                    </a:ln>
                  </pic:spPr>
                </pic:pic>
              </a:graphicData>
            </a:graphic>
          </wp:inline>
        </w:drawing>
      </w:r>
    </w:p>
    <w:p w14:paraId="610715DA" w14:textId="77777777" w:rsidR="00AE32CA" w:rsidRPr="00CA3A3D" w:rsidRDefault="00AE32CA" w:rsidP="00AE32CA">
      <w:pPr>
        <w:keepNext/>
        <w:spacing w:after="0"/>
        <w:rPr>
          <w:rFonts w:ascii="Garamond" w:hAnsi="Garamond"/>
          <w:b/>
          <w:i/>
          <w:sz w:val="20"/>
          <w:szCs w:val="20"/>
          <w:lang w:val="es-AR"/>
        </w:rPr>
      </w:pPr>
    </w:p>
    <w:p w14:paraId="67DE3BE9" w14:textId="77777777" w:rsidR="00AE32CA" w:rsidRPr="00CA3A3D" w:rsidRDefault="00AE32CA" w:rsidP="00AE32CA">
      <w:pPr>
        <w:spacing w:after="0"/>
        <w:rPr>
          <w:rFonts w:ascii="Garamond" w:hAnsi="Garamond"/>
          <w:b/>
          <w:i/>
          <w:sz w:val="20"/>
          <w:szCs w:val="20"/>
          <w:lang w:val="es-AR"/>
        </w:rPr>
      </w:pPr>
      <w:r w:rsidRPr="00CA3A3D">
        <w:rPr>
          <w:rFonts w:ascii="Garamond" w:hAnsi="Garamond"/>
          <w:b/>
          <w:i/>
          <w:sz w:val="20"/>
          <w:szCs w:val="20"/>
          <w:lang w:val="es-AR"/>
        </w:rPr>
        <w:t>Período finalizado el 31 de marzo de 2019</w:t>
      </w:r>
    </w:p>
    <w:p w14:paraId="53AD532D" w14:textId="77777777" w:rsidR="00AE32CA" w:rsidRPr="00CA3A3D" w:rsidRDefault="00AE32CA" w:rsidP="00AE32CA">
      <w:pPr>
        <w:spacing w:after="0"/>
        <w:rPr>
          <w:rFonts w:ascii="Garamond" w:hAnsi="Garamond"/>
          <w:b/>
          <w:sz w:val="20"/>
          <w:szCs w:val="20"/>
          <w:lang w:val="es-AR"/>
        </w:rPr>
      </w:pPr>
    </w:p>
    <w:p w14:paraId="3B5CD704" w14:textId="77777777" w:rsidR="00AE32CA" w:rsidRPr="00CA3A3D" w:rsidRDefault="00AE32CA" w:rsidP="00AE32CA">
      <w:pPr>
        <w:spacing w:after="0"/>
        <w:rPr>
          <w:rFonts w:ascii="Garamond" w:hAnsi="Garamond"/>
          <w:i/>
          <w:sz w:val="20"/>
          <w:szCs w:val="20"/>
          <w:lang w:val="es-AR"/>
        </w:rPr>
      </w:pPr>
      <w:r w:rsidRPr="00CA3A3D">
        <w:rPr>
          <w:rFonts w:ascii="Garamond" w:hAnsi="Garamond"/>
          <w:i/>
          <w:sz w:val="20"/>
          <w:szCs w:val="20"/>
          <w:lang w:val="es-AR"/>
        </w:rPr>
        <w:t>Efectivo neto generado por actividades operativas</w:t>
      </w:r>
    </w:p>
    <w:p w14:paraId="73B17CFB" w14:textId="77777777" w:rsidR="00AE32CA" w:rsidRPr="00CA3A3D" w:rsidRDefault="00AE32CA" w:rsidP="00AE32CA">
      <w:pPr>
        <w:spacing w:after="0"/>
        <w:rPr>
          <w:rFonts w:ascii="Garamond" w:hAnsi="Garamond"/>
          <w:i/>
          <w:sz w:val="20"/>
          <w:szCs w:val="20"/>
          <w:lang w:val="es-AR"/>
        </w:rPr>
      </w:pPr>
    </w:p>
    <w:p w14:paraId="7B14A2CA"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Durante el período finalizado el 31 de marzo de 2019, se generaron fondos netos por $59,4 millones, principalmente debido al efecto de una ganancia neta ajustada por partidas que no consumieron fondos netos por $376,1 millones, a un aumento de créditos por ventas e inventarios por $537,1 millones, parcialmente absorbido por una disminución de otros créditos, otras fiscales y remuneraciones y deudas sociales por $88,6 millones y un aumento deudas comerciales por $131,8 millones.</w:t>
      </w:r>
    </w:p>
    <w:p w14:paraId="61B61817" w14:textId="77777777" w:rsidR="00AE32CA" w:rsidRPr="00CA3A3D" w:rsidRDefault="00AE32CA" w:rsidP="00AE32CA">
      <w:pPr>
        <w:spacing w:after="0"/>
        <w:rPr>
          <w:rFonts w:ascii="Garamond" w:hAnsi="Garamond"/>
          <w:sz w:val="20"/>
          <w:szCs w:val="20"/>
          <w:lang w:val="es-AR"/>
        </w:rPr>
      </w:pPr>
    </w:p>
    <w:p w14:paraId="21C71C2C" w14:textId="77777777" w:rsidR="00AE32CA" w:rsidRPr="00CA3A3D" w:rsidRDefault="00AE32CA" w:rsidP="00AE32CA">
      <w:pPr>
        <w:spacing w:after="0"/>
        <w:jc w:val="both"/>
        <w:rPr>
          <w:rFonts w:ascii="Garamond" w:hAnsi="Garamond"/>
          <w:i/>
          <w:sz w:val="20"/>
          <w:szCs w:val="20"/>
          <w:lang w:val="es-AR"/>
        </w:rPr>
      </w:pPr>
      <w:r w:rsidRPr="00CA3A3D">
        <w:rPr>
          <w:rFonts w:ascii="Garamond" w:hAnsi="Garamond"/>
          <w:i/>
          <w:sz w:val="20"/>
          <w:szCs w:val="20"/>
          <w:lang w:val="es-AR"/>
        </w:rPr>
        <w:t>Efectivo neto generado por actividades de inversión</w:t>
      </w:r>
    </w:p>
    <w:p w14:paraId="6E909A73" w14:textId="77777777" w:rsidR="00AE32CA" w:rsidRPr="00CA3A3D" w:rsidRDefault="00AE32CA" w:rsidP="00AE32CA">
      <w:pPr>
        <w:spacing w:after="0"/>
        <w:jc w:val="both"/>
        <w:rPr>
          <w:rFonts w:ascii="Garamond" w:hAnsi="Garamond"/>
          <w:sz w:val="20"/>
          <w:szCs w:val="20"/>
          <w:lang w:val="es-AR"/>
        </w:rPr>
      </w:pPr>
    </w:p>
    <w:p w14:paraId="3C821F25"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 xml:space="preserve">Los fondos netos aplicados por las actividades de inversión durante el período finalizado el 31 de marzo de 2019 fueron de $19,1 millones, principalmente debido a adquisiciones de bienes de uso. </w:t>
      </w:r>
    </w:p>
    <w:p w14:paraId="66F1A189" w14:textId="77777777" w:rsidR="00AE32CA" w:rsidRPr="00CA3A3D" w:rsidRDefault="00AE32CA" w:rsidP="00AE32CA">
      <w:pPr>
        <w:spacing w:after="0"/>
        <w:jc w:val="both"/>
        <w:rPr>
          <w:rFonts w:ascii="Garamond" w:hAnsi="Garamond"/>
          <w:i/>
          <w:sz w:val="20"/>
          <w:szCs w:val="20"/>
          <w:lang w:val="es-AR"/>
        </w:rPr>
      </w:pPr>
    </w:p>
    <w:p w14:paraId="5ECEEF77" w14:textId="77777777" w:rsidR="00AE32CA" w:rsidRPr="00CA3A3D" w:rsidRDefault="00AE32CA" w:rsidP="00AE32CA">
      <w:pPr>
        <w:spacing w:after="0"/>
        <w:jc w:val="both"/>
        <w:rPr>
          <w:rFonts w:ascii="Garamond" w:hAnsi="Garamond"/>
          <w:i/>
          <w:sz w:val="20"/>
          <w:szCs w:val="20"/>
          <w:lang w:val="es-AR"/>
        </w:rPr>
      </w:pPr>
      <w:r w:rsidRPr="00CA3A3D">
        <w:rPr>
          <w:rFonts w:ascii="Garamond" w:hAnsi="Garamond"/>
          <w:i/>
          <w:sz w:val="20"/>
          <w:szCs w:val="20"/>
          <w:lang w:val="es-AR"/>
        </w:rPr>
        <w:t>Efectivo neto aplicado a actividades de financiación</w:t>
      </w:r>
    </w:p>
    <w:p w14:paraId="43C59B3F" w14:textId="77777777" w:rsidR="00AE32CA" w:rsidRPr="00CA3A3D" w:rsidRDefault="00AE32CA" w:rsidP="00AE32CA">
      <w:pPr>
        <w:spacing w:after="0"/>
        <w:jc w:val="both"/>
        <w:rPr>
          <w:rFonts w:ascii="Garamond" w:hAnsi="Garamond"/>
          <w:sz w:val="20"/>
          <w:szCs w:val="20"/>
          <w:lang w:val="es-AR"/>
        </w:rPr>
      </w:pPr>
    </w:p>
    <w:p w14:paraId="0EE192C3"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 xml:space="preserve">Los fondos netos aplicados a las actividades de financiación durante el período finalizado el 31 de marzo de 2019 fueron de $309,0 millones, debido al pago de préstamos por $145,6 millones, al pago de intereses por </w:t>
      </w:r>
      <w:r w:rsidRPr="00CA3A3D">
        <w:rPr>
          <w:rFonts w:ascii="Garamond" w:hAnsi="Garamond"/>
          <w:sz w:val="20"/>
          <w:szCs w:val="20"/>
          <w:lang w:val="es-AR"/>
        </w:rPr>
        <w:lastRenderedPageBreak/>
        <w:t>$223,6 millones, parcialmente absorbido por la obtención de nuevos préstamos y cobros de instrumentos financieros por $60,2 millones.</w:t>
      </w:r>
    </w:p>
    <w:p w14:paraId="7EC7F244" w14:textId="77777777" w:rsidR="00AE32CA" w:rsidRPr="00CA3A3D" w:rsidRDefault="00AE32CA" w:rsidP="00AE32CA">
      <w:pPr>
        <w:spacing w:after="0"/>
        <w:rPr>
          <w:rFonts w:ascii="Garamond" w:hAnsi="Garamond"/>
          <w:sz w:val="20"/>
          <w:szCs w:val="20"/>
          <w:lang w:val="es-AR"/>
        </w:rPr>
      </w:pPr>
    </w:p>
    <w:p w14:paraId="57A61A15" w14:textId="77777777" w:rsidR="00AE32CA" w:rsidRPr="00CA3A3D" w:rsidRDefault="00AE32CA" w:rsidP="00AE32CA">
      <w:pPr>
        <w:spacing w:after="0"/>
        <w:rPr>
          <w:rFonts w:ascii="Garamond" w:hAnsi="Garamond"/>
          <w:sz w:val="20"/>
          <w:szCs w:val="20"/>
          <w:lang w:val="es-AR"/>
        </w:rPr>
      </w:pPr>
      <w:r w:rsidRPr="00CA3A3D">
        <w:rPr>
          <w:rFonts w:ascii="Garamond" w:hAnsi="Garamond"/>
          <w:sz w:val="20"/>
          <w:szCs w:val="20"/>
          <w:lang w:val="es-AR"/>
        </w:rPr>
        <w:t>Al cierre del período la posición de efectivo era de $2,4 millones.</w:t>
      </w:r>
    </w:p>
    <w:p w14:paraId="1A436961" w14:textId="77777777" w:rsidR="00AE32CA" w:rsidRPr="00CA3A3D" w:rsidRDefault="00AE32CA" w:rsidP="00AE32CA">
      <w:pPr>
        <w:spacing w:after="0"/>
        <w:rPr>
          <w:rFonts w:ascii="Garamond" w:hAnsi="Garamond"/>
          <w:b/>
          <w:i/>
          <w:sz w:val="20"/>
          <w:szCs w:val="20"/>
          <w:lang w:val="es-AR"/>
        </w:rPr>
      </w:pPr>
    </w:p>
    <w:p w14:paraId="272E683C" w14:textId="77777777" w:rsidR="00AE32CA" w:rsidRPr="00CA3A3D" w:rsidRDefault="00AE32CA" w:rsidP="00AE32CA">
      <w:pPr>
        <w:keepNext/>
        <w:keepLines/>
        <w:spacing w:after="0"/>
        <w:rPr>
          <w:rFonts w:ascii="Garamond" w:hAnsi="Garamond"/>
          <w:b/>
          <w:i/>
          <w:sz w:val="20"/>
          <w:szCs w:val="20"/>
          <w:lang w:val="es-AR"/>
        </w:rPr>
      </w:pPr>
      <w:r w:rsidRPr="00CA3A3D">
        <w:rPr>
          <w:rFonts w:ascii="Garamond" w:hAnsi="Garamond"/>
          <w:b/>
          <w:i/>
          <w:sz w:val="20"/>
          <w:szCs w:val="20"/>
          <w:lang w:val="es-AR"/>
        </w:rPr>
        <w:t>Período finalizado el 31 de marzo de 2018</w:t>
      </w:r>
    </w:p>
    <w:p w14:paraId="3A618FE7" w14:textId="77777777" w:rsidR="00AE32CA" w:rsidRPr="00CA3A3D" w:rsidRDefault="00AE32CA" w:rsidP="00AE32CA">
      <w:pPr>
        <w:keepNext/>
        <w:keepLines/>
        <w:spacing w:after="0"/>
        <w:rPr>
          <w:rFonts w:ascii="Garamond" w:hAnsi="Garamond"/>
          <w:b/>
          <w:sz w:val="20"/>
          <w:szCs w:val="20"/>
          <w:lang w:val="es-AR"/>
        </w:rPr>
      </w:pPr>
    </w:p>
    <w:p w14:paraId="4BDA5D0B" w14:textId="77777777" w:rsidR="00AE32CA" w:rsidRPr="00CA3A3D" w:rsidRDefault="00AE32CA" w:rsidP="00AE32CA">
      <w:pPr>
        <w:keepNext/>
        <w:keepLines/>
        <w:spacing w:after="0"/>
        <w:rPr>
          <w:rFonts w:ascii="Garamond" w:hAnsi="Garamond"/>
          <w:i/>
          <w:sz w:val="20"/>
          <w:szCs w:val="20"/>
          <w:lang w:val="es-AR"/>
        </w:rPr>
      </w:pPr>
      <w:r w:rsidRPr="00CA3A3D">
        <w:rPr>
          <w:rFonts w:ascii="Garamond" w:hAnsi="Garamond"/>
          <w:i/>
          <w:sz w:val="20"/>
          <w:szCs w:val="20"/>
          <w:lang w:val="es-AR"/>
        </w:rPr>
        <w:t>Efectivo neto generado por actividades operativas</w:t>
      </w:r>
    </w:p>
    <w:p w14:paraId="13305DD1" w14:textId="77777777" w:rsidR="00AE32CA" w:rsidRPr="00CA3A3D" w:rsidRDefault="00AE32CA" w:rsidP="00AE32CA">
      <w:pPr>
        <w:keepNext/>
        <w:keepLines/>
        <w:spacing w:after="0"/>
        <w:rPr>
          <w:rFonts w:ascii="Garamond" w:hAnsi="Garamond"/>
          <w:i/>
          <w:sz w:val="20"/>
          <w:szCs w:val="20"/>
          <w:lang w:val="es-AR"/>
        </w:rPr>
      </w:pPr>
    </w:p>
    <w:p w14:paraId="418BE734"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Durante el período finalizado el 31 de marzo de 2018, se aplicaron fondos netos por $199,1 millones, principalmente debido al efecto de una ganancia neta ajustada por partidas que no consumieron fondos netos por $111,0 millones, a un aumento de otros créditos por $8,2 millones, parcialmente absorbido por una disminución de créditos por ventas, inventarios, otras deudas y remuneraciones y deudas sociales por $60,4 millones y un aumento deudas comerciales por $35,9 millones.</w:t>
      </w:r>
    </w:p>
    <w:p w14:paraId="2F318C49" w14:textId="77777777" w:rsidR="00AE32CA" w:rsidRPr="00CA3A3D" w:rsidRDefault="00AE32CA" w:rsidP="00AE32CA">
      <w:pPr>
        <w:spacing w:after="0"/>
        <w:rPr>
          <w:rFonts w:ascii="Garamond" w:hAnsi="Garamond"/>
          <w:sz w:val="20"/>
          <w:szCs w:val="20"/>
          <w:lang w:val="es-AR"/>
        </w:rPr>
      </w:pPr>
      <w:r w:rsidRPr="00CA3A3D">
        <w:rPr>
          <w:rFonts w:ascii="Garamond" w:hAnsi="Garamond"/>
          <w:sz w:val="20"/>
          <w:szCs w:val="20"/>
          <w:lang w:val="es-AR"/>
        </w:rPr>
        <w:tab/>
      </w:r>
    </w:p>
    <w:p w14:paraId="1ADF908F" w14:textId="77777777" w:rsidR="00AE32CA" w:rsidRPr="00CA3A3D" w:rsidRDefault="00AE32CA" w:rsidP="00AE32CA">
      <w:pPr>
        <w:spacing w:after="0"/>
        <w:jc w:val="both"/>
        <w:rPr>
          <w:rFonts w:ascii="Garamond" w:hAnsi="Garamond"/>
          <w:i/>
          <w:sz w:val="20"/>
          <w:szCs w:val="20"/>
          <w:lang w:val="es-AR"/>
        </w:rPr>
      </w:pPr>
      <w:r w:rsidRPr="00CA3A3D">
        <w:rPr>
          <w:rFonts w:ascii="Garamond" w:hAnsi="Garamond"/>
          <w:i/>
          <w:sz w:val="20"/>
          <w:szCs w:val="20"/>
          <w:lang w:val="es-AR"/>
        </w:rPr>
        <w:t>Efectivo neto generado por actividades de inversión</w:t>
      </w:r>
    </w:p>
    <w:p w14:paraId="0DB96EBB" w14:textId="77777777" w:rsidR="00AE32CA" w:rsidRPr="00CA3A3D" w:rsidRDefault="00AE32CA" w:rsidP="00AE32CA">
      <w:pPr>
        <w:spacing w:after="0"/>
        <w:jc w:val="both"/>
        <w:rPr>
          <w:rFonts w:ascii="Garamond" w:hAnsi="Garamond"/>
          <w:sz w:val="20"/>
          <w:szCs w:val="20"/>
          <w:lang w:val="es-AR"/>
        </w:rPr>
      </w:pPr>
    </w:p>
    <w:p w14:paraId="1DD9B8ED"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 xml:space="preserve">Los fondos netos aplicados por las actividades de inversión durante el período finalizado el 31 de marzo de 2018 fueron de $459,9 millones, principalmente debido a adquisiciones de bienes de uso. </w:t>
      </w:r>
    </w:p>
    <w:p w14:paraId="44983064" w14:textId="77777777" w:rsidR="00AE32CA" w:rsidRPr="00CA3A3D" w:rsidRDefault="00AE32CA" w:rsidP="00AE32CA">
      <w:pPr>
        <w:spacing w:after="0"/>
        <w:jc w:val="both"/>
        <w:rPr>
          <w:rFonts w:ascii="Garamond" w:hAnsi="Garamond"/>
          <w:i/>
          <w:sz w:val="20"/>
          <w:szCs w:val="20"/>
          <w:lang w:val="es-AR"/>
        </w:rPr>
      </w:pPr>
    </w:p>
    <w:p w14:paraId="1D85536F" w14:textId="77777777" w:rsidR="00AE32CA" w:rsidRPr="00CA3A3D" w:rsidRDefault="00AE32CA" w:rsidP="00AE32CA">
      <w:pPr>
        <w:spacing w:after="0"/>
        <w:jc w:val="both"/>
        <w:rPr>
          <w:rFonts w:ascii="Garamond" w:hAnsi="Garamond"/>
          <w:i/>
          <w:sz w:val="20"/>
          <w:szCs w:val="20"/>
          <w:lang w:val="es-AR"/>
        </w:rPr>
      </w:pPr>
      <w:r w:rsidRPr="00CA3A3D">
        <w:rPr>
          <w:rFonts w:ascii="Garamond" w:hAnsi="Garamond"/>
          <w:i/>
          <w:sz w:val="20"/>
          <w:szCs w:val="20"/>
          <w:lang w:val="es-AR"/>
        </w:rPr>
        <w:t>Efectivo neto aplicado a actividades de financiación</w:t>
      </w:r>
    </w:p>
    <w:p w14:paraId="1EDE7A68" w14:textId="77777777" w:rsidR="00AE32CA" w:rsidRPr="00CA3A3D" w:rsidRDefault="00AE32CA" w:rsidP="00AE32CA">
      <w:pPr>
        <w:spacing w:after="0"/>
        <w:jc w:val="both"/>
        <w:rPr>
          <w:rFonts w:ascii="Garamond" w:hAnsi="Garamond"/>
          <w:sz w:val="20"/>
          <w:szCs w:val="20"/>
          <w:lang w:val="es-AR"/>
        </w:rPr>
      </w:pPr>
    </w:p>
    <w:p w14:paraId="580A9A48"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Los fondos netos generados por las actividades de financiación durante el período finalizado el 31 de marzo de 2018 fueron de $111,3 millones, debido al pago de préstamos por $252,6 millones, al pago de intereses por $174,2 millones, parcialmente absorbido por la obtención de nuevos préstamos y cobros de instrumentos financieros por $538,1 millones.</w:t>
      </w:r>
    </w:p>
    <w:p w14:paraId="29CDA655" w14:textId="77777777" w:rsidR="00AE32CA" w:rsidRPr="00CA3A3D" w:rsidRDefault="00AE32CA" w:rsidP="00AE32CA">
      <w:pPr>
        <w:spacing w:after="0"/>
        <w:jc w:val="both"/>
        <w:rPr>
          <w:rFonts w:ascii="Garamond" w:hAnsi="Garamond"/>
          <w:sz w:val="20"/>
          <w:szCs w:val="20"/>
          <w:lang w:val="es-AR"/>
        </w:rPr>
      </w:pPr>
    </w:p>
    <w:p w14:paraId="5172CD1D" w14:textId="77777777" w:rsidR="00AE32CA" w:rsidRPr="00CA3A3D" w:rsidRDefault="00AE32CA" w:rsidP="00AE32CA">
      <w:pPr>
        <w:spacing w:after="0"/>
        <w:jc w:val="both"/>
        <w:rPr>
          <w:rFonts w:ascii="Garamond" w:hAnsi="Garamond"/>
          <w:sz w:val="20"/>
          <w:szCs w:val="20"/>
          <w:lang w:val="es-AR"/>
        </w:rPr>
      </w:pPr>
      <w:r w:rsidRPr="00CA3A3D">
        <w:rPr>
          <w:rFonts w:ascii="Garamond" w:hAnsi="Garamond"/>
          <w:sz w:val="20"/>
          <w:szCs w:val="20"/>
          <w:lang w:val="es-AR"/>
        </w:rPr>
        <w:t>Al cierre del período la posición de efectivo era de $56,6 millones.</w:t>
      </w:r>
    </w:p>
    <w:p w14:paraId="199D5A8B" w14:textId="77777777" w:rsidR="00EF6658" w:rsidRPr="00CA3A3D" w:rsidRDefault="00EF6658" w:rsidP="00AE32CA">
      <w:pPr>
        <w:keepNext/>
        <w:keepLines/>
        <w:spacing w:after="0"/>
        <w:rPr>
          <w:rFonts w:ascii="Garamond" w:hAnsi="Garamond"/>
          <w:b/>
          <w:i/>
          <w:sz w:val="20"/>
          <w:szCs w:val="20"/>
          <w:lang w:val="es-AR"/>
        </w:rPr>
      </w:pPr>
    </w:p>
    <w:p w14:paraId="69F119E6" w14:textId="77777777" w:rsidR="00AE32CA" w:rsidRPr="00CA3A3D" w:rsidRDefault="00AE32CA" w:rsidP="00AE32CA">
      <w:pPr>
        <w:keepNext/>
        <w:keepLines/>
        <w:spacing w:after="0"/>
        <w:rPr>
          <w:rFonts w:ascii="Garamond" w:hAnsi="Garamond"/>
          <w:b/>
          <w:i/>
          <w:sz w:val="20"/>
          <w:szCs w:val="20"/>
          <w:lang w:val="es-AR"/>
        </w:rPr>
      </w:pPr>
      <w:r w:rsidRPr="00CA3A3D">
        <w:rPr>
          <w:rFonts w:ascii="Garamond" w:hAnsi="Garamond"/>
          <w:b/>
          <w:i/>
          <w:sz w:val="20"/>
          <w:szCs w:val="20"/>
          <w:lang w:val="es-AR"/>
        </w:rPr>
        <w:t xml:space="preserve">Índices financieros seleccionados </w:t>
      </w:r>
    </w:p>
    <w:p w14:paraId="617B88B6" w14:textId="77777777" w:rsidR="00AE32CA" w:rsidRPr="00CA0A60" w:rsidRDefault="00AE32CA" w:rsidP="00AE32CA">
      <w:pPr>
        <w:spacing w:after="0"/>
        <w:rPr>
          <w:rFonts w:ascii="Garamond" w:hAnsi="Garamond"/>
          <w:b/>
          <w:color w:val="000000"/>
          <w:sz w:val="20"/>
          <w:szCs w:val="20"/>
          <w:lang w:val="es-AR"/>
        </w:rPr>
      </w:pPr>
      <w:r w:rsidRPr="00CA0A60">
        <w:rPr>
          <w:rFonts w:ascii="Garamond" w:hAnsi="Garamond"/>
          <w:color w:val="000000"/>
          <w:sz w:val="20"/>
          <w:szCs w:val="20"/>
          <w:lang w:val="es-AR"/>
        </w:rPr>
        <w:t>Índices por los períodos de tres meses finalizados el 31 de marzo de 2019 y 2018 bajo NIIF</w:t>
      </w:r>
      <w:r w:rsidRPr="00713D6E">
        <w:rPr>
          <w:rFonts w:ascii="Garamond" w:hAnsi="Garamond"/>
          <w:b/>
          <w:color w:val="000000"/>
          <w:sz w:val="20"/>
          <w:szCs w:val="20"/>
          <w:lang w:val="es-AR"/>
        </w:rPr>
        <w:t>:</w:t>
      </w:r>
    </w:p>
    <w:p w14:paraId="5B388721" w14:textId="77777777" w:rsidR="00AE32CA" w:rsidRPr="00CA0A60" w:rsidRDefault="00AE32CA" w:rsidP="002B1E31">
      <w:pPr>
        <w:jc w:val="center"/>
        <w:rPr>
          <w:rFonts w:ascii="Garamond" w:hAnsi="Garamond"/>
          <w:sz w:val="18"/>
          <w:lang w:val="es-AR"/>
        </w:rPr>
      </w:pPr>
      <w:r w:rsidRPr="00CA0A60">
        <w:rPr>
          <w:noProof/>
          <w:lang w:val="es-AR" w:eastAsia="es-AR"/>
        </w:rPr>
        <w:drawing>
          <wp:inline distT="0" distB="0" distL="0" distR="0" wp14:anchorId="22A4F51A" wp14:editId="2D5BA071">
            <wp:extent cx="4143375" cy="2257425"/>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43375" cy="2257425"/>
                    </a:xfrm>
                    <a:prstGeom prst="rect">
                      <a:avLst/>
                    </a:prstGeom>
                    <a:noFill/>
                    <a:ln>
                      <a:noFill/>
                    </a:ln>
                  </pic:spPr>
                </pic:pic>
              </a:graphicData>
            </a:graphic>
          </wp:inline>
        </w:drawing>
      </w:r>
    </w:p>
    <w:p w14:paraId="64A604E6" w14:textId="77777777" w:rsidR="00AE32CA" w:rsidRPr="00CA3A3D" w:rsidRDefault="00AE32CA" w:rsidP="002B1E31">
      <w:pPr>
        <w:keepNext/>
        <w:keepLines/>
        <w:rPr>
          <w:rFonts w:ascii="Garamond" w:eastAsia="Times New Roman" w:hAnsi="Garamond"/>
          <w:b/>
          <w:sz w:val="18"/>
          <w:szCs w:val="18"/>
          <w:lang w:val="es-AR" w:eastAsia="es-AR"/>
        </w:rPr>
      </w:pPr>
      <w:r w:rsidRPr="00CA3A3D">
        <w:rPr>
          <w:rFonts w:ascii="Garamond" w:eastAsia="Times New Roman" w:hAnsi="Garamond"/>
          <w:b/>
          <w:sz w:val="18"/>
          <w:szCs w:val="18"/>
          <w:lang w:val="es-AR" w:eastAsia="es-AR"/>
        </w:rPr>
        <w:lastRenderedPageBreak/>
        <w:t>Endeudamiento</w:t>
      </w:r>
    </w:p>
    <w:p w14:paraId="5016D115" w14:textId="77777777" w:rsidR="00AE32CA" w:rsidRPr="00CA3A3D" w:rsidRDefault="00AE32CA" w:rsidP="002B1E31">
      <w:pPr>
        <w:keepNext/>
        <w:keepLines/>
        <w:rPr>
          <w:rFonts w:ascii="Garamond" w:eastAsia="Times New Roman" w:hAnsi="Garamond"/>
          <w:sz w:val="18"/>
          <w:szCs w:val="18"/>
          <w:lang w:val="es-AR" w:eastAsia="es-AR"/>
        </w:rPr>
      </w:pPr>
      <w:r w:rsidRPr="00CA3A3D">
        <w:rPr>
          <w:rFonts w:ascii="Garamond" w:eastAsia="Times New Roman" w:hAnsi="Garamond"/>
          <w:sz w:val="18"/>
          <w:szCs w:val="18"/>
          <w:lang w:val="es-AR" w:eastAsia="es-AR"/>
        </w:rPr>
        <w:t>El siguiente cuadro refleja la composición del rubro préstamos de las deudas financieras tanto corrientes como no corrientes en Pesos al 31 de marzo de 2019:</w:t>
      </w:r>
    </w:p>
    <w:p w14:paraId="165FF131" w14:textId="77777777" w:rsidR="00AE32CA" w:rsidRPr="00CA3A3D" w:rsidRDefault="00AE32CA" w:rsidP="002B1E31">
      <w:pPr>
        <w:keepNext/>
        <w:keepLines/>
        <w:jc w:val="center"/>
        <w:rPr>
          <w:rFonts w:ascii="Garamond" w:eastAsia="Times New Roman" w:hAnsi="Garamond"/>
          <w:sz w:val="18"/>
          <w:szCs w:val="18"/>
          <w:lang w:val="es-AR" w:eastAsia="es-AR"/>
        </w:rPr>
      </w:pPr>
      <w:r w:rsidRPr="00CA0A60">
        <w:rPr>
          <w:noProof/>
          <w:lang w:val="es-AR" w:eastAsia="es-AR"/>
        </w:rPr>
        <w:drawing>
          <wp:inline distT="0" distB="0" distL="0" distR="0" wp14:anchorId="79B4A11D" wp14:editId="2195DE35">
            <wp:extent cx="2971800" cy="187642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71800" cy="1876425"/>
                    </a:xfrm>
                    <a:prstGeom prst="rect">
                      <a:avLst/>
                    </a:prstGeom>
                    <a:noFill/>
                    <a:ln>
                      <a:noFill/>
                    </a:ln>
                  </pic:spPr>
                </pic:pic>
              </a:graphicData>
            </a:graphic>
          </wp:inline>
        </w:drawing>
      </w:r>
    </w:p>
    <w:p w14:paraId="366AA27E" w14:textId="77777777" w:rsidR="00AE32CA" w:rsidRPr="00CA3A3D" w:rsidRDefault="00AE32CA" w:rsidP="00AE32CA">
      <w:pPr>
        <w:spacing w:after="0" w:line="240" w:lineRule="auto"/>
        <w:jc w:val="both"/>
        <w:rPr>
          <w:rFonts w:ascii="Garamond" w:eastAsia="Times New Roman" w:hAnsi="Garamond"/>
          <w:sz w:val="18"/>
          <w:szCs w:val="18"/>
          <w:u w:val="single"/>
          <w:lang w:val="es-AR" w:eastAsia="es-AR"/>
        </w:rPr>
      </w:pPr>
      <w:r w:rsidRPr="00CA3A3D">
        <w:rPr>
          <w:rFonts w:ascii="Garamond" w:eastAsia="Times New Roman" w:hAnsi="Garamond"/>
          <w:sz w:val="18"/>
          <w:szCs w:val="18"/>
          <w:u w:val="single"/>
          <w:lang w:val="es-AR" w:eastAsia="es-AR"/>
        </w:rPr>
        <w:t>Títulos de deuda</w:t>
      </w:r>
    </w:p>
    <w:p w14:paraId="33E89145" w14:textId="77777777" w:rsidR="00AE32CA" w:rsidRPr="00CA3A3D" w:rsidRDefault="00AE32CA" w:rsidP="00AE32CA">
      <w:pPr>
        <w:spacing w:after="0" w:line="240" w:lineRule="auto"/>
        <w:jc w:val="both"/>
        <w:rPr>
          <w:rFonts w:ascii="Garamond" w:eastAsia="Times New Roman" w:hAnsi="Garamond"/>
          <w:sz w:val="18"/>
          <w:szCs w:val="18"/>
          <w:u w:val="single"/>
          <w:lang w:val="es-AR" w:eastAsia="es-AR"/>
        </w:rPr>
      </w:pPr>
    </w:p>
    <w:p w14:paraId="7C19C134" w14:textId="523784A2" w:rsidR="00AE32CA" w:rsidRPr="00CA3A3D" w:rsidRDefault="00AE32CA" w:rsidP="00AE32CA">
      <w:pPr>
        <w:spacing w:after="0" w:line="240" w:lineRule="auto"/>
        <w:jc w:val="both"/>
        <w:rPr>
          <w:rFonts w:ascii="Garamond" w:eastAsia="Times New Roman" w:hAnsi="Garamond"/>
          <w:sz w:val="18"/>
          <w:szCs w:val="18"/>
          <w:lang w:val="es-AR" w:eastAsia="es-AR"/>
        </w:rPr>
      </w:pPr>
      <w:r w:rsidRPr="00CA3A3D">
        <w:rPr>
          <w:rFonts w:ascii="Garamond" w:eastAsia="Times New Roman" w:hAnsi="Garamond"/>
          <w:sz w:val="18"/>
          <w:szCs w:val="18"/>
          <w:lang w:val="es-AR" w:eastAsia="es-AR"/>
        </w:rPr>
        <w:t>El 17 de noviembre de 2015, CTR emitió y colocó en Argentina, en el marco de su programa global de obligaciones negociables, obligaciones negociables clase II por un monto de capital total de ARS 270 millones. Las obligaciones negociables devengan intereses a una tasa equivalente a la tasa BADLAR más 2%. Los intereses son pagaderos en forma trimestral y el capital se pagará en diez cuotas consecutivas trimestrales equivalentes al 10% del valor nominal de las obligaciones negociables. Sus correspondientes fechas de pago son en agosto de 2018, noviembre de 2018, febrero de 2019, mayo de 2019, agosto de 2019, noviembre de 2019, febrero de 2020, mayo de 2020, agosto de 2020 y noviembre de 2020. A la fecha del presente Suplemento el saldo de capital asciende a ARS 1</w:t>
      </w:r>
      <w:r w:rsidR="00082D1C" w:rsidRPr="00CA3A3D">
        <w:rPr>
          <w:rFonts w:ascii="Garamond" w:eastAsia="Times New Roman" w:hAnsi="Garamond"/>
          <w:sz w:val="18"/>
          <w:szCs w:val="18"/>
          <w:lang w:val="es-AR" w:eastAsia="es-AR"/>
        </w:rPr>
        <w:t>62</w:t>
      </w:r>
      <w:r w:rsidRPr="00CA3A3D">
        <w:rPr>
          <w:rFonts w:ascii="Garamond" w:eastAsia="Times New Roman" w:hAnsi="Garamond"/>
          <w:sz w:val="18"/>
          <w:szCs w:val="18"/>
          <w:lang w:val="es-AR" w:eastAsia="es-AR"/>
        </w:rPr>
        <w:t xml:space="preserve"> millones.</w:t>
      </w:r>
    </w:p>
    <w:p w14:paraId="0315F07D" w14:textId="77777777" w:rsidR="00AE32CA" w:rsidRPr="00CA3A3D" w:rsidRDefault="00AE32CA" w:rsidP="00AE32CA">
      <w:pPr>
        <w:spacing w:after="0" w:line="240" w:lineRule="auto"/>
        <w:jc w:val="both"/>
        <w:rPr>
          <w:rFonts w:ascii="Garamond" w:eastAsia="Times New Roman" w:hAnsi="Garamond"/>
          <w:sz w:val="18"/>
          <w:szCs w:val="18"/>
          <w:lang w:val="es-AR" w:eastAsia="es-AR"/>
        </w:rPr>
      </w:pPr>
    </w:p>
    <w:p w14:paraId="7BB7A3FA" w14:textId="77777777" w:rsidR="00AE32CA" w:rsidRPr="00CA3A3D" w:rsidRDefault="00AE32CA" w:rsidP="00AE32CA">
      <w:pPr>
        <w:spacing w:after="0" w:line="240" w:lineRule="auto"/>
        <w:jc w:val="both"/>
        <w:rPr>
          <w:rFonts w:ascii="Garamond" w:eastAsia="Times New Roman" w:hAnsi="Garamond"/>
          <w:sz w:val="18"/>
          <w:szCs w:val="18"/>
          <w:lang w:val="es-AR" w:eastAsia="es-AR"/>
        </w:rPr>
      </w:pPr>
      <w:r w:rsidRPr="00CA3A3D">
        <w:rPr>
          <w:rFonts w:ascii="Garamond" w:eastAsia="Times New Roman" w:hAnsi="Garamond"/>
          <w:sz w:val="18"/>
          <w:szCs w:val="18"/>
          <w:lang w:val="es-AR" w:eastAsia="es-AR"/>
        </w:rPr>
        <w:t xml:space="preserve">Con fecha 7 de julio de 2016 GEMSA, GFSA y CTR obtuvieron, mediante Resolución 18.110 de la CNV, la autorización para la co-emisión en el mercado local e internacional, de obligaciones negociables simples, no convertibles en acciones, garantizadas y no subordinadas. El 27 de julio de 2016 se emitieron obligaciones negociables por un monto de U$S 250 millones con vencimiento a 7 años. Dichas obligaciones negociables están incondicionalmente garantizadas en su totalidad por ASA. </w:t>
      </w:r>
    </w:p>
    <w:p w14:paraId="4F1AB358" w14:textId="77777777" w:rsidR="00AE32CA" w:rsidRPr="00CA3A3D" w:rsidRDefault="00AE32CA" w:rsidP="00AE32CA">
      <w:pPr>
        <w:spacing w:after="0" w:line="240" w:lineRule="auto"/>
        <w:jc w:val="both"/>
        <w:rPr>
          <w:rFonts w:ascii="Garamond" w:eastAsia="Times New Roman" w:hAnsi="Garamond"/>
          <w:sz w:val="18"/>
          <w:szCs w:val="18"/>
          <w:lang w:val="es-AR" w:eastAsia="es-AR"/>
        </w:rPr>
      </w:pPr>
    </w:p>
    <w:p w14:paraId="4E5F1BBF" w14:textId="77777777" w:rsidR="00AE32CA" w:rsidRPr="00CA3A3D" w:rsidRDefault="00AE32CA" w:rsidP="00AE32CA">
      <w:pPr>
        <w:spacing w:after="0" w:line="240" w:lineRule="auto"/>
        <w:jc w:val="both"/>
        <w:rPr>
          <w:rFonts w:ascii="Garamond" w:eastAsia="Times New Roman" w:hAnsi="Garamond"/>
          <w:sz w:val="18"/>
          <w:szCs w:val="18"/>
          <w:lang w:val="es-AR" w:eastAsia="es-AR"/>
        </w:rPr>
      </w:pPr>
      <w:r w:rsidRPr="00CA3A3D">
        <w:rPr>
          <w:rFonts w:ascii="Garamond" w:eastAsia="Times New Roman" w:hAnsi="Garamond"/>
          <w:sz w:val="18"/>
          <w:szCs w:val="18"/>
          <w:lang w:val="es-AR" w:eastAsia="es-AR"/>
        </w:rPr>
        <w:t>Con fecha 8 de noviembre de 2017 GEMSA y CTR obtuvieron, mediante Resolución 19.033 de la CNV, la autorización para la co-emisión en el mercado local e internacional, de obligaciones negociables adicionales a las emitidas en fecha 7 de julio de 2016, por un monto de hasta V/N U$S 100 millones y aumentar el monto del programa de obligaciones negociables de V/N U$S 250 millones a V/N U$S 350 millones. El 5 de diciembre de 2017 se emitieron obligaciones negociables adicionales por un monto de U$S 86 millones. Dichas obligaciones negociables tienen la calificación B+ (Fitch ratings) / B3 (Moody’s).</w:t>
      </w:r>
    </w:p>
    <w:p w14:paraId="31B853FE" w14:textId="77777777" w:rsidR="00AE32CA" w:rsidRPr="00CA3A3D" w:rsidRDefault="00AE32CA" w:rsidP="00AE32CA">
      <w:pPr>
        <w:spacing w:after="0" w:line="240" w:lineRule="auto"/>
        <w:jc w:val="both"/>
        <w:rPr>
          <w:rFonts w:ascii="Garamond" w:eastAsia="Times New Roman" w:hAnsi="Garamond"/>
          <w:sz w:val="18"/>
          <w:szCs w:val="18"/>
          <w:lang w:val="es-AR" w:eastAsia="es-AR"/>
        </w:rPr>
      </w:pPr>
    </w:p>
    <w:p w14:paraId="077AF671" w14:textId="10C315EE" w:rsidR="00AE32CA" w:rsidRPr="00CA3A3D" w:rsidRDefault="00AE32CA" w:rsidP="00CA3A3D">
      <w:pPr>
        <w:jc w:val="both"/>
        <w:rPr>
          <w:rFonts w:ascii="Garamond" w:eastAsia="Times New Roman" w:hAnsi="Garamond"/>
          <w:sz w:val="18"/>
          <w:szCs w:val="18"/>
          <w:lang w:val="es-AR" w:eastAsia="es-AR"/>
        </w:rPr>
      </w:pPr>
      <w:r w:rsidRPr="00CA3A3D">
        <w:rPr>
          <w:rFonts w:ascii="Garamond" w:eastAsia="Times New Roman" w:hAnsi="Garamond"/>
          <w:sz w:val="18"/>
          <w:szCs w:val="18"/>
          <w:lang w:val="es-AR" w:eastAsia="es-AR"/>
        </w:rPr>
        <w:t>Las obligaciones negociables existentes en el marco de la co-emisión internacional antes mencionada devengan un interés a una tasa fija en dólares de 9,625% (las “</w:t>
      </w:r>
      <w:r w:rsidRPr="00CA3A3D">
        <w:rPr>
          <w:rFonts w:ascii="Garamond" w:eastAsia="Times New Roman" w:hAnsi="Garamond"/>
          <w:sz w:val="18"/>
          <w:szCs w:val="18"/>
          <w:u w:val="single"/>
          <w:lang w:val="es-AR" w:eastAsia="es-AR"/>
        </w:rPr>
        <w:t>ONs Existentes</w:t>
      </w:r>
      <w:r w:rsidRPr="00CA3A3D">
        <w:rPr>
          <w:rFonts w:ascii="Garamond" w:eastAsia="Times New Roman" w:hAnsi="Garamond"/>
          <w:sz w:val="18"/>
          <w:szCs w:val="18"/>
          <w:lang w:val="es-AR" w:eastAsia="es-AR"/>
        </w:rPr>
        <w:t>”). El interés se paga semestralmente y el capital en un único pago en la fecha de vencimiento del 27 de julio de 2023. El saldo de capital por las ONs Existentes a la fecha de este Suplemento asciende a U$S 336 millones.</w:t>
      </w:r>
    </w:p>
    <w:p w14:paraId="134D0540" w14:textId="5E6A17CE" w:rsidR="00AE32CA" w:rsidRPr="00CA3A3D" w:rsidRDefault="00AE32CA" w:rsidP="00DF6632">
      <w:pPr>
        <w:spacing w:after="0" w:line="240" w:lineRule="auto"/>
        <w:jc w:val="both"/>
        <w:rPr>
          <w:rFonts w:ascii="Garamond" w:eastAsia="Times New Roman" w:hAnsi="Garamond"/>
          <w:sz w:val="18"/>
          <w:szCs w:val="18"/>
          <w:lang w:val="es-AR" w:eastAsia="es-AR"/>
        </w:rPr>
      </w:pPr>
      <w:r w:rsidRPr="00CA3A3D">
        <w:rPr>
          <w:rFonts w:ascii="Garamond" w:eastAsia="Times New Roman" w:hAnsi="Garamond"/>
          <w:sz w:val="18"/>
          <w:szCs w:val="18"/>
          <w:lang w:val="es-AR" w:eastAsia="es-AR"/>
        </w:rPr>
        <w:t>La emisión de la clase I de las obligaciones negociables existentes en el marco de la co-emisión local fue realizada el 11 de octubre de 2017 y fue aprobada por la CNV el 29 de septiembre de 2017, por un monto de U$S 20 millones, ampliable a U$S 30 millones. Devengan una tasa fija en dólares de 6,68%. El interés se paga trimestralmente y el capital se amortiza en su totalidad al vencimiento, que operará el 11 de octubre de 2020. El saldo de capital por las obligaciones negociables de la Co-emisión local clase I a la fecha de este Suplemento asciende a U$S 30 millones.</w:t>
      </w:r>
    </w:p>
    <w:p w14:paraId="0CCF2492" w14:textId="77777777" w:rsidR="00AE32CA" w:rsidRPr="00CA3A3D" w:rsidRDefault="00AE32CA" w:rsidP="00AE32CA">
      <w:pPr>
        <w:spacing w:after="0" w:line="240" w:lineRule="auto"/>
        <w:jc w:val="both"/>
        <w:rPr>
          <w:rFonts w:ascii="Garamond" w:eastAsia="Times New Roman" w:hAnsi="Garamond"/>
          <w:sz w:val="18"/>
          <w:szCs w:val="18"/>
          <w:lang w:val="es-AR" w:eastAsia="es-AR"/>
        </w:rPr>
      </w:pPr>
    </w:p>
    <w:p w14:paraId="01BAB0FC" w14:textId="29C237DA" w:rsidR="00AE32CA" w:rsidRPr="00CA3A3D" w:rsidRDefault="00AE32CA" w:rsidP="00CA3A3D">
      <w:pPr>
        <w:spacing w:after="0"/>
        <w:jc w:val="both"/>
        <w:rPr>
          <w:rFonts w:ascii="Garamond" w:eastAsia="Times New Roman" w:hAnsi="Garamond"/>
          <w:sz w:val="18"/>
          <w:szCs w:val="18"/>
          <w:lang w:val="es-AR" w:eastAsia="es-AR"/>
        </w:rPr>
      </w:pPr>
      <w:r w:rsidRPr="00CA3A3D">
        <w:rPr>
          <w:rFonts w:ascii="Garamond" w:eastAsia="Times New Roman" w:hAnsi="Garamond"/>
          <w:sz w:val="18"/>
          <w:szCs w:val="18"/>
          <w:lang w:val="es-AR" w:eastAsia="es-AR"/>
        </w:rPr>
        <w:t>Con fecha 24 de julio de 2017, CTR emitió, en el marco de su programa global de obligaciones negociables, obligaciones negociables clase IV por un monto de capital total de ARS 291.1 millones por lo cual se suscribió una porción en efectivo y el remanente mediante un canje voluntario con las obligaciones negociables clase III (CTR). Las obligaciones negociables devengan intereses a una tasa equivalente a la tasa BADLAR más 5%. Los intereses son pagaderos en forma trimestral y el capital se pagará en un único pago equivalente al 100% en la fecha de vencimiento es decir el 24 de julio de 2021. El saldo de capital de las obligaciones negociables clase IV a la fecha del presente Prospecto asciende a ARS 291.1 millones.</w:t>
      </w:r>
    </w:p>
    <w:p w14:paraId="702CD7D6" w14:textId="77777777" w:rsidR="007B07F5" w:rsidRPr="00CA3A3D" w:rsidRDefault="007B07F5" w:rsidP="00CA3A3D">
      <w:pPr>
        <w:spacing w:after="0"/>
        <w:jc w:val="both"/>
        <w:rPr>
          <w:rFonts w:ascii="Garamond" w:hAnsi="Garamond"/>
          <w:b/>
          <w:sz w:val="18"/>
          <w:lang w:val="es-AR"/>
        </w:rPr>
      </w:pPr>
    </w:p>
    <w:p w14:paraId="72247302" w14:textId="77777777" w:rsidR="00AE32CA" w:rsidRPr="00CA3A3D" w:rsidRDefault="00AE32CA" w:rsidP="002B1E31">
      <w:pPr>
        <w:keepNext/>
        <w:keepLines/>
        <w:spacing w:after="0"/>
        <w:rPr>
          <w:rFonts w:ascii="Garamond" w:hAnsi="Garamond"/>
          <w:b/>
          <w:sz w:val="18"/>
          <w:lang w:val="es-AR"/>
        </w:rPr>
      </w:pPr>
      <w:r w:rsidRPr="00CA3A3D">
        <w:rPr>
          <w:rFonts w:ascii="Garamond" w:hAnsi="Garamond"/>
          <w:b/>
          <w:sz w:val="18"/>
          <w:lang w:val="es-AR"/>
        </w:rPr>
        <w:lastRenderedPageBreak/>
        <w:t>Perspectiva Operativa y Financiera</w:t>
      </w:r>
    </w:p>
    <w:p w14:paraId="7B5D0E29" w14:textId="77777777" w:rsidR="00AE32CA" w:rsidRPr="00CA3A3D" w:rsidRDefault="00AE32CA" w:rsidP="002B1E31">
      <w:pPr>
        <w:keepNext/>
        <w:keepLines/>
        <w:spacing w:after="0"/>
        <w:rPr>
          <w:rFonts w:ascii="Garamond" w:hAnsi="Garamond"/>
          <w:b/>
          <w:sz w:val="18"/>
          <w:lang w:val="es-AR"/>
        </w:rPr>
      </w:pPr>
    </w:p>
    <w:p w14:paraId="3BF5242B" w14:textId="77777777" w:rsidR="00AE32CA" w:rsidRPr="00CA3A3D" w:rsidRDefault="00AE32CA" w:rsidP="002B1E31">
      <w:pPr>
        <w:keepNext/>
        <w:keepLines/>
        <w:spacing w:after="0"/>
        <w:rPr>
          <w:rFonts w:ascii="Garamond" w:hAnsi="Garamond"/>
          <w:i/>
          <w:sz w:val="18"/>
          <w:lang w:val="es-AR"/>
        </w:rPr>
      </w:pPr>
      <w:r w:rsidRPr="00CA3A3D">
        <w:rPr>
          <w:rFonts w:ascii="Garamond" w:hAnsi="Garamond"/>
          <w:i/>
          <w:sz w:val="18"/>
          <w:lang w:val="es-AR"/>
        </w:rPr>
        <w:t>Resultado de las operaciones para el período de tres meses finalizado el 31 de marzo de 2019 comparado con el período de tres meses finalizado el 31 de marzo de 2018</w:t>
      </w:r>
    </w:p>
    <w:p w14:paraId="46796767" w14:textId="77777777" w:rsidR="00AE32CA" w:rsidRPr="00CA3A3D" w:rsidRDefault="00AE32CA" w:rsidP="002B1E31">
      <w:pPr>
        <w:keepNext/>
        <w:keepLines/>
        <w:spacing w:after="0"/>
        <w:rPr>
          <w:rFonts w:ascii="Garamond" w:hAnsi="Garamond"/>
          <w:b/>
          <w:sz w:val="18"/>
          <w:lang w:val="es-AR"/>
        </w:rPr>
      </w:pPr>
    </w:p>
    <w:p w14:paraId="3A80B5D5" w14:textId="77777777" w:rsidR="00AE32CA" w:rsidRPr="00CA3A3D" w:rsidRDefault="00AE32CA" w:rsidP="002B1E31">
      <w:pPr>
        <w:keepNext/>
        <w:keepLines/>
        <w:spacing w:after="0"/>
        <w:rPr>
          <w:rFonts w:ascii="Garamond" w:eastAsia="Times New Roman" w:hAnsi="Garamond"/>
          <w:sz w:val="18"/>
          <w:szCs w:val="18"/>
          <w:u w:val="single"/>
          <w:lang w:val="es-AR" w:eastAsia="es-AR"/>
        </w:rPr>
      </w:pPr>
      <w:r w:rsidRPr="00CA3A3D">
        <w:rPr>
          <w:rFonts w:ascii="Garamond" w:eastAsia="Times New Roman" w:hAnsi="Garamond"/>
          <w:sz w:val="18"/>
          <w:szCs w:val="18"/>
          <w:u w:val="single"/>
          <w:lang w:val="es-AR" w:eastAsia="es-AR"/>
        </w:rPr>
        <w:t>Ventas:</w:t>
      </w:r>
    </w:p>
    <w:p w14:paraId="76CC76EE" w14:textId="77777777" w:rsidR="00AE32CA" w:rsidRPr="00CA3A3D" w:rsidRDefault="00AE32CA" w:rsidP="00AE32CA">
      <w:pPr>
        <w:spacing w:after="0"/>
        <w:rPr>
          <w:rFonts w:ascii="Garamond" w:eastAsia="Times New Roman" w:hAnsi="Garamond"/>
          <w:sz w:val="18"/>
          <w:szCs w:val="18"/>
          <w:u w:val="single"/>
          <w:lang w:val="es-AR" w:eastAsia="es-AR"/>
        </w:rPr>
      </w:pPr>
    </w:p>
    <w:p w14:paraId="1CFB7E67" w14:textId="77777777" w:rsidR="00AE32CA" w:rsidRPr="00CA3A3D" w:rsidRDefault="00AE32CA" w:rsidP="007B07F5">
      <w:pPr>
        <w:pStyle w:val="Textoindependiente"/>
        <w:spacing w:after="0"/>
        <w:ind w:firstLine="0"/>
        <w:rPr>
          <w:rFonts w:ascii="Garamond" w:hAnsi="Garamond"/>
          <w:lang w:val="es-AR" w:eastAsia="es-AR"/>
        </w:rPr>
      </w:pPr>
      <w:r w:rsidRPr="00CA3A3D">
        <w:rPr>
          <w:rFonts w:ascii="Garamond" w:hAnsi="Garamond"/>
          <w:lang w:val="es-AR" w:eastAsia="es-AR"/>
        </w:rPr>
        <w:t>Las ventas netas ascendieron a $ 449,0 millones para el período de tres meses finalizado el 31 de marzo de 2019, comparado con los $ 147,6 millones del mismo período de 2018, lo que equivale a un aumento de $ 301,4 millones o 204%.</w:t>
      </w:r>
    </w:p>
    <w:p w14:paraId="7B8AA620" w14:textId="77777777" w:rsidR="007B07F5" w:rsidRPr="00CA3A3D" w:rsidRDefault="007B07F5" w:rsidP="007B07F5">
      <w:pPr>
        <w:pStyle w:val="Textoindependiente"/>
        <w:spacing w:after="0"/>
        <w:ind w:firstLine="0"/>
        <w:rPr>
          <w:rFonts w:ascii="Garamond" w:hAnsi="Garamond"/>
          <w:lang w:val="es-AR" w:eastAsia="es-AR"/>
        </w:rPr>
      </w:pPr>
    </w:p>
    <w:p w14:paraId="772CE54B" w14:textId="77777777" w:rsidR="00AE32CA" w:rsidRPr="00CA3A3D" w:rsidRDefault="00AE32CA" w:rsidP="007B07F5">
      <w:pPr>
        <w:pStyle w:val="Textoindependiente"/>
        <w:spacing w:after="0"/>
        <w:ind w:firstLine="0"/>
        <w:rPr>
          <w:rFonts w:ascii="Garamond" w:hAnsi="Garamond"/>
          <w:lang w:val="es-AR" w:eastAsia="es-AR"/>
        </w:rPr>
      </w:pPr>
      <w:r w:rsidRPr="00CA3A3D">
        <w:rPr>
          <w:rFonts w:ascii="Garamond" w:hAnsi="Garamond"/>
          <w:lang w:val="es-AR" w:eastAsia="es-AR"/>
        </w:rPr>
        <w:t>En el período de tres meses finalizado el 31 de marzo de 2019, el despacho de energía fue de 231.158 MWh, lo que representa un aumento del 830% comparado con los 24.855 MWh del mismo período de 2018.</w:t>
      </w:r>
    </w:p>
    <w:p w14:paraId="10657113" w14:textId="77777777" w:rsidR="00AE32CA" w:rsidRPr="00CA3A3D" w:rsidRDefault="00AE32CA" w:rsidP="00AE32CA">
      <w:pPr>
        <w:pStyle w:val="Textoindependiente"/>
        <w:spacing w:after="0"/>
        <w:rPr>
          <w:lang w:val="es-AR" w:eastAsia="es-AR"/>
        </w:rPr>
      </w:pPr>
    </w:p>
    <w:p w14:paraId="1EAF9F13" w14:textId="77777777" w:rsidR="00AE32CA" w:rsidRPr="00CA3A3D" w:rsidRDefault="00AE32CA" w:rsidP="00AE32CA">
      <w:pPr>
        <w:pStyle w:val="Textoindependiente"/>
        <w:spacing w:after="0"/>
        <w:rPr>
          <w:lang w:val="es-AR" w:eastAsia="es-AR"/>
        </w:rPr>
      </w:pPr>
    </w:p>
    <w:p w14:paraId="52766615" w14:textId="77777777" w:rsidR="00AE32CA" w:rsidRPr="00CA3A3D" w:rsidRDefault="00AE32CA" w:rsidP="002B1E31">
      <w:pPr>
        <w:pStyle w:val="Textoindependiente"/>
        <w:spacing w:after="0"/>
        <w:ind w:firstLine="0"/>
        <w:jc w:val="center"/>
        <w:rPr>
          <w:lang w:val="es-AR" w:eastAsia="es-AR"/>
        </w:rPr>
      </w:pPr>
      <w:r w:rsidRPr="00CA0A60">
        <w:rPr>
          <w:noProof/>
          <w:lang w:val="es-AR" w:eastAsia="es-AR"/>
        </w:rPr>
        <w:drawing>
          <wp:inline distT="0" distB="0" distL="0" distR="0" wp14:anchorId="1109D1E8" wp14:editId="40C67DEF">
            <wp:extent cx="4495800" cy="13906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95800" cy="1390650"/>
                    </a:xfrm>
                    <a:prstGeom prst="rect">
                      <a:avLst/>
                    </a:prstGeom>
                    <a:noFill/>
                    <a:ln>
                      <a:noFill/>
                    </a:ln>
                  </pic:spPr>
                </pic:pic>
              </a:graphicData>
            </a:graphic>
          </wp:inline>
        </w:drawing>
      </w:r>
    </w:p>
    <w:p w14:paraId="233706BA" w14:textId="77777777" w:rsidR="00AE32CA" w:rsidRPr="00CA3A3D" w:rsidRDefault="00AE32CA" w:rsidP="002B1E31">
      <w:pPr>
        <w:pStyle w:val="Textoindependiente"/>
        <w:spacing w:after="0"/>
        <w:ind w:firstLine="0"/>
        <w:jc w:val="center"/>
        <w:rPr>
          <w:lang w:val="es-AR" w:eastAsia="es-AR"/>
        </w:rPr>
      </w:pPr>
      <w:r w:rsidRPr="00CA0A60">
        <w:rPr>
          <w:noProof/>
          <w:lang w:val="es-AR" w:eastAsia="es-AR"/>
        </w:rPr>
        <w:drawing>
          <wp:inline distT="0" distB="0" distL="0" distR="0" wp14:anchorId="19DA0CB3" wp14:editId="5D25DE75">
            <wp:extent cx="4495800" cy="13525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95800" cy="1352550"/>
                    </a:xfrm>
                    <a:prstGeom prst="rect">
                      <a:avLst/>
                    </a:prstGeom>
                    <a:noFill/>
                    <a:ln>
                      <a:noFill/>
                    </a:ln>
                  </pic:spPr>
                </pic:pic>
              </a:graphicData>
            </a:graphic>
          </wp:inline>
        </w:drawing>
      </w:r>
    </w:p>
    <w:p w14:paraId="2451995A" w14:textId="673D75EA" w:rsidR="00AE32CA" w:rsidRPr="00CA3A3D" w:rsidRDefault="00AE32CA" w:rsidP="007B07F5">
      <w:pPr>
        <w:pStyle w:val="Textoindependiente"/>
        <w:spacing w:after="0"/>
        <w:ind w:firstLine="0"/>
        <w:rPr>
          <w:rFonts w:ascii="Garamond" w:hAnsi="Garamond"/>
          <w:lang w:val="es-AR"/>
        </w:rPr>
      </w:pPr>
      <w:r w:rsidRPr="00CA3A3D">
        <w:rPr>
          <w:rFonts w:ascii="Garamond" w:hAnsi="Garamond"/>
          <w:lang w:val="es-AR" w:eastAsia="es-AR"/>
        </w:rPr>
        <w:t xml:space="preserve">A continuación, se describen los principales ingresos de </w:t>
      </w:r>
      <w:r w:rsidR="008E1A99" w:rsidRPr="00CA0A60">
        <w:rPr>
          <w:rFonts w:ascii="Garamond" w:hAnsi="Garamond"/>
          <w:lang w:val="es-AR" w:eastAsia="es-AR"/>
        </w:rPr>
        <w:t>CTR,</w:t>
      </w:r>
      <w:r w:rsidRPr="00CA3A3D">
        <w:rPr>
          <w:rFonts w:ascii="Garamond" w:hAnsi="Garamond"/>
          <w:lang w:val="es-AR" w:eastAsia="es-AR"/>
        </w:rPr>
        <w:t xml:space="preserve"> así como su comportamiento durante el período de tres meses finalizado</w:t>
      </w:r>
      <w:r w:rsidRPr="00CA3A3D">
        <w:rPr>
          <w:rFonts w:ascii="Garamond" w:hAnsi="Garamond"/>
          <w:lang w:val="es-AR"/>
        </w:rPr>
        <w:t xml:space="preserve"> el </w:t>
      </w:r>
      <w:r w:rsidRPr="00CA3A3D">
        <w:rPr>
          <w:rFonts w:ascii="Garamond" w:hAnsi="Garamond"/>
          <w:lang w:val="es-AR" w:eastAsia="es-AR"/>
        </w:rPr>
        <w:t xml:space="preserve">31 de marzo de 2019 </w:t>
      </w:r>
      <w:r w:rsidRPr="00CA3A3D">
        <w:rPr>
          <w:rFonts w:ascii="Garamond" w:hAnsi="Garamond"/>
          <w:lang w:val="es-AR"/>
        </w:rPr>
        <w:t>en comparación con el mismo período de 2018:</w:t>
      </w:r>
    </w:p>
    <w:p w14:paraId="6974D9ED" w14:textId="77777777" w:rsidR="00AE32CA" w:rsidRPr="00CA3A3D" w:rsidRDefault="00AE32CA" w:rsidP="00AE32CA">
      <w:pPr>
        <w:spacing w:after="0" w:line="240" w:lineRule="auto"/>
        <w:ind w:left="426"/>
        <w:jc w:val="both"/>
        <w:rPr>
          <w:rFonts w:ascii="Garamond" w:hAnsi="Garamond"/>
          <w:sz w:val="20"/>
          <w:szCs w:val="20"/>
          <w:lang w:val="es-AR"/>
        </w:rPr>
      </w:pPr>
    </w:p>
    <w:p w14:paraId="42D936D5" w14:textId="77777777" w:rsidR="00AE32CA" w:rsidRPr="00CA3A3D" w:rsidRDefault="00AE32CA" w:rsidP="00AE32CA">
      <w:pPr>
        <w:numPr>
          <w:ilvl w:val="0"/>
          <w:numId w:val="301"/>
        </w:numPr>
        <w:spacing w:after="0" w:line="240" w:lineRule="auto"/>
        <w:ind w:left="426" w:hanging="426"/>
        <w:jc w:val="both"/>
        <w:rPr>
          <w:rFonts w:ascii="Garamond" w:hAnsi="Garamond"/>
          <w:sz w:val="20"/>
          <w:szCs w:val="20"/>
          <w:lang w:val="es-AR"/>
        </w:rPr>
      </w:pPr>
      <w:r w:rsidRPr="00CA3A3D">
        <w:rPr>
          <w:rFonts w:ascii="Garamond" w:hAnsi="Garamond"/>
          <w:sz w:val="20"/>
          <w:szCs w:val="20"/>
          <w:lang w:val="es-AR"/>
        </w:rPr>
        <w:t>$449,0 millones por ventas de energía y potencia en el mercado a término a CAMMESA en el marco de la Resolución 220/07, lo que representó un aumento del 204% respecto de los $ 147,6 millones del período de tres meses finalizado el 31 de marzo de 2018. Dicha variación se explica principalmente por el efecto entre un aumento en el despacho de energía, debido a que entro en funcionamiento el Ciclo Cerrado en la Central a partir del 4 de agosto de 2018, un incremento en el tipo de cambio.</w:t>
      </w:r>
    </w:p>
    <w:p w14:paraId="05BDF455" w14:textId="77777777" w:rsidR="00AE32CA" w:rsidRPr="00CA3A3D" w:rsidRDefault="00AE32CA" w:rsidP="00AE32CA">
      <w:pPr>
        <w:rPr>
          <w:rFonts w:ascii="Garamond" w:eastAsia="Times New Roman" w:hAnsi="Garamond"/>
          <w:b/>
          <w:sz w:val="18"/>
          <w:szCs w:val="18"/>
          <w:lang w:val="es-AR" w:eastAsia="es-AR"/>
        </w:rPr>
      </w:pPr>
    </w:p>
    <w:p w14:paraId="635309B7" w14:textId="77777777" w:rsidR="00AE32CA" w:rsidRPr="00CA3A3D" w:rsidRDefault="00AE32CA" w:rsidP="00AE32CA">
      <w:pPr>
        <w:spacing w:after="0"/>
        <w:rPr>
          <w:rFonts w:ascii="Garamond" w:eastAsia="Times New Roman" w:hAnsi="Garamond"/>
          <w:sz w:val="18"/>
          <w:szCs w:val="18"/>
          <w:u w:val="single"/>
          <w:lang w:val="es-AR" w:eastAsia="es-AR"/>
        </w:rPr>
      </w:pPr>
      <w:r w:rsidRPr="00CA3A3D">
        <w:rPr>
          <w:rFonts w:ascii="Garamond" w:eastAsia="Times New Roman" w:hAnsi="Garamond"/>
          <w:sz w:val="18"/>
          <w:szCs w:val="18"/>
          <w:u w:val="single"/>
          <w:lang w:val="es-AR" w:eastAsia="es-AR"/>
        </w:rPr>
        <w:t>Costo de ventas:</w:t>
      </w:r>
    </w:p>
    <w:p w14:paraId="03A88B19" w14:textId="77777777" w:rsidR="00AE32CA" w:rsidRPr="00CA3A3D" w:rsidRDefault="00AE32CA" w:rsidP="00AE32CA">
      <w:pPr>
        <w:spacing w:after="0"/>
        <w:rPr>
          <w:rFonts w:ascii="Garamond" w:eastAsia="Times New Roman" w:hAnsi="Garamond"/>
          <w:sz w:val="18"/>
          <w:szCs w:val="18"/>
          <w:u w:val="single"/>
          <w:lang w:val="es-AR" w:eastAsia="es-AR"/>
        </w:rPr>
      </w:pPr>
    </w:p>
    <w:p w14:paraId="73ECFAD9" w14:textId="77777777" w:rsidR="00AE32CA" w:rsidRPr="00CA3A3D" w:rsidRDefault="00AE32CA" w:rsidP="00CC5BFD">
      <w:pPr>
        <w:pStyle w:val="Textoindependiente"/>
        <w:spacing w:after="0"/>
        <w:ind w:firstLine="0"/>
        <w:rPr>
          <w:rFonts w:ascii="Garamond" w:hAnsi="Garamond"/>
          <w:lang w:val="es-AR" w:eastAsia="es-AR"/>
        </w:rPr>
      </w:pPr>
      <w:r w:rsidRPr="00CA3A3D">
        <w:rPr>
          <w:rFonts w:ascii="Garamond" w:hAnsi="Garamond"/>
          <w:lang w:val="es-AR" w:eastAsia="es-AR"/>
        </w:rPr>
        <w:t>Los costos de venta totales para el período de tres meses finalizado el 31 de marzo de 2019 fueron de $ 129,5 millones comparado con $ 46,3 millones del mismo período de 2018, lo que equivale a un aumento de $ 83,2 millones o 180%.</w:t>
      </w:r>
    </w:p>
    <w:p w14:paraId="65603C95" w14:textId="77777777" w:rsidR="00AE32CA" w:rsidRPr="00CA3A3D" w:rsidRDefault="00AE32CA" w:rsidP="00AE32CA">
      <w:pPr>
        <w:pStyle w:val="Textoindependiente"/>
        <w:spacing w:after="0"/>
        <w:rPr>
          <w:rFonts w:ascii="Garamond" w:eastAsia="Times New Roman" w:hAnsi="Garamond"/>
          <w:sz w:val="18"/>
          <w:szCs w:val="18"/>
          <w:lang w:val="es-AR" w:eastAsia="es-AR"/>
        </w:rPr>
      </w:pPr>
    </w:p>
    <w:p w14:paraId="380113BE" w14:textId="77777777" w:rsidR="00AE32CA" w:rsidRPr="00CA3A3D" w:rsidRDefault="00AE32CA" w:rsidP="00CA3A3D">
      <w:pPr>
        <w:pStyle w:val="Textoindependiente"/>
        <w:spacing w:after="0"/>
        <w:ind w:firstLine="0"/>
        <w:jc w:val="center"/>
        <w:rPr>
          <w:rFonts w:ascii="Garamond" w:eastAsia="Times New Roman" w:hAnsi="Garamond"/>
          <w:sz w:val="18"/>
          <w:szCs w:val="18"/>
          <w:lang w:val="es-AR" w:eastAsia="es-AR"/>
        </w:rPr>
      </w:pPr>
      <w:r w:rsidRPr="00CA0A60">
        <w:rPr>
          <w:noProof/>
          <w:lang w:val="es-AR" w:eastAsia="es-AR"/>
        </w:rPr>
        <w:lastRenderedPageBreak/>
        <w:drawing>
          <wp:inline distT="0" distB="0" distL="0" distR="0" wp14:anchorId="5038944C" wp14:editId="259E03D9">
            <wp:extent cx="5429250" cy="235267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29250" cy="2352675"/>
                    </a:xfrm>
                    <a:prstGeom prst="rect">
                      <a:avLst/>
                    </a:prstGeom>
                    <a:noFill/>
                    <a:ln>
                      <a:noFill/>
                    </a:ln>
                  </pic:spPr>
                </pic:pic>
              </a:graphicData>
            </a:graphic>
          </wp:inline>
        </w:drawing>
      </w:r>
    </w:p>
    <w:p w14:paraId="1C5F4448" w14:textId="77777777" w:rsidR="00AE32CA" w:rsidRPr="00CA3A3D" w:rsidRDefault="00AE32CA" w:rsidP="00AE32CA">
      <w:pPr>
        <w:pStyle w:val="Textoindependiente"/>
        <w:spacing w:after="0"/>
        <w:rPr>
          <w:rFonts w:ascii="Garamond" w:eastAsia="Times New Roman" w:hAnsi="Garamond"/>
          <w:sz w:val="18"/>
          <w:szCs w:val="18"/>
          <w:lang w:val="es-AR" w:eastAsia="es-AR"/>
        </w:rPr>
      </w:pPr>
    </w:p>
    <w:p w14:paraId="0DCB32FC" w14:textId="77777777" w:rsidR="00AE32CA" w:rsidRPr="00CA3A3D" w:rsidRDefault="00AE32CA" w:rsidP="00CC5BFD">
      <w:pPr>
        <w:pStyle w:val="Textoindependiente"/>
        <w:spacing w:after="0"/>
        <w:ind w:firstLine="0"/>
        <w:rPr>
          <w:rFonts w:ascii="Garamond" w:hAnsi="Garamond"/>
          <w:lang w:val="es-AR" w:eastAsia="es-AR"/>
        </w:rPr>
      </w:pPr>
      <w:r w:rsidRPr="00CA3A3D">
        <w:rPr>
          <w:rFonts w:ascii="Garamond" w:hAnsi="Garamond"/>
          <w:lang w:val="es-AR" w:eastAsia="es-AR"/>
        </w:rPr>
        <w:t>A continuación, se describen los principales costos de venta de CTR, así como su comportamiento durante el período de tres meses finalizado el 31 de marzo de 2019 en comparación con el mismo período de 2018:</w:t>
      </w:r>
    </w:p>
    <w:p w14:paraId="476FA332" w14:textId="77777777" w:rsidR="00AE32CA" w:rsidRPr="00CA3A3D" w:rsidRDefault="00AE32CA" w:rsidP="00AE32CA">
      <w:pPr>
        <w:spacing w:after="0" w:line="240" w:lineRule="auto"/>
        <w:jc w:val="both"/>
        <w:rPr>
          <w:rFonts w:ascii="Garamond" w:hAnsi="Garamond"/>
          <w:sz w:val="20"/>
          <w:szCs w:val="20"/>
          <w:lang w:val="es-AR"/>
        </w:rPr>
      </w:pPr>
    </w:p>
    <w:p w14:paraId="20D4911A" w14:textId="77777777" w:rsidR="00AE32CA" w:rsidRPr="00CA3A3D" w:rsidRDefault="00AE32CA" w:rsidP="00AE32CA">
      <w:pPr>
        <w:pStyle w:val="Prrafodelista"/>
        <w:numPr>
          <w:ilvl w:val="0"/>
          <w:numId w:val="302"/>
        </w:numPr>
        <w:spacing w:after="0" w:line="240" w:lineRule="auto"/>
        <w:ind w:left="426" w:hanging="426"/>
        <w:jc w:val="both"/>
        <w:rPr>
          <w:rFonts w:ascii="Garamond" w:hAnsi="Garamond"/>
          <w:sz w:val="20"/>
          <w:lang w:val="es-AR"/>
        </w:rPr>
      </w:pPr>
      <w:r w:rsidRPr="00CA3A3D">
        <w:rPr>
          <w:rFonts w:ascii="Garamond" w:hAnsi="Garamond"/>
          <w:sz w:val="20"/>
          <w:lang w:val="es-AR"/>
        </w:rPr>
        <w:t>$ 17 millones por sueldos, cargas sociales y beneficios al personal, lo que representó un incremento del 89% respecto de los $ 9 millones para el mismo período de 2018, variación producto de los incrementos salariales neto de las activaciones de las remuneraciones cuyas tareas estaban afectadas al cierre de ciclo.</w:t>
      </w:r>
    </w:p>
    <w:p w14:paraId="15CF676B" w14:textId="77777777" w:rsidR="00AE32CA" w:rsidRPr="00CA3A3D" w:rsidRDefault="00AE32CA" w:rsidP="00AE32CA">
      <w:pPr>
        <w:spacing w:after="0" w:line="240" w:lineRule="auto"/>
        <w:jc w:val="both"/>
        <w:rPr>
          <w:rFonts w:ascii="Garamond" w:hAnsi="Garamond"/>
          <w:sz w:val="20"/>
          <w:szCs w:val="20"/>
          <w:lang w:val="es-AR"/>
        </w:rPr>
      </w:pPr>
    </w:p>
    <w:p w14:paraId="50BF2699" w14:textId="77777777" w:rsidR="00AE32CA" w:rsidRPr="00CA3A3D" w:rsidRDefault="00AE32CA" w:rsidP="00AE32CA">
      <w:pPr>
        <w:pStyle w:val="Prrafodelista"/>
        <w:numPr>
          <w:ilvl w:val="0"/>
          <w:numId w:val="302"/>
        </w:numPr>
        <w:spacing w:after="0" w:line="240" w:lineRule="auto"/>
        <w:ind w:left="426" w:hanging="426"/>
        <w:jc w:val="both"/>
        <w:rPr>
          <w:rFonts w:ascii="Garamond" w:hAnsi="Garamond"/>
          <w:sz w:val="20"/>
          <w:lang w:val="es-AR"/>
        </w:rPr>
      </w:pPr>
      <w:r w:rsidRPr="00CA3A3D">
        <w:rPr>
          <w:rFonts w:ascii="Garamond" w:hAnsi="Garamond"/>
          <w:sz w:val="20"/>
          <w:lang w:val="es-AR"/>
        </w:rPr>
        <w:t>$ 91,6 millones por depreciación de propiedades, planta y equipo, lo que representó un incremento del 349% respecto de los $ 20,4 millones del mismo período de 2018. Esta variación se origina principalmente en la amortización de bienes de uso dados de alta el último año y por el efecto de la amortización correspondiente al Revalúo Técnico efectuado en septiembre 2018. Este punto no implica una salida de caja.</w:t>
      </w:r>
    </w:p>
    <w:p w14:paraId="1CA196EF" w14:textId="77777777" w:rsidR="00AE32CA" w:rsidRPr="00CA3A3D" w:rsidRDefault="00AE32CA" w:rsidP="002B1E31">
      <w:pPr>
        <w:pStyle w:val="Prrafodelista"/>
        <w:rPr>
          <w:rFonts w:ascii="Garamond" w:hAnsi="Garamond"/>
          <w:sz w:val="20"/>
          <w:lang w:val="es-AR"/>
        </w:rPr>
      </w:pPr>
    </w:p>
    <w:p w14:paraId="06C3B273" w14:textId="77777777" w:rsidR="00AE32CA" w:rsidRPr="00CA3A3D" w:rsidRDefault="00AE32CA" w:rsidP="002B1E31">
      <w:pPr>
        <w:pStyle w:val="Prrafodelista"/>
        <w:spacing w:after="0" w:line="240" w:lineRule="auto"/>
        <w:ind w:left="426"/>
        <w:jc w:val="both"/>
        <w:rPr>
          <w:rFonts w:ascii="Garamond" w:hAnsi="Garamond"/>
          <w:sz w:val="20"/>
          <w:lang w:val="es-AR"/>
        </w:rPr>
      </w:pPr>
    </w:p>
    <w:p w14:paraId="42BC2C06" w14:textId="77777777" w:rsidR="00AE32CA" w:rsidRPr="00CA3A3D" w:rsidRDefault="00AE32CA" w:rsidP="00AE32CA">
      <w:pPr>
        <w:spacing w:after="0" w:line="240" w:lineRule="auto"/>
        <w:jc w:val="both"/>
        <w:rPr>
          <w:rFonts w:ascii="Garamond" w:hAnsi="Garamond"/>
          <w:sz w:val="20"/>
          <w:szCs w:val="20"/>
          <w:lang w:val="es-AR"/>
        </w:rPr>
      </w:pPr>
      <w:r w:rsidRPr="00CA3A3D">
        <w:rPr>
          <w:rFonts w:ascii="Garamond" w:hAnsi="Garamond"/>
          <w:sz w:val="20"/>
          <w:szCs w:val="20"/>
          <w:u w:val="single"/>
          <w:lang w:val="es-AR"/>
        </w:rPr>
        <w:t>Resultado bruto:</w:t>
      </w:r>
    </w:p>
    <w:p w14:paraId="47F1BC8B" w14:textId="77777777" w:rsidR="00AE32CA" w:rsidRPr="00CA3A3D" w:rsidRDefault="00AE32CA" w:rsidP="00AE32CA">
      <w:pPr>
        <w:widowControl w:val="0"/>
        <w:autoSpaceDE w:val="0"/>
        <w:autoSpaceDN w:val="0"/>
        <w:adjustRightInd w:val="0"/>
        <w:spacing w:after="0" w:line="240" w:lineRule="auto"/>
        <w:ind w:right="73"/>
        <w:jc w:val="both"/>
        <w:rPr>
          <w:rFonts w:ascii="Garamond" w:hAnsi="Garamond"/>
          <w:sz w:val="20"/>
          <w:szCs w:val="20"/>
          <w:u w:val="single"/>
          <w:lang w:val="es-AR"/>
        </w:rPr>
      </w:pPr>
    </w:p>
    <w:p w14:paraId="1FDAFC96" w14:textId="77777777" w:rsidR="00AE32CA" w:rsidRPr="00CA3A3D" w:rsidRDefault="00AE32CA" w:rsidP="00AE32CA">
      <w:pPr>
        <w:widowControl w:val="0"/>
        <w:autoSpaceDE w:val="0"/>
        <w:autoSpaceDN w:val="0"/>
        <w:adjustRightInd w:val="0"/>
        <w:spacing w:after="0" w:line="240" w:lineRule="auto"/>
        <w:ind w:right="49"/>
        <w:jc w:val="both"/>
        <w:rPr>
          <w:rFonts w:ascii="Garamond" w:hAnsi="Garamond"/>
          <w:sz w:val="20"/>
          <w:szCs w:val="20"/>
          <w:u w:val="single"/>
          <w:lang w:val="es-AR"/>
        </w:rPr>
      </w:pPr>
      <w:r w:rsidRPr="00CA3A3D">
        <w:rPr>
          <w:rFonts w:ascii="Garamond" w:hAnsi="Garamond"/>
          <w:sz w:val="20"/>
          <w:szCs w:val="20"/>
          <w:lang w:val="es-AR"/>
        </w:rPr>
        <w:t>El resultado bruto para el período de tres meses finalizado el 31 de marzo de 2019 ascendió a $ 319,5 millones comparado con $ 101,3 millones del mismo período de 2018, lo que equivale a un incremento de $ 218,2 millones o 215%. Dicha variación se explica principalmente por el incremento en el tipo de cambio, por la puesta en marcha del cierre de ciclo y el aumento en el despacho de energía.</w:t>
      </w:r>
    </w:p>
    <w:p w14:paraId="2F18C309" w14:textId="77777777" w:rsidR="00AE32CA" w:rsidRPr="00CA3A3D" w:rsidRDefault="00AE32CA" w:rsidP="00AE32CA">
      <w:pPr>
        <w:spacing w:after="0"/>
        <w:rPr>
          <w:rFonts w:ascii="Garamond" w:eastAsia="Times New Roman" w:hAnsi="Garamond"/>
          <w:sz w:val="18"/>
          <w:szCs w:val="18"/>
          <w:u w:val="single"/>
          <w:lang w:val="es-AR" w:eastAsia="es-AR"/>
        </w:rPr>
      </w:pPr>
    </w:p>
    <w:p w14:paraId="63FF011E" w14:textId="77777777" w:rsidR="00AE32CA" w:rsidRPr="00CA3A3D" w:rsidRDefault="00AE32CA" w:rsidP="00AE32CA">
      <w:pPr>
        <w:spacing w:after="0"/>
        <w:rPr>
          <w:rFonts w:ascii="Garamond" w:eastAsia="Times New Roman" w:hAnsi="Garamond"/>
          <w:sz w:val="18"/>
          <w:szCs w:val="18"/>
          <w:u w:val="single"/>
          <w:lang w:val="es-AR" w:eastAsia="es-AR"/>
        </w:rPr>
      </w:pPr>
      <w:r w:rsidRPr="00CA3A3D">
        <w:rPr>
          <w:rFonts w:ascii="Garamond" w:eastAsia="Times New Roman" w:hAnsi="Garamond"/>
          <w:sz w:val="18"/>
          <w:szCs w:val="18"/>
          <w:u w:val="single"/>
          <w:lang w:val="es-AR" w:eastAsia="es-AR"/>
        </w:rPr>
        <w:t>Gastos de comercialización:</w:t>
      </w:r>
    </w:p>
    <w:p w14:paraId="6654340B" w14:textId="77777777" w:rsidR="00CC5BFD" w:rsidRPr="00CA3A3D" w:rsidRDefault="00CC5BFD" w:rsidP="00AE32CA">
      <w:pPr>
        <w:spacing w:after="0"/>
        <w:rPr>
          <w:rFonts w:ascii="Garamond" w:eastAsia="Times New Roman" w:hAnsi="Garamond"/>
          <w:sz w:val="18"/>
          <w:szCs w:val="18"/>
          <w:u w:val="single"/>
          <w:lang w:val="es-AR" w:eastAsia="es-AR"/>
        </w:rPr>
      </w:pPr>
    </w:p>
    <w:p w14:paraId="48DAB55D" w14:textId="77777777" w:rsidR="00AE32CA" w:rsidRPr="00CA3A3D" w:rsidRDefault="00AE32CA" w:rsidP="00CC5BFD">
      <w:pPr>
        <w:pStyle w:val="Textoindependiente"/>
        <w:spacing w:after="0"/>
        <w:ind w:firstLine="0"/>
        <w:rPr>
          <w:rFonts w:ascii="Garamond" w:hAnsi="Garamond"/>
          <w:lang w:val="es-AR" w:eastAsia="es-AR"/>
        </w:rPr>
      </w:pPr>
      <w:r w:rsidRPr="00CA3A3D">
        <w:rPr>
          <w:rFonts w:ascii="Garamond" w:hAnsi="Garamond"/>
          <w:lang w:val="es-AR" w:eastAsia="es-AR"/>
        </w:rPr>
        <w:t>Los gastos de comercialización totales para el período de tres meses finalizado el 31 de marzo de 2019 ascendieron a $ 8,8 millones comparado con $3 millones del mismo período de 2018, lo que equivale a una disminución de $ 5,8 millones o 193%.</w:t>
      </w:r>
    </w:p>
    <w:p w14:paraId="096C85FB" w14:textId="77777777" w:rsidR="00AE32CA" w:rsidRPr="00CA3A3D" w:rsidRDefault="00AE32CA" w:rsidP="00AE32CA">
      <w:pPr>
        <w:widowControl w:val="0"/>
        <w:autoSpaceDE w:val="0"/>
        <w:autoSpaceDN w:val="0"/>
        <w:adjustRightInd w:val="0"/>
        <w:spacing w:before="8" w:after="0" w:line="220" w:lineRule="exact"/>
        <w:rPr>
          <w:rFonts w:ascii="Garamond" w:hAnsi="Garamond"/>
          <w:sz w:val="20"/>
          <w:szCs w:val="20"/>
          <w:lang w:val="es-AR"/>
        </w:rPr>
      </w:pPr>
    </w:p>
    <w:p w14:paraId="235CB5D1" w14:textId="5C99EF39" w:rsidR="00AE32CA" w:rsidRPr="00CA3A3D" w:rsidRDefault="00AE32CA" w:rsidP="00AE32CA">
      <w:pPr>
        <w:widowControl w:val="0"/>
        <w:autoSpaceDE w:val="0"/>
        <w:autoSpaceDN w:val="0"/>
        <w:adjustRightInd w:val="0"/>
        <w:spacing w:after="0" w:line="240" w:lineRule="auto"/>
        <w:ind w:right="73"/>
        <w:jc w:val="both"/>
        <w:rPr>
          <w:rFonts w:ascii="Garamond" w:hAnsi="Garamond"/>
          <w:sz w:val="20"/>
          <w:szCs w:val="20"/>
          <w:lang w:val="es-AR"/>
        </w:rPr>
      </w:pPr>
      <w:r w:rsidRPr="00CA3A3D">
        <w:rPr>
          <w:rFonts w:ascii="Garamond" w:hAnsi="Garamond"/>
          <w:sz w:val="20"/>
          <w:szCs w:val="20"/>
          <w:lang w:val="es-AR"/>
        </w:rPr>
        <w:t xml:space="preserve">El principal componente de los gastos de comercialización de </w:t>
      </w:r>
      <w:r w:rsidR="008E1A99" w:rsidRPr="00CA3A3D">
        <w:rPr>
          <w:rFonts w:ascii="Garamond" w:hAnsi="Garamond"/>
          <w:sz w:val="20"/>
          <w:szCs w:val="20"/>
          <w:lang w:val="es-AR"/>
        </w:rPr>
        <w:t>CTR</w:t>
      </w:r>
      <w:r w:rsidRPr="00CA3A3D">
        <w:rPr>
          <w:rFonts w:ascii="Garamond" w:hAnsi="Garamond"/>
          <w:sz w:val="20"/>
          <w:szCs w:val="20"/>
          <w:lang w:val="es-AR"/>
        </w:rPr>
        <w:t xml:space="preserve"> es el siguiente:</w:t>
      </w:r>
    </w:p>
    <w:p w14:paraId="36B7DF47" w14:textId="77777777" w:rsidR="00AE32CA" w:rsidRPr="00CA3A3D" w:rsidRDefault="00AE32CA" w:rsidP="00AE32CA">
      <w:pPr>
        <w:widowControl w:val="0"/>
        <w:autoSpaceDE w:val="0"/>
        <w:autoSpaceDN w:val="0"/>
        <w:adjustRightInd w:val="0"/>
        <w:spacing w:after="0" w:line="240" w:lineRule="auto"/>
        <w:ind w:right="73"/>
        <w:jc w:val="both"/>
        <w:rPr>
          <w:rFonts w:ascii="Garamond" w:hAnsi="Garamond"/>
          <w:sz w:val="20"/>
          <w:szCs w:val="20"/>
          <w:lang w:val="es-AR"/>
        </w:rPr>
      </w:pPr>
    </w:p>
    <w:p w14:paraId="46FD8427" w14:textId="77777777" w:rsidR="00AE32CA" w:rsidRPr="00CA3A3D" w:rsidRDefault="00AE32CA" w:rsidP="00AE32CA">
      <w:pPr>
        <w:widowControl w:val="0"/>
        <w:numPr>
          <w:ilvl w:val="0"/>
          <w:numId w:val="303"/>
        </w:numPr>
        <w:autoSpaceDE w:val="0"/>
        <w:autoSpaceDN w:val="0"/>
        <w:adjustRightInd w:val="0"/>
        <w:spacing w:after="0" w:line="239" w:lineRule="auto"/>
        <w:ind w:left="426" w:right="76" w:hanging="426"/>
        <w:jc w:val="both"/>
        <w:rPr>
          <w:rFonts w:ascii="Garamond" w:hAnsi="Garamond"/>
          <w:sz w:val="20"/>
          <w:szCs w:val="20"/>
          <w:lang w:val="es-AR"/>
        </w:rPr>
      </w:pPr>
      <w:r w:rsidRPr="00CA3A3D">
        <w:rPr>
          <w:rFonts w:ascii="Garamond" w:hAnsi="Garamond"/>
          <w:sz w:val="20"/>
          <w:szCs w:val="20"/>
          <w:lang w:val="es-AR"/>
        </w:rPr>
        <w:t xml:space="preserve">$ 8,8 millones por impuesto, tasas y contribuciones, lo que representó un aumento del 193 % respecto de los $ 3 millones del mismo período de 2018. </w:t>
      </w:r>
    </w:p>
    <w:p w14:paraId="63B57ACB" w14:textId="77777777" w:rsidR="00AE32CA" w:rsidRPr="00CA3A3D" w:rsidRDefault="00AE32CA" w:rsidP="002B1E31">
      <w:pPr>
        <w:jc w:val="center"/>
        <w:rPr>
          <w:lang w:val="es-AR"/>
        </w:rPr>
      </w:pPr>
    </w:p>
    <w:p w14:paraId="07BD2C69" w14:textId="77777777" w:rsidR="00AE32CA" w:rsidRPr="00CA3A3D" w:rsidRDefault="00AE32CA" w:rsidP="00AE32CA">
      <w:pPr>
        <w:keepNext/>
        <w:spacing w:after="0"/>
        <w:rPr>
          <w:rFonts w:ascii="Garamond" w:eastAsia="Times New Roman" w:hAnsi="Garamond"/>
          <w:sz w:val="18"/>
          <w:szCs w:val="18"/>
          <w:u w:val="single"/>
          <w:lang w:val="es-AR" w:eastAsia="es-AR"/>
        </w:rPr>
      </w:pPr>
      <w:r w:rsidRPr="00CA3A3D">
        <w:rPr>
          <w:rFonts w:ascii="Garamond" w:eastAsia="Times New Roman" w:hAnsi="Garamond"/>
          <w:sz w:val="18"/>
          <w:szCs w:val="18"/>
          <w:u w:val="single"/>
          <w:lang w:val="es-AR" w:eastAsia="es-AR"/>
        </w:rPr>
        <w:t>Gastos de administración:</w:t>
      </w:r>
    </w:p>
    <w:p w14:paraId="7F5D756F" w14:textId="77777777" w:rsidR="00AE32CA" w:rsidRPr="00CA3A3D" w:rsidRDefault="00AE32CA" w:rsidP="00AE32CA">
      <w:pPr>
        <w:keepNext/>
        <w:spacing w:after="0"/>
        <w:rPr>
          <w:rFonts w:ascii="Garamond" w:eastAsia="Times New Roman" w:hAnsi="Garamond"/>
          <w:sz w:val="18"/>
          <w:szCs w:val="18"/>
          <w:u w:val="single"/>
          <w:lang w:val="es-AR" w:eastAsia="es-AR"/>
        </w:rPr>
      </w:pPr>
    </w:p>
    <w:p w14:paraId="3F6F137E" w14:textId="77777777" w:rsidR="00AE32CA" w:rsidRPr="00CA3A3D" w:rsidRDefault="00AE32CA" w:rsidP="00CC5BFD">
      <w:pPr>
        <w:pStyle w:val="Textoindependiente"/>
        <w:spacing w:after="0"/>
        <w:ind w:firstLine="0"/>
        <w:rPr>
          <w:rFonts w:ascii="Garamond" w:hAnsi="Garamond"/>
          <w:lang w:val="es-AR" w:eastAsia="es-AR"/>
        </w:rPr>
      </w:pPr>
      <w:r w:rsidRPr="00CA3A3D">
        <w:rPr>
          <w:rFonts w:ascii="Garamond" w:hAnsi="Garamond"/>
          <w:lang w:val="es-AR" w:eastAsia="es-AR"/>
        </w:rPr>
        <w:t xml:space="preserve">Los gastos de administración totales para el período de tres meses finalizado el </w:t>
      </w:r>
      <w:bookmarkStart w:id="93" w:name="_Hlk7535772"/>
      <w:r w:rsidRPr="00CA3A3D">
        <w:rPr>
          <w:rFonts w:ascii="Garamond" w:hAnsi="Garamond"/>
          <w:lang w:val="es-AR" w:eastAsia="es-AR"/>
        </w:rPr>
        <w:t xml:space="preserve">31 de marzo de 2019 </w:t>
      </w:r>
      <w:bookmarkEnd w:id="93"/>
      <w:r w:rsidRPr="00CA3A3D">
        <w:rPr>
          <w:rFonts w:ascii="Garamond" w:hAnsi="Garamond"/>
          <w:lang w:val="es-AR" w:eastAsia="es-AR"/>
        </w:rPr>
        <w:t>ascendieron a $ 26,1 millones lo que representó un aumento del 146%, comparado con los $ 10,6 millones del mismo período de 2018.</w:t>
      </w:r>
    </w:p>
    <w:p w14:paraId="234B9F78" w14:textId="77777777" w:rsidR="00AE32CA" w:rsidRPr="00CA3A3D" w:rsidRDefault="00AE32CA" w:rsidP="00CA3A3D">
      <w:pPr>
        <w:pStyle w:val="Textoindependiente"/>
        <w:keepNext/>
        <w:spacing w:after="0"/>
        <w:ind w:firstLine="0"/>
        <w:rPr>
          <w:rFonts w:ascii="Garamond" w:eastAsia="Times New Roman" w:hAnsi="Garamond"/>
          <w:sz w:val="18"/>
          <w:szCs w:val="18"/>
          <w:lang w:val="es-AR" w:eastAsia="es-AR"/>
        </w:rPr>
      </w:pPr>
      <w:r w:rsidRPr="00CA0A60">
        <w:rPr>
          <w:noProof/>
          <w:lang w:val="es-AR" w:eastAsia="es-AR"/>
        </w:rPr>
        <w:lastRenderedPageBreak/>
        <w:drawing>
          <wp:inline distT="0" distB="0" distL="0" distR="0" wp14:anchorId="2FDAC3BD" wp14:editId="6C022782">
            <wp:extent cx="5069833" cy="123825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73593" cy="1239168"/>
                    </a:xfrm>
                    <a:prstGeom prst="rect">
                      <a:avLst/>
                    </a:prstGeom>
                    <a:noFill/>
                    <a:ln>
                      <a:noFill/>
                    </a:ln>
                  </pic:spPr>
                </pic:pic>
              </a:graphicData>
            </a:graphic>
          </wp:inline>
        </w:drawing>
      </w:r>
    </w:p>
    <w:p w14:paraId="27317824" w14:textId="77777777" w:rsidR="00AE32CA" w:rsidRPr="00CA3A3D" w:rsidRDefault="00AE32CA" w:rsidP="00AE32CA">
      <w:pPr>
        <w:pStyle w:val="Textoindependiente"/>
        <w:keepNext/>
        <w:spacing w:after="0"/>
        <w:rPr>
          <w:rFonts w:ascii="Garamond" w:eastAsia="Times New Roman" w:hAnsi="Garamond"/>
          <w:sz w:val="18"/>
          <w:szCs w:val="18"/>
          <w:lang w:val="es-AR" w:eastAsia="es-AR"/>
        </w:rPr>
      </w:pPr>
    </w:p>
    <w:p w14:paraId="3DDF6E60" w14:textId="77777777" w:rsidR="00AE32CA" w:rsidRPr="00CA3A3D" w:rsidRDefault="00AE32CA" w:rsidP="00AE32CA">
      <w:pPr>
        <w:widowControl w:val="0"/>
        <w:autoSpaceDE w:val="0"/>
        <w:autoSpaceDN w:val="0"/>
        <w:adjustRightInd w:val="0"/>
        <w:spacing w:after="0" w:line="240" w:lineRule="auto"/>
        <w:ind w:right="79"/>
        <w:jc w:val="both"/>
        <w:rPr>
          <w:rFonts w:ascii="Garamond" w:hAnsi="Garamond"/>
          <w:sz w:val="20"/>
          <w:szCs w:val="20"/>
          <w:lang w:val="es-AR"/>
        </w:rPr>
      </w:pPr>
      <w:r w:rsidRPr="00CA3A3D">
        <w:rPr>
          <w:rFonts w:ascii="Garamond" w:hAnsi="Garamond"/>
          <w:sz w:val="20"/>
          <w:szCs w:val="20"/>
          <w:lang w:val="es-AR"/>
        </w:rPr>
        <w:t>Los principales componentes de los gastos de administración son los siguientes:</w:t>
      </w:r>
    </w:p>
    <w:p w14:paraId="3F9A3F14" w14:textId="77777777" w:rsidR="00AE32CA" w:rsidRPr="00CA3A3D" w:rsidRDefault="00AE32CA" w:rsidP="00AE32CA">
      <w:pPr>
        <w:widowControl w:val="0"/>
        <w:autoSpaceDE w:val="0"/>
        <w:autoSpaceDN w:val="0"/>
        <w:adjustRightInd w:val="0"/>
        <w:spacing w:after="0" w:line="240" w:lineRule="auto"/>
        <w:ind w:right="79"/>
        <w:jc w:val="both"/>
        <w:rPr>
          <w:rFonts w:ascii="Garamond" w:hAnsi="Garamond"/>
          <w:sz w:val="20"/>
          <w:szCs w:val="20"/>
          <w:lang w:val="es-AR"/>
        </w:rPr>
      </w:pPr>
    </w:p>
    <w:p w14:paraId="1B72B2D1" w14:textId="77777777" w:rsidR="00AE32CA" w:rsidRPr="00CA3A3D" w:rsidRDefault="00AE32CA" w:rsidP="00AE32CA">
      <w:pPr>
        <w:numPr>
          <w:ilvl w:val="0"/>
          <w:numId w:val="304"/>
        </w:numPr>
        <w:spacing w:after="0" w:line="240" w:lineRule="auto"/>
        <w:ind w:left="426" w:hanging="426"/>
        <w:jc w:val="both"/>
        <w:rPr>
          <w:rFonts w:ascii="Garamond" w:hAnsi="Garamond"/>
          <w:sz w:val="20"/>
          <w:szCs w:val="20"/>
          <w:lang w:val="es-AR"/>
        </w:rPr>
      </w:pPr>
      <w:r w:rsidRPr="00CA3A3D">
        <w:rPr>
          <w:rFonts w:ascii="Garamond" w:hAnsi="Garamond"/>
          <w:sz w:val="20"/>
          <w:szCs w:val="20"/>
          <w:lang w:val="es-AR"/>
        </w:rPr>
        <w:t xml:space="preserve">$ 24,7 millones en honorarios y retribuciones por servicios, lo que representó un aumento del 178% comparado con los $ 8,9 millones correspondientes al mismo período de 2018. Dicha variación se debe a la facturación de servicios administrativos realizados por RGA. </w:t>
      </w:r>
    </w:p>
    <w:p w14:paraId="1A42B985" w14:textId="77777777" w:rsidR="00AE32CA" w:rsidRPr="00CA3A3D" w:rsidRDefault="00AE32CA" w:rsidP="00AE32CA">
      <w:pPr>
        <w:spacing w:after="0" w:line="240" w:lineRule="auto"/>
        <w:ind w:left="426"/>
        <w:jc w:val="both"/>
        <w:rPr>
          <w:rFonts w:ascii="Garamond" w:hAnsi="Garamond"/>
          <w:sz w:val="20"/>
          <w:szCs w:val="20"/>
          <w:lang w:val="es-AR"/>
        </w:rPr>
      </w:pPr>
    </w:p>
    <w:p w14:paraId="0CD3E2A2" w14:textId="77777777" w:rsidR="00AE32CA" w:rsidRPr="00CA3A3D" w:rsidRDefault="00AE32CA" w:rsidP="00AE32CA">
      <w:pPr>
        <w:numPr>
          <w:ilvl w:val="0"/>
          <w:numId w:val="304"/>
        </w:numPr>
        <w:spacing w:after="0" w:line="240" w:lineRule="auto"/>
        <w:ind w:left="426" w:hanging="426"/>
        <w:jc w:val="both"/>
        <w:rPr>
          <w:rFonts w:ascii="Garamond" w:hAnsi="Garamond"/>
          <w:sz w:val="20"/>
          <w:szCs w:val="20"/>
          <w:lang w:val="es-AR"/>
        </w:rPr>
      </w:pPr>
      <w:r w:rsidRPr="00CA3A3D">
        <w:rPr>
          <w:rFonts w:ascii="Garamond" w:hAnsi="Garamond"/>
          <w:sz w:val="20"/>
          <w:szCs w:val="20"/>
          <w:lang w:val="es-AR"/>
        </w:rPr>
        <w:t xml:space="preserve">$ 0,6 millones de alquileres, representando una disminución del 25% comparado con los $0,8 millones correspondientes al mismo período de 2018.  </w:t>
      </w:r>
    </w:p>
    <w:p w14:paraId="37AA26FC" w14:textId="77777777" w:rsidR="00AE32CA" w:rsidRPr="00CA3A3D" w:rsidRDefault="00AE32CA" w:rsidP="00AE32CA">
      <w:pPr>
        <w:pStyle w:val="Prrafodelista"/>
        <w:widowControl w:val="0"/>
        <w:tabs>
          <w:tab w:val="left" w:pos="0"/>
          <w:tab w:val="left" w:pos="3686"/>
        </w:tabs>
        <w:autoSpaceDE w:val="0"/>
        <w:autoSpaceDN w:val="0"/>
        <w:adjustRightInd w:val="0"/>
        <w:ind w:left="426" w:right="-32"/>
        <w:rPr>
          <w:rFonts w:ascii="Garamond" w:hAnsi="Garamond"/>
          <w:spacing w:val="-2"/>
          <w:sz w:val="18"/>
          <w:szCs w:val="18"/>
          <w:lang w:val="es-AR"/>
        </w:rPr>
      </w:pPr>
    </w:p>
    <w:p w14:paraId="2C89859B" w14:textId="77777777" w:rsidR="00AE32CA" w:rsidRPr="00CA3A3D" w:rsidRDefault="00AE32CA" w:rsidP="00AE32CA">
      <w:pPr>
        <w:widowControl w:val="0"/>
        <w:autoSpaceDE w:val="0"/>
        <w:autoSpaceDN w:val="0"/>
        <w:adjustRightInd w:val="0"/>
        <w:spacing w:after="0" w:line="240" w:lineRule="auto"/>
        <w:ind w:right="73"/>
        <w:jc w:val="both"/>
        <w:rPr>
          <w:rFonts w:ascii="Garamond" w:hAnsi="Garamond"/>
          <w:sz w:val="20"/>
          <w:szCs w:val="20"/>
          <w:u w:val="single"/>
          <w:lang w:val="es-AR"/>
        </w:rPr>
      </w:pPr>
      <w:r w:rsidRPr="00CA3A3D">
        <w:rPr>
          <w:rFonts w:ascii="Garamond" w:hAnsi="Garamond"/>
          <w:sz w:val="20"/>
          <w:szCs w:val="20"/>
          <w:u w:val="single"/>
          <w:lang w:val="es-AR"/>
        </w:rPr>
        <w:t>Resultado operativo:</w:t>
      </w:r>
    </w:p>
    <w:p w14:paraId="32D743BB" w14:textId="77777777" w:rsidR="00AE32CA" w:rsidRPr="00CA3A3D" w:rsidRDefault="00AE32CA" w:rsidP="00AE32CA">
      <w:pPr>
        <w:widowControl w:val="0"/>
        <w:autoSpaceDE w:val="0"/>
        <w:autoSpaceDN w:val="0"/>
        <w:adjustRightInd w:val="0"/>
        <w:spacing w:after="0" w:line="240" w:lineRule="auto"/>
        <w:ind w:right="73"/>
        <w:jc w:val="both"/>
        <w:rPr>
          <w:rFonts w:ascii="Garamond" w:hAnsi="Garamond"/>
          <w:sz w:val="20"/>
          <w:szCs w:val="20"/>
          <w:u w:val="single"/>
          <w:lang w:val="es-AR"/>
        </w:rPr>
      </w:pPr>
    </w:p>
    <w:p w14:paraId="074E2E29" w14:textId="77777777" w:rsidR="00AE32CA" w:rsidRPr="00CA3A3D" w:rsidRDefault="00AE32CA" w:rsidP="00AE32CA">
      <w:pPr>
        <w:widowControl w:val="0"/>
        <w:autoSpaceDE w:val="0"/>
        <w:autoSpaceDN w:val="0"/>
        <w:adjustRightInd w:val="0"/>
        <w:spacing w:after="0" w:line="240" w:lineRule="auto"/>
        <w:ind w:right="73"/>
        <w:jc w:val="both"/>
        <w:rPr>
          <w:rFonts w:ascii="Garamond" w:hAnsi="Garamond"/>
          <w:sz w:val="20"/>
          <w:szCs w:val="20"/>
          <w:lang w:val="es-AR"/>
        </w:rPr>
      </w:pPr>
      <w:r w:rsidRPr="00CA3A3D">
        <w:rPr>
          <w:rFonts w:ascii="Garamond" w:hAnsi="Garamond"/>
          <w:sz w:val="20"/>
          <w:szCs w:val="20"/>
          <w:lang w:val="es-AR"/>
        </w:rPr>
        <w:t xml:space="preserve">El resultado operativo para el período de tres meses finalizado el 31 de marzo de 2019 ascendió a $ 284,7 millones comparado con $ 87,7 millones del mismo período de 2018, lo que equivale a un aumento de $ 197 millones o un 225%. </w:t>
      </w:r>
    </w:p>
    <w:p w14:paraId="0768F627" w14:textId="77777777" w:rsidR="00AE32CA" w:rsidRPr="00CA3A3D" w:rsidRDefault="00AE32CA" w:rsidP="00AE32CA">
      <w:pPr>
        <w:spacing w:after="0"/>
        <w:rPr>
          <w:rFonts w:ascii="Garamond" w:eastAsia="Times New Roman" w:hAnsi="Garamond"/>
          <w:sz w:val="18"/>
          <w:szCs w:val="18"/>
          <w:u w:val="single"/>
          <w:lang w:val="es-AR" w:eastAsia="es-AR"/>
        </w:rPr>
      </w:pPr>
    </w:p>
    <w:p w14:paraId="60B7F0EA" w14:textId="77777777" w:rsidR="00AE32CA" w:rsidRPr="00CA3A3D" w:rsidRDefault="00AE32CA" w:rsidP="00AE32CA">
      <w:pPr>
        <w:widowControl w:val="0"/>
        <w:autoSpaceDE w:val="0"/>
        <w:autoSpaceDN w:val="0"/>
        <w:adjustRightInd w:val="0"/>
        <w:spacing w:after="0" w:line="240" w:lineRule="auto"/>
        <w:ind w:right="3937"/>
        <w:jc w:val="both"/>
        <w:rPr>
          <w:rFonts w:ascii="Garamond" w:hAnsi="Garamond"/>
          <w:spacing w:val="-2"/>
          <w:sz w:val="20"/>
          <w:szCs w:val="20"/>
          <w:u w:val="single"/>
          <w:lang w:val="es-AR"/>
        </w:rPr>
      </w:pPr>
      <w:r w:rsidRPr="00CA3A3D">
        <w:rPr>
          <w:rFonts w:ascii="Garamond" w:hAnsi="Garamond"/>
          <w:spacing w:val="-2"/>
          <w:sz w:val="20"/>
          <w:szCs w:val="20"/>
          <w:u w:val="single"/>
          <w:lang w:val="es-AR"/>
        </w:rPr>
        <w:t>Resultados financieros y por tenencia, netos:</w:t>
      </w:r>
    </w:p>
    <w:p w14:paraId="0BA21B11" w14:textId="77777777" w:rsidR="00AE32CA" w:rsidRPr="00CA3A3D" w:rsidRDefault="00AE32CA" w:rsidP="00AE32CA">
      <w:pPr>
        <w:widowControl w:val="0"/>
        <w:autoSpaceDE w:val="0"/>
        <w:autoSpaceDN w:val="0"/>
        <w:adjustRightInd w:val="0"/>
        <w:spacing w:after="0" w:line="240" w:lineRule="auto"/>
        <w:ind w:right="73"/>
        <w:jc w:val="both"/>
        <w:rPr>
          <w:rFonts w:ascii="Garamond" w:hAnsi="Garamond"/>
          <w:spacing w:val="-2"/>
          <w:sz w:val="20"/>
          <w:szCs w:val="20"/>
          <w:lang w:val="es-AR"/>
        </w:rPr>
      </w:pPr>
    </w:p>
    <w:p w14:paraId="27DE32BD" w14:textId="53CD02DC" w:rsidR="00AE32CA" w:rsidRPr="00CA3A3D" w:rsidRDefault="00AE32CA" w:rsidP="002B1E31">
      <w:pPr>
        <w:widowControl w:val="0"/>
        <w:autoSpaceDE w:val="0"/>
        <w:autoSpaceDN w:val="0"/>
        <w:adjustRightInd w:val="0"/>
        <w:spacing w:before="10" w:after="0" w:line="220" w:lineRule="exact"/>
        <w:jc w:val="both"/>
        <w:rPr>
          <w:rFonts w:ascii="Garamond" w:eastAsia="MS Mincho" w:hAnsi="Garamond"/>
          <w:sz w:val="20"/>
          <w:szCs w:val="20"/>
          <w:lang w:val="es-AR"/>
        </w:rPr>
      </w:pPr>
      <w:r w:rsidRPr="00CA3A3D">
        <w:rPr>
          <w:rFonts w:ascii="Garamond" w:eastAsia="MS Mincho" w:hAnsi="Garamond"/>
          <w:sz w:val="20"/>
          <w:szCs w:val="20"/>
          <w:lang w:val="es-AR"/>
        </w:rPr>
        <w:t>Los resultados financieros y por tenencia netos para el período de tres meses finalizado el 31 de marzo de 2019 totalizaron una pérdida de $ 208,1 millones, comparado con una ganancia de $ 15,2 millones del mismo período de 2018, representando una variación de $ 223,3 millones. La variación se debe principalmente al efecto de la variación en el tipo de cambio, cambios en el valor razonable de instrumentos financieros y a la variación de intereses por préstamos.</w:t>
      </w:r>
    </w:p>
    <w:p w14:paraId="00986C3F" w14:textId="6EA1FB5E" w:rsidR="00E8148C" w:rsidRPr="00CA3A3D" w:rsidRDefault="00E8148C" w:rsidP="002B1E31">
      <w:pPr>
        <w:widowControl w:val="0"/>
        <w:autoSpaceDE w:val="0"/>
        <w:autoSpaceDN w:val="0"/>
        <w:adjustRightInd w:val="0"/>
        <w:spacing w:before="10" w:after="0" w:line="220" w:lineRule="exact"/>
        <w:jc w:val="both"/>
        <w:rPr>
          <w:rFonts w:ascii="Times New Roman" w:hAnsi="Times New Roman"/>
          <w:sz w:val="20"/>
          <w:szCs w:val="20"/>
          <w:lang w:val="es-AR"/>
        </w:rPr>
      </w:pPr>
    </w:p>
    <w:p w14:paraId="124D48B7" w14:textId="24489243" w:rsidR="00AE32CA" w:rsidRPr="00CA3A3D" w:rsidRDefault="00E8148C" w:rsidP="002B1E31">
      <w:pPr>
        <w:spacing w:after="0"/>
        <w:jc w:val="center"/>
        <w:rPr>
          <w:rFonts w:ascii="Times New Roman" w:hAnsi="Times New Roman"/>
          <w:sz w:val="20"/>
          <w:szCs w:val="20"/>
          <w:lang w:val="es-AR"/>
        </w:rPr>
      </w:pPr>
      <w:r w:rsidRPr="00CA0A60">
        <w:rPr>
          <w:rFonts w:ascii="Times New Roman" w:hAnsi="Times New Roman"/>
          <w:noProof/>
          <w:sz w:val="20"/>
          <w:szCs w:val="20"/>
          <w:lang w:val="es-AR" w:eastAsia="es-AR"/>
        </w:rPr>
        <w:drawing>
          <wp:inline distT="0" distB="0" distL="0" distR="0" wp14:anchorId="5E562D3B" wp14:editId="068480A9">
            <wp:extent cx="5377180" cy="186563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77180" cy="1865630"/>
                    </a:xfrm>
                    <a:prstGeom prst="rect">
                      <a:avLst/>
                    </a:prstGeom>
                    <a:noFill/>
                  </pic:spPr>
                </pic:pic>
              </a:graphicData>
            </a:graphic>
          </wp:inline>
        </w:drawing>
      </w:r>
    </w:p>
    <w:p w14:paraId="39EB55F8" w14:textId="77777777" w:rsidR="00AE32CA" w:rsidRPr="00CA3A3D" w:rsidRDefault="00AE32CA" w:rsidP="00AE32CA">
      <w:pPr>
        <w:spacing w:after="0" w:line="240" w:lineRule="auto"/>
        <w:rPr>
          <w:rFonts w:ascii="Garamond" w:hAnsi="Garamond"/>
          <w:sz w:val="20"/>
          <w:szCs w:val="20"/>
          <w:lang w:val="es-AR"/>
        </w:rPr>
      </w:pPr>
      <w:r w:rsidRPr="00CA3A3D">
        <w:rPr>
          <w:rFonts w:ascii="Garamond" w:hAnsi="Garamond"/>
          <w:sz w:val="20"/>
          <w:szCs w:val="20"/>
          <w:lang w:val="es-AR"/>
        </w:rPr>
        <w:t>Los aspectos más salientes de dicha variación son los siguientes:</w:t>
      </w:r>
    </w:p>
    <w:p w14:paraId="144DDB7F" w14:textId="77777777" w:rsidR="00AE32CA" w:rsidRPr="00CA3A3D" w:rsidRDefault="00AE32CA" w:rsidP="00AE32CA">
      <w:pPr>
        <w:widowControl w:val="0"/>
        <w:autoSpaceDE w:val="0"/>
        <w:autoSpaceDN w:val="0"/>
        <w:adjustRightInd w:val="0"/>
        <w:spacing w:before="8" w:after="0" w:line="220" w:lineRule="exact"/>
        <w:rPr>
          <w:rFonts w:ascii="Garamond" w:hAnsi="Garamond"/>
          <w:sz w:val="20"/>
          <w:szCs w:val="20"/>
          <w:lang w:val="es-AR"/>
        </w:rPr>
      </w:pPr>
    </w:p>
    <w:p w14:paraId="09EA46CB" w14:textId="77777777" w:rsidR="00AE32CA" w:rsidRPr="00CA3A3D" w:rsidRDefault="00AE32CA" w:rsidP="00AE32CA">
      <w:pPr>
        <w:numPr>
          <w:ilvl w:val="0"/>
          <w:numId w:val="305"/>
        </w:numPr>
        <w:spacing w:after="0" w:line="240" w:lineRule="auto"/>
        <w:ind w:left="426" w:hanging="426"/>
        <w:jc w:val="both"/>
        <w:rPr>
          <w:rFonts w:ascii="Garamond" w:hAnsi="Garamond"/>
          <w:sz w:val="20"/>
          <w:szCs w:val="20"/>
          <w:lang w:val="es-AR"/>
        </w:rPr>
      </w:pPr>
      <w:r w:rsidRPr="00CA3A3D">
        <w:rPr>
          <w:rFonts w:ascii="Garamond" w:hAnsi="Garamond"/>
          <w:sz w:val="20"/>
          <w:szCs w:val="20"/>
          <w:lang w:val="es-AR"/>
        </w:rPr>
        <w:t xml:space="preserve">$ 146,5 millones de pérdida por intereses por préstamos, lo que representó un incremento del 227% respecto de los $ 44,8 millones de pérdida del mismo período de 2018, producto de los nuevos instrumentos financieros tomados entre ambos períodos, como ON IV, Co-emisión ON I entre GMSA y CTR y otras deudas bancarias. </w:t>
      </w:r>
    </w:p>
    <w:p w14:paraId="7BAAA14D" w14:textId="77777777" w:rsidR="00AE32CA" w:rsidRPr="00CA3A3D" w:rsidRDefault="00AE32CA" w:rsidP="00AE32CA">
      <w:pPr>
        <w:spacing w:after="0" w:line="240" w:lineRule="auto"/>
        <w:ind w:left="426"/>
        <w:jc w:val="both"/>
        <w:rPr>
          <w:rFonts w:ascii="Garamond" w:hAnsi="Garamond"/>
          <w:sz w:val="20"/>
          <w:szCs w:val="20"/>
          <w:lang w:val="es-AR"/>
        </w:rPr>
      </w:pPr>
    </w:p>
    <w:p w14:paraId="5EEE0B57" w14:textId="77777777" w:rsidR="00E8148C" w:rsidRPr="00CA3A3D" w:rsidRDefault="00AE32CA" w:rsidP="002B1E31">
      <w:pPr>
        <w:numPr>
          <w:ilvl w:val="0"/>
          <w:numId w:val="305"/>
        </w:numPr>
        <w:spacing w:after="0" w:line="240" w:lineRule="auto"/>
        <w:ind w:left="426" w:hanging="426"/>
        <w:jc w:val="both"/>
        <w:rPr>
          <w:rFonts w:ascii="Garamond" w:hAnsi="Garamond"/>
          <w:sz w:val="20"/>
          <w:szCs w:val="20"/>
          <w:lang w:val="es-AR"/>
        </w:rPr>
      </w:pPr>
      <w:r w:rsidRPr="00CA3A3D">
        <w:rPr>
          <w:rFonts w:ascii="Garamond" w:hAnsi="Garamond"/>
          <w:sz w:val="20"/>
          <w:szCs w:val="20"/>
          <w:lang w:val="es-AR"/>
        </w:rPr>
        <w:t xml:space="preserve">$ 596,3 millones de pérdida por diferencia de cambio neta, lo que representó un incremento del 275 % respecto de los $ 158,9 millones de pérdida del mismo período de 2018, debido principalmente a la variación en el tipo de cambio. </w:t>
      </w:r>
    </w:p>
    <w:p w14:paraId="4745A0B3" w14:textId="77777777" w:rsidR="00E8148C" w:rsidRPr="00CA3A3D" w:rsidRDefault="00E8148C" w:rsidP="002B1E31">
      <w:pPr>
        <w:pStyle w:val="Prrafodelista"/>
        <w:rPr>
          <w:rFonts w:ascii="Garamond" w:hAnsi="Garamond"/>
          <w:sz w:val="20"/>
          <w:szCs w:val="20"/>
          <w:lang w:val="es-AR"/>
        </w:rPr>
      </w:pPr>
    </w:p>
    <w:p w14:paraId="70E8FE22" w14:textId="6D35E2AB" w:rsidR="00AE32CA" w:rsidRPr="00CA3A3D" w:rsidRDefault="00AE32CA" w:rsidP="002B1E31">
      <w:pPr>
        <w:numPr>
          <w:ilvl w:val="0"/>
          <w:numId w:val="305"/>
        </w:numPr>
        <w:spacing w:after="0" w:line="240" w:lineRule="auto"/>
        <w:ind w:left="426" w:hanging="426"/>
        <w:jc w:val="both"/>
        <w:rPr>
          <w:rFonts w:ascii="Garamond" w:hAnsi="Garamond"/>
          <w:sz w:val="20"/>
          <w:szCs w:val="20"/>
          <w:lang w:val="es-AR"/>
        </w:rPr>
      </w:pPr>
      <w:r w:rsidRPr="00CA3A3D">
        <w:rPr>
          <w:rFonts w:ascii="Garamond" w:hAnsi="Garamond"/>
          <w:sz w:val="20"/>
          <w:szCs w:val="20"/>
          <w:lang w:val="es-AR"/>
        </w:rPr>
        <w:t xml:space="preserve">$ 545,6 millones de resultado por RECPAM, lo que represento un aumento de un 159% respecto de los $ 210,6 millones de resultado por RECPAM del ejercicio 2018, debido al aumento del índice de inflación. </w:t>
      </w:r>
    </w:p>
    <w:p w14:paraId="38648E49" w14:textId="77777777" w:rsidR="00AE32CA" w:rsidRPr="00CA3A3D" w:rsidRDefault="00AE32CA" w:rsidP="002B1E31">
      <w:pPr>
        <w:pStyle w:val="Prrafodelista"/>
        <w:keepNext/>
        <w:keepLines/>
        <w:ind w:left="0"/>
        <w:rPr>
          <w:rFonts w:ascii="Garamond" w:hAnsi="Garamond"/>
          <w:spacing w:val="-2"/>
          <w:sz w:val="20"/>
          <w:u w:val="single"/>
          <w:lang w:val="es-AR"/>
        </w:rPr>
      </w:pPr>
      <w:r w:rsidRPr="00CA3A3D">
        <w:rPr>
          <w:rFonts w:ascii="Garamond" w:hAnsi="Garamond"/>
          <w:spacing w:val="-2"/>
          <w:sz w:val="20"/>
          <w:u w:val="single"/>
          <w:lang w:val="es-AR"/>
        </w:rPr>
        <w:lastRenderedPageBreak/>
        <w:t>Resultado antes de impuestos:</w:t>
      </w:r>
    </w:p>
    <w:p w14:paraId="719E2E6B" w14:textId="5AAEE89B" w:rsidR="00AE32CA" w:rsidRPr="00CA3A3D" w:rsidRDefault="00AE32CA" w:rsidP="002B1E31">
      <w:pPr>
        <w:keepNext/>
        <w:keepLines/>
        <w:autoSpaceDE w:val="0"/>
        <w:autoSpaceDN w:val="0"/>
        <w:adjustRightInd w:val="0"/>
        <w:spacing w:after="0" w:line="224" w:lineRule="exact"/>
        <w:ind w:right="74"/>
        <w:jc w:val="both"/>
        <w:rPr>
          <w:rFonts w:ascii="Garamond" w:eastAsia="MS Mincho" w:hAnsi="Garamond"/>
          <w:sz w:val="20"/>
          <w:szCs w:val="20"/>
          <w:lang w:val="es-AR"/>
        </w:rPr>
      </w:pPr>
      <w:r w:rsidRPr="00CA3A3D">
        <w:rPr>
          <w:rFonts w:ascii="Garamond" w:eastAsia="MS Mincho" w:hAnsi="Garamond"/>
          <w:sz w:val="20"/>
          <w:szCs w:val="20"/>
          <w:lang w:val="es-AR"/>
        </w:rPr>
        <w:t xml:space="preserve">Para el período de tres meses finalizado el 31 de marzo de 2019, </w:t>
      </w:r>
      <w:r w:rsidR="008E1A99" w:rsidRPr="00CA3A3D">
        <w:rPr>
          <w:rFonts w:ascii="Garamond" w:eastAsia="MS Mincho" w:hAnsi="Garamond"/>
          <w:sz w:val="20"/>
          <w:szCs w:val="20"/>
          <w:lang w:val="es-AR"/>
        </w:rPr>
        <w:t>CTR</w:t>
      </w:r>
      <w:r w:rsidRPr="00CA3A3D">
        <w:rPr>
          <w:rFonts w:ascii="Garamond" w:eastAsia="MS Mincho" w:hAnsi="Garamond"/>
          <w:sz w:val="20"/>
          <w:szCs w:val="20"/>
          <w:lang w:val="es-AR"/>
        </w:rPr>
        <w:t xml:space="preserve"> registra una ganancia antes de impuestos de $ 76,5 millones, comparada con los $ 102,8 millones de ganancia del mismo período de 2018, lo que representa una disminución del 26%. Dicha variación se explica principalmente por la variación del tipo de cambio, cambios en el valor razonable de instrumentos financieros y la variación de intereses por préstamos.</w:t>
      </w:r>
    </w:p>
    <w:p w14:paraId="5C67AA64" w14:textId="77777777" w:rsidR="00AE32CA" w:rsidRPr="00CA3A3D" w:rsidRDefault="00AE32CA" w:rsidP="002B1E31">
      <w:pPr>
        <w:keepNext/>
        <w:keepLines/>
        <w:autoSpaceDE w:val="0"/>
        <w:autoSpaceDN w:val="0"/>
        <w:adjustRightInd w:val="0"/>
        <w:spacing w:after="0" w:line="224" w:lineRule="exact"/>
        <w:ind w:right="74"/>
        <w:jc w:val="both"/>
        <w:rPr>
          <w:rFonts w:ascii="Garamond" w:eastAsia="MS Mincho" w:hAnsi="Garamond"/>
          <w:sz w:val="20"/>
          <w:szCs w:val="20"/>
          <w:lang w:val="es-AR"/>
        </w:rPr>
      </w:pPr>
    </w:p>
    <w:p w14:paraId="1000B159" w14:textId="77777777" w:rsidR="00AE32CA" w:rsidRPr="00CA3A3D" w:rsidRDefault="00AE32CA" w:rsidP="002B1E31">
      <w:pPr>
        <w:keepNext/>
        <w:keepLines/>
        <w:autoSpaceDE w:val="0"/>
        <w:autoSpaceDN w:val="0"/>
        <w:adjustRightInd w:val="0"/>
        <w:spacing w:after="0" w:line="224" w:lineRule="exact"/>
        <w:ind w:right="74"/>
        <w:jc w:val="both"/>
        <w:rPr>
          <w:rFonts w:ascii="Garamond" w:eastAsia="MS Mincho" w:hAnsi="Garamond"/>
          <w:sz w:val="20"/>
          <w:szCs w:val="20"/>
          <w:lang w:val="es-AR"/>
        </w:rPr>
      </w:pPr>
      <w:r w:rsidRPr="00CA3A3D">
        <w:rPr>
          <w:rFonts w:ascii="Garamond" w:eastAsia="MS Mincho" w:hAnsi="Garamond"/>
          <w:sz w:val="20"/>
          <w:szCs w:val="20"/>
          <w:lang w:val="es-AR"/>
        </w:rPr>
        <w:t xml:space="preserve">El resultado negativo de impuesto a las ganancias fue de $ 10,9 millones para el período de tres meses finalizado el 31 de marzo de 2019 en comparación con los $ 26,9 millones de pérdida del mismo período de 2018. </w:t>
      </w:r>
    </w:p>
    <w:p w14:paraId="05A04FD8" w14:textId="77777777" w:rsidR="00AE32CA" w:rsidRPr="00CA3A3D" w:rsidRDefault="00AE32CA" w:rsidP="002B1E31">
      <w:pPr>
        <w:keepNext/>
        <w:keepLines/>
        <w:autoSpaceDE w:val="0"/>
        <w:autoSpaceDN w:val="0"/>
        <w:adjustRightInd w:val="0"/>
        <w:spacing w:after="0" w:line="224" w:lineRule="exact"/>
        <w:ind w:right="74"/>
        <w:jc w:val="both"/>
        <w:rPr>
          <w:rFonts w:ascii="Garamond" w:eastAsia="MS Mincho" w:hAnsi="Garamond"/>
          <w:sz w:val="20"/>
          <w:szCs w:val="20"/>
          <w:lang w:val="es-AR"/>
        </w:rPr>
      </w:pPr>
    </w:p>
    <w:p w14:paraId="7223C0E5" w14:textId="77777777" w:rsidR="00AE32CA" w:rsidRPr="00CA3A3D" w:rsidRDefault="00AE32CA" w:rsidP="00AE32CA">
      <w:pPr>
        <w:widowControl w:val="0"/>
        <w:autoSpaceDE w:val="0"/>
        <w:autoSpaceDN w:val="0"/>
        <w:adjustRightInd w:val="0"/>
        <w:spacing w:after="0" w:line="224" w:lineRule="exact"/>
        <w:ind w:right="74"/>
        <w:jc w:val="both"/>
        <w:rPr>
          <w:rFonts w:ascii="Garamond" w:hAnsi="Garamond"/>
          <w:sz w:val="20"/>
          <w:szCs w:val="20"/>
          <w:lang w:val="es-AR"/>
        </w:rPr>
      </w:pPr>
      <w:r w:rsidRPr="00CA3A3D">
        <w:rPr>
          <w:rFonts w:ascii="Garamond" w:hAnsi="Garamond"/>
          <w:sz w:val="20"/>
          <w:szCs w:val="20"/>
          <w:u w:val="single"/>
          <w:lang w:val="es-AR"/>
        </w:rPr>
        <w:t>Resultado neto</w:t>
      </w:r>
      <w:r w:rsidRPr="00CA3A3D">
        <w:rPr>
          <w:rFonts w:ascii="Garamond" w:hAnsi="Garamond"/>
          <w:sz w:val="20"/>
          <w:szCs w:val="20"/>
          <w:lang w:val="es-AR"/>
        </w:rPr>
        <w:t>:</w:t>
      </w:r>
    </w:p>
    <w:p w14:paraId="60AC1091" w14:textId="77777777" w:rsidR="00AE32CA" w:rsidRPr="00CA3A3D" w:rsidRDefault="00AE32CA" w:rsidP="00AE32CA">
      <w:pPr>
        <w:widowControl w:val="0"/>
        <w:autoSpaceDE w:val="0"/>
        <w:autoSpaceDN w:val="0"/>
        <w:adjustRightInd w:val="0"/>
        <w:spacing w:after="0" w:line="224" w:lineRule="exact"/>
        <w:ind w:right="74"/>
        <w:jc w:val="both"/>
        <w:rPr>
          <w:rFonts w:ascii="Garamond" w:eastAsia="MS Mincho" w:hAnsi="Garamond"/>
          <w:sz w:val="20"/>
          <w:szCs w:val="20"/>
          <w:lang w:val="es-AR"/>
        </w:rPr>
      </w:pPr>
    </w:p>
    <w:p w14:paraId="440482C9" w14:textId="77777777" w:rsidR="00AE32CA" w:rsidRPr="00CA3A3D" w:rsidRDefault="00AE32CA" w:rsidP="00AE32CA">
      <w:pPr>
        <w:widowControl w:val="0"/>
        <w:autoSpaceDE w:val="0"/>
        <w:autoSpaceDN w:val="0"/>
        <w:adjustRightInd w:val="0"/>
        <w:spacing w:after="0" w:line="224" w:lineRule="exact"/>
        <w:ind w:right="74"/>
        <w:jc w:val="both"/>
        <w:rPr>
          <w:rFonts w:ascii="Garamond" w:eastAsia="MS Mincho" w:hAnsi="Garamond"/>
          <w:sz w:val="20"/>
          <w:szCs w:val="20"/>
          <w:lang w:val="es-AR"/>
        </w:rPr>
      </w:pPr>
      <w:r w:rsidRPr="00CA3A3D">
        <w:rPr>
          <w:rFonts w:ascii="Garamond" w:eastAsia="MS Mincho" w:hAnsi="Garamond"/>
          <w:sz w:val="20"/>
          <w:szCs w:val="20"/>
          <w:lang w:val="es-AR"/>
        </w:rPr>
        <w:t>El resultado neto correspondiente al período de tres meses finalizado el 31 de marzo de 2019 fue una ganancia de $ 65,6 millones comparado con los $ 75,9 millones de ganancia del mismo período de 2018.</w:t>
      </w:r>
    </w:p>
    <w:p w14:paraId="7C1A3960" w14:textId="77777777" w:rsidR="00AE32CA" w:rsidRPr="00CA3A3D" w:rsidRDefault="00AE32CA" w:rsidP="00AE32CA">
      <w:pPr>
        <w:widowControl w:val="0"/>
        <w:autoSpaceDE w:val="0"/>
        <w:autoSpaceDN w:val="0"/>
        <w:adjustRightInd w:val="0"/>
        <w:spacing w:after="0" w:line="224" w:lineRule="exact"/>
        <w:ind w:right="74"/>
        <w:jc w:val="both"/>
        <w:rPr>
          <w:rFonts w:ascii="Garamond" w:hAnsi="Garamond"/>
          <w:spacing w:val="1"/>
          <w:sz w:val="20"/>
          <w:szCs w:val="20"/>
          <w:lang w:val="es-AR"/>
        </w:rPr>
      </w:pPr>
    </w:p>
    <w:p w14:paraId="15180858" w14:textId="77777777" w:rsidR="00AE32CA" w:rsidRPr="00CA3A3D" w:rsidRDefault="00AE32CA" w:rsidP="00AE32CA">
      <w:pPr>
        <w:pStyle w:val="Prrafodelista"/>
        <w:ind w:left="0"/>
        <w:rPr>
          <w:rFonts w:ascii="Garamond" w:hAnsi="Garamond"/>
          <w:spacing w:val="-2"/>
          <w:sz w:val="20"/>
          <w:u w:val="single"/>
          <w:lang w:val="es-AR"/>
        </w:rPr>
      </w:pPr>
      <w:r w:rsidRPr="00CA3A3D">
        <w:rPr>
          <w:rFonts w:ascii="Garamond" w:hAnsi="Garamond"/>
          <w:spacing w:val="-2"/>
          <w:sz w:val="20"/>
          <w:u w:val="single"/>
          <w:lang w:val="es-AR"/>
        </w:rPr>
        <w:t>Resultados integrales del período:</w:t>
      </w:r>
    </w:p>
    <w:p w14:paraId="149DF34E" w14:textId="77777777" w:rsidR="00AE32CA" w:rsidRPr="00CA3A3D" w:rsidRDefault="00AE32CA" w:rsidP="00AE32CA">
      <w:pPr>
        <w:widowControl w:val="0"/>
        <w:autoSpaceDE w:val="0"/>
        <w:autoSpaceDN w:val="0"/>
        <w:adjustRightInd w:val="0"/>
        <w:spacing w:after="0" w:line="224" w:lineRule="exact"/>
        <w:ind w:right="74"/>
        <w:jc w:val="both"/>
        <w:rPr>
          <w:rFonts w:ascii="Garamond" w:eastAsia="MS Mincho" w:hAnsi="Garamond"/>
          <w:sz w:val="20"/>
          <w:szCs w:val="20"/>
          <w:lang w:val="es-AR"/>
        </w:rPr>
      </w:pPr>
      <w:r w:rsidRPr="00CA3A3D">
        <w:rPr>
          <w:rFonts w:ascii="Garamond" w:eastAsia="MS Mincho" w:hAnsi="Garamond"/>
          <w:sz w:val="20"/>
          <w:szCs w:val="20"/>
          <w:lang w:val="es-AR"/>
        </w:rPr>
        <w:t>El resultado integral total del período es una ganancia de $ 142 millones, representando un aumento del 66,1 respecto de la ganancia integral del mismo período de 2018, de $ 75,9 millones.</w:t>
      </w:r>
    </w:p>
    <w:p w14:paraId="3D03B598" w14:textId="77777777" w:rsidR="00AE32CA" w:rsidRPr="00CA0A60" w:rsidRDefault="00AE32CA">
      <w:pPr>
        <w:rPr>
          <w:lang w:val="es-AR"/>
        </w:rPr>
      </w:pPr>
      <w:r w:rsidRPr="00CA0A60">
        <w:rPr>
          <w:lang w:val="es-AR"/>
        </w:rPr>
        <w:br w:type="page"/>
      </w:r>
    </w:p>
    <w:p w14:paraId="1A38D2A1" w14:textId="77777777" w:rsidR="00354069" w:rsidRPr="00CA0A60" w:rsidRDefault="00354069" w:rsidP="00060DAB">
      <w:pPr>
        <w:widowControl w:val="0"/>
        <w:spacing w:before="120" w:after="120" w:line="240" w:lineRule="auto"/>
        <w:jc w:val="center"/>
        <w:outlineLvl w:val="0"/>
        <w:rPr>
          <w:rFonts w:ascii="Garamond" w:eastAsia="MS Mincho" w:hAnsi="Garamond" w:cs="Times New Roman"/>
          <w:sz w:val="24"/>
          <w:szCs w:val="20"/>
          <w:lang w:val="es-AR" w:eastAsia="es-ES"/>
        </w:rPr>
      </w:pPr>
      <w:bookmarkStart w:id="94" w:name="_Toc14922248"/>
      <w:r w:rsidRPr="00CA0A60">
        <w:rPr>
          <w:rFonts w:ascii="Garamond" w:eastAsia="MS Mincho" w:hAnsi="Garamond" w:cs="Times New Roman"/>
          <w:b/>
          <w:sz w:val="24"/>
          <w:szCs w:val="20"/>
          <w:lang w:val="es-AR" w:eastAsia="es-ES"/>
        </w:rPr>
        <w:lastRenderedPageBreak/>
        <w:t>DESTINO DE LOS FONDOS</w:t>
      </w:r>
      <w:bookmarkEnd w:id="94"/>
    </w:p>
    <w:p w14:paraId="3BC8F9AD" w14:textId="77777777" w:rsidR="00354069" w:rsidRPr="00CA3A3D" w:rsidRDefault="00354069" w:rsidP="00060DAB">
      <w:pPr>
        <w:spacing w:before="120" w:after="120" w:line="240" w:lineRule="auto"/>
        <w:contextualSpacing/>
        <w:rPr>
          <w:rFonts w:ascii="Garamond" w:eastAsia="MS Mincho" w:hAnsi="Garamond" w:cs="Times New Roman"/>
          <w:sz w:val="24"/>
          <w:szCs w:val="20"/>
          <w:lang w:val="es-AR" w:eastAsia="es-ES"/>
        </w:rPr>
      </w:pPr>
    </w:p>
    <w:p w14:paraId="492F6B27" w14:textId="77777777" w:rsidR="0099360D" w:rsidRPr="00CA0A60" w:rsidRDefault="0099360D" w:rsidP="0099360D">
      <w:pPr>
        <w:spacing w:before="120" w:after="120" w:line="240" w:lineRule="auto"/>
        <w:ind w:right="4"/>
        <w:contextualSpacing/>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t xml:space="preserve">Las Co-Emisoras estiman el ingreso neto esperado de fondos de la co-emisión de las Obligaciones Negociables Clase </w:t>
      </w:r>
      <w:r w:rsidRPr="00713D6E">
        <w:rPr>
          <w:rFonts w:ascii="Garamond" w:eastAsia="MS Mincho" w:hAnsi="Garamond" w:cs="Times New Roman"/>
          <w:sz w:val="20"/>
          <w:szCs w:val="20"/>
          <w:lang w:val="es-AR" w:eastAsia="es-ES"/>
        </w:rPr>
        <w:t xml:space="preserve">II en aproximadamente </w:t>
      </w:r>
      <w:r w:rsidRPr="00CA0A60">
        <w:rPr>
          <w:rFonts w:ascii="Garamond" w:eastAsia="MS Mincho" w:hAnsi="Garamond" w:cs="Times New Roman"/>
          <w:sz w:val="20"/>
          <w:szCs w:val="20"/>
          <w:lang w:val="es-AR" w:eastAsia="es-ES"/>
        </w:rPr>
        <w:t xml:space="preserve">U$S </w:t>
      </w:r>
      <w:r w:rsidRPr="00EE046E">
        <w:rPr>
          <w:rFonts w:ascii="Garamond" w:eastAsia="MS Mincho" w:hAnsi="Garamond" w:cs="Times New Roman"/>
          <w:sz w:val="20"/>
          <w:szCs w:val="20"/>
          <w:lang w:val="es-AR" w:eastAsia="es-ES"/>
        </w:rPr>
        <w:t>81.765.711</w:t>
      </w:r>
      <w:r w:rsidRPr="00CA0A60">
        <w:rPr>
          <w:rFonts w:ascii="Garamond" w:eastAsia="MS Mincho" w:hAnsi="Garamond" w:cs="Times New Roman"/>
          <w:bCs/>
          <w:sz w:val="20"/>
          <w:szCs w:val="20"/>
          <w:lang w:val="es-AR" w:eastAsia="es-AR"/>
        </w:rPr>
        <w:t xml:space="preserve"> </w:t>
      </w:r>
      <w:r w:rsidRPr="00CA0A60">
        <w:rPr>
          <w:rFonts w:ascii="Garamond" w:eastAsia="MS Mincho" w:hAnsi="Garamond" w:cs="Times New Roman"/>
          <w:sz w:val="20"/>
          <w:szCs w:val="20"/>
          <w:lang w:val="es-AR" w:eastAsia="es-ES"/>
        </w:rPr>
        <w:t>(asumiendo una emisión por un valor nominal de U$S</w:t>
      </w:r>
      <w:r>
        <w:rPr>
          <w:rFonts w:ascii="Garamond" w:eastAsia="MS Mincho" w:hAnsi="Garamond" w:cs="Times New Roman"/>
          <w:bCs/>
          <w:sz w:val="20"/>
          <w:szCs w:val="20"/>
          <w:lang w:val="es-AR" w:eastAsia="es-AR"/>
        </w:rPr>
        <w:t>85</w:t>
      </w:r>
      <w:r w:rsidRPr="00CA0A60">
        <w:rPr>
          <w:rFonts w:ascii="Garamond" w:eastAsia="MS Mincho" w:hAnsi="Garamond" w:cs="Times New Roman"/>
          <w:bCs/>
          <w:sz w:val="20"/>
          <w:szCs w:val="20"/>
          <w:lang w:val="es-AR" w:eastAsia="es-AR"/>
        </w:rPr>
        <w:t>.000.000</w:t>
      </w:r>
      <w:r w:rsidRPr="00CA0A60">
        <w:rPr>
          <w:rFonts w:ascii="Garamond" w:eastAsia="MS Mincho" w:hAnsi="Garamond" w:cs="Times New Roman"/>
          <w:sz w:val="20"/>
          <w:szCs w:val="20"/>
          <w:lang w:val="es-AR" w:eastAsia="es-ES"/>
        </w:rPr>
        <w:t xml:space="preserve">). </w:t>
      </w:r>
    </w:p>
    <w:p w14:paraId="3B2E9068" w14:textId="77777777" w:rsidR="0099360D" w:rsidRPr="00CA0A60" w:rsidRDefault="0099360D" w:rsidP="0099360D">
      <w:pPr>
        <w:spacing w:before="120" w:after="120" w:line="240" w:lineRule="auto"/>
        <w:ind w:right="4"/>
        <w:contextualSpacing/>
        <w:jc w:val="both"/>
        <w:rPr>
          <w:rFonts w:ascii="Garamond" w:eastAsia="MS Mincho" w:hAnsi="Garamond" w:cs="Times New Roman"/>
          <w:sz w:val="20"/>
          <w:szCs w:val="20"/>
          <w:lang w:val="es-AR" w:eastAsia="es-ES"/>
        </w:rPr>
      </w:pPr>
    </w:p>
    <w:p w14:paraId="0466CC70" w14:textId="77777777" w:rsidR="0099360D" w:rsidRPr="00CA0A60" w:rsidRDefault="0099360D" w:rsidP="0099360D">
      <w:pPr>
        <w:spacing w:before="120" w:after="120" w:line="240" w:lineRule="auto"/>
        <w:ind w:right="4"/>
        <w:contextualSpacing/>
        <w:jc w:val="both"/>
        <w:rPr>
          <w:rFonts w:ascii="Garamond" w:eastAsia="MS Mincho" w:hAnsi="Garamond" w:cs="Times New Roman"/>
          <w:sz w:val="20"/>
          <w:szCs w:val="20"/>
          <w:lang w:val="es-AR" w:eastAsia="es-ES"/>
        </w:rPr>
      </w:pPr>
      <w:r w:rsidRPr="00CA0A60">
        <w:rPr>
          <w:rFonts w:ascii="Garamond" w:eastAsia="MS Mincho" w:hAnsi="Garamond" w:cs="Times New Roman"/>
          <w:sz w:val="20"/>
          <w:szCs w:val="20"/>
          <w:lang w:val="es-AR" w:eastAsia="es-ES"/>
        </w:rPr>
        <w:t xml:space="preserve">Las Co-Emisoras aplicarán los fondos netos procedentes de la colocación para los destinos permitidos por el Artículo 36 de la Ley de Obligaciones Negociables, conforme el siguiente detalle: </w:t>
      </w:r>
    </w:p>
    <w:p w14:paraId="76BD9251" w14:textId="77777777" w:rsidR="0099360D" w:rsidRPr="00986ECB" w:rsidRDefault="0099360D" w:rsidP="0099360D">
      <w:pPr>
        <w:pStyle w:val="Prrafodelista"/>
        <w:numPr>
          <w:ilvl w:val="0"/>
          <w:numId w:val="306"/>
        </w:numPr>
        <w:spacing w:before="120" w:after="120" w:line="240" w:lineRule="auto"/>
        <w:ind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u w:val="single"/>
          <w:lang w:val="es-AR" w:eastAsia="es-ES"/>
        </w:rPr>
        <w:t>Con relación a la porción correspondiente a GEMSA</w:t>
      </w:r>
      <w:r w:rsidRPr="00986ECB">
        <w:rPr>
          <w:rFonts w:ascii="Garamond" w:eastAsia="MS Mincho" w:hAnsi="Garamond" w:cs="Times New Roman"/>
          <w:sz w:val="20"/>
          <w:szCs w:val="20"/>
          <w:lang w:val="es-AR" w:eastAsia="es-ES"/>
        </w:rPr>
        <w:t>:</w:t>
      </w:r>
    </w:p>
    <w:p w14:paraId="61A31F04" w14:textId="77777777" w:rsidR="0099360D" w:rsidRPr="00986ECB" w:rsidRDefault="0099360D" w:rsidP="0099360D">
      <w:pPr>
        <w:pStyle w:val="Prrafodelista"/>
        <w:spacing w:before="120" w:after="120" w:line="240" w:lineRule="auto"/>
        <w:ind w:right="4"/>
        <w:jc w:val="both"/>
        <w:rPr>
          <w:rFonts w:ascii="Garamond" w:eastAsia="MS Mincho" w:hAnsi="Garamond" w:cs="Times New Roman"/>
          <w:sz w:val="20"/>
          <w:szCs w:val="20"/>
          <w:lang w:val="es-AR" w:eastAsia="es-ES"/>
        </w:rPr>
      </w:pPr>
    </w:p>
    <w:p w14:paraId="49E9C461" w14:textId="77777777" w:rsidR="0099360D" w:rsidRDefault="0099360D" w:rsidP="0099360D">
      <w:pPr>
        <w:pStyle w:val="Prrafodelista"/>
        <w:numPr>
          <w:ilvl w:val="1"/>
          <w:numId w:val="306"/>
        </w:numPr>
        <w:spacing w:before="120" w:after="120" w:line="240" w:lineRule="auto"/>
        <w:ind w:right="4"/>
        <w:jc w:val="both"/>
        <w:rPr>
          <w:rFonts w:ascii="Garamond" w:eastAsia="MS Mincho" w:hAnsi="Garamond" w:cs="Times New Roman"/>
          <w:sz w:val="20"/>
          <w:szCs w:val="20"/>
          <w:lang w:val="es-AR" w:eastAsia="es-ES"/>
        </w:rPr>
      </w:pPr>
      <w:r>
        <w:rPr>
          <w:rFonts w:ascii="Garamond" w:eastAsia="MS Mincho" w:hAnsi="Garamond" w:cs="Times New Roman"/>
          <w:sz w:val="20"/>
          <w:szCs w:val="20"/>
          <w:lang w:val="es-AR" w:eastAsia="es-ES"/>
        </w:rPr>
        <w:t xml:space="preserve">Por un valor al menos igual al que </w:t>
      </w:r>
      <w:r w:rsidRPr="00986ECB">
        <w:rPr>
          <w:rFonts w:ascii="Garamond" w:eastAsia="MS Mincho" w:hAnsi="Garamond" w:cs="Times New Roman"/>
          <w:sz w:val="20"/>
          <w:szCs w:val="20"/>
          <w:lang w:val="es-AR" w:eastAsia="es-ES"/>
        </w:rPr>
        <w:t xml:space="preserve">resulte del proceso de Adjudicación de la Oferta Local, </w:t>
      </w:r>
      <w:r>
        <w:rPr>
          <w:rFonts w:ascii="Garamond" w:eastAsia="MS Mincho" w:hAnsi="Garamond" w:cs="Times New Roman"/>
          <w:sz w:val="20"/>
          <w:szCs w:val="20"/>
          <w:lang w:val="es-AR" w:eastAsia="es-ES"/>
        </w:rPr>
        <w:t xml:space="preserve">a </w:t>
      </w:r>
      <w:r w:rsidRPr="00044EE9">
        <w:rPr>
          <w:rFonts w:ascii="Garamond" w:eastAsia="MS Mincho" w:hAnsi="Garamond" w:cs="Times New Roman"/>
          <w:sz w:val="20"/>
          <w:szCs w:val="20"/>
          <w:lang w:val="es-AR" w:eastAsia="es-ES"/>
        </w:rPr>
        <w:t>inversiones en activos físicos y bienes de capital</w:t>
      </w:r>
      <w:r>
        <w:rPr>
          <w:rFonts w:ascii="Garamond" w:eastAsia="MS Mincho" w:hAnsi="Garamond" w:cs="Times New Roman"/>
          <w:sz w:val="20"/>
          <w:szCs w:val="20"/>
          <w:lang w:val="es-AR" w:eastAsia="es-ES"/>
        </w:rPr>
        <w:t xml:space="preserve"> que permitan la expansión de proyectos de inversión en la infraestructura de GEMSA con el objetivo de incrementar la generación de energía, según el siguiente detalle: </w:t>
      </w:r>
    </w:p>
    <w:p w14:paraId="281F949B" w14:textId="77777777" w:rsidR="0099360D" w:rsidRDefault="0099360D" w:rsidP="0099360D">
      <w:pPr>
        <w:pStyle w:val="Prrafodelista"/>
        <w:numPr>
          <w:ilvl w:val="2"/>
          <w:numId w:val="306"/>
        </w:numPr>
        <w:spacing w:before="120" w:after="120" w:line="240" w:lineRule="auto"/>
        <w:ind w:right="4"/>
        <w:jc w:val="both"/>
        <w:rPr>
          <w:rFonts w:ascii="Garamond" w:eastAsia="MS Mincho" w:hAnsi="Garamond" w:cs="Times New Roman"/>
          <w:sz w:val="20"/>
          <w:szCs w:val="20"/>
          <w:lang w:val="es-AR" w:eastAsia="es-ES"/>
        </w:rPr>
      </w:pPr>
      <w:r w:rsidRPr="00044EE9">
        <w:rPr>
          <w:rFonts w:ascii="Garamond" w:eastAsia="MS Mincho" w:hAnsi="Garamond" w:cs="Times New Roman"/>
          <w:sz w:val="20"/>
          <w:szCs w:val="20"/>
          <w:lang w:val="es-AR" w:eastAsia="es-ES"/>
        </w:rPr>
        <w:t xml:space="preserve">aproximadamente U$S </w:t>
      </w:r>
      <w:r w:rsidRPr="00044EE9">
        <w:rPr>
          <w:rFonts w:ascii="Garamond" w:eastAsia="MS Mincho" w:hAnsi="Garamond" w:cs="Times New Roman" w:hint="eastAsia"/>
          <w:color w:val="000000" w:themeColor="text1"/>
          <w:sz w:val="20"/>
          <w:szCs w:val="20"/>
          <w:lang w:val="es-AR" w:eastAsia="es-ES"/>
        </w:rPr>
        <w:t>15.</w:t>
      </w:r>
      <w:r w:rsidRPr="00044EE9">
        <w:rPr>
          <w:rFonts w:ascii="Garamond" w:eastAsia="MS Mincho" w:hAnsi="Garamond" w:cs="Times New Roman"/>
          <w:color w:val="000000" w:themeColor="text1"/>
          <w:sz w:val="20"/>
          <w:szCs w:val="20"/>
          <w:lang w:val="es-AR" w:eastAsia="es-ES"/>
        </w:rPr>
        <w:t>100.000 para cancelar en su totalidad los acuerdos de pago diferido del precio de los equipos Siemens comprados en 2016 (lo que equivale a aproximadamente 142</w:t>
      </w:r>
      <w:r>
        <w:rPr>
          <w:rFonts w:ascii="Garamond" w:eastAsia="MS Mincho" w:hAnsi="Garamond" w:cs="Times New Roman"/>
          <w:color w:val="000000" w:themeColor="text1"/>
          <w:sz w:val="20"/>
          <w:szCs w:val="20"/>
          <w:lang w:val="es-AR" w:eastAsia="es-ES"/>
        </w:rPr>
        <w:t>.</w:t>
      </w:r>
      <w:r w:rsidRPr="00044EE9">
        <w:rPr>
          <w:rFonts w:ascii="Garamond" w:eastAsia="MS Mincho" w:hAnsi="Garamond" w:cs="Times New Roman"/>
          <w:color w:val="000000" w:themeColor="text1"/>
          <w:sz w:val="20"/>
          <w:szCs w:val="20"/>
          <w:lang w:val="es-AR" w:eastAsia="es-ES"/>
        </w:rPr>
        <w:t>372</w:t>
      </w:r>
      <w:r>
        <w:rPr>
          <w:rFonts w:ascii="Garamond" w:eastAsia="MS Mincho" w:hAnsi="Garamond" w:cs="Times New Roman"/>
          <w:color w:val="000000" w:themeColor="text1"/>
          <w:sz w:val="20"/>
          <w:szCs w:val="20"/>
          <w:lang w:val="es-AR" w:eastAsia="es-ES"/>
        </w:rPr>
        <w:t>.</w:t>
      </w:r>
      <w:r w:rsidRPr="00044EE9">
        <w:rPr>
          <w:rFonts w:ascii="Garamond" w:eastAsia="MS Mincho" w:hAnsi="Garamond" w:cs="Times New Roman"/>
          <w:color w:val="000000" w:themeColor="text1"/>
          <w:sz w:val="20"/>
          <w:szCs w:val="20"/>
          <w:lang w:val="es-AR" w:eastAsia="es-ES"/>
        </w:rPr>
        <w:t xml:space="preserve">360 coronas </w:t>
      </w:r>
      <w:r w:rsidRPr="00044EE9">
        <w:rPr>
          <w:rFonts w:ascii="Garamond" w:eastAsia="MS Mincho" w:hAnsi="Garamond" w:cs="Times New Roman"/>
          <w:sz w:val="20"/>
          <w:szCs w:val="20"/>
          <w:lang w:val="es-AR" w:eastAsia="es-ES"/>
        </w:rPr>
        <w:t>suecas);</w:t>
      </w:r>
    </w:p>
    <w:p w14:paraId="5E94D034" w14:textId="77777777" w:rsidR="0099360D" w:rsidRPr="00044EE9" w:rsidRDefault="0099360D" w:rsidP="0099360D">
      <w:pPr>
        <w:pStyle w:val="Prrafodelista"/>
        <w:numPr>
          <w:ilvl w:val="2"/>
          <w:numId w:val="306"/>
        </w:numPr>
        <w:spacing w:before="120" w:after="120" w:line="240" w:lineRule="auto"/>
        <w:ind w:right="4"/>
        <w:jc w:val="both"/>
        <w:rPr>
          <w:rFonts w:ascii="Garamond" w:eastAsia="MS Mincho" w:hAnsi="Garamond" w:cs="Times New Roman"/>
          <w:sz w:val="20"/>
          <w:szCs w:val="20"/>
          <w:lang w:val="es-AR" w:eastAsia="es-ES"/>
        </w:rPr>
      </w:pPr>
      <w:r w:rsidRPr="00044EE9">
        <w:rPr>
          <w:rFonts w:ascii="Garamond" w:eastAsia="MS Mincho" w:hAnsi="Garamond" w:cs="Times New Roman"/>
          <w:sz w:val="20"/>
          <w:szCs w:val="20"/>
          <w:lang w:val="es-AR" w:eastAsia="es-ES"/>
        </w:rPr>
        <w:t>aproximadamente U$S 17.000.000 para financiar el pago de equipos a Siemens y/o a cualquiera de sus afiliadas por los proyectos de ciclo combinado; y</w:t>
      </w:r>
    </w:p>
    <w:p w14:paraId="0E044930" w14:textId="77777777" w:rsidR="0099360D" w:rsidRPr="00986ECB" w:rsidRDefault="0099360D" w:rsidP="0099360D">
      <w:pPr>
        <w:pStyle w:val="Prrafodelista"/>
        <w:numPr>
          <w:ilvl w:val="1"/>
          <w:numId w:val="306"/>
        </w:numPr>
        <w:spacing w:before="120" w:after="120" w:line="240" w:lineRule="auto"/>
        <w:ind w:left="851" w:right="4" w:hanging="28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 xml:space="preserve">Los restantes fondos podrán ser utilizados para cualquiera de los siguientes destinos: </w:t>
      </w:r>
    </w:p>
    <w:p w14:paraId="5578784C" w14:textId="77777777" w:rsidR="0099360D" w:rsidRPr="00986ECB" w:rsidRDefault="0099360D" w:rsidP="0099360D">
      <w:pPr>
        <w:pStyle w:val="Prrafodelista"/>
        <w:numPr>
          <w:ilvl w:val="2"/>
          <w:numId w:val="306"/>
        </w:numPr>
        <w:spacing w:before="120" w:after="12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Refinanciación o repago de las Obligaciones Negociables Clase VI, emitidas por GEMSA, a una tasa fija del 8% y con vencimiento el 16 de febrero de 2020 (incluyendo la posibilidad de realizar recompras de estos títulos en el mercado secundario),</w:t>
      </w:r>
    </w:p>
    <w:p w14:paraId="09ABEEDA" w14:textId="77777777" w:rsidR="0099360D" w:rsidRPr="00986ECB" w:rsidRDefault="0099360D" w:rsidP="0099360D">
      <w:pPr>
        <w:pStyle w:val="Prrafodelista"/>
        <w:numPr>
          <w:ilvl w:val="2"/>
          <w:numId w:val="306"/>
        </w:numPr>
        <w:spacing w:before="120" w:after="12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Refinanciación o repago de las Obligaciones Negociables Clase I, co-emitidas por GEMSA y CTR, a una tasa fija del 6,68% y con vencimiento el 11 de octubre de 2020 (incluyendo la posibilidad de realizar recompras de estos títulos en el mercado secundario),</w:t>
      </w:r>
    </w:p>
    <w:p w14:paraId="23F6E29C" w14:textId="77777777" w:rsidR="0099360D" w:rsidRPr="00986ECB" w:rsidRDefault="0099360D" w:rsidP="0099360D">
      <w:pPr>
        <w:pStyle w:val="Prrafodelista"/>
        <w:numPr>
          <w:ilvl w:val="2"/>
          <w:numId w:val="306"/>
        </w:numPr>
        <w:spacing w:before="120" w:after="12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Eventual refinanciación, total o parcial, de uno o más de los siguientes pasivos:</w:t>
      </w:r>
    </w:p>
    <w:p w14:paraId="5160441A" w14:textId="77777777" w:rsidR="0099360D" w:rsidRPr="00986ECB" w:rsidRDefault="0099360D" w:rsidP="0099360D">
      <w:pPr>
        <w:spacing w:before="120" w:after="12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Endeudamiento bancario de corto plazo con vencimiento durante 2019 por un monto aproximado de U$S 20.000.000, que devengan una tasa de interés de entre 7% y 13%. Estos endeudamientos fueron incurridos durante el último año con el objetivo de capital de trabajo.</w:t>
      </w:r>
    </w:p>
    <w:p w14:paraId="75217395" w14:textId="77777777" w:rsidR="0099360D" w:rsidRPr="00986ECB" w:rsidRDefault="0099360D" w:rsidP="0099360D">
      <w:pPr>
        <w:pStyle w:val="Prrafodelista"/>
        <w:spacing w:after="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 xml:space="preserve">GEMSA podrá decidir cancelar uno o más de los pasivos listados precedentemente, sin perjuicio de la posibilidad de cancelar otros pasivos existentes, dependiendo de las condiciones de mercado y de las necesidades de financiamiento de GEMSA (incluyendo financiamientos otorgados por sociedades controladas por, o vinculadas a, GEMSA).  </w:t>
      </w:r>
    </w:p>
    <w:p w14:paraId="1F5C08AD" w14:textId="77777777" w:rsidR="0099360D" w:rsidRPr="00986ECB" w:rsidRDefault="0099360D" w:rsidP="0099360D">
      <w:pPr>
        <w:pStyle w:val="Prrafodelista"/>
        <w:numPr>
          <w:ilvl w:val="2"/>
          <w:numId w:val="306"/>
        </w:numPr>
        <w:spacing w:before="120" w:after="12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 xml:space="preserve">cualquier otro destino permitido por el Artículo 36 de la Ley de Obligaciones Negociables, incluyendo, sin limitación, integración de aportes de capital en sociedades controladas o vinculadas, la adquisición de participaciones sociales y/o cuestiones de índole corporativa general; </w:t>
      </w:r>
    </w:p>
    <w:p w14:paraId="28C59DE8" w14:textId="77777777" w:rsidR="0099360D" w:rsidRPr="00986ECB" w:rsidRDefault="0099360D" w:rsidP="0099360D">
      <w:pPr>
        <w:pStyle w:val="Prrafodelista"/>
        <w:spacing w:before="120" w:after="120" w:line="240" w:lineRule="auto"/>
        <w:ind w:left="851" w:right="4"/>
        <w:jc w:val="both"/>
        <w:rPr>
          <w:rFonts w:ascii="Garamond" w:eastAsia="MS Mincho" w:hAnsi="Garamond" w:cs="Times New Roman"/>
          <w:sz w:val="20"/>
          <w:szCs w:val="20"/>
          <w:lang w:val="es-AR" w:eastAsia="es-ES"/>
        </w:rPr>
      </w:pPr>
    </w:p>
    <w:p w14:paraId="40478494" w14:textId="77777777" w:rsidR="0099360D" w:rsidRPr="00986ECB" w:rsidRDefault="0099360D" w:rsidP="0099360D">
      <w:pPr>
        <w:pStyle w:val="Prrafodelista"/>
        <w:numPr>
          <w:ilvl w:val="0"/>
          <w:numId w:val="306"/>
        </w:numPr>
        <w:spacing w:before="120" w:after="120" w:line="240" w:lineRule="auto"/>
        <w:ind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u w:val="single"/>
          <w:lang w:val="es-AR" w:eastAsia="es-ES"/>
        </w:rPr>
        <w:t>Con relación a la porción correspondiente a CTR</w:t>
      </w:r>
      <w:r w:rsidRPr="00986ECB">
        <w:rPr>
          <w:rFonts w:ascii="Garamond" w:eastAsia="MS Mincho" w:hAnsi="Garamond" w:cs="Times New Roman"/>
          <w:sz w:val="20"/>
          <w:szCs w:val="20"/>
          <w:lang w:val="es-AR" w:eastAsia="es-ES"/>
        </w:rPr>
        <w:t>:</w:t>
      </w:r>
    </w:p>
    <w:p w14:paraId="12B5FD8E" w14:textId="77777777" w:rsidR="0099360D" w:rsidRPr="00986ECB" w:rsidRDefault="0099360D" w:rsidP="0099360D">
      <w:pPr>
        <w:pStyle w:val="Prrafodelista"/>
        <w:spacing w:before="120" w:after="120" w:line="240" w:lineRule="auto"/>
        <w:ind w:right="4"/>
        <w:jc w:val="both"/>
        <w:rPr>
          <w:rFonts w:ascii="Garamond" w:eastAsia="MS Mincho" w:hAnsi="Garamond" w:cs="Times New Roman"/>
          <w:sz w:val="20"/>
          <w:szCs w:val="20"/>
          <w:lang w:val="es-AR" w:eastAsia="es-ES"/>
        </w:rPr>
      </w:pPr>
    </w:p>
    <w:p w14:paraId="6ACCF79E" w14:textId="77777777" w:rsidR="0099360D" w:rsidRPr="00986ECB" w:rsidRDefault="0099360D" w:rsidP="0099360D">
      <w:pPr>
        <w:pStyle w:val="Prrafodelista"/>
        <w:spacing w:before="120" w:after="120"/>
        <w:ind w:left="851" w:right="4"/>
        <w:jc w:val="both"/>
        <w:rPr>
          <w:rFonts w:ascii="Garamond" w:eastAsia="MS Mincho" w:hAnsi="Garamond" w:cs="Times New Roman"/>
          <w:sz w:val="20"/>
          <w:szCs w:val="20"/>
          <w:lang w:val="es-AR" w:eastAsia="es-ES"/>
        </w:rPr>
      </w:pPr>
      <w:r>
        <w:rPr>
          <w:rFonts w:ascii="Garamond" w:eastAsia="MS Mincho" w:hAnsi="Garamond" w:cs="Times New Roman"/>
          <w:sz w:val="20"/>
          <w:szCs w:val="20"/>
          <w:lang w:val="es-AR" w:eastAsia="es-ES"/>
        </w:rPr>
        <w:t>L</w:t>
      </w:r>
      <w:r w:rsidRPr="00986ECB">
        <w:rPr>
          <w:rFonts w:ascii="Garamond" w:eastAsia="MS Mincho" w:hAnsi="Garamond" w:cs="Times New Roman"/>
          <w:sz w:val="20"/>
          <w:szCs w:val="20"/>
          <w:lang w:val="es-AR" w:eastAsia="es-ES"/>
        </w:rPr>
        <w:t xml:space="preserve">os restantes fondos podrán ser utilizados para cualquiera de los siguientes destinos: </w:t>
      </w:r>
    </w:p>
    <w:p w14:paraId="544449BB" w14:textId="77777777" w:rsidR="0099360D" w:rsidRPr="00986ECB" w:rsidRDefault="0099360D" w:rsidP="0099360D">
      <w:pPr>
        <w:pStyle w:val="Prrafodelista"/>
        <w:numPr>
          <w:ilvl w:val="2"/>
          <w:numId w:val="306"/>
        </w:numPr>
        <w:spacing w:before="120" w:after="12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refinanciación o repago de las Obligaciones Negociables Clase I, co-emitidas por GEMSA y CTR, a una tasa fija del 6,68% y con vencimiento el 11 de octubre de 2020 (incluyendo la posibilidad de realizar recompras de estos títulos en el mercado secundario),</w:t>
      </w:r>
    </w:p>
    <w:p w14:paraId="5ACD62F9" w14:textId="77777777" w:rsidR="0099360D" w:rsidRPr="00986ECB" w:rsidRDefault="0099360D" w:rsidP="0099360D">
      <w:pPr>
        <w:pStyle w:val="Prrafodelista"/>
        <w:numPr>
          <w:ilvl w:val="2"/>
          <w:numId w:val="306"/>
        </w:numPr>
        <w:spacing w:before="120" w:after="12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eventual refinanciación, total o parcial, de uno o más de los siguientes pasivos:</w:t>
      </w:r>
    </w:p>
    <w:p w14:paraId="145AD4B5" w14:textId="77777777" w:rsidR="0099360D" w:rsidRPr="00986ECB" w:rsidRDefault="0099360D" w:rsidP="0099360D">
      <w:pPr>
        <w:spacing w:before="120" w:after="12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Endeudamiento bancario de corto plazo con vencimiento durante 2019 y 2020 por un monto total de USD 10.000.000, devengan una tasa de interés de entre 7% y 13%.</w:t>
      </w:r>
    </w:p>
    <w:p w14:paraId="7B9EECF5" w14:textId="77777777" w:rsidR="0099360D" w:rsidRPr="00986ECB" w:rsidRDefault="0099360D" w:rsidP="0099360D">
      <w:pPr>
        <w:pStyle w:val="Prrafodelista"/>
        <w:spacing w:after="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 xml:space="preserve">CTR podrá decidir cancelar uno o más de los pasivos listados precedentemente, sin perjuicio de la posibilidad de cancelar otros pasivos existentes, dependiendo de las condiciones de mercado y de las necesidades de financiamiento de CTR (incluyendo financiamientos otorgados por sociedades controladas por, o vinculadas a, CTR).  </w:t>
      </w:r>
    </w:p>
    <w:p w14:paraId="1AF55E9B" w14:textId="77777777" w:rsidR="0099360D" w:rsidRPr="00986ECB" w:rsidRDefault="0099360D" w:rsidP="0099360D">
      <w:pPr>
        <w:pStyle w:val="Prrafodelista"/>
        <w:numPr>
          <w:ilvl w:val="2"/>
          <w:numId w:val="306"/>
        </w:numPr>
        <w:spacing w:before="120" w:after="120" w:line="240" w:lineRule="auto"/>
        <w:ind w:left="1276" w:right="4"/>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 xml:space="preserve">cualquier otro destino permitido por el Artículo 36 de la Ley de Obligaciones Negociables, incluyendo, sin limitación, integración de aportes de capital en sociedades controladas o vinculadas, la adquisición de participaciones sociales y/o cuestiones de índole corporativa general; </w:t>
      </w:r>
    </w:p>
    <w:p w14:paraId="523B0D7D" w14:textId="77777777" w:rsidR="0099360D" w:rsidRPr="00986ECB" w:rsidRDefault="0099360D" w:rsidP="0099360D">
      <w:pPr>
        <w:spacing w:before="120" w:after="120" w:line="240" w:lineRule="auto"/>
        <w:ind w:right="4"/>
        <w:contextualSpacing/>
        <w:jc w:val="both"/>
        <w:rPr>
          <w:rFonts w:ascii="Garamond" w:eastAsia="MS Mincho" w:hAnsi="Garamond" w:cs="Times New Roman"/>
          <w:sz w:val="20"/>
          <w:szCs w:val="20"/>
          <w:lang w:val="es-AR" w:eastAsia="es-ES"/>
        </w:rPr>
      </w:pPr>
    </w:p>
    <w:p w14:paraId="3E81628E" w14:textId="77777777" w:rsidR="0099360D" w:rsidRPr="00986ECB" w:rsidRDefault="0099360D" w:rsidP="0099360D">
      <w:pPr>
        <w:spacing w:before="120" w:after="120" w:line="240" w:lineRule="auto"/>
        <w:ind w:right="4"/>
        <w:contextualSpacing/>
        <w:jc w:val="both"/>
        <w:rPr>
          <w:rFonts w:ascii="Garamond" w:eastAsia="MS Mincho" w:hAnsi="Garamond" w:cs="Times New Roman"/>
          <w:sz w:val="16"/>
          <w:szCs w:val="16"/>
          <w:lang w:val="es-AR" w:eastAsia="es-ES"/>
        </w:rPr>
      </w:pPr>
    </w:p>
    <w:p w14:paraId="04AEBBE1" w14:textId="77777777" w:rsidR="0099360D" w:rsidRPr="00986ECB" w:rsidRDefault="0099360D" w:rsidP="0099360D">
      <w:pPr>
        <w:spacing w:before="120" w:after="120" w:line="240" w:lineRule="auto"/>
        <w:ind w:right="4"/>
        <w:contextualSpacing/>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lastRenderedPageBreak/>
        <w:t>Cada una de las Co-Emisoras recibirá solamente parte de los fondos obtenidos de la colocación de las Obligaciones Negociables, sin perjuicio de lo cual será responsable solidariamente con la otra Co-Emisora por el monto total efectivamente colocado.</w:t>
      </w:r>
    </w:p>
    <w:p w14:paraId="3E6A557E" w14:textId="77777777" w:rsidR="0099360D" w:rsidRPr="00986ECB" w:rsidRDefault="0099360D" w:rsidP="0099360D">
      <w:pPr>
        <w:spacing w:before="120" w:after="120" w:line="240" w:lineRule="auto"/>
        <w:ind w:right="4"/>
        <w:contextualSpacing/>
        <w:jc w:val="both"/>
        <w:rPr>
          <w:rFonts w:ascii="Garamond" w:eastAsia="MS Mincho" w:hAnsi="Garamond" w:cs="Times New Roman"/>
          <w:sz w:val="20"/>
          <w:szCs w:val="20"/>
          <w:lang w:val="es-AR" w:eastAsia="es-ES"/>
        </w:rPr>
      </w:pPr>
    </w:p>
    <w:p w14:paraId="105EA9CE" w14:textId="77777777" w:rsidR="0099360D" w:rsidRPr="00986ECB" w:rsidRDefault="0099360D" w:rsidP="0099360D">
      <w:pPr>
        <w:spacing w:before="120" w:after="120" w:line="240" w:lineRule="auto"/>
        <w:ind w:right="4"/>
        <w:contextualSpacing/>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El monto de fondos netos previsto en esta sección es estimado, y los fondos netos que efectivamente reciban las Co-Emisoras dependerá del monto efectivamente colocado, de la cantidad de Obligaciones Negociables que sean suscriptas y del monto definitivo de los gastos incurridos en la co-emisión y colocación, algunos de los cuales a la fecha son estimativos y oportunamente se informarán en el informe de costos de la emisión. La aplicación de los ingresos netos se hará de acuerdo a lo informado en esta sección, no habiéndose determinado a la fecha la aplicación definitiva de los mismos. El uso de los fondos será informado oportunamente mediante el informe de destino de los fondos elaborados por los auditores.</w:t>
      </w:r>
    </w:p>
    <w:p w14:paraId="1AA4EDF3" w14:textId="77777777" w:rsidR="0099360D" w:rsidRPr="00986ECB" w:rsidRDefault="0099360D" w:rsidP="0099360D">
      <w:pPr>
        <w:spacing w:before="120" w:after="120" w:line="240" w:lineRule="auto"/>
        <w:ind w:right="4"/>
        <w:contextualSpacing/>
        <w:jc w:val="both"/>
        <w:rPr>
          <w:rFonts w:ascii="Garamond" w:eastAsia="MS Mincho" w:hAnsi="Garamond" w:cs="Times New Roman"/>
          <w:sz w:val="20"/>
          <w:szCs w:val="20"/>
          <w:lang w:val="es-AR" w:eastAsia="es-ES"/>
        </w:rPr>
      </w:pPr>
    </w:p>
    <w:p w14:paraId="444939E6" w14:textId="77777777" w:rsidR="0099360D" w:rsidRPr="00CA0A60" w:rsidRDefault="0099360D" w:rsidP="0099360D">
      <w:pPr>
        <w:spacing w:before="120" w:after="120" w:line="240" w:lineRule="auto"/>
        <w:contextualSpacing/>
        <w:jc w:val="both"/>
        <w:rPr>
          <w:rFonts w:ascii="Garamond" w:eastAsia="MS Mincho" w:hAnsi="Garamond" w:cs="Times New Roman"/>
          <w:sz w:val="20"/>
          <w:szCs w:val="20"/>
          <w:lang w:val="es-AR" w:eastAsia="es-ES"/>
        </w:rPr>
      </w:pPr>
      <w:r w:rsidRPr="00986ECB">
        <w:rPr>
          <w:rFonts w:ascii="Garamond" w:eastAsia="MS Mincho" w:hAnsi="Garamond" w:cs="Times New Roman"/>
          <w:sz w:val="20"/>
          <w:szCs w:val="20"/>
          <w:lang w:val="es-AR" w:eastAsia="es-ES"/>
        </w:rPr>
        <w:t>Mientras se encuentre pendiente de aplicación, las Co-Emisoras prevén invertir los fondos netos de la co-emisión en instrumentos financieros líquidos de alta calidad y en otras inversiones de corto plazo.</w:t>
      </w:r>
    </w:p>
    <w:p w14:paraId="34D89257" w14:textId="4734EC9B" w:rsidR="00354069" w:rsidRPr="00713D6E" w:rsidRDefault="00D82CFA" w:rsidP="00060DAB">
      <w:pPr>
        <w:widowControl w:val="0"/>
        <w:spacing w:before="120" w:after="120" w:line="240" w:lineRule="auto"/>
        <w:jc w:val="center"/>
        <w:outlineLvl w:val="0"/>
        <w:rPr>
          <w:rFonts w:ascii="Garamond" w:eastAsia="MS Mincho" w:hAnsi="Garamond" w:cs="Times New Roman"/>
          <w:sz w:val="24"/>
          <w:szCs w:val="20"/>
          <w:lang w:val="es-AR" w:eastAsia="es-ES"/>
        </w:rPr>
      </w:pPr>
      <w:r w:rsidRPr="00CA3A3D">
        <w:rPr>
          <w:rFonts w:ascii="Garamond" w:eastAsia="MS Mincho" w:hAnsi="Garamond" w:cs="Times New Roman"/>
          <w:sz w:val="24"/>
          <w:szCs w:val="20"/>
          <w:lang w:val="es-AR" w:eastAsia="es-ES"/>
        </w:rPr>
        <w:br w:type="page"/>
      </w:r>
      <w:bookmarkStart w:id="95" w:name="_Toc14922249"/>
      <w:r w:rsidR="00354069" w:rsidRPr="00CA0A60">
        <w:rPr>
          <w:rFonts w:ascii="Garamond" w:eastAsia="MS Mincho" w:hAnsi="Garamond" w:cs="Times New Roman"/>
          <w:b/>
          <w:sz w:val="24"/>
          <w:szCs w:val="20"/>
          <w:lang w:val="es-AR" w:eastAsia="es-ES"/>
        </w:rPr>
        <w:lastRenderedPageBreak/>
        <w:t>GASTOS DE EMISIÓN</w:t>
      </w:r>
      <w:bookmarkEnd w:id="95"/>
    </w:p>
    <w:p w14:paraId="49635555" w14:textId="77777777" w:rsidR="00354069" w:rsidRPr="00CA3A3D" w:rsidRDefault="00354069" w:rsidP="00060DAB">
      <w:pPr>
        <w:spacing w:before="120" w:after="120" w:line="240" w:lineRule="auto"/>
        <w:rPr>
          <w:rFonts w:ascii="Garamond" w:eastAsia="MS Mincho" w:hAnsi="Garamond" w:cs="Times New Roman"/>
          <w:sz w:val="24"/>
          <w:szCs w:val="20"/>
          <w:lang w:val="es-AR" w:eastAsia="es-ES"/>
        </w:rPr>
      </w:pPr>
    </w:p>
    <w:p w14:paraId="1D915F57" w14:textId="77777777" w:rsidR="0014256C" w:rsidRPr="00CA3A3D" w:rsidRDefault="0014256C" w:rsidP="0014256C">
      <w:pPr>
        <w:pStyle w:val="Default"/>
        <w:spacing w:before="120" w:after="120"/>
        <w:jc w:val="both"/>
        <w:rPr>
          <w:lang w:val="es-AR"/>
        </w:rPr>
      </w:pPr>
      <w:r w:rsidRPr="00CA0A60">
        <w:rPr>
          <w:color w:val="auto"/>
          <w:sz w:val="20"/>
          <w:szCs w:val="20"/>
          <w:lang w:val="es-AR"/>
        </w:rPr>
        <w:t>Se estima que los gastos totales de la emisión serán de</w:t>
      </w:r>
      <w:r w:rsidRPr="00713D6E">
        <w:rPr>
          <w:color w:val="auto"/>
          <w:sz w:val="20"/>
          <w:szCs w:val="20"/>
          <w:lang w:val="es-AR"/>
        </w:rPr>
        <w:t xml:space="preserve"> hasta </w:t>
      </w:r>
      <w:r w:rsidRPr="00CA0A60">
        <w:rPr>
          <w:color w:val="auto"/>
          <w:sz w:val="20"/>
          <w:szCs w:val="20"/>
          <w:lang w:val="es-AR"/>
        </w:rPr>
        <w:t>U$S</w:t>
      </w:r>
      <w:r>
        <w:rPr>
          <w:rFonts w:hint="eastAsia"/>
          <w:color w:val="auto"/>
          <w:sz w:val="20"/>
          <w:szCs w:val="20"/>
          <w:lang w:val="es-AR"/>
        </w:rPr>
        <w:t>3</w:t>
      </w:r>
      <w:r>
        <w:rPr>
          <w:color w:val="auto"/>
          <w:sz w:val="20"/>
          <w:szCs w:val="20"/>
          <w:lang w:val="es-AR"/>
        </w:rPr>
        <w:t>.234.289,00</w:t>
      </w:r>
      <w:r w:rsidRPr="00CA0A60">
        <w:rPr>
          <w:rFonts w:hint="eastAsia"/>
          <w:color w:val="auto"/>
          <w:sz w:val="20"/>
          <w:szCs w:val="20"/>
          <w:lang w:val="es-AR"/>
        </w:rPr>
        <w:t xml:space="preserve"> (Dólares </w:t>
      </w:r>
      <w:r w:rsidRPr="00CA0A60">
        <w:rPr>
          <w:color w:val="auto"/>
          <w:sz w:val="20"/>
          <w:szCs w:val="20"/>
          <w:lang w:val="es-AR"/>
        </w:rPr>
        <w:t>Estadounidenses</w:t>
      </w:r>
      <w:r>
        <w:rPr>
          <w:color w:val="auto"/>
          <w:sz w:val="20"/>
          <w:szCs w:val="20"/>
          <w:lang w:val="es-AR"/>
        </w:rPr>
        <w:t xml:space="preserve"> </w:t>
      </w:r>
      <w:r>
        <w:rPr>
          <w:rFonts w:hint="eastAsia"/>
          <w:color w:val="auto"/>
          <w:sz w:val="20"/>
          <w:szCs w:val="20"/>
          <w:lang w:val="es-AR"/>
        </w:rPr>
        <w:t>tres millones</w:t>
      </w:r>
      <w:r>
        <w:rPr>
          <w:color w:val="auto"/>
          <w:sz w:val="20"/>
          <w:szCs w:val="20"/>
          <w:lang w:val="es-AR"/>
        </w:rPr>
        <w:t xml:space="preserve"> doscientos treinta y cuatro mil doscientos ochenta y nueve</w:t>
      </w:r>
      <w:r w:rsidRPr="00CA0A60">
        <w:rPr>
          <w:rFonts w:hint="eastAsia"/>
          <w:color w:val="auto"/>
          <w:sz w:val="20"/>
          <w:szCs w:val="20"/>
          <w:lang w:val="es-AR"/>
        </w:rPr>
        <w:t>).</w:t>
      </w:r>
    </w:p>
    <w:p w14:paraId="6D0360F9" w14:textId="0C4BCA52" w:rsidR="0014256C" w:rsidRDefault="0014256C" w:rsidP="0014256C">
      <w:pPr>
        <w:pStyle w:val="Default"/>
        <w:spacing w:before="120" w:after="120"/>
        <w:jc w:val="both"/>
        <w:rPr>
          <w:color w:val="auto"/>
          <w:sz w:val="20"/>
          <w:szCs w:val="20"/>
          <w:lang w:val="es-AR"/>
        </w:rPr>
      </w:pPr>
      <w:r w:rsidRPr="00CA0A60">
        <w:rPr>
          <w:color w:val="auto"/>
          <w:sz w:val="20"/>
          <w:szCs w:val="20"/>
          <w:lang w:val="es-AR"/>
        </w:rPr>
        <w:t xml:space="preserve">Los gastos antes mencionados no incluyen IVA y fueron calculados sobre el estimado de una colocación de U$S </w:t>
      </w:r>
      <w:r>
        <w:rPr>
          <w:rFonts w:hint="eastAsia"/>
          <w:color w:val="auto"/>
          <w:sz w:val="20"/>
          <w:szCs w:val="20"/>
          <w:lang w:val="es-AR"/>
        </w:rPr>
        <w:t>85.</w:t>
      </w:r>
      <w:r>
        <w:rPr>
          <w:color w:val="auto"/>
          <w:sz w:val="20"/>
          <w:szCs w:val="20"/>
          <w:lang w:val="es-AR"/>
        </w:rPr>
        <w:t>000.000,00</w:t>
      </w:r>
      <w:r w:rsidRPr="00CA0A60">
        <w:rPr>
          <w:color w:val="auto"/>
          <w:sz w:val="20"/>
          <w:szCs w:val="20"/>
          <w:lang w:val="es-AR"/>
        </w:rPr>
        <w:t xml:space="preserve"> (Dólares Estadunidenses </w:t>
      </w:r>
      <w:r>
        <w:rPr>
          <w:rFonts w:hint="eastAsia"/>
          <w:color w:val="auto"/>
          <w:sz w:val="20"/>
          <w:szCs w:val="20"/>
          <w:lang w:val="es-AR"/>
        </w:rPr>
        <w:t>ochenta y cinco millones</w:t>
      </w:r>
      <w:r w:rsidRPr="00CA0A60">
        <w:rPr>
          <w:rFonts w:hint="eastAsia"/>
          <w:color w:val="auto"/>
          <w:sz w:val="20"/>
          <w:szCs w:val="20"/>
          <w:lang w:val="es-AR"/>
        </w:rPr>
        <w:t>).</w:t>
      </w:r>
    </w:p>
    <w:p w14:paraId="35AC1E87" w14:textId="77777777" w:rsidR="0014256C" w:rsidRPr="00CA0A60" w:rsidRDefault="0014256C" w:rsidP="0014256C">
      <w:pPr>
        <w:pStyle w:val="Default"/>
        <w:spacing w:before="120" w:after="120"/>
        <w:jc w:val="both"/>
        <w:rPr>
          <w:color w:val="auto"/>
          <w:sz w:val="20"/>
          <w:szCs w:val="20"/>
          <w:lang w:val="es-AR"/>
        </w:rPr>
      </w:pPr>
      <w:r>
        <w:rPr>
          <w:color w:val="auto"/>
          <w:sz w:val="20"/>
          <w:szCs w:val="20"/>
          <w:lang w:val="es-AR"/>
        </w:rPr>
        <w:t xml:space="preserve">Para la estimación se tomó un tipo de cambio de ARS/USD 42,81 </w:t>
      </w:r>
    </w:p>
    <w:p w14:paraId="271BF471" w14:textId="06EE628B" w:rsidR="0014256C" w:rsidRPr="00CA0A60" w:rsidRDefault="0014256C" w:rsidP="0014256C">
      <w:pPr>
        <w:pStyle w:val="Default"/>
        <w:spacing w:before="120" w:after="120"/>
        <w:jc w:val="both"/>
        <w:rPr>
          <w:color w:val="auto"/>
          <w:sz w:val="20"/>
          <w:szCs w:val="20"/>
          <w:lang w:val="es-AR"/>
        </w:rPr>
      </w:pPr>
      <w:r w:rsidRPr="00CA0A60">
        <w:rPr>
          <w:color w:val="auto"/>
          <w:sz w:val="20"/>
          <w:szCs w:val="20"/>
          <w:lang w:val="es-AR"/>
        </w:rPr>
        <w:t xml:space="preserve">Los gastos totales de la emisión estarán a cargo de las Co-Emisoras en proporción y según el porcentaje que reciba cada una del producido de las Obligaciones Negociables, es decir, GEMSA afrontará el </w:t>
      </w:r>
      <w:r>
        <w:rPr>
          <w:color w:val="auto"/>
          <w:sz w:val="20"/>
          <w:szCs w:val="20"/>
          <w:lang w:val="es-AR"/>
        </w:rPr>
        <w:t>90</w:t>
      </w:r>
      <w:r w:rsidRPr="00CA0A60">
        <w:rPr>
          <w:rFonts w:hint="eastAsia"/>
          <w:color w:val="auto"/>
          <w:sz w:val="20"/>
          <w:szCs w:val="20"/>
          <w:lang w:val="es-AR"/>
        </w:rPr>
        <w:t>%,</w:t>
      </w:r>
      <w:r w:rsidRPr="00CA0A60">
        <w:rPr>
          <w:color w:val="auto"/>
          <w:sz w:val="20"/>
          <w:szCs w:val="20"/>
          <w:lang w:val="es-AR"/>
        </w:rPr>
        <w:t xml:space="preserve"> y CTR el </w:t>
      </w:r>
      <w:r>
        <w:rPr>
          <w:rFonts w:hint="eastAsia"/>
          <w:color w:val="auto"/>
          <w:sz w:val="20"/>
          <w:szCs w:val="20"/>
          <w:lang w:val="es-AR"/>
        </w:rPr>
        <w:t>10</w:t>
      </w:r>
      <w:r w:rsidRPr="00CA0A60">
        <w:rPr>
          <w:rFonts w:hint="eastAsia"/>
          <w:color w:val="auto"/>
          <w:sz w:val="20"/>
          <w:szCs w:val="20"/>
          <w:lang w:val="es-AR"/>
        </w:rPr>
        <w:t>%</w:t>
      </w:r>
      <w:r w:rsidRPr="00CA0A60">
        <w:rPr>
          <w:color w:val="auto"/>
          <w:sz w:val="20"/>
          <w:szCs w:val="20"/>
          <w:lang w:val="es-AR"/>
        </w:rPr>
        <w:t xml:space="preserve"> de los gastos y comisiones de la emisión.</w:t>
      </w:r>
      <w:r w:rsidRPr="005F4C27">
        <w:rPr>
          <w:sz w:val="20"/>
          <w:szCs w:val="20"/>
        </w:rPr>
        <w:t xml:space="preserve"> </w:t>
      </w:r>
    </w:p>
    <w:tbl>
      <w:tblPr>
        <w:tblW w:w="8222" w:type="dxa"/>
        <w:tblCellMar>
          <w:left w:w="70" w:type="dxa"/>
          <w:right w:w="70" w:type="dxa"/>
        </w:tblCellMar>
        <w:tblLook w:val="04A0" w:firstRow="1" w:lastRow="0" w:firstColumn="1" w:lastColumn="0" w:noHBand="0" w:noVBand="1"/>
      </w:tblPr>
      <w:tblGrid>
        <w:gridCol w:w="5103"/>
        <w:gridCol w:w="1276"/>
        <w:gridCol w:w="1843"/>
      </w:tblGrid>
      <w:tr w:rsidR="0014256C" w:rsidRPr="005F4C27" w14:paraId="13579559" w14:textId="77777777" w:rsidTr="0034558A">
        <w:trPr>
          <w:trHeight w:val="255"/>
        </w:trPr>
        <w:tc>
          <w:tcPr>
            <w:tcW w:w="5103" w:type="dxa"/>
            <w:tcBorders>
              <w:top w:val="nil"/>
              <w:left w:val="nil"/>
              <w:bottom w:val="nil"/>
              <w:right w:val="nil"/>
            </w:tcBorders>
            <w:shd w:val="clear" w:color="000000" w:fill="FFFFFF"/>
            <w:noWrap/>
            <w:vAlign w:val="bottom"/>
            <w:hideMark/>
          </w:tcPr>
          <w:p w14:paraId="767D4CE4" w14:textId="77777777" w:rsidR="0014256C" w:rsidRPr="00825692" w:rsidRDefault="0014256C" w:rsidP="007F68D1">
            <w:pPr>
              <w:spacing w:after="0" w:line="240" w:lineRule="auto"/>
              <w:jc w:val="center"/>
              <w:rPr>
                <w:rFonts w:ascii="Garamond" w:eastAsia="Times New Roman" w:hAnsi="Garamond" w:cs="Arial"/>
                <w:b/>
                <w:bCs/>
                <w:color w:val="000000"/>
                <w:sz w:val="20"/>
                <w:szCs w:val="20"/>
                <w:lang w:val="es-AR" w:eastAsia="es-AR"/>
              </w:rPr>
            </w:pPr>
            <w:r w:rsidRPr="00825692">
              <w:rPr>
                <w:rFonts w:ascii="Garamond" w:eastAsia="Times New Roman" w:hAnsi="Garamond" w:cs="Arial"/>
                <w:b/>
                <w:bCs/>
                <w:color w:val="000000"/>
                <w:sz w:val="20"/>
                <w:szCs w:val="20"/>
                <w:lang w:val="es-AR" w:eastAsia="es-AR"/>
              </w:rPr>
              <w:t>Concepto</w:t>
            </w:r>
          </w:p>
        </w:tc>
        <w:tc>
          <w:tcPr>
            <w:tcW w:w="1276" w:type="dxa"/>
            <w:tcBorders>
              <w:top w:val="nil"/>
              <w:left w:val="nil"/>
              <w:bottom w:val="nil"/>
              <w:right w:val="nil"/>
            </w:tcBorders>
            <w:shd w:val="clear" w:color="000000" w:fill="FFFFFF"/>
            <w:noWrap/>
            <w:vAlign w:val="bottom"/>
            <w:hideMark/>
          </w:tcPr>
          <w:p w14:paraId="3FFBCFB9" w14:textId="77777777" w:rsidR="0014256C" w:rsidRPr="00825692" w:rsidRDefault="0014256C" w:rsidP="007F68D1">
            <w:pPr>
              <w:spacing w:after="0" w:line="240" w:lineRule="auto"/>
              <w:jc w:val="center"/>
              <w:rPr>
                <w:rFonts w:ascii="Garamond" w:eastAsia="Times New Roman" w:hAnsi="Garamond" w:cs="Arial"/>
                <w:b/>
                <w:bCs/>
                <w:color w:val="000000"/>
                <w:sz w:val="20"/>
                <w:szCs w:val="20"/>
                <w:lang w:val="es-AR" w:eastAsia="es-AR"/>
              </w:rPr>
            </w:pPr>
            <w:r w:rsidRPr="00825692">
              <w:rPr>
                <w:rFonts w:ascii="Garamond" w:eastAsia="Times New Roman" w:hAnsi="Garamond" w:cs="Arial"/>
                <w:b/>
                <w:bCs/>
                <w:color w:val="000000"/>
                <w:sz w:val="20"/>
                <w:szCs w:val="20"/>
                <w:lang w:val="es-AR" w:eastAsia="es-AR"/>
              </w:rPr>
              <w:t>Monto</w:t>
            </w:r>
          </w:p>
        </w:tc>
        <w:tc>
          <w:tcPr>
            <w:tcW w:w="1843" w:type="dxa"/>
            <w:tcBorders>
              <w:top w:val="nil"/>
              <w:left w:val="nil"/>
              <w:bottom w:val="nil"/>
              <w:right w:val="nil"/>
            </w:tcBorders>
            <w:shd w:val="clear" w:color="000000" w:fill="FFFFFF"/>
            <w:noWrap/>
            <w:vAlign w:val="bottom"/>
            <w:hideMark/>
          </w:tcPr>
          <w:p w14:paraId="3A5CC0A7" w14:textId="77777777" w:rsidR="0014256C" w:rsidRPr="00825692" w:rsidRDefault="0014256C" w:rsidP="007F68D1">
            <w:pPr>
              <w:spacing w:after="0" w:line="240" w:lineRule="auto"/>
              <w:jc w:val="center"/>
              <w:rPr>
                <w:rFonts w:ascii="Garamond" w:eastAsia="Times New Roman" w:hAnsi="Garamond" w:cs="Arial"/>
                <w:b/>
                <w:bCs/>
                <w:color w:val="000000"/>
                <w:sz w:val="20"/>
                <w:szCs w:val="20"/>
                <w:lang w:val="es-AR" w:eastAsia="es-AR"/>
              </w:rPr>
            </w:pPr>
            <w:r w:rsidRPr="00825692">
              <w:rPr>
                <w:rFonts w:ascii="Garamond" w:eastAsia="Times New Roman" w:hAnsi="Garamond" w:cs="Arial"/>
                <w:b/>
                <w:bCs/>
                <w:color w:val="000000"/>
                <w:sz w:val="20"/>
                <w:szCs w:val="20"/>
                <w:lang w:val="es-AR" w:eastAsia="es-AR"/>
              </w:rPr>
              <w:t>Incidencia sobre el monto a emitir</w:t>
            </w:r>
          </w:p>
        </w:tc>
      </w:tr>
      <w:tr w:rsidR="0014256C" w:rsidRPr="005F4C27" w14:paraId="52154CD9" w14:textId="77777777" w:rsidTr="0034558A">
        <w:trPr>
          <w:trHeight w:val="255"/>
        </w:trPr>
        <w:tc>
          <w:tcPr>
            <w:tcW w:w="5103" w:type="dxa"/>
            <w:tcBorders>
              <w:top w:val="nil"/>
              <w:left w:val="nil"/>
              <w:bottom w:val="nil"/>
              <w:right w:val="nil"/>
            </w:tcBorders>
            <w:shd w:val="clear" w:color="000000" w:fill="FFFFFF"/>
            <w:noWrap/>
            <w:vAlign w:val="bottom"/>
            <w:hideMark/>
          </w:tcPr>
          <w:p w14:paraId="2209202C" w14:textId="77777777" w:rsidR="0014256C" w:rsidRPr="00825692" w:rsidRDefault="0014256C" w:rsidP="007F68D1">
            <w:pPr>
              <w:spacing w:after="0" w:line="240" w:lineRule="auto"/>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 </w:t>
            </w:r>
          </w:p>
        </w:tc>
        <w:tc>
          <w:tcPr>
            <w:tcW w:w="1276" w:type="dxa"/>
            <w:tcBorders>
              <w:top w:val="nil"/>
              <w:left w:val="nil"/>
              <w:bottom w:val="nil"/>
              <w:right w:val="nil"/>
            </w:tcBorders>
            <w:shd w:val="clear" w:color="000000" w:fill="FFFFFF"/>
            <w:noWrap/>
            <w:vAlign w:val="bottom"/>
            <w:hideMark/>
          </w:tcPr>
          <w:p w14:paraId="5323EB3C" w14:textId="77777777" w:rsidR="0014256C" w:rsidRPr="00825692" w:rsidRDefault="0014256C" w:rsidP="007F68D1">
            <w:pPr>
              <w:spacing w:after="0" w:line="240" w:lineRule="auto"/>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 </w:t>
            </w:r>
          </w:p>
        </w:tc>
        <w:tc>
          <w:tcPr>
            <w:tcW w:w="1843" w:type="dxa"/>
            <w:tcBorders>
              <w:top w:val="nil"/>
              <w:left w:val="nil"/>
              <w:bottom w:val="nil"/>
              <w:right w:val="nil"/>
            </w:tcBorders>
            <w:shd w:val="clear" w:color="000000" w:fill="FFFFFF"/>
            <w:noWrap/>
            <w:vAlign w:val="bottom"/>
            <w:hideMark/>
          </w:tcPr>
          <w:p w14:paraId="24043FEE" w14:textId="77777777" w:rsidR="0014256C" w:rsidRPr="00825692" w:rsidRDefault="0014256C" w:rsidP="007F68D1">
            <w:pPr>
              <w:spacing w:after="0" w:line="240" w:lineRule="auto"/>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 </w:t>
            </w:r>
          </w:p>
        </w:tc>
      </w:tr>
      <w:tr w:rsidR="0014256C" w:rsidRPr="005F4C27" w14:paraId="64B4A64E" w14:textId="77777777" w:rsidTr="0034558A">
        <w:trPr>
          <w:trHeight w:val="255"/>
        </w:trPr>
        <w:tc>
          <w:tcPr>
            <w:tcW w:w="5103" w:type="dxa"/>
            <w:tcBorders>
              <w:top w:val="nil"/>
              <w:left w:val="nil"/>
              <w:bottom w:val="nil"/>
              <w:right w:val="nil"/>
            </w:tcBorders>
            <w:shd w:val="clear" w:color="000000" w:fill="FFFFFF"/>
            <w:noWrap/>
            <w:vAlign w:val="bottom"/>
            <w:hideMark/>
          </w:tcPr>
          <w:p w14:paraId="1632144D" w14:textId="77777777" w:rsidR="0014256C" w:rsidRPr="00825692" w:rsidRDefault="0014256C" w:rsidP="007F68D1">
            <w:pPr>
              <w:spacing w:after="0" w:line="240" w:lineRule="auto"/>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Comisiones de los Agentes Colocadores y Organizadores:</w:t>
            </w:r>
          </w:p>
        </w:tc>
        <w:tc>
          <w:tcPr>
            <w:tcW w:w="1276" w:type="dxa"/>
            <w:tcBorders>
              <w:top w:val="nil"/>
              <w:left w:val="nil"/>
              <w:bottom w:val="nil"/>
              <w:right w:val="nil"/>
            </w:tcBorders>
            <w:shd w:val="clear" w:color="000000" w:fill="FFFFFF"/>
            <w:noWrap/>
            <w:vAlign w:val="bottom"/>
            <w:hideMark/>
          </w:tcPr>
          <w:p w14:paraId="1A417DEE"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1.775.000</w:t>
            </w:r>
          </w:p>
        </w:tc>
        <w:tc>
          <w:tcPr>
            <w:tcW w:w="1843" w:type="dxa"/>
            <w:tcBorders>
              <w:top w:val="nil"/>
              <w:left w:val="nil"/>
              <w:bottom w:val="nil"/>
              <w:right w:val="nil"/>
            </w:tcBorders>
            <w:shd w:val="clear" w:color="000000" w:fill="FFFFFF"/>
            <w:noWrap/>
            <w:vAlign w:val="bottom"/>
            <w:hideMark/>
          </w:tcPr>
          <w:p w14:paraId="5D88D087"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2,09%</w:t>
            </w:r>
          </w:p>
        </w:tc>
      </w:tr>
      <w:tr w:rsidR="0014256C" w:rsidRPr="005F4C27" w14:paraId="4155E0AE" w14:textId="77777777" w:rsidTr="0034558A">
        <w:trPr>
          <w:trHeight w:val="255"/>
        </w:trPr>
        <w:tc>
          <w:tcPr>
            <w:tcW w:w="5103" w:type="dxa"/>
            <w:tcBorders>
              <w:top w:val="nil"/>
              <w:left w:val="nil"/>
              <w:bottom w:val="nil"/>
              <w:right w:val="nil"/>
            </w:tcBorders>
            <w:shd w:val="clear" w:color="000000" w:fill="FFFFFF"/>
            <w:noWrap/>
            <w:vAlign w:val="bottom"/>
            <w:hideMark/>
          </w:tcPr>
          <w:p w14:paraId="015CE152" w14:textId="77777777" w:rsidR="0014256C" w:rsidRPr="00825692" w:rsidRDefault="0014256C" w:rsidP="007F68D1">
            <w:pPr>
              <w:spacing w:after="0" w:line="240" w:lineRule="auto"/>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Honorarios legales / Contables / Administrativos:</w:t>
            </w:r>
          </w:p>
        </w:tc>
        <w:tc>
          <w:tcPr>
            <w:tcW w:w="1276" w:type="dxa"/>
            <w:tcBorders>
              <w:top w:val="nil"/>
              <w:left w:val="nil"/>
              <w:bottom w:val="nil"/>
              <w:right w:val="nil"/>
            </w:tcBorders>
            <w:shd w:val="clear" w:color="000000" w:fill="FFFFFF"/>
            <w:noWrap/>
            <w:vAlign w:val="bottom"/>
            <w:hideMark/>
          </w:tcPr>
          <w:p w14:paraId="633CB83D"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1.048.133</w:t>
            </w:r>
          </w:p>
        </w:tc>
        <w:tc>
          <w:tcPr>
            <w:tcW w:w="1843" w:type="dxa"/>
            <w:tcBorders>
              <w:top w:val="nil"/>
              <w:left w:val="nil"/>
              <w:bottom w:val="nil"/>
              <w:right w:val="nil"/>
            </w:tcBorders>
            <w:shd w:val="clear" w:color="000000" w:fill="FFFFFF"/>
            <w:noWrap/>
            <w:vAlign w:val="bottom"/>
            <w:hideMark/>
          </w:tcPr>
          <w:p w14:paraId="2B74F7DF"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1,23%</w:t>
            </w:r>
          </w:p>
        </w:tc>
      </w:tr>
      <w:tr w:rsidR="0014256C" w:rsidRPr="005F4C27" w14:paraId="245CEC2D" w14:textId="77777777" w:rsidTr="0034558A">
        <w:trPr>
          <w:trHeight w:val="255"/>
        </w:trPr>
        <w:tc>
          <w:tcPr>
            <w:tcW w:w="5103" w:type="dxa"/>
            <w:tcBorders>
              <w:top w:val="nil"/>
              <w:left w:val="nil"/>
              <w:bottom w:val="nil"/>
              <w:right w:val="nil"/>
            </w:tcBorders>
            <w:shd w:val="clear" w:color="000000" w:fill="FFFFFF"/>
            <w:noWrap/>
            <w:vAlign w:val="bottom"/>
            <w:hideMark/>
          </w:tcPr>
          <w:p w14:paraId="169955AB" w14:textId="77777777" w:rsidR="0014256C" w:rsidRPr="00825692" w:rsidRDefault="0014256C" w:rsidP="007F68D1">
            <w:pPr>
              <w:spacing w:after="0" w:line="240" w:lineRule="auto"/>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Honorarios de la Calificadora de Riesgo:</w:t>
            </w:r>
          </w:p>
        </w:tc>
        <w:tc>
          <w:tcPr>
            <w:tcW w:w="1276" w:type="dxa"/>
            <w:tcBorders>
              <w:top w:val="nil"/>
              <w:left w:val="nil"/>
              <w:bottom w:val="nil"/>
              <w:right w:val="nil"/>
            </w:tcBorders>
            <w:shd w:val="clear" w:color="000000" w:fill="FFFFFF"/>
            <w:noWrap/>
            <w:vAlign w:val="bottom"/>
            <w:hideMark/>
          </w:tcPr>
          <w:p w14:paraId="13784E86"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17.000</w:t>
            </w:r>
          </w:p>
        </w:tc>
        <w:tc>
          <w:tcPr>
            <w:tcW w:w="1843" w:type="dxa"/>
            <w:tcBorders>
              <w:top w:val="nil"/>
              <w:left w:val="nil"/>
              <w:bottom w:val="nil"/>
              <w:right w:val="nil"/>
            </w:tcBorders>
            <w:shd w:val="clear" w:color="000000" w:fill="FFFFFF"/>
            <w:noWrap/>
            <w:vAlign w:val="bottom"/>
            <w:hideMark/>
          </w:tcPr>
          <w:p w14:paraId="09693683"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0,02%</w:t>
            </w:r>
          </w:p>
        </w:tc>
      </w:tr>
      <w:tr w:rsidR="0014256C" w:rsidRPr="005F4C27" w14:paraId="56D530A1" w14:textId="77777777" w:rsidTr="0034558A">
        <w:trPr>
          <w:trHeight w:val="255"/>
        </w:trPr>
        <w:tc>
          <w:tcPr>
            <w:tcW w:w="5103" w:type="dxa"/>
            <w:tcBorders>
              <w:top w:val="nil"/>
              <w:left w:val="nil"/>
              <w:bottom w:val="nil"/>
              <w:right w:val="nil"/>
            </w:tcBorders>
            <w:shd w:val="clear" w:color="000000" w:fill="FFFFFF"/>
            <w:noWrap/>
            <w:vAlign w:val="bottom"/>
            <w:hideMark/>
          </w:tcPr>
          <w:p w14:paraId="1BDD30C0" w14:textId="77777777" w:rsidR="0014256C" w:rsidRPr="00825692" w:rsidRDefault="0014256C" w:rsidP="007F68D1">
            <w:pPr>
              <w:spacing w:after="0" w:line="240" w:lineRule="auto"/>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Aranceles CNV:</w:t>
            </w:r>
          </w:p>
        </w:tc>
        <w:tc>
          <w:tcPr>
            <w:tcW w:w="1276" w:type="dxa"/>
            <w:tcBorders>
              <w:top w:val="nil"/>
              <w:left w:val="nil"/>
              <w:bottom w:val="nil"/>
              <w:right w:val="nil"/>
            </w:tcBorders>
            <w:shd w:val="clear" w:color="000000" w:fill="FFFFFF"/>
            <w:noWrap/>
            <w:vAlign w:val="bottom"/>
            <w:hideMark/>
          </w:tcPr>
          <w:p w14:paraId="0FA3E449"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54.000</w:t>
            </w:r>
          </w:p>
        </w:tc>
        <w:tc>
          <w:tcPr>
            <w:tcW w:w="1843" w:type="dxa"/>
            <w:tcBorders>
              <w:top w:val="nil"/>
              <w:left w:val="nil"/>
              <w:bottom w:val="nil"/>
              <w:right w:val="nil"/>
            </w:tcBorders>
            <w:shd w:val="clear" w:color="000000" w:fill="FFFFFF"/>
            <w:noWrap/>
            <w:vAlign w:val="bottom"/>
            <w:hideMark/>
          </w:tcPr>
          <w:p w14:paraId="1D797048"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0,06%</w:t>
            </w:r>
          </w:p>
        </w:tc>
      </w:tr>
      <w:tr w:rsidR="0014256C" w:rsidRPr="005F4C27" w14:paraId="081C64B8" w14:textId="77777777" w:rsidTr="0034558A">
        <w:trPr>
          <w:trHeight w:val="255"/>
        </w:trPr>
        <w:tc>
          <w:tcPr>
            <w:tcW w:w="5103" w:type="dxa"/>
            <w:tcBorders>
              <w:top w:val="nil"/>
              <w:left w:val="nil"/>
              <w:bottom w:val="nil"/>
              <w:right w:val="nil"/>
            </w:tcBorders>
            <w:shd w:val="clear" w:color="000000" w:fill="FFFFFF"/>
            <w:noWrap/>
            <w:vAlign w:val="bottom"/>
            <w:hideMark/>
          </w:tcPr>
          <w:p w14:paraId="4BB76C5A" w14:textId="77777777" w:rsidR="0014256C" w:rsidRPr="00825692" w:rsidRDefault="0014256C" w:rsidP="007F68D1">
            <w:pPr>
              <w:spacing w:after="0" w:line="240" w:lineRule="auto"/>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 xml:space="preserve">Aranceles Merval/ MAE/ CVSA </w:t>
            </w:r>
          </w:p>
        </w:tc>
        <w:tc>
          <w:tcPr>
            <w:tcW w:w="1276" w:type="dxa"/>
            <w:tcBorders>
              <w:top w:val="nil"/>
              <w:left w:val="nil"/>
              <w:bottom w:val="nil"/>
              <w:right w:val="nil"/>
            </w:tcBorders>
            <w:shd w:val="clear" w:color="000000" w:fill="FFFFFF"/>
            <w:noWrap/>
            <w:vAlign w:val="bottom"/>
            <w:hideMark/>
          </w:tcPr>
          <w:p w14:paraId="56C486B2"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7.825</w:t>
            </w:r>
          </w:p>
        </w:tc>
        <w:tc>
          <w:tcPr>
            <w:tcW w:w="1843" w:type="dxa"/>
            <w:tcBorders>
              <w:top w:val="nil"/>
              <w:left w:val="nil"/>
              <w:bottom w:val="nil"/>
              <w:right w:val="nil"/>
            </w:tcBorders>
            <w:shd w:val="clear" w:color="000000" w:fill="FFFFFF"/>
            <w:noWrap/>
            <w:vAlign w:val="bottom"/>
            <w:hideMark/>
          </w:tcPr>
          <w:p w14:paraId="4C7037E0"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0,01%</w:t>
            </w:r>
          </w:p>
        </w:tc>
      </w:tr>
      <w:tr w:rsidR="0014256C" w:rsidRPr="005F4C27" w14:paraId="32730F39" w14:textId="77777777" w:rsidTr="0034558A">
        <w:trPr>
          <w:trHeight w:val="255"/>
        </w:trPr>
        <w:tc>
          <w:tcPr>
            <w:tcW w:w="5103" w:type="dxa"/>
            <w:tcBorders>
              <w:top w:val="nil"/>
              <w:left w:val="nil"/>
              <w:bottom w:val="nil"/>
              <w:right w:val="nil"/>
            </w:tcBorders>
            <w:shd w:val="clear" w:color="000000" w:fill="FFFFFF"/>
            <w:noWrap/>
            <w:vAlign w:val="bottom"/>
            <w:hideMark/>
          </w:tcPr>
          <w:p w14:paraId="4450A03D" w14:textId="77777777" w:rsidR="0014256C" w:rsidRPr="00825692" w:rsidRDefault="0014256C" w:rsidP="007F68D1">
            <w:pPr>
              <w:spacing w:after="0" w:line="240" w:lineRule="auto"/>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Otros costos varios (Publicaciones, Traducciones,</w:t>
            </w:r>
            <w:r>
              <w:rPr>
                <w:rFonts w:ascii="Garamond" w:eastAsia="Times New Roman" w:hAnsi="Garamond" w:cs="Arial"/>
                <w:sz w:val="20"/>
                <w:szCs w:val="20"/>
                <w:lang w:val="es-AR" w:eastAsia="es-AR"/>
              </w:rPr>
              <w:t xml:space="preserve"> </w:t>
            </w:r>
            <w:r w:rsidRPr="00825692">
              <w:rPr>
                <w:rFonts w:ascii="Garamond" w:eastAsia="Times New Roman" w:hAnsi="Garamond" w:cs="Arial"/>
                <w:sz w:val="20"/>
                <w:szCs w:val="20"/>
                <w:lang w:val="es-AR" w:eastAsia="es-AR"/>
              </w:rPr>
              <w:t>etc.):</w:t>
            </w:r>
          </w:p>
        </w:tc>
        <w:tc>
          <w:tcPr>
            <w:tcW w:w="1276" w:type="dxa"/>
            <w:tcBorders>
              <w:top w:val="nil"/>
              <w:left w:val="nil"/>
              <w:bottom w:val="nil"/>
              <w:right w:val="nil"/>
            </w:tcBorders>
            <w:shd w:val="clear" w:color="000000" w:fill="FFFFFF"/>
            <w:noWrap/>
            <w:vAlign w:val="bottom"/>
            <w:hideMark/>
          </w:tcPr>
          <w:p w14:paraId="6420233E"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32.330</w:t>
            </w:r>
          </w:p>
        </w:tc>
        <w:tc>
          <w:tcPr>
            <w:tcW w:w="1843" w:type="dxa"/>
            <w:tcBorders>
              <w:top w:val="nil"/>
              <w:left w:val="nil"/>
              <w:bottom w:val="nil"/>
              <w:right w:val="nil"/>
            </w:tcBorders>
            <w:shd w:val="clear" w:color="000000" w:fill="FFFFFF"/>
            <w:noWrap/>
            <w:vAlign w:val="bottom"/>
            <w:hideMark/>
          </w:tcPr>
          <w:p w14:paraId="3FF4EE9F"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0,04%</w:t>
            </w:r>
          </w:p>
        </w:tc>
      </w:tr>
      <w:tr w:rsidR="0014256C" w:rsidRPr="005F4C27" w14:paraId="4902980F" w14:textId="77777777" w:rsidTr="0034558A">
        <w:trPr>
          <w:trHeight w:val="255"/>
        </w:trPr>
        <w:tc>
          <w:tcPr>
            <w:tcW w:w="5103" w:type="dxa"/>
            <w:tcBorders>
              <w:top w:val="nil"/>
              <w:left w:val="nil"/>
              <w:bottom w:val="nil"/>
              <w:right w:val="nil"/>
            </w:tcBorders>
            <w:shd w:val="clear" w:color="000000" w:fill="FFFFFF"/>
            <w:noWrap/>
            <w:vAlign w:val="bottom"/>
            <w:hideMark/>
          </w:tcPr>
          <w:p w14:paraId="031BBFCC" w14:textId="77777777" w:rsidR="0014256C" w:rsidRPr="00825692" w:rsidRDefault="0014256C" w:rsidP="007F68D1">
            <w:pPr>
              <w:spacing w:after="0" w:line="240" w:lineRule="auto"/>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Garantía</w:t>
            </w:r>
          </w:p>
        </w:tc>
        <w:tc>
          <w:tcPr>
            <w:tcW w:w="1276" w:type="dxa"/>
            <w:tcBorders>
              <w:top w:val="nil"/>
              <w:left w:val="nil"/>
              <w:bottom w:val="nil"/>
              <w:right w:val="nil"/>
            </w:tcBorders>
            <w:shd w:val="clear" w:color="000000" w:fill="FFFFFF"/>
            <w:noWrap/>
            <w:vAlign w:val="bottom"/>
            <w:hideMark/>
          </w:tcPr>
          <w:p w14:paraId="5A99B087"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300.000</w:t>
            </w:r>
          </w:p>
        </w:tc>
        <w:tc>
          <w:tcPr>
            <w:tcW w:w="1843" w:type="dxa"/>
            <w:tcBorders>
              <w:top w:val="nil"/>
              <w:left w:val="nil"/>
              <w:bottom w:val="nil"/>
              <w:right w:val="nil"/>
            </w:tcBorders>
            <w:shd w:val="clear" w:color="000000" w:fill="FFFFFF"/>
            <w:noWrap/>
            <w:vAlign w:val="bottom"/>
            <w:hideMark/>
          </w:tcPr>
          <w:p w14:paraId="55160675" w14:textId="77777777" w:rsidR="0014256C" w:rsidRPr="00825692" w:rsidRDefault="0014256C" w:rsidP="007F68D1">
            <w:pPr>
              <w:spacing w:after="0" w:line="240" w:lineRule="auto"/>
              <w:jc w:val="right"/>
              <w:rPr>
                <w:rFonts w:ascii="Garamond" w:eastAsia="Times New Roman" w:hAnsi="Garamond" w:cs="Arial"/>
                <w:sz w:val="20"/>
                <w:szCs w:val="20"/>
                <w:lang w:val="es-AR" w:eastAsia="es-AR"/>
              </w:rPr>
            </w:pPr>
            <w:r w:rsidRPr="00825692">
              <w:rPr>
                <w:rFonts w:ascii="Garamond" w:eastAsia="Times New Roman" w:hAnsi="Garamond" w:cs="Arial"/>
                <w:sz w:val="20"/>
                <w:szCs w:val="20"/>
                <w:lang w:val="es-AR" w:eastAsia="es-AR"/>
              </w:rPr>
              <w:t>0,35%</w:t>
            </w:r>
          </w:p>
        </w:tc>
      </w:tr>
      <w:tr w:rsidR="0014256C" w:rsidRPr="005F4C27" w14:paraId="6536358C" w14:textId="77777777" w:rsidTr="0034558A">
        <w:trPr>
          <w:trHeight w:val="255"/>
        </w:trPr>
        <w:tc>
          <w:tcPr>
            <w:tcW w:w="5103" w:type="dxa"/>
            <w:tcBorders>
              <w:top w:val="nil"/>
              <w:left w:val="nil"/>
              <w:bottom w:val="nil"/>
              <w:right w:val="nil"/>
            </w:tcBorders>
            <w:shd w:val="clear" w:color="000000" w:fill="FFFFFF"/>
            <w:noWrap/>
            <w:vAlign w:val="bottom"/>
            <w:hideMark/>
          </w:tcPr>
          <w:p w14:paraId="03906453" w14:textId="77777777" w:rsidR="0014256C" w:rsidRPr="00825692" w:rsidRDefault="0014256C" w:rsidP="007F68D1">
            <w:pPr>
              <w:spacing w:after="0" w:line="240" w:lineRule="auto"/>
              <w:rPr>
                <w:rFonts w:ascii="Garamond" w:eastAsia="Times New Roman" w:hAnsi="Garamond" w:cs="Arial"/>
                <w:b/>
                <w:bCs/>
                <w:color w:val="000000"/>
                <w:sz w:val="20"/>
                <w:szCs w:val="20"/>
                <w:lang w:val="es-AR" w:eastAsia="es-AR"/>
              </w:rPr>
            </w:pPr>
            <w:r w:rsidRPr="00825692">
              <w:rPr>
                <w:rFonts w:ascii="Garamond" w:eastAsia="Times New Roman" w:hAnsi="Garamond" w:cs="Arial"/>
                <w:b/>
                <w:bCs/>
                <w:color w:val="000000"/>
                <w:sz w:val="20"/>
                <w:szCs w:val="20"/>
                <w:lang w:val="es-AR" w:eastAsia="es-AR"/>
              </w:rPr>
              <w:t>Total:</w:t>
            </w:r>
          </w:p>
        </w:tc>
        <w:tc>
          <w:tcPr>
            <w:tcW w:w="1276" w:type="dxa"/>
            <w:tcBorders>
              <w:top w:val="nil"/>
              <w:left w:val="nil"/>
              <w:bottom w:val="nil"/>
              <w:right w:val="nil"/>
            </w:tcBorders>
            <w:shd w:val="clear" w:color="000000" w:fill="FFFFFF"/>
            <w:noWrap/>
            <w:vAlign w:val="bottom"/>
            <w:hideMark/>
          </w:tcPr>
          <w:p w14:paraId="556574B4" w14:textId="77777777" w:rsidR="0014256C" w:rsidRPr="00825692" w:rsidRDefault="0014256C" w:rsidP="007F68D1">
            <w:pPr>
              <w:spacing w:after="0" w:line="240" w:lineRule="auto"/>
              <w:jc w:val="right"/>
              <w:rPr>
                <w:rFonts w:ascii="Garamond" w:eastAsia="Times New Roman" w:hAnsi="Garamond" w:cs="Arial"/>
                <w:b/>
                <w:bCs/>
                <w:color w:val="000000"/>
                <w:sz w:val="20"/>
                <w:szCs w:val="20"/>
                <w:lang w:val="es-AR" w:eastAsia="es-AR"/>
              </w:rPr>
            </w:pPr>
            <w:r w:rsidRPr="00825692">
              <w:rPr>
                <w:rFonts w:ascii="Garamond" w:eastAsia="Times New Roman" w:hAnsi="Garamond" w:cs="Arial"/>
                <w:b/>
                <w:bCs/>
                <w:color w:val="000000"/>
                <w:sz w:val="20"/>
                <w:szCs w:val="20"/>
                <w:lang w:val="es-AR" w:eastAsia="es-AR"/>
              </w:rPr>
              <w:t>3.234.289</w:t>
            </w:r>
          </w:p>
        </w:tc>
        <w:tc>
          <w:tcPr>
            <w:tcW w:w="1843" w:type="dxa"/>
            <w:tcBorders>
              <w:top w:val="nil"/>
              <w:left w:val="nil"/>
              <w:bottom w:val="nil"/>
              <w:right w:val="nil"/>
            </w:tcBorders>
            <w:shd w:val="clear" w:color="000000" w:fill="FFFFFF"/>
            <w:noWrap/>
            <w:vAlign w:val="bottom"/>
            <w:hideMark/>
          </w:tcPr>
          <w:p w14:paraId="303B1235" w14:textId="77777777" w:rsidR="0014256C" w:rsidRPr="00825692" w:rsidRDefault="0014256C" w:rsidP="007F68D1">
            <w:pPr>
              <w:spacing w:after="0" w:line="240" w:lineRule="auto"/>
              <w:jc w:val="right"/>
              <w:rPr>
                <w:rFonts w:ascii="Garamond" w:eastAsia="Times New Roman" w:hAnsi="Garamond" w:cs="Arial"/>
                <w:b/>
                <w:bCs/>
                <w:color w:val="000000"/>
                <w:sz w:val="20"/>
                <w:szCs w:val="20"/>
                <w:lang w:val="es-AR" w:eastAsia="es-AR"/>
              </w:rPr>
            </w:pPr>
            <w:r w:rsidRPr="00825692">
              <w:rPr>
                <w:rFonts w:ascii="Garamond" w:eastAsia="Times New Roman" w:hAnsi="Garamond" w:cs="Arial"/>
                <w:b/>
                <w:bCs/>
                <w:color w:val="000000"/>
                <w:sz w:val="20"/>
                <w:szCs w:val="20"/>
                <w:lang w:val="es-AR" w:eastAsia="es-AR"/>
              </w:rPr>
              <w:t>3,81%</w:t>
            </w:r>
          </w:p>
        </w:tc>
      </w:tr>
    </w:tbl>
    <w:p w14:paraId="17A53FC6" w14:textId="77777777" w:rsidR="00354069" w:rsidRPr="00CA3A3D" w:rsidRDefault="00354069" w:rsidP="00354069">
      <w:pPr>
        <w:rPr>
          <w:rFonts w:ascii="Garamond" w:eastAsia="MS Mincho" w:hAnsi="Garamond" w:cs="Times New Roman"/>
          <w:sz w:val="24"/>
          <w:szCs w:val="20"/>
          <w:lang w:val="es-AR" w:eastAsia="es-ES"/>
        </w:rPr>
      </w:pPr>
      <w:r w:rsidRPr="00CA3A3D">
        <w:rPr>
          <w:rFonts w:ascii="Garamond" w:eastAsia="MS Mincho" w:hAnsi="Garamond" w:cs="Times New Roman"/>
          <w:sz w:val="24"/>
          <w:szCs w:val="20"/>
          <w:lang w:val="es-AR" w:eastAsia="es-ES"/>
        </w:rPr>
        <w:br w:type="page"/>
      </w:r>
    </w:p>
    <w:p w14:paraId="7C019899" w14:textId="10F57B7D" w:rsidR="00A37D99" w:rsidRPr="00CA3A3D" w:rsidRDefault="00354069" w:rsidP="00A37D99">
      <w:pPr>
        <w:widowControl w:val="0"/>
        <w:spacing w:after="0" w:line="240" w:lineRule="auto"/>
        <w:jc w:val="center"/>
        <w:outlineLvl w:val="0"/>
        <w:rPr>
          <w:rFonts w:ascii="Garamond" w:eastAsia="MS Mincho" w:hAnsi="Garamond" w:cs="Times New Roman"/>
          <w:b/>
          <w:sz w:val="24"/>
          <w:szCs w:val="24"/>
          <w:lang w:val="es-AR" w:eastAsia="es-ES"/>
        </w:rPr>
      </w:pPr>
      <w:bookmarkStart w:id="96" w:name="_Toc14922250"/>
      <w:r w:rsidRPr="00CA3A3D">
        <w:rPr>
          <w:rFonts w:ascii="Garamond" w:eastAsia="MS Mincho" w:hAnsi="Garamond" w:cs="Times New Roman"/>
          <w:b/>
          <w:sz w:val="24"/>
          <w:szCs w:val="24"/>
          <w:lang w:val="es-AR" w:eastAsia="es-ES"/>
        </w:rPr>
        <w:lastRenderedPageBreak/>
        <w:t>CONTRATO DE COLOCACIÓN</w:t>
      </w:r>
      <w:bookmarkEnd w:id="96"/>
    </w:p>
    <w:p w14:paraId="2FF85D32" w14:textId="77777777" w:rsidR="00487DC7" w:rsidRPr="00CA3A3D" w:rsidRDefault="00487DC7" w:rsidP="00A37D99">
      <w:pPr>
        <w:widowControl w:val="0"/>
        <w:spacing w:after="0" w:line="240" w:lineRule="auto"/>
        <w:jc w:val="center"/>
        <w:outlineLvl w:val="0"/>
        <w:rPr>
          <w:rFonts w:ascii="Garamond" w:eastAsia="MS Mincho" w:hAnsi="Garamond" w:cs="Times New Roman"/>
          <w:b/>
          <w:szCs w:val="18"/>
          <w:lang w:val="es-AR" w:eastAsia="es-ES"/>
        </w:rPr>
      </w:pPr>
    </w:p>
    <w:p w14:paraId="33975BED" w14:textId="57B0D504" w:rsidR="00B60356" w:rsidRPr="00CA3A3D" w:rsidRDefault="00487DC7" w:rsidP="00060DAB">
      <w:pPr>
        <w:pStyle w:val="BlockTextSgl"/>
        <w:spacing w:before="120" w:after="120"/>
        <w:rPr>
          <w:rFonts w:ascii="Garamond" w:hAnsi="Garamond"/>
          <w:b/>
          <w:u w:val="single"/>
          <w:lang w:val="es-AR"/>
        </w:rPr>
      </w:pPr>
      <w:r w:rsidRPr="00CA3A3D">
        <w:rPr>
          <w:rFonts w:ascii="Garamond" w:hAnsi="Garamond"/>
          <w:b/>
          <w:lang w:val="es-AR"/>
        </w:rPr>
        <w:t xml:space="preserve">Contrato de Colocación </w:t>
      </w:r>
      <w:r w:rsidRPr="00CA3A3D">
        <w:rPr>
          <w:rFonts w:ascii="Garamond" w:eastAsia="MS Mincho" w:hAnsi="Garamond"/>
          <w:b/>
          <w:szCs w:val="18"/>
          <w:lang w:val="es-AR" w:eastAsia="es-ES"/>
        </w:rPr>
        <w:t>Local</w:t>
      </w:r>
    </w:p>
    <w:p w14:paraId="79738EC8" w14:textId="7A5A2744" w:rsidR="00EB7AD7" w:rsidRPr="00CA3A3D" w:rsidRDefault="00997358" w:rsidP="00B73F3E">
      <w:pPr>
        <w:pStyle w:val="BlockTextSgl"/>
        <w:spacing w:before="120" w:after="120"/>
        <w:jc w:val="both"/>
        <w:rPr>
          <w:rFonts w:ascii="Garamond" w:hAnsi="Garamond"/>
          <w:lang w:val="es-AR"/>
        </w:rPr>
      </w:pPr>
      <w:r w:rsidRPr="00CA3A3D">
        <w:rPr>
          <w:rFonts w:ascii="Garamond" w:eastAsia="Batang" w:hAnsi="Garamond" w:cstheme="minorBidi"/>
          <w:lang w:val="es-AR" w:eastAsia="en-US"/>
        </w:rPr>
        <w:t>En o antes del inicio del período de colocación, las Co-Emisoras, AR Partners S.A., Balanz Capital Valores S.A.U., BACS Banco de Crédito y Securitización S.A., Banco Hipotecario S.A., Banco de Servicios y Transacciones S.A., INTL CIBSA S.A. y SBS Trading S.A. (“</w:t>
      </w:r>
      <w:r w:rsidRPr="00CA3A3D">
        <w:rPr>
          <w:rFonts w:ascii="Garamond" w:eastAsia="Batang" w:hAnsi="Garamond" w:cstheme="minorBidi"/>
          <w:u w:val="single"/>
          <w:lang w:val="es-AR" w:eastAsia="en-US"/>
        </w:rPr>
        <w:t>Agentes de Colocación Local</w:t>
      </w:r>
      <w:r w:rsidRPr="00CA3A3D">
        <w:rPr>
          <w:rFonts w:ascii="Garamond" w:eastAsia="Batang" w:hAnsi="Garamond" w:cstheme="minorBidi"/>
          <w:lang w:val="es-AR" w:eastAsia="en-US"/>
        </w:rPr>
        <w:t>”), y el Agente de Transferencia Local de Títulos</w:t>
      </w:r>
      <w:r w:rsidR="00EB7AD7" w:rsidRPr="00CA3A3D">
        <w:rPr>
          <w:rFonts w:ascii="Garamond" w:hAnsi="Garamond"/>
          <w:lang w:val="es-AR"/>
        </w:rPr>
        <w:t>, firmarán sendos contratos de colocación con el objeto de que los Agentes de Colocación Local realicen sus mejores esfuerzos para colocar mediante oferta pública en Argentina Obligaciones Negociables por cuenta y orden de las Co-Emisoras conforme los procedimientos usuales en el mercado de capitales de la Argentina y de acuerdo con el procedimiento descripto en la sección “</w:t>
      </w:r>
      <w:r w:rsidR="00EB7AD7" w:rsidRPr="00CA3A3D">
        <w:rPr>
          <w:rFonts w:ascii="Garamond" w:hAnsi="Garamond"/>
          <w:i/>
          <w:lang w:val="es-AR"/>
        </w:rPr>
        <w:t>Plan de Distribución</w:t>
      </w:r>
      <w:r w:rsidR="00EB7AD7" w:rsidRPr="00CA3A3D">
        <w:rPr>
          <w:rFonts w:ascii="Garamond" w:hAnsi="Garamond"/>
          <w:lang w:val="es-AR"/>
        </w:rPr>
        <w:t xml:space="preserve">” del presente Suplemento. </w:t>
      </w:r>
    </w:p>
    <w:p w14:paraId="73A3A3A1" w14:textId="4F7FF46E" w:rsidR="00EB7AD7" w:rsidRPr="00CA3A3D" w:rsidRDefault="00EB7AD7" w:rsidP="00060DAB">
      <w:pPr>
        <w:tabs>
          <w:tab w:val="left" w:pos="3606"/>
        </w:tabs>
        <w:spacing w:before="120" w:after="120" w:line="240" w:lineRule="auto"/>
        <w:jc w:val="both"/>
        <w:rPr>
          <w:rFonts w:ascii="Garamond" w:hAnsi="Garamond"/>
          <w:sz w:val="20"/>
          <w:lang w:val="es-AR"/>
        </w:rPr>
      </w:pPr>
      <w:r w:rsidRPr="00CA3A3D">
        <w:rPr>
          <w:rFonts w:ascii="Garamond" w:hAnsi="Garamond"/>
          <w:sz w:val="20"/>
          <w:lang w:val="es-AR"/>
        </w:rPr>
        <w:t xml:space="preserve">Sujeto a los términos y condiciones establecidos en los respectivos contratos de colocación celebrados, entre el inicio del Período de Oferta y Fecha Límite para la Presentación de Declaraciones de Interés, los Agentes de Colocación Local se comprometerán a ofrecer públicamente las Obligaciones Negociables Clase II exclusivamente dentro del territorio de la Argentina a “inversores calificados” según se los define en el artículo 12 de la Sección I del Capítulo VI del Título II de las Normas de la CNV, a fin de colocar las mismas por cuenta y orden de las Co-Emisoras sobre la base de los mejores esfuerzos de los Agentes de Colocación Locales de acuerdo a su especialidad y experiencia. </w:t>
      </w:r>
      <w:r w:rsidR="00997358" w:rsidRPr="00CA3A3D">
        <w:rPr>
          <w:rFonts w:ascii="Garamond" w:hAnsi="Garamond"/>
          <w:sz w:val="20"/>
          <w:lang w:val="es-AR"/>
        </w:rPr>
        <w:t>Los</w:t>
      </w:r>
      <w:r w:rsidRPr="00CA3A3D">
        <w:rPr>
          <w:rFonts w:ascii="Garamond" w:hAnsi="Garamond"/>
          <w:sz w:val="20"/>
          <w:lang w:val="es-AR"/>
        </w:rPr>
        <w:t xml:space="preserve"> Agente</w:t>
      </w:r>
      <w:r w:rsidR="00997358" w:rsidRPr="00CA3A3D">
        <w:rPr>
          <w:rFonts w:ascii="Garamond" w:hAnsi="Garamond"/>
          <w:sz w:val="20"/>
          <w:lang w:val="es-AR"/>
        </w:rPr>
        <w:t>s</w:t>
      </w:r>
      <w:r w:rsidRPr="00CA3A3D">
        <w:rPr>
          <w:rFonts w:ascii="Garamond" w:hAnsi="Garamond"/>
          <w:sz w:val="20"/>
          <w:lang w:val="es-AR"/>
        </w:rPr>
        <w:t xml:space="preserve"> de Colocación Local será</w:t>
      </w:r>
      <w:r w:rsidR="00997358" w:rsidRPr="00CA3A3D">
        <w:rPr>
          <w:rFonts w:ascii="Garamond" w:hAnsi="Garamond"/>
          <w:sz w:val="20"/>
          <w:lang w:val="es-AR"/>
        </w:rPr>
        <w:t>n</w:t>
      </w:r>
      <w:r w:rsidRPr="00CA3A3D">
        <w:rPr>
          <w:rFonts w:ascii="Garamond" w:hAnsi="Garamond"/>
          <w:sz w:val="20"/>
          <w:lang w:val="es-AR"/>
        </w:rPr>
        <w:t xml:space="preserve"> l</w:t>
      </w:r>
      <w:r w:rsidR="00997358" w:rsidRPr="00CA3A3D">
        <w:rPr>
          <w:rFonts w:ascii="Garamond" w:hAnsi="Garamond"/>
          <w:sz w:val="20"/>
          <w:lang w:val="es-AR"/>
        </w:rPr>
        <w:t>os</w:t>
      </w:r>
      <w:r w:rsidRPr="00CA3A3D">
        <w:rPr>
          <w:rFonts w:ascii="Garamond" w:hAnsi="Garamond"/>
          <w:sz w:val="20"/>
          <w:lang w:val="es-AR"/>
        </w:rPr>
        <w:t xml:space="preserve"> encargado</w:t>
      </w:r>
      <w:r w:rsidR="00997358" w:rsidRPr="00CA3A3D">
        <w:rPr>
          <w:rFonts w:ascii="Garamond" w:hAnsi="Garamond"/>
          <w:sz w:val="20"/>
          <w:lang w:val="es-AR"/>
        </w:rPr>
        <w:t>s</w:t>
      </w:r>
      <w:r w:rsidRPr="00CA3A3D">
        <w:rPr>
          <w:rFonts w:ascii="Garamond" w:hAnsi="Garamond"/>
          <w:sz w:val="20"/>
          <w:lang w:val="es-AR"/>
        </w:rPr>
        <w:t xml:space="preserve"> de ingresar las Declaraciones de Interés locales al registro, llevado en la Ciudad de Nueva York</w:t>
      </w:r>
      <w:r w:rsidR="00997358" w:rsidRPr="00CA3A3D">
        <w:rPr>
          <w:rFonts w:ascii="Garamond" w:hAnsi="Garamond"/>
          <w:sz w:val="20"/>
          <w:lang w:val="es-AR"/>
        </w:rPr>
        <w:t>, de conformidad con las prácticas habituales para este tipo de oferta internacionales en los Estados Unidos y las reglas aplicables de conformidad con el Artículo 1, Sección I, Capítulo IV, Título VI de las Normas de la CNV</w:t>
      </w:r>
      <w:r w:rsidRPr="00CA3A3D">
        <w:rPr>
          <w:rFonts w:ascii="Garamond" w:hAnsi="Garamond"/>
          <w:sz w:val="20"/>
          <w:lang w:val="es-AR"/>
        </w:rPr>
        <w:t xml:space="preserve">. En su actuación como Agentes de Colocación Local en el marco de los respectivos contratos de colocación, estos deberán cumplir con las normas vigentes que resulten aplicables, incluyendo sin limitación, las Normas de la CNV y demás normativa vigente aplicable. </w:t>
      </w:r>
    </w:p>
    <w:p w14:paraId="494D1262" w14:textId="77777777" w:rsidR="00EB7AD7" w:rsidRPr="00CA3A3D" w:rsidRDefault="008A2E55" w:rsidP="00060DAB">
      <w:pPr>
        <w:tabs>
          <w:tab w:val="left" w:pos="3606"/>
        </w:tabs>
        <w:spacing w:before="120" w:after="120" w:line="240" w:lineRule="auto"/>
        <w:jc w:val="both"/>
        <w:rPr>
          <w:rFonts w:ascii="Garamond" w:hAnsi="Garamond"/>
          <w:sz w:val="20"/>
          <w:lang w:val="es-AR"/>
        </w:rPr>
      </w:pPr>
      <w:r w:rsidRPr="00CA3A3D">
        <w:rPr>
          <w:rFonts w:ascii="Garamond" w:hAnsi="Garamond"/>
          <w:sz w:val="20"/>
          <w:lang w:val="es-AR"/>
        </w:rPr>
        <w:t>Los</w:t>
      </w:r>
      <w:r w:rsidR="00EB7AD7" w:rsidRPr="00CA3A3D">
        <w:rPr>
          <w:rFonts w:ascii="Garamond" w:hAnsi="Garamond"/>
          <w:sz w:val="20"/>
          <w:lang w:val="es-AR"/>
        </w:rPr>
        <w:t xml:space="preserve"> Agente</w:t>
      </w:r>
      <w:r w:rsidRPr="00CA3A3D">
        <w:rPr>
          <w:rFonts w:ascii="Garamond" w:hAnsi="Garamond"/>
          <w:sz w:val="20"/>
          <w:lang w:val="es-AR"/>
        </w:rPr>
        <w:t>s</w:t>
      </w:r>
      <w:r w:rsidR="00EB7AD7" w:rsidRPr="00CA3A3D">
        <w:rPr>
          <w:rFonts w:ascii="Garamond" w:hAnsi="Garamond"/>
          <w:sz w:val="20"/>
          <w:lang w:val="es-AR"/>
        </w:rPr>
        <w:t xml:space="preserve"> de Colocación Local no asume</w:t>
      </w:r>
      <w:r w:rsidRPr="00CA3A3D">
        <w:rPr>
          <w:rFonts w:ascii="Garamond" w:hAnsi="Garamond"/>
          <w:sz w:val="20"/>
          <w:lang w:val="es-AR"/>
        </w:rPr>
        <w:t>n</w:t>
      </w:r>
      <w:r w:rsidR="00EB7AD7" w:rsidRPr="00CA3A3D">
        <w:rPr>
          <w:rFonts w:ascii="Garamond" w:hAnsi="Garamond"/>
          <w:sz w:val="20"/>
          <w:lang w:val="es-AR"/>
        </w:rPr>
        <w:t xml:space="preserve"> compromiso alguno de suscripción en firme de las Obligaciones Negociables.</w:t>
      </w:r>
      <w:r w:rsidR="00481890" w:rsidRPr="00CA3A3D">
        <w:rPr>
          <w:rFonts w:ascii="Garamond" w:hAnsi="Garamond"/>
          <w:sz w:val="20"/>
          <w:lang w:val="es-AR"/>
        </w:rPr>
        <w:t xml:space="preserve"> Para más información véase “</w:t>
      </w:r>
      <w:r w:rsidR="00481890" w:rsidRPr="00CA3A3D">
        <w:rPr>
          <w:rFonts w:ascii="Garamond" w:hAnsi="Garamond"/>
          <w:i/>
          <w:sz w:val="20"/>
          <w:lang w:val="es-AR"/>
        </w:rPr>
        <w:t>Convenios de Underwriting – Plan de Distribución</w:t>
      </w:r>
      <w:r w:rsidR="00481890" w:rsidRPr="00CA3A3D">
        <w:rPr>
          <w:rFonts w:ascii="Garamond" w:hAnsi="Garamond"/>
          <w:sz w:val="20"/>
          <w:lang w:val="es-AR"/>
        </w:rPr>
        <w:t>” del presente Suplemento.</w:t>
      </w:r>
    </w:p>
    <w:p w14:paraId="4D50F44C" w14:textId="67EA8555" w:rsidR="00EB7AD7" w:rsidRPr="00CA3A3D" w:rsidRDefault="00997358" w:rsidP="00060DAB">
      <w:pPr>
        <w:tabs>
          <w:tab w:val="left" w:pos="3606"/>
        </w:tabs>
        <w:spacing w:before="120" w:after="120" w:line="240" w:lineRule="auto"/>
        <w:jc w:val="both"/>
        <w:rPr>
          <w:rFonts w:ascii="Garamond" w:hAnsi="Garamond"/>
          <w:sz w:val="20"/>
          <w:lang w:val="es-AR"/>
        </w:rPr>
      </w:pPr>
      <w:r w:rsidRPr="00CA3A3D">
        <w:rPr>
          <w:rFonts w:ascii="Garamond" w:hAnsi="Garamond"/>
          <w:sz w:val="20"/>
          <w:lang w:val="es-AR"/>
        </w:rPr>
        <w:t>El</w:t>
      </w:r>
      <w:r w:rsidR="00EB7AD7" w:rsidRPr="00CA3A3D">
        <w:rPr>
          <w:rFonts w:ascii="Garamond" w:hAnsi="Garamond"/>
          <w:sz w:val="20"/>
          <w:lang w:val="es-AR"/>
        </w:rPr>
        <w:t xml:space="preserve"> contrato de colocación firmado será presentados en CNV dentro de los cinco (5) </w:t>
      </w:r>
      <w:r w:rsidR="006829B6" w:rsidRPr="00CA3A3D">
        <w:rPr>
          <w:rFonts w:ascii="Garamond" w:hAnsi="Garamond"/>
          <w:sz w:val="20"/>
          <w:lang w:val="es-AR"/>
        </w:rPr>
        <w:t>D</w:t>
      </w:r>
      <w:r w:rsidR="00EB7AD7" w:rsidRPr="00CA3A3D">
        <w:rPr>
          <w:rFonts w:ascii="Garamond" w:hAnsi="Garamond"/>
          <w:sz w:val="20"/>
          <w:lang w:val="es-AR"/>
        </w:rPr>
        <w:t xml:space="preserve">ías </w:t>
      </w:r>
      <w:r w:rsidR="006829B6" w:rsidRPr="00CA3A3D">
        <w:rPr>
          <w:rFonts w:ascii="Garamond" w:hAnsi="Garamond"/>
          <w:sz w:val="20"/>
          <w:lang w:val="es-AR"/>
        </w:rPr>
        <w:t>H</w:t>
      </w:r>
      <w:r w:rsidR="00EB7AD7" w:rsidRPr="00CA3A3D">
        <w:rPr>
          <w:rFonts w:ascii="Garamond" w:hAnsi="Garamond"/>
          <w:sz w:val="20"/>
          <w:lang w:val="es-AR"/>
        </w:rPr>
        <w:t xml:space="preserve">ábiles de finalizado el período de colocación. </w:t>
      </w:r>
    </w:p>
    <w:p w14:paraId="3A002AC9" w14:textId="77777777" w:rsidR="00EB7AD7" w:rsidRPr="00CA3A3D" w:rsidRDefault="00EB7AD7" w:rsidP="00060DAB">
      <w:pPr>
        <w:tabs>
          <w:tab w:val="left" w:pos="3606"/>
        </w:tabs>
        <w:spacing w:before="120" w:after="120" w:line="240" w:lineRule="auto"/>
        <w:jc w:val="both"/>
        <w:rPr>
          <w:rFonts w:ascii="Garamond" w:hAnsi="Garamond"/>
          <w:sz w:val="20"/>
          <w:lang w:val="es-AR"/>
        </w:rPr>
      </w:pPr>
      <w:r w:rsidRPr="00CA3A3D">
        <w:rPr>
          <w:rFonts w:ascii="Garamond" w:hAnsi="Garamond"/>
          <w:sz w:val="20"/>
          <w:lang w:val="es-AR"/>
        </w:rPr>
        <w:t>Por los servicios brindados, los Agentes de Colocación Local recibirán una comisión.</w:t>
      </w:r>
    </w:p>
    <w:p w14:paraId="1E954643" w14:textId="77777777" w:rsidR="003D6347" w:rsidRPr="00CA3A3D" w:rsidRDefault="003D6347" w:rsidP="00002289">
      <w:pPr>
        <w:tabs>
          <w:tab w:val="left" w:pos="3606"/>
        </w:tabs>
        <w:spacing w:before="120" w:after="120" w:line="240" w:lineRule="auto"/>
        <w:jc w:val="both"/>
        <w:rPr>
          <w:rFonts w:ascii="Garamond" w:hAnsi="Garamond"/>
          <w:sz w:val="20"/>
          <w:lang w:val="es-AR"/>
        </w:rPr>
      </w:pPr>
    </w:p>
    <w:p w14:paraId="12A44E8B" w14:textId="77777777" w:rsidR="003D6347" w:rsidRPr="00CA3A3D" w:rsidRDefault="003D6347" w:rsidP="003D6347">
      <w:pPr>
        <w:pStyle w:val="BlockTextSgl"/>
        <w:spacing w:before="120" w:after="120"/>
        <w:rPr>
          <w:rFonts w:ascii="Garamond" w:eastAsia="MS Mincho" w:hAnsi="Garamond"/>
          <w:b/>
          <w:szCs w:val="18"/>
          <w:lang w:val="es-AR" w:eastAsia="es-ES"/>
        </w:rPr>
      </w:pPr>
      <w:r w:rsidRPr="00CA3A3D">
        <w:rPr>
          <w:rFonts w:ascii="Garamond" w:eastAsia="MS Mincho" w:hAnsi="Garamond"/>
          <w:b/>
          <w:szCs w:val="18"/>
          <w:lang w:val="es-AR" w:eastAsia="es-ES"/>
        </w:rPr>
        <w:t>Contrato de Colocación Internacional</w:t>
      </w:r>
    </w:p>
    <w:p w14:paraId="672EFDD9" w14:textId="461CAB33" w:rsidR="003D6347" w:rsidRPr="00CA3A3D" w:rsidRDefault="003D6347" w:rsidP="00225B3A">
      <w:pPr>
        <w:pStyle w:val="BlockTextSgl"/>
        <w:spacing w:before="120" w:after="120"/>
        <w:jc w:val="both"/>
        <w:rPr>
          <w:rFonts w:ascii="Garamond" w:eastAsia="MS Mincho" w:hAnsi="Garamond"/>
          <w:i/>
          <w:szCs w:val="18"/>
          <w:u w:val="single"/>
          <w:lang w:val="es-AR" w:eastAsia="es-ES"/>
        </w:rPr>
      </w:pPr>
      <w:r w:rsidRPr="00582114">
        <w:rPr>
          <w:rFonts w:ascii="Garamond" w:eastAsia="MS Mincho" w:hAnsi="Garamond"/>
          <w:iCs/>
          <w:szCs w:val="18"/>
          <w:lang w:val="es-AR" w:eastAsia="es-ES"/>
        </w:rPr>
        <w:t xml:space="preserve">Las Co-Emisoras firmarán un </w:t>
      </w:r>
      <w:r w:rsidR="004E2883">
        <w:rPr>
          <w:rFonts w:ascii="Garamond" w:eastAsia="MS Mincho" w:hAnsi="Garamond"/>
          <w:i/>
          <w:szCs w:val="18"/>
          <w:lang w:val="es-AR" w:eastAsia="es-ES"/>
        </w:rPr>
        <w:t>su</w:t>
      </w:r>
      <w:r w:rsidR="004E2883" w:rsidRPr="00582114">
        <w:rPr>
          <w:rFonts w:ascii="Garamond" w:eastAsia="MS Mincho" w:hAnsi="Garamond"/>
          <w:i/>
          <w:szCs w:val="18"/>
          <w:lang w:val="es-AR" w:eastAsia="es-ES"/>
        </w:rPr>
        <w:t>bscription</w:t>
      </w:r>
      <w:r w:rsidR="004E2883" w:rsidRPr="004E2883">
        <w:rPr>
          <w:rFonts w:ascii="Garamond" w:eastAsia="MS Mincho" w:hAnsi="Garamond"/>
          <w:iCs/>
          <w:szCs w:val="18"/>
          <w:lang w:val="es-AR" w:eastAsia="es-ES"/>
        </w:rPr>
        <w:t xml:space="preserve"> </w:t>
      </w:r>
      <w:r w:rsidRPr="00546790">
        <w:rPr>
          <w:rFonts w:ascii="Garamond" w:eastAsia="MS Mincho" w:hAnsi="Garamond"/>
          <w:i/>
          <w:szCs w:val="18"/>
          <w:lang w:val="es-AR" w:eastAsia="es-ES"/>
        </w:rPr>
        <w:t>agreement</w:t>
      </w:r>
      <w:r w:rsidR="00657F42" w:rsidRPr="00582114">
        <w:rPr>
          <w:rFonts w:ascii="Garamond" w:eastAsia="MS Mincho" w:hAnsi="Garamond"/>
          <w:iCs/>
          <w:szCs w:val="18"/>
          <w:lang w:val="es-AR" w:eastAsia="es-ES"/>
        </w:rPr>
        <w:t>.</w:t>
      </w:r>
      <w:r w:rsidR="000D4B32" w:rsidRPr="00582114">
        <w:rPr>
          <w:rFonts w:ascii="Garamond" w:eastAsia="MS Mincho" w:hAnsi="Garamond"/>
          <w:iCs/>
          <w:szCs w:val="18"/>
          <w:lang w:val="es-AR" w:eastAsia="es-ES"/>
        </w:rPr>
        <w:t xml:space="preserve"> </w:t>
      </w:r>
      <w:r w:rsidR="00657F42" w:rsidRPr="00582114">
        <w:rPr>
          <w:rFonts w:ascii="Garamond" w:eastAsia="MS Mincho" w:hAnsi="Garamond"/>
          <w:iCs/>
          <w:szCs w:val="18"/>
          <w:lang w:val="es-AR" w:eastAsia="es-ES"/>
        </w:rPr>
        <w:t xml:space="preserve">Para más información ver </w:t>
      </w:r>
      <w:r w:rsidRPr="00582114">
        <w:rPr>
          <w:rFonts w:ascii="Garamond" w:eastAsia="MS Mincho" w:hAnsi="Garamond"/>
          <w:iCs/>
          <w:szCs w:val="18"/>
          <w:lang w:val="es-AR" w:eastAsia="es-ES"/>
        </w:rPr>
        <w:t xml:space="preserve">en la </w:t>
      </w:r>
      <w:r w:rsidR="004E2883" w:rsidRPr="00546790">
        <w:rPr>
          <w:rFonts w:ascii="Garamond" w:eastAsia="MS Mincho" w:hAnsi="Garamond"/>
          <w:iCs/>
          <w:szCs w:val="18"/>
          <w:lang w:val="es-AR" w:eastAsia="es-ES"/>
        </w:rPr>
        <w:t>sección</w:t>
      </w:r>
      <w:r w:rsidR="004E2883" w:rsidRPr="00CA3A3D">
        <w:rPr>
          <w:rFonts w:ascii="Garamond" w:eastAsia="MS Mincho" w:hAnsi="Garamond"/>
          <w:i/>
          <w:szCs w:val="18"/>
          <w:lang w:val="es-AR" w:eastAsia="es-ES"/>
        </w:rPr>
        <w:t xml:space="preserve"> </w:t>
      </w:r>
      <w:r w:rsidRPr="00CA3A3D">
        <w:rPr>
          <w:rFonts w:ascii="Garamond" w:eastAsia="MS Mincho" w:hAnsi="Garamond"/>
          <w:i/>
          <w:szCs w:val="18"/>
          <w:lang w:val="es-AR" w:eastAsia="es-ES"/>
        </w:rPr>
        <w:t xml:space="preserve">“Plan de Distribución” </w:t>
      </w:r>
      <w:r w:rsidR="004E2883" w:rsidRPr="00582114">
        <w:rPr>
          <w:rFonts w:ascii="Garamond" w:eastAsia="MS Mincho" w:hAnsi="Garamond"/>
          <w:iCs/>
          <w:szCs w:val="18"/>
          <w:lang w:val="es-AR" w:eastAsia="es-ES"/>
        </w:rPr>
        <w:t xml:space="preserve">del presente </w:t>
      </w:r>
      <w:r w:rsidR="004E2883" w:rsidRPr="00546790">
        <w:rPr>
          <w:rFonts w:ascii="Garamond" w:eastAsia="MS Mincho" w:hAnsi="Garamond"/>
          <w:iCs/>
          <w:szCs w:val="18"/>
          <w:lang w:val="es-AR" w:eastAsia="es-ES"/>
        </w:rPr>
        <w:t>Suplemento</w:t>
      </w:r>
      <w:r w:rsidRPr="00CA3A3D">
        <w:rPr>
          <w:rFonts w:ascii="Garamond" w:eastAsia="MS Mincho" w:hAnsi="Garamond"/>
          <w:i/>
          <w:szCs w:val="18"/>
          <w:lang w:val="es-AR" w:eastAsia="es-ES"/>
        </w:rPr>
        <w:t xml:space="preserve">. </w:t>
      </w:r>
    </w:p>
    <w:p w14:paraId="627AA0AC" w14:textId="77777777" w:rsidR="003D6347" w:rsidRPr="00CA3A3D" w:rsidRDefault="003D6347" w:rsidP="00060DAB">
      <w:pPr>
        <w:tabs>
          <w:tab w:val="left" w:pos="3606"/>
        </w:tabs>
        <w:spacing w:before="120" w:after="120" w:line="240" w:lineRule="auto"/>
        <w:jc w:val="both"/>
        <w:rPr>
          <w:rFonts w:ascii="Garamond" w:hAnsi="Garamond"/>
          <w:sz w:val="20"/>
          <w:lang w:val="es-AR"/>
        </w:rPr>
      </w:pPr>
    </w:p>
    <w:p w14:paraId="5A7AF15D" w14:textId="77777777" w:rsidR="00A37D99" w:rsidRPr="00CA3A3D" w:rsidRDefault="00A37D99" w:rsidP="008B0923">
      <w:pPr>
        <w:rPr>
          <w:rFonts w:ascii="Garamond" w:hAnsi="Garamond"/>
          <w:lang w:val="es-AR" w:eastAsia="es-ES"/>
        </w:rPr>
      </w:pPr>
    </w:p>
    <w:p w14:paraId="06686FEF" w14:textId="77777777" w:rsidR="00354069" w:rsidRPr="00CA3A3D" w:rsidRDefault="00354069" w:rsidP="00354069">
      <w:pPr>
        <w:rPr>
          <w:rFonts w:ascii="Garamond" w:eastAsia="MS Mincho" w:hAnsi="Garamond" w:cs="Times New Roman"/>
          <w:sz w:val="24"/>
          <w:szCs w:val="20"/>
          <w:lang w:val="es-AR" w:eastAsia="es-ES"/>
        </w:rPr>
      </w:pPr>
      <w:r w:rsidRPr="00CA3A3D">
        <w:rPr>
          <w:rFonts w:ascii="Garamond" w:eastAsia="MS Mincho" w:hAnsi="Garamond" w:cs="Times New Roman"/>
          <w:sz w:val="24"/>
          <w:szCs w:val="20"/>
          <w:lang w:val="es-AR" w:eastAsia="es-ES"/>
        </w:rPr>
        <w:br w:type="page"/>
      </w:r>
    </w:p>
    <w:p w14:paraId="21409EDD" w14:textId="77777777" w:rsidR="00354069" w:rsidRPr="00713D6E" w:rsidRDefault="00354069" w:rsidP="00060DAB">
      <w:pPr>
        <w:widowControl w:val="0"/>
        <w:spacing w:before="120" w:after="120" w:line="240" w:lineRule="auto"/>
        <w:contextualSpacing/>
        <w:jc w:val="center"/>
        <w:outlineLvl w:val="0"/>
        <w:rPr>
          <w:rFonts w:ascii="Garamond" w:eastAsia="MS Mincho" w:hAnsi="Garamond" w:cs="Times New Roman"/>
          <w:b/>
          <w:szCs w:val="18"/>
          <w:lang w:val="es-AR" w:eastAsia="es-ES"/>
        </w:rPr>
      </w:pPr>
      <w:bookmarkStart w:id="97" w:name="_Toc14922251"/>
      <w:r w:rsidRPr="00CA0A60">
        <w:rPr>
          <w:rFonts w:ascii="Garamond" w:eastAsia="MS Mincho" w:hAnsi="Garamond" w:cs="Times New Roman"/>
          <w:b/>
          <w:sz w:val="24"/>
          <w:szCs w:val="20"/>
          <w:lang w:val="es-AR" w:eastAsia="es-ES"/>
        </w:rPr>
        <w:lastRenderedPageBreak/>
        <w:t>HECHOS POSTERIORES AL CIERRE</w:t>
      </w:r>
      <w:bookmarkEnd w:id="97"/>
    </w:p>
    <w:p w14:paraId="401A7268" w14:textId="77777777" w:rsidR="00354069" w:rsidRPr="00CA3A3D" w:rsidRDefault="00354069" w:rsidP="00060DAB">
      <w:pPr>
        <w:spacing w:before="120" w:after="120" w:line="240" w:lineRule="auto"/>
        <w:contextualSpacing/>
        <w:rPr>
          <w:rFonts w:ascii="Garamond" w:eastAsia="MS Mincho" w:hAnsi="Garamond" w:cs="Times New Roman"/>
          <w:sz w:val="24"/>
          <w:szCs w:val="20"/>
          <w:lang w:val="es-AR" w:eastAsia="es-ES"/>
        </w:rPr>
      </w:pPr>
    </w:p>
    <w:p w14:paraId="7F4ECDE9" w14:textId="1B742B28" w:rsidR="00354069" w:rsidRPr="00CA3A3D" w:rsidRDefault="00F8428B" w:rsidP="00060DAB">
      <w:pPr>
        <w:spacing w:before="120" w:after="120" w:line="240" w:lineRule="auto"/>
        <w:contextualSpacing/>
        <w:jc w:val="both"/>
        <w:rPr>
          <w:rFonts w:ascii="Garamond" w:eastAsia="MS Mincho" w:hAnsi="Garamond" w:cs="Times New Roman"/>
          <w:sz w:val="24"/>
          <w:szCs w:val="20"/>
          <w:lang w:val="es-AR" w:eastAsia="es-ES"/>
        </w:rPr>
      </w:pPr>
      <w:r w:rsidRPr="00CA3A3D">
        <w:rPr>
          <w:rFonts w:ascii="Garamond" w:eastAsia="MS Mincho" w:hAnsi="Garamond" w:cs="Times New Roman"/>
          <w:sz w:val="20"/>
          <w:szCs w:val="20"/>
          <w:lang w:val="es-AR" w:eastAsia="es-ES"/>
        </w:rPr>
        <w:t>A la fecha del presente Suplemento, no hubo hechos significativos posteriores al cierre de los estados financieros al 3</w:t>
      </w:r>
      <w:r w:rsidR="006829B6" w:rsidRPr="00CA3A3D">
        <w:rPr>
          <w:rFonts w:ascii="Garamond" w:eastAsia="MS Mincho" w:hAnsi="Garamond" w:cs="Times New Roman"/>
          <w:sz w:val="20"/>
          <w:szCs w:val="20"/>
          <w:lang w:val="es-AR" w:eastAsia="es-ES"/>
        </w:rPr>
        <w:t>1</w:t>
      </w:r>
      <w:r w:rsidRPr="00CA3A3D">
        <w:rPr>
          <w:rFonts w:ascii="Garamond" w:eastAsia="MS Mincho" w:hAnsi="Garamond" w:cs="Times New Roman"/>
          <w:sz w:val="20"/>
          <w:szCs w:val="20"/>
          <w:lang w:val="es-AR" w:eastAsia="es-ES"/>
        </w:rPr>
        <w:t xml:space="preserve"> de </w:t>
      </w:r>
      <w:r w:rsidR="008D4E6F" w:rsidRPr="00CA3A3D">
        <w:rPr>
          <w:rFonts w:ascii="Garamond" w:eastAsia="MS Mincho" w:hAnsi="Garamond" w:cs="Times New Roman"/>
          <w:sz w:val="20"/>
          <w:szCs w:val="20"/>
          <w:lang w:val="es-AR" w:eastAsia="es-ES"/>
        </w:rPr>
        <w:t xml:space="preserve">marzo </w:t>
      </w:r>
      <w:r w:rsidRPr="00CA3A3D">
        <w:rPr>
          <w:rFonts w:ascii="Garamond" w:eastAsia="MS Mincho" w:hAnsi="Garamond" w:cs="Times New Roman"/>
          <w:sz w:val="20"/>
          <w:szCs w:val="20"/>
          <w:lang w:val="es-AR" w:eastAsia="es-ES"/>
        </w:rPr>
        <w:t>de 201</w:t>
      </w:r>
      <w:r w:rsidR="008D4E6F" w:rsidRPr="00CA3A3D">
        <w:rPr>
          <w:rFonts w:ascii="Garamond" w:eastAsia="MS Mincho" w:hAnsi="Garamond" w:cs="Times New Roman"/>
          <w:sz w:val="20"/>
          <w:szCs w:val="20"/>
          <w:lang w:val="es-AR" w:eastAsia="es-ES"/>
        </w:rPr>
        <w:t>9</w:t>
      </w:r>
      <w:r w:rsidRPr="00CA3A3D">
        <w:rPr>
          <w:rFonts w:ascii="Garamond" w:eastAsia="MS Mincho" w:hAnsi="Garamond" w:cs="Times New Roman"/>
          <w:sz w:val="20"/>
          <w:szCs w:val="20"/>
          <w:lang w:val="es-AR" w:eastAsia="es-ES"/>
        </w:rPr>
        <w:t xml:space="preserve"> de las Co-Emisoras ni del Garante.</w:t>
      </w:r>
      <w:r w:rsidR="00354069" w:rsidRPr="00CA3A3D">
        <w:rPr>
          <w:rFonts w:ascii="Garamond" w:eastAsia="MS Mincho" w:hAnsi="Garamond" w:cs="Times New Roman"/>
          <w:sz w:val="24"/>
          <w:szCs w:val="20"/>
          <w:lang w:val="es-AR" w:eastAsia="es-ES"/>
        </w:rPr>
        <w:br w:type="page"/>
      </w:r>
    </w:p>
    <w:p w14:paraId="06207D03" w14:textId="77777777" w:rsidR="00354069" w:rsidRPr="00CA3A3D" w:rsidRDefault="00354069" w:rsidP="00060DAB">
      <w:pPr>
        <w:widowControl w:val="0"/>
        <w:spacing w:before="120" w:after="120" w:line="240" w:lineRule="auto"/>
        <w:jc w:val="center"/>
        <w:outlineLvl w:val="0"/>
        <w:rPr>
          <w:rFonts w:ascii="Garamond" w:eastAsia="MS Mincho" w:hAnsi="Garamond" w:cs="Times New Roman"/>
          <w:sz w:val="24"/>
          <w:szCs w:val="24"/>
          <w:lang w:val="es-AR" w:eastAsia="es-ES"/>
        </w:rPr>
      </w:pPr>
      <w:bookmarkStart w:id="98" w:name="_Toc14922252"/>
      <w:r w:rsidRPr="00CA3A3D">
        <w:rPr>
          <w:rFonts w:ascii="Garamond" w:eastAsia="MS Mincho" w:hAnsi="Garamond" w:cs="Times New Roman"/>
          <w:b/>
          <w:sz w:val="24"/>
          <w:szCs w:val="24"/>
          <w:lang w:val="es-AR" w:eastAsia="es-ES"/>
        </w:rPr>
        <w:lastRenderedPageBreak/>
        <w:t>INFORMACIÓN ADICIONAL</w:t>
      </w:r>
      <w:bookmarkEnd w:id="98"/>
    </w:p>
    <w:p w14:paraId="752F30A4" w14:textId="77777777" w:rsidR="00354069" w:rsidRPr="00CA3A3D" w:rsidRDefault="00354069" w:rsidP="00060DAB">
      <w:pPr>
        <w:widowControl w:val="0"/>
        <w:spacing w:before="120" w:after="120" w:line="240" w:lineRule="auto"/>
        <w:jc w:val="center"/>
        <w:outlineLvl w:val="0"/>
        <w:rPr>
          <w:rFonts w:ascii="Garamond" w:eastAsia="MS Mincho" w:hAnsi="Garamond" w:cs="Times New Roman"/>
          <w:b/>
          <w:szCs w:val="18"/>
          <w:lang w:val="es-AR" w:eastAsia="es-ES"/>
        </w:rPr>
      </w:pPr>
    </w:p>
    <w:p w14:paraId="684F8446" w14:textId="77777777" w:rsidR="00132755" w:rsidRPr="00CA3A3D" w:rsidRDefault="00F16EB7" w:rsidP="00060DAB">
      <w:pPr>
        <w:spacing w:before="120" w:after="120" w:line="240" w:lineRule="auto"/>
        <w:rPr>
          <w:rFonts w:ascii="Garamond" w:eastAsia="MS Mincho" w:hAnsi="Garamond" w:cs="Times New Roman"/>
          <w:b/>
          <w:sz w:val="24"/>
          <w:szCs w:val="20"/>
          <w:lang w:val="es-AR" w:eastAsia="es-ES"/>
        </w:rPr>
      </w:pPr>
      <w:r w:rsidRPr="00CA3A3D">
        <w:rPr>
          <w:rFonts w:ascii="Garamond" w:eastAsia="MS Mincho" w:hAnsi="Garamond" w:cs="Times New Roman"/>
          <w:b/>
          <w:sz w:val="20"/>
          <w:szCs w:val="20"/>
          <w:lang w:val="es-AR" w:eastAsia="es-ES"/>
        </w:rPr>
        <w:t>Documentos a disposición</w:t>
      </w:r>
    </w:p>
    <w:p w14:paraId="5BFCBC68" w14:textId="77777777" w:rsidR="00354069" w:rsidRPr="00CA3A3D" w:rsidRDefault="00132755" w:rsidP="00060DAB">
      <w:pPr>
        <w:spacing w:before="120" w:after="120" w:line="240" w:lineRule="auto"/>
        <w:jc w:val="both"/>
        <w:rPr>
          <w:rFonts w:ascii="Garamond" w:eastAsia="MS Mincho" w:hAnsi="Garamond" w:cs="Times New Roman"/>
          <w:sz w:val="20"/>
          <w:szCs w:val="20"/>
          <w:lang w:val="es-AR" w:eastAsia="es-ES"/>
        </w:rPr>
      </w:pPr>
      <w:r w:rsidRPr="00CA3A3D">
        <w:rPr>
          <w:rFonts w:ascii="Garamond" w:eastAsia="MS Mincho" w:hAnsi="Garamond" w:cs="Times New Roman"/>
          <w:sz w:val="20"/>
          <w:szCs w:val="20"/>
          <w:lang w:val="es-AR" w:eastAsia="es-ES"/>
        </w:rPr>
        <w:t xml:space="preserve">El presente </w:t>
      </w:r>
      <w:r w:rsidR="00F16EB7" w:rsidRPr="00CA3A3D">
        <w:rPr>
          <w:rFonts w:ascii="Garamond" w:eastAsia="MS Mincho" w:hAnsi="Garamond" w:cs="Times New Roman"/>
          <w:sz w:val="20"/>
          <w:szCs w:val="20"/>
          <w:lang w:val="es-AR" w:eastAsia="es-ES"/>
        </w:rPr>
        <w:t>Suplemento</w:t>
      </w:r>
      <w:r w:rsidRPr="00CA3A3D">
        <w:rPr>
          <w:rFonts w:ascii="Garamond" w:eastAsia="MS Mincho" w:hAnsi="Garamond" w:cs="Times New Roman"/>
          <w:sz w:val="20"/>
          <w:szCs w:val="20"/>
          <w:lang w:val="es-AR" w:eastAsia="es-ES"/>
        </w:rPr>
        <w:t xml:space="preserve"> y los estados financieros incluidos en el mismo se encuentran a disposición de los interesados en la sede social de las Compañías, sita en Av. Leandro N. Alem 855 / Piso 14º, Ciudad Autónoma de Buenos Aires, en la página web del grupo www.albanesi.com.ar, en los sistemas informáticos de aquellos mercados en los que se listen las Obligaciones Negociables, así como en la página web de la CNV </w:t>
      </w:r>
      <w:r w:rsidR="00F16EB7" w:rsidRPr="00CA3A3D">
        <w:rPr>
          <w:rFonts w:ascii="Garamond" w:eastAsia="MS Mincho" w:hAnsi="Garamond" w:cs="Times New Roman"/>
          <w:sz w:val="20"/>
          <w:szCs w:val="20"/>
          <w:lang w:val="es-AR" w:eastAsia="es-ES"/>
        </w:rPr>
        <w:t>(</w:t>
      </w:r>
      <w:r w:rsidRPr="00CA3A3D">
        <w:rPr>
          <w:rFonts w:ascii="Garamond" w:eastAsia="MS Mincho" w:hAnsi="Garamond" w:cs="Times New Roman"/>
          <w:sz w:val="20"/>
          <w:szCs w:val="20"/>
          <w:lang w:val="es-AR" w:eastAsia="es-ES"/>
        </w:rPr>
        <w:t>http://www.cnv.go</w:t>
      </w:r>
      <w:r w:rsidR="00F317D5" w:rsidRPr="00CA3A3D">
        <w:rPr>
          <w:rFonts w:ascii="Garamond" w:eastAsia="MS Mincho" w:hAnsi="Garamond" w:cs="Times New Roman"/>
          <w:sz w:val="20"/>
          <w:szCs w:val="20"/>
          <w:lang w:val="es-AR" w:eastAsia="es-ES"/>
        </w:rPr>
        <w:t>v</w:t>
      </w:r>
      <w:r w:rsidRPr="00CA3A3D">
        <w:rPr>
          <w:rFonts w:ascii="Garamond" w:eastAsia="MS Mincho" w:hAnsi="Garamond" w:cs="Times New Roman"/>
          <w:sz w:val="20"/>
          <w:szCs w:val="20"/>
          <w:lang w:val="es-AR" w:eastAsia="es-ES"/>
        </w:rPr>
        <w:t>.ar</w:t>
      </w:r>
      <w:r w:rsidR="00F16EB7" w:rsidRPr="00CA3A3D">
        <w:rPr>
          <w:rFonts w:ascii="Garamond" w:eastAsia="MS Mincho" w:hAnsi="Garamond" w:cs="Times New Roman"/>
          <w:sz w:val="20"/>
          <w:szCs w:val="20"/>
          <w:lang w:val="es-AR" w:eastAsia="es-ES"/>
        </w:rPr>
        <w:t>)</w:t>
      </w:r>
      <w:r w:rsidRPr="00CA3A3D">
        <w:rPr>
          <w:rFonts w:ascii="Garamond" w:eastAsia="MS Mincho" w:hAnsi="Garamond" w:cs="Times New Roman"/>
          <w:sz w:val="20"/>
          <w:szCs w:val="20"/>
          <w:lang w:val="es-AR" w:eastAsia="es-ES"/>
        </w:rPr>
        <w:t xml:space="preserve"> en el ítem información financiera. </w:t>
      </w:r>
      <w:r w:rsidR="00354069" w:rsidRPr="00CA3A3D">
        <w:rPr>
          <w:rFonts w:ascii="Garamond" w:eastAsia="MS Mincho" w:hAnsi="Garamond" w:cs="Times New Roman"/>
          <w:sz w:val="20"/>
          <w:szCs w:val="20"/>
          <w:lang w:val="es-AR" w:eastAsia="es-ES"/>
        </w:rPr>
        <w:br w:type="page"/>
      </w:r>
    </w:p>
    <w:p w14:paraId="45B16B9A" w14:textId="0ED58F16" w:rsidR="00354069" w:rsidRPr="00CA0A60" w:rsidRDefault="00354069" w:rsidP="00060DAB">
      <w:pPr>
        <w:widowControl w:val="0"/>
        <w:spacing w:before="120" w:after="120" w:line="240" w:lineRule="auto"/>
        <w:jc w:val="center"/>
        <w:outlineLvl w:val="0"/>
        <w:rPr>
          <w:rFonts w:ascii="Garamond" w:eastAsia="MS Mincho" w:hAnsi="Garamond" w:cs="Times New Roman"/>
          <w:b/>
          <w:szCs w:val="18"/>
          <w:lang w:val="es-AR" w:eastAsia="es-ES"/>
        </w:rPr>
      </w:pPr>
      <w:bookmarkStart w:id="99" w:name="_Toc14922253"/>
      <w:r w:rsidRPr="00CA3A3D">
        <w:rPr>
          <w:rFonts w:ascii="Garamond" w:eastAsia="MS Mincho" w:hAnsi="Garamond" w:cs="Times New Roman"/>
          <w:b/>
          <w:szCs w:val="18"/>
          <w:lang w:val="es-AR" w:eastAsia="es-ES"/>
        </w:rPr>
        <w:lastRenderedPageBreak/>
        <w:t>INCORPORACIÓN DE INFORMACIÓN POR REFERENCIA</w:t>
      </w:r>
      <w:bookmarkEnd w:id="99"/>
    </w:p>
    <w:p w14:paraId="3793568E" w14:textId="77777777" w:rsidR="00354069" w:rsidRPr="00CA3A3D" w:rsidRDefault="00354069" w:rsidP="00060DAB">
      <w:pPr>
        <w:spacing w:before="120" w:after="120" w:line="240" w:lineRule="auto"/>
        <w:rPr>
          <w:rFonts w:ascii="Garamond" w:eastAsia="MS Mincho" w:hAnsi="Garamond" w:cs="Times New Roman"/>
          <w:sz w:val="24"/>
          <w:szCs w:val="20"/>
          <w:lang w:val="es-AR" w:eastAsia="es-ES"/>
        </w:rPr>
      </w:pPr>
    </w:p>
    <w:p w14:paraId="7FDECFD6" w14:textId="77777777" w:rsidR="00720A4E" w:rsidRPr="00CA3A3D" w:rsidRDefault="00720A4E" w:rsidP="00060DAB">
      <w:pPr>
        <w:spacing w:before="120" w:after="120" w:line="240" w:lineRule="auto"/>
        <w:jc w:val="both"/>
        <w:rPr>
          <w:rFonts w:ascii="Garamond" w:hAnsi="Garamond"/>
          <w:sz w:val="20"/>
          <w:lang w:val="es-AR"/>
        </w:rPr>
      </w:pPr>
      <w:r w:rsidRPr="00CA3A3D">
        <w:rPr>
          <w:rFonts w:ascii="Garamond" w:hAnsi="Garamond"/>
          <w:sz w:val="20"/>
          <w:lang w:val="es-AR"/>
        </w:rPr>
        <w:t xml:space="preserve">Los estados contables </w:t>
      </w:r>
      <w:r w:rsidR="00DF296C" w:rsidRPr="00CA3A3D">
        <w:rPr>
          <w:rFonts w:ascii="Garamond" w:hAnsi="Garamond"/>
          <w:sz w:val="20"/>
          <w:lang w:val="es-AR"/>
        </w:rPr>
        <w:t xml:space="preserve">de GEMSA </w:t>
      </w:r>
      <w:r w:rsidRPr="00CA3A3D">
        <w:rPr>
          <w:rFonts w:ascii="Garamond" w:hAnsi="Garamond"/>
          <w:sz w:val="20"/>
          <w:lang w:val="es-AR"/>
        </w:rPr>
        <w:t xml:space="preserve">por los ejercicios finalizados al 31 de diciembre de </w:t>
      </w:r>
      <w:r w:rsidR="006829B6" w:rsidRPr="00CA3A3D">
        <w:rPr>
          <w:rFonts w:ascii="Garamond" w:hAnsi="Garamond"/>
          <w:sz w:val="20"/>
          <w:lang w:val="es-AR"/>
        </w:rPr>
        <w:t xml:space="preserve">2018, </w:t>
      </w:r>
      <w:r w:rsidRPr="00CA3A3D">
        <w:rPr>
          <w:rFonts w:ascii="Garamond" w:hAnsi="Garamond"/>
          <w:sz w:val="20"/>
          <w:lang w:val="es-AR"/>
        </w:rPr>
        <w:t>2017</w:t>
      </w:r>
      <w:r w:rsidR="006829B6" w:rsidRPr="00CA3A3D">
        <w:rPr>
          <w:rFonts w:ascii="Garamond" w:hAnsi="Garamond"/>
          <w:sz w:val="20"/>
          <w:lang w:val="es-AR"/>
        </w:rPr>
        <w:t xml:space="preserve"> y</w:t>
      </w:r>
      <w:r w:rsidR="00A108E1" w:rsidRPr="00CA3A3D">
        <w:rPr>
          <w:rFonts w:ascii="Garamond" w:hAnsi="Garamond"/>
          <w:sz w:val="20"/>
          <w:lang w:val="es-AR"/>
        </w:rPr>
        <w:t xml:space="preserve"> </w:t>
      </w:r>
      <w:r w:rsidRPr="00CA3A3D">
        <w:rPr>
          <w:rFonts w:ascii="Garamond" w:hAnsi="Garamond"/>
          <w:sz w:val="20"/>
          <w:lang w:val="es-AR"/>
        </w:rPr>
        <w:t>2016</w:t>
      </w:r>
      <w:r w:rsidR="00110D06" w:rsidRPr="00CA3A3D">
        <w:rPr>
          <w:rFonts w:ascii="Garamond" w:hAnsi="Garamond"/>
          <w:sz w:val="20"/>
          <w:lang w:val="es-AR"/>
        </w:rPr>
        <w:t xml:space="preserve"> </w:t>
      </w:r>
      <w:r w:rsidRPr="00CA3A3D">
        <w:rPr>
          <w:rFonts w:ascii="Garamond" w:hAnsi="Garamond"/>
          <w:sz w:val="20"/>
          <w:lang w:val="es-AR"/>
        </w:rPr>
        <w:t xml:space="preserve">se encuentran detallados en el Prospecto y disponibles en la página web y en las oficinas de las Compañías, así como en la AIF publicados bajo los ID </w:t>
      </w:r>
      <w:r w:rsidR="00A108E1" w:rsidRPr="00CA3A3D">
        <w:rPr>
          <w:rFonts w:ascii="Garamond" w:eastAsia="Calibri" w:hAnsi="Garamond"/>
          <w:sz w:val="20"/>
          <w:szCs w:val="20"/>
          <w:lang w:val="es-AR"/>
        </w:rPr>
        <w:t>2444268-D</w:t>
      </w:r>
      <w:r w:rsidR="006829B6" w:rsidRPr="00CA3A3D">
        <w:rPr>
          <w:rFonts w:ascii="Garamond" w:hAnsi="Garamond"/>
          <w:sz w:val="20"/>
          <w:szCs w:val="20"/>
          <w:lang w:val="es-AR"/>
        </w:rPr>
        <w:t xml:space="preserve">, </w:t>
      </w:r>
      <w:r w:rsidR="00DF296C" w:rsidRPr="00CA0A60">
        <w:rPr>
          <w:rFonts w:ascii="Garamond" w:hAnsi="Garamond"/>
          <w:sz w:val="20"/>
          <w:szCs w:val="20"/>
          <w:lang w:val="es-AR"/>
        </w:rPr>
        <w:t>4-561611-D</w:t>
      </w:r>
      <w:r w:rsidR="006829B6" w:rsidRPr="00713D6E">
        <w:rPr>
          <w:rFonts w:ascii="Garamond" w:hAnsi="Garamond"/>
          <w:sz w:val="20"/>
          <w:szCs w:val="20"/>
          <w:lang w:val="es-AR"/>
        </w:rPr>
        <w:t xml:space="preserve"> y</w:t>
      </w:r>
      <w:r w:rsidR="00DF296C" w:rsidRPr="00713D6E">
        <w:rPr>
          <w:rFonts w:ascii="Garamond" w:hAnsi="Garamond"/>
          <w:sz w:val="20"/>
          <w:szCs w:val="20"/>
          <w:lang w:val="es-AR"/>
        </w:rPr>
        <w:t xml:space="preserve"> 4-465197-D</w:t>
      </w:r>
      <w:r w:rsidRPr="00CA3A3D">
        <w:rPr>
          <w:rFonts w:ascii="Garamond" w:hAnsi="Garamond"/>
          <w:sz w:val="20"/>
          <w:lang w:val="es-AR"/>
        </w:rPr>
        <w:t>, respectivamente.</w:t>
      </w:r>
    </w:p>
    <w:p w14:paraId="5B05F2ED" w14:textId="77777777" w:rsidR="00DF296C" w:rsidRPr="00CA3A3D" w:rsidRDefault="00DF296C" w:rsidP="00060DAB">
      <w:pPr>
        <w:spacing w:before="120" w:after="120" w:line="240" w:lineRule="auto"/>
        <w:jc w:val="both"/>
        <w:rPr>
          <w:rFonts w:ascii="Garamond" w:hAnsi="Garamond"/>
          <w:sz w:val="20"/>
          <w:lang w:val="es-AR"/>
        </w:rPr>
      </w:pPr>
      <w:r w:rsidRPr="00CA3A3D">
        <w:rPr>
          <w:rFonts w:ascii="Garamond" w:hAnsi="Garamond"/>
          <w:sz w:val="20"/>
          <w:lang w:val="es-AR"/>
        </w:rPr>
        <w:t xml:space="preserve">Los estados contables de CTR por los ejercicios finalizados al 31 de diciembre de </w:t>
      </w:r>
      <w:r w:rsidR="006829B6" w:rsidRPr="00CA3A3D">
        <w:rPr>
          <w:rFonts w:ascii="Garamond" w:hAnsi="Garamond"/>
          <w:sz w:val="20"/>
          <w:lang w:val="es-AR"/>
        </w:rPr>
        <w:t xml:space="preserve">2018, </w:t>
      </w:r>
      <w:r w:rsidRPr="00CA3A3D">
        <w:rPr>
          <w:rFonts w:ascii="Garamond" w:hAnsi="Garamond"/>
          <w:sz w:val="20"/>
          <w:lang w:val="es-AR"/>
        </w:rPr>
        <w:t>2017</w:t>
      </w:r>
      <w:r w:rsidR="006829B6" w:rsidRPr="00CA3A3D">
        <w:rPr>
          <w:rFonts w:ascii="Garamond" w:hAnsi="Garamond"/>
          <w:sz w:val="20"/>
          <w:lang w:val="es-AR"/>
        </w:rPr>
        <w:t xml:space="preserve"> y</w:t>
      </w:r>
      <w:r w:rsidRPr="00CA3A3D">
        <w:rPr>
          <w:rFonts w:ascii="Garamond" w:hAnsi="Garamond"/>
          <w:sz w:val="20"/>
          <w:lang w:val="es-AR"/>
        </w:rPr>
        <w:t xml:space="preserve"> 2016 se encuentran detallados en el Prospecto y disponibles en la página web y en las oficinas de las Compañías, así como en la AIF publicados bajo los </w:t>
      </w:r>
      <w:r w:rsidR="006829B6" w:rsidRPr="00CA3A3D">
        <w:rPr>
          <w:rFonts w:ascii="Garamond" w:hAnsi="Garamond"/>
          <w:sz w:val="20"/>
          <w:lang w:val="es-AR"/>
        </w:rPr>
        <w:t xml:space="preserve">ID </w:t>
      </w:r>
      <w:r w:rsidR="00A108E1" w:rsidRPr="00CA3A3D">
        <w:rPr>
          <w:rFonts w:ascii="Garamond" w:eastAsia="Calibri" w:hAnsi="Garamond"/>
          <w:sz w:val="20"/>
          <w:szCs w:val="20"/>
          <w:lang w:val="es-AR"/>
        </w:rPr>
        <w:t>4-2444266-D</w:t>
      </w:r>
      <w:r w:rsidR="00A108E1" w:rsidRPr="00CA3A3D">
        <w:rPr>
          <w:rFonts w:ascii="Garamond" w:hAnsi="Garamond"/>
          <w:sz w:val="20"/>
          <w:szCs w:val="20"/>
          <w:lang w:val="es-AR"/>
        </w:rPr>
        <w:t>, 4-561553-D y 4-465220-D</w:t>
      </w:r>
      <w:r w:rsidRPr="00CA0A60">
        <w:rPr>
          <w:rFonts w:ascii="Garamond" w:hAnsi="Garamond"/>
          <w:sz w:val="20"/>
          <w:szCs w:val="20"/>
          <w:lang w:val="es-AR"/>
        </w:rPr>
        <w:t>, respectivamente</w:t>
      </w:r>
      <w:r w:rsidRPr="00CA3A3D">
        <w:rPr>
          <w:rFonts w:ascii="Garamond" w:hAnsi="Garamond"/>
          <w:sz w:val="20"/>
          <w:lang w:val="es-AR"/>
        </w:rPr>
        <w:t>.</w:t>
      </w:r>
    </w:p>
    <w:p w14:paraId="73E1CB83" w14:textId="0AED5F15" w:rsidR="00DF296C" w:rsidRPr="00CA3A3D" w:rsidRDefault="00DF296C" w:rsidP="00060DAB">
      <w:pPr>
        <w:spacing w:before="120" w:after="120" w:line="240" w:lineRule="auto"/>
        <w:jc w:val="both"/>
        <w:rPr>
          <w:rFonts w:ascii="Garamond" w:hAnsi="Garamond"/>
          <w:sz w:val="20"/>
          <w:lang w:val="es-AR"/>
        </w:rPr>
      </w:pPr>
      <w:r w:rsidRPr="00CA3A3D">
        <w:rPr>
          <w:rFonts w:ascii="Garamond" w:hAnsi="Garamond"/>
          <w:sz w:val="20"/>
          <w:lang w:val="es-AR"/>
        </w:rPr>
        <w:t xml:space="preserve">Los estados contables combinados de Albanesi y sus subsidiarias por los ejercicios finalizados al 31 de diciembre de </w:t>
      </w:r>
      <w:r w:rsidR="006829B6" w:rsidRPr="00CA3A3D">
        <w:rPr>
          <w:rFonts w:ascii="Garamond" w:hAnsi="Garamond"/>
          <w:sz w:val="20"/>
          <w:lang w:val="es-AR"/>
        </w:rPr>
        <w:t xml:space="preserve">2018, </w:t>
      </w:r>
      <w:r w:rsidRPr="00CA3A3D">
        <w:rPr>
          <w:rFonts w:ascii="Garamond" w:hAnsi="Garamond"/>
          <w:sz w:val="20"/>
          <w:lang w:val="es-AR"/>
        </w:rPr>
        <w:t>2017</w:t>
      </w:r>
      <w:r w:rsidR="008C1934" w:rsidRPr="00CA3A3D">
        <w:rPr>
          <w:rFonts w:ascii="Garamond" w:hAnsi="Garamond"/>
          <w:sz w:val="20"/>
          <w:lang w:val="es-AR"/>
        </w:rPr>
        <w:t>y</w:t>
      </w:r>
      <w:r w:rsidRPr="00CA3A3D">
        <w:rPr>
          <w:rFonts w:ascii="Garamond" w:hAnsi="Garamond"/>
          <w:sz w:val="20"/>
          <w:lang w:val="es-AR"/>
        </w:rPr>
        <w:t xml:space="preserve"> 2016 encuentran detallados en el Prospecto y disponibles en la página web y en las oficinas de las Compañías, así como en la AIF publicados bajo los </w:t>
      </w:r>
      <w:r w:rsidR="00753D11" w:rsidRPr="00CA3A3D">
        <w:rPr>
          <w:rFonts w:ascii="Garamond" w:hAnsi="Garamond"/>
          <w:sz w:val="20"/>
          <w:lang w:val="es-AR"/>
        </w:rPr>
        <w:t>ID</w:t>
      </w:r>
      <w:r w:rsidR="00A108E1" w:rsidRPr="00CA3A3D">
        <w:rPr>
          <w:rFonts w:ascii="Garamond" w:hAnsi="Garamond"/>
          <w:sz w:val="20"/>
          <w:lang w:val="es-AR"/>
        </w:rPr>
        <w:t xml:space="preserve"> </w:t>
      </w:r>
      <w:r w:rsidR="00A108E1" w:rsidRPr="00CA0A60">
        <w:rPr>
          <w:rFonts w:ascii="Garamond" w:hAnsi="Garamond"/>
          <w:sz w:val="20"/>
          <w:szCs w:val="20"/>
          <w:lang w:val="es-AR"/>
        </w:rPr>
        <w:t>4-2444270-D</w:t>
      </w:r>
      <w:r w:rsidR="00A108E1" w:rsidRPr="00CA3A3D">
        <w:rPr>
          <w:rFonts w:ascii="Garamond" w:hAnsi="Garamond" w:cs="Segoe UI"/>
          <w:color w:val="000000"/>
          <w:sz w:val="20"/>
          <w:szCs w:val="20"/>
          <w:lang w:val="es-AR"/>
        </w:rPr>
        <w:t>, 4-561697-D y 4-465104-D</w:t>
      </w:r>
      <w:r w:rsidRPr="00CA0A60">
        <w:rPr>
          <w:rFonts w:ascii="Garamond" w:hAnsi="Garamond"/>
          <w:sz w:val="20"/>
          <w:szCs w:val="20"/>
          <w:lang w:val="es-AR"/>
        </w:rPr>
        <w:t>, respectivamente</w:t>
      </w:r>
      <w:r w:rsidRPr="00CA3A3D">
        <w:rPr>
          <w:rFonts w:ascii="Garamond" w:hAnsi="Garamond"/>
          <w:sz w:val="20"/>
          <w:lang w:val="es-AR"/>
        </w:rPr>
        <w:t>.</w:t>
      </w:r>
    </w:p>
    <w:p w14:paraId="36D4C6B2" w14:textId="39F4469A" w:rsidR="00A4522A" w:rsidRPr="00CA3A3D" w:rsidRDefault="00A4522A" w:rsidP="00A4522A">
      <w:pPr>
        <w:spacing w:before="120" w:after="120" w:line="240" w:lineRule="auto"/>
        <w:jc w:val="both"/>
        <w:rPr>
          <w:rFonts w:ascii="Garamond" w:hAnsi="Garamond"/>
          <w:sz w:val="20"/>
          <w:lang w:val="es-AR"/>
        </w:rPr>
      </w:pPr>
      <w:r w:rsidRPr="00CA3A3D">
        <w:rPr>
          <w:rFonts w:ascii="Garamond" w:hAnsi="Garamond"/>
          <w:sz w:val="20"/>
          <w:lang w:val="es-AR"/>
        </w:rPr>
        <w:t xml:space="preserve">Los estados contables de GEMSA por los </w:t>
      </w:r>
      <w:r w:rsidR="009C35B9" w:rsidRPr="00CA3A3D">
        <w:rPr>
          <w:rFonts w:ascii="Garamond" w:hAnsi="Garamond"/>
          <w:sz w:val="20"/>
          <w:lang w:val="es-AR"/>
        </w:rPr>
        <w:t xml:space="preserve">períodos intermedios de tres meses </w:t>
      </w:r>
      <w:r w:rsidRPr="00CA3A3D">
        <w:rPr>
          <w:rFonts w:ascii="Garamond" w:hAnsi="Garamond"/>
          <w:sz w:val="20"/>
          <w:lang w:val="es-AR"/>
        </w:rPr>
        <w:t xml:space="preserve">al 31 de marzo de 2019 se encuentran detallados en el presente Suplemento en la Sección </w:t>
      </w:r>
      <w:r w:rsidRPr="00CA3A3D">
        <w:rPr>
          <w:rFonts w:ascii="Garamond" w:hAnsi="Garamond"/>
          <w:i/>
          <w:sz w:val="20"/>
          <w:lang w:val="es-AR"/>
        </w:rPr>
        <w:t>“Información Financiera”</w:t>
      </w:r>
      <w:r w:rsidRPr="00CA3A3D">
        <w:rPr>
          <w:rFonts w:ascii="Garamond" w:hAnsi="Garamond"/>
          <w:sz w:val="20"/>
          <w:lang w:val="es-AR"/>
        </w:rPr>
        <w:t xml:space="preserve"> y disponibles en la página web y en las oficinas de la Compañía, así como en la AIF publicados bajo el ID </w:t>
      </w:r>
      <w:r w:rsidR="000C4B9D" w:rsidRPr="00CA3A3D">
        <w:rPr>
          <w:rFonts w:ascii="Garamond" w:hAnsi="Garamond"/>
          <w:sz w:val="20"/>
          <w:lang w:val="es-AR"/>
        </w:rPr>
        <w:t>4-2471045-D</w:t>
      </w:r>
      <w:r w:rsidRPr="00CA3A3D">
        <w:rPr>
          <w:rFonts w:ascii="Garamond" w:hAnsi="Garamond"/>
          <w:sz w:val="20"/>
          <w:lang w:val="es-AR"/>
        </w:rPr>
        <w:t>.</w:t>
      </w:r>
    </w:p>
    <w:p w14:paraId="5838CC44" w14:textId="138C74D3" w:rsidR="00A4522A" w:rsidRPr="00CA3A3D" w:rsidRDefault="00A4522A" w:rsidP="00A4522A">
      <w:pPr>
        <w:spacing w:before="120" w:after="120" w:line="240" w:lineRule="auto"/>
        <w:jc w:val="both"/>
        <w:rPr>
          <w:rFonts w:ascii="Garamond" w:hAnsi="Garamond"/>
          <w:sz w:val="20"/>
          <w:lang w:val="es-AR"/>
        </w:rPr>
      </w:pPr>
      <w:r w:rsidRPr="00CA3A3D">
        <w:rPr>
          <w:rFonts w:ascii="Garamond" w:hAnsi="Garamond"/>
          <w:sz w:val="20"/>
          <w:lang w:val="es-AR"/>
        </w:rPr>
        <w:t xml:space="preserve">Los estados contables de CTR por los </w:t>
      </w:r>
      <w:r w:rsidR="009C35B9" w:rsidRPr="00CA3A3D">
        <w:rPr>
          <w:rFonts w:ascii="Garamond" w:hAnsi="Garamond"/>
          <w:sz w:val="20"/>
          <w:lang w:val="es-AR"/>
        </w:rPr>
        <w:t>períodos intermedios de tres meses</w:t>
      </w:r>
      <w:r w:rsidRPr="00CA3A3D">
        <w:rPr>
          <w:rFonts w:ascii="Garamond" w:hAnsi="Garamond"/>
          <w:sz w:val="20"/>
          <w:lang w:val="es-AR"/>
        </w:rPr>
        <w:t xml:space="preserve"> al 31 de marzo de 2019 se encuentran detallados en el presente Suplemento en la Sección </w:t>
      </w:r>
      <w:r w:rsidRPr="00CA3A3D">
        <w:rPr>
          <w:rFonts w:ascii="Garamond" w:hAnsi="Garamond"/>
          <w:i/>
          <w:sz w:val="20"/>
          <w:lang w:val="es-AR"/>
        </w:rPr>
        <w:t>“Información Financiera”</w:t>
      </w:r>
      <w:r w:rsidRPr="00CA3A3D">
        <w:rPr>
          <w:rFonts w:ascii="Garamond" w:hAnsi="Garamond"/>
          <w:sz w:val="20"/>
          <w:lang w:val="es-AR"/>
        </w:rPr>
        <w:t xml:space="preserve"> y disponibles en la página web y en las oficinas de la Compañía, así como en la AIF publicados bajo el ID </w:t>
      </w:r>
      <w:r w:rsidR="00893B6A" w:rsidRPr="00CA3A3D">
        <w:rPr>
          <w:rFonts w:ascii="Garamond" w:hAnsi="Garamond"/>
          <w:sz w:val="20"/>
          <w:lang w:val="es-AR"/>
        </w:rPr>
        <w:t>4-2470971-D</w:t>
      </w:r>
      <w:r w:rsidRPr="00CA3A3D">
        <w:rPr>
          <w:rFonts w:ascii="Garamond" w:hAnsi="Garamond"/>
          <w:sz w:val="20"/>
          <w:lang w:val="es-AR"/>
        </w:rPr>
        <w:t>.</w:t>
      </w:r>
    </w:p>
    <w:p w14:paraId="1E1A5BF1" w14:textId="24094FC2" w:rsidR="00A4522A" w:rsidRPr="00CA3A3D" w:rsidRDefault="00A4522A" w:rsidP="00A4522A">
      <w:pPr>
        <w:spacing w:before="120" w:after="120" w:line="240" w:lineRule="auto"/>
        <w:jc w:val="both"/>
        <w:rPr>
          <w:rFonts w:ascii="Garamond" w:hAnsi="Garamond"/>
          <w:sz w:val="20"/>
          <w:lang w:val="es-AR"/>
        </w:rPr>
      </w:pPr>
      <w:r w:rsidRPr="00CA3A3D">
        <w:rPr>
          <w:rFonts w:ascii="Garamond" w:hAnsi="Garamond"/>
          <w:sz w:val="20"/>
          <w:lang w:val="es-AR"/>
        </w:rPr>
        <w:t xml:space="preserve">Los estados contables de Albanesi por los </w:t>
      </w:r>
      <w:r w:rsidR="009C35B9" w:rsidRPr="00CA3A3D">
        <w:rPr>
          <w:rFonts w:ascii="Garamond" w:hAnsi="Garamond"/>
          <w:sz w:val="20"/>
          <w:lang w:val="es-AR"/>
        </w:rPr>
        <w:t xml:space="preserve">períodos intermedios de tres meses </w:t>
      </w:r>
      <w:r w:rsidRPr="00CA3A3D">
        <w:rPr>
          <w:rFonts w:ascii="Garamond" w:hAnsi="Garamond"/>
          <w:sz w:val="20"/>
          <w:lang w:val="es-AR"/>
        </w:rPr>
        <w:t xml:space="preserve">al 31 de marzo de 2019 se encuentran detallados en el presente Suplemento en la Sección </w:t>
      </w:r>
      <w:r w:rsidRPr="00CA3A3D">
        <w:rPr>
          <w:rFonts w:ascii="Garamond" w:hAnsi="Garamond"/>
          <w:i/>
          <w:sz w:val="20"/>
          <w:lang w:val="es-AR"/>
        </w:rPr>
        <w:t>“Información Financiera”</w:t>
      </w:r>
      <w:r w:rsidRPr="00CA3A3D">
        <w:rPr>
          <w:rFonts w:ascii="Garamond" w:hAnsi="Garamond"/>
          <w:sz w:val="20"/>
          <w:lang w:val="es-AR"/>
        </w:rPr>
        <w:t xml:space="preserve"> y disponibles en la página web y en las oficinas de la Compañía, así como en la AIF publicados bajo el ID </w:t>
      </w:r>
      <w:r w:rsidR="006406EE" w:rsidRPr="00CA3A3D">
        <w:rPr>
          <w:rFonts w:ascii="Garamond" w:hAnsi="Garamond"/>
          <w:sz w:val="20"/>
          <w:lang w:val="es-AR"/>
        </w:rPr>
        <w:t>4-2471373-D</w:t>
      </w:r>
      <w:r w:rsidRPr="00CA3A3D">
        <w:rPr>
          <w:rFonts w:ascii="Garamond" w:hAnsi="Garamond"/>
          <w:sz w:val="20"/>
          <w:lang w:val="es-AR"/>
        </w:rPr>
        <w:t>.</w:t>
      </w:r>
    </w:p>
    <w:p w14:paraId="506B019F" w14:textId="77777777" w:rsidR="00354069" w:rsidRPr="00CA3A3D" w:rsidRDefault="00354069" w:rsidP="00060DAB">
      <w:pPr>
        <w:spacing w:before="120" w:after="120" w:line="240" w:lineRule="auto"/>
        <w:rPr>
          <w:rFonts w:ascii="Garamond" w:eastAsia="MS Mincho" w:hAnsi="Garamond" w:cs="Times New Roman"/>
          <w:sz w:val="24"/>
          <w:szCs w:val="20"/>
          <w:lang w:val="es-AR" w:eastAsia="es-ES"/>
        </w:rPr>
      </w:pPr>
    </w:p>
    <w:p w14:paraId="4F7836D1" w14:textId="77777777" w:rsidR="001B0344" w:rsidRPr="00CA3A3D" w:rsidRDefault="001B0344" w:rsidP="00354069">
      <w:pPr>
        <w:spacing w:after="0" w:line="240" w:lineRule="auto"/>
        <w:rPr>
          <w:rFonts w:ascii="Garamond" w:eastAsia="MS Mincho" w:hAnsi="Garamond" w:cs="Times New Roman"/>
          <w:sz w:val="24"/>
          <w:szCs w:val="20"/>
          <w:lang w:val="es-AR" w:eastAsia="es-ES"/>
        </w:rPr>
      </w:pPr>
    </w:p>
    <w:p w14:paraId="478D7399" w14:textId="77777777" w:rsidR="00354069" w:rsidRPr="00CA3A3D" w:rsidRDefault="00354069" w:rsidP="00354069">
      <w:pPr>
        <w:rPr>
          <w:rFonts w:ascii="Garamond" w:eastAsia="MS Mincho" w:hAnsi="Garamond" w:cs="Times New Roman"/>
          <w:sz w:val="24"/>
          <w:szCs w:val="20"/>
          <w:lang w:val="es-AR" w:eastAsia="es-ES"/>
        </w:rPr>
      </w:pPr>
      <w:r w:rsidRPr="00CA3A3D">
        <w:rPr>
          <w:rFonts w:ascii="Garamond" w:eastAsia="MS Mincho" w:hAnsi="Garamond" w:cs="Times New Roman"/>
          <w:sz w:val="24"/>
          <w:szCs w:val="20"/>
          <w:lang w:val="es-AR" w:eastAsia="es-ES"/>
        </w:rPr>
        <w:br w:type="page"/>
      </w:r>
    </w:p>
    <w:tbl>
      <w:tblPr>
        <w:tblW w:w="8879" w:type="dxa"/>
        <w:jc w:val="center"/>
        <w:tblLayout w:type="fixed"/>
        <w:tblLook w:val="04A0" w:firstRow="1" w:lastRow="0" w:firstColumn="1" w:lastColumn="0" w:noHBand="0" w:noVBand="1"/>
      </w:tblPr>
      <w:tblGrid>
        <w:gridCol w:w="4439"/>
        <w:gridCol w:w="4440"/>
      </w:tblGrid>
      <w:tr w:rsidR="00EF69E9" w:rsidRPr="00CA0A60" w14:paraId="1B8952B4" w14:textId="77777777" w:rsidTr="00225B3A">
        <w:trPr>
          <w:trHeight w:val="283"/>
          <w:jc w:val="center"/>
        </w:trPr>
        <w:tc>
          <w:tcPr>
            <w:tcW w:w="8879" w:type="dxa"/>
            <w:gridSpan w:val="2"/>
            <w:shd w:val="clear" w:color="auto" w:fill="auto"/>
          </w:tcPr>
          <w:p w14:paraId="09A190BC" w14:textId="77777777" w:rsidR="00EF69E9" w:rsidRPr="00CA3A3D" w:rsidRDefault="00EF69E9" w:rsidP="00EF69E9">
            <w:pPr>
              <w:autoSpaceDE w:val="0"/>
              <w:autoSpaceDN w:val="0"/>
              <w:adjustRightInd w:val="0"/>
              <w:spacing w:after="0" w:line="240" w:lineRule="auto"/>
              <w:jc w:val="center"/>
              <w:rPr>
                <w:rFonts w:ascii="Garamond" w:hAnsi="Garamond" w:cs="Garamond"/>
                <w:b/>
                <w:bCs/>
                <w:color w:val="000000"/>
                <w:sz w:val="18"/>
                <w:szCs w:val="20"/>
                <w:lang w:val="es-AR"/>
              </w:rPr>
            </w:pPr>
            <w:r w:rsidRPr="00CA3A3D">
              <w:rPr>
                <w:rFonts w:ascii="Garamond" w:hAnsi="Garamond" w:cs="Garamond"/>
                <w:b/>
                <w:bCs/>
                <w:color w:val="000000"/>
                <w:sz w:val="18"/>
                <w:szCs w:val="20"/>
                <w:lang w:val="es-AR"/>
              </w:rPr>
              <w:lastRenderedPageBreak/>
              <w:t>CO-EMISORAS</w:t>
            </w:r>
          </w:p>
          <w:p w14:paraId="1AB2B8F9" w14:textId="77777777" w:rsidR="00EF69E9" w:rsidRPr="00CA3A3D" w:rsidRDefault="00EF69E9" w:rsidP="00E27442">
            <w:pPr>
              <w:autoSpaceDE w:val="0"/>
              <w:autoSpaceDN w:val="0"/>
              <w:adjustRightInd w:val="0"/>
              <w:spacing w:after="0" w:line="240" w:lineRule="auto"/>
              <w:jc w:val="center"/>
              <w:rPr>
                <w:rFonts w:ascii="Garamond" w:hAnsi="Garamond" w:cs="Garamond"/>
                <w:b/>
                <w:bCs/>
                <w:color w:val="000000"/>
                <w:sz w:val="18"/>
                <w:szCs w:val="20"/>
                <w:lang w:val="es-AR"/>
              </w:rPr>
            </w:pPr>
          </w:p>
        </w:tc>
      </w:tr>
      <w:tr w:rsidR="00EF69E9" w:rsidRPr="00CA0A60" w14:paraId="532523D8" w14:textId="77777777" w:rsidTr="00225B3A">
        <w:trPr>
          <w:trHeight w:val="425"/>
          <w:jc w:val="center"/>
        </w:trPr>
        <w:tc>
          <w:tcPr>
            <w:tcW w:w="4439" w:type="dxa"/>
            <w:shd w:val="clear" w:color="auto" w:fill="auto"/>
          </w:tcPr>
          <w:p w14:paraId="63654A7B" w14:textId="77777777"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b/>
                <w:bCs/>
                <w:color w:val="000000"/>
                <w:sz w:val="18"/>
                <w:szCs w:val="20"/>
                <w:lang w:val="es-AR"/>
              </w:rPr>
              <w:t>GENERACIÓN MEDITERRÁNEA S.A.</w:t>
            </w:r>
          </w:p>
          <w:p w14:paraId="59A11CA6" w14:textId="4F6564A5"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color w:val="000000"/>
                <w:sz w:val="18"/>
                <w:szCs w:val="20"/>
                <w:lang w:val="es-AR"/>
              </w:rPr>
              <w:t xml:space="preserve">Av. Leandro N. Alem 855, </w:t>
            </w:r>
            <w:r w:rsidR="008E338E" w:rsidRPr="00CA3A3D">
              <w:rPr>
                <w:rFonts w:ascii="Garamond" w:hAnsi="Garamond" w:cs="Garamond"/>
                <w:color w:val="000000"/>
                <w:sz w:val="18"/>
                <w:szCs w:val="20"/>
                <w:lang w:val="es-AR"/>
              </w:rPr>
              <w:t>p</w:t>
            </w:r>
            <w:r w:rsidRPr="00CA3A3D">
              <w:rPr>
                <w:rFonts w:ascii="Garamond" w:hAnsi="Garamond" w:cs="Garamond"/>
                <w:color w:val="000000"/>
                <w:sz w:val="18"/>
                <w:szCs w:val="20"/>
                <w:lang w:val="es-AR"/>
              </w:rPr>
              <w:t>iso 14</w:t>
            </w:r>
          </w:p>
          <w:p w14:paraId="291E2785" w14:textId="77777777"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color w:val="000000"/>
                <w:sz w:val="18"/>
                <w:szCs w:val="20"/>
                <w:lang w:val="es-AR"/>
              </w:rPr>
              <w:t>(C1001AAD) Ciudad Autónoma de Buenos Aires</w:t>
            </w:r>
          </w:p>
          <w:p w14:paraId="46D19E1A" w14:textId="77777777"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color w:val="000000"/>
                <w:sz w:val="18"/>
                <w:szCs w:val="20"/>
                <w:lang w:val="es-AR"/>
              </w:rPr>
              <w:t>Argentina</w:t>
            </w:r>
          </w:p>
          <w:p w14:paraId="3FBF0C5E" w14:textId="77777777" w:rsidR="00EF69E9" w:rsidRPr="00CA3A3D" w:rsidRDefault="00EF69E9" w:rsidP="00EF69E9">
            <w:pPr>
              <w:autoSpaceDE w:val="0"/>
              <w:autoSpaceDN w:val="0"/>
              <w:adjustRightInd w:val="0"/>
              <w:spacing w:after="0" w:line="240" w:lineRule="auto"/>
              <w:jc w:val="center"/>
              <w:rPr>
                <w:rFonts w:ascii="Garamond" w:hAnsi="Garamond" w:cs="Garamond"/>
                <w:b/>
                <w:bCs/>
                <w:color w:val="000000"/>
                <w:sz w:val="18"/>
                <w:szCs w:val="20"/>
                <w:lang w:val="es-AR"/>
              </w:rPr>
            </w:pPr>
          </w:p>
        </w:tc>
        <w:tc>
          <w:tcPr>
            <w:tcW w:w="4440" w:type="dxa"/>
            <w:shd w:val="clear" w:color="auto" w:fill="auto"/>
          </w:tcPr>
          <w:p w14:paraId="4CBA1813" w14:textId="77777777"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b/>
                <w:bCs/>
                <w:color w:val="000000"/>
                <w:sz w:val="18"/>
                <w:szCs w:val="20"/>
                <w:lang w:val="es-AR"/>
              </w:rPr>
              <w:t>CENTRAL TÉRMICA ROCA S.A.</w:t>
            </w:r>
          </w:p>
          <w:p w14:paraId="04319982" w14:textId="7FD2FABC"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color w:val="000000"/>
                <w:sz w:val="18"/>
                <w:szCs w:val="20"/>
                <w:lang w:val="es-AR"/>
              </w:rPr>
              <w:t>Av. Leandro N. Alem 855, piso 14</w:t>
            </w:r>
          </w:p>
          <w:p w14:paraId="189AF7BD" w14:textId="77777777"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color w:val="000000"/>
                <w:sz w:val="18"/>
                <w:szCs w:val="20"/>
                <w:lang w:val="es-AR"/>
              </w:rPr>
              <w:t>(C1001AAD) Ciudad Autónoma de Buenos Aires</w:t>
            </w:r>
          </w:p>
          <w:p w14:paraId="4A0EA29C" w14:textId="77777777"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color w:val="000000"/>
                <w:sz w:val="18"/>
                <w:szCs w:val="20"/>
                <w:lang w:val="es-AR"/>
              </w:rPr>
              <w:t>Argentina</w:t>
            </w:r>
          </w:p>
          <w:p w14:paraId="7896E9D9" w14:textId="77777777" w:rsidR="00EF69E9" w:rsidRPr="00CA3A3D" w:rsidRDefault="00EF69E9" w:rsidP="00EF69E9">
            <w:pPr>
              <w:autoSpaceDE w:val="0"/>
              <w:autoSpaceDN w:val="0"/>
              <w:adjustRightInd w:val="0"/>
              <w:spacing w:after="0" w:line="240" w:lineRule="auto"/>
              <w:jc w:val="center"/>
              <w:rPr>
                <w:rFonts w:ascii="Garamond" w:hAnsi="Garamond" w:cs="Garamond"/>
                <w:b/>
                <w:bCs/>
                <w:color w:val="000000"/>
                <w:sz w:val="18"/>
                <w:szCs w:val="20"/>
                <w:lang w:val="es-AR"/>
              </w:rPr>
            </w:pPr>
          </w:p>
        </w:tc>
      </w:tr>
      <w:tr w:rsidR="00E27442" w:rsidRPr="00CA0A60" w14:paraId="3DFE52DE" w14:textId="77777777" w:rsidTr="00225B3A">
        <w:trPr>
          <w:trHeight w:val="1310"/>
          <w:jc w:val="center"/>
        </w:trPr>
        <w:tc>
          <w:tcPr>
            <w:tcW w:w="8879" w:type="dxa"/>
            <w:gridSpan w:val="2"/>
            <w:shd w:val="clear" w:color="auto" w:fill="auto"/>
          </w:tcPr>
          <w:p w14:paraId="28A71981" w14:textId="77777777" w:rsidR="00EF69E9" w:rsidRPr="00CA3A3D" w:rsidRDefault="00EF69E9" w:rsidP="00E27442">
            <w:pPr>
              <w:autoSpaceDE w:val="0"/>
              <w:autoSpaceDN w:val="0"/>
              <w:adjustRightInd w:val="0"/>
              <w:spacing w:after="0" w:line="240" w:lineRule="auto"/>
              <w:jc w:val="center"/>
              <w:rPr>
                <w:rFonts w:ascii="Garamond" w:hAnsi="Garamond" w:cs="Garamond"/>
                <w:b/>
                <w:bCs/>
                <w:color w:val="000000"/>
                <w:sz w:val="18"/>
                <w:szCs w:val="20"/>
                <w:lang w:val="es-AR"/>
              </w:rPr>
            </w:pPr>
            <w:r w:rsidRPr="00CA3A3D">
              <w:rPr>
                <w:rFonts w:ascii="Garamond" w:hAnsi="Garamond" w:cs="Garamond"/>
                <w:b/>
                <w:bCs/>
                <w:color w:val="000000"/>
                <w:sz w:val="18"/>
                <w:szCs w:val="20"/>
                <w:lang w:val="es-AR"/>
              </w:rPr>
              <w:t>GARANTE</w:t>
            </w:r>
          </w:p>
          <w:p w14:paraId="1B319C6E" w14:textId="77777777" w:rsidR="00E27442" w:rsidRPr="00CA3A3D" w:rsidRDefault="00E27442" w:rsidP="00E27442">
            <w:pPr>
              <w:autoSpaceDE w:val="0"/>
              <w:autoSpaceDN w:val="0"/>
              <w:adjustRightInd w:val="0"/>
              <w:spacing w:after="0" w:line="240" w:lineRule="auto"/>
              <w:jc w:val="center"/>
              <w:rPr>
                <w:rFonts w:ascii="Garamond" w:hAnsi="Garamond" w:cs="Garamond"/>
                <w:color w:val="000000"/>
                <w:sz w:val="18"/>
                <w:szCs w:val="20"/>
                <w:lang w:val="es-AR"/>
              </w:rPr>
            </w:pPr>
          </w:p>
          <w:p w14:paraId="5C4EE69F" w14:textId="77777777" w:rsidR="00E27442" w:rsidRPr="00CA3A3D" w:rsidRDefault="00EF69E9" w:rsidP="00E27442">
            <w:pPr>
              <w:autoSpaceDE w:val="0"/>
              <w:autoSpaceDN w:val="0"/>
              <w:adjustRightInd w:val="0"/>
              <w:spacing w:after="0" w:line="240" w:lineRule="auto"/>
              <w:jc w:val="center"/>
              <w:rPr>
                <w:rFonts w:ascii="Garamond" w:hAnsi="Garamond" w:cs="Garamond"/>
                <w:b/>
                <w:color w:val="000000"/>
                <w:sz w:val="18"/>
                <w:szCs w:val="20"/>
                <w:lang w:val="es-AR"/>
              </w:rPr>
            </w:pPr>
            <w:r w:rsidRPr="00CA3A3D">
              <w:rPr>
                <w:rFonts w:ascii="Garamond" w:hAnsi="Garamond" w:cs="Garamond"/>
                <w:b/>
                <w:color w:val="000000"/>
                <w:sz w:val="18"/>
                <w:szCs w:val="20"/>
                <w:lang w:val="es-AR"/>
              </w:rPr>
              <w:t>ALBANESI S.A.</w:t>
            </w:r>
          </w:p>
          <w:p w14:paraId="41649F8A" w14:textId="5BE9F49B"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color w:val="000000"/>
                <w:sz w:val="18"/>
                <w:szCs w:val="20"/>
                <w:lang w:val="es-AR"/>
              </w:rPr>
              <w:t xml:space="preserve">Av. Leandro N. Alem 855, </w:t>
            </w:r>
            <w:r w:rsidR="008E338E" w:rsidRPr="00CA3A3D">
              <w:rPr>
                <w:rFonts w:ascii="Garamond" w:hAnsi="Garamond" w:cs="Garamond"/>
                <w:color w:val="000000"/>
                <w:sz w:val="18"/>
                <w:szCs w:val="20"/>
                <w:lang w:val="es-AR"/>
              </w:rPr>
              <w:t>p</w:t>
            </w:r>
            <w:r w:rsidRPr="00CA3A3D">
              <w:rPr>
                <w:rFonts w:ascii="Garamond" w:hAnsi="Garamond" w:cs="Garamond"/>
                <w:color w:val="000000"/>
                <w:sz w:val="18"/>
                <w:szCs w:val="20"/>
                <w:lang w:val="es-AR"/>
              </w:rPr>
              <w:t>iso 14</w:t>
            </w:r>
          </w:p>
          <w:p w14:paraId="040726B2" w14:textId="77777777"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color w:val="000000"/>
                <w:sz w:val="18"/>
                <w:szCs w:val="20"/>
                <w:lang w:val="es-AR"/>
              </w:rPr>
              <w:t>(C1001AAD) Ciudad Autónoma de Buenos Aires</w:t>
            </w:r>
          </w:p>
          <w:p w14:paraId="62688868" w14:textId="77777777" w:rsidR="00EF69E9" w:rsidRPr="00CA3A3D" w:rsidRDefault="00EF69E9" w:rsidP="00EF69E9">
            <w:pPr>
              <w:autoSpaceDE w:val="0"/>
              <w:autoSpaceDN w:val="0"/>
              <w:adjustRightInd w:val="0"/>
              <w:spacing w:after="0" w:line="240" w:lineRule="auto"/>
              <w:jc w:val="center"/>
              <w:rPr>
                <w:rFonts w:ascii="Garamond" w:hAnsi="Garamond" w:cs="Garamond"/>
                <w:color w:val="000000"/>
                <w:sz w:val="18"/>
                <w:szCs w:val="20"/>
                <w:lang w:val="es-AR"/>
              </w:rPr>
            </w:pPr>
            <w:r w:rsidRPr="00CA3A3D">
              <w:rPr>
                <w:rFonts w:ascii="Garamond" w:hAnsi="Garamond" w:cs="Garamond"/>
                <w:color w:val="000000"/>
                <w:sz w:val="18"/>
                <w:szCs w:val="20"/>
                <w:lang w:val="es-AR"/>
              </w:rPr>
              <w:t>Argentina</w:t>
            </w:r>
          </w:p>
          <w:p w14:paraId="1DCF0334" w14:textId="77777777" w:rsidR="00EF69E9" w:rsidRPr="00CA3A3D" w:rsidRDefault="00EF69E9" w:rsidP="00E27442">
            <w:pPr>
              <w:autoSpaceDE w:val="0"/>
              <w:autoSpaceDN w:val="0"/>
              <w:adjustRightInd w:val="0"/>
              <w:spacing w:after="0" w:line="240" w:lineRule="auto"/>
              <w:jc w:val="center"/>
              <w:rPr>
                <w:rFonts w:ascii="Garamond" w:hAnsi="Garamond" w:cs="Garamond"/>
                <w:color w:val="000000"/>
                <w:sz w:val="18"/>
                <w:szCs w:val="20"/>
                <w:lang w:val="es-AR"/>
              </w:rPr>
            </w:pPr>
          </w:p>
          <w:p w14:paraId="2E780729" w14:textId="77777777" w:rsidR="00E27442" w:rsidRPr="00CA3A3D" w:rsidRDefault="00E27442" w:rsidP="008B0923">
            <w:pPr>
              <w:autoSpaceDE w:val="0"/>
              <w:autoSpaceDN w:val="0"/>
              <w:adjustRightInd w:val="0"/>
              <w:spacing w:after="0" w:line="240" w:lineRule="auto"/>
              <w:jc w:val="center"/>
              <w:rPr>
                <w:rFonts w:ascii="Garamond" w:hAnsi="Garamond" w:cs="Calibri"/>
                <w:b/>
                <w:sz w:val="18"/>
                <w:szCs w:val="20"/>
                <w:lang w:val="es-AR"/>
              </w:rPr>
            </w:pPr>
          </w:p>
        </w:tc>
      </w:tr>
      <w:tr w:rsidR="00E27442" w:rsidRPr="00B81D9F" w14:paraId="42566B7C" w14:textId="77777777" w:rsidTr="00225B3A">
        <w:trPr>
          <w:trHeight w:val="767"/>
          <w:jc w:val="center"/>
        </w:trPr>
        <w:tc>
          <w:tcPr>
            <w:tcW w:w="8879" w:type="dxa"/>
            <w:gridSpan w:val="2"/>
            <w:shd w:val="clear" w:color="auto" w:fill="auto"/>
          </w:tcPr>
          <w:p w14:paraId="42168EFA" w14:textId="1CDC7E9E" w:rsidR="00E27442" w:rsidRPr="00CA3A3D" w:rsidRDefault="00E27442" w:rsidP="00E27442">
            <w:pPr>
              <w:tabs>
                <w:tab w:val="left" w:pos="8663"/>
              </w:tabs>
              <w:spacing w:after="0" w:line="240" w:lineRule="auto"/>
              <w:ind w:right="85"/>
              <w:jc w:val="center"/>
              <w:rPr>
                <w:rFonts w:ascii="Garamond" w:hAnsi="Garamond" w:cs="Calibri"/>
                <w:b/>
                <w:sz w:val="18"/>
                <w:szCs w:val="20"/>
                <w:lang w:val="es-AR"/>
              </w:rPr>
            </w:pPr>
            <w:r w:rsidRPr="00CA3A3D">
              <w:rPr>
                <w:rFonts w:ascii="Garamond" w:hAnsi="Garamond" w:cs="Calibri"/>
                <w:b/>
                <w:sz w:val="18"/>
                <w:szCs w:val="20"/>
                <w:lang w:val="es-AR"/>
              </w:rPr>
              <w:t>FIDUCIARIO, AGENTE DE TRANSFERENCIA, AGENTE DE REGISTRO PRINCIPAL AGENTE DE PAGO/ORGANIZADOR</w:t>
            </w:r>
            <w:r w:rsidR="00CF3F9C" w:rsidRPr="00CA3A3D">
              <w:rPr>
                <w:rFonts w:ascii="Garamond" w:hAnsi="Garamond" w:cs="Calibri"/>
                <w:b/>
                <w:sz w:val="18"/>
                <w:szCs w:val="20"/>
                <w:lang w:val="es-AR"/>
              </w:rPr>
              <w:t xml:space="preserve"> Y AGENTE DE LA GARANTÍA INTERNACIONAL</w:t>
            </w:r>
          </w:p>
          <w:p w14:paraId="7118DC78" w14:textId="77777777" w:rsidR="00481890" w:rsidRPr="00CA3A3D" w:rsidRDefault="00481890" w:rsidP="00E27442">
            <w:pPr>
              <w:tabs>
                <w:tab w:val="left" w:pos="8663"/>
              </w:tabs>
              <w:spacing w:after="0" w:line="240" w:lineRule="auto"/>
              <w:ind w:right="85"/>
              <w:jc w:val="center"/>
              <w:rPr>
                <w:rFonts w:ascii="Garamond" w:hAnsi="Garamond"/>
                <w:b/>
                <w:bCs/>
                <w:sz w:val="18"/>
                <w:szCs w:val="20"/>
                <w:lang w:val="es-AR"/>
              </w:rPr>
            </w:pPr>
          </w:p>
          <w:p w14:paraId="464EE12E" w14:textId="77777777" w:rsidR="00481890" w:rsidRPr="00A438F1" w:rsidRDefault="00481890" w:rsidP="00E27442">
            <w:pPr>
              <w:tabs>
                <w:tab w:val="left" w:pos="8663"/>
              </w:tabs>
              <w:spacing w:after="0" w:line="240" w:lineRule="auto"/>
              <w:ind w:right="85"/>
              <w:jc w:val="center"/>
              <w:rPr>
                <w:rFonts w:ascii="Garamond" w:hAnsi="Garamond" w:cs="Calibri"/>
                <w:b/>
                <w:sz w:val="18"/>
                <w:szCs w:val="20"/>
                <w:lang w:val="en-US"/>
              </w:rPr>
            </w:pPr>
            <w:r w:rsidRPr="00A438F1">
              <w:rPr>
                <w:rFonts w:ascii="Garamond" w:hAnsi="Garamond" w:cs="Calibri"/>
                <w:b/>
                <w:sz w:val="18"/>
                <w:szCs w:val="20"/>
                <w:lang w:val="en-US"/>
              </w:rPr>
              <w:t>The Bank of New York Mellon</w:t>
            </w:r>
          </w:p>
          <w:p w14:paraId="7876FC12" w14:textId="77777777" w:rsidR="00E27442" w:rsidRPr="00582114" w:rsidRDefault="00E27442">
            <w:pPr>
              <w:tabs>
                <w:tab w:val="left" w:pos="8663"/>
              </w:tabs>
              <w:spacing w:after="0" w:line="240" w:lineRule="auto"/>
              <w:ind w:right="85"/>
              <w:jc w:val="center"/>
              <w:rPr>
                <w:rFonts w:ascii="Garamond" w:eastAsia="Times New Roman" w:hAnsi="Garamond" w:cs="Calibri"/>
                <w:b/>
                <w:bCs/>
                <w:spacing w:val="1"/>
                <w:sz w:val="18"/>
                <w:szCs w:val="20"/>
                <w:lang w:val="en-US" w:eastAsia="es-AR"/>
              </w:rPr>
            </w:pPr>
          </w:p>
        </w:tc>
      </w:tr>
      <w:tr w:rsidR="00E27442" w:rsidRPr="00B81D9F" w14:paraId="5BF3249B" w14:textId="77777777" w:rsidTr="00002289">
        <w:trPr>
          <w:trHeight w:val="1209"/>
          <w:jc w:val="center"/>
        </w:trPr>
        <w:tc>
          <w:tcPr>
            <w:tcW w:w="8879" w:type="dxa"/>
            <w:gridSpan w:val="2"/>
            <w:shd w:val="clear" w:color="auto" w:fill="auto"/>
          </w:tcPr>
          <w:p w14:paraId="1023B630" w14:textId="77777777" w:rsidR="00E27442" w:rsidRPr="00CA3A3D" w:rsidRDefault="00E27442" w:rsidP="00E27442">
            <w:pPr>
              <w:tabs>
                <w:tab w:val="left" w:pos="8663"/>
              </w:tabs>
              <w:spacing w:after="0" w:line="240" w:lineRule="auto"/>
              <w:ind w:right="85"/>
              <w:jc w:val="center"/>
              <w:rPr>
                <w:rFonts w:ascii="Garamond" w:hAnsi="Garamond" w:cs="Calibri"/>
                <w:b/>
                <w:sz w:val="18"/>
                <w:szCs w:val="20"/>
                <w:lang w:val="es-AR"/>
              </w:rPr>
            </w:pPr>
            <w:r w:rsidRPr="00CA3A3D">
              <w:rPr>
                <w:rFonts w:ascii="Garamond" w:hAnsi="Garamond" w:cs="Calibri"/>
                <w:b/>
                <w:sz w:val="18"/>
                <w:szCs w:val="20"/>
                <w:lang w:val="es-AR"/>
              </w:rPr>
              <w:t xml:space="preserve">AGENTE DE PAGO EN ARGENTINA, </w:t>
            </w:r>
            <w:r w:rsidR="009F522D" w:rsidRPr="00CA3A3D">
              <w:rPr>
                <w:rFonts w:ascii="Garamond" w:hAnsi="Garamond" w:cs="Calibri"/>
                <w:b/>
                <w:sz w:val="18"/>
                <w:szCs w:val="20"/>
                <w:lang w:val="es-AR"/>
              </w:rPr>
              <w:t>CO-</w:t>
            </w:r>
            <w:r w:rsidRPr="00CA3A3D">
              <w:rPr>
                <w:rFonts w:ascii="Garamond" w:hAnsi="Garamond" w:cs="Calibri"/>
                <w:b/>
                <w:sz w:val="18"/>
                <w:szCs w:val="20"/>
                <w:lang w:val="es-AR"/>
              </w:rPr>
              <w:t>AGENTE DE REGISTRO Y AGENTE DE TRANSFERENCIA EN ARGENTINA</w:t>
            </w:r>
            <w:r w:rsidR="006D3BBA" w:rsidRPr="00CA3A3D">
              <w:rPr>
                <w:rFonts w:ascii="Garamond" w:hAnsi="Garamond" w:cs="Calibri"/>
                <w:b/>
                <w:sz w:val="18"/>
                <w:szCs w:val="20"/>
                <w:lang w:val="es-AR"/>
              </w:rPr>
              <w:t>, AGENTE DE LA GARANTÍA LOCAL</w:t>
            </w:r>
            <w:r w:rsidRPr="00CA3A3D">
              <w:rPr>
                <w:rFonts w:ascii="Garamond" w:hAnsi="Garamond" w:cs="Calibri"/>
                <w:b/>
                <w:sz w:val="18"/>
                <w:szCs w:val="20"/>
                <w:lang w:val="es-AR"/>
              </w:rPr>
              <w:t xml:space="preserve"> Y REPRESENTANTE DEL FIDUCIARIO EN ARGENTINA</w:t>
            </w:r>
          </w:p>
          <w:p w14:paraId="35703EDE" w14:textId="77777777" w:rsidR="00481890" w:rsidRPr="00CA3A3D" w:rsidRDefault="00481890" w:rsidP="00E27442">
            <w:pPr>
              <w:tabs>
                <w:tab w:val="left" w:pos="8663"/>
              </w:tabs>
              <w:spacing w:after="0" w:line="240" w:lineRule="auto"/>
              <w:ind w:right="85"/>
              <w:jc w:val="center"/>
              <w:rPr>
                <w:rFonts w:ascii="Garamond" w:hAnsi="Garamond"/>
                <w:b/>
                <w:bCs/>
                <w:sz w:val="18"/>
                <w:szCs w:val="20"/>
                <w:lang w:val="es-AR"/>
              </w:rPr>
            </w:pPr>
          </w:p>
          <w:p w14:paraId="43FDB4F1" w14:textId="77777777" w:rsidR="00E27442" w:rsidRPr="00A438F1" w:rsidRDefault="00481890" w:rsidP="00DE0516">
            <w:pPr>
              <w:tabs>
                <w:tab w:val="left" w:pos="8663"/>
              </w:tabs>
              <w:spacing w:after="0" w:line="240" w:lineRule="auto"/>
              <w:ind w:right="85"/>
              <w:jc w:val="center"/>
              <w:rPr>
                <w:rFonts w:ascii="Garamond" w:hAnsi="Garamond"/>
                <w:b/>
                <w:sz w:val="18"/>
                <w:lang w:val="en-US"/>
              </w:rPr>
            </w:pPr>
            <w:r w:rsidRPr="00A438F1">
              <w:rPr>
                <w:rFonts w:ascii="Garamond" w:hAnsi="Garamond"/>
                <w:b/>
                <w:bCs/>
                <w:sz w:val="18"/>
                <w:szCs w:val="20"/>
                <w:lang w:val="en-US"/>
              </w:rPr>
              <w:t>TMF Trust Company (Argentina) S.A.</w:t>
            </w:r>
            <w:r w:rsidRPr="00A438F1" w:rsidDel="00481890">
              <w:rPr>
                <w:rFonts w:ascii="Garamond" w:hAnsi="Garamond"/>
                <w:b/>
                <w:bCs/>
                <w:sz w:val="18"/>
                <w:szCs w:val="20"/>
                <w:lang w:val="en-US"/>
              </w:rPr>
              <w:t xml:space="preserve"> </w:t>
            </w:r>
          </w:p>
          <w:p w14:paraId="51C34A15" w14:textId="3D81D994" w:rsidR="00822DB2" w:rsidRPr="00582114" w:rsidRDefault="00822DB2" w:rsidP="00DE0516">
            <w:pPr>
              <w:tabs>
                <w:tab w:val="left" w:pos="8663"/>
              </w:tabs>
              <w:spacing w:after="0" w:line="240" w:lineRule="auto"/>
              <w:ind w:right="85"/>
              <w:jc w:val="center"/>
              <w:rPr>
                <w:rFonts w:ascii="Garamond" w:hAnsi="Garamond"/>
                <w:b/>
                <w:spacing w:val="1"/>
                <w:sz w:val="18"/>
                <w:lang w:val="en-US"/>
              </w:rPr>
            </w:pPr>
          </w:p>
        </w:tc>
      </w:tr>
      <w:tr w:rsidR="00772F18" w:rsidRPr="00CA0A60" w14:paraId="055CB3FA" w14:textId="77777777" w:rsidTr="00225B3A">
        <w:trPr>
          <w:trHeight w:val="210"/>
          <w:jc w:val="center"/>
        </w:trPr>
        <w:tc>
          <w:tcPr>
            <w:tcW w:w="8879" w:type="dxa"/>
            <w:gridSpan w:val="2"/>
            <w:shd w:val="clear" w:color="auto" w:fill="auto"/>
          </w:tcPr>
          <w:p w14:paraId="2123435D" w14:textId="77777777" w:rsidR="00772F18" w:rsidRPr="00CA3A3D" w:rsidRDefault="00772F18" w:rsidP="00772F18">
            <w:pPr>
              <w:tabs>
                <w:tab w:val="left" w:pos="8663"/>
              </w:tabs>
              <w:spacing w:after="0" w:line="240" w:lineRule="auto"/>
              <w:ind w:right="85"/>
              <w:jc w:val="center"/>
              <w:rPr>
                <w:rFonts w:ascii="Garamond" w:eastAsia="Times New Roman" w:hAnsi="Garamond" w:cs="Calibri"/>
                <w:b/>
                <w:bCs/>
                <w:spacing w:val="1"/>
                <w:sz w:val="18"/>
                <w:szCs w:val="20"/>
                <w:lang w:val="es-AR" w:eastAsia="es-AR"/>
              </w:rPr>
            </w:pPr>
            <w:r w:rsidRPr="00CA3A3D">
              <w:rPr>
                <w:rFonts w:ascii="Garamond" w:eastAsia="Times New Roman" w:hAnsi="Garamond" w:cs="Calibri"/>
                <w:b/>
                <w:bCs/>
                <w:spacing w:val="1"/>
                <w:sz w:val="18"/>
                <w:szCs w:val="20"/>
                <w:lang w:val="es-AR" w:eastAsia="es-AR"/>
              </w:rPr>
              <w:t>ASESORES LEGALES</w:t>
            </w:r>
          </w:p>
          <w:p w14:paraId="7A9A139D" w14:textId="77777777" w:rsidR="00772F18" w:rsidRPr="00CA3A3D" w:rsidRDefault="00772F18" w:rsidP="00772F18">
            <w:pPr>
              <w:tabs>
                <w:tab w:val="left" w:pos="8663"/>
              </w:tabs>
              <w:spacing w:after="0" w:line="240" w:lineRule="auto"/>
              <w:ind w:right="85"/>
              <w:jc w:val="center"/>
              <w:rPr>
                <w:rFonts w:ascii="Garamond" w:hAnsi="Garamond"/>
                <w:b/>
                <w:bCs/>
                <w:sz w:val="18"/>
                <w:szCs w:val="20"/>
                <w:lang w:val="es-AR"/>
              </w:rPr>
            </w:pPr>
          </w:p>
        </w:tc>
      </w:tr>
      <w:tr w:rsidR="00772F18" w:rsidRPr="00CA0A60" w14:paraId="08768355" w14:textId="77777777" w:rsidTr="00002289">
        <w:trPr>
          <w:trHeight w:val="1336"/>
          <w:jc w:val="center"/>
        </w:trPr>
        <w:tc>
          <w:tcPr>
            <w:tcW w:w="4439" w:type="dxa"/>
            <w:shd w:val="clear" w:color="auto" w:fill="auto"/>
          </w:tcPr>
          <w:p w14:paraId="46E130EE" w14:textId="77777777" w:rsidR="00772F18" w:rsidRPr="00CA3A3D" w:rsidRDefault="00772F18" w:rsidP="00772F18">
            <w:pPr>
              <w:tabs>
                <w:tab w:val="left" w:pos="8663"/>
              </w:tabs>
              <w:spacing w:after="0" w:line="240" w:lineRule="auto"/>
              <w:ind w:right="85"/>
              <w:jc w:val="center"/>
              <w:rPr>
                <w:rFonts w:ascii="Garamond" w:hAnsi="Garamond"/>
                <w:b/>
                <w:sz w:val="18"/>
                <w:szCs w:val="20"/>
                <w:lang w:val="es-AR"/>
              </w:rPr>
            </w:pPr>
            <w:r w:rsidRPr="00CA3A3D">
              <w:rPr>
                <w:rFonts w:ascii="Garamond" w:hAnsi="Garamond"/>
                <w:b/>
                <w:sz w:val="18"/>
                <w:szCs w:val="20"/>
                <w:lang w:val="es-AR"/>
              </w:rPr>
              <w:t>DE LAS CO-EMISORAS RESPECTO DEL DERECHO ESTADOUNIDENSE</w:t>
            </w:r>
          </w:p>
          <w:p w14:paraId="56A0069A" w14:textId="77777777" w:rsidR="00772F18" w:rsidRPr="00CA3A3D" w:rsidRDefault="00772F18" w:rsidP="00772F18">
            <w:pPr>
              <w:spacing w:after="0" w:line="240" w:lineRule="auto"/>
              <w:ind w:right="39"/>
              <w:jc w:val="center"/>
              <w:rPr>
                <w:rFonts w:ascii="Garamond" w:hAnsi="Garamond"/>
                <w:b/>
                <w:sz w:val="18"/>
                <w:szCs w:val="20"/>
                <w:lang w:val="es-AR"/>
              </w:rPr>
            </w:pPr>
          </w:p>
          <w:p w14:paraId="7DF6F7AA" w14:textId="77777777" w:rsidR="00772F18" w:rsidRPr="00CA3A3D" w:rsidRDefault="00772F18" w:rsidP="00772F18">
            <w:pPr>
              <w:spacing w:after="0" w:line="240" w:lineRule="auto"/>
              <w:ind w:right="39"/>
              <w:jc w:val="center"/>
              <w:rPr>
                <w:rFonts w:ascii="Garamond" w:hAnsi="Garamond"/>
                <w:b/>
                <w:sz w:val="18"/>
                <w:szCs w:val="20"/>
                <w:lang w:val="es-AR"/>
              </w:rPr>
            </w:pPr>
          </w:p>
          <w:p w14:paraId="7279E862" w14:textId="77777777" w:rsidR="00772F18" w:rsidRPr="00A438F1" w:rsidRDefault="00772F18" w:rsidP="00772F18">
            <w:pPr>
              <w:spacing w:after="0" w:line="240" w:lineRule="auto"/>
              <w:ind w:right="39"/>
              <w:jc w:val="center"/>
              <w:rPr>
                <w:rFonts w:ascii="Garamond" w:hAnsi="Garamond"/>
                <w:sz w:val="18"/>
                <w:szCs w:val="20"/>
                <w:lang w:val="en-US"/>
              </w:rPr>
            </w:pPr>
            <w:r w:rsidRPr="00A438F1">
              <w:rPr>
                <w:rFonts w:ascii="Garamond" w:hAnsi="Garamond"/>
                <w:b/>
                <w:sz w:val="18"/>
                <w:szCs w:val="20"/>
                <w:lang w:val="en-US"/>
              </w:rPr>
              <w:t>Simpson Thacher &amp; Bartlett LLP</w:t>
            </w:r>
            <w:r w:rsidRPr="00A438F1">
              <w:rPr>
                <w:rFonts w:ascii="Garamond" w:hAnsi="Garamond"/>
                <w:sz w:val="18"/>
                <w:szCs w:val="20"/>
                <w:lang w:val="en-US"/>
              </w:rPr>
              <w:br/>
              <w:t>425 Lexington Avenue</w:t>
            </w:r>
            <w:r w:rsidRPr="00A438F1">
              <w:rPr>
                <w:rFonts w:ascii="Garamond" w:hAnsi="Garamond"/>
                <w:sz w:val="18"/>
                <w:szCs w:val="20"/>
                <w:lang w:val="en-US"/>
              </w:rPr>
              <w:br/>
              <w:t>Nueva York, Nueva York 10017</w:t>
            </w:r>
          </w:p>
          <w:p w14:paraId="29CD11CC" w14:textId="77777777" w:rsidR="00772F18" w:rsidRPr="00CA3A3D" w:rsidRDefault="00772F18" w:rsidP="00772F18">
            <w:pPr>
              <w:spacing w:after="0" w:line="240" w:lineRule="auto"/>
              <w:ind w:right="39"/>
              <w:jc w:val="center"/>
              <w:rPr>
                <w:rFonts w:ascii="Garamond" w:hAnsi="Garamond"/>
                <w:sz w:val="18"/>
                <w:szCs w:val="20"/>
                <w:lang w:val="es-AR"/>
              </w:rPr>
            </w:pPr>
            <w:r w:rsidRPr="00CA3A3D">
              <w:rPr>
                <w:rFonts w:ascii="Garamond" w:hAnsi="Garamond"/>
                <w:sz w:val="18"/>
                <w:szCs w:val="20"/>
                <w:lang w:val="es-AR"/>
              </w:rPr>
              <w:t>Estados Unidos</w:t>
            </w:r>
          </w:p>
          <w:p w14:paraId="31ED7778" w14:textId="77777777" w:rsidR="00772F18" w:rsidRPr="00CA3A3D" w:rsidRDefault="00772F18" w:rsidP="00772F18">
            <w:pPr>
              <w:tabs>
                <w:tab w:val="left" w:pos="8663"/>
              </w:tabs>
              <w:spacing w:after="0" w:line="240" w:lineRule="auto"/>
              <w:ind w:right="85"/>
              <w:jc w:val="center"/>
              <w:rPr>
                <w:rFonts w:ascii="Garamond" w:eastAsia="Times New Roman" w:hAnsi="Garamond" w:cs="Calibri"/>
                <w:b/>
                <w:bCs/>
                <w:spacing w:val="1"/>
                <w:sz w:val="18"/>
                <w:szCs w:val="20"/>
                <w:lang w:val="es-AR" w:eastAsia="es-AR"/>
              </w:rPr>
            </w:pPr>
          </w:p>
        </w:tc>
        <w:tc>
          <w:tcPr>
            <w:tcW w:w="4440" w:type="dxa"/>
            <w:shd w:val="clear" w:color="auto" w:fill="auto"/>
          </w:tcPr>
          <w:p w14:paraId="69C7A4E5" w14:textId="77777777" w:rsidR="00772F18" w:rsidRPr="00CA3A3D" w:rsidRDefault="00772F18" w:rsidP="00772F18">
            <w:pPr>
              <w:widowControl w:val="0"/>
              <w:tabs>
                <w:tab w:val="left" w:pos="4090"/>
              </w:tabs>
              <w:autoSpaceDE w:val="0"/>
              <w:autoSpaceDN w:val="0"/>
              <w:adjustRightInd w:val="0"/>
              <w:spacing w:after="0" w:line="240" w:lineRule="auto"/>
              <w:jc w:val="center"/>
              <w:rPr>
                <w:rFonts w:ascii="Garamond" w:hAnsi="Garamond"/>
                <w:b/>
                <w:sz w:val="18"/>
                <w:szCs w:val="20"/>
                <w:lang w:val="es-AR"/>
              </w:rPr>
            </w:pPr>
            <w:r w:rsidRPr="00CA3A3D">
              <w:rPr>
                <w:rFonts w:ascii="Garamond" w:hAnsi="Garamond"/>
                <w:b/>
                <w:sz w:val="18"/>
                <w:szCs w:val="20"/>
                <w:lang w:val="es-AR"/>
              </w:rPr>
              <w:t>DE LOS COLOCADORES RESPECTO DEL DERECHO ESTADOUNIDENSE</w:t>
            </w:r>
          </w:p>
          <w:p w14:paraId="532070F0" w14:textId="77777777" w:rsidR="00772F18" w:rsidRPr="00CA3A3D" w:rsidRDefault="00772F18" w:rsidP="00772F18">
            <w:pPr>
              <w:tabs>
                <w:tab w:val="left" w:pos="4139"/>
                <w:tab w:val="left" w:pos="4224"/>
              </w:tabs>
              <w:spacing w:after="0" w:line="240" w:lineRule="auto"/>
              <w:ind w:right="85"/>
              <w:jc w:val="center"/>
              <w:rPr>
                <w:rFonts w:ascii="Garamond" w:hAnsi="Garamond"/>
                <w:b/>
                <w:sz w:val="18"/>
                <w:szCs w:val="20"/>
                <w:lang w:val="es-AR"/>
              </w:rPr>
            </w:pPr>
          </w:p>
          <w:p w14:paraId="1A9B60E1" w14:textId="77777777" w:rsidR="00772F18" w:rsidRPr="00CA3A3D" w:rsidRDefault="00772F18" w:rsidP="00772F18">
            <w:pPr>
              <w:tabs>
                <w:tab w:val="left" w:pos="4139"/>
                <w:tab w:val="left" w:pos="4224"/>
              </w:tabs>
              <w:spacing w:after="0" w:line="240" w:lineRule="auto"/>
              <w:ind w:right="85"/>
              <w:jc w:val="center"/>
              <w:rPr>
                <w:rFonts w:ascii="Garamond" w:hAnsi="Garamond"/>
                <w:b/>
                <w:sz w:val="18"/>
                <w:szCs w:val="20"/>
                <w:lang w:val="es-AR"/>
              </w:rPr>
            </w:pPr>
          </w:p>
          <w:p w14:paraId="52FA5D28" w14:textId="77777777" w:rsidR="00772F18" w:rsidRPr="00A438F1" w:rsidRDefault="00772F18" w:rsidP="00772F18">
            <w:pPr>
              <w:tabs>
                <w:tab w:val="left" w:pos="4139"/>
                <w:tab w:val="left" w:pos="4224"/>
              </w:tabs>
              <w:spacing w:after="0" w:line="240" w:lineRule="auto"/>
              <w:ind w:right="85"/>
              <w:jc w:val="center"/>
              <w:rPr>
                <w:rFonts w:ascii="Garamond" w:hAnsi="Garamond"/>
                <w:b/>
                <w:sz w:val="18"/>
                <w:szCs w:val="20"/>
                <w:lang w:val="en-US"/>
              </w:rPr>
            </w:pPr>
            <w:r w:rsidRPr="00A438F1">
              <w:rPr>
                <w:rFonts w:ascii="Garamond" w:hAnsi="Garamond"/>
                <w:b/>
                <w:sz w:val="18"/>
                <w:szCs w:val="20"/>
                <w:lang w:val="en-US"/>
              </w:rPr>
              <w:t>Skadden, Arps, Slate, Meagher &amp; Flom LLP</w:t>
            </w:r>
          </w:p>
          <w:p w14:paraId="62788358" w14:textId="77777777" w:rsidR="00772F18" w:rsidRPr="00CA3A3D" w:rsidRDefault="00772F18" w:rsidP="00772F18">
            <w:pPr>
              <w:tabs>
                <w:tab w:val="left" w:pos="4139"/>
                <w:tab w:val="left" w:pos="4224"/>
              </w:tabs>
              <w:spacing w:after="0" w:line="240" w:lineRule="auto"/>
              <w:ind w:right="85"/>
              <w:jc w:val="center"/>
              <w:rPr>
                <w:rFonts w:ascii="Garamond" w:hAnsi="Garamond"/>
                <w:sz w:val="18"/>
                <w:szCs w:val="20"/>
                <w:lang w:val="es-AR"/>
              </w:rPr>
            </w:pPr>
            <w:r w:rsidRPr="00CA3A3D">
              <w:rPr>
                <w:rFonts w:ascii="Garamond" w:hAnsi="Garamond"/>
                <w:sz w:val="18"/>
                <w:szCs w:val="20"/>
                <w:lang w:val="es-AR"/>
              </w:rPr>
              <w:t>4 Times Square</w:t>
            </w:r>
          </w:p>
          <w:p w14:paraId="5D90F5FF" w14:textId="77777777" w:rsidR="00772F18" w:rsidRPr="00CA3A3D" w:rsidRDefault="00772F18" w:rsidP="00772F18">
            <w:pPr>
              <w:tabs>
                <w:tab w:val="left" w:pos="4139"/>
                <w:tab w:val="left" w:pos="4224"/>
              </w:tabs>
              <w:spacing w:after="0" w:line="240" w:lineRule="auto"/>
              <w:ind w:right="85"/>
              <w:jc w:val="center"/>
              <w:rPr>
                <w:rFonts w:ascii="Garamond" w:hAnsi="Garamond"/>
                <w:sz w:val="18"/>
                <w:szCs w:val="20"/>
                <w:lang w:val="es-AR"/>
              </w:rPr>
            </w:pPr>
            <w:r w:rsidRPr="00CA3A3D">
              <w:rPr>
                <w:rFonts w:ascii="Garamond" w:hAnsi="Garamond"/>
                <w:sz w:val="18"/>
                <w:szCs w:val="20"/>
                <w:lang w:val="es-AR"/>
              </w:rPr>
              <w:t xml:space="preserve">Nueva York, Nueva York 10036 </w:t>
            </w:r>
            <w:r w:rsidRPr="00CA3A3D">
              <w:rPr>
                <w:rFonts w:ascii="Garamond" w:hAnsi="Garamond"/>
                <w:sz w:val="18"/>
                <w:szCs w:val="20"/>
                <w:lang w:val="es-AR"/>
              </w:rPr>
              <w:br/>
              <w:t>Estados Unidos</w:t>
            </w:r>
          </w:p>
          <w:p w14:paraId="3E190F5E" w14:textId="77777777" w:rsidR="00772F18" w:rsidRPr="00CA3A3D" w:rsidRDefault="00772F18" w:rsidP="00772F18">
            <w:pPr>
              <w:tabs>
                <w:tab w:val="left" w:pos="4090"/>
                <w:tab w:val="left" w:pos="8663"/>
              </w:tabs>
              <w:spacing w:after="0" w:line="240" w:lineRule="auto"/>
              <w:jc w:val="center"/>
              <w:rPr>
                <w:rFonts w:ascii="Garamond" w:hAnsi="Garamond"/>
                <w:b/>
                <w:sz w:val="18"/>
                <w:szCs w:val="20"/>
                <w:lang w:val="es-AR"/>
              </w:rPr>
            </w:pPr>
          </w:p>
          <w:p w14:paraId="0FB76C7C" w14:textId="77777777" w:rsidR="00772F18" w:rsidRPr="00CA3A3D" w:rsidRDefault="00772F18" w:rsidP="00772F18">
            <w:pPr>
              <w:tabs>
                <w:tab w:val="left" w:pos="4090"/>
                <w:tab w:val="left" w:pos="8663"/>
              </w:tabs>
              <w:spacing w:after="0" w:line="240" w:lineRule="auto"/>
              <w:jc w:val="center"/>
              <w:rPr>
                <w:rFonts w:ascii="Garamond" w:eastAsia="Times New Roman" w:hAnsi="Garamond" w:cs="Calibri"/>
                <w:b/>
                <w:bCs/>
                <w:spacing w:val="1"/>
                <w:sz w:val="18"/>
                <w:szCs w:val="20"/>
                <w:lang w:val="es-AR" w:eastAsia="es-AR"/>
              </w:rPr>
            </w:pPr>
          </w:p>
        </w:tc>
      </w:tr>
      <w:tr w:rsidR="00772F18" w:rsidRPr="00CA0A60" w14:paraId="381E46EB" w14:textId="77777777" w:rsidTr="00225B3A">
        <w:trPr>
          <w:trHeight w:val="767"/>
          <w:jc w:val="center"/>
        </w:trPr>
        <w:tc>
          <w:tcPr>
            <w:tcW w:w="4439" w:type="dxa"/>
            <w:shd w:val="clear" w:color="auto" w:fill="auto"/>
          </w:tcPr>
          <w:p w14:paraId="6FCD71DB" w14:textId="77777777" w:rsidR="00772F18" w:rsidRPr="00CA3A3D" w:rsidRDefault="00772F18" w:rsidP="00772F18">
            <w:pPr>
              <w:tabs>
                <w:tab w:val="left" w:pos="8663"/>
              </w:tabs>
              <w:spacing w:after="0" w:line="240" w:lineRule="auto"/>
              <w:ind w:right="85"/>
              <w:jc w:val="center"/>
              <w:rPr>
                <w:rFonts w:ascii="Garamond" w:hAnsi="Garamond"/>
                <w:b/>
                <w:bCs/>
                <w:sz w:val="18"/>
                <w:szCs w:val="20"/>
                <w:lang w:val="es-AR"/>
              </w:rPr>
            </w:pPr>
            <w:r w:rsidRPr="00CA3A3D">
              <w:rPr>
                <w:rFonts w:ascii="Garamond" w:hAnsi="Garamond"/>
                <w:b/>
                <w:bCs/>
                <w:sz w:val="18"/>
                <w:szCs w:val="20"/>
                <w:lang w:val="es-AR"/>
              </w:rPr>
              <w:t>DE LAS CO-EMISORAS RESPECTO DEL DERECHO ARGENTINO</w:t>
            </w:r>
          </w:p>
          <w:p w14:paraId="1E8E47C2" w14:textId="77777777" w:rsidR="00772F18" w:rsidRPr="00CA3A3D" w:rsidRDefault="00772F18" w:rsidP="00772F18">
            <w:pPr>
              <w:widowControl w:val="0"/>
              <w:autoSpaceDE w:val="0"/>
              <w:autoSpaceDN w:val="0"/>
              <w:adjustRightInd w:val="0"/>
              <w:spacing w:after="0" w:line="240" w:lineRule="auto"/>
              <w:ind w:right="39"/>
              <w:jc w:val="center"/>
              <w:rPr>
                <w:rFonts w:ascii="Garamond" w:eastAsia="Times New Roman" w:hAnsi="Garamond" w:cs="Calibri"/>
                <w:b/>
                <w:bCs/>
                <w:spacing w:val="1"/>
                <w:sz w:val="18"/>
                <w:szCs w:val="20"/>
                <w:lang w:val="es-AR" w:eastAsia="es-AR"/>
              </w:rPr>
            </w:pPr>
          </w:p>
          <w:p w14:paraId="7E77396E" w14:textId="46F36C7F" w:rsidR="00772F18" w:rsidRPr="00CA3A3D" w:rsidRDefault="00772F18" w:rsidP="00772F18">
            <w:pPr>
              <w:widowControl w:val="0"/>
              <w:autoSpaceDE w:val="0"/>
              <w:autoSpaceDN w:val="0"/>
              <w:adjustRightInd w:val="0"/>
              <w:spacing w:after="0" w:line="240" w:lineRule="auto"/>
              <w:ind w:right="40"/>
              <w:jc w:val="center"/>
              <w:rPr>
                <w:rFonts w:ascii="Garamond" w:eastAsia="Times New Roman" w:hAnsi="Garamond" w:cs="Calibri"/>
                <w:b/>
                <w:bCs/>
                <w:color w:val="000000"/>
                <w:spacing w:val="1"/>
                <w:sz w:val="18"/>
                <w:szCs w:val="20"/>
                <w:lang w:val="es-AR" w:eastAsia="es-AR"/>
              </w:rPr>
            </w:pPr>
            <w:r w:rsidRPr="00CA3A3D">
              <w:rPr>
                <w:rFonts w:ascii="Garamond" w:eastAsia="Times New Roman" w:hAnsi="Garamond" w:cs="Calibri"/>
                <w:b/>
                <w:bCs/>
                <w:spacing w:val="1"/>
                <w:sz w:val="18"/>
                <w:szCs w:val="20"/>
                <w:lang w:val="es-AR" w:eastAsia="es-AR"/>
              </w:rPr>
              <w:t>Sa</w:t>
            </w:r>
            <w:r w:rsidRPr="00CA3A3D">
              <w:rPr>
                <w:rFonts w:ascii="Garamond" w:eastAsia="Times New Roman" w:hAnsi="Garamond" w:cs="Calibri"/>
                <w:b/>
                <w:bCs/>
                <w:spacing w:val="-1"/>
                <w:sz w:val="18"/>
                <w:szCs w:val="20"/>
                <w:lang w:val="es-AR" w:eastAsia="es-AR"/>
              </w:rPr>
              <w:t>lav</w:t>
            </w:r>
            <w:r w:rsidRPr="00CA3A3D">
              <w:rPr>
                <w:rFonts w:ascii="Garamond" w:eastAsia="Times New Roman" w:hAnsi="Garamond" w:cs="Calibri"/>
                <w:b/>
                <w:bCs/>
                <w:spacing w:val="1"/>
                <w:sz w:val="18"/>
                <w:szCs w:val="20"/>
                <w:lang w:val="es-AR" w:eastAsia="es-AR"/>
              </w:rPr>
              <w:t>e</w:t>
            </w:r>
            <w:r w:rsidRPr="00CA3A3D">
              <w:rPr>
                <w:rFonts w:ascii="Garamond" w:eastAsia="Times New Roman" w:hAnsi="Garamond" w:cs="Calibri"/>
                <w:b/>
                <w:bCs/>
                <w:sz w:val="18"/>
                <w:szCs w:val="20"/>
                <w:lang w:val="es-AR" w:eastAsia="es-AR"/>
              </w:rPr>
              <w:t>r</w:t>
            </w:r>
            <w:r w:rsidRPr="00CA3A3D">
              <w:rPr>
                <w:rFonts w:ascii="Garamond" w:eastAsia="Times New Roman" w:hAnsi="Garamond" w:cs="Calibri"/>
                <w:b/>
                <w:bCs/>
                <w:spacing w:val="-2"/>
                <w:sz w:val="18"/>
                <w:szCs w:val="20"/>
                <w:lang w:val="es-AR" w:eastAsia="es-AR"/>
              </w:rPr>
              <w:t>r</w:t>
            </w:r>
            <w:r w:rsidRPr="00CA3A3D">
              <w:rPr>
                <w:rFonts w:ascii="Garamond" w:eastAsia="Times New Roman" w:hAnsi="Garamond" w:cs="Calibri"/>
                <w:b/>
                <w:bCs/>
                <w:sz w:val="18"/>
                <w:szCs w:val="20"/>
                <w:lang w:val="es-AR" w:eastAsia="es-AR"/>
              </w:rPr>
              <w:t>i,</w:t>
            </w:r>
            <w:r w:rsidRPr="00CA3A3D">
              <w:rPr>
                <w:rFonts w:ascii="Garamond" w:eastAsia="Times New Roman" w:hAnsi="Garamond" w:cs="Calibri"/>
                <w:b/>
                <w:bCs/>
                <w:spacing w:val="-1"/>
                <w:sz w:val="18"/>
                <w:szCs w:val="20"/>
                <w:lang w:val="es-AR" w:eastAsia="es-AR"/>
              </w:rPr>
              <w:t xml:space="preserve"> </w:t>
            </w:r>
            <w:r w:rsidRPr="00CA3A3D">
              <w:rPr>
                <w:rFonts w:ascii="Garamond" w:eastAsia="Times New Roman" w:hAnsi="Garamond" w:cs="Calibri"/>
                <w:b/>
                <w:bCs/>
                <w:spacing w:val="1"/>
                <w:sz w:val="18"/>
                <w:szCs w:val="20"/>
                <w:lang w:val="es-AR" w:eastAsia="es-AR"/>
              </w:rPr>
              <w:t>B</w:t>
            </w:r>
            <w:r w:rsidRPr="00CA3A3D">
              <w:rPr>
                <w:rFonts w:ascii="Garamond" w:eastAsia="Times New Roman" w:hAnsi="Garamond" w:cs="Calibri"/>
                <w:b/>
                <w:bCs/>
                <w:spacing w:val="-2"/>
                <w:sz w:val="18"/>
                <w:szCs w:val="20"/>
                <w:lang w:val="es-AR" w:eastAsia="es-AR"/>
              </w:rPr>
              <w:t>u</w:t>
            </w:r>
            <w:r w:rsidRPr="00CA3A3D">
              <w:rPr>
                <w:rFonts w:ascii="Garamond" w:eastAsia="Times New Roman" w:hAnsi="Garamond" w:cs="Calibri"/>
                <w:b/>
                <w:bCs/>
                <w:sz w:val="18"/>
                <w:szCs w:val="20"/>
                <w:lang w:val="es-AR" w:eastAsia="es-AR"/>
              </w:rPr>
              <w:t>r</w:t>
            </w:r>
            <w:r w:rsidRPr="00CA3A3D">
              <w:rPr>
                <w:rFonts w:ascii="Garamond" w:eastAsia="Times New Roman" w:hAnsi="Garamond" w:cs="Calibri"/>
                <w:b/>
                <w:bCs/>
                <w:spacing w:val="1"/>
                <w:sz w:val="18"/>
                <w:szCs w:val="20"/>
                <w:lang w:val="es-AR" w:eastAsia="es-AR"/>
              </w:rPr>
              <w:t>g</w:t>
            </w:r>
            <w:r w:rsidRPr="00CA3A3D">
              <w:rPr>
                <w:rFonts w:ascii="Garamond" w:eastAsia="Times New Roman" w:hAnsi="Garamond" w:cs="Calibri"/>
                <w:b/>
                <w:bCs/>
                <w:sz w:val="18"/>
                <w:szCs w:val="20"/>
                <w:lang w:val="es-AR" w:eastAsia="es-AR"/>
              </w:rPr>
              <w:t>io</w:t>
            </w:r>
            <w:r w:rsidRPr="00CA3A3D">
              <w:rPr>
                <w:rFonts w:ascii="Garamond" w:eastAsia="Times New Roman" w:hAnsi="Garamond" w:cs="Calibri"/>
                <w:b/>
                <w:bCs/>
                <w:spacing w:val="-1"/>
                <w:sz w:val="18"/>
                <w:szCs w:val="20"/>
                <w:lang w:val="es-AR" w:eastAsia="es-AR"/>
              </w:rPr>
              <w:t xml:space="preserve"> </w:t>
            </w:r>
            <w:r w:rsidRPr="00CA3A3D">
              <w:rPr>
                <w:rFonts w:ascii="Garamond" w:eastAsia="Times New Roman" w:hAnsi="Garamond" w:cs="Calibri"/>
                <w:b/>
                <w:bCs/>
                <w:sz w:val="18"/>
                <w:szCs w:val="20"/>
                <w:lang w:val="es-AR" w:eastAsia="es-AR"/>
              </w:rPr>
              <w:t>&amp;</w:t>
            </w:r>
            <w:r w:rsidRPr="00CA3A3D">
              <w:rPr>
                <w:rFonts w:ascii="Garamond" w:eastAsia="Times New Roman" w:hAnsi="Garamond" w:cs="Calibri"/>
                <w:b/>
                <w:bCs/>
                <w:spacing w:val="-3"/>
                <w:sz w:val="18"/>
                <w:szCs w:val="20"/>
                <w:lang w:val="es-AR" w:eastAsia="es-AR"/>
              </w:rPr>
              <w:t xml:space="preserve"> </w:t>
            </w:r>
            <w:r w:rsidRPr="00CA3A3D">
              <w:rPr>
                <w:rFonts w:ascii="Garamond" w:eastAsia="Times New Roman" w:hAnsi="Garamond" w:cs="Calibri"/>
                <w:b/>
                <w:bCs/>
                <w:sz w:val="18"/>
                <w:szCs w:val="20"/>
                <w:lang w:val="es-AR" w:eastAsia="es-AR"/>
              </w:rPr>
              <w:t>W</w:t>
            </w:r>
            <w:r w:rsidRPr="00CA3A3D">
              <w:rPr>
                <w:rFonts w:ascii="Garamond" w:eastAsia="Times New Roman" w:hAnsi="Garamond" w:cs="Calibri"/>
                <w:b/>
                <w:bCs/>
                <w:spacing w:val="1"/>
                <w:sz w:val="18"/>
                <w:szCs w:val="20"/>
                <w:lang w:val="es-AR" w:eastAsia="es-AR"/>
              </w:rPr>
              <w:t>e</w:t>
            </w:r>
            <w:r w:rsidRPr="00CA3A3D">
              <w:rPr>
                <w:rFonts w:ascii="Garamond" w:eastAsia="Times New Roman" w:hAnsi="Garamond" w:cs="Calibri"/>
                <w:b/>
                <w:bCs/>
                <w:sz w:val="18"/>
                <w:szCs w:val="20"/>
                <w:lang w:val="es-AR" w:eastAsia="es-AR"/>
              </w:rPr>
              <w:t>tz</w:t>
            </w:r>
            <w:r w:rsidR="00574C70" w:rsidRPr="00CA3A3D">
              <w:rPr>
                <w:rFonts w:ascii="Garamond" w:eastAsia="Times New Roman" w:hAnsi="Garamond" w:cs="Calibri"/>
                <w:b/>
                <w:bCs/>
                <w:sz w:val="18"/>
                <w:szCs w:val="20"/>
                <w:lang w:val="es-AR" w:eastAsia="es-AR"/>
              </w:rPr>
              <w:t>l</w:t>
            </w:r>
            <w:r w:rsidRPr="00CA3A3D">
              <w:rPr>
                <w:rFonts w:ascii="Garamond" w:eastAsia="Times New Roman" w:hAnsi="Garamond" w:cs="Calibri"/>
                <w:b/>
                <w:bCs/>
                <w:spacing w:val="-2"/>
                <w:sz w:val="18"/>
                <w:szCs w:val="20"/>
                <w:lang w:val="es-AR" w:eastAsia="es-AR"/>
              </w:rPr>
              <w:t>e</w:t>
            </w:r>
            <w:r w:rsidRPr="00CA3A3D">
              <w:rPr>
                <w:rFonts w:ascii="Garamond" w:eastAsia="Times New Roman" w:hAnsi="Garamond" w:cs="Calibri"/>
                <w:b/>
                <w:bCs/>
                <w:sz w:val="18"/>
                <w:szCs w:val="20"/>
                <w:lang w:val="es-AR" w:eastAsia="es-AR"/>
              </w:rPr>
              <w:t>r</w:t>
            </w:r>
            <w:r w:rsidRPr="00CA3A3D">
              <w:rPr>
                <w:rFonts w:ascii="Garamond" w:eastAsia="Times New Roman" w:hAnsi="Garamond" w:cs="Calibri"/>
                <w:b/>
                <w:bCs/>
                <w:spacing w:val="-2"/>
                <w:sz w:val="18"/>
                <w:szCs w:val="20"/>
                <w:lang w:val="es-AR" w:eastAsia="es-AR"/>
              </w:rPr>
              <w:t xml:space="preserve"> </w:t>
            </w:r>
            <w:r w:rsidRPr="00CA3A3D">
              <w:rPr>
                <w:rFonts w:ascii="Garamond" w:eastAsia="Times New Roman" w:hAnsi="Garamond" w:cs="Calibri"/>
                <w:b/>
                <w:bCs/>
                <w:spacing w:val="1"/>
                <w:sz w:val="18"/>
                <w:szCs w:val="20"/>
                <w:lang w:val="es-AR" w:eastAsia="es-AR"/>
              </w:rPr>
              <w:t>Ma</w:t>
            </w:r>
            <w:r w:rsidRPr="00CA3A3D">
              <w:rPr>
                <w:rFonts w:ascii="Garamond" w:eastAsia="Times New Roman" w:hAnsi="Garamond" w:cs="Calibri"/>
                <w:b/>
                <w:bCs/>
                <w:spacing w:val="-3"/>
                <w:sz w:val="18"/>
                <w:szCs w:val="20"/>
                <w:lang w:val="es-AR" w:eastAsia="es-AR"/>
              </w:rPr>
              <w:t>l</w:t>
            </w:r>
            <w:r w:rsidRPr="00CA3A3D">
              <w:rPr>
                <w:rFonts w:ascii="Garamond" w:eastAsia="Times New Roman" w:hAnsi="Garamond" w:cs="Calibri"/>
                <w:b/>
                <w:bCs/>
                <w:spacing w:val="1"/>
                <w:sz w:val="18"/>
                <w:szCs w:val="20"/>
                <w:lang w:val="es-AR" w:eastAsia="es-AR"/>
              </w:rPr>
              <w:t>b</w:t>
            </w:r>
            <w:r w:rsidRPr="00CA3A3D">
              <w:rPr>
                <w:rFonts w:ascii="Garamond" w:eastAsia="Times New Roman" w:hAnsi="Garamond" w:cs="Calibri"/>
                <w:b/>
                <w:bCs/>
                <w:spacing w:val="-2"/>
                <w:sz w:val="18"/>
                <w:szCs w:val="20"/>
                <w:lang w:val="es-AR" w:eastAsia="es-AR"/>
              </w:rPr>
              <w:t>r</w:t>
            </w:r>
            <w:r w:rsidRPr="00CA3A3D">
              <w:rPr>
                <w:rFonts w:ascii="Garamond" w:eastAsia="Times New Roman" w:hAnsi="Garamond" w:cs="Calibri"/>
                <w:b/>
                <w:bCs/>
                <w:spacing w:val="1"/>
                <w:sz w:val="18"/>
                <w:szCs w:val="20"/>
                <w:lang w:val="es-AR" w:eastAsia="es-AR"/>
              </w:rPr>
              <w:t>á</w:t>
            </w:r>
            <w:r w:rsidRPr="00CA3A3D">
              <w:rPr>
                <w:rFonts w:ascii="Garamond" w:eastAsia="Times New Roman" w:hAnsi="Garamond" w:cs="Calibri"/>
                <w:b/>
                <w:bCs/>
                <w:sz w:val="18"/>
                <w:szCs w:val="20"/>
                <w:lang w:val="es-AR" w:eastAsia="es-AR"/>
              </w:rPr>
              <w:t>n</w:t>
            </w:r>
          </w:p>
          <w:p w14:paraId="041547BC" w14:textId="20AE0429" w:rsidR="00772F18" w:rsidRPr="00CA3A3D" w:rsidRDefault="00772F18" w:rsidP="00772F18">
            <w:pPr>
              <w:widowControl w:val="0"/>
              <w:autoSpaceDE w:val="0"/>
              <w:autoSpaceDN w:val="0"/>
              <w:adjustRightInd w:val="0"/>
              <w:spacing w:after="0" w:line="240" w:lineRule="auto"/>
              <w:ind w:right="40"/>
              <w:jc w:val="center"/>
              <w:rPr>
                <w:rFonts w:ascii="Garamond" w:eastAsia="Times New Roman" w:hAnsi="Garamond" w:cs="Calibri"/>
                <w:sz w:val="18"/>
                <w:szCs w:val="20"/>
                <w:lang w:val="es-AR" w:eastAsia="es-AR"/>
              </w:rPr>
            </w:pPr>
            <w:r w:rsidRPr="00CA3A3D">
              <w:rPr>
                <w:rFonts w:ascii="Garamond" w:eastAsia="Times New Roman" w:hAnsi="Garamond" w:cs="Calibri"/>
                <w:sz w:val="18"/>
                <w:szCs w:val="20"/>
                <w:lang w:val="es-AR" w:eastAsia="es-AR"/>
              </w:rPr>
              <w:t>A</w:t>
            </w:r>
            <w:r w:rsidRPr="00CA3A3D">
              <w:rPr>
                <w:rFonts w:ascii="Garamond" w:eastAsia="Times New Roman" w:hAnsi="Garamond" w:cs="Calibri"/>
                <w:spacing w:val="-1"/>
                <w:sz w:val="18"/>
                <w:szCs w:val="20"/>
                <w:lang w:val="es-AR" w:eastAsia="es-AR"/>
              </w:rPr>
              <w:t>v</w:t>
            </w:r>
            <w:r w:rsidRPr="00CA3A3D">
              <w:rPr>
                <w:rFonts w:ascii="Garamond" w:eastAsia="Times New Roman" w:hAnsi="Garamond" w:cs="Calibri"/>
                <w:sz w:val="18"/>
                <w:szCs w:val="20"/>
                <w:lang w:val="es-AR" w:eastAsia="es-AR"/>
              </w:rPr>
              <w:t xml:space="preserve">. del Libertador 602, </w:t>
            </w:r>
            <w:r w:rsidR="002F30D3" w:rsidRPr="00CA3A3D">
              <w:rPr>
                <w:rFonts w:ascii="Garamond" w:eastAsia="Times New Roman" w:hAnsi="Garamond" w:cs="Calibri"/>
                <w:sz w:val="18"/>
                <w:szCs w:val="20"/>
                <w:lang w:val="es-AR" w:eastAsia="es-AR"/>
              </w:rPr>
              <w:t>p</w:t>
            </w:r>
            <w:r w:rsidRPr="00CA3A3D">
              <w:rPr>
                <w:rFonts w:ascii="Garamond" w:eastAsia="Times New Roman" w:hAnsi="Garamond" w:cs="Calibri"/>
                <w:sz w:val="18"/>
                <w:szCs w:val="20"/>
                <w:lang w:val="es-AR" w:eastAsia="es-AR"/>
              </w:rPr>
              <w:t>iso 3</w:t>
            </w:r>
          </w:p>
          <w:p w14:paraId="08EFBC85" w14:textId="77777777" w:rsidR="00772F18" w:rsidRPr="00CA3A3D" w:rsidRDefault="00772F18" w:rsidP="00772F18">
            <w:pPr>
              <w:widowControl w:val="0"/>
              <w:autoSpaceDE w:val="0"/>
              <w:autoSpaceDN w:val="0"/>
              <w:adjustRightInd w:val="0"/>
              <w:spacing w:after="0" w:line="240" w:lineRule="auto"/>
              <w:ind w:right="40"/>
              <w:jc w:val="center"/>
              <w:rPr>
                <w:rFonts w:ascii="Garamond" w:eastAsia="Times New Roman" w:hAnsi="Garamond" w:cs="Calibri"/>
                <w:sz w:val="18"/>
                <w:szCs w:val="20"/>
                <w:lang w:val="es-AR" w:eastAsia="es-AR"/>
              </w:rPr>
            </w:pPr>
            <w:r w:rsidRPr="00CA3A3D">
              <w:rPr>
                <w:rFonts w:ascii="Garamond" w:eastAsia="Times New Roman" w:hAnsi="Garamond" w:cs="Calibri"/>
                <w:sz w:val="18"/>
                <w:szCs w:val="20"/>
                <w:lang w:val="es-AR" w:eastAsia="es-AR"/>
              </w:rPr>
              <w:t>(C1001ABT) Ciudad Autónoma de Buenos Aires</w:t>
            </w:r>
          </w:p>
          <w:p w14:paraId="52E12EC1" w14:textId="709C7705" w:rsidR="0041505D" w:rsidRPr="00CA3A3D" w:rsidRDefault="00772F18" w:rsidP="00772F18">
            <w:pPr>
              <w:tabs>
                <w:tab w:val="left" w:pos="8663"/>
              </w:tabs>
              <w:spacing w:after="0" w:line="240" w:lineRule="auto"/>
              <w:ind w:right="40"/>
              <w:jc w:val="center"/>
              <w:rPr>
                <w:rFonts w:ascii="Garamond" w:eastAsia="Times New Roman" w:hAnsi="Garamond" w:cs="Calibri"/>
                <w:b/>
                <w:bCs/>
                <w:spacing w:val="1"/>
                <w:sz w:val="18"/>
                <w:szCs w:val="20"/>
                <w:lang w:val="es-AR" w:eastAsia="es-AR"/>
              </w:rPr>
            </w:pPr>
            <w:r w:rsidRPr="00CA3A3D">
              <w:rPr>
                <w:rFonts w:ascii="Garamond" w:eastAsia="Times New Roman" w:hAnsi="Garamond" w:cs="Calibri"/>
                <w:sz w:val="18"/>
                <w:szCs w:val="20"/>
                <w:lang w:val="es-AR" w:eastAsia="es-AR"/>
              </w:rPr>
              <w:t>Argentina</w:t>
            </w:r>
            <w:r w:rsidRPr="00CA3A3D">
              <w:rPr>
                <w:rFonts w:ascii="Garamond" w:eastAsia="Times New Roman" w:hAnsi="Garamond" w:cs="Calibri"/>
                <w:b/>
                <w:bCs/>
                <w:spacing w:val="1"/>
                <w:sz w:val="18"/>
                <w:szCs w:val="20"/>
                <w:lang w:val="es-AR" w:eastAsia="es-AR"/>
              </w:rPr>
              <w:t xml:space="preserve"> </w:t>
            </w:r>
          </w:p>
          <w:p w14:paraId="6A2BC471" w14:textId="77777777" w:rsidR="00772F18" w:rsidRPr="00CA3A3D" w:rsidRDefault="00772F18" w:rsidP="00002289">
            <w:pPr>
              <w:tabs>
                <w:tab w:val="left" w:pos="8663"/>
              </w:tabs>
              <w:spacing w:after="0" w:line="240" w:lineRule="auto"/>
              <w:ind w:right="40"/>
              <w:jc w:val="center"/>
              <w:rPr>
                <w:rFonts w:ascii="Garamond" w:eastAsia="Times New Roman" w:hAnsi="Garamond" w:cs="Calibri"/>
                <w:b/>
                <w:bCs/>
                <w:spacing w:val="1"/>
                <w:sz w:val="18"/>
                <w:szCs w:val="20"/>
                <w:lang w:val="es-AR" w:eastAsia="es-AR"/>
              </w:rPr>
            </w:pPr>
          </w:p>
          <w:p w14:paraId="1B5E47D9" w14:textId="77777777" w:rsidR="00772F18" w:rsidRPr="00CA3A3D" w:rsidRDefault="00772F18" w:rsidP="00772F18">
            <w:pPr>
              <w:tabs>
                <w:tab w:val="left" w:pos="8663"/>
              </w:tabs>
              <w:spacing w:after="0" w:line="240" w:lineRule="auto"/>
              <w:ind w:right="39"/>
              <w:jc w:val="center"/>
              <w:rPr>
                <w:rFonts w:ascii="Garamond" w:eastAsia="Times New Roman" w:hAnsi="Garamond" w:cs="Calibri"/>
                <w:b/>
                <w:bCs/>
                <w:spacing w:val="1"/>
                <w:sz w:val="18"/>
                <w:szCs w:val="20"/>
                <w:lang w:val="es-AR" w:eastAsia="es-AR"/>
              </w:rPr>
            </w:pPr>
          </w:p>
        </w:tc>
        <w:tc>
          <w:tcPr>
            <w:tcW w:w="4440" w:type="dxa"/>
            <w:shd w:val="clear" w:color="auto" w:fill="auto"/>
          </w:tcPr>
          <w:p w14:paraId="54BCBFE3" w14:textId="77777777" w:rsidR="00772F18" w:rsidRPr="00CA3A3D" w:rsidRDefault="00772F18" w:rsidP="00772F18">
            <w:pPr>
              <w:widowControl w:val="0"/>
              <w:tabs>
                <w:tab w:val="left" w:pos="4090"/>
              </w:tabs>
              <w:autoSpaceDE w:val="0"/>
              <w:autoSpaceDN w:val="0"/>
              <w:adjustRightInd w:val="0"/>
              <w:spacing w:after="0" w:line="240" w:lineRule="auto"/>
              <w:jc w:val="center"/>
              <w:rPr>
                <w:rFonts w:ascii="Garamond" w:hAnsi="Garamond"/>
                <w:b/>
                <w:sz w:val="18"/>
                <w:szCs w:val="20"/>
                <w:lang w:val="es-AR"/>
              </w:rPr>
            </w:pPr>
            <w:r w:rsidRPr="00CA3A3D">
              <w:rPr>
                <w:rFonts w:ascii="Garamond" w:hAnsi="Garamond"/>
                <w:b/>
                <w:sz w:val="18"/>
                <w:szCs w:val="20"/>
                <w:lang w:val="es-AR"/>
              </w:rPr>
              <w:t>DE LOS COLOCADORES RESPECTO DEL DERECHO ARGENTINO</w:t>
            </w:r>
          </w:p>
          <w:p w14:paraId="18E7D592" w14:textId="77777777" w:rsidR="00772F18" w:rsidRPr="00CA3A3D" w:rsidRDefault="00772F18" w:rsidP="00772F18">
            <w:pPr>
              <w:spacing w:after="0" w:line="240" w:lineRule="auto"/>
              <w:jc w:val="center"/>
              <w:rPr>
                <w:rFonts w:ascii="Garamond" w:hAnsi="Garamond"/>
                <w:b/>
                <w:sz w:val="18"/>
                <w:szCs w:val="20"/>
                <w:lang w:val="es-AR"/>
              </w:rPr>
            </w:pPr>
          </w:p>
          <w:p w14:paraId="57C81E52" w14:textId="77777777" w:rsidR="00772F18" w:rsidRPr="00CA3A3D" w:rsidRDefault="00772F18" w:rsidP="00772F18">
            <w:pPr>
              <w:spacing w:after="0" w:line="240" w:lineRule="auto"/>
              <w:jc w:val="center"/>
              <w:rPr>
                <w:rFonts w:ascii="Garamond" w:hAnsi="Garamond"/>
                <w:b/>
                <w:sz w:val="18"/>
                <w:szCs w:val="20"/>
                <w:lang w:val="es-AR"/>
              </w:rPr>
            </w:pPr>
            <w:r w:rsidRPr="00CA3A3D">
              <w:rPr>
                <w:rFonts w:ascii="Garamond" w:hAnsi="Garamond"/>
                <w:b/>
                <w:sz w:val="18"/>
                <w:szCs w:val="20"/>
                <w:lang w:val="es-AR"/>
              </w:rPr>
              <w:t>Bruchou, Fernández Madero &amp; Lombardi</w:t>
            </w:r>
          </w:p>
          <w:p w14:paraId="3D0D3A47" w14:textId="77777777" w:rsidR="00772F18" w:rsidRPr="00CA3A3D" w:rsidRDefault="00772F18" w:rsidP="00772F18">
            <w:pPr>
              <w:spacing w:after="0" w:line="240" w:lineRule="auto"/>
              <w:jc w:val="center"/>
              <w:rPr>
                <w:rFonts w:ascii="Garamond" w:hAnsi="Garamond"/>
                <w:sz w:val="18"/>
                <w:szCs w:val="20"/>
                <w:lang w:val="es-AR"/>
              </w:rPr>
            </w:pPr>
            <w:r w:rsidRPr="00CA3A3D">
              <w:rPr>
                <w:rFonts w:ascii="Garamond" w:hAnsi="Garamond"/>
                <w:sz w:val="18"/>
                <w:szCs w:val="20"/>
                <w:lang w:val="es-AR"/>
              </w:rPr>
              <w:t>Ing. Enrique Butty 275, piso 12</w:t>
            </w:r>
          </w:p>
          <w:p w14:paraId="686BD0FA" w14:textId="77777777" w:rsidR="00772F18" w:rsidRPr="00CA3A3D" w:rsidRDefault="00772F18" w:rsidP="00772F18">
            <w:pPr>
              <w:spacing w:after="0" w:line="240" w:lineRule="auto"/>
              <w:jc w:val="center"/>
              <w:rPr>
                <w:rFonts w:ascii="Garamond" w:hAnsi="Garamond"/>
                <w:sz w:val="18"/>
                <w:szCs w:val="20"/>
                <w:lang w:val="es-AR"/>
              </w:rPr>
            </w:pPr>
            <w:r w:rsidRPr="00CA3A3D">
              <w:rPr>
                <w:rFonts w:ascii="Garamond" w:hAnsi="Garamond"/>
                <w:sz w:val="18"/>
                <w:szCs w:val="20"/>
                <w:lang w:val="es-AR"/>
              </w:rPr>
              <w:t>(C1001AFA), Ciudad Autónoma de Buenos Aires</w:t>
            </w:r>
          </w:p>
          <w:p w14:paraId="5372E808" w14:textId="77777777" w:rsidR="00772F18" w:rsidRPr="00CA3A3D" w:rsidRDefault="00772F18" w:rsidP="00772F18">
            <w:pPr>
              <w:spacing w:after="0" w:line="240" w:lineRule="auto"/>
              <w:jc w:val="center"/>
              <w:rPr>
                <w:rFonts w:ascii="Garamond" w:hAnsi="Garamond"/>
                <w:sz w:val="18"/>
                <w:szCs w:val="20"/>
                <w:lang w:val="es-AR"/>
              </w:rPr>
            </w:pPr>
            <w:r w:rsidRPr="00CA3A3D">
              <w:rPr>
                <w:rFonts w:ascii="Garamond" w:hAnsi="Garamond"/>
                <w:sz w:val="18"/>
                <w:szCs w:val="20"/>
                <w:lang w:val="es-AR"/>
              </w:rPr>
              <w:t>Argentina</w:t>
            </w:r>
          </w:p>
          <w:p w14:paraId="498AF0D8" w14:textId="77777777" w:rsidR="00772F18" w:rsidRPr="00CA3A3D" w:rsidRDefault="00772F18" w:rsidP="00002289">
            <w:pPr>
              <w:spacing w:after="0" w:line="240" w:lineRule="auto"/>
              <w:jc w:val="center"/>
              <w:rPr>
                <w:rFonts w:ascii="Garamond" w:eastAsia="Times New Roman" w:hAnsi="Garamond" w:cs="Calibri"/>
                <w:b/>
                <w:bCs/>
                <w:spacing w:val="1"/>
                <w:sz w:val="18"/>
                <w:szCs w:val="20"/>
                <w:lang w:val="es-AR" w:eastAsia="es-AR"/>
              </w:rPr>
            </w:pPr>
          </w:p>
        </w:tc>
      </w:tr>
      <w:tr w:rsidR="00375F43" w:rsidRPr="00CA0A60" w14:paraId="004DAB4E" w14:textId="77777777" w:rsidTr="00225B3A">
        <w:trPr>
          <w:trHeight w:val="767"/>
          <w:jc w:val="center"/>
        </w:trPr>
        <w:tc>
          <w:tcPr>
            <w:tcW w:w="8879" w:type="dxa"/>
            <w:gridSpan w:val="2"/>
            <w:shd w:val="clear" w:color="auto" w:fill="auto"/>
          </w:tcPr>
          <w:p w14:paraId="5B4B50B8" w14:textId="77777777" w:rsidR="00375F43" w:rsidRPr="00CA3A3D" w:rsidRDefault="00375F43" w:rsidP="00375F43">
            <w:pPr>
              <w:tabs>
                <w:tab w:val="left" w:pos="8663"/>
              </w:tabs>
              <w:spacing w:after="0" w:line="240" w:lineRule="auto"/>
              <w:ind w:right="85"/>
              <w:jc w:val="center"/>
              <w:rPr>
                <w:rFonts w:ascii="Garamond" w:hAnsi="Garamond" w:cs="Calibri"/>
                <w:b/>
                <w:sz w:val="18"/>
                <w:szCs w:val="20"/>
                <w:lang w:val="es-AR"/>
              </w:rPr>
            </w:pPr>
            <w:r w:rsidRPr="00CA3A3D">
              <w:rPr>
                <w:rFonts w:ascii="Garamond" w:hAnsi="Garamond"/>
                <w:b/>
                <w:sz w:val="18"/>
                <w:szCs w:val="20"/>
                <w:lang w:val="es-AR"/>
              </w:rPr>
              <w:t xml:space="preserve">DEL </w:t>
            </w:r>
            <w:r w:rsidRPr="00CA3A3D">
              <w:rPr>
                <w:rFonts w:ascii="Garamond" w:hAnsi="Garamond" w:cs="Calibri"/>
                <w:b/>
                <w:sz w:val="18"/>
                <w:szCs w:val="20"/>
                <w:lang w:val="es-AR"/>
              </w:rPr>
              <w:t>AGENTE DE PAGO EN ARGENTINA, CO-AGENTE DE REGISTRO Y AGENTE DE TRANSFERENCIA EN ARGENTINA Y REPRESENTANTE DEL FIDUCIARIO EN ARGENTINA</w:t>
            </w:r>
          </w:p>
          <w:p w14:paraId="263F3B9E" w14:textId="77777777" w:rsidR="00375F43" w:rsidRPr="00CA3A3D" w:rsidRDefault="00375F43" w:rsidP="00375F43">
            <w:pPr>
              <w:spacing w:after="0" w:line="240" w:lineRule="auto"/>
              <w:jc w:val="center"/>
              <w:rPr>
                <w:rFonts w:ascii="Garamond" w:hAnsi="Garamond"/>
                <w:b/>
                <w:sz w:val="18"/>
                <w:szCs w:val="20"/>
                <w:lang w:val="es-AR"/>
              </w:rPr>
            </w:pPr>
          </w:p>
          <w:p w14:paraId="1065C62D" w14:textId="77777777" w:rsidR="00375F43" w:rsidRPr="00CA3A3D" w:rsidRDefault="00375F43" w:rsidP="00375F43">
            <w:pPr>
              <w:spacing w:after="0" w:line="240" w:lineRule="auto"/>
              <w:jc w:val="center"/>
              <w:rPr>
                <w:rFonts w:ascii="Garamond" w:hAnsi="Garamond"/>
                <w:b/>
                <w:sz w:val="18"/>
                <w:szCs w:val="20"/>
                <w:lang w:val="es-AR"/>
              </w:rPr>
            </w:pPr>
            <w:r w:rsidRPr="00CA3A3D">
              <w:rPr>
                <w:rFonts w:ascii="Garamond" w:hAnsi="Garamond"/>
                <w:b/>
                <w:sz w:val="18"/>
                <w:szCs w:val="20"/>
                <w:lang w:val="es-AR"/>
              </w:rPr>
              <w:t>Tanoira Cassagne Abogados</w:t>
            </w:r>
          </w:p>
          <w:p w14:paraId="354DB83F" w14:textId="77777777" w:rsidR="00375F43" w:rsidRPr="00CA3A3D" w:rsidRDefault="00375F43" w:rsidP="00375F43">
            <w:pPr>
              <w:spacing w:after="0" w:line="240" w:lineRule="auto"/>
              <w:jc w:val="center"/>
              <w:rPr>
                <w:rFonts w:ascii="Garamond" w:hAnsi="Garamond"/>
                <w:sz w:val="18"/>
                <w:szCs w:val="20"/>
                <w:lang w:val="es-AR"/>
              </w:rPr>
            </w:pPr>
            <w:r w:rsidRPr="00CA3A3D">
              <w:rPr>
                <w:rFonts w:ascii="Garamond" w:hAnsi="Garamond"/>
                <w:sz w:val="18"/>
                <w:szCs w:val="20"/>
                <w:lang w:val="es-AR"/>
              </w:rPr>
              <w:t>Juana Manso 205</w:t>
            </w:r>
          </w:p>
          <w:p w14:paraId="63BDDEB4" w14:textId="77777777" w:rsidR="00375F43" w:rsidRPr="00CA3A3D" w:rsidRDefault="00375F43" w:rsidP="00375F43">
            <w:pPr>
              <w:spacing w:after="0" w:line="240" w:lineRule="auto"/>
              <w:jc w:val="center"/>
              <w:rPr>
                <w:rFonts w:ascii="Garamond" w:hAnsi="Garamond"/>
                <w:sz w:val="18"/>
                <w:szCs w:val="20"/>
                <w:lang w:val="es-AR"/>
              </w:rPr>
            </w:pPr>
            <w:r w:rsidRPr="00CA3A3D">
              <w:rPr>
                <w:rFonts w:ascii="Garamond" w:hAnsi="Garamond"/>
                <w:sz w:val="18"/>
                <w:szCs w:val="20"/>
                <w:lang w:val="es-AR"/>
              </w:rPr>
              <w:t>(C1107CBE), Ciudad Autónoma de Buenos Aires</w:t>
            </w:r>
          </w:p>
          <w:p w14:paraId="352391AD" w14:textId="77777777" w:rsidR="00375F43" w:rsidRPr="00CA3A3D" w:rsidRDefault="00375F43" w:rsidP="00375F43">
            <w:pPr>
              <w:spacing w:after="0" w:line="240" w:lineRule="auto"/>
              <w:jc w:val="center"/>
              <w:rPr>
                <w:rFonts w:ascii="Garamond" w:hAnsi="Garamond"/>
                <w:sz w:val="18"/>
                <w:szCs w:val="20"/>
                <w:lang w:val="es-AR"/>
              </w:rPr>
            </w:pPr>
            <w:r w:rsidRPr="00CA3A3D">
              <w:rPr>
                <w:rFonts w:ascii="Garamond" w:hAnsi="Garamond"/>
                <w:sz w:val="18"/>
                <w:szCs w:val="20"/>
                <w:lang w:val="es-AR"/>
              </w:rPr>
              <w:t>Argentina</w:t>
            </w:r>
          </w:p>
          <w:p w14:paraId="16E5E008" w14:textId="77777777" w:rsidR="00375F43" w:rsidRPr="00CA3A3D" w:rsidRDefault="00375F43" w:rsidP="00772F18">
            <w:pPr>
              <w:widowControl w:val="0"/>
              <w:tabs>
                <w:tab w:val="left" w:pos="4090"/>
              </w:tabs>
              <w:autoSpaceDE w:val="0"/>
              <w:autoSpaceDN w:val="0"/>
              <w:adjustRightInd w:val="0"/>
              <w:spacing w:after="0" w:line="240" w:lineRule="auto"/>
              <w:jc w:val="center"/>
              <w:rPr>
                <w:rFonts w:ascii="Garamond" w:hAnsi="Garamond"/>
                <w:b/>
                <w:sz w:val="18"/>
                <w:szCs w:val="20"/>
                <w:lang w:val="es-AR"/>
              </w:rPr>
            </w:pPr>
          </w:p>
        </w:tc>
      </w:tr>
      <w:tr w:rsidR="00772F18" w:rsidRPr="00CA0A60" w14:paraId="023E9BD4" w14:textId="77777777" w:rsidTr="00002289">
        <w:trPr>
          <w:trHeight w:val="85"/>
          <w:jc w:val="center"/>
        </w:trPr>
        <w:tc>
          <w:tcPr>
            <w:tcW w:w="8879" w:type="dxa"/>
            <w:gridSpan w:val="2"/>
            <w:shd w:val="clear" w:color="auto" w:fill="auto"/>
          </w:tcPr>
          <w:p w14:paraId="7D7573DB" w14:textId="77777777" w:rsidR="00772F18" w:rsidRPr="00A438F1" w:rsidRDefault="00772F18" w:rsidP="00772F18">
            <w:pPr>
              <w:widowControl w:val="0"/>
              <w:tabs>
                <w:tab w:val="left" w:pos="4090"/>
              </w:tabs>
              <w:autoSpaceDE w:val="0"/>
              <w:autoSpaceDN w:val="0"/>
              <w:adjustRightInd w:val="0"/>
              <w:spacing w:after="0" w:line="240" w:lineRule="auto"/>
              <w:jc w:val="center"/>
              <w:rPr>
                <w:rFonts w:ascii="Garamond" w:hAnsi="Garamond"/>
                <w:b/>
                <w:sz w:val="18"/>
                <w:szCs w:val="20"/>
                <w:lang w:val="en-US"/>
              </w:rPr>
            </w:pPr>
            <w:r w:rsidRPr="00A438F1">
              <w:rPr>
                <w:rFonts w:ascii="Garamond" w:hAnsi="Garamond"/>
                <w:b/>
                <w:sz w:val="18"/>
                <w:szCs w:val="20"/>
                <w:lang w:val="en-US"/>
              </w:rPr>
              <w:t>AUDITORES EXTERNOS</w:t>
            </w:r>
          </w:p>
          <w:p w14:paraId="6ED3B670" w14:textId="77777777" w:rsidR="00772F18" w:rsidRPr="00A438F1" w:rsidRDefault="00772F18" w:rsidP="00772F18">
            <w:pPr>
              <w:widowControl w:val="0"/>
              <w:tabs>
                <w:tab w:val="left" w:pos="8663"/>
              </w:tabs>
              <w:autoSpaceDE w:val="0"/>
              <w:autoSpaceDN w:val="0"/>
              <w:adjustRightInd w:val="0"/>
              <w:spacing w:after="0" w:line="240" w:lineRule="auto"/>
              <w:jc w:val="center"/>
              <w:rPr>
                <w:rFonts w:ascii="Garamond" w:eastAsia="Times New Roman" w:hAnsi="Garamond" w:cs="Calibri"/>
                <w:b/>
                <w:bCs/>
                <w:spacing w:val="1"/>
                <w:sz w:val="18"/>
                <w:szCs w:val="20"/>
                <w:lang w:val="en-US" w:eastAsia="es-AR"/>
              </w:rPr>
            </w:pPr>
            <w:r w:rsidRPr="00A438F1">
              <w:rPr>
                <w:rFonts w:ascii="Garamond" w:eastAsia="Times New Roman" w:hAnsi="Garamond" w:cs="Calibri"/>
                <w:b/>
                <w:bCs/>
                <w:spacing w:val="1"/>
                <w:sz w:val="18"/>
                <w:szCs w:val="20"/>
                <w:lang w:val="en-US" w:eastAsia="es-AR"/>
              </w:rPr>
              <w:t>Price Waterhouse &amp; Co. S.R.L.</w:t>
            </w:r>
          </w:p>
          <w:p w14:paraId="41DDD2F7" w14:textId="77777777" w:rsidR="00772F18" w:rsidRPr="00CA3A3D" w:rsidRDefault="00772F18" w:rsidP="00772F18">
            <w:pPr>
              <w:widowControl w:val="0"/>
              <w:autoSpaceDE w:val="0"/>
              <w:autoSpaceDN w:val="0"/>
              <w:adjustRightInd w:val="0"/>
              <w:spacing w:after="0" w:line="240" w:lineRule="auto"/>
              <w:ind w:right="39"/>
              <w:jc w:val="center"/>
              <w:rPr>
                <w:rFonts w:ascii="Garamond" w:eastAsia="Times New Roman" w:hAnsi="Garamond" w:cs="Calibri"/>
                <w:sz w:val="18"/>
                <w:szCs w:val="20"/>
                <w:lang w:val="es-AR" w:eastAsia="es-AR"/>
              </w:rPr>
            </w:pPr>
            <w:r w:rsidRPr="00CA3A3D">
              <w:rPr>
                <w:rFonts w:ascii="Garamond" w:eastAsia="Times New Roman" w:hAnsi="Garamond" w:cs="Calibri"/>
                <w:sz w:val="18"/>
                <w:szCs w:val="20"/>
                <w:lang w:val="es-AR" w:eastAsia="es-AR"/>
              </w:rPr>
              <w:t>(firma miembro de Pricewaterhouse Coopers International Limited network)</w:t>
            </w:r>
          </w:p>
          <w:p w14:paraId="5B6A5713" w14:textId="77777777" w:rsidR="00772F18" w:rsidRPr="00CA3A3D" w:rsidRDefault="00772F18" w:rsidP="00772F18">
            <w:pPr>
              <w:widowControl w:val="0"/>
              <w:autoSpaceDE w:val="0"/>
              <w:autoSpaceDN w:val="0"/>
              <w:adjustRightInd w:val="0"/>
              <w:spacing w:after="0" w:line="240" w:lineRule="auto"/>
              <w:ind w:right="39"/>
              <w:jc w:val="center"/>
              <w:rPr>
                <w:rFonts w:ascii="Garamond" w:eastAsia="Times New Roman" w:hAnsi="Garamond" w:cs="Calibri"/>
                <w:sz w:val="18"/>
                <w:szCs w:val="20"/>
                <w:lang w:val="es-AR" w:eastAsia="es-AR"/>
              </w:rPr>
            </w:pPr>
            <w:r w:rsidRPr="00CA3A3D">
              <w:rPr>
                <w:rFonts w:ascii="Garamond" w:eastAsia="Times New Roman" w:hAnsi="Garamond" w:cs="Calibri"/>
                <w:sz w:val="18"/>
                <w:szCs w:val="20"/>
                <w:lang w:val="es-AR" w:eastAsia="es-AR"/>
              </w:rPr>
              <w:t>Edificio Bouchard Plaza</w:t>
            </w:r>
          </w:p>
          <w:p w14:paraId="03D075B3" w14:textId="5A95CA50" w:rsidR="00772F18" w:rsidRPr="00CA3A3D" w:rsidRDefault="00772F18" w:rsidP="00772F18">
            <w:pPr>
              <w:widowControl w:val="0"/>
              <w:autoSpaceDE w:val="0"/>
              <w:autoSpaceDN w:val="0"/>
              <w:adjustRightInd w:val="0"/>
              <w:spacing w:after="0" w:line="240" w:lineRule="auto"/>
              <w:ind w:right="39"/>
              <w:jc w:val="center"/>
              <w:rPr>
                <w:rFonts w:ascii="Garamond" w:eastAsia="Times New Roman" w:hAnsi="Garamond" w:cs="Calibri"/>
                <w:sz w:val="18"/>
                <w:szCs w:val="20"/>
                <w:lang w:val="es-AR" w:eastAsia="es-AR"/>
              </w:rPr>
            </w:pPr>
            <w:r w:rsidRPr="00CA3A3D">
              <w:rPr>
                <w:rFonts w:ascii="Garamond" w:eastAsia="Times New Roman" w:hAnsi="Garamond" w:cs="Calibri"/>
                <w:sz w:val="18"/>
                <w:szCs w:val="20"/>
                <w:lang w:val="es-AR" w:eastAsia="es-AR"/>
              </w:rPr>
              <w:t xml:space="preserve">Bouchard 557, </w:t>
            </w:r>
            <w:r w:rsidR="008E338E" w:rsidRPr="00CA3A3D">
              <w:rPr>
                <w:rFonts w:ascii="Garamond" w:eastAsia="Times New Roman" w:hAnsi="Garamond" w:cs="Calibri"/>
                <w:sz w:val="18"/>
                <w:szCs w:val="20"/>
                <w:lang w:val="es-AR" w:eastAsia="es-AR"/>
              </w:rPr>
              <w:t>p</w:t>
            </w:r>
            <w:r w:rsidRPr="00CA3A3D">
              <w:rPr>
                <w:rFonts w:ascii="Garamond" w:eastAsia="Times New Roman" w:hAnsi="Garamond" w:cs="Calibri"/>
                <w:sz w:val="18"/>
                <w:szCs w:val="20"/>
                <w:lang w:val="es-AR" w:eastAsia="es-AR"/>
              </w:rPr>
              <w:t>iso 7</w:t>
            </w:r>
          </w:p>
          <w:p w14:paraId="448BDB30" w14:textId="77777777" w:rsidR="00772F18" w:rsidRPr="00CA3A3D" w:rsidRDefault="00772F18" w:rsidP="00772F18">
            <w:pPr>
              <w:widowControl w:val="0"/>
              <w:autoSpaceDE w:val="0"/>
              <w:autoSpaceDN w:val="0"/>
              <w:adjustRightInd w:val="0"/>
              <w:spacing w:after="0" w:line="240" w:lineRule="auto"/>
              <w:ind w:right="39"/>
              <w:jc w:val="center"/>
              <w:rPr>
                <w:rFonts w:ascii="Garamond" w:eastAsia="Times New Roman" w:hAnsi="Garamond" w:cs="Calibri"/>
                <w:sz w:val="18"/>
                <w:szCs w:val="20"/>
                <w:lang w:val="es-AR" w:eastAsia="es-AR"/>
              </w:rPr>
            </w:pPr>
            <w:r w:rsidRPr="00CA3A3D">
              <w:rPr>
                <w:rFonts w:ascii="Garamond" w:eastAsia="Times New Roman" w:hAnsi="Garamond" w:cs="Calibri"/>
                <w:sz w:val="18"/>
                <w:szCs w:val="20"/>
                <w:lang w:val="es-AR" w:eastAsia="es-AR"/>
              </w:rPr>
              <w:t>(C1106ABG) Ciudad Autónoma de Buenos Aires</w:t>
            </w:r>
          </w:p>
          <w:p w14:paraId="2DE8BF7E" w14:textId="77777777" w:rsidR="00772F18" w:rsidRPr="00CA3A3D" w:rsidRDefault="00772F18" w:rsidP="00772F18">
            <w:pPr>
              <w:widowControl w:val="0"/>
              <w:autoSpaceDE w:val="0"/>
              <w:autoSpaceDN w:val="0"/>
              <w:adjustRightInd w:val="0"/>
              <w:spacing w:after="0" w:line="240" w:lineRule="auto"/>
              <w:ind w:right="39"/>
              <w:jc w:val="center"/>
              <w:rPr>
                <w:rFonts w:ascii="Garamond" w:hAnsi="Garamond"/>
                <w:b/>
                <w:sz w:val="18"/>
                <w:szCs w:val="20"/>
                <w:lang w:val="es-AR"/>
              </w:rPr>
            </w:pPr>
            <w:r w:rsidRPr="00CA3A3D">
              <w:rPr>
                <w:rFonts w:ascii="Garamond" w:eastAsia="Times New Roman" w:hAnsi="Garamond" w:cs="Calibri"/>
                <w:sz w:val="18"/>
                <w:szCs w:val="20"/>
                <w:lang w:val="es-AR" w:eastAsia="es-AR"/>
              </w:rPr>
              <w:t>Argentina</w:t>
            </w:r>
          </w:p>
        </w:tc>
      </w:tr>
    </w:tbl>
    <w:p w14:paraId="40D2860B" w14:textId="77777777" w:rsidR="00E27442" w:rsidRPr="00CA3A3D" w:rsidRDefault="00E27442">
      <w:pPr>
        <w:rPr>
          <w:sz w:val="20"/>
          <w:szCs w:val="20"/>
          <w:lang w:val="es-AR"/>
        </w:rPr>
      </w:pPr>
    </w:p>
    <w:sectPr w:rsidR="00E27442" w:rsidRPr="00CA3A3D" w:rsidSect="00225B3A">
      <w:footerReference w:type="default" r:id="rId63"/>
      <w:pgSz w:w="11906" w:h="16838"/>
      <w:pgMar w:top="1417" w:right="1700"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706B2" w14:textId="77777777" w:rsidR="00574BEF" w:rsidRDefault="00574BEF" w:rsidP="00354069">
      <w:pPr>
        <w:spacing w:after="0" w:line="240" w:lineRule="auto"/>
      </w:pPr>
      <w:r>
        <w:separator/>
      </w:r>
    </w:p>
  </w:endnote>
  <w:endnote w:type="continuationSeparator" w:id="0">
    <w:p w14:paraId="4C164B5E" w14:textId="77777777" w:rsidR="00574BEF" w:rsidRDefault="00574BEF" w:rsidP="00354069">
      <w:pPr>
        <w:spacing w:after="0" w:line="240" w:lineRule="auto"/>
      </w:pPr>
      <w:r>
        <w:continuationSeparator/>
      </w:r>
    </w:p>
  </w:endnote>
  <w:endnote w:type="continuationNotice" w:id="1">
    <w:p w14:paraId="1BE80AFD" w14:textId="77777777" w:rsidR="00574BEF" w:rsidRDefault="00574B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EYInterstate Light">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doni Bk BT">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Univers">
    <w:charset w:val="00"/>
    <w:family w:val="swiss"/>
    <w:pitch w:val="variable"/>
    <w:sig w:usb0="80000287" w:usb1="00000000" w:usb2="00000000" w:usb3="00000000" w:csb0="0000000F" w:csb1="00000000"/>
  </w:font>
  <w:font w:name="Vrinda">
    <w:panose1 w:val="020B0502040204020203"/>
    <w:charset w:val="00"/>
    <w:family w:val="swiss"/>
    <w:pitch w:val="variable"/>
    <w:sig w:usb0="00010003" w:usb1="00000000" w:usb2="00000000" w:usb3="00000000" w:csb0="00000001" w:csb1="00000000"/>
  </w:font>
  <w:font w:name="ヒラギノ角ゴ Pro W3">
    <w:charset w:val="80"/>
    <w:family w:val="swiss"/>
    <w:pitch w:val="variable"/>
    <w:sig w:usb0="E00002FF" w:usb1="7AC7FFFF" w:usb2="00000012" w:usb3="00000000" w:csb0="0002000D" w:csb1="00000000"/>
  </w:font>
  <w:font w:name="Century Gothic">
    <w:panose1 w:val="020B0502020202020204"/>
    <w:charset w:val="00"/>
    <w:family w:val="swiss"/>
    <w:pitch w:val="variable"/>
    <w:sig w:usb0="00000287" w:usb1="000000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G Omega">
    <w:panose1 w:val="00000000000000000000"/>
    <w:charset w:val="00"/>
    <w:family w:val="swiss"/>
    <w:notTrueType/>
    <w:pitch w:val="variable"/>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Frutiger 45 Light">
    <w:panose1 w:val="00000000000000000000"/>
    <w:charset w:val="00"/>
    <w:family w:val="modern"/>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3BA21" w14:textId="77777777" w:rsidR="00845D78" w:rsidRDefault="00845D78" w:rsidP="00C240D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17</w:t>
    </w:r>
    <w:r>
      <w:rPr>
        <w:rStyle w:val="Nmerodepgina"/>
      </w:rPr>
      <w:fldChar w:fldCharType="end"/>
    </w:r>
  </w:p>
  <w:p w14:paraId="2ECAA31B" w14:textId="77777777" w:rsidR="00845D78" w:rsidRDefault="00845D78">
    <w:pPr>
      <w:pStyle w:val="Piedepgina"/>
    </w:pPr>
  </w:p>
  <w:p w14:paraId="2FBD1CFD" w14:textId="77777777" w:rsidR="00845D78" w:rsidRDefault="00845D7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50CB3" w14:textId="77777777" w:rsidR="00845D78" w:rsidRDefault="00845D78">
    <w:pPr>
      <w:pStyle w:val="Piedepgina"/>
      <w:jc w:val="center"/>
    </w:pPr>
  </w:p>
  <w:p w14:paraId="130CC4CD" w14:textId="77777777" w:rsidR="00845D78" w:rsidRDefault="00845D7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18"/>
      </w:rPr>
      <w:id w:val="11737146"/>
      <w:docPartObj>
        <w:docPartGallery w:val="Page Numbers (Bottom of Page)"/>
        <w:docPartUnique/>
      </w:docPartObj>
    </w:sdtPr>
    <w:sdtEndPr/>
    <w:sdtContent>
      <w:p w14:paraId="1D01B527" w14:textId="77777777" w:rsidR="00845D78" w:rsidRDefault="00845D78" w:rsidP="005E14F3">
        <w:pPr>
          <w:pStyle w:val="Piedepgina"/>
          <w:jc w:val="center"/>
        </w:pPr>
        <w:r w:rsidRPr="00F678A5">
          <w:rPr>
            <w:rFonts w:ascii="Garamond" w:hAnsi="Garamond"/>
            <w:sz w:val="18"/>
          </w:rPr>
          <w:fldChar w:fldCharType="begin"/>
        </w:r>
        <w:r w:rsidRPr="00F678A5">
          <w:rPr>
            <w:rFonts w:ascii="Garamond" w:hAnsi="Garamond"/>
            <w:sz w:val="18"/>
          </w:rPr>
          <w:instrText>PAGE   \* MERGEFORMAT</w:instrText>
        </w:r>
        <w:r w:rsidRPr="00F678A5">
          <w:rPr>
            <w:rFonts w:ascii="Garamond" w:hAnsi="Garamond"/>
            <w:sz w:val="18"/>
          </w:rPr>
          <w:fldChar w:fldCharType="separate"/>
        </w:r>
        <w:r w:rsidR="00B81D9F" w:rsidRPr="00B81D9F">
          <w:rPr>
            <w:rFonts w:ascii="Garamond" w:hAnsi="Garamond"/>
            <w:noProof/>
            <w:sz w:val="18"/>
            <w:lang w:val="es-ES"/>
          </w:rPr>
          <w:t>18</w:t>
        </w:r>
        <w:r w:rsidRPr="00F678A5">
          <w:rPr>
            <w:rFonts w:ascii="Garamond" w:hAnsi="Garamond"/>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BA80F" w14:textId="77777777" w:rsidR="00574BEF" w:rsidRDefault="00574BEF" w:rsidP="00354069">
      <w:pPr>
        <w:spacing w:after="0" w:line="240" w:lineRule="auto"/>
      </w:pPr>
      <w:r>
        <w:separator/>
      </w:r>
    </w:p>
  </w:footnote>
  <w:footnote w:type="continuationSeparator" w:id="0">
    <w:p w14:paraId="727DC77E" w14:textId="77777777" w:rsidR="00574BEF" w:rsidRDefault="00574BEF" w:rsidP="00354069">
      <w:pPr>
        <w:spacing w:after="0" w:line="240" w:lineRule="auto"/>
      </w:pPr>
      <w:r>
        <w:continuationSeparator/>
      </w:r>
    </w:p>
  </w:footnote>
  <w:footnote w:type="continuationNotice" w:id="1">
    <w:p w14:paraId="688BFF27" w14:textId="77777777" w:rsidR="00574BEF" w:rsidRDefault="00574BEF">
      <w:pPr>
        <w:spacing w:after="0" w:line="240" w:lineRule="auto"/>
      </w:pPr>
    </w:p>
  </w:footnote>
  <w:footnote w:id="2">
    <w:p w14:paraId="6DB780DF" w14:textId="77777777" w:rsidR="00845D78" w:rsidRPr="00B441B1" w:rsidRDefault="00845D78" w:rsidP="001E3DCC">
      <w:pPr>
        <w:pStyle w:val="Textonotapie"/>
        <w:ind w:left="180" w:hanging="180"/>
        <w:jc w:val="both"/>
        <w:rPr>
          <w:rFonts w:ascii="Garamond" w:hAnsi="Garamond"/>
          <w:lang w:eastAsia="en-US"/>
        </w:rPr>
      </w:pPr>
      <w:r w:rsidRPr="00B441B1">
        <w:rPr>
          <w:rStyle w:val="Refdenotaalpie"/>
          <w:rFonts w:ascii="Garamond" w:eastAsia="Times New Roman" w:hAnsi="Garamond"/>
          <w:sz w:val="18"/>
        </w:rPr>
        <w:footnoteRef/>
      </w:r>
      <w:r w:rsidRPr="00B441B1">
        <w:rPr>
          <w:rFonts w:ascii="Garamond" w:hAnsi="Garamond"/>
          <w:sz w:val="18"/>
        </w:rPr>
        <w:t xml:space="preserve"> Otros sujetos de la investigación fueron procesados por los delitos de asociación ilícita en calidad de “organizadores”, que prevén condenas de prisión mayores a los de los “participantes” de la organización ilícita.</w:t>
      </w:r>
    </w:p>
  </w:footnote>
  <w:footnote w:id="3">
    <w:p w14:paraId="29C8E0B2" w14:textId="77777777" w:rsidR="00845D78" w:rsidRPr="00B441B1" w:rsidRDefault="00845D78" w:rsidP="001E3DCC">
      <w:pPr>
        <w:pStyle w:val="Textonotaalfinal"/>
        <w:spacing w:after="0"/>
        <w:ind w:left="272" w:hanging="272"/>
        <w:jc w:val="both"/>
        <w:rPr>
          <w:rFonts w:ascii="Garamond" w:hAnsi="Garamond"/>
          <w:sz w:val="18"/>
          <w:szCs w:val="18"/>
          <w:lang w:val="es-AR" w:eastAsia="en-US"/>
        </w:rPr>
      </w:pPr>
      <w:bookmarkStart w:id="38" w:name="_cp_text_1_164"/>
      <w:r w:rsidRPr="00B441B1">
        <w:rPr>
          <w:rStyle w:val="Refdenotaalpie"/>
          <w:rFonts w:ascii="Garamond" w:eastAsia="Times New Roman" w:hAnsi="Garamond"/>
          <w:sz w:val="18"/>
          <w:szCs w:val="18"/>
        </w:rPr>
        <w:footnoteRef/>
      </w:r>
      <w:r w:rsidRPr="00B441B1">
        <w:rPr>
          <w:rFonts w:ascii="Garamond" w:hAnsi="Garamond"/>
          <w:sz w:val="18"/>
          <w:szCs w:val="18"/>
          <w:lang w:val="es-AR"/>
        </w:rPr>
        <w:t xml:space="preserve"> </w:t>
      </w:r>
      <w:bookmarkStart w:id="39" w:name="_cp_text_4_165"/>
      <w:bookmarkEnd w:id="38"/>
      <w:r w:rsidRPr="00B441B1">
        <w:rPr>
          <w:rFonts w:ascii="Garamond" w:hAnsi="Garamond"/>
          <w:sz w:val="18"/>
          <w:szCs w:val="18"/>
          <w:lang w:val="es-AR"/>
        </w:rPr>
        <w:tab/>
        <w:t>La Procuración General del Tesoro de la Nación ha confirmado esta interpretación en su fallo N° IF-2018-5407797-APN-PTN que indica que</w:t>
      </w:r>
      <w:bookmarkStart w:id="40" w:name="_cp_text_4_166"/>
      <w:bookmarkEnd w:id="39"/>
      <w:r w:rsidRPr="00B441B1">
        <w:rPr>
          <w:rFonts w:ascii="Garamond" w:hAnsi="Garamond"/>
          <w:sz w:val="18"/>
          <w:szCs w:val="18"/>
          <w:lang w:val="es-AR"/>
        </w:rPr>
        <w:t>: “</w:t>
      </w:r>
      <w:r w:rsidRPr="00B441B1">
        <w:rPr>
          <w:rFonts w:ascii="Garamond" w:hAnsi="Garamond"/>
          <w:i/>
          <w:sz w:val="18"/>
          <w:szCs w:val="18"/>
          <w:lang w:val="es-AR"/>
        </w:rPr>
        <w:t>los hechos investigados son previos al dictado de la ley N° 27.401, y dicha ley no es de aplicación retroactiva”.</w:t>
      </w:r>
      <w:bookmarkStart w:id="41" w:name="_cp_text_1_167"/>
      <w:bookmarkEnd w:id="40"/>
      <w:r w:rsidRPr="00B441B1">
        <w:rPr>
          <w:rFonts w:ascii="Garamond" w:hAnsi="Garamond"/>
          <w:sz w:val="18"/>
          <w:szCs w:val="18"/>
          <w:lang w:val="es-AR"/>
        </w:rPr>
        <w:t xml:space="preserve"> </w:t>
      </w:r>
      <w:bookmarkEnd w:id="41"/>
    </w:p>
  </w:footnote>
  <w:footnote w:id="4">
    <w:p w14:paraId="5E5FFC16" w14:textId="77777777" w:rsidR="00845D78" w:rsidRPr="00865BAE" w:rsidRDefault="00845D78" w:rsidP="001E3DCC">
      <w:pPr>
        <w:pStyle w:val="Textonotapie"/>
        <w:ind w:left="272" w:hanging="272"/>
        <w:jc w:val="both"/>
        <w:rPr>
          <w:lang w:eastAsia="en-US"/>
        </w:rPr>
      </w:pPr>
      <w:bookmarkStart w:id="46" w:name="_cp_text_1_184"/>
      <w:r w:rsidRPr="00B441B1">
        <w:rPr>
          <w:rStyle w:val="Refdenotaalpie"/>
          <w:rFonts w:ascii="Garamond" w:hAnsi="Garamond"/>
          <w:sz w:val="18"/>
          <w:szCs w:val="18"/>
          <w:lang w:val="en-US" w:eastAsia="en-US"/>
        </w:rPr>
        <w:footnoteRef/>
      </w:r>
      <w:r w:rsidRPr="00B441B1">
        <w:rPr>
          <w:rFonts w:ascii="Garamond" w:hAnsi="Garamond"/>
          <w:sz w:val="18"/>
          <w:szCs w:val="18"/>
        </w:rPr>
        <w:t xml:space="preserve"> </w:t>
      </w:r>
      <w:bookmarkEnd w:id="46"/>
      <w:r w:rsidRPr="00B441B1">
        <w:rPr>
          <w:rFonts w:ascii="Garamond" w:hAnsi="Garamond"/>
          <w:sz w:val="18"/>
          <w:szCs w:val="18"/>
        </w:rPr>
        <w:tab/>
      </w:r>
      <w:bookmarkStart w:id="47" w:name="_cp_text_4_185"/>
      <w:r w:rsidRPr="00B441B1">
        <w:rPr>
          <w:rFonts w:ascii="Garamond" w:hAnsi="Garamond"/>
          <w:sz w:val="18"/>
          <w:szCs w:val="18"/>
        </w:rPr>
        <w:t xml:space="preserve">Si bien la posición previa del gobierno estadounidense era que las disposiciones antisoborno de la FCPA también podían ser de aplicación a una persona física o entidad no estadounidense que participara en un ilícito con o fuera cómplice de una parte sujeta a la FCPA (es decir, una “emisora” o “empresa local”, un tribunal de apelación federal recientemente rechazó esta posición. Véase </w:t>
      </w:r>
      <w:r w:rsidRPr="00B441B1">
        <w:rPr>
          <w:rFonts w:ascii="Garamond" w:hAnsi="Garamond"/>
          <w:i/>
          <w:sz w:val="18"/>
          <w:szCs w:val="18"/>
        </w:rPr>
        <w:t>United States</w:t>
      </w:r>
      <w:r w:rsidRPr="00B441B1">
        <w:rPr>
          <w:rFonts w:ascii="Garamond" w:hAnsi="Garamond"/>
          <w:sz w:val="18"/>
          <w:szCs w:val="18"/>
        </w:rPr>
        <w:t xml:space="preserve"> v. </w:t>
      </w:r>
      <w:r w:rsidRPr="00B441B1">
        <w:rPr>
          <w:rFonts w:ascii="Garamond" w:hAnsi="Garamond"/>
          <w:i/>
          <w:sz w:val="18"/>
          <w:szCs w:val="18"/>
        </w:rPr>
        <w:t>Hoskins</w:t>
      </w:r>
      <w:r w:rsidRPr="00B441B1">
        <w:rPr>
          <w:rFonts w:ascii="Garamond" w:hAnsi="Garamond"/>
          <w:sz w:val="18"/>
          <w:szCs w:val="18"/>
        </w:rPr>
        <w:t>, 16-1010-cr (2d Cir. 24 de agosto de 2018) (“El gobierno no puede ampliar el alcance territorial de la FCPA recurriendo a las leyes sobre concertación ilícita y complicidad”).</w:t>
      </w:r>
      <w:bookmarkEnd w:id="47"/>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640D136"/>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E3C80AA2"/>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5F36F29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AA669AB6"/>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D660B552"/>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13CC0DE"/>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B4DB92"/>
    <w:lvl w:ilvl="0">
      <w:start w:val="1"/>
      <w:numFmt w:val="bullet"/>
      <w:pStyle w:val="Listaconvietas3"/>
      <w:lvlText w:val=""/>
      <w:lvlJc w:val="left"/>
      <w:pPr>
        <w:tabs>
          <w:tab w:val="num" w:pos="1080"/>
        </w:tabs>
        <w:ind w:left="1080" w:hanging="360"/>
      </w:pPr>
      <w:rPr>
        <w:rFonts w:ascii="Symbol" w:hAnsi="Symbol" w:hint="default"/>
        <w:lang w:val="es-ES"/>
      </w:rPr>
    </w:lvl>
  </w:abstractNum>
  <w:abstractNum w:abstractNumId="7" w15:restartNumberingAfterBreak="0">
    <w:nsid w:val="FFFFFF83"/>
    <w:multiLevelType w:val="singleLevel"/>
    <w:tmpl w:val="D4149920"/>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CC9D0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BF68847E"/>
    <w:lvl w:ilvl="0">
      <w:start w:val="1"/>
      <w:numFmt w:val="bullet"/>
      <w:pStyle w:val="Listaconvietas"/>
      <w:lvlText w:val=""/>
      <w:lvlJc w:val="left"/>
      <w:pPr>
        <w:ind w:left="360" w:hanging="360"/>
      </w:pPr>
      <w:rPr>
        <w:rFonts w:ascii="Symbol" w:hAnsi="Symbol" w:hint="default"/>
      </w:rPr>
    </w:lvl>
  </w:abstractNum>
  <w:abstractNum w:abstractNumId="10" w15:restartNumberingAfterBreak="0">
    <w:nsid w:val="01A706D3"/>
    <w:multiLevelType w:val="hybridMultilevel"/>
    <w:tmpl w:val="46B85D82"/>
    <w:lvl w:ilvl="0" w:tplc="F584578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01E275C4"/>
    <w:multiLevelType w:val="hybridMultilevel"/>
    <w:tmpl w:val="53D697C0"/>
    <w:lvl w:ilvl="0" w:tplc="C3A08E6A">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15:restartNumberingAfterBreak="0">
    <w:nsid w:val="02192792"/>
    <w:multiLevelType w:val="hybridMultilevel"/>
    <w:tmpl w:val="AC46817E"/>
    <w:lvl w:ilvl="0" w:tplc="02BAD58C">
      <w:start w:val="1"/>
      <w:numFmt w:val="lowerLetter"/>
      <w:lvlText w:val="(%1)"/>
      <w:lvlJc w:val="left"/>
      <w:pPr>
        <w:ind w:left="1140" w:hanging="360"/>
      </w:pPr>
      <w:rPr>
        <w:rFonts w:hint="default"/>
      </w:rPr>
    </w:lvl>
    <w:lvl w:ilvl="1" w:tplc="2C0A0019" w:tentative="1">
      <w:start w:val="1"/>
      <w:numFmt w:val="lowerLetter"/>
      <w:lvlText w:val="%2."/>
      <w:lvlJc w:val="left"/>
      <w:pPr>
        <w:ind w:left="1860" w:hanging="360"/>
      </w:pPr>
    </w:lvl>
    <w:lvl w:ilvl="2" w:tplc="2C0A001B" w:tentative="1">
      <w:start w:val="1"/>
      <w:numFmt w:val="lowerRoman"/>
      <w:lvlText w:val="%3."/>
      <w:lvlJc w:val="right"/>
      <w:pPr>
        <w:ind w:left="2580" w:hanging="180"/>
      </w:pPr>
    </w:lvl>
    <w:lvl w:ilvl="3" w:tplc="2C0A000F" w:tentative="1">
      <w:start w:val="1"/>
      <w:numFmt w:val="decimal"/>
      <w:lvlText w:val="%4."/>
      <w:lvlJc w:val="left"/>
      <w:pPr>
        <w:ind w:left="3300" w:hanging="360"/>
      </w:pPr>
    </w:lvl>
    <w:lvl w:ilvl="4" w:tplc="2C0A0019" w:tentative="1">
      <w:start w:val="1"/>
      <w:numFmt w:val="lowerLetter"/>
      <w:lvlText w:val="%5."/>
      <w:lvlJc w:val="left"/>
      <w:pPr>
        <w:ind w:left="4020" w:hanging="360"/>
      </w:pPr>
    </w:lvl>
    <w:lvl w:ilvl="5" w:tplc="2C0A001B" w:tentative="1">
      <w:start w:val="1"/>
      <w:numFmt w:val="lowerRoman"/>
      <w:lvlText w:val="%6."/>
      <w:lvlJc w:val="right"/>
      <w:pPr>
        <w:ind w:left="4740" w:hanging="180"/>
      </w:pPr>
    </w:lvl>
    <w:lvl w:ilvl="6" w:tplc="2C0A000F" w:tentative="1">
      <w:start w:val="1"/>
      <w:numFmt w:val="decimal"/>
      <w:lvlText w:val="%7."/>
      <w:lvlJc w:val="left"/>
      <w:pPr>
        <w:ind w:left="5460" w:hanging="360"/>
      </w:pPr>
    </w:lvl>
    <w:lvl w:ilvl="7" w:tplc="2C0A0019" w:tentative="1">
      <w:start w:val="1"/>
      <w:numFmt w:val="lowerLetter"/>
      <w:lvlText w:val="%8."/>
      <w:lvlJc w:val="left"/>
      <w:pPr>
        <w:ind w:left="6180" w:hanging="360"/>
      </w:pPr>
    </w:lvl>
    <w:lvl w:ilvl="8" w:tplc="2C0A001B" w:tentative="1">
      <w:start w:val="1"/>
      <w:numFmt w:val="lowerRoman"/>
      <w:lvlText w:val="%9."/>
      <w:lvlJc w:val="right"/>
      <w:pPr>
        <w:ind w:left="6900" w:hanging="180"/>
      </w:pPr>
    </w:lvl>
  </w:abstractNum>
  <w:abstractNum w:abstractNumId="13" w15:restartNumberingAfterBreak="0">
    <w:nsid w:val="02BA4EE7"/>
    <w:multiLevelType w:val="hybridMultilevel"/>
    <w:tmpl w:val="6FD24662"/>
    <w:lvl w:ilvl="0" w:tplc="6BECBF5A">
      <w:start w:val="1"/>
      <w:numFmt w:val="decimal"/>
      <w:pStyle w:val="STBListNumber3"/>
      <w:lvlText w:val="%1."/>
      <w:lvlJc w:val="left"/>
      <w:pPr>
        <w:ind w:left="1080" w:hanging="360"/>
      </w:pPr>
    </w:lvl>
    <w:lvl w:ilvl="1" w:tplc="755235E4" w:tentative="1">
      <w:start w:val="1"/>
      <w:numFmt w:val="lowerLetter"/>
      <w:lvlText w:val="%2."/>
      <w:lvlJc w:val="left"/>
      <w:pPr>
        <w:ind w:left="1800" w:hanging="360"/>
      </w:pPr>
    </w:lvl>
    <w:lvl w:ilvl="2" w:tplc="C298CBC4" w:tentative="1">
      <w:start w:val="1"/>
      <w:numFmt w:val="lowerRoman"/>
      <w:lvlText w:val="%3."/>
      <w:lvlJc w:val="right"/>
      <w:pPr>
        <w:ind w:left="2520" w:hanging="180"/>
      </w:pPr>
    </w:lvl>
    <w:lvl w:ilvl="3" w:tplc="93BACB82" w:tentative="1">
      <w:start w:val="1"/>
      <w:numFmt w:val="decimal"/>
      <w:lvlText w:val="%4."/>
      <w:lvlJc w:val="left"/>
      <w:pPr>
        <w:ind w:left="3240" w:hanging="360"/>
      </w:pPr>
    </w:lvl>
    <w:lvl w:ilvl="4" w:tplc="E048A92E" w:tentative="1">
      <w:start w:val="1"/>
      <w:numFmt w:val="lowerLetter"/>
      <w:lvlText w:val="%5."/>
      <w:lvlJc w:val="left"/>
      <w:pPr>
        <w:ind w:left="3960" w:hanging="360"/>
      </w:pPr>
    </w:lvl>
    <w:lvl w:ilvl="5" w:tplc="EFC61730" w:tentative="1">
      <w:start w:val="1"/>
      <w:numFmt w:val="lowerRoman"/>
      <w:lvlText w:val="%6."/>
      <w:lvlJc w:val="right"/>
      <w:pPr>
        <w:ind w:left="4680" w:hanging="180"/>
      </w:pPr>
    </w:lvl>
    <w:lvl w:ilvl="6" w:tplc="F59E3F58" w:tentative="1">
      <w:start w:val="1"/>
      <w:numFmt w:val="decimal"/>
      <w:lvlText w:val="%7."/>
      <w:lvlJc w:val="left"/>
      <w:pPr>
        <w:ind w:left="5400" w:hanging="360"/>
      </w:pPr>
    </w:lvl>
    <w:lvl w:ilvl="7" w:tplc="96B29038" w:tentative="1">
      <w:start w:val="1"/>
      <w:numFmt w:val="lowerLetter"/>
      <w:lvlText w:val="%8."/>
      <w:lvlJc w:val="left"/>
      <w:pPr>
        <w:ind w:left="6120" w:hanging="360"/>
      </w:pPr>
    </w:lvl>
    <w:lvl w:ilvl="8" w:tplc="61CC6D58" w:tentative="1">
      <w:start w:val="1"/>
      <w:numFmt w:val="lowerRoman"/>
      <w:lvlText w:val="%9."/>
      <w:lvlJc w:val="right"/>
      <w:pPr>
        <w:ind w:left="6840" w:hanging="180"/>
      </w:pPr>
    </w:lvl>
  </w:abstractNum>
  <w:abstractNum w:abstractNumId="14" w15:restartNumberingAfterBreak="0">
    <w:nsid w:val="02BB6BA8"/>
    <w:multiLevelType w:val="singleLevel"/>
    <w:tmpl w:val="26EED8B0"/>
    <w:lvl w:ilvl="0">
      <w:start w:val="1"/>
      <w:numFmt w:val="decimal"/>
      <w:pStyle w:val="Notaalpie"/>
      <w:lvlText w:val="%1"/>
      <w:lvlJc w:val="left"/>
      <w:pPr>
        <w:tabs>
          <w:tab w:val="num" w:pos="360"/>
        </w:tabs>
        <w:ind w:left="0" w:firstLine="0"/>
      </w:pPr>
      <w:rPr>
        <w:rFonts w:ascii="Arial" w:hAnsi="Arial" w:hint="default"/>
        <w:b w:val="0"/>
        <w:i w:val="0"/>
        <w:sz w:val="16"/>
        <w:vertAlign w:val="superscript"/>
      </w:rPr>
    </w:lvl>
  </w:abstractNum>
  <w:abstractNum w:abstractNumId="15" w15:restartNumberingAfterBreak="0">
    <w:nsid w:val="02E8227E"/>
    <w:multiLevelType w:val="hybridMultilevel"/>
    <w:tmpl w:val="89F4F3E4"/>
    <w:lvl w:ilvl="0" w:tplc="10BA130C">
      <w:start w:val="1"/>
      <w:numFmt w:val="bullet"/>
      <w:pStyle w:val="BulletedList"/>
      <w:lvlText w:val=""/>
      <w:lvlJc w:val="left"/>
      <w:pPr>
        <w:tabs>
          <w:tab w:val="num" w:pos="720"/>
        </w:tabs>
        <w:ind w:left="720" w:hanging="360"/>
      </w:pPr>
      <w:rPr>
        <w:rFonts w:ascii="Symbol" w:hAnsi="Symbol" w:hint="default"/>
        <w:sz w:val="20"/>
        <w:szCs w:val="20"/>
        <w:lang w:val="es-ES"/>
      </w:rPr>
    </w:lvl>
    <w:lvl w:ilvl="1" w:tplc="0BD66448">
      <w:start w:val="1"/>
      <w:numFmt w:val="bullet"/>
      <w:lvlText w:val="o"/>
      <w:lvlJc w:val="left"/>
      <w:pPr>
        <w:tabs>
          <w:tab w:val="num" w:pos="1440"/>
        </w:tabs>
        <w:ind w:left="1440" w:hanging="360"/>
      </w:pPr>
      <w:rPr>
        <w:rFonts w:ascii="Courier New" w:hAnsi="Courier New" w:cs="Courier New" w:hint="default"/>
      </w:rPr>
    </w:lvl>
    <w:lvl w:ilvl="2" w:tplc="9340A8FC">
      <w:start w:val="1"/>
      <w:numFmt w:val="bullet"/>
      <w:lvlText w:val=""/>
      <w:lvlJc w:val="left"/>
      <w:pPr>
        <w:tabs>
          <w:tab w:val="num" w:pos="2160"/>
        </w:tabs>
        <w:ind w:left="2160" w:hanging="360"/>
      </w:pPr>
      <w:rPr>
        <w:rFonts w:ascii="Wingdings" w:hAnsi="Wingdings" w:hint="default"/>
      </w:rPr>
    </w:lvl>
    <w:lvl w:ilvl="3" w:tplc="6486CF12" w:tentative="1">
      <w:start w:val="1"/>
      <w:numFmt w:val="bullet"/>
      <w:lvlText w:val=""/>
      <w:lvlJc w:val="left"/>
      <w:pPr>
        <w:tabs>
          <w:tab w:val="num" w:pos="2880"/>
        </w:tabs>
        <w:ind w:left="2880" w:hanging="360"/>
      </w:pPr>
      <w:rPr>
        <w:rFonts w:ascii="Symbol" w:hAnsi="Symbol" w:hint="default"/>
      </w:rPr>
    </w:lvl>
    <w:lvl w:ilvl="4" w:tplc="6E7AADC0" w:tentative="1">
      <w:start w:val="1"/>
      <w:numFmt w:val="bullet"/>
      <w:lvlText w:val="o"/>
      <w:lvlJc w:val="left"/>
      <w:pPr>
        <w:tabs>
          <w:tab w:val="num" w:pos="3600"/>
        </w:tabs>
        <w:ind w:left="3600" w:hanging="360"/>
      </w:pPr>
      <w:rPr>
        <w:rFonts w:ascii="Courier New" w:hAnsi="Courier New" w:cs="Courier New" w:hint="default"/>
      </w:rPr>
    </w:lvl>
    <w:lvl w:ilvl="5" w:tplc="28D84286" w:tentative="1">
      <w:start w:val="1"/>
      <w:numFmt w:val="bullet"/>
      <w:lvlText w:val=""/>
      <w:lvlJc w:val="left"/>
      <w:pPr>
        <w:tabs>
          <w:tab w:val="num" w:pos="4320"/>
        </w:tabs>
        <w:ind w:left="4320" w:hanging="360"/>
      </w:pPr>
      <w:rPr>
        <w:rFonts w:ascii="Wingdings" w:hAnsi="Wingdings" w:hint="default"/>
      </w:rPr>
    </w:lvl>
    <w:lvl w:ilvl="6" w:tplc="84B6C98A" w:tentative="1">
      <w:start w:val="1"/>
      <w:numFmt w:val="bullet"/>
      <w:lvlText w:val=""/>
      <w:lvlJc w:val="left"/>
      <w:pPr>
        <w:tabs>
          <w:tab w:val="num" w:pos="5040"/>
        </w:tabs>
        <w:ind w:left="5040" w:hanging="360"/>
      </w:pPr>
      <w:rPr>
        <w:rFonts w:ascii="Symbol" w:hAnsi="Symbol" w:hint="default"/>
      </w:rPr>
    </w:lvl>
    <w:lvl w:ilvl="7" w:tplc="7214E0F4" w:tentative="1">
      <w:start w:val="1"/>
      <w:numFmt w:val="bullet"/>
      <w:lvlText w:val="o"/>
      <w:lvlJc w:val="left"/>
      <w:pPr>
        <w:tabs>
          <w:tab w:val="num" w:pos="5760"/>
        </w:tabs>
        <w:ind w:left="5760" w:hanging="360"/>
      </w:pPr>
      <w:rPr>
        <w:rFonts w:ascii="Courier New" w:hAnsi="Courier New" w:cs="Courier New" w:hint="default"/>
      </w:rPr>
    </w:lvl>
    <w:lvl w:ilvl="8" w:tplc="8E92F3D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35327C4"/>
    <w:multiLevelType w:val="hybridMultilevel"/>
    <w:tmpl w:val="6EE4A4B0"/>
    <w:styleLink w:val="Estilo721"/>
    <w:lvl w:ilvl="0" w:tplc="9EFA44DA">
      <w:start w:val="1"/>
      <w:numFmt w:val="decimal"/>
      <w:lvlText w:val="(%1)"/>
      <w:lvlJc w:val="left"/>
      <w:pPr>
        <w:ind w:left="502" w:hanging="360"/>
      </w:pPr>
      <w:rPr>
        <w:rFonts w:hint="default"/>
        <w:i w:val="0"/>
        <w:color w:val="auto"/>
      </w:rPr>
    </w:lvl>
    <w:lvl w:ilvl="1" w:tplc="2C0A0019" w:tentative="1">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7" w15:restartNumberingAfterBreak="0">
    <w:nsid w:val="037A0CE5"/>
    <w:multiLevelType w:val="multilevel"/>
    <w:tmpl w:val="27C04478"/>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47C29C6"/>
    <w:multiLevelType w:val="hybridMultilevel"/>
    <w:tmpl w:val="B9AC7EF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05316111"/>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15:restartNumberingAfterBreak="0">
    <w:nsid w:val="055E0760"/>
    <w:multiLevelType w:val="hybridMultilevel"/>
    <w:tmpl w:val="3B3E01E0"/>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05E024F0"/>
    <w:multiLevelType w:val="multilevel"/>
    <w:tmpl w:val="9FECBC0A"/>
    <w:styleLink w:val="FlatBulletsList1"/>
    <w:lvl w:ilvl="0">
      <w:start w:val="1"/>
      <w:numFmt w:val="upperRoman"/>
      <w:pStyle w:val="NUM1"/>
      <w:lvlText w:val="%1."/>
      <w:lvlJc w:val="left"/>
      <w:pPr>
        <w:tabs>
          <w:tab w:val="num" w:pos="720"/>
        </w:tabs>
        <w:ind w:left="0" w:firstLine="0"/>
      </w:pPr>
      <w:rPr>
        <w:rFonts w:ascii="Arial" w:hAnsi="Arial" w:hint="default"/>
        <w:b/>
        <w:i w:val="0"/>
        <w:sz w:val="22"/>
      </w:rPr>
    </w:lvl>
    <w:lvl w:ilvl="1">
      <w:start w:val="1"/>
      <w:numFmt w:val="decimal"/>
      <w:pStyle w:val="NUM2"/>
      <w:isLgl/>
      <w:suff w:val="space"/>
      <w:lvlText w:val="%1.%2."/>
      <w:lvlJc w:val="left"/>
      <w:pPr>
        <w:ind w:left="0" w:firstLine="0"/>
      </w:pPr>
      <w:rPr>
        <w:rFonts w:ascii="Arial" w:hAnsi="Arial" w:hint="default"/>
        <w:b w:val="0"/>
        <w:i w:val="0"/>
      </w:rPr>
    </w:lvl>
    <w:lvl w:ilvl="2">
      <w:start w:val="1"/>
      <w:numFmt w:val="decimal"/>
      <w:pStyle w:val="NUM3"/>
      <w:isLgl/>
      <w:suff w:val="space"/>
      <w:lvlText w:val="%1.%2.%3."/>
      <w:lvlJc w:val="left"/>
      <w:pPr>
        <w:ind w:left="0" w:firstLine="0"/>
      </w:pPr>
    </w:lvl>
    <w:lvl w:ilvl="3">
      <w:start w:val="1"/>
      <w:numFmt w:val="lowerRoman"/>
      <w:pStyle w:val="NUM4"/>
      <w:suff w:val="space"/>
      <w:lvlText w:val="(%4)"/>
      <w:lvlJc w:val="left"/>
      <w:pPr>
        <w:ind w:left="0" w:firstLine="567"/>
      </w:pPr>
      <w:rPr>
        <w:rFonts w:hint="default"/>
      </w:rPr>
    </w:lvl>
    <w:lvl w:ilvl="4">
      <w:start w:val="1"/>
      <w:numFmt w:val="bullet"/>
      <w:pStyle w:val="Num5"/>
      <w:lvlText w:val=""/>
      <w:lvlJc w:val="left"/>
      <w:pPr>
        <w:tabs>
          <w:tab w:val="num" w:pos="1134"/>
        </w:tabs>
        <w:ind w:left="1134" w:hanging="567"/>
      </w:pPr>
      <w:rPr>
        <w:rFonts w:ascii="Symbol" w:hAnsi="Symbol" w:hint="default"/>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06244151"/>
    <w:multiLevelType w:val="multilevel"/>
    <w:tmpl w:val="37F4E362"/>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6841AB3"/>
    <w:multiLevelType w:val="multilevel"/>
    <w:tmpl w:val="FA1455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68A0CA1"/>
    <w:multiLevelType w:val="multilevel"/>
    <w:tmpl w:val="2A429280"/>
    <w:name w:val="DefinitionsListTemplate"/>
    <w:styleLink w:val="DefinitionsList"/>
    <w:lvl w:ilvl="0">
      <w:start w:val="1"/>
      <w:numFmt w:val="none"/>
      <w:lvlRestart w:val="0"/>
      <w:pStyle w:val="Definitions1"/>
      <w:suff w:val="nothing"/>
      <w:lvlText w:val=""/>
      <w:lvlJc w:val="left"/>
      <w:pPr>
        <w:ind w:left="0" w:firstLine="720"/>
      </w:pPr>
      <w:rPr>
        <w:rFonts w:hint="default"/>
        <w:b w:val="0"/>
        <w:sz w:val="24"/>
      </w:rPr>
    </w:lvl>
    <w:lvl w:ilvl="1">
      <w:start w:val="1"/>
      <w:numFmt w:val="lowerLetter"/>
      <w:pStyle w:val="Definitions2"/>
      <w:lvlText w:val="(%2)"/>
      <w:lvlJc w:val="left"/>
      <w:pPr>
        <w:tabs>
          <w:tab w:val="num" w:pos="1080"/>
        </w:tabs>
        <w:ind w:left="1080" w:hanging="360"/>
      </w:pPr>
      <w:rPr>
        <w:rFonts w:ascii="Times New Roman" w:hAnsi="Times New Roman" w:hint="default"/>
        <w:b w:val="0"/>
        <w:i w:val="0"/>
        <w:sz w:val="20"/>
      </w:rPr>
    </w:lvl>
    <w:lvl w:ilvl="2">
      <w:start w:val="1"/>
      <w:numFmt w:val="decimal"/>
      <w:pStyle w:val="Definitions3"/>
      <w:lvlText w:val="(%3)"/>
      <w:lvlJc w:val="left"/>
      <w:pPr>
        <w:tabs>
          <w:tab w:val="num" w:pos="1440"/>
        </w:tabs>
        <w:ind w:left="1440" w:hanging="360"/>
      </w:pPr>
      <w:rPr>
        <w:rFonts w:hint="default"/>
      </w:rPr>
    </w:lvl>
    <w:lvl w:ilvl="3">
      <w:start w:val="1"/>
      <w:numFmt w:val="decimal"/>
      <w:pStyle w:val="Definitions4"/>
      <w:lvlText w:val="(%4)"/>
      <w:lvlJc w:val="left"/>
      <w:pPr>
        <w:tabs>
          <w:tab w:val="num" w:pos="2880"/>
        </w:tabs>
        <w:ind w:left="2880" w:hanging="720"/>
      </w:pPr>
      <w:rPr>
        <w:rFonts w:hint="default"/>
      </w:rPr>
    </w:lvl>
    <w:lvl w:ilvl="4">
      <w:start w:val="1"/>
      <w:numFmt w:val="upperLetter"/>
      <w:pStyle w:val="Definitions5"/>
      <w:lvlText w:val="(%5)"/>
      <w:lvlJc w:val="left"/>
      <w:pPr>
        <w:tabs>
          <w:tab w:val="num" w:pos="3600"/>
        </w:tabs>
        <w:ind w:left="3600" w:hanging="72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06A347FF"/>
    <w:multiLevelType w:val="multilevel"/>
    <w:tmpl w:val="BF3029A0"/>
    <w:name w:val="FlatBulletsListTemplate"/>
    <w:styleLink w:val="FlatBulletsList"/>
    <w:lvl w:ilvl="0">
      <w:start w:val="1"/>
      <w:numFmt w:val="bullet"/>
      <w:pStyle w:val="BulletPara"/>
      <w:lvlText w:val=""/>
      <w:lvlJc w:val="left"/>
      <w:pPr>
        <w:ind w:left="1080" w:hanging="360"/>
      </w:pPr>
      <w:rPr>
        <w:rFonts w:ascii="Symbol" w:hAnsi="Symbol" w:hint="default"/>
      </w:rPr>
    </w:lvl>
    <w:lvl w:ilvl="1">
      <w:start w:val="1"/>
      <w:numFmt w:val="bullet"/>
      <w:lvlRestart w:val="0"/>
      <w:pStyle w:val="BulletPara2"/>
      <w:lvlText w:val=""/>
      <w:lvlJc w:val="left"/>
      <w:pPr>
        <w:ind w:left="1440" w:hanging="360"/>
      </w:pPr>
      <w:rPr>
        <w:rFonts w:ascii="Symbol" w:hAnsi="Symbol" w:hint="default"/>
      </w:rPr>
    </w:lvl>
    <w:lvl w:ilvl="2">
      <w:start w:val="1"/>
      <w:numFmt w:val="bullet"/>
      <w:lvlRestart w:val="0"/>
      <w:pStyle w:val="BulletParaAlt"/>
      <w:lvlText w:val="▪"/>
      <w:lvlJc w:val="left"/>
      <w:pPr>
        <w:ind w:left="1080" w:hanging="360"/>
      </w:pPr>
      <w:rPr>
        <w:rFonts w:ascii="Times New Roman" w:hAnsi="Times New Roman" w:cs="Times New Roman" w:hint="default"/>
        <w:color w:val="auto"/>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b/>
        <w:i w:val="0"/>
      </w:rPr>
    </w:lvl>
    <w:lvl w:ilvl="5">
      <w:start w:val="1"/>
      <w:numFmt w:val="none"/>
      <w:lvlRestart w:val="0"/>
      <w:suff w:val="nothing"/>
      <w:lvlText w:val=""/>
      <w:lvlJc w:val="left"/>
      <w:pPr>
        <w:ind w:left="0" w:firstLine="0"/>
      </w:pPr>
      <w:rPr>
        <w:rFonts w:hint="default"/>
        <w:b/>
        <w:i w:val="0"/>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lvlRestart w:val="0"/>
      <w:suff w:val="nothing"/>
      <w:lvlText w:val="%9"/>
      <w:lvlJc w:val="left"/>
      <w:pPr>
        <w:ind w:left="0" w:firstLine="0"/>
      </w:pPr>
      <w:rPr>
        <w:rFonts w:hint="default"/>
      </w:rPr>
    </w:lvl>
  </w:abstractNum>
  <w:abstractNum w:abstractNumId="26" w15:restartNumberingAfterBreak="0">
    <w:nsid w:val="08E84AE6"/>
    <w:multiLevelType w:val="multilevel"/>
    <w:tmpl w:val="3E1AF380"/>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91B0E37"/>
    <w:multiLevelType w:val="hybridMultilevel"/>
    <w:tmpl w:val="E8FCC092"/>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09791F1C"/>
    <w:multiLevelType w:val="multilevel"/>
    <w:tmpl w:val="53E4E760"/>
    <w:styleLink w:val="Estilo52"/>
    <w:lvl w:ilvl="0">
      <w:start w:val="8"/>
      <w:numFmt w:val="decimal"/>
      <w:lvlText w:val="%1"/>
      <w:lvlJc w:val="left"/>
      <w:pPr>
        <w:ind w:left="375" w:hanging="375"/>
      </w:pPr>
      <w:rPr>
        <w:rFonts w:cs="Times New Roman" w:hint="default"/>
        <w:b w:val="0"/>
      </w:rPr>
    </w:lvl>
    <w:lvl w:ilvl="1">
      <w:start w:val="12"/>
      <w:numFmt w:val="decimal"/>
      <w:lvlText w:val="%1.%2"/>
      <w:lvlJc w:val="left"/>
      <w:pPr>
        <w:ind w:left="1226" w:hanging="375"/>
      </w:pPr>
      <w:rPr>
        <w:rFonts w:cs="Times New Roman" w:hint="default"/>
        <w:b/>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273" w:hanging="72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335" w:hanging="108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397" w:hanging="1440"/>
      </w:pPr>
      <w:rPr>
        <w:rFonts w:cs="Times New Roman" w:hint="default"/>
        <w:b w:val="0"/>
      </w:rPr>
    </w:lvl>
    <w:lvl w:ilvl="8">
      <w:start w:val="1"/>
      <w:numFmt w:val="decimal"/>
      <w:lvlText w:val="%1.%2.%3.%4.%5.%6.%7.%8.%9"/>
      <w:lvlJc w:val="left"/>
      <w:pPr>
        <w:ind w:left="8608" w:hanging="1800"/>
      </w:pPr>
      <w:rPr>
        <w:rFonts w:cs="Times New Roman" w:hint="default"/>
        <w:b w:val="0"/>
      </w:rPr>
    </w:lvl>
  </w:abstractNum>
  <w:abstractNum w:abstractNumId="29" w15:restartNumberingAfterBreak="0">
    <w:nsid w:val="09A3655C"/>
    <w:multiLevelType w:val="hybridMultilevel"/>
    <w:tmpl w:val="8DA2E258"/>
    <w:lvl w:ilvl="0" w:tplc="648A5C88">
      <w:start w:val="1"/>
      <w:numFmt w:val="lowerLetter"/>
      <w:lvlText w:val="(%1)"/>
      <w:lvlJc w:val="left"/>
      <w:pPr>
        <w:ind w:left="720" w:hanging="360"/>
      </w:pPr>
      <w:rPr>
        <w:rFonts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0C247E57"/>
    <w:multiLevelType w:val="hybridMultilevel"/>
    <w:tmpl w:val="3CEC7DC2"/>
    <w:lvl w:ilvl="0" w:tplc="445609C6">
      <w:start w:val="1"/>
      <w:numFmt w:val="decimal"/>
      <w:pStyle w:val="STBListNumber1"/>
      <w:lvlText w:val="%1."/>
      <w:lvlJc w:val="left"/>
      <w:pPr>
        <w:ind w:left="1080" w:hanging="360"/>
      </w:pPr>
    </w:lvl>
    <w:lvl w:ilvl="1" w:tplc="4676AF90" w:tentative="1">
      <w:start w:val="1"/>
      <w:numFmt w:val="lowerLetter"/>
      <w:lvlText w:val="%2."/>
      <w:lvlJc w:val="left"/>
      <w:pPr>
        <w:ind w:left="1800" w:hanging="360"/>
      </w:pPr>
    </w:lvl>
    <w:lvl w:ilvl="2" w:tplc="9EACC444" w:tentative="1">
      <w:start w:val="1"/>
      <w:numFmt w:val="lowerRoman"/>
      <w:lvlText w:val="%3."/>
      <w:lvlJc w:val="right"/>
      <w:pPr>
        <w:ind w:left="2520" w:hanging="180"/>
      </w:pPr>
    </w:lvl>
    <w:lvl w:ilvl="3" w:tplc="E1E23296" w:tentative="1">
      <w:start w:val="1"/>
      <w:numFmt w:val="decimal"/>
      <w:lvlText w:val="%4."/>
      <w:lvlJc w:val="left"/>
      <w:pPr>
        <w:ind w:left="3240" w:hanging="360"/>
      </w:pPr>
    </w:lvl>
    <w:lvl w:ilvl="4" w:tplc="19401F84" w:tentative="1">
      <w:start w:val="1"/>
      <w:numFmt w:val="lowerLetter"/>
      <w:lvlText w:val="%5."/>
      <w:lvlJc w:val="left"/>
      <w:pPr>
        <w:ind w:left="3960" w:hanging="360"/>
      </w:pPr>
    </w:lvl>
    <w:lvl w:ilvl="5" w:tplc="7AEE885E" w:tentative="1">
      <w:start w:val="1"/>
      <w:numFmt w:val="lowerRoman"/>
      <w:lvlText w:val="%6."/>
      <w:lvlJc w:val="right"/>
      <w:pPr>
        <w:ind w:left="4680" w:hanging="180"/>
      </w:pPr>
    </w:lvl>
    <w:lvl w:ilvl="6" w:tplc="14DC81FA" w:tentative="1">
      <w:start w:val="1"/>
      <w:numFmt w:val="decimal"/>
      <w:lvlText w:val="%7."/>
      <w:lvlJc w:val="left"/>
      <w:pPr>
        <w:ind w:left="5400" w:hanging="360"/>
      </w:pPr>
    </w:lvl>
    <w:lvl w:ilvl="7" w:tplc="DDFCAB50" w:tentative="1">
      <w:start w:val="1"/>
      <w:numFmt w:val="lowerLetter"/>
      <w:lvlText w:val="%8."/>
      <w:lvlJc w:val="left"/>
      <w:pPr>
        <w:ind w:left="6120" w:hanging="360"/>
      </w:pPr>
    </w:lvl>
    <w:lvl w:ilvl="8" w:tplc="8F703AAE" w:tentative="1">
      <w:start w:val="1"/>
      <w:numFmt w:val="lowerRoman"/>
      <w:lvlText w:val="%9."/>
      <w:lvlJc w:val="right"/>
      <w:pPr>
        <w:ind w:left="6840" w:hanging="180"/>
      </w:pPr>
    </w:lvl>
  </w:abstractNum>
  <w:abstractNum w:abstractNumId="31" w15:restartNumberingAfterBreak="0">
    <w:nsid w:val="0F6846E3"/>
    <w:multiLevelType w:val="hybridMultilevel"/>
    <w:tmpl w:val="0F1CE1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0F6F5753"/>
    <w:multiLevelType w:val="multilevel"/>
    <w:tmpl w:val="C79C3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F99175D"/>
    <w:multiLevelType w:val="hybridMultilevel"/>
    <w:tmpl w:val="DE7A8252"/>
    <w:lvl w:ilvl="0" w:tplc="07D24DD0">
      <w:start w:val="1"/>
      <w:numFmt w:val="decimal"/>
      <w:pStyle w:val="STBListNumber2DBL"/>
      <w:lvlText w:val="%1."/>
      <w:lvlJc w:val="left"/>
      <w:pPr>
        <w:ind w:left="1080" w:hanging="360"/>
      </w:pPr>
    </w:lvl>
    <w:lvl w:ilvl="1" w:tplc="BB52AD28" w:tentative="1">
      <w:start w:val="1"/>
      <w:numFmt w:val="lowerLetter"/>
      <w:lvlText w:val="%2."/>
      <w:lvlJc w:val="left"/>
      <w:pPr>
        <w:ind w:left="1800" w:hanging="360"/>
      </w:pPr>
    </w:lvl>
    <w:lvl w:ilvl="2" w:tplc="7CB812CC" w:tentative="1">
      <w:start w:val="1"/>
      <w:numFmt w:val="lowerRoman"/>
      <w:lvlText w:val="%3."/>
      <w:lvlJc w:val="right"/>
      <w:pPr>
        <w:ind w:left="2520" w:hanging="180"/>
      </w:pPr>
    </w:lvl>
    <w:lvl w:ilvl="3" w:tplc="68C4ABF8" w:tentative="1">
      <w:start w:val="1"/>
      <w:numFmt w:val="decimal"/>
      <w:lvlText w:val="%4."/>
      <w:lvlJc w:val="left"/>
      <w:pPr>
        <w:ind w:left="3240" w:hanging="360"/>
      </w:pPr>
    </w:lvl>
    <w:lvl w:ilvl="4" w:tplc="FD5E89D6" w:tentative="1">
      <w:start w:val="1"/>
      <w:numFmt w:val="lowerLetter"/>
      <w:lvlText w:val="%5."/>
      <w:lvlJc w:val="left"/>
      <w:pPr>
        <w:ind w:left="3960" w:hanging="360"/>
      </w:pPr>
    </w:lvl>
    <w:lvl w:ilvl="5" w:tplc="77242294" w:tentative="1">
      <w:start w:val="1"/>
      <w:numFmt w:val="lowerRoman"/>
      <w:lvlText w:val="%6."/>
      <w:lvlJc w:val="right"/>
      <w:pPr>
        <w:ind w:left="4680" w:hanging="180"/>
      </w:pPr>
    </w:lvl>
    <w:lvl w:ilvl="6" w:tplc="0ABA0470" w:tentative="1">
      <w:start w:val="1"/>
      <w:numFmt w:val="decimal"/>
      <w:lvlText w:val="%7."/>
      <w:lvlJc w:val="left"/>
      <w:pPr>
        <w:ind w:left="5400" w:hanging="360"/>
      </w:pPr>
    </w:lvl>
    <w:lvl w:ilvl="7" w:tplc="89586C50" w:tentative="1">
      <w:start w:val="1"/>
      <w:numFmt w:val="lowerLetter"/>
      <w:lvlText w:val="%8."/>
      <w:lvlJc w:val="left"/>
      <w:pPr>
        <w:ind w:left="6120" w:hanging="360"/>
      </w:pPr>
    </w:lvl>
    <w:lvl w:ilvl="8" w:tplc="A49C6B1A" w:tentative="1">
      <w:start w:val="1"/>
      <w:numFmt w:val="lowerRoman"/>
      <w:lvlText w:val="%9."/>
      <w:lvlJc w:val="right"/>
      <w:pPr>
        <w:ind w:left="6840" w:hanging="180"/>
      </w:pPr>
    </w:lvl>
  </w:abstractNum>
  <w:abstractNum w:abstractNumId="34" w15:restartNumberingAfterBreak="0">
    <w:nsid w:val="108036C1"/>
    <w:multiLevelType w:val="hybridMultilevel"/>
    <w:tmpl w:val="D464AE3A"/>
    <w:lvl w:ilvl="0" w:tplc="A0E6476A">
      <w:start w:val="1"/>
      <w:numFmt w:val="bullet"/>
      <w:pStyle w:val="STBBullet3DBL"/>
      <w:lvlText w:val=""/>
      <w:lvlJc w:val="left"/>
      <w:pPr>
        <w:ind w:left="1080" w:hanging="360"/>
      </w:pPr>
      <w:rPr>
        <w:rFonts w:ascii="Symbol" w:hAnsi="Symbol" w:hint="default"/>
      </w:rPr>
    </w:lvl>
    <w:lvl w:ilvl="1" w:tplc="2DAC93B4" w:tentative="1">
      <w:start w:val="1"/>
      <w:numFmt w:val="bullet"/>
      <w:lvlText w:val="o"/>
      <w:lvlJc w:val="left"/>
      <w:pPr>
        <w:ind w:left="1800" w:hanging="360"/>
      </w:pPr>
      <w:rPr>
        <w:rFonts w:ascii="Courier New" w:hAnsi="Courier New" w:cs="Courier New" w:hint="default"/>
      </w:rPr>
    </w:lvl>
    <w:lvl w:ilvl="2" w:tplc="DBE8CF62" w:tentative="1">
      <w:start w:val="1"/>
      <w:numFmt w:val="bullet"/>
      <w:lvlText w:val=""/>
      <w:lvlJc w:val="left"/>
      <w:pPr>
        <w:ind w:left="2520" w:hanging="360"/>
      </w:pPr>
      <w:rPr>
        <w:rFonts w:ascii="Wingdings" w:hAnsi="Wingdings" w:hint="default"/>
      </w:rPr>
    </w:lvl>
    <w:lvl w:ilvl="3" w:tplc="8788FEB6" w:tentative="1">
      <w:start w:val="1"/>
      <w:numFmt w:val="bullet"/>
      <w:lvlText w:val=""/>
      <w:lvlJc w:val="left"/>
      <w:pPr>
        <w:ind w:left="3240" w:hanging="360"/>
      </w:pPr>
      <w:rPr>
        <w:rFonts w:ascii="Symbol" w:hAnsi="Symbol" w:hint="default"/>
      </w:rPr>
    </w:lvl>
    <w:lvl w:ilvl="4" w:tplc="143CAD4C" w:tentative="1">
      <w:start w:val="1"/>
      <w:numFmt w:val="bullet"/>
      <w:lvlText w:val="o"/>
      <w:lvlJc w:val="left"/>
      <w:pPr>
        <w:ind w:left="3960" w:hanging="360"/>
      </w:pPr>
      <w:rPr>
        <w:rFonts w:ascii="Courier New" w:hAnsi="Courier New" w:cs="Courier New" w:hint="default"/>
      </w:rPr>
    </w:lvl>
    <w:lvl w:ilvl="5" w:tplc="CBEEF9EA" w:tentative="1">
      <w:start w:val="1"/>
      <w:numFmt w:val="bullet"/>
      <w:lvlText w:val=""/>
      <w:lvlJc w:val="left"/>
      <w:pPr>
        <w:ind w:left="4680" w:hanging="360"/>
      </w:pPr>
      <w:rPr>
        <w:rFonts w:ascii="Wingdings" w:hAnsi="Wingdings" w:hint="default"/>
      </w:rPr>
    </w:lvl>
    <w:lvl w:ilvl="6" w:tplc="0FA44430" w:tentative="1">
      <w:start w:val="1"/>
      <w:numFmt w:val="bullet"/>
      <w:lvlText w:val=""/>
      <w:lvlJc w:val="left"/>
      <w:pPr>
        <w:ind w:left="5400" w:hanging="360"/>
      </w:pPr>
      <w:rPr>
        <w:rFonts w:ascii="Symbol" w:hAnsi="Symbol" w:hint="default"/>
      </w:rPr>
    </w:lvl>
    <w:lvl w:ilvl="7" w:tplc="79B6AF94" w:tentative="1">
      <w:start w:val="1"/>
      <w:numFmt w:val="bullet"/>
      <w:lvlText w:val="o"/>
      <w:lvlJc w:val="left"/>
      <w:pPr>
        <w:ind w:left="6120" w:hanging="360"/>
      </w:pPr>
      <w:rPr>
        <w:rFonts w:ascii="Courier New" w:hAnsi="Courier New" w:cs="Courier New" w:hint="default"/>
      </w:rPr>
    </w:lvl>
    <w:lvl w:ilvl="8" w:tplc="2B9C4B64" w:tentative="1">
      <w:start w:val="1"/>
      <w:numFmt w:val="bullet"/>
      <w:lvlText w:val=""/>
      <w:lvlJc w:val="left"/>
      <w:pPr>
        <w:ind w:left="6840" w:hanging="360"/>
      </w:pPr>
      <w:rPr>
        <w:rFonts w:ascii="Wingdings" w:hAnsi="Wingdings" w:hint="default"/>
      </w:rPr>
    </w:lvl>
  </w:abstractNum>
  <w:abstractNum w:abstractNumId="35" w15:restartNumberingAfterBreak="0">
    <w:nsid w:val="119D5CFC"/>
    <w:multiLevelType w:val="multilevel"/>
    <w:tmpl w:val="3504433A"/>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1A059AC"/>
    <w:multiLevelType w:val="multilevel"/>
    <w:tmpl w:val="67D4A318"/>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20F7C52"/>
    <w:multiLevelType w:val="multilevel"/>
    <w:tmpl w:val="C6CAB922"/>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3B24696"/>
    <w:multiLevelType w:val="hybridMultilevel"/>
    <w:tmpl w:val="64B02314"/>
    <w:lvl w:ilvl="0" w:tplc="3C584B64">
      <w:start w:val="1"/>
      <w:numFmt w:val="bullet"/>
      <w:pStyle w:val="Title3"/>
      <w:lvlText w:val=""/>
      <w:lvlJc w:val="left"/>
      <w:pPr>
        <w:tabs>
          <w:tab w:val="num" w:pos="864"/>
        </w:tabs>
        <w:ind w:left="864" w:hanging="360"/>
      </w:pPr>
      <w:rPr>
        <w:rFonts w:ascii="Wingdings 3" w:hAnsi="Wingdings 3" w:hint="default"/>
      </w:rPr>
    </w:lvl>
    <w:lvl w:ilvl="1" w:tplc="88CC8762" w:tentative="1">
      <w:start w:val="1"/>
      <w:numFmt w:val="bullet"/>
      <w:lvlText w:val="o"/>
      <w:lvlJc w:val="left"/>
      <w:pPr>
        <w:tabs>
          <w:tab w:val="num" w:pos="1440"/>
        </w:tabs>
        <w:ind w:left="1440" w:hanging="360"/>
      </w:pPr>
      <w:rPr>
        <w:rFonts w:ascii="Courier New" w:hAnsi="Courier New" w:cs="Courier New" w:hint="default"/>
      </w:rPr>
    </w:lvl>
    <w:lvl w:ilvl="2" w:tplc="2FFC2266" w:tentative="1">
      <w:start w:val="1"/>
      <w:numFmt w:val="bullet"/>
      <w:lvlText w:val=""/>
      <w:lvlJc w:val="left"/>
      <w:pPr>
        <w:tabs>
          <w:tab w:val="num" w:pos="2160"/>
        </w:tabs>
        <w:ind w:left="2160" w:hanging="360"/>
      </w:pPr>
      <w:rPr>
        <w:rFonts w:ascii="Wingdings" w:hAnsi="Wingdings" w:hint="default"/>
      </w:rPr>
    </w:lvl>
    <w:lvl w:ilvl="3" w:tplc="21004C16" w:tentative="1">
      <w:start w:val="1"/>
      <w:numFmt w:val="bullet"/>
      <w:lvlText w:val=""/>
      <w:lvlJc w:val="left"/>
      <w:pPr>
        <w:tabs>
          <w:tab w:val="num" w:pos="2880"/>
        </w:tabs>
        <w:ind w:left="2880" w:hanging="360"/>
      </w:pPr>
      <w:rPr>
        <w:rFonts w:ascii="Symbol" w:hAnsi="Symbol" w:hint="default"/>
      </w:rPr>
    </w:lvl>
    <w:lvl w:ilvl="4" w:tplc="64E4DE22" w:tentative="1">
      <w:start w:val="1"/>
      <w:numFmt w:val="bullet"/>
      <w:lvlText w:val="o"/>
      <w:lvlJc w:val="left"/>
      <w:pPr>
        <w:tabs>
          <w:tab w:val="num" w:pos="3600"/>
        </w:tabs>
        <w:ind w:left="3600" w:hanging="360"/>
      </w:pPr>
      <w:rPr>
        <w:rFonts w:ascii="Courier New" w:hAnsi="Courier New" w:cs="Courier New" w:hint="default"/>
      </w:rPr>
    </w:lvl>
    <w:lvl w:ilvl="5" w:tplc="6E88D7B6" w:tentative="1">
      <w:start w:val="1"/>
      <w:numFmt w:val="bullet"/>
      <w:lvlText w:val=""/>
      <w:lvlJc w:val="left"/>
      <w:pPr>
        <w:tabs>
          <w:tab w:val="num" w:pos="4320"/>
        </w:tabs>
        <w:ind w:left="4320" w:hanging="360"/>
      </w:pPr>
      <w:rPr>
        <w:rFonts w:ascii="Wingdings" w:hAnsi="Wingdings" w:hint="default"/>
      </w:rPr>
    </w:lvl>
    <w:lvl w:ilvl="6" w:tplc="F0B04086" w:tentative="1">
      <w:start w:val="1"/>
      <w:numFmt w:val="bullet"/>
      <w:lvlText w:val=""/>
      <w:lvlJc w:val="left"/>
      <w:pPr>
        <w:tabs>
          <w:tab w:val="num" w:pos="5040"/>
        </w:tabs>
        <w:ind w:left="5040" w:hanging="360"/>
      </w:pPr>
      <w:rPr>
        <w:rFonts w:ascii="Symbol" w:hAnsi="Symbol" w:hint="default"/>
      </w:rPr>
    </w:lvl>
    <w:lvl w:ilvl="7" w:tplc="CEA633E4" w:tentative="1">
      <w:start w:val="1"/>
      <w:numFmt w:val="bullet"/>
      <w:lvlText w:val="o"/>
      <w:lvlJc w:val="left"/>
      <w:pPr>
        <w:tabs>
          <w:tab w:val="num" w:pos="5760"/>
        </w:tabs>
        <w:ind w:left="5760" w:hanging="360"/>
      </w:pPr>
      <w:rPr>
        <w:rFonts w:ascii="Courier New" w:hAnsi="Courier New" w:cs="Courier New" w:hint="default"/>
      </w:rPr>
    </w:lvl>
    <w:lvl w:ilvl="8" w:tplc="2408A59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45232AA"/>
    <w:multiLevelType w:val="multilevel"/>
    <w:tmpl w:val="A0C8963E"/>
    <w:styleLink w:val="Estilo62"/>
    <w:lvl w:ilvl="0">
      <w:start w:val="9"/>
      <w:numFmt w:val="decimal"/>
      <w:lvlText w:val="%1"/>
      <w:lvlJc w:val="left"/>
      <w:pPr>
        <w:ind w:left="375" w:hanging="375"/>
      </w:pPr>
      <w:rPr>
        <w:rFonts w:cs="Times New Roman" w:hint="default"/>
      </w:rPr>
    </w:lvl>
    <w:lvl w:ilvl="1">
      <w:start w:val="1"/>
      <w:numFmt w:val="decimal"/>
      <w:lvlText w:val="%1.%2"/>
      <w:lvlJc w:val="left"/>
      <w:pPr>
        <w:ind w:left="1095" w:hanging="375"/>
      </w:pPr>
      <w:rPr>
        <w:rFonts w:cs="Times New Roman" w:hint="default"/>
        <w:b/>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0" w15:restartNumberingAfterBreak="0">
    <w:nsid w:val="14E54723"/>
    <w:multiLevelType w:val="multilevel"/>
    <w:tmpl w:val="7A687D9E"/>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5D12B54"/>
    <w:multiLevelType w:val="multilevel"/>
    <w:tmpl w:val="D50855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18B335C6"/>
    <w:multiLevelType w:val="hybridMultilevel"/>
    <w:tmpl w:val="5A92E6B0"/>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1991073D"/>
    <w:multiLevelType w:val="hybridMultilevel"/>
    <w:tmpl w:val="62D057EC"/>
    <w:name w:val="Heading222"/>
    <w:lvl w:ilvl="0" w:tplc="4544C926">
      <w:start w:val="1"/>
      <w:numFmt w:val="bullet"/>
      <w:pStyle w:val="BulletL2"/>
      <w:lvlText w:val=""/>
      <w:lvlJc w:val="left"/>
      <w:pPr>
        <w:ind w:left="960" w:hanging="360"/>
      </w:pPr>
      <w:rPr>
        <w:rFonts w:ascii="Symbol" w:hAnsi="Symbol" w:hint="default"/>
      </w:rPr>
    </w:lvl>
    <w:lvl w:ilvl="1" w:tplc="4830AC02">
      <w:start w:val="1"/>
      <w:numFmt w:val="bullet"/>
      <w:lvlText w:val="o"/>
      <w:lvlJc w:val="left"/>
      <w:pPr>
        <w:ind w:left="2161" w:hanging="360"/>
      </w:pPr>
      <w:rPr>
        <w:rFonts w:ascii="Courier New" w:hAnsi="Courier New" w:cs="Courier New" w:hint="default"/>
      </w:rPr>
    </w:lvl>
    <w:lvl w:ilvl="2" w:tplc="6D888E24" w:tentative="1">
      <w:start w:val="1"/>
      <w:numFmt w:val="bullet"/>
      <w:lvlText w:val=""/>
      <w:lvlJc w:val="left"/>
      <w:pPr>
        <w:ind w:left="2881" w:hanging="360"/>
      </w:pPr>
      <w:rPr>
        <w:rFonts w:ascii="Wingdings" w:hAnsi="Wingdings" w:hint="default"/>
      </w:rPr>
    </w:lvl>
    <w:lvl w:ilvl="3" w:tplc="76704658" w:tentative="1">
      <w:start w:val="1"/>
      <w:numFmt w:val="bullet"/>
      <w:lvlText w:val=""/>
      <w:lvlJc w:val="left"/>
      <w:pPr>
        <w:ind w:left="3601" w:hanging="360"/>
      </w:pPr>
      <w:rPr>
        <w:rFonts w:ascii="Symbol" w:hAnsi="Symbol" w:hint="default"/>
      </w:rPr>
    </w:lvl>
    <w:lvl w:ilvl="4" w:tplc="10AAA288" w:tentative="1">
      <w:start w:val="1"/>
      <w:numFmt w:val="bullet"/>
      <w:lvlText w:val="o"/>
      <w:lvlJc w:val="left"/>
      <w:pPr>
        <w:ind w:left="4321" w:hanging="360"/>
      </w:pPr>
      <w:rPr>
        <w:rFonts w:ascii="Courier New" w:hAnsi="Courier New" w:cs="Courier New" w:hint="default"/>
      </w:rPr>
    </w:lvl>
    <w:lvl w:ilvl="5" w:tplc="D2687CBE" w:tentative="1">
      <w:start w:val="1"/>
      <w:numFmt w:val="bullet"/>
      <w:lvlText w:val=""/>
      <w:lvlJc w:val="left"/>
      <w:pPr>
        <w:ind w:left="5041" w:hanging="360"/>
      </w:pPr>
      <w:rPr>
        <w:rFonts w:ascii="Wingdings" w:hAnsi="Wingdings" w:hint="default"/>
      </w:rPr>
    </w:lvl>
    <w:lvl w:ilvl="6" w:tplc="F6E2E09A" w:tentative="1">
      <w:start w:val="1"/>
      <w:numFmt w:val="bullet"/>
      <w:lvlText w:val=""/>
      <w:lvlJc w:val="left"/>
      <w:pPr>
        <w:ind w:left="5761" w:hanging="360"/>
      </w:pPr>
      <w:rPr>
        <w:rFonts w:ascii="Symbol" w:hAnsi="Symbol" w:hint="default"/>
      </w:rPr>
    </w:lvl>
    <w:lvl w:ilvl="7" w:tplc="2F9E3EDC" w:tentative="1">
      <w:start w:val="1"/>
      <w:numFmt w:val="bullet"/>
      <w:lvlText w:val="o"/>
      <w:lvlJc w:val="left"/>
      <w:pPr>
        <w:ind w:left="6481" w:hanging="360"/>
      </w:pPr>
      <w:rPr>
        <w:rFonts w:ascii="Courier New" w:hAnsi="Courier New" w:cs="Courier New" w:hint="default"/>
      </w:rPr>
    </w:lvl>
    <w:lvl w:ilvl="8" w:tplc="0BBED240" w:tentative="1">
      <w:start w:val="1"/>
      <w:numFmt w:val="bullet"/>
      <w:lvlText w:val=""/>
      <w:lvlJc w:val="left"/>
      <w:pPr>
        <w:ind w:left="7201" w:hanging="360"/>
      </w:pPr>
      <w:rPr>
        <w:rFonts w:ascii="Wingdings" w:hAnsi="Wingdings" w:hint="default"/>
      </w:rPr>
    </w:lvl>
  </w:abstractNum>
  <w:abstractNum w:abstractNumId="44" w15:restartNumberingAfterBreak="0">
    <w:nsid w:val="1A394596"/>
    <w:multiLevelType w:val="multilevel"/>
    <w:tmpl w:val="35CADDEA"/>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AA864C6"/>
    <w:multiLevelType w:val="singleLevel"/>
    <w:tmpl w:val="0C883FD0"/>
    <w:styleLink w:val="DefinitionsList1"/>
    <w:lvl w:ilvl="0">
      <w:start w:val="1"/>
      <w:numFmt w:val="bullet"/>
      <w:pStyle w:val="Leftitalicboldcaption"/>
      <w:lvlText w:val=""/>
      <w:lvlJc w:val="left"/>
      <w:pPr>
        <w:tabs>
          <w:tab w:val="num" w:pos="360"/>
        </w:tabs>
        <w:ind w:left="360" w:hanging="360"/>
      </w:pPr>
      <w:rPr>
        <w:rFonts w:ascii="Symbol" w:hAnsi="Symbol" w:hint="default"/>
      </w:rPr>
    </w:lvl>
  </w:abstractNum>
  <w:abstractNum w:abstractNumId="46" w15:restartNumberingAfterBreak="0">
    <w:nsid w:val="1AD6370F"/>
    <w:multiLevelType w:val="hybridMultilevel"/>
    <w:tmpl w:val="20C20E54"/>
    <w:lvl w:ilvl="0" w:tplc="62FCD96E">
      <w:start w:val="1"/>
      <w:numFmt w:val="bullet"/>
      <w:pStyle w:val="STBBullet4DBL"/>
      <w:lvlText w:val=""/>
      <w:lvlJc w:val="left"/>
      <w:pPr>
        <w:ind w:left="2160" w:hanging="360"/>
      </w:pPr>
      <w:rPr>
        <w:rFonts w:ascii="Symbol" w:hAnsi="Symbol" w:hint="default"/>
      </w:rPr>
    </w:lvl>
    <w:lvl w:ilvl="1" w:tplc="06FC32C6" w:tentative="1">
      <w:start w:val="1"/>
      <w:numFmt w:val="bullet"/>
      <w:lvlText w:val="o"/>
      <w:lvlJc w:val="left"/>
      <w:pPr>
        <w:ind w:left="2880" w:hanging="360"/>
      </w:pPr>
      <w:rPr>
        <w:rFonts w:ascii="Courier New" w:hAnsi="Courier New" w:cs="Courier New" w:hint="default"/>
      </w:rPr>
    </w:lvl>
    <w:lvl w:ilvl="2" w:tplc="3586A78E" w:tentative="1">
      <w:start w:val="1"/>
      <w:numFmt w:val="bullet"/>
      <w:lvlText w:val=""/>
      <w:lvlJc w:val="left"/>
      <w:pPr>
        <w:ind w:left="3600" w:hanging="360"/>
      </w:pPr>
      <w:rPr>
        <w:rFonts w:ascii="Wingdings" w:hAnsi="Wingdings" w:hint="default"/>
      </w:rPr>
    </w:lvl>
    <w:lvl w:ilvl="3" w:tplc="9066FE70" w:tentative="1">
      <w:start w:val="1"/>
      <w:numFmt w:val="bullet"/>
      <w:lvlText w:val=""/>
      <w:lvlJc w:val="left"/>
      <w:pPr>
        <w:ind w:left="4320" w:hanging="360"/>
      </w:pPr>
      <w:rPr>
        <w:rFonts w:ascii="Symbol" w:hAnsi="Symbol" w:hint="default"/>
      </w:rPr>
    </w:lvl>
    <w:lvl w:ilvl="4" w:tplc="D1A8D41A" w:tentative="1">
      <w:start w:val="1"/>
      <w:numFmt w:val="bullet"/>
      <w:lvlText w:val="o"/>
      <w:lvlJc w:val="left"/>
      <w:pPr>
        <w:ind w:left="5040" w:hanging="360"/>
      </w:pPr>
      <w:rPr>
        <w:rFonts w:ascii="Courier New" w:hAnsi="Courier New" w:cs="Courier New" w:hint="default"/>
      </w:rPr>
    </w:lvl>
    <w:lvl w:ilvl="5" w:tplc="609CCDF0" w:tentative="1">
      <w:start w:val="1"/>
      <w:numFmt w:val="bullet"/>
      <w:lvlText w:val=""/>
      <w:lvlJc w:val="left"/>
      <w:pPr>
        <w:ind w:left="5760" w:hanging="360"/>
      </w:pPr>
      <w:rPr>
        <w:rFonts w:ascii="Wingdings" w:hAnsi="Wingdings" w:hint="default"/>
      </w:rPr>
    </w:lvl>
    <w:lvl w:ilvl="6" w:tplc="27C8A802" w:tentative="1">
      <w:start w:val="1"/>
      <w:numFmt w:val="bullet"/>
      <w:lvlText w:val=""/>
      <w:lvlJc w:val="left"/>
      <w:pPr>
        <w:ind w:left="6480" w:hanging="360"/>
      </w:pPr>
      <w:rPr>
        <w:rFonts w:ascii="Symbol" w:hAnsi="Symbol" w:hint="default"/>
      </w:rPr>
    </w:lvl>
    <w:lvl w:ilvl="7" w:tplc="F2C89B92" w:tentative="1">
      <w:start w:val="1"/>
      <w:numFmt w:val="bullet"/>
      <w:lvlText w:val="o"/>
      <w:lvlJc w:val="left"/>
      <w:pPr>
        <w:ind w:left="7200" w:hanging="360"/>
      </w:pPr>
      <w:rPr>
        <w:rFonts w:ascii="Courier New" w:hAnsi="Courier New" w:cs="Courier New" w:hint="default"/>
      </w:rPr>
    </w:lvl>
    <w:lvl w:ilvl="8" w:tplc="C24EBE5A" w:tentative="1">
      <w:start w:val="1"/>
      <w:numFmt w:val="bullet"/>
      <w:lvlText w:val=""/>
      <w:lvlJc w:val="left"/>
      <w:pPr>
        <w:ind w:left="7920" w:hanging="360"/>
      </w:pPr>
      <w:rPr>
        <w:rFonts w:ascii="Wingdings" w:hAnsi="Wingdings" w:hint="default"/>
      </w:rPr>
    </w:lvl>
  </w:abstractNum>
  <w:abstractNum w:abstractNumId="47" w15:restartNumberingAfterBreak="0">
    <w:nsid w:val="1C3F64C7"/>
    <w:multiLevelType w:val="hybridMultilevel"/>
    <w:tmpl w:val="DDBE872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8" w15:restartNumberingAfterBreak="0">
    <w:nsid w:val="1D4D490F"/>
    <w:multiLevelType w:val="multilevel"/>
    <w:tmpl w:val="80DA95F6"/>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18"/>
        <w:szCs w:val="18"/>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D67427C"/>
    <w:multiLevelType w:val="multilevel"/>
    <w:tmpl w:val="01A432AC"/>
    <w:styleLink w:val="SimpleListsList1"/>
    <w:lvl w:ilvl="0">
      <w:start w:val="1"/>
      <w:numFmt w:val="upperRoman"/>
      <w:lvlText w:val="%1."/>
      <w:lvlJc w:val="left"/>
      <w:pPr>
        <w:tabs>
          <w:tab w:val="num" w:pos="680"/>
        </w:tabs>
        <w:ind w:left="680" w:hanging="680"/>
      </w:pPr>
      <w:rPr>
        <w:rFonts w:ascii="Arial" w:hAnsi="Arial" w:hint="default"/>
        <w:b/>
        <w:i w:val="0"/>
        <w:sz w:val="22"/>
        <w:u w:val="single"/>
      </w:rPr>
    </w:lvl>
    <w:lvl w:ilvl="1">
      <w:start w:val="1"/>
      <w:numFmt w:val="decimal"/>
      <w:isLgl/>
      <w:suff w:val="space"/>
      <w:lvlText w:val="%1.%2."/>
      <w:lvlJc w:val="left"/>
      <w:pPr>
        <w:ind w:left="0" w:firstLine="0"/>
      </w:pPr>
      <w:rPr>
        <w:rFonts w:ascii="Arial" w:hAnsi="Arial" w:hint="default"/>
        <w:b w:val="0"/>
        <w:i w:val="0"/>
        <w:sz w:val="22"/>
        <w:u w:val="none"/>
      </w:rPr>
    </w:lvl>
    <w:lvl w:ilvl="2">
      <w:start w:val="1"/>
      <w:numFmt w:val="decimal"/>
      <w:isLgl/>
      <w:suff w:val="space"/>
      <w:lvlText w:val="%1.%2.%3."/>
      <w:lvlJc w:val="left"/>
      <w:pPr>
        <w:ind w:left="0" w:firstLine="0"/>
      </w:pPr>
      <w:rPr>
        <w:rFonts w:ascii="Arial" w:hAnsi="Arial" w:hint="default"/>
        <w:b w:val="0"/>
        <w:i w:val="0"/>
        <w:sz w:val="22"/>
      </w:rPr>
    </w:lvl>
    <w:lvl w:ilvl="3">
      <w:start w:val="1"/>
      <w:numFmt w:val="lowerRoman"/>
      <w:pStyle w:val="Romanitos"/>
      <w:lvlText w:val="(%4)"/>
      <w:lvlJc w:val="left"/>
      <w:pPr>
        <w:tabs>
          <w:tab w:val="num" w:pos="720"/>
        </w:tabs>
        <w:ind w:left="680" w:hanging="680"/>
      </w:pPr>
      <w:rPr>
        <w:rFonts w:ascii="Arial" w:hAnsi="Arial" w:hint="default"/>
        <w:sz w:val="22"/>
      </w:rPr>
    </w:lvl>
    <w:lvl w:ilvl="4">
      <w:start w:val="1"/>
      <w:numFmt w:val="bullet"/>
      <w:pStyle w:val="Vietas"/>
      <w:lvlText w:val=""/>
      <w:lvlJc w:val="left"/>
      <w:pPr>
        <w:tabs>
          <w:tab w:val="num" w:pos="1080"/>
        </w:tabs>
        <w:ind w:left="1080" w:hanging="400"/>
      </w:pPr>
      <w:rPr>
        <w:rFonts w:ascii="Symbol" w:hAnsi="Symbol"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15:restartNumberingAfterBreak="0">
    <w:nsid w:val="1E606DDA"/>
    <w:multiLevelType w:val="multilevel"/>
    <w:tmpl w:val="513A8840"/>
    <w:lvl w:ilvl="0">
      <w:start w:val="1"/>
      <w:numFmt w:val="lowerRoman"/>
      <w:lvlText w:val="(%1)"/>
      <w:lvlJc w:val="left"/>
      <w:rPr>
        <w:rFonts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E7F1A15"/>
    <w:multiLevelType w:val="hybridMultilevel"/>
    <w:tmpl w:val="AD1486C8"/>
    <w:lvl w:ilvl="0" w:tplc="10480200">
      <w:start w:val="1"/>
      <w:numFmt w:val="decimal"/>
      <w:pStyle w:val="STBListNumber3DBL"/>
      <w:lvlText w:val="%1."/>
      <w:lvlJc w:val="left"/>
      <w:pPr>
        <w:ind w:left="1080" w:hanging="360"/>
      </w:pPr>
    </w:lvl>
    <w:lvl w:ilvl="1" w:tplc="1BA6FFF2" w:tentative="1">
      <w:start w:val="1"/>
      <w:numFmt w:val="lowerLetter"/>
      <w:lvlText w:val="%2."/>
      <w:lvlJc w:val="left"/>
      <w:pPr>
        <w:ind w:left="1800" w:hanging="360"/>
      </w:pPr>
    </w:lvl>
    <w:lvl w:ilvl="2" w:tplc="954CEA56" w:tentative="1">
      <w:start w:val="1"/>
      <w:numFmt w:val="lowerRoman"/>
      <w:lvlText w:val="%3."/>
      <w:lvlJc w:val="right"/>
      <w:pPr>
        <w:ind w:left="2520" w:hanging="180"/>
      </w:pPr>
    </w:lvl>
    <w:lvl w:ilvl="3" w:tplc="89146BA8" w:tentative="1">
      <w:start w:val="1"/>
      <w:numFmt w:val="decimal"/>
      <w:lvlText w:val="%4."/>
      <w:lvlJc w:val="left"/>
      <w:pPr>
        <w:ind w:left="3240" w:hanging="360"/>
      </w:pPr>
    </w:lvl>
    <w:lvl w:ilvl="4" w:tplc="AA7015D0" w:tentative="1">
      <w:start w:val="1"/>
      <w:numFmt w:val="lowerLetter"/>
      <w:lvlText w:val="%5."/>
      <w:lvlJc w:val="left"/>
      <w:pPr>
        <w:ind w:left="3960" w:hanging="360"/>
      </w:pPr>
    </w:lvl>
    <w:lvl w:ilvl="5" w:tplc="541C3ACC" w:tentative="1">
      <w:start w:val="1"/>
      <w:numFmt w:val="lowerRoman"/>
      <w:lvlText w:val="%6."/>
      <w:lvlJc w:val="right"/>
      <w:pPr>
        <w:ind w:left="4680" w:hanging="180"/>
      </w:pPr>
    </w:lvl>
    <w:lvl w:ilvl="6" w:tplc="37D2D1E6" w:tentative="1">
      <w:start w:val="1"/>
      <w:numFmt w:val="decimal"/>
      <w:lvlText w:val="%7."/>
      <w:lvlJc w:val="left"/>
      <w:pPr>
        <w:ind w:left="5400" w:hanging="360"/>
      </w:pPr>
    </w:lvl>
    <w:lvl w:ilvl="7" w:tplc="09F2EB04" w:tentative="1">
      <w:start w:val="1"/>
      <w:numFmt w:val="lowerLetter"/>
      <w:lvlText w:val="%8."/>
      <w:lvlJc w:val="left"/>
      <w:pPr>
        <w:ind w:left="6120" w:hanging="360"/>
      </w:pPr>
    </w:lvl>
    <w:lvl w:ilvl="8" w:tplc="8A34828A" w:tentative="1">
      <w:start w:val="1"/>
      <w:numFmt w:val="lowerRoman"/>
      <w:lvlText w:val="%9."/>
      <w:lvlJc w:val="right"/>
      <w:pPr>
        <w:ind w:left="6840" w:hanging="180"/>
      </w:pPr>
    </w:lvl>
  </w:abstractNum>
  <w:abstractNum w:abstractNumId="52" w15:restartNumberingAfterBreak="0">
    <w:nsid w:val="219B6267"/>
    <w:multiLevelType w:val="multilevel"/>
    <w:tmpl w:val="67CEBE68"/>
    <w:lvl w:ilvl="0">
      <w:start w:val="1"/>
      <w:numFmt w:val="lowerRoman"/>
      <w:lvlText w:val="(%1)"/>
      <w:lvlJc w:val="left"/>
      <w:pPr>
        <w:tabs>
          <w:tab w:val="num" w:pos="1728"/>
        </w:tabs>
        <w:ind w:left="1728" w:hanging="432"/>
      </w:pPr>
      <w:rPr>
        <w:rFonts w:hint="default"/>
      </w:rPr>
    </w:lvl>
    <w:lvl w:ilvl="1">
      <w:start w:val="1"/>
      <w:numFmt w:val="lowerRoman"/>
      <w:lvlText w:val="(%2)"/>
      <w:lvlJc w:val="left"/>
      <w:pPr>
        <w:tabs>
          <w:tab w:val="num" w:pos="1728"/>
        </w:tabs>
        <w:ind w:left="1728" w:hanging="432"/>
      </w:pPr>
      <w:rPr>
        <w:rFonts w:hint="default"/>
      </w:rPr>
    </w:lvl>
    <w:lvl w:ilvl="2">
      <w:start w:val="1"/>
      <w:numFmt w:val="lowerRoman"/>
      <w:lvlText w:val="(%3)"/>
      <w:lvlJc w:val="left"/>
      <w:pPr>
        <w:tabs>
          <w:tab w:val="num" w:pos="1728"/>
        </w:tabs>
        <w:ind w:left="1728" w:hanging="432"/>
      </w:pPr>
      <w:rPr>
        <w:rFonts w:hint="default"/>
      </w:rPr>
    </w:lvl>
    <w:lvl w:ilvl="3">
      <w:start w:val="1"/>
      <w:numFmt w:val="decimal"/>
      <w:pStyle w:val="4Level-1block"/>
      <w:lvlText w:val="(%4)"/>
      <w:lvlJc w:val="left"/>
      <w:pPr>
        <w:tabs>
          <w:tab w:val="num" w:pos="1728"/>
        </w:tabs>
        <w:ind w:left="1728" w:hanging="432"/>
      </w:pPr>
      <w:rPr>
        <w:rFonts w:hint="default"/>
      </w:rPr>
    </w:lvl>
    <w:lvl w:ilvl="4">
      <w:start w:val="1"/>
      <w:numFmt w:val="lowerLetter"/>
      <w:lvlText w:val="(%5)"/>
      <w:lvlJc w:val="left"/>
      <w:pPr>
        <w:tabs>
          <w:tab w:val="num" w:pos="3096"/>
        </w:tabs>
        <w:ind w:left="3096" w:hanging="360"/>
      </w:pPr>
      <w:rPr>
        <w:rFonts w:hint="default"/>
      </w:rPr>
    </w:lvl>
    <w:lvl w:ilvl="5">
      <w:start w:val="1"/>
      <w:numFmt w:val="lowerRoman"/>
      <w:lvlText w:val="(%6)"/>
      <w:lvlJc w:val="left"/>
      <w:pPr>
        <w:tabs>
          <w:tab w:val="num" w:pos="3456"/>
        </w:tabs>
        <w:ind w:left="3456" w:hanging="360"/>
      </w:pPr>
      <w:rPr>
        <w:rFonts w:hint="default"/>
      </w:rPr>
    </w:lvl>
    <w:lvl w:ilvl="6">
      <w:start w:val="1"/>
      <w:numFmt w:val="decimal"/>
      <w:lvlText w:val="%7."/>
      <w:lvlJc w:val="left"/>
      <w:pPr>
        <w:tabs>
          <w:tab w:val="num" w:pos="3816"/>
        </w:tabs>
        <w:ind w:left="3816" w:hanging="360"/>
      </w:pPr>
      <w:rPr>
        <w:rFonts w:hint="default"/>
      </w:rPr>
    </w:lvl>
    <w:lvl w:ilvl="7">
      <w:start w:val="1"/>
      <w:numFmt w:val="lowerLetter"/>
      <w:lvlText w:val="%8."/>
      <w:lvlJc w:val="left"/>
      <w:pPr>
        <w:tabs>
          <w:tab w:val="num" w:pos="4176"/>
        </w:tabs>
        <w:ind w:left="4176" w:hanging="360"/>
      </w:pPr>
      <w:rPr>
        <w:rFonts w:hint="default"/>
      </w:rPr>
    </w:lvl>
    <w:lvl w:ilvl="8">
      <w:start w:val="1"/>
      <w:numFmt w:val="lowerRoman"/>
      <w:lvlText w:val="%9."/>
      <w:lvlJc w:val="left"/>
      <w:pPr>
        <w:tabs>
          <w:tab w:val="num" w:pos="4536"/>
        </w:tabs>
        <w:ind w:left="4536" w:hanging="360"/>
      </w:pPr>
      <w:rPr>
        <w:rFonts w:hint="default"/>
      </w:rPr>
    </w:lvl>
  </w:abstractNum>
  <w:abstractNum w:abstractNumId="53" w15:restartNumberingAfterBreak="0">
    <w:nsid w:val="21A61FDF"/>
    <w:multiLevelType w:val="hybridMultilevel"/>
    <w:tmpl w:val="5A92E6B0"/>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4" w15:restartNumberingAfterBreak="0">
    <w:nsid w:val="229736BC"/>
    <w:multiLevelType w:val="hybridMultilevel"/>
    <w:tmpl w:val="8962F922"/>
    <w:styleLink w:val="Estilo121"/>
    <w:lvl w:ilvl="0" w:tplc="B9FC74AE">
      <w:start w:val="1"/>
      <w:numFmt w:val="bullet"/>
      <w:lvlText w:val="o"/>
      <w:lvlJc w:val="left"/>
      <w:pPr>
        <w:tabs>
          <w:tab w:val="num" w:pos="720"/>
        </w:tabs>
        <w:ind w:left="4320" w:hanging="360"/>
      </w:pPr>
      <w:rPr>
        <w:rFonts w:ascii="Courier New" w:hAnsi="Courier New" w:hint="default"/>
      </w:rPr>
    </w:lvl>
    <w:lvl w:ilvl="1" w:tplc="BB7AE2FA">
      <w:start w:val="1"/>
      <w:numFmt w:val="bullet"/>
      <w:lvlText w:val="o"/>
      <w:lvlJc w:val="left"/>
      <w:pPr>
        <w:tabs>
          <w:tab w:val="num" w:pos="1440"/>
        </w:tabs>
        <w:ind w:left="1440" w:hanging="360"/>
      </w:pPr>
      <w:rPr>
        <w:rFonts w:ascii="Courier New" w:hAnsi="Courier New" w:cs="Courier New" w:hint="default"/>
      </w:rPr>
    </w:lvl>
    <w:lvl w:ilvl="2" w:tplc="3AC6507C">
      <w:start w:val="1"/>
      <w:numFmt w:val="bullet"/>
      <w:pStyle w:val="BulletL3"/>
      <w:lvlText w:val="o"/>
      <w:lvlJc w:val="left"/>
      <w:pPr>
        <w:tabs>
          <w:tab w:val="num" w:pos="720"/>
        </w:tabs>
        <w:ind w:left="2160" w:hanging="720"/>
      </w:pPr>
      <w:rPr>
        <w:rFonts w:ascii="Courier New" w:hAnsi="Courier New" w:hint="default"/>
      </w:rPr>
    </w:lvl>
    <w:lvl w:ilvl="3" w:tplc="0AFCA3F2" w:tentative="1">
      <w:start w:val="1"/>
      <w:numFmt w:val="bullet"/>
      <w:lvlText w:val=""/>
      <w:lvlJc w:val="left"/>
      <w:pPr>
        <w:tabs>
          <w:tab w:val="num" w:pos="2880"/>
        </w:tabs>
        <w:ind w:left="2880" w:hanging="360"/>
      </w:pPr>
      <w:rPr>
        <w:rFonts w:ascii="Symbol" w:hAnsi="Symbol" w:hint="default"/>
      </w:rPr>
    </w:lvl>
    <w:lvl w:ilvl="4" w:tplc="ECFE4F98" w:tentative="1">
      <w:start w:val="1"/>
      <w:numFmt w:val="bullet"/>
      <w:lvlText w:val="o"/>
      <w:lvlJc w:val="left"/>
      <w:pPr>
        <w:tabs>
          <w:tab w:val="num" w:pos="3600"/>
        </w:tabs>
        <w:ind w:left="3600" w:hanging="360"/>
      </w:pPr>
      <w:rPr>
        <w:rFonts w:ascii="Courier New" w:hAnsi="Courier New" w:cs="Courier New" w:hint="default"/>
      </w:rPr>
    </w:lvl>
    <w:lvl w:ilvl="5" w:tplc="EC840868" w:tentative="1">
      <w:start w:val="1"/>
      <w:numFmt w:val="bullet"/>
      <w:lvlText w:val=""/>
      <w:lvlJc w:val="left"/>
      <w:pPr>
        <w:tabs>
          <w:tab w:val="num" w:pos="4320"/>
        </w:tabs>
        <w:ind w:left="4320" w:hanging="360"/>
      </w:pPr>
      <w:rPr>
        <w:rFonts w:ascii="Wingdings" w:hAnsi="Wingdings" w:hint="default"/>
      </w:rPr>
    </w:lvl>
    <w:lvl w:ilvl="6" w:tplc="B8343000" w:tentative="1">
      <w:start w:val="1"/>
      <w:numFmt w:val="bullet"/>
      <w:lvlText w:val=""/>
      <w:lvlJc w:val="left"/>
      <w:pPr>
        <w:tabs>
          <w:tab w:val="num" w:pos="5040"/>
        </w:tabs>
        <w:ind w:left="5040" w:hanging="360"/>
      </w:pPr>
      <w:rPr>
        <w:rFonts w:ascii="Symbol" w:hAnsi="Symbol" w:hint="default"/>
      </w:rPr>
    </w:lvl>
    <w:lvl w:ilvl="7" w:tplc="DA463E16" w:tentative="1">
      <w:start w:val="1"/>
      <w:numFmt w:val="bullet"/>
      <w:lvlText w:val="o"/>
      <w:lvlJc w:val="left"/>
      <w:pPr>
        <w:tabs>
          <w:tab w:val="num" w:pos="5760"/>
        </w:tabs>
        <w:ind w:left="5760" w:hanging="360"/>
      </w:pPr>
      <w:rPr>
        <w:rFonts w:ascii="Courier New" w:hAnsi="Courier New" w:cs="Courier New" w:hint="default"/>
      </w:rPr>
    </w:lvl>
    <w:lvl w:ilvl="8" w:tplc="3BCC90CC"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4324703"/>
    <w:multiLevelType w:val="multilevel"/>
    <w:tmpl w:val="D682BB44"/>
    <w:styleLink w:val="Estilo42"/>
    <w:lvl w:ilvl="0">
      <w:start w:val="8"/>
      <w:numFmt w:val="decimal"/>
      <w:lvlText w:val="%1"/>
      <w:lvlJc w:val="left"/>
      <w:pPr>
        <w:ind w:left="360" w:hanging="360"/>
      </w:pPr>
      <w:rPr>
        <w:rFonts w:cs="Times New Roman" w:hint="default"/>
        <w:b w:val="0"/>
      </w:rPr>
    </w:lvl>
    <w:lvl w:ilvl="1">
      <w:start w:val="7"/>
      <w:numFmt w:val="decimal"/>
      <w:lvlText w:val="%1.%2"/>
      <w:lvlJc w:val="left"/>
      <w:pPr>
        <w:ind w:left="900" w:hanging="360"/>
      </w:pPr>
      <w:rPr>
        <w:rFonts w:cs="Times New Roman" w:hint="default"/>
        <w:b/>
      </w:rPr>
    </w:lvl>
    <w:lvl w:ilvl="2">
      <w:start w:val="1"/>
      <w:numFmt w:val="decimal"/>
      <w:lvlText w:val="%1.%2.%3"/>
      <w:lvlJc w:val="left"/>
      <w:pPr>
        <w:ind w:left="1800" w:hanging="720"/>
      </w:pPr>
      <w:rPr>
        <w:rFonts w:cs="Times New Roman" w:hint="default"/>
        <w:b w:val="0"/>
      </w:rPr>
    </w:lvl>
    <w:lvl w:ilvl="3">
      <w:start w:val="1"/>
      <w:numFmt w:val="decimal"/>
      <w:lvlText w:val="%1.%2.%3.%4"/>
      <w:lvlJc w:val="left"/>
      <w:pPr>
        <w:ind w:left="2340" w:hanging="720"/>
      </w:pPr>
      <w:rPr>
        <w:rFonts w:cs="Times New Roman" w:hint="default"/>
        <w:b w:val="0"/>
      </w:rPr>
    </w:lvl>
    <w:lvl w:ilvl="4">
      <w:start w:val="1"/>
      <w:numFmt w:val="decimal"/>
      <w:lvlText w:val="%1.%2.%3.%4.%5"/>
      <w:lvlJc w:val="left"/>
      <w:pPr>
        <w:ind w:left="3240" w:hanging="1080"/>
      </w:pPr>
      <w:rPr>
        <w:rFonts w:cs="Times New Roman" w:hint="default"/>
        <w:b w:val="0"/>
      </w:rPr>
    </w:lvl>
    <w:lvl w:ilvl="5">
      <w:start w:val="1"/>
      <w:numFmt w:val="decimal"/>
      <w:lvlText w:val="%1.%2.%3.%4.%5.%6"/>
      <w:lvlJc w:val="left"/>
      <w:pPr>
        <w:ind w:left="3780" w:hanging="1080"/>
      </w:pPr>
      <w:rPr>
        <w:rFonts w:cs="Times New Roman" w:hint="default"/>
        <w:b w:val="0"/>
      </w:rPr>
    </w:lvl>
    <w:lvl w:ilvl="6">
      <w:start w:val="1"/>
      <w:numFmt w:val="decimal"/>
      <w:lvlText w:val="%1.%2.%3.%4.%5.%6.%7"/>
      <w:lvlJc w:val="left"/>
      <w:pPr>
        <w:ind w:left="4680" w:hanging="1440"/>
      </w:pPr>
      <w:rPr>
        <w:rFonts w:cs="Times New Roman" w:hint="default"/>
        <w:b w:val="0"/>
      </w:rPr>
    </w:lvl>
    <w:lvl w:ilvl="7">
      <w:start w:val="1"/>
      <w:numFmt w:val="decimal"/>
      <w:lvlText w:val="%1.%2.%3.%4.%5.%6.%7.%8"/>
      <w:lvlJc w:val="left"/>
      <w:pPr>
        <w:ind w:left="5220" w:hanging="1440"/>
      </w:pPr>
      <w:rPr>
        <w:rFonts w:cs="Times New Roman" w:hint="default"/>
        <w:b w:val="0"/>
      </w:rPr>
    </w:lvl>
    <w:lvl w:ilvl="8">
      <w:start w:val="1"/>
      <w:numFmt w:val="decimal"/>
      <w:lvlText w:val="%1.%2.%3.%4.%5.%6.%7.%8.%9"/>
      <w:lvlJc w:val="left"/>
      <w:pPr>
        <w:ind w:left="6120" w:hanging="1800"/>
      </w:pPr>
      <w:rPr>
        <w:rFonts w:cs="Times New Roman" w:hint="default"/>
        <w:b w:val="0"/>
      </w:rPr>
    </w:lvl>
  </w:abstractNum>
  <w:abstractNum w:abstractNumId="56" w15:restartNumberingAfterBreak="0">
    <w:nsid w:val="249B7C56"/>
    <w:multiLevelType w:val="multilevel"/>
    <w:tmpl w:val="41ACC092"/>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19"/>
        <w:szCs w:val="19"/>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4D374DC"/>
    <w:multiLevelType w:val="hybridMultilevel"/>
    <w:tmpl w:val="D7927DAE"/>
    <w:name w:val="SimpleListTemplate222"/>
    <w:lvl w:ilvl="0" w:tplc="50AC2D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254C1E3F"/>
    <w:multiLevelType w:val="hybridMultilevel"/>
    <w:tmpl w:val="2098BC24"/>
    <w:lvl w:ilvl="0" w:tplc="923EDAE6">
      <w:start w:val="1"/>
      <w:numFmt w:val="bullet"/>
      <w:pStyle w:val="BulletedList2"/>
      <w:lvlText w:val=""/>
      <w:lvlJc w:val="left"/>
      <w:pPr>
        <w:tabs>
          <w:tab w:val="num" w:pos="1656"/>
        </w:tabs>
        <w:ind w:left="1656" w:hanging="216"/>
      </w:pPr>
      <w:rPr>
        <w:rFonts w:ascii="Symbol" w:hAnsi="Symbol" w:hint="default"/>
      </w:rPr>
    </w:lvl>
    <w:lvl w:ilvl="1" w:tplc="59E2C060" w:tentative="1">
      <w:start w:val="1"/>
      <w:numFmt w:val="bullet"/>
      <w:lvlText w:val="o"/>
      <w:lvlJc w:val="left"/>
      <w:pPr>
        <w:tabs>
          <w:tab w:val="num" w:pos="1440"/>
        </w:tabs>
        <w:ind w:left="1440" w:hanging="360"/>
      </w:pPr>
      <w:rPr>
        <w:rFonts w:ascii="Courier New" w:hAnsi="Courier New" w:cs="Courier New" w:hint="default"/>
      </w:rPr>
    </w:lvl>
    <w:lvl w:ilvl="2" w:tplc="C8A020C2" w:tentative="1">
      <w:start w:val="1"/>
      <w:numFmt w:val="bullet"/>
      <w:lvlText w:val=""/>
      <w:lvlJc w:val="left"/>
      <w:pPr>
        <w:tabs>
          <w:tab w:val="num" w:pos="2160"/>
        </w:tabs>
        <w:ind w:left="2160" w:hanging="360"/>
      </w:pPr>
      <w:rPr>
        <w:rFonts w:ascii="Wingdings" w:hAnsi="Wingdings" w:hint="default"/>
      </w:rPr>
    </w:lvl>
    <w:lvl w:ilvl="3" w:tplc="2E2A901C" w:tentative="1">
      <w:start w:val="1"/>
      <w:numFmt w:val="bullet"/>
      <w:lvlText w:val=""/>
      <w:lvlJc w:val="left"/>
      <w:pPr>
        <w:tabs>
          <w:tab w:val="num" w:pos="2880"/>
        </w:tabs>
        <w:ind w:left="2880" w:hanging="360"/>
      </w:pPr>
      <w:rPr>
        <w:rFonts w:ascii="Symbol" w:hAnsi="Symbol" w:hint="default"/>
      </w:rPr>
    </w:lvl>
    <w:lvl w:ilvl="4" w:tplc="08E80824" w:tentative="1">
      <w:start w:val="1"/>
      <w:numFmt w:val="bullet"/>
      <w:lvlText w:val="o"/>
      <w:lvlJc w:val="left"/>
      <w:pPr>
        <w:tabs>
          <w:tab w:val="num" w:pos="3600"/>
        </w:tabs>
        <w:ind w:left="3600" w:hanging="360"/>
      </w:pPr>
      <w:rPr>
        <w:rFonts w:ascii="Courier New" w:hAnsi="Courier New" w:cs="Courier New" w:hint="default"/>
      </w:rPr>
    </w:lvl>
    <w:lvl w:ilvl="5" w:tplc="A128FABE" w:tentative="1">
      <w:start w:val="1"/>
      <w:numFmt w:val="bullet"/>
      <w:lvlText w:val=""/>
      <w:lvlJc w:val="left"/>
      <w:pPr>
        <w:tabs>
          <w:tab w:val="num" w:pos="4320"/>
        </w:tabs>
        <w:ind w:left="4320" w:hanging="360"/>
      </w:pPr>
      <w:rPr>
        <w:rFonts w:ascii="Wingdings" w:hAnsi="Wingdings" w:hint="default"/>
      </w:rPr>
    </w:lvl>
    <w:lvl w:ilvl="6" w:tplc="037AADB0" w:tentative="1">
      <w:start w:val="1"/>
      <w:numFmt w:val="bullet"/>
      <w:lvlText w:val=""/>
      <w:lvlJc w:val="left"/>
      <w:pPr>
        <w:tabs>
          <w:tab w:val="num" w:pos="5040"/>
        </w:tabs>
        <w:ind w:left="5040" w:hanging="360"/>
      </w:pPr>
      <w:rPr>
        <w:rFonts w:ascii="Symbol" w:hAnsi="Symbol" w:hint="default"/>
      </w:rPr>
    </w:lvl>
    <w:lvl w:ilvl="7" w:tplc="B8BC8826" w:tentative="1">
      <w:start w:val="1"/>
      <w:numFmt w:val="bullet"/>
      <w:lvlText w:val="o"/>
      <w:lvlJc w:val="left"/>
      <w:pPr>
        <w:tabs>
          <w:tab w:val="num" w:pos="5760"/>
        </w:tabs>
        <w:ind w:left="5760" w:hanging="360"/>
      </w:pPr>
      <w:rPr>
        <w:rFonts w:ascii="Courier New" w:hAnsi="Courier New" w:cs="Courier New" w:hint="default"/>
      </w:rPr>
    </w:lvl>
    <w:lvl w:ilvl="8" w:tplc="B0F052F6"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6C22197"/>
    <w:multiLevelType w:val="multilevel"/>
    <w:tmpl w:val="6B1C9AE8"/>
    <w:styleLink w:val="SimpleListsList"/>
    <w:lvl w:ilvl="0">
      <w:start w:val="1"/>
      <w:numFmt w:val="none"/>
      <w:lvlRestart w:val="0"/>
      <w:pStyle w:val="SimpleLists1"/>
      <w:suff w:val="nothing"/>
      <w:lvlText w:val=""/>
      <w:lvlJc w:val="left"/>
      <w:pPr>
        <w:ind w:left="0" w:firstLine="0"/>
      </w:pPr>
      <w:rPr>
        <w:rFonts w:hint="default"/>
      </w:rPr>
    </w:lvl>
    <w:lvl w:ilvl="1">
      <w:start w:val="1"/>
      <w:numFmt w:val="none"/>
      <w:pStyle w:val="SimpleLists2"/>
      <w:suff w:val="nothing"/>
      <w:lvlText w:val=""/>
      <w:lvlJc w:val="left"/>
      <w:pPr>
        <w:ind w:left="0" w:firstLine="0"/>
      </w:pPr>
      <w:rPr>
        <w:rFonts w:hint="default"/>
      </w:rPr>
    </w:lvl>
    <w:lvl w:ilvl="2">
      <w:start w:val="1"/>
      <w:numFmt w:val="none"/>
      <w:pStyle w:val="SimpleLists3"/>
      <w:suff w:val="nothing"/>
      <w:lvlText w:val=""/>
      <w:lvlJc w:val="left"/>
      <w:pPr>
        <w:ind w:left="0" w:firstLine="0"/>
      </w:pPr>
      <w:rPr>
        <w:rFonts w:hint="default"/>
      </w:rPr>
    </w:lvl>
    <w:lvl w:ilvl="3">
      <w:start w:val="1"/>
      <w:numFmt w:val="none"/>
      <w:pStyle w:val="SimpleLists4"/>
      <w:suff w:val="nothing"/>
      <w:lvlText w:val=""/>
      <w:lvlJc w:val="left"/>
      <w:pPr>
        <w:ind w:left="360" w:hanging="360"/>
      </w:pPr>
      <w:rPr>
        <w:rFonts w:hint="default"/>
      </w:rPr>
    </w:lvl>
    <w:lvl w:ilvl="4">
      <w:start w:val="1"/>
      <w:numFmt w:val="lowerLetter"/>
      <w:pStyle w:val="SimpleLists5"/>
      <w:lvlText w:val="(%5)"/>
      <w:lvlJc w:val="left"/>
      <w:pPr>
        <w:tabs>
          <w:tab w:val="num" w:pos="720"/>
        </w:tabs>
        <w:ind w:left="720" w:hanging="360"/>
      </w:pPr>
      <w:rPr>
        <w:rFonts w:hint="default"/>
      </w:rPr>
    </w:lvl>
    <w:lvl w:ilvl="5">
      <w:start w:val="1"/>
      <w:numFmt w:val="lowerRoman"/>
      <w:pStyle w:val="SimpleLists6"/>
      <w:lvlText w:val="(%6)"/>
      <w:lvlJc w:val="left"/>
      <w:pPr>
        <w:tabs>
          <w:tab w:val="num" w:pos="1440"/>
        </w:tabs>
        <w:ind w:left="1440" w:hanging="720"/>
      </w:pPr>
      <w:rPr>
        <w:rFonts w:hint="default"/>
      </w:rPr>
    </w:lvl>
    <w:lvl w:ilvl="6">
      <w:start w:val="1"/>
      <w:numFmt w:val="decimal"/>
      <w:pStyle w:val="SimpleLists7"/>
      <w:lvlText w:val="%7."/>
      <w:lvlJc w:val="left"/>
      <w:pPr>
        <w:tabs>
          <w:tab w:val="num" w:pos="1800"/>
        </w:tabs>
        <w:ind w:left="1800" w:hanging="360"/>
      </w:pPr>
      <w:rPr>
        <w:rFonts w:hint="default"/>
      </w:rPr>
    </w:lvl>
    <w:lvl w:ilvl="7">
      <w:start w:val="1"/>
      <w:numFmt w:val="bullet"/>
      <w:pStyle w:val="SimpleLists8"/>
      <w:lvlText w:val=""/>
      <w:lvlJc w:val="left"/>
      <w:pPr>
        <w:tabs>
          <w:tab w:val="num" w:pos="720"/>
        </w:tabs>
        <w:ind w:left="720" w:hanging="360"/>
      </w:pPr>
      <w:rPr>
        <w:rFonts w:ascii="Symbol" w:hAnsi="Symbol" w:hint="default"/>
      </w:rPr>
    </w:lvl>
    <w:lvl w:ilvl="8">
      <w:start w:val="1"/>
      <w:numFmt w:val="bullet"/>
      <w:pStyle w:val="SimpleLists9"/>
      <w:lvlText w:val=""/>
      <w:lvlJc w:val="left"/>
      <w:pPr>
        <w:tabs>
          <w:tab w:val="num" w:pos="1080"/>
        </w:tabs>
        <w:ind w:left="1080" w:hanging="360"/>
      </w:pPr>
      <w:rPr>
        <w:rFonts w:ascii="Symbol" w:hAnsi="Symbol" w:hint="default"/>
      </w:rPr>
    </w:lvl>
  </w:abstractNum>
  <w:abstractNum w:abstractNumId="60" w15:restartNumberingAfterBreak="0">
    <w:nsid w:val="27645B40"/>
    <w:multiLevelType w:val="hybridMultilevel"/>
    <w:tmpl w:val="BE100A7A"/>
    <w:name w:val="Scheme  422"/>
    <w:lvl w:ilvl="0" w:tplc="CD3E763E">
      <w:start w:val="1"/>
      <w:numFmt w:val="bullet"/>
      <w:pStyle w:val="ListBullet3SglNew"/>
      <w:lvlText w:val=""/>
      <w:lvlJc w:val="left"/>
      <w:pPr>
        <w:ind w:left="720" w:hanging="360"/>
      </w:pPr>
      <w:rPr>
        <w:rFonts w:ascii="Symbol" w:hAnsi="Symbol" w:hint="default"/>
      </w:rPr>
    </w:lvl>
    <w:lvl w:ilvl="1" w:tplc="CDF8399C" w:tentative="1">
      <w:start w:val="1"/>
      <w:numFmt w:val="bullet"/>
      <w:lvlText w:val="o"/>
      <w:lvlJc w:val="left"/>
      <w:pPr>
        <w:ind w:left="1440" w:hanging="360"/>
      </w:pPr>
      <w:rPr>
        <w:rFonts w:ascii="Courier New" w:hAnsi="Courier New" w:cs="Courier New" w:hint="default"/>
      </w:rPr>
    </w:lvl>
    <w:lvl w:ilvl="2" w:tplc="80387492" w:tentative="1">
      <w:start w:val="1"/>
      <w:numFmt w:val="bullet"/>
      <w:lvlText w:val=""/>
      <w:lvlJc w:val="left"/>
      <w:pPr>
        <w:ind w:left="2160" w:hanging="360"/>
      </w:pPr>
      <w:rPr>
        <w:rFonts w:ascii="Wingdings" w:hAnsi="Wingdings" w:hint="default"/>
      </w:rPr>
    </w:lvl>
    <w:lvl w:ilvl="3" w:tplc="7CA426CC" w:tentative="1">
      <w:start w:val="1"/>
      <w:numFmt w:val="bullet"/>
      <w:lvlText w:val=""/>
      <w:lvlJc w:val="left"/>
      <w:pPr>
        <w:ind w:left="2880" w:hanging="360"/>
      </w:pPr>
      <w:rPr>
        <w:rFonts w:ascii="Symbol" w:hAnsi="Symbol" w:hint="default"/>
      </w:rPr>
    </w:lvl>
    <w:lvl w:ilvl="4" w:tplc="C97ADF7E" w:tentative="1">
      <w:start w:val="1"/>
      <w:numFmt w:val="bullet"/>
      <w:lvlText w:val="o"/>
      <w:lvlJc w:val="left"/>
      <w:pPr>
        <w:ind w:left="3600" w:hanging="360"/>
      </w:pPr>
      <w:rPr>
        <w:rFonts w:ascii="Courier New" w:hAnsi="Courier New" w:cs="Courier New" w:hint="default"/>
      </w:rPr>
    </w:lvl>
    <w:lvl w:ilvl="5" w:tplc="62A24858" w:tentative="1">
      <w:start w:val="1"/>
      <w:numFmt w:val="bullet"/>
      <w:lvlText w:val=""/>
      <w:lvlJc w:val="left"/>
      <w:pPr>
        <w:ind w:left="4320" w:hanging="360"/>
      </w:pPr>
      <w:rPr>
        <w:rFonts w:ascii="Wingdings" w:hAnsi="Wingdings" w:hint="default"/>
      </w:rPr>
    </w:lvl>
    <w:lvl w:ilvl="6" w:tplc="A9B64102" w:tentative="1">
      <w:start w:val="1"/>
      <w:numFmt w:val="bullet"/>
      <w:lvlText w:val=""/>
      <w:lvlJc w:val="left"/>
      <w:pPr>
        <w:ind w:left="5040" w:hanging="360"/>
      </w:pPr>
      <w:rPr>
        <w:rFonts w:ascii="Symbol" w:hAnsi="Symbol" w:hint="default"/>
      </w:rPr>
    </w:lvl>
    <w:lvl w:ilvl="7" w:tplc="4712044E" w:tentative="1">
      <w:start w:val="1"/>
      <w:numFmt w:val="bullet"/>
      <w:lvlText w:val="o"/>
      <w:lvlJc w:val="left"/>
      <w:pPr>
        <w:ind w:left="5760" w:hanging="360"/>
      </w:pPr>
      <w:rPr>
        <w:rFonts w:ascii="Courier New" w:hAnsi="Courier New" w:cs="Courier New" w:hint="default"/>
      </w:rPr>
    </w:lvl>
    <w:lvl w:ilvl="8" w:tplc="80B2CA5E" w:tentative="1">
      <w:start w:val="1"/>
      <w:numFmt w:val="bullet"/>
      <w:lvlText w:val=""/>
      <w:lvlJc w:val="left"/>
      <w:pPr>
        <w:ind w:left="6480" w:hanging="360"/>
      </w:pPr>
      <w:rPr>
        <w:rFonts w:ascii="Wingdings" w:hAnsi="Wingdings" w:hint="default"/>
      </w:rPr>
    </w:lvl>
  </w:abstractNum>
  <w:abstractNum w:abstractNumId="61" w15:restartNumberingAfterBreak="0">
    <w:nsid w:val="29571E52"/>
    <w:multiLevelType w:val="multilevel"/>
    <w:tmpl w:val="8F089B04"/>
    <w:name w:val="ShortOutlineListTemplate"/>
    <w:styleLink w:val="ShortOutlineList"/>
    <w:lvl w:ilvl="0">
      <w:start w:val="1"/>
      <w:numFmt w:val="decimal"/>
      <w:pStyle w:val="ShortOutline1"/>
      <w:lvlText w:val="%1."/>
      <w:lvlJc w:val="left"/>
      <w:pPr>
        <w:tabs>
          <w:tab w:val="num" w:pos="720"/>
        </w:tabs>
        <w:ind w:left="720" w:hanging="720"/>
      </w:pPr>
      <w:rPr>
        <w:color w:val="000000"/>
      </w:rPr>
    </w:lvl>
    <w:lvl w:ilvl="1">
      <w:start w:val="1"/>
      <w:numFmt w:val="lowerLetter"/>
      <w:pStyle w:val="ShortOutline2"/>
      <w:lvlText w:val="(%2)"/>
      <w:lvlJc w:val="left"/>
      <w:pPr>
        <w:tabs>
          <w:tab w:val="num" w:pos="1440"/>
        </w:tabs>
        <w:ind w:left="1440" w:hanging="720"/>
      </w:pPr>
      <w:rPr>
        <w:color w:val="000000"/>
      </w:rPr>
    </w:lvl>
    <w:lvl w:ilvl="2">
      <w:start w:val="1"/>
      <w:numFmt w:val="lowerRoman"/>
      <w:pStyle w:val="ShortOutline3"/>
      <w:lvlText w:val="(%3)"/>
      <w:lvlJc w:val="left"/>
      <w:pPr>
        <w:tabs>
          <w:tab w:val="num" w:pos="2160"/>
        </w:tabs>
        <w:ind w:left="2160" w:hanging="720"/>
      </w:pPr>
      <w:rPr>
        <w:color w:val="000000"/>
      </w:rPr>
    </w:lvl>
    <w:lvl w:ilvl="3">
      <w:start w:val="1"/>
      <w:numFmt w:val="decimal"/>
      <w:pStyle w:val="ShortOutline4"/>
      <w:lvlText w:val="(%4)"/>
      <w:lvlJc w:val="left"/>
      <w:pPr>
        <w:tabs>
          <w:tab w:val="num" w:pos="2880"/>
        </w:tabs>
        <w:ind w:left="2880" w:hanging="720"/>
      </w:pPr>
      <w:rPr>
        <w:color w:val="000000"/>
      </w:rPr>
    </w:lvl>
    <w:lvl w:ilvl="4">
      <w:start w:val="1"/>
      <w:numFmt w:val="upperLetter"/>
      <w:pStyle w:val="ShortOutline5"/>
      <w:lvlText w:val="(%5)"/>
      <w:lvlJc w:val="left"/>
      <w:pPr>
        <w:tabs>
          <w:tab w:val="num" w:pos="3600"/>
        </w:tabs>
        <w:ind w:left="3600" w:hanging="720"/>
      </w:pPr>
      <w:rPr>
        <w:color w:val="000000"/>
      </w:r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62" w15:restartNumberingAfterBreak="0">
    <w:nsid w:val="299D3153"/>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3" w15:restartNumberingAfterBreak="0">
    <w:nsid w:val="2A6346B7"/>
    <w:multiLevelType w:val="multilevel"/>
    <w:tmpl w:val="6082F0EC"/>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A8203F5"/>
    <w:multiLevelType w:val="multilevel"/>
    <w:tmpl w:val="8AE28354"/>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B312C71"/>
    <w:multiLevelType w:val="hybridMultilevel"/>
    <w:tmpl w:val="A9C44896"/>
    <w:lvl w:ilvl="0" w:tplc="35FEB0B2">
      <w:start w:val="1"/>
      <w:numFmt w:val="lowerLetter"/>
      <w:lvlText w:val="(%1)"/>
      <w:lvlJc w:val="left"/>
      <w:pPr>
        <w:ind w:left="720" w:hanging="360"/>
      </w:pPr>
      <w:rPr>
        <w:rFonts w:ascii="Garamond" w:hAnsi="Garamond" w:cs="Verdana" w:hint="default"/>
        <w:b w:val="0"/>
        <w:i w:val="0"/>
        <w:strike w:val="0"/>
        <w:dstrike w:val="0"/>
        <w:color w:val="000000"/>
        <w:sz w:val="18"/>
        <w:szCs w:val="18"/>
        <w:u w:val="none" w:color="00000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6" w15:restartNumberingAfterBreak="0">
    <w:nsid w:val="2B7A2968"/>
    <w:multiLevelType w:val="multilevel"/>
    <w:tmpl w:val="FA1455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C10224B"/>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8" w15:restartNumberingAfterBreak="0">
    <w:nsid w:val="2D4D1D71"/>
    <w:multiLevelType w:val="multilevel"/>
    <w:tmpl w:val="C68EEE04"/>
    <w:styleLink w:val="Estilo82"/>
    <w:lvl w:ilvl="0">
      <w:start w:val="13"/>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9" w15:restartNumberingAfterBreak="0">
    <w:nsid w:val="2DF95F4A"/>
    <w:multiLevelType w:val="hybridMultilevel"/>
    <w:tmpl w:val="2CB6CD96"/>
    <w:lvl w:ilvl="0" w:tplc="BC94EC34">
      <w:start w:val="1"/>
      <w:numFmt w:val="decimal"/>
      <w:lvlText w:val="(%1)"/>
      <w:lvlJc w:val="left"/>
      <w:pPr>
        <w:ind w:left="1140" w:hanging="360"/>
      </w:pPr>
      <w:rPr>
        <w:rFonts w:hint="default"/>
      </w:rPr>
    </w:lvl>
    <w:lvl w:ilvl="1" w:tplc="2C0A0019" w:tentative="1">
      <w:start w:val="1"/>
      <w:numFmt w:val="lowerLetter"/>
      <w:lvlText w:val="%2."/>
      <w:lvlJc w:val="left"/>
      <w:pPr>
        <w:ind w:left="1860" w:hanging="360"/>
      </w:pPr>
    </w:lvl>
    <w:lvl w:ilvl="2" w:tplc="2C0A001B" w:tentative="1">
      <w:start w:val="1"/>
      <w:numFmt w:val="lowerRoman"/>
      <w:lvlText w:val="%3."/>
      <w:lvlJc w:val="right"/>
      <w:pPr>
        <w:ind w:left="2580" w:hanging="180"/>
      </w:pPr>
    </w:lvl>
    <w:lvl w:ilvl="3" w:tplc="2C0A000F" w:tentative="1">
      <w:start w:val="1"/>
      <w:numFmt w:val="decimal"/>
      <w:lvlText w:val="%4."/>
      <w:lvlJc w:val="left"/>
      <w:pPr>
        <w:ind w:left="3300" w:hanging="360"/>
      </w:pPr>
    </w:lvl>
    <w:lvl w:ilvl="4" w:tplc="2C0A0019" w:tentative="1">
      <w:start w:val="1"/>
      <w:numFmt w:val="lowerLetter"/>
      <w:lvlText w:val="%5."/>
      <w:lvlJc w:val="left"/>
      <w:pPr>
        <w:ind w:left="4020" w:hanging="360"/>
      </w:pPr>
    </w:lvl>
    <w:lvl w:ilvl="5" w:tplc="2C0A001B" w:tentative="1">
      <w:start w:val="1"/>
      <w:numFmt w:val="lowerRoman"/>
      <w:lvlText w:val="%6."/>
      <w:lvlJc w:val="right"/>
      <w:pPr>
        <w:ind w:left="4740" w:hanging="180"/>
      </w:pPr>
    </w:lvl>
    <w:lvl w:ilvl="6" w:tplc="2C0A000F" w:tentative="1">
      <w:start w:val="1"/>
      <w:numFmt w:val="decimal"/>
      <w:lvlText w:val="%7."/>
      <w:lvlJc w:val="left"/>
      <w:pPr>
        <w:ind w:left="5460" w:hanging="360"/>
      </w:pPr>
    </w:lvl>
    <w:lvl w:ilvl="7" w:tplc="2C0A0019" w:tentative="1">
      <w:start w:val="1"/>
      <w:numFmt w:val="lowerLetter"/>
      <w:lvlText w:val="%8."/>
      <w:lvlJc w:val="left"/>
      <w:pPr>
        <w:ind w:left="6180" w:hanging="360"/>
      </w:pPr>
    </w:lvl>
    <w:lvl w:ilvl="8" w:tplc="2C0A001B" w:tentative="1">
      <w:start w:val="1"/>
      <w:numFmt w:val="lowerRoman"/>
      <w:lvlText w:val="%9."/>
      <w:lvlJc w:val="right"/>
      <w:pPr>
        <w:ind w:left="6900" w:hanging="180"/>
      </w:pPr>
    </w:lvl>
  </w:abstractNum>
  <w:abstractNum w:abstractNumId="70" w15:restartNumberingAfterBreak="0">
    <w:nsid w:val="2E2047DC"/>
    <w:multiLevelType w:val="multilevel"/>
    <w:tmpl w:val="653E7E2E"/>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E4D0666"/>
    <w:multiLevelType w:val="singleLevel"/>
    <w:tmpl w:val="CCAA2114"/>
    <w:lvl w:ilvl="0">
      <w:start w:val="1"/>
      <w:numFmt w:val="bullet"/>
      <w:pStyle w:val="Bullet1"/>
      <w:lvlText w:val=""/>
      <w:lvlJc w:val="left"/>
      <w:pPr>
        <w:tabs>
          <w:tab w:val="num" w:pos="360"/>
        </w:tabs>
        <w:ind w:left="360" w:hanging="360"/>
      </w:pPr>
      <w:rPr>
        <w:rFonts w:ascii="Symbol" w:hAnsi="Symbol" w:hint="default"/>
      </w:rPr>
    </w:lvl>
  </w:abstractNum>
  <w:abstractNum w:abstractNumId="72" w15:restartNumberingAfterBreak="0">
    <w:nsid w:val="301A247C"/>
    <w:multiLevelType w:val="hybridMultilevel"/>
    <w:tmpl w:val="5FE0A45C"/>
    <w:lvl w:ilvl="0" w:tplc="1DCA1204">
      <w:start w:val="30"/>
      <w:numFmt w:val="bullet"/>
      <w:lvlText w:val="-"/>
      <w:lvlJc w:val="left"/>
      <w:pPr>
        <w:ind w:left="720" w:hanging="360"/>
      </w:pPr>
      <w:rPr>
        <w:rFonts w:ascii="Garamond" w:eastAsia="MS Mincho" w:hAnsi="Garamond"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3" w15:restartNumberingAfterBreak="0">
    <w:nsid w:val="3094670C"/>
    <w:multiLevelType w:val="multilevel"/>
    <w:tmpl w:val="EFF2C24A"/>
    <w:name w:val="TableFootnotesListTemplate"/>
    <w:styleLink w:val="TableFootnotesList"/>
    <w:lvl w:ilvl="0">
      <w:start w:val="1"/>
      <w:numFmt w:val="none"/>
      <w:suff w:val="nothing"/>
      <w:lvlText w:val=""/>
      <w:lvlJc w:val="left"/>
      <w:pPr>
        <w:ind w:left="0" w:firstLine="0"/>
      </w:pPr>
      <w:rPr>
        <w:rFonts w:hint="default"/>
        <w:u w:val="none"/>
      </w:rPr>
    </w:lvl>
    <w:lvl w:ilvl="1">
      <w:start w:val="1"/>
      <w:numFmt w:val="decimal"/>
      <w:lvlText w:val="(%2)"/>
      <w:lvlJc w:val="left"/>
      <w:pPr>
        <w:ind w:left="360" w:hanging="360"/>
      </w:pPr>
      <w:rPr>
        <w:rFonts w:hint="default"/>
      </w:rPr>
    </w:lvl>
    <w:lvl w:ilvl="2">
      <w:start w:val="1"/>
      <w:numFmt w:val="none"/>
      <w:lvlText w:val=""/>
      <w:lvlJc w:val="left"/>
      <w:pPr>
        <w:ind w:left="360" w:hanging="360"/>
      </w:pPr>
      <w:rPr>
        <w:rFonts w:hint="default"/>
      </w:rPr>
    </w:lvl>
    <w:lvl w:ilvl="3">
      <w:start w:val="1"/>
      <w:numFmt w:val="none"/>
      <w:lvlText w:val=""/>
      <w:lvlJc w:val="left"/>
      <w:pPr>
        <w:ind w:left="360" w:hanging="360"/>
      </w:pPr>
      <w:rPr>
        <w:rFonts w:hint="default"/>
      </w:rPr>
    </w:lvl>
    <w:lvl w:ilvl="4">
      <w:start w:val="1"/>
      <w:numFmt w:val="none"/>
      <w:lvlText w:val=""/>
      <w:lvlJc w:val="left"/>
      <w:pPr>
        <w:ind w:left="360" w:hanging="360"/>
      </w:pPr>
      <w:rPr>
        <w:rFonts w:hint="default"/>
      </w:rPr>
    </w:lvl>
    <w:lvl w:ilvl="5">
      <w:start w:val="1"/>
      <w:numFmt w:val="none"/>
      <w:lvlText w:val=""/>
      <w:lvlJc w:val="left"/>
      <w:pPr>
        <w:ind w:left="360" w:hanging="360"/>
      </w:pPr>
      <w:rPr>
        <w:rFonts w:hint="default"/>
      </w:rPr>
    </w:lvl>
    <w:lvl w:ilvl="6">
      <w:start w:val="1"/>
      <w:numFmt w:val="none"/>
      <w:lvlText w:val=""/>
      <w:lvlJc w:val="left"/>
      <w:pPr>
        <w:ind w:left="360" w:hanging="360"/>
      </w:pPr>
      <w:rPr>
        <w:rFonts w:hint="default"/>
      </w:rPr>
    </w:lvl>
    <w:lvl w:ilvl="7">
      <w:start w:val="1"/>
      <w:numFmt w:val="none"/>
      <w:lvlText w:val=""/>
      <w:lvlJc w:val="left"/>
      <w:pPr>
        <w:ind w:left="360" w:hanging="360"/>
      </w:pPr>
      <w:rPr>
        <w:rFonts w:hint="default"/>
      </w:rPr>
    </w:lvl>
    <w:lvl w:ilvl="8">
      <w:start w:val="1"/>
      <w:numFmt w:val="none"/>
      <w:lvlText w:val=""/>
      <w:lvlJc w:val="left"/>
      <w:pPr>
        <w:ind w:left="360" w:hanging="360"/>
      </w:pPr>
      <w:rPr>
        <w:rFonts w:hint="default"/>
      </w:rPr>
    </w:lvl>
  </w:abstractNum>
  <w:abstractNum w:abstractNumId="74" w15:restartNumberingAfterBreak="0">
    <w:nsid w:val="30D057D8"/>
    <w:multiLevelType w:val="multilevel"/>
    <w:tmpl w:val="386CDC14"/>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19"/>
        <w:szCs w:val="19"/>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2145B82"/>
    <w:multiLevelType w:val="hybridMultilevel"/>
    <w:tmpl w:val="AA8400E0"/>
    <w:lvl w:ilvl="0" w:tplc="75BE5662">
      <w:start w:val="1"/>
      <w:numFmt w:val="decimal"/>
      <w:pStyle w:val="STBListNumber4"/>
      <w:lvlText w:val="%1."/>
      <w:lvlJc w:val="left"/>
      <w:pPr>
        <w:ind w:left="1080" w:hanging="360"/>
      </w:pPr>
    </w:lvl>
    <w:lvl w:ilvl="1" w:tplc="82DCD348" w:tentative="1">
      <w:start w:val="1"/>
      <w:numFmt w:val="lowerLetter"/>
      <w:lvlText w:val="%2."/>
      <w:lvlJc w:val="left"/>
      <w:pPr>
        <w:ind w:left="1800" w:hanging="360"/>
      </w:pPr>
    </w:lvl>
    <w:lvl w:ilvl="2" w:tplc="E6B2004E" w:tentative="1">
      <w:start w:val="1"/>
      <w:numFmt w:val="lowerRoman"/>
      <w:lvlText w:val="%3."/>
      <w:lvlJc w:val="right"/>
      <w:pPr>
        <w:ind w:left="2520" w:hanging="180"/>
      </w:pPr>
    </w:lvl>
    <w:lvl w:ilvl="3" w:tplc="FD983376" w:tentative="1">
      <w:start w:val="1"/>
      <w:numFmt w:val="decimal"/>
      <w:lvlText w:val="%4."/>
      <w:lvlJc w:val="left"/>
      <w:pPr>
        <w:ind w:left="3240" w:hanging="360"/>
      </w:pPr>
    </w:lvl>
    <w:lvl w:ilvl="4" w:tplc="946C9536" w:tentative="1">
      <w:start w:val="1"/>
      <w:numFmt w:val="lowerLetter"/>
      <w:lvlText w:val="%5."/>
      <w:lvlJc w:val="left"/>
      <w:pPr>
        <w:ind w:left="3960" w:hanging="360"/>
      </w:pPr>
    </w:lvl>
    <w:lvl w:ilvl="5" w:tplc="CD42D1D0" w:tentative="1">
      <w:start w:val="1"/>
      <w:numFmt w:val="lowerRoman"/>
      <w:lvlText w:val="%6."/>
      <w:lvlJc w:val="right"/>
      <w:pPr>
        <w:ind w:left="4680" w:hanging="180"/>
      </w:pPr>
    </w:lvl>
    <w:lvl w:ilvl="6" w:tplc="962EDCD4" w:tentative="1">
      <w:start w:val="1"/>
      <w:numFmt w:val="decimal"/>
      <w:lvlText w:val="%7."/>
      <w:lvlJc w:val="left"/>
      <w:pPr>
        <w:ind w:left="5400" w:hanging="360"/>
      </w:pPr>
    </w:lvl>
    <w:lvl w:ilvl="7" w:tplc="3954B16C" w:tentative="1">
      <w:start w:val="1"/>
      <w:numFmt w:val="lowerLetter"/>
      <w:lvlText w:val="%8."/>
      <w:lvlJc w:val="left"/>
      <w:pPr>
        <w:ind w:left="6120" w:hanging="360"/>
      </w:pPr>
    </w:lvl>
    <w:lvl w:ilvl="8" w:tplc="1CE4CE2C" w:tentative="1">
      <w:start w:val="1"/>
      <w:numFmt w:val="lowerRoman"/>
      <w:lvlText w:val="%9."/>
      <w:lvlJc w:val="right"/>
      <w:pPr>
        <w:ind w:left="6840" w:hanging="180"/>
      </w:pPr>
    </w:lvl>
  </w:abstractNum>
  <w:abstractNum w:abstractNumId="76" w15:restartNumberingAfterBreak="0">
    <w:nsid w:val="34850CAC"/>
    <w:multiLevelType w:val="hybridMultilevel"/>
    <w:tmpl w:val="93F45E06"/>
    <w:lvl w:ilvl="0" w:tplc="874027C6">
      <w:start w:val="1"/>
      <w:numFmt w:val="bullet"/>
      <w:lvlText w:val=""/>
      <w:lvlJc w:val="left"/>
      <w:pPr>
        <w:ind w:left="1080" w:hanging="360"/>
      </w:pPr>
      <w:rPr>
        <w:rFonts w:ascii="Symbol" w:hAnsi="Symbol" w:hint="default"/>
        <w:lang w:val="es-AR"/>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7" w15:restartNumberingAfterBreak="0">
    <w:nsid w:val="34FF497D"/>
    <w:multiLevelType w:val="hybridMultilevel"/>
    <w:tmpl w:val="C07E2A02"/>
    <w:lvl w:ilvl="0" w:tplc="06F2B096">
      <w:start w:val="1"/>
      <w:numFmt w:val="bullet"/>
      <w:lvlRestart w:val="0"/>
      <w:lvlText w:val=""/>
      <w:lvlJc w:val="left"/>
      <w:pPr>
        <w:ind w:left="1080" w:hanging="360"/>
      </w:pPr>
      <w:rPr>
        <w:rFonts w:ascii="Symbol" w:hAnsi="Symbol" w:hint="default"/>
        <w:lang w:val="es-E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35CC01A0"/>
    <w:multiLevelType w:val="multilevel"/>
    <w:tmpl w:val="9558CC86"/>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18"/>
        <w:szCs w:val="18"/>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9011659"/>
    <w:multiLevelType w:val="hybridMultilevel"/>
    <w:tmpl w:val="1F1E33B8"/>
    <w:lvl w:ilvl="0" w:tplc="02BAD58C">
      <w:start w:val="1"/>
      <w:numFmt w:val="lowerLetter"/>
      <w:lvlText w:val="(%1)"/>
      <w:lvlJc w:val="left"/>
      <w:pPr>
        <w:ind w:left="1120" w:hanging="360"/>
      </w:pPr>
      <w:rPr>
        <w:rFonts w:hint="default"/>
      </w:rPr>
    </w:lvl>
    <w:lvl w:ilvl="1" w:tplc="2C0A0019" w:tentative="1">
      <w:start w:val="1"/>
      <w:numFmt w:val="lowerLetter"/>
      <w:lvlText w:val="%2."/>
      <w:lvlJc w:val="left"/>
      <w:pPr>
        <w:ind w:left="1840" w:hanging="360"/>
      </w:pPr>
    </w:lvl>
    <w:lvl w:ilvl="2" w:tplc="2C0A001B" w:tentative="1">
      <w:start w:val="1"/>
      <w:numFmt w:val="lowerRoman"/>
      <w:lvlText w:val="%3."/>
      <w:lvlJc w:val="right"/>
      <w:pPr>
        <w:ind w:left="2560" w:hanging="180"/>
      </w:pPr>
    </w:lvl>
    <w:lvl w:ilvl="3" w:tplc="2C0A000F" w:tentative="1">
      <w:start w:val="1"/>
      <w:numFmt w:val="decimal"/>
      <w:lvlText w:val="%4."/>
      <w:lvlJc w:val="left"/>
      <w:pPr>
        <w:ind w:left="3280" w:hanging="360"/>
      </w:pPr>
    </w:lvl>
    <w:lvl w:ilvl="4" w:tplc="2C0A0019" w:tentative="1">
      <w:start w:val="1"/>
      <w:numFmt w:val="lowerLetter"/>
      <w:lvlText w:val="%5."/>
      <w:lvlJc w:val="left"/>
      <w:pPr>
        <w:ind w:left="4000" w:hanging="360"/>
      </w:pPr>
    </w:lvl>
    <w:lvl w:ilvl="5" w:tplc="2C0A001B" w:tentative="1">
      <w:start w:val="1"/>
      <w:numFmt w:val="lowerRoman"/>
      <w:lvlText w:val="%6."/>
      <w:lvlJc w:val="right"/>
      <w:pPr>
        <w:ind w:left="4720" w:hanging="180"/>
      </w:pPr>
    </w:lvl>
    <w:lvl w:ilvl="6" w:tplc="2C0A000F" w:tentative="1">
      <w:start w:val="1"/>
      <w:numFmt w:val="decimal"/>
      <w:lvlText w:val="%7."/>
      <w:lvlJc w:val="left"/>
      <w:pPr>
        <w:ind w:left="5440" w:hanging="360"/>
      </w:pPr>
    </w:lvl>
    <w:lvl w:ilvl="7" w:tplc="2C0A0019" w:tentative="1">
      <w:start w:val="1"/>
      <w:numFmt w:val="lowerLetter"/>
      <w:lvlText w:val="%8."/>
      <w:lvlJc w:val="left"/>
      <w:pPr>
        <w:ind w:left="6160" w:hanging="360"/>
      </w:pPr>
    </w:lvl>
    <w:lvl w:ilvl="8" w:tplc="2C0A001B" w:tentative="1">
      <w:start w:val="1"/>
      <w:numFmt w:val="lowerRoman"/>
      <w:lvlText w:val="%9."/>
      <w:lvlJc w:val="right"/>
      <w:pPr>
        <w:ind w:left="6880" w:hanging="180"/>
      </w:pPr>
    </w:lvl>
  </w:abstractNum>
  <w:abstractNum w:abstractNumId="80" w15:restartNumberingAfterBreak="0">
    <w:nsid w:val="39454E45"/>
    <w:multiLevelType w:val="hybridMultilevel"/>
    <w:tmpl w:val="E01C4800"/>
    <w:lvl w:ilvl="0" w:tplc="04090003">
      <w:start w:val="1"/>
      <w:numFmt w:val="bullet"/>
      <w:lvlText w:val="o"/>
      <w:lvlJc w:val="left"/>
      <w:pPr>
        <w:ind w:left="1080" w:hanging="360"/>
      </w:pPr>
      <w:rPr>
        <w:rFonts w:ascii="Courier New" w:hAnsi="Courier New" w:cs="Courier New" w:hint="default"/>
        <w:lang w:val="es-E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39750AE1"/>
    <w:multiLevelType w:val="multilevel"/>
    <w:tmpl w:val="013A4966"/>
    <w:styleLink w:val="Estilo72"/>
    <w:lvl w:ilvl="0">
      <w:start w:val="11"/>
      <w:numFmt w:val="decimal"/>
      <w:lvlText w:val="%1"/>
      <w:lvlJc w:val="left"/>
      <w:pPr>
        <w:ind w:left="375" w:hanging="375"/>
      </w:pPr>
      <w:rPr>
        <w:rFonts w:cs="Times New Roman" w:hint="default"/>
      </w:rPr>
    </w:lvl>
    <w:lvl w:ilvl="1">
      <w:start w:val="1"/>
      <w:numFmt w:val="decimal"/>
      <w:lvlText w:val="%1.%2"/>
      <w:lvlJc w:val="left"/>
      <w:pPr>
        <w:ind w:left="1368" w:hanging="375"/>
      </w:pPr>
      <w:rPr>
        <w:rFonts w:cs="Times New Roman" w:hint="default"/>
        <w:b/>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82" w15:restartNumberingAfterBreak="0">
    <w:nsid w:val="3A3A140E"/>
    <w:multiLevelType w:val="multilevel"/>
    <w:tmpl w:val="0818048E"/>
    <w:lvl w:ilvl="0">
      <w:start w:val="1"/>
      <w:numFmt w:val="lowerRoman"/>
      <w:lvlText w:val="(%1)"/>
      <w:lvlJc w:val="left"/>
      <w:rPr>
        <w:rFonts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B5E43EA"/>
    <w:multiLevelType w:val="multilevel"/>
    <w:tmpl w:val="C360B154"/>
    <w:lvl w:ilvl="0">
      <w:start w:val="1"/>
      <w:numFmt w:val="decimal"/>
      <w:pStyle w:val="BodyTextNumbered"/>
      <w:lvlText w:val="%1."/>
      <w:lvlJc w:val="left"/>
      <w:pPr>
        <w:ind w:left="1800" w:hanging="36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84" w15:restartNumberingAfterBreak="0">
    <w:nsid w:val="3BEA5316"/>
    <w:multiLevelType w:val="hybridMultilevel"/>
    <w:tmpl w:val="90BAA16E"/>
    <w:lvl w:ilvl="0" w:tplc="683E8F46">
      <w:start w:val="1"/>
      <w:numFmt w:val="bullet"/>
      <w:pStyle w:val="S2Heading1"/>
      <w:lvlText w:val=""/>
      <w:lvlJc w:val="left"/>
      <w:pPr>
        <w:ind w:left="720" w:hanging="360"/>
      </w:pPr>
      <w:rPr>
        <w:rFonts w:ascii="Symbol" w:hAnsi="Symbol" w:hint="default"/>
      </w:rPr>
    </w:lvl>
    <w:lvl w:ilvl="1" w:tplc="1CB0FDCE">
      <w:start w:val="1"/>
      <w:numFmt w:val="bullet"/>
      <w:pStyle w:val="S2Heading2"/>
      <w:lvlText w:val="o"/>
      <w:lvlJc w:val="left"/>
      <w:pPr>
        <w:ind w:left="1440" w:hanging="360"/>
      </w:pPr>
      <w:rPr>
        <w:rFonts w:ascii="Courier New" w:hAnsi="Courier New" w:cs="Courier New" w:hint="default"/>
      </w:rPr>
    </w:lvl>
    <w:lvl w:ilvl="2" w:tplc="92C6444A">
      <w:start w:val="1"/>
      <w:numFmt w:val="bullet"/>
      <w:lvlText w:val=""/>
      <w:lvlJc w:val="left"/>
      <w:pPr>
        <w:ind w:left="2160" w:hanging="360"/>
      </w:pPr>
      <w:rPr>
        <w:rFonts w:ascii="Wingdings" w:hAnsi="Wingdings" w:hint="default"/>
      </w:rPr>
    </w:lvl>
    <w:lvl w:ilvl="3" w:tplc="52BC6276">
      <w:start w:val="1"/>
      <w:numFmt w:val="bullet"/>
      <w:lvlText w:val=""/>
      <w:lvlJc w:val="left"/>
      <w:pPr>
        <w:ind w:left="2880" w:hanging="360"/>
      </w:pPr>
      <w:rPr>
        <w:rFonts w:ascii="Symbol" w:hAnsi="Symbol" w:hint="default"/>
      </w:rPr>
    </w:lvl>
    <w:lvl w:ilvl="4" w:tplc="B52E15CA">
      <w:start w:val="1"/>
      <w:numFmt w:val="bullet"/>
      <w:lvlText w:val="o"/>
      <w:lvlJc w:val="left"/>
      <w:pPr>
        <w:ind w:left="3600" w:hanging="360"/>
      </w:pPr>
      <w:rPr>
        <w:rFonts w:ascii="Courier New" w:hAnsi="Courier New" w:cs="Courier New" w:hint="default"/>
      </w:rPr>
    </w:lvl>
    <w:lvl w:ilvl="5" w:tplc="4300E42E">
      <w:start w:val="1"/>
      <w:numFmt w:val="bullet"/>
      <w:lvlText w:val=""/>
      <w:lvlJc w:val="left"/>
      <w:pPr>
        <w:ind w:left="4320" w:hanging="360"/>
      </w:pPr>
      <w:rPr>
        <w:rFonts w:ascii="Wingdings" w:hAnsi="Wingdings" w:hint="default"/>
      </w:rPr>
    </w:lvl>
    <w:lvl w:ilvl="6" w:tplc="44E439F4">
      <w:start w:val="1"/>
      <w:numFmt w:val="bullet"/>
      <w:lvlText w:val=""/>
      <w:lvlJc w:val="left"/>
      <w:pPr>
        <w:ind w:left="5040" w:hanging="360"/>
      </w:pPr>
      <w:rPr>
        <w:rFonts w:ascii="Symbol" w:hAnsi="Symbol" w:hint="default"/>
      </w:rPr>
    </w:lvl>
    <w:lvl w:ilvl="7" w:tplc="D3145B6E">
      <w:start w:val="1"/>
      <w:numFmt w:val="bullet"/>
      <w:lvlText w:val="o"/>
      <w:lvlJc w:val="left"/>
      <w:pPr>
        <w:ind w:left="5760" w:hanging="360"/>
      </w:pPr>
      <w:rPr>
        <w:rFonts w:ascii="Courier New" w:hAnsi="Courier New" w:cs="Courier New" w:hint="default"/>
      </w:rPr>
    </w:lvl>
    <w:lvl w:ilvl="8" w:tplc="0C14BE6E">
      <w:start w:val="1"/>
      <w:numFmt w:val="bullet"/>
      <w:lvlText w:val=""/>
      <w:lvlJc w:val="left"/>
      <w:pPr>
        <w:ind w:left="6480" w:hanging="360"/>
      </w:pPr>
      <w:rPr>
        <w:rFonts w:ascii="Wingdings" w:hAnsi="Wingdings" w:hint="default"/>
      </w:rPr>
    </w:lvl>
  </w:abstractNum>
  <w:abstractNum w:abstractNumId="85" w15:restartNumberingAfterBreak="0">
    <w:nsid w:val="3C3F7537"/>
    <w:multiLevelType w:val="multilevel"/>
    <w:tmpl w:val="FA1455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CB95330"/>
    <w:multiLevelType w:val="multilevel"/>
    <w:tmpl w:val="EE3AEF62"/>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E143ABC"/>
    <w:multiLevelType w:val="hybridMultilevel"/>
    <w:tmpl w:val="E3AE33F8"/>
    <w:name w:val="List Bullet 322"/>
    <w:lvl w:ilvl="0" w:tplc="8BBC13A2">
      <w:start w:val="1"/>
      <w:numFmt w:val="bullet"/>
      <w:lvlText w:val=""/>
      <w:lvlJc w:val="left"/>
      <w:pPr>
        <w:ind w:left="720" w:hanging="360"/>
      </w:pPr>
      <w:rPr>
        <w:rFonts w:ascii="Symbol" w:hAnsi="Symbol" w:hint="default"/>
        <w:lang w:val="es-ES"/>
      </w:rPr>
    </w:lvl>
    <w:lvl w:ilvl="1" w:tplc="AAB2E79E" w:tentative="1">
      <w:start w:val="1"/>
      <w:numFmt w:val="bullet"/>
      <w:lvlText w:val="o"/>
      <w:lvlJc w:val="left"/>
      <w:pPr>
        <w:ind w:left="1440" w:hanging="360"/>
      </w:pPr>
      <w:rPr>
        <w:rFonts w:ascii="Courier New" w:hAnsi="Courier New" w:cs="Courier New" w:hint="default"/>
      </w:rPr>
    </w:lvl>
    <w:lvl w:ilvl="2" w:tplc="5C244734" w:tentative="1">
      <w:start w:val="1"/>
      <w:numFmt w:val="bullet"/>
      <w:lvlText w:val=""/>
      <w:lvlJc w:val="left"/>
      <w:pPr>
        <w:ind w:left="2160" w:hanging="360"/>
      </w:pPr>
      <w:rPr>
        <w:rFonts w:ascii="Wingdings" w:hAnsi="Wingdings" w:hint="default"/>
      </w:rPr>
    </w:lvl>
    <w:lvl w:ilvl="3" w:tplc="2C145190" w:tentative="1">
      <w:start w:val="1"/>
      <w:numFmt w:val="bullet"/>
      <w:lvlText w:val=""/>
      <w:lvlJc w:val="left"/>
      <w:pPr>
        <w:ind w:left="2880" w:hanging="360"/>
      </w:pPr>
      <w:rPr>
        <w:rFonts w:ascii="Symbol" w:hAnsi="Symbol" w:hint="default"/>
      </w:rPr>
    </w:lvl>
    <w:lvl w:ilvl="4" w:tplc="83E8F64A" w:tentative="1">
      <w:start w:val="1"/>
      <w:numFmt w:val="bullet"/>
      <w:lvlText w:val="o"/>
      <w:lvlJc w:val="left"/>
      <w:pPr>
        <w:ind w:left="3600" w:hanging="360"/>
      </w:pPr>
      <w:rPr>
        <w:rFonts w:ascii="Courier New" w:hAnsi="Courier New" w:cs="Courier New" w:hint="default"/>
      </w:rPr>
    </w:lvl>
    <w:lvl w:ilvl="5" w:tplc="F7844D8C" w:tentative="1">
      <w:start w:val="1"/>
      <w:numFmt w:val="bullet"/>
      <w:lvlText w:val=""/>
      <w:lvlJc w:val="left"/>
      <w:pPr>
        <w:ind w:left="4320" w:hanging="360"/>
      </w:pPr>
      <w:rPr>
        <w:rFonts w:ascii="Wingdings" w:hAnsi="Wingdings" w:hint="default"/>
      </w:rPr>
    </w:lvl>
    <w:lvl w:ilvl="6" w:tplc="7A581CB6" w:tentative="1">
      <w:start w:val="1"/>
      <w:numFmt w:val="bullet"/>
      <w:lvlText w:val=""/>
      <w:lvlJc w:val="left"/>
      <w:pPr>
        <w:ind w:left="5040" w:hanging="360"/>
      </w:pPr>
      <w:rPr>
        <w:rFonts w:ascii="Symbol" w:hAnsi="Symbol" w:hint="default"/>
      </w:rPr>
    </w:lvl>
    <w:lvl w:ilvl="7" w:tplc="D4F2C7A8" w:tentative="1">
      <w:start w:val="1"/>
      <w:numFmt w:val="bullet"/>
      <w:lvlText w:val="o"/>
      <w:lvlJc w:val="left"/>
      <w:pPr>
        <w:ind w:left="5760" w:hanging="360"/>
      </w:pPr>
      <w:rPr>
        <w:rFonts w:ascii="Courier New" w:hAnsi="Courier New" w:cs="Courier New" w:hint="default"/>
      </w:rPr>
    </w:lvl>
    <w:lvl w:ilvl="8" w:tplc="183C0838" w:tentative="1">
      <w:start w:val="1"/>
      <w:numFmt w:val="bullet"/>
      <w:lvlText w:val=""/>
      <w:lvlJc w:val="left"/>
      <w:pPr>
        <w:ind w:left="6480" w:hanging="360"/>
      </w:pPr>
      <w:rPr>
        <w:rFonts w:ascii="Wingdings" w:hAnsi="Wingdings" w:hint="default"/>
      </w:rPr>
    </w:lvl>
  </w:abstractNum>
  <w:abstractNum w:abstractNumId="88" w15:restartNumberingAfterBreak="0">
    <w:nsid w:val="3EAF0741"/>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9" w15:restartNumberingAfterBreak="0">
    <w:nsid w:val="3EF206D6"/>
    <w:multiLevelType w:val="hybridMultilevel"/>
    <w:tmpl w:val="D116D9A0"/>
    <w:lvl w:ilvl="0" w:tplc="37007E44">
      <w:start w:val="1"/>
      <w:numFmt w:val="bullet"/>
      <w:pStyle w:val="ListBullet3SglJ"/>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40523A85"/>
    <w:multiLevelType w:val="multilevel"/>
    <w:tmpl w:val="7082BCD0"/>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05E0C9E"/>
    <w:multiLevelType w:val="hybridMultilevel"/>
    <w:tmpl w:val="791A5E96"/>
    <w:styleLink w:val="Estilo421"/>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92" w15:restartNumberingAfterBreak="0">
    <w:nsid w:val="40E37E1C"/>
    <w:multiLevelType w:val="multilevel"/>
    <w:tmpl w:val="F8D4A5B4"/>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178556A"/>
    <w:multiLevelType w:val="hybridMultilevel"/>
    <w:tmpl w:val="33DCCEE2"/>
    <w:lvl w:ilvl="0" w:tplc="1DCA1204">
      <w:start w:val="30"/>
      <w:numFmt w:val="bullet"/>
      <w:lvlText w:val="-"/>
      <w:lvlJc w:val="left"/>
      <w:pPr>
        <w:ind w:left="1080" w:hanging="360"/>
      </w:pPr>
      <w:rPr>
        <w:rFonts w:ascii="Garamond" w:eastAsia="MS Mincho"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42377655"/>
    <w:multiLevelType w:val="multilevel"/>
    <w:tmpl w:val="569E5092"/>
    <w:styleLink w:val="Estilo22"/>
    <w:lvl w:ilvl="0">
      <w:start w:val="6"/>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95" w15:restartNumberingAfterBreak="0">
    <w:nsid w:val="450768C6"/>
    <w:multiLevelType w:val="multilevel"/>
    <w:tmpl w:val="D3F88338"/>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_tradnl"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5F469B8"/>
    <w:multiLevelType w:val="multilevel"/>
    <w:tmpl w:val="A2F2B3CC"/>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19"/>
        <w:szCs w:val="19"/>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69E6A86"/>
    <w:multiLevelType w:val="hybridMultilevel"/>
    <w:tmpl w:val="D5967F10"/>
    <w:styleLink w:val="Estilo621"/>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98" w15:restartNumberingAfterBreak="0">
    <w:nsid w:val="47530D9E"/>
    <w:multiLevelType w:val="hybridMultilevel"/>
    <w:tmpl w:val="FD729B7E"/>
    <w:styleLink w:val="TableFootnotesList1"/>
    <w:lvl w:ilvl="0" w:tplc="23FA8440">
      <w:start w:val="1"/>
      <w:numFmt w:val="bullet"/>
      <w:lvlText w:val="-"/>
      <w:lvlJc w:val="left"/>
      <w:pPr>
        <w:ind w:left="1080" w:hanging="360"/>
      </w:pPr>
      <w:rPr>
        <w:rFonts w:ascii="Calibri" w:eastAsiaTheme="minorHAnsi" w:hAnsi="Calibri" w:cstheme="minorBid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9" w15:restartNumberingAfterBreak="0">
    <w:nsid w:val="475C5DC9"/>
    <w:multiLevelType w:val="multilevel"/>
    <w:tmpl w:val="B57AAEDC"/>
    <w:lvl w:ilvl="0">
      <w:start w:val="1"/>
      <w:numFmt w:val="decimal"/>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7A266FF"/>
    <w:multiLevelType w:val="hybridMultilevel"/>
    <w:tmpl w:val="2D06C004"/>
    <w:lvl w:ilvl="0" w:tplc="0BC24D26">
      <w:start w:val="1"/>
      <w:numFmt w:val="lowerRoman"/>
      <w:lvlText w:val="(%1)"/>
      <w:lvlJc w:val="left"/>
      <w:pPr>
        <w:ind w:left="862" w:hanging="720"/>
      </w:pPr>
      <w:rPr>
        <w:rFonts w:ascii="Garamond" w:hAnsi="Garamond" w:hint="default"/>
        <w:sz w:val="18"/>
        <w:szCs w:val="18"/>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01" w15:restartNumberingAfterBreak="0">
    <w:nsid w:val="487C7DF1"/>
    <w:multiLevelType w:val="singleLevel"/>
    <w:tmpl w:val="D52A53EA"/>
    <w:lvl w:ilvl="0">
      <w:start w:val="1"/>
      <w:numFmt w:val="bullet"/>
      <w:pStyle w:val="bullet10"/>
      <w:lvlText w:val=""/>
      <w:lvlJc w:val="left"/>
      <w:pPr>
        <w:tabs>
          <w:tab w:val="num" w:pos="360"/>
        </w:tabs>
        <w:ind w:left="360" w:hanging="360"/>
      </w:pPr>
      <w:rPr>
        <w:rFonts w:ascii="Symbol" w:hAnsi="Symbol" w:hint="default"/>
      </w:rPr>
    </w:lvl>
  </w:abstractNum>
  <w:abstractNum w:abstractNumId="102" w15:restartNumberingAfterBreak="0">
    <w:nsid w:val="48CC72D6"/>
    <w:multiLevelType w:val="multilevel"/>
    <w:tmpl w:val="95AA0B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9517218"/>
    <w:multiLevelType w:val="multilevel"/>
    <w:tmpl w:val="B1A21372"/>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9963177"/>
    <w:multiLevelType w:val="hybridMultilevel"/>
    <w:tmpl w:val="ABB2377A"/>
    <w:lvl w:ilvl="0" w:tplc="91C816FC">
      <w:start w:val="1"/>
      <w:numFmt w:val="bullet"/>
      <w:pStyle w:val="STBBullet3"/>
      <w:lvlText w:val=""/>
      <w:lvlJc w:val="left"/>
      <w:pPr>
        <w:ind w:left="1080" w:hanging="360"/>
      </w:pPr>
      <w:rPr>
        <w:rFonts w:ascii="Symbol" w:hAnsi="Symbol" w:hint="default"/>
      </w:rPr>
    </w:lvl>
    <w:lvl w:ilvl="1" w:tplc="45DEDECE" w:tentative="1">
      <w:start w:val="1"/>
      <w:numFmt w:val="bullet"/>
      <w:lvlText w:val="o"/>
      <w:lvlJc w:val="left"/>
      <w:pPr>
        <w:ind w:left="1800" w:hanging="360"/>
      </w:pPr>
      <w:rPr>
        <w:rFonts w:ascii="Courier New" w:hAnsi="Courier New" w:cs="Courier New" w:hint="default"/>
      </w:rPr>
    </w:lvl>
    <w:lvl w:ilvl="2" w:tplc="3DB0DB10" w:tentative="1">
      <w:start w:val="1"/>
      <w:numFmt w:val="bullet"/>
      <w:lvlText w:val=""/>
      <w:lvlJc w:val="left"/>
      <w:pPr>
        <w:ind w:left="2520" w:hanging="360"/>
      </w:pPr>
      <w:rPr>
        <w:rFonts w:ascii="Wingdings" w:hAnsi="Wingdings" w:hint="default"/>
      </w:rPr>
    </w:lvl>
    <w:lvl w:ilvl="3" w:tplc="7F487552" w:tentative="1">
      <w:start w:val="1"/>
      <w:numFmt w:val="bullet"/>
      <w:lvlText w:val=""/>
      <w:lvlJc w:val="left"/>
      <w:pPr>
        <w:ind w:left="3240" w:hanging="360"/>
      </w:pPr>
      <w:rPr>
        <w:rFonts w:ascii="Symbol" w:hAnsi="Symbol" w:hint="default"/>
      </w:rPr>
    </w:lvl>
    <w:lvl w:ilvl="4" w:tplc="438CE880" w:tentative="1">
      <w:start w:val="1"/>
      <w:numFmt w:val="bullet"/>
      <w:lvlText w:val="o"/>
      <w:lvlJc w:val="left"/>
      <w:pPr>
        <w:ind w:left="3960" w:hanging="360"/>
      </w:pPr>
      <w:rPr>
        <w:rFonts w:ascii="Courier New" w:hAnsi="Courier New" w:cs="Courier New" w:hint="default"/>
      </w:rPr>
    </w:lvl>
    <w:lvl w:ilvl="5" w:tplc="3C5E6552" w:tentative="1">
      <w:start w:val="1"/>
      <w:numFmt w:val="bullet"/>
      <w:lvlText w:val=""/>
      <w:lvlJc w:val="left"/>
      <w:pPr>
        <w:ind w:left="4680" w:hanging="360"/>
      </w:pPr>
      <w:rPr>
        <w:rFonts w:ascii="Wingdings" w:hAnsi="Wingdings" w:hint="default"/>
      </w:rPr>
    </w:lvl>
    <w:lvl w:ilvl="6" w:tplc="565809D4" w:tentative="1">
      <w:start w:val="1"/>
      <w:numFmt w:val="bullet"/>
      <w:lvlText w:val=""/>
      <w:lvlJc w:val="left"/>
      <w:pPr>
        <w:ind w:left="5400" w:hanging="360"/>
      </w:pPr>
      <w:rPr>
        <w:rFonts w:ascii="Symbol" w:hAnsi="Symbol" w:hint="default"/>
      </w:rPr>
    </w:lvl>
    <w:lvl w:ilvl="7" w:tplc="8EEA29EC" w:tentative="1">
      <w:start w:val="1"/>
      <w:numFmt w:val="bullet"/>
      <w:lvlText w:val="o"/>
      <w:lvlJc w:val="left"/>
      <w:pPr>
        <w:ind w:left="6120" w:hanging="360"/>
      </w:pPr>
      <w:rPr>
        <w:rFonts w:ascii="Courier New" w:hAnsi="Courier New" w:cs="Courier New" w:hint="default"/>
      </w:rPr>
    </w:lvl>
    <w:lvl w:ilvl="8" w:tplc="954E531C" w:tentative="1">
      <w:start w:val="1"/>
      <w:numFmt w:val="bullet"/>
      <w:lvlText w:val=""/>
      <w:lvlJc w:val="left"/>
      <w:pPr>
        <w:ind w:left="6840" w:hanging="360"/>
      </w:pPr>
      <w:rPr>
        <w:rFonts w:ascii="Wingdings" w:hAnsi="Wingdings" w:hint="default"/>
      </w:rPr>
    </w:lvl>
  </w:abstractNum>
  <w:abstractNum w:abstractNumId="105" w15:restartNumberingAfterBreak="0">
    <w:nsid w:val="4A880953"/>
    <w:multiLevelType w:val="hybridMultilevel"/>
    <w:tmpl w:val="0AB07098"/>
    <w:lvl w:ilvl="0" w:tplc="89227DBC">
      <w:start w:val="1"/>
      <w:numFmt w:val="bullet"/>
      <w:pStyle w:val="Bullet"/>
      <w:lvlText w:val=""/>
      <w:lvlJc w:val="left"/>
      <w:pPr>
        <w:ind w:left="1440" w:hanging="360"/>
      </w:pPr>
      <w:rPr>
        <w:rFonts w:ascii="Symbol" w:hAnsi="Symbol" w:hint="default"/>
      </w:rPr>
    </w:lvl>
    <w:lvl w:ilvl="1" w:tplc="FA9AA132" w:tentative="1">
      <w:start w:val="1"/>
      <w:numFmt w:val="bullet"/>
      <w:lvlText w:val="o"/>
      <w:lvlJc w:val="left"/>
      <w:pPr>
        <w:ind w:left="1440" w:hanging="360"/>
      </w:pPr>
      <w:rPr>
        <w:rFonts w:ascii="Courier New" w:hAnsi="Courier New" w:cs="Courier New" w:hint="default"/>
      </w:rPr>
    </w:lvl>
    <w:lvl w:ilvl="2" w:tplc="769A8B00" w:tentative="1">
      <w:start w:val="1"/>
      <w:numFmt w:val="bullet"/>
      <w:lvlText w:val=""/>
      <w:lvlJc w:val="left"/>
      <w:pPr>
        <w:ind w:left="2160" w:hanging="360"/>
      </w:pPr>
      <w:rPr>
        <w:rFonts w:ascii="Wingdings" w:hAnsi="Wingdings" w:hint="default"/>
      </w:rPr>
    </w:lvl>
    <w:lvl w:ilvl="3" w:tplc="E924955E" w:tentative="1">
      <w:start w:val="1"/>
      <w:numFmt w:val="bullet"/>
      <w:lvlText w:val=""/>
      <w:lvlJc w:val="left"/>
      <w:pPr>
        <w:ind w:left="2880" w:hanging="360"/>
      </w:pPr>
      <w:rPr>
        <w:rFonts w:ascii="Symbol" w:hAnsi="Symbol" w:hint="default"/>
      </w:rPr>
    </w:lvl>
    <w:lvl w:ilvl="4" w:tplc="C0FE6E04" w:tentative="1">
      <w:start w:val="1"/>
      <w:numFmt w:val="bullet"/>
      <w:lvlText w:val="o"/>
      <w:lvlJc w:val="left"/>
      <w:pPr>
        <w:ind w:left="3600" w:hanging="360"/>
      </w:pPr>
      <w:rPr>
        <w:rFonts w:ascii="Courier New" w:hAnsi="Courier New" w:cs="Courier New" w:hint="default"/>
      </w:rPr>
    </w:lvl>
    <w:lvl w:ilvl="5" w:tplc="2C2AC088" w:tentative="1">
      <w:start w:val="1"/>
      <w:numFmt w:val="bullet"/>
      <w:lvlText w:val=""/>
      <w:lvlJc w:val="left"/>
      <w:pPr>
        <w:ind w:left="4320" w:hanging="360"/>
      </w:pPr>
      <w:rPr>
        <w:rFonts w:ascii="Wingdings" w:hAnsi="Wingdings" w:hint="default"/>
      </w:rPr>
    </w:lvl>
    <w:lvl w:ilvl="6" w:tplc="D47E6DD8" w:tentative="1">
      <w:start w:val="1"/>
      <w:numFmt w:val="bullet"/>
      <w:lvlText w:val=""/>
      <w:lvlJc w:val="left"/>
      <w:pPr>
        <w:ind w:left="5040" w:hanging="360"/>
      </w:pPr>
      <w:rPr>
        <w:rFonts w:ascii="Symbol" w:hAnsi="Symbol" w:hint="default"/>
      </w:rPr>
    </w:lvl>
    <w:lvl w:ilvl="7" w:tplc="6A9EC338" w:tentative="1">
      <w:start w:val="1"/>
      <w:numFmt w:val="bullet"/>
      <w:lvlText w:val="o"/>
      <w:lvlJc w:val="left"/>
      <w:pPr>
        <w:ind w:left="5760" w:hanging="360"/>
      </w:pPr>
      <w:rPr>
        <w:rFonts w:ascii="Courier New" w:hAnsi="Courier New" w:cs="Courier New" w:hint="default"/>
      </w:rPr>
    </w:lvl>
    <w:lvl w:ilvl="8" w:tplc="B0E6EBF2" w:tentative="1">
      <w:start w:val="1"/>
      <w:numFmt w:val="bullet"/>
      <w:lvlText w:val=""/>
      <w:lvlJc w:val="left"/>
      <w:pPr>
        <w:ind w:left="6480" w:hanging="360"/>
      </w:pPr>
      <w:rPr>
        <w:rFonts w:ascii="Wingdings" w:hAnsi="Wingdings" w:hint="default"/>
      </w:rPr>
    </w:lvl>
  </w:abstractNum>
  <w:abstractNum w:abstractNumId="106" w15:restartNumberingAfterBreak="0">
    <w:nsid w:val="4AA571A3"/>
    <w:multiLevelType w:val="multilevel"/>
    <w:tmpl w:val="AE743DE2"/>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AD17F64"/>
    <w:multiLevelType w:val="hybridMultilevel"/>
    <w:tmpl w:val="8E40B6EE"/>
    <w:name w:val="Table alpha"/>
    <w:lvl w:ilvl="0" w:tplc="FFFFFFFF">
      <w:start w:val="1"/>
      <w:numFmt w:val="lowerLetter"/>
      <w:lvlText w:val="(%1)"/>
      <w:lvlJc w:val="left"/>
      <w:pPr>
        <w:tabs>
          <w:tab w:val="num" w:pos="680"/>
        </w:tabs>
        <w:ind w:left="680" w:hanging="680"/>
      </w:pPr>
      <w:rPr>
        <w:rFonts w:ascii="Times New Roman" w:hAnsi="Times New Roman" w:cs="Times New Roman" w:hint="default"/>
        <w:b w:val="0"/>
        <w:i w:val="0"/>
        <w:sz w:val="20"/>
      </w:rPr>
    </w:lvl>
    <w:lvl w:ilvl="1" w:tplc="FFFFFFFF" w:tentative="1">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8" w15:restartNumberingAfterBreak="0">
    <w:nsid w:val="4B8B54AE"/>
    <w:multiLevelType w:val="multilevel"/>
    <w:tmpl w:val="CF0ED0B8"/>
    <w:name w:val="Bullet"/>
    <w:styleLink w:val="Estilo321"/>
    <w:lvl w:ilvl="0">
      <w:start w:val="1"/>
      <w:numFmt w:val="bullet"/>
      <w:pStyle w:val="Bullet11"/>
      <w:lvlText w:val="·"/>
      <w:lvlJc w:val="left"/>
      <w:pPr>
        <w:tabs>
          <w:tab w:val="num" w:pos="720"/>
        </w:tabs>
        <w:ind w:left="720" w:hanging="720"/>
      </w:pPr>
      <w:rPr>
        <w:rFonts w:ascii="Symbol" w:hAnsi="Symbol" w:hint="default"/>
        <w:b w:val="0"/>
        <w:i w:val="0"/>
        <w:caps w:val="0"/>
        <w:u w:val="none"/>
      </w:rPr>
    </w:lvl>
    <w:lvl w:ilvl="1">
      <w:start w:val="1"/>
      <w:numFmt w:val="bullet"/>
      <w:pStyle w:val="Bullet2"/>
      <w:lvlText w:val=""/>
      <w:lvlJc w:val="left"/>
      <w:pPr>
        <w:tabs>
          <w:tab w:val="num" w:pos="1440"/>
        </w:tabs>
        <w:ind w:left="1440" w:hanging="720"/>
      </w:pPr>
      <w:rPr>
        <w:rFonts w:ascii="Symbol" w:hAnsi="Symbol" w:hint="default"/>
        <w:b w:val="0"/>
        <w:i w:val="0"/>
        <w:caps w:val="0"/>
        <w:sz w:val="24"/>
        <w:u w:val="none"/>
      </w:rPr>
    </w:lvl>
    <w:lvl w:ilvl="2">
      <w:start w:val="1"/>
      <w:numFmt w:val="bullet"/>
      <w:lvlRestart w:val="0"/>
      <w:pStyle w:val="Bullet3"/>
      <w:lvlText w:val=""/>
      <w:lvlJc w:val="left"/>
      <w:pPr>
        <w:tabs>
          <w:tab w:val="num" w:pos="2160"/>
        </w:tabs>
        <w:ind w:left="2160" w:hanging="720"/>
      </w:pPr>
      <w:rPr>
        <w:rFonts w:ascii="Symbol" w:hAnsi="Symbol" w:hint="default"/>
        <w:b w:val="0"/>
        <w:i w:val="0"/>
        <w:caps w:val="0"/>
        <w:color w:val="auto"/>
        <w:u w:val="none"/>
      </w:rPr>
    </w:lvl>
    <w:lvl w:ilvl="3">
      <w:start w:val="1"/>
      <w:numFmt w:val="bullet"/>
      <w:pStyle w:val="Bullet4"/>
      <w:lvlText w:val=""/>
      <w:lvlJc w:val="left"/>
      <w:pPr>
        <w:tabs>
          <w:tab w:val="num" w:pos="2880"/>
        </w:tabs>
        <w:ind w:left="2880" w:hanging="720"/>
      </w:pPr>
      <w:rPr>
        <w:rFonts w:ascii="Symbol" w:hAnsi="Symbol" w:hint="default"/>
        <w:b w:val="0"/>
        <w:i w:val="0"/>
        <w:caps w:val="0"/>
        <w:u w:val="none"/>
      </w:rPr>
    </w:lvl>
    <w:lvl w:ilvl="4">
      <w:start w:val="1"/>
      <w:numFmt w:val="bullet"/>
      <w:pStyle w:val="Bullet5"/>
      <w:lvlText w:val="·"/>
      <w:lvlJc w:val="left"/>
      <w:pPr>
        <w:tabs>
          <w:tab w:val="num" w:pos="3600"/>
        </w:tabs>
        <w:ind w:left="3600" w:hanging="720"/>
      </w:pPr>
      <w:rPr>
        <w:rFonts w:ascii="Symbol" w:hAnsi="Symbol" w:hint="default"/>
        <w:b w:val="0"/>
        <w:i w:val="0"/>
        <w:caps w:val="0"/>
        <w:u w:val="none"/>
      </w:rPr>
    </w:lvl>
    <w:lvl w:ilvl="5">
      <w:start w:val="1"/>
      <w:numFmt w:val="bullet"/>
      <w:pStyle w:val="Bullet6"/>
      <w:lvlText w:val=""/>
      <w:lvlJc w:val="left"/>
      <w:pPr>
        <w:tabs>
          <w:tab w:val="num" w:pos="4320"/>
        </w:tabs>
        <w:ind w:left="4320" w:hanging="720"/>
      </w:pPr>
      <w:rPr>
        <w:rFonts w:ascii="Symbol" w:hAnsi="Symbol" w:hint="default"/>
        <w:b w:val="0"/>
        <w:i w:val="0"/>
        <w:caps w:val="0"/>
        <w:u w:val="none"/>
      </w:rPr>
    </w:lvl>
    <w:lvl w:ilvl="6">
      <w:start w:val="1"/>
      <w:numFmt w:val="bullet"/>
      <w:lvlRestart w:val="0"/>
      <w:pStyle w:val="Bullet7"/>
      <w:lvlText w:val="·"/>
      <w:lvlJc w:val="left"/>
      <w:pPr>
        <w:tabs>
          <w:tab w:val="num" w:pos="5040"/>
        </w:tabs>
        <w:ind w:left="5040" w:hanging="720"/>
      </w:pPr>
      <w:rPr>
        <w:rFonts w:ascii="Symbol" w:hAnsi="Symbol" w:hint="default"/>
        <w:b w:val="0"/>
        <w:i w:val="0"/>
        <w:caps w:val="0"/>
        <w:u w:val="none"/>
      </w:rPr>
    </w:lvl>
    <w:lvl w:ilvl="7">
      <w:start w:val="1"/>
      <w:numFmt w:val="bullet"/>
      <w:pStyle w:val="Bullet8"/>
      <w:lvlText w:val=""/>
      <w:lvlJc w:val="left"/>
      <w:pPr>
        <w:tabs>
          <w:tab w:val="num" w:pos="5760"/>
        </w:tabs>
        <w:ind w:left="5760" w:hanging="720"/>
      </w:pPr>
      <w:rPr>
        <w:rFonts w:ascii="Symbol" w:hAnsi="Symbol" w:hint="default"/>
        <w:b w:val="0"/>
        <w:i w:val="0"/>
        <w:caps w:val="0"/>
        <w:u w:val="none"/>
      </w:rPr>
    </w:lvl>
    <w:lvl w:ilvl="8">
      <w:start w:val="1"/>
      <w:numFmt w:val="bullet"/>
      <w:lvlRestart w:val="0"/>
      <w:pStyle w:val="Bullet9"/>
      <w:lvlText w:val="·"/>
      <w:lvlJc w:val="left"/>
      <w:pPr>
        <w:tabs>
          <w:tab w:val="num" w:pos="6480"/>
        </w:tabs>
        <w:ind w:left="6480" w:hanging="720"/>
      </w:pPr>
      <w:rPr>
        <w:rFonts w:ascii="Symbol" w:hAnsi="Symbol" w:hint="default"/>
        <w:b w:val="0"/>
        <w:i w:val="0"/>
        <w:caps w:val="0"/>
        <w:u w:val="none"/>
      </w:rPr>
    </w:lvl>
  </w:abstractNum>
  <w:abstractNum w:abstractNumId="109" w15:restartNumberingAfterBreak="0">
    <w:nsid w:val="4CFB739E"/>
    <w:multiLevelType w:val="hybridMultilevel"/>
    <w:tmpl w:val="A06E3F94"/>
    <w:lvl w:ilvl="0" w:tplc="9B7A40F2">
      <w:start w:val="1"/>
      <w:numFmt w:val="decimal"/>
      <w:pStyle w:val="STBListNumber4DBL"/>
      <w:lvlText w:val="%1."/>
      <w:lvlJc w:val="left"/>
      <w:pPr>
        <w:ind w:left="720" w:hanging="360"/>
      </w:pPr>
    </w:lvl>
    <w:lvl w:ilvl="1" w:tplc="EF58C88E" w:tentative="1">
      <w:start w:val="1"/>
      <w:numFmt w:val="lowerLetter"/>
      <w:lvlText w:val="%2."/>
      <w:lvlJc w:val="left"/>
      <w:pPr>
        <w:ind w:left="1440" w:hanging="360"/>
      </w:pPr>
    </w:lvl>
    <w:lvl w:ilvl="2" w:tplc="7B4EC02C" w:tentative="1">
      <w:start w:val="1"/>
      <w:numFmt w:val="lowerRoman"/>
      <w:lvlText w:val="%3."/>
      <w:lvlJc w:val="right"/>
      <w:pPr>
        <w:ind w:left="2160" w:hanging="180"/>
      </w:pPr>
    </w:lvl>
    <w:lvl w:ilvl="3" w:tplc="FEC20254" w:tentative="1">
      <w:start w:val="1"/>
      <w:numFmt w:val="decimal"/>
      <w:lvlText w:val="%4."/>
      <w:lvlJc w:val="left"/>
      <w:pPr>
        <w:ind w:left="2880" w:hanging="360"/>
      </w:pPr>
    </w:lvl>
    <w:lvl w:ilvl="4" w:tplc="A97C71E2" w:tentative="1">
      <w:start w:val="1"/>
      <w:numFmt w:val="lowerLetter"/>
      <w:lvlText w:val="%5."/>
      <w:lvlJc w:val="left"/>
      <w:pPr>
        <w:ind w:left="3600" w:hanging="360"/>
      </w:pPr>
    </w:lvl>
    <w:lvl w:ilvl="5" w:tplc="48DEBECE" w:tentative="1">
      <w:start w:val="1"/>
      <w:numFmt w:val="lowerRoman"/>
      <w:lvlText w:val="%6."/>
      <w:lvlJc w:val="right"/>
      <w:pPr>
        <w:ind w:left="4320" w:hanging="180"/>
      </w:pPr>
    </w:lvl>
    <w:lvl w:ilvl="6" w:tplc="792E4506" w:tentative="1">
      <w:start w:val="1"/>
      <w:numFmt w:val="decimal"/>
      <w:lvlText w:val="%7."/>
      <w:lvlJc w:val="left"/>
      <w:pPr>
        <w:ind w:left="5040" w:hanging="360"/>
      </w:pPr>
    </w:lvl>
    <w:lvl w:ilvl="7" w:tplc="5C06C634" w:tentative="1">
      <w:start w:val="1"/>
      <w:numFmt w:val="lowerLetter"/>
      <w:lvlText w:val="%8."/>
      <w:lvlJc w:val="left"/>
      <w:pPr>
        <w:ind w:left="5760" w:hanging="360"/>
      </w:pPr>
    </w:lvl>
    <w:lvl w:ilvl="8" w:tplc="4C30525C" w:tentative="1">
      <w:start w:val="1"/>
      <w:numFmt w:val="lowerRoman"/>
      <w:lvlText w:val="%9."/>
      <w:lvlJc w:val="right"/>
      <w:pPr>
        <w:ind w:left="6480" w:hanging="180"/>
      </w:pPr>
    </w:lvl>
  </w:abstractNum>
  <w:abstractNum w:abstractNumId="110" w15:restartNumberingAfterBreak="0">
    <w:nsid w:val="4D1316DF"/>
    <w:multiLevelType w:val="hybridMultilevel"/>
    <w:tmpl w:val="5B92634C"/>
    <w:lvl w:ilvl="0" w:tplc="5D0CF6C8">
      <w:start w:val="1"/>
      <w:numFmt w:val="bullet"/>
      <w:lvlText w:val=""/>
      <w:lvlJc w:val="left"/>
      <w:pPr>
        <w:ind w:left="1080" w:hanging="360"/>
      </w:pPr>
      <w:rPr>
        <w:rFonts w:ascii="Symbol" w:hAnsi="Symbol" w:hint="default"/>
        <w:lang w:val="es-ES"/>
      </w:rPr>
    </w:lvl>
    <w:lvl w:ilvl="1" w:tplc="22A0B80E" w:tentative="1">
      <w:start w:val="1"/>
      <w:numFmt w:val="bullet"/>
      <w:lvlText w:val="o"/>
      <w:lvlJc w:val="left"/>
      <w:pPr>
        <w:ind w:left="1800" w:hanging="360"/>
      </w:pPr>
      <w:rPr>
        <w:rFonts w:ascii="Courier New" w:hAnsi="Courier New" w:cs="Courier New" w:hint="default"/>
      </w:rPr>
    </w:lvl>
    <w:lvl w:ilvl="2" w:tplc="959AB330" w:tentative="1">
      <w:start w:val="1"/>
      <w:numFmt w:val="bullet"/>
      <w:lvlText w:val=""/>
      <w:lvlJc w:val="left"/>
      <w:pPr>
        <w:ind w:left="2520" w:hanging="360"/>
      </w:pPr>
      <w:rPr>
        <w:rFonts w:ascii="Wingdings" w:hAnsi="Wingdings" w:hint="default"/>
      </w:rPr>
    </w:lvl>
    <w:lvl w:ilvl="3" w:tplc="EB0E0BDC" w:tentative="1">
      <w:start w:val="1"/>
      <w:numFmt w:val="bullet"/>
      <w:lvlText w:val=""/>
      <w:lvlJc w:val="left"/>
      <w:pPr>
        <w:ind w:left="3240" w:hanging="360"/>
      </w:pPr>
      <w:rPr>
        <w:rFonts w:ascii="Symbol" w:hAnsi="Symbol" w:hint="default"/>
      </w:rPr>
    </w:lvl>
    <w:lvl w:ilvl="4" w:tplc="50DEE0E4" w:tentative="1">
      <w:start w:val="1"/>
      <w:numFmt w:val="bullet"/>
      <w:lvlText w:val="o"/>
      <w:lvlJc w:val="left"/>
      <w:pPr>
        <w:ind w:left="3960" w:hanging="360"/>
      </w:pPr>
      <w:rPr>
        <w:rFonts w:ascii="Courier New" w:hAnsi="Courier New" w:cs="Courier New" w:hint="default"/>
      </w:rPr>
    </w:lvl>
    <w:lvl w:ilvl="5" w:tplc="2550D66E" w:tentative="1">
      <w:start w:val="1"/>
      <w:numFmt w:val="bullet"/>
      <w:lvlText w:val=""/>
      <w:lvlJc w:val="left"/>
      <w:pPr>
        <w:ind w:left="4680" w:hanging="360"/>
      </w:pPr>
      <w:rPr>
        <w:rFonts w:ascii="Wingdings" w:hAnsi="Wingdings" w:hint="default"/>
      </w:rPr>
    </w:lvl>
    <w:lvl w:ilvl="6" w:tplc="DCE04240" w:tentative="1">
      <w:start w:val="1"/>
      <w:numFmt w:val="bullet"/>
      <w:lvlText w:val=""/>
      <w:lvlJc w:val="left"/>
      <w:pPr>
        <w:ind w:left="5400" w:hanging="360"/>
      </w:pPr>
      <w:rPr>
        <w:rFonts w:ascii="Symbol" w:hAnsi="Symbol" w:hint="default"/>
      </w:rPr>
    </w:lvl>
    <w:lvl w:ilvl="7" w:tplc="1CC2A4B6" w:tentative="1">
      <w:start w:val="1"/>
      <w:numFmt w:val="bullet"/>
      <w:lvlText w:val="o"/>
      <w:lvlJc w:val="left"/>
      <w:pPr>
        <w:ind w:left="6120" w:hanging="360"/>
      </w:pPr>
      <w:rPr>
        <w:rFonts w:ascii="Courier New" w:hAnsi="Courier New" w:cs="Courier New" w:hint="default"/>
      </w:rPr>
    </w:lvl>
    <w:lvl w:ilvl="8" w:tplc="590A43B2" w:tentative="1">
      <w:start w:val="1"/>
      <w:numFmt w:val="bullet"/>
      <w:lvlText w:val=""/>
      <w:lvlJc w:val="left"/>
      <w:pPr>
        <w:ind w:left="6840" w:hanging="360"/>
      </w:pPr>
      <w:rPr>
        <w:rFonts w:ascii="Wingdings" w:hAnsi="Wingdings" w:hint="default"/>
      </w:rPr>
    </w:lvl>
  </w:abstractNum>
  <w:abstractNum w:abstractNumId="111" w15:restartNumberingAfterBreak="0">
    <w:nsid w:val="4D894919"/>
    <w:multiLevelType w:val="hybridMultilevel"/>
    <w:tmpl w:val="A7DAF884"/>
    <w:lvl w:ilvl="0" w:tplc="72BE5F5E">
      <w:start w:val="1"/>
      <w:numFmt w:val="lowerLetter"/>
      <w:lvlText w:val="(%1)"/>
      <w:lvlJc w:val="left"/>
      <w:pPr>
        <w:ind w:left="720" w:hanging="360"/>
      </w:pPr>
      <w:rPr>
        <w:b w:val="0"/>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12" w15:restartNumberingAfterBreak="0">
    <w:nsid w:val="4DD107D8"/>
    <w:multiLevelType w:val="multilevel"/>
    <w:tmpl w:val="F17CB5F6"/>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E2D5E01"/>
    <w:multiLevelType w:val="multilevel"/>
    <w:tmpl w:val="F416AB2A"/>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E37492C"/>
    <w:multiLevelType w:val="multilevel"/>
    <w:tmpl w:val="A8901C4A"/>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E4F6C0E"/>
    <w:multiLevelType w:val="hybridMultilevel"/>
    <w:tmpl w:val="ECA6618E"/>
    <w:lvl w:ilvl="0" w:tplc="FEAA8096">
      <w:start w:val="1"/>
      <w:numFmt w:val="bullet"/>
      <w:pStyle w:val="ListBullet3Sgl"/>
      <w:lvlText w:val=""/>
      <w:lvlJc w:val="left"/>
      <w:pPr>
        <w:ind w:left="720" w:hanging="360"/>
      </w:pPr>
      <w:rPr>
        <w:rFonts w:ascii="Symbol" w:hAnsi="Symbol" w:cs="Symbol" w:hint="default"/>
        <w:color w:val="auto"/>
        <w:spacing w:val="0"/>
        <w:sz w:val="20"/>
        <w:u w:val="none"/>
      </w:rPr>
    </w:lvl>
    <w:lvl w:ilvl="1" w:tplc="6CF099BC" w:tentative="1">
      <w:start w:val="1"/>
      <w:numFmt w:val="bullet"/>
      <w:lvlText w:val="o"/>
      <w:lvlJc w:val="left"/>
      <w:pPr>
        <w:ind w:left="1440" w:hanging="360"/>
      </w:pPr>
      <w:rPr>
        <w:rFonts w:ascii="Courier New" w:hAnsi="Courier New" w:cs="Courier New" w:hint="default"/>
      </w:rPr>
    </w:lvl>
    <w:lvl w:ilvl="2" w:tplc="3F24B5F2" w:tentative="1">
      <w:start w:val="1"/>
      <w:numFmt w:val="bullet"/>
      <w:lvlText w:val=""/>
      <w:lvlJc w:val="left"/>
      <w:pPr>
        <w:ind w:left="2160" w:hanging="360"/>
      </w:pPr>
      <w:rPr>
        <w:rFonts w:ascii="Wingdings" w:hAnsi="Wingdings" w:hint="default"/>
      </w:rPr>
    </w:lvl>
    <w:lvl w:ilvl="3" w:tplc="9E3AC806" w:tentative="1">
      <w:start w:val="1"/>
      <w:numFmt w:val="bullet"/>
      <w:lvlText w:val=""/>
      <w:lvlJc w:val="left"/>
      <w:pPr>
        <w:ind w:left="2880" w:hanging="360"/>
      </w:pPr>
      <w:rPr>
        <w:rFonts w:ascii="Symbol" w:hAnsi="Symbol" w:hint="default"/>
      </w:rPr>
    </w:lvl>
    <w:lvl w:ilvl="4" w:tplc="0BFC39BC" w:tentative="1">
      <w:start w:val="1"/>
      <w:numFmt w:val="bullet"/>
      <w:lvlText w:val="o"/>
      <w:lvlJc w:val="left"/>
      <w:pPr>
        <w:ind w:left="3600" w:hanging="360"/>
      </w:pPr>
      <w:rPr>
        <w:rFonts w:ascii="Courier New" w:hAnsi="Courier New" w:cs="Courier New" w:hint="default"/>
      </w:rPr>
    </w:lvl>
    <w:lvl w:ilvl="5" w:tplc="7480DF04" w:tentative="1">
      <w:start w:val="1"/>
      <w:numFmt w:val="bullet"/>
      <w:lvlText w:val=""/>
      <w:lvlJc w:val="left"/>
      <w:pPr>
        <w:ind w:left="4320" w:hanging="360"/>
      </w:pPr>
      <w:rPr>
        <w:rFonts w:ascii="Wingdings" w:hAnsi="Wingdings" w:hint="default"/>
      </w:rPr>
    </w:lvl>
    <w:lvl w:ilvl="6" w:tplc="1DF21A9E" w:tentative="1">
      <w:start w:val="1"/>
      <w:numFmt w:val="bullet"/>
      <w:lvlText w:val=""/>
      <w:lvlJc w:val="left"/>
      <w:pPr>
        <w:ind w:left="5040" w:hanging="360"/>
      </w:pPr>
      <w:rPr>
        <w:rFonts w:ascii="Symbol" w:hAnsi="Symbol" w:hint="default"/>
      </w:rPr>
    </w:lvl>
    <w:lvl w:ilvl="7" w:tplc="A07AE6DC" w:tentative="1">
      <w:start w:val="1"/>
      <w:numFmt w:val="bullet"/>
      <w:lvlText w:val="o"/>
      <w:lvlJc w:val="left"/>
      <w:pPr>
        <w:ind w:left="5760" w:hanging="360"/>
      </w:pPr>
      <w:rPr>
        <w:rFonts w:ascii="Courier New" w:hAnsi="Courier New" w:cs="Courier New" w:hint="default"/>
      </w:rPr>
    </w:lvl>
    <w:lvl w:ilvl="8" w:tplc="2DA8EC4E" w:tentative="1">
      <w:start w:val="1"/>
      <w:numFmt w:val="bullet"/>
      <w:lvlText w:val=""/>
      <w:lvlJc w:val="left"/>
      <w:pPr>
        <w:ind w:left="6480" w:hanging="360"/>
      </w:pPr>
      <w:rPr>
        <w:rFonts w:ascii="Wingdings" w:hAnsi="Wingdings" w:hint="default"/>
      </w:rPr>
    </w:lvl>
  </w:abstractNum>
  <w:abstractNum w:abstractNumId="116" w15:restartNumberingAfterBreak="0">
    <w:nsid w:val="4E567981"/>
    <w:multiLevelType w:val="hybridMultilevel"/>
    <w:tmpl w:val="B028A126"/>
    <w:lvl w:ilvl="0" w:tplc="BB32F41E">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17" w15:restartNumberingAfterBreak="0">
    <w:nsid w:val="4E6424E7"/>
    <w:multiLevelType w:val="hybridMultilevel"/>
    <w:tmpl w:val="CABC21D0"/>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8" w15:restartNumberingAfterBreak="0">
    <w:nsid w:val="4F025229"/>
    <w:multiLevelType w:val="multilevel"/>
    <w:tmpl w:val="04D83194"/>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F3D27E6"/>
    <w:multiLevelType w:val="multilevel"/>
    <w:tmpl w:val="50369D6C"/>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19"/>
        <w:szCs w:val="19"/>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018685A"/>
    <w:multiLevelType w:val="hybridMultilevel"/>
    <w:tmpl w:val="66868FA0"/>
    <w:lvl w:ilvl="0" w:tplc="8D56816C">
      <w:start w:val="1"/>
      <w:numFmt w:val="lowerRoman"/>
      <w:lvlText w:val="(%1)"/>
      <w:lvlJc w:val="left"/>
      <w:pPr>
        <w:ind w:left="1590" w:hanging="870"/>
      </w:pPr>
      <w:rPr>
        <w:rFonts w:hint="default"/>
        <w:lang w:val="es-A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0405F34"/>
    <w:multiLevelType w:val="multilevel"/>
    <w:tmpl w:val="8D50A90C"/>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07A29F9"/>
    <w:multiLevelType w:val="hybridMultilevel"/>
    <w:tmpl w:val="45BEFA14"/>
    <w:lvl w:ilvl="0" w:tplc="6116DEA4">
      <w:start w:val="1"/>
      <w:numFmt w:val="decimal"/>
      <w:lvlText w:val="(%1)"/>
      <w:lvlJc w:val="left"/>
      <w:pPr>
        <w:ind w:left="720" w:hanging="360"/>
      </w:pPr>
      <w:rPr>
        <w:rFonts w:hint="default"/>
        <w:vertAlign w:val="superscrip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3" w15:restartNumberingAfterBreak="0">
    <w:nsid w:val="50BA370B"/>
    <w:multiLevelType w:val="hybridMultilevel"/>
    <w:tmpl w:val="35B2409E"/>
    <w:styleLink w:val="Estilo221"/>
    <w:lvl w:ilvl="0" w:tplc="2C0A0017">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4" w15:restartNumberingAfterBreak="0">
    <w:nsid w:val="50D9618F"/>
    <w:multiLevelType w:val="multilevel"/>
    <w:tmpl w:val="C6BEED06"/>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2B94D13"/>
    <w:multiLevelType w:val="hybridMultilevel"/>
    <w:tmpl w:val="7264CCF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2C64A06"/>
    <w:multiLevelType w:val="multilevel"/>
    <w:tmpl w:val="00421DF8"/>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419190C"/>
    <w:multiLevelType w:val="hybridMultilevel"/>
    <w:tmpl w:val="11E26E48"/>
    <w:styleLink w:val="Estilo83"/>
    <w:lvl w:ilvl="0" w:tplc="1DCA1204">
      <w:start w:val="30"/>
      <w:numFmt w:val="bullet"/>
      <w:lvlText w:val="-"/>
      <w:lvlJc w:val="left"/>
      <w:pPr>
        <w:ind w:left="360" w:hanging="360"/>
      </w:pPr>
      <w:rPr>
        <w:rFonts w:ascii="Garamond" w:eastAsia="MS Mincho" w:hAnsi="Garamond"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8" w15:restartNumberingAfterBreak="0">
    <w:nsid w:val="551C630A"/>
    <w:multiLevelType w:val="hybridMultilevel"/>
    <w:tmpl w:val="A3EC3A98"/>
    <w:lvl w:ilvl="0" w:tplc="8FE4B310">
      <w:start w:val="1"/>
      <w:numFmt w:val="bullet"/>
      <w:pStyle w:val="STBBullet4"/>
      <w:lvlText w:val=""/>
      <w:lvlJc w:val="left"/>
      <w:pPr>
        <w:ind w:left="1800" w:hanging="360"/>
      </w:pPr>
      <w:rPr>
        <w:rFonts w:ascii="Symbol" w:hAnsi="Symbol" w:hint="default"/>
      </w:rPr>
    </w:lvl>
    <w:lvl w:ilvl="1" w:tplc="ED16F156" w:tentative="1">
      <w:start w:val="1"/>
      <w:numFmt w:val="bullet"/>
      <w:lvlText w:val="o"/>
      <w:lvlJc w:val="left"/>
      <w:pPr>
        <w:ind w:left="2520" w:hanging="360"/>
      </w:pPr>
      <w:rPr>
        <w:rFonts w:ascii="Courier New" w:hAnsi="Courier New" w:cs="Courier New" w:hint="default"/>
      </w:rPr>
    </w:lvl>
    <w:lvl w:ilvl="2" w:tplc="3236A424" w:tentative="1">
      <w:start w:val="1"/>
      <w:numFmt w:val="bullet"/>
      <w:lvlText w:val=""/>
      <w:lvlJc w:val="left"/>
      <w:pPr>
        <w:ind w:left="3240" w:hanging="360"/>
      </w:pPr>
      <w:rPr>
        <w:rFonts w:ascii="Wingdings" w:hAnsi="Wingdings" w:hint="default"/>
      </w:rPr>
    </w:lvl>
    <w:lvl w:ilvl="3" w:tplc="AB6E0F14" w:tentative="1">
      <w:start w:val="1"/>
      <w:numFmt w:val="bullet"/>
      <w:lvlText w:val=""/>
      <w:lvlJc w:val="left"/>
      <w:pPr>
        <w:ind w:left="3960" w:hanging="360"/>
      </w:pPr>
      <w:rPr>
        <w:rFonts w:ascii="Symbol" w:hAnsi="Symbol" w:hint="default"/>
      </w:rPr>
    </w:lvl>
    <w:lvl w:ilvl="4" w:tplc="D7684EBE" w:tentative="1">
      <w:start w:val="1"/>
      <w:numFmt w:val="bullet"/>
      <w:lvlText w:val="o"/>
      <w:lvlJc w:val="left"/>
      <w:pPr>
        <w:ind w:left="4680" w:hanging="360"/>
      </w:pPr>
      <w:rPr>
        <w:rFonts w:ascii="Courier New" w:hAnsi="Courier New" w:cs="Courier New" w:hint="default"/>
      </w:rPr>
    </w:lvl>
    <w:lvl w:ilvl="5" w:tplc="26644BD8" w:tentative="1">
      <w:start w:val="1"/>
      <w:numFmt w:val="bullet"/>
      <w:lvlText w:val=""/>
      <w:lvlJc w:val="left"/>
      <w:pPr>
        <w:ind w:left="5400" w:hanging="360"/>
      </w:pPr>
      <w:rPr>
        <w:rFonts w:ascii="Wingdings" w:hAnsi="Wingdings" w:hint="default"/>
      </w:rPr>
    </w:lvl>
    <w:lvl w:ilvl="6" w:tplc="03C6024A" w:tentative="1">
      <w:start w:val="1"/>
      <w:numFmt w:val="bullet"/>
      <w:lvlText w:val=""/>
      <w:lvlJc w:val="left"/>
      <w:pPr>
        <w:ind w:left="6120" w:hanging="360"/>
      </w:pPr>
      <w:rPr>
        <w:rFonts w:ascii="Symbol" w:hAnsi="Symbol" w:hint="default"/>
      </w:rPr>
    </w:lvl>
    <w:lvl w:ilvl="7" w:tplc="418E36C0" w:tentative="1">
      <w:start w:val="1"/>
      <w:numFmt w:val="bullet"/>
      <w:lvlText w:val="o"/>
      <w:lvlJc w:val="left"/>
      <w:pPr>
        <w:ind w:left="6840" w:hanging="360"/>
      </w:pPr>
      <w:rPr>
        <w:rFonts w:ascii="Courier New" w:hAnsi="Courier New" w:cs="Courier New" w:hint="default"/>
      </w:rPr>
    </w:lvl>
    <w:lvl w:ilvl="8" w:tplc="D608746C" w:tentative="1">
      <w:start w:val="1"/>
      <w:numFmt w:val="bullet"/>
      <w:lvlText w:val=""/>
      <w:lvlJc w:val="left"/>
      <w:pPr>
        <w:ind w:left="7560" w:hanging="360"/>
      </w:pPr>
      <w:rPr>
        <w:rFonts w:ascii="Wingdings" w:hAnsi="Wingdings" w:hint="default"/>
      </w:rPr>
    </w:lvl>
  </w:abstractNum>
  <w:abstractNum w:abstractNumId="129" w15:restartNumberingAfterBreak="0">
    <w:nsid w:val="58A876B0"/>
    <w:multiLevelType w:val="hybridMultilevel"/>
    <w:tmpl w:val="CABC21D0"/>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0" w15:restartNumberingAfterBreak="0">
    <w:nsid w:val="58AE4C40"/>
    <w:multiLevelType w:val="multilevel"/>
    <w:tmpl w:val="365CBE9E"/>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8F508DA"/>
    <w:multiLevelType w:val="multilevel"/>
    <w:tmpl w:val="64AA5344"/>
    <w:styleLink w:val="Estilo521"/>
    <w:lvl w:ilvl="0">
      <w:start w:val="1"/>
      <w:numFmt w:val="lowerRoman"/>
      <w:lvlText w:val="(%1)"/>
      <w:lvlJc w:val="left"/>
      <w:rPr>
        <w:rFonts w:hint="default"/>
        <w:b w:val="0"/>
        <w:bCs w:val="0"/>
        <w:i w:val="0"/>
        <w:iCs w:val="0"/>
        <w:smallCaps w:val="0"/>
        <w:strike w:val="0"/>
        <w:color w:val="000000"/>
        <w:spacing w:val="0"/>
        <w:w w:val="100"/>
        <w:position w:val="0"/>
        <w:sz w:val="19"/>
        <w:szCs w:val="19"/>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91C40B8"/>
    <w:multiLevelType w:val="hybridMultilevel"/>
    <w:tmpl w:val="C432657E"/>
    <w:name w:val="List Bullet 32"/>
    <w:lvl w:ilvl="0" w:tplc="809EACF2">
      <w:start w:val="1"/>
      <w:numFmt w:val="bullet"/>
      <w:lvlText w:val=""/>
      <w:lvlJc w:val="left"/>
      <w:pPr>
        <w:ind w:left="720" w:hanging="360"/>
      </w:pPr>
      <w:rPr>
        <w:rFonts w:ascii="Symbol" w:hAnsi="Symbol" w:hint="default"/>
        <w:lang w:val="es-ES"/>
      </w:rPr>
    </w:lvl>
    <w:lvl w:ilvl="1" w:tplc="578E75A4" w:tentative="1">
      <w:start w:val="1"/>
      <w:numFmt w:val="bullet"/>
      <w:lvlText w:val="o"/>
      <w:lvlJc w:val="left"/>
      <w:pPr>
        <w:ind w:left="1440" w:hanging="360"/>
      </w:pPr>
      <w:rPr>
        <w:rFonts w:ascii="Courier New" w:hAnsi="Courier New" w:cs="Courier New" w:hint="default"/>
      </w:rPr>
    </w:lvl>
    <w:lvl w:ilvl="2" w:tplc="6EC2678A" w:tentative="1">
      <w:start w:val="1"/>
      <w:numFmt w:val="bullet"/>
      <w:lvlText w:val=""/>
      <w:lvlJc w:val="left"/>
      <w:pPr>
        <w:ind w:left="2160" w:hanging="360"/>
      </w:pPr>
      <w:rPr>
        <w:rFonts w:ascii="Wingdings" w:hAnsi="Wingdings" w:hint="default"/>
      </w:rPr>
    </w:lvl>
    <w:lvl w:ilvl="3" w:tplc="8C38D43A" w:tentative="1">
      <w:start w:val="1"/>
      <w:numFmt w:val="bullet"/>
      <w:lvlText w:val=""/>
      <w:lvlJc w:val="left"/>
      <w:pPr>
        <w:ind w:left="2880" w:hanging="360"/>
      </w:pPr>
      <w:rPr>
        <w:rFonts w:ascii="Symbol" w:hAnsi="Symbol" w:hint="default"/>
      </w:rPr>
    </w:lvl>
    <w:lvl w:ilvl="4" w:tplc="2EF83230" w:tentative="1">
      <w:start w:val="1"/>
      <w:numFmt w:val="bullet"/>
      <w:lvlText w:val="o"/>
      <w:lvlJc w:val="left"/>
      <w:pPr>
        <w:ind w:left="3600" w:hanging="360"/>
      </w:pPr>
      <w:rPr>
        <w:rFonts w:ascii="Courier New" w:hAnsi="Courier New" w:cs="Courier New" w:hint="default"/>
      </w:rPr>
    </w:lvl>
    <w:lvl w:ilvl="5" w:tplc="E1C27434" w:tentative="1">
      <w:start w:val="1"/>
      <w:numFmt w:val="bullet"/>
      <w:lvlText w:val=""/>
      <w:lvlJc w:val="left"/>
      <w:pPr>
        <w:ind w:left="4320" w:hanging="360"/>
      </w:pPr>
      <w:rPr>
        <w:rFonts w:ascii="Wingdings" w:hAnsi="Wingdings" w:hint="default"/>
      </w:rPr>
    </w:lvl>
    <w:lvl w:ilvl="6" w:tplc="535A2E52" w:tentative="1">
      <w:start w:val="1"/>
      <w:numFmt w:val="bullet"/>
      <w:lvlText w:val=""/>
      <w:lvlJc w:val="left"/>
      <w:pPr>
        <w:ind w:left="5040" w:hanging="360"/>
      </w:pPr>
      <w:rPr>
        <w:rFonts w:ascii="Symbol" w:hAnsi="Symbol" w:hint="default"/>
      </w:rPr>
    </w:lvl>
    <w:lvl w:ilvl="7" w:tplc="8E82A376" w:tentative="1">
      <w:start w:val="1"/>
      <w:numFmt w:val="bullet"/>
      <w:lvlText w:val="o"/>
      <w:lvlJc w:val="left"/>
      <w:pPr>
        <w:ind w:left="5760" w:hanging="360"/>
      </w:pPr>
      <w:rPr>
        <w:rFonts w:ascii="Courier New" w:hAnsi="Courier New" w:cs="Courier New" w:hint="default"/>
      </w:rPr>
    </w:lvl>
    <w:lvl w:ilvl="8" w:tplc="5B4A7AB8" w:tentative="1">
      <w:start w:val="1"/>
      <w:numFmt w:val="bullet"/>
      <w:lvlText w:val=""/>
      <w:lvlJc w:val="left"/>
      <w:pPr>
        <w:ind w:left="6480" w:hanging="360"/>
      </w:pPr>
      <w:rPr>
        <w:rFonts w:ascii="Wingdings" w:hAnsi="Wingdings" w:hint="default"/>
      </w:rPr>
    </w:lvl>
  </w:abstractNum>
  <w:abstractNum w:abstractNumId="133" w15:restartNumberingAfterBreak="0">
    <w:nsid w:val="597F34BA"/>
    <w:multiLevelType w:val="hybridMultilevel"/>
    <w:tmpl w:val="114E431C"/>
    <w:lvl w:ilvl="0" w:tplc="68109B8E">
      <w:start w:val="1"/>
      <w:numFmt w:val="decimal"/>
      <w:pStyle w:val="STBListNumber1DBL"/>
      <w:lvlText w:val="%1."/>
      <w:lvlJc w:val="left"/>
      <w:pPr>
        <w:ind w:left="1080" w:hanging="360"/>
      </w:pPr>
    </w:lvl>
    <w:lvl w:ilvl="1" w:tplc="0C6AAF56" w:tentative="1">
      <w:start w:val="1"/>
      <w:numFmt w:val="lowerLetter"/>
      <w:lvlText w:val="%2."/>
      <w:lvlJc w:val="left"/>
      <w:pPr>
        <w:ind w:left="1800" w:hanging="360"/>
      </w:pPr>
    </w:lvl>
    <w:lvl w:ilvl="2" w:tplc="26EECF0A" w:tentative="1">
      <w:start w:val="1"/>
      <w:numFmt w:val="lowerRoman"/>
      <w:lvlText w:val="%3."/>
      <w:lvlJc w:val="right"/>
      <w:pPr>
        <w:ind w:left="2520" w:hanging="180"/>
      </w:pPr>
    </w:lvl>
    <w:lvl w:ilvl="3" w:tplc="4BAC8C1A" w:tentative="1">
      <w:start w:val="1"/>
      <w:numFmt w:val="decimal"/>
      <w:lvlText w:val="%4."/>
      <w:lvlJc w:val="left"/>
      <w:pPr>
        <w:ind w:left="3240" w:hanging="360"/>
      </w:pPr>
    </w:lvl>
    <w:lvl w:ilvl="4" w:tplc="6E36A098" w:tentative="1">
      <w:start w:val="1"/>
      <w:numFmt w:val="lowerLetter"/>
      <w:lvlText w:val="%5."/>
      <w:lvlJc w:val="left"/>
      <w:pPr>
        <w:ind w:left="3960" w:hanging="360"/>
      </w:pPr>
    </w:lvl>
    <w:lvl w:ilvl="5" w:tplc="60E22122" w:tentative="1">
      <w:start w:val="1"/>
      <w:numFmt w:val="lowerRoman"/>
      <w:lvlText w:val="%6."/>
      <w:lvlJc w:val="right"/>
      <w:pPr>
        <w:ind w:left="4680" w:hanging="180"/>
      </w:pPr>
    </w:lvl>
    <w:lvl w:ilvl="6" w:tplc="6D908B6A" w:tentative="1">
      <w:start w:val="1"/>
      <w:numFmt w:val="decimal"/>
      <w:lvlText w:val="%7."/>
      <w:lvlJc w:val="left"/>
      <w:pPr>
        <w:ind w:left="5400" w:hanging="360"/>
      </w:pPr>
    </w:lvl>
    <w:lvl w:ilvl="7" w:tplc="E5A8FE76" w:tentative="1">
      <w:start w:val="1"/>
      <w:numFmt w:val="lowerLetter"/>
      <w:lvlText w:val="%8."/>
      <w:lvlJc w:val="left"/>
      <w:pPr>
        <w:ind w:left="6120" w:hanging="360"/>
      </w:pPr>
    </w:lvl>
    <w:lvl w:ilvl="8" w:tplc="8CFC2156" w:tentative="1">
      <w:start w:val="1"/>
      <w:numFmt w:val="lowerRoman"/>
      <w:lvlText w:val="%9."/>
      <w:lvlJc w:val="right"/>
      <w:pPr>
        <w:ind w:left="6840" w:hanging="180"/>
      </w:pPr>
    </w:lvl>
  </w:abstractNum>
  <w:abstractNum w:abstractNumId="134" w15:restartNumberingAfterBreak="0">
    <w:nsid w:val="5A0B1919"/>
    <w:multiLevelType w:val="multilevel"/>
    <w:tmpl w:val="1408C384"/>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A890891"/>
    <w:multiLevelType w:val="multilevel"/>
    <w:tmpl w:val="667405C8"/>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D2519F7"/>
    <w:multiLevelType w:val="multilevel"/>
    <w:tmpl w:val="587E429A"/>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E4C5E8F"/>
    <w:multiLevelType w:val="multilevel"/>
    <w:tmpl w:val="702E0956"/>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5F5B74D0"/>
    <w:multiLevelType w:val="multilevel"/>
    <w:tmpl w:val="044088C6"/>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155577A"/>
    <w:multiLevelType w:val="hybridMultilevel"/>
    <w:tmpl w:val="C568B8A4"/>
    <w:lvl w:ilvl="0" w:tplc="919C896C">
      <w:start w:val="1"/>
      <w:numFmt w:val="bullet"/>
      <w:pStyle w:val="STBBullet1"/>
      <w:lvlText w:val=""/>
      <w:lvlJc w:val="left"/>
      <w:pPr>
        <w:ind w:left="1080" w:hanging="360"/>
      </w:pPr>
      <w:rPr>
        <w:rFonts w:ascii="Symbol" w:hAnsi="Symbol" w:hint="default"/>
      </w:rPr>
    </w:lvl>
    <w:lvl w:ilvl="1" w:tplc="91B092CA" w:tentative="1">
      <w:start w:val="1"/>
      <w:numFmt w:val="bullet"/>
      <w:lvlText w:val="o"/>
      <w:lvlJc w:val="left"/>
      <w:pPr>
        <w:ind w:left="1800" w:hanging="360"/>
      </w:pPr>
      <w:rPr>
        <w:rFonts w:ascii="Courier New" w:hAnsi="Courier New" w:cs="Courier New" w:hint="default"/>
      </w:rPr>
    </w:lvl>
    <w:lvl w:ilvl="2" w:tplc="E58241A6" w:tentative="1">
      <w:start w:val="1"/>
      <w:numFmt w:val="bullet"/>
      <w:lvlText w:val=""/>
      <w:lvlJc w:val="left"/>
      <w:pPr>
        <w:ind w:left="2520" w:hanging="360"/>
      </w:pPr>
      <w:rPr>
        <w:rFonts w:ascii="Wingdings" w:hAnsi="Wingdings" w:hint="default"/>
      </w:rPr>
    </w:lvl>
    <w:lvl w:ilvl="3" w:tplc="E4202DD2" w:tentative="1">
      <w:start w:val="1"/>
      <w:numFmt w:val="bullet"/>
      <w:lvlText w:val=""/>
      <w:lvlJc w:val="left"/>
      <w:pPr>
        <w:ind w:left="3240" w:hanging="360"/>
      </w:pPr>
      <w:rPr>
        <w:rFonts w:ascii="Symbol" w:hAnsi="Symbol" w:hint="default"/>
      </w:rPr>
    </w:lvl>
    <w:lvl w:ilvl="4" w:tplc="20466ECC" w:tentative="1">
      <w:start w:val="1"/>
      <w:numFmt w:val="bullet"/>
      <w:lvlText w:val="o"/>
      <w:lvlJc w:val="left"/>
      <w:pPr>
        <w:ind w:left="3960" w:hanging="360"/>
      </w:pPr>
      <w:rPr>
        <w:rFonts w:ascii="Courier New" w:hAnsi="Courier New" w:cs="Courier New" w:hint="default"/>
      </w:rPr>
    </w:lvl>
    <w:lvl w:ilvl="5" w:tplc="1A9A03D6" w:tentative="1">
      <w:start w:val="1"/>
      <w:numFmt w:val="bullet"/>
      <w:lvlText w:val=""/>
      <w:lvlJc w:val="left"/>
      <w:pPr>
        <w:ind w:left="4680" w:hanging="360"/>
      </w:pPr>
      <w:rPr>
        <w:rFonts w:ascii="Wingdings" w:hAnsi="Wingdings" w:hint="default"/>
      </w:rPr>
    </w:lvl>
    <w:lvl w:ilvl="6" w:tplc="8EF6082C" w:tentative="1">
      <w:start w:val="1"/>
      <w:numFmt w:val="bullet"/>
      <w:lvlText w:val=""/>
      <w:lvlJc w:val="left"/>
      <w:pPr>
        <w:ind w:left="5400" w:hanging="360"/>
      </w:pPr>
      <w:rPr>
        <w:rFonts w:ascii="Symbol" w:hAnsi="Symbol" w:hint="default"/>
      </w:rPr>
    </w:lvl>
    <w:lvl w:ilvl="7" w:tplc="BC024FA6" w:tentative="1">
      <w:start w:val="1"/>
      <w:numFmt w:val="bullet"/>
      <w:lvlText w:val="o"/>
      <w:lvlJc w:val="left"/>
      <w:pPr>
        <w:ind w:left="6120" w:hanging="360"/>
      </w:pPr>
      <w:rPr>
        <w:rFonts w:ascii="Courier New" w:hAnsi="Courier New" w:cs="Courier New" w:hint="default"/>
      </w:rPr>
    </w:lvl>
    <w:lvl w:ilvl="8" w:tplc="05AABFCC" w:tentative="1">
      <w:start w:val="1"/>
      <w:numFmt w:val="bullet"/>
      <w:lvlText w:val=""/>
      <w:lvlJc w:val="left"/>
      <w:pPr>
        <w:ind w:left="6840" w:hanging="360"/>
      </w:pPr>
      <w:rPr>
        <w:rFonts w:ascii="Wingdings" w:hAnsi="Wingdings" w:hint="default"/>
      </w:rPr>
    </w:lvl>
  </w:abstractNum>
  <w:abstractNum w:abstractNumId="140" w15:restartNumberingAfterBreak="0">
    <w:nsid w:val="621C20E6"/>
    <w:multiLevelType w:val="multilevel"/>
    <w:tmpl w:val="D2B2A6EE"/>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28C5A91"/>
    <w:multiLevelType w:val="hybridMultilevel"/>
    <w:tmpl w:val="53229008"/>
    <w:name w:val="SimpleListTemplate22"/>
    <w:lvl w:ilvl="0" w:tplc="50AC2D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629C3DDD"/>
    <w:multiLevelType w:val="hybridMultilevel"/>
    <w:tmpl w:val="3068579C"/>
    <w:lvl w:ilvl="0" w:tplc="02BAD58C">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3" w15:restartNumberingAfterBreak="0">
    <w:nsid w:val="635920F1"/>
    <w:multiLevelType w:val="hybridMultilevel"/>
    <w:tmpl w:val="1770663A"/>
    <w:lvl w:ilvl="0" w:tplc="5CEC27E2">
      <w:start w:val="1"/>
      <w:numFmt w:val="bullet"/>
      <w:pStyle w:val="STBBullet2DBL"/>
      <w:lvlText w:val=""/>
      <w:lvlJc w:val="left"/>
      <w:pPr>
        <w:ind w:left="1080" w:hanging="360"/>
      </w:pPr>
      <w:rPr>
        <w:rFonts w:ascii="Symbol" w:hAnsi="Symbol" w:hint="default"/>
      </w:rPr>
    </w:lvl>
    <w:lvl w:ilvl="1" w:tplc="57526716" w:tentative="1">
      <w:start w:val="1"/>
      <w:numFmt w:val="bullet"/>
      <w:lvlText w:val="o"/>
      <w:lvlJc w:val="left"/>
      <w:pPr>
        <w:ind w:left="1800" w:hanging="360"/>
      </w:pPr>
      <w:rPr>
        <w:rFonts w:ascii="Courier New" w:hAnsi="Courier New" w:cs="Courier New" w:hint="default"/>
      </w:rPr>
    </w:lvl>
    <w:lvl w:ilvl="2" w:tplc="4D1476F6" w:tentative="1">
      <w:start w:val="1"/>
      <w:numFmt w:val="bullet"/>
      <w:lvlText w:val=""/>
      <w:lvlJc w:val="left"/>
      <w:pPr>
        <w:ind w:left="2520" w:hanging="360"/>
      </w:pPr>
      <w:rPr>
        <w:rFonts w:ascii="Wingdings" w:hAnsi="Wingdings" w:hint="default"/>
      </w:rPr>
    </w:lvl>
    <w:lvl w:ilvl="3" w:tplc="2370D5A4" w:tentative="1">
      <w:start w:val="1"/>
      <w:numFmt w:val="bullet"/>
      <w:lvlText w:val=""/>
      <w:lvlJc w:val="left"/>
      <w:pPr>
        <w:ind w:left="3240" w:hanging="360"/>
      </w:pPr>
      <w:rPr>
        <w:rFonts w:ascii="Symbol" w:hAnsi="Symbol" w:hint="default"/>
      </w:rPr>
    </w:lvl>
    <w:lvl w:ilvl="4" w:tplc="9866FB2C" w:tentative="1">
      <w:start w:val="1"/>
      <w:numFmt w:val="bullet"/>
      <w:lvlText w:val="o"/>
      <w:lvlJc w:val="left"/>
      <w:pPr>
        <w:ind w:left="3960" w:hanging="360"/>
      </w:pPr>
      <w:rPr>
        <w:rFonts w:ascii="Courier New" w:hAnsi="Courier New" w:cs="Courier New" w:hint="default"/>
      </w:rPr>
    </w:lvl>
    <w:lvl w:ilvl="5" w:tplc="930CB430" w:tentative="1">
      <w:start w:val="1"/>
      <w:numFmt w:val="bullet"/>
      <w:lvlText w:val=""/>
      <w:lvlJc w:val="left"/>
      <w:pPr>
        <w:ind w:left="4680" w:hanging="360"/>
      </w:pPr>
      <w:rPr>
        <w:rFonts w:ascii="Wingdings" w:hAnsi="Wingdings" w:hint="default"/>
      </w:rPr>
    </w:lvl>
    <w:lvl w:ilvl="6" w:tplc="31505A8C" w:tentative="1">
      <w:start w:val="1"/>
      <w:numFmt w:val="bullet"/>
      <w:lvlText w:val=""/>
      <w:lvlJc w:val="left"/>
      <w:pPr>
        <w:ind w:left="5400" w:hanging="360"/>
      </w:pPr>
      <w:rPr>
        <w:rFonts w:ascii="Symbol" w:hAnsi="Symbol" w:hint="default"/>
      </w:rPr>
    </w:lvl>
    <w:lvl w:ilvl="7" w:tplc="15E0761A" w:tentative="1">
      <w:start w:val="1"/>
      <w:numFmt w:val="bullet"/>
      <w:lvlText w:val="o"/>
      <w:lvlJc w:val="left"/>
      <w:pPr>
        <w:ind w:left="6120" w:hanging="360"/>
      </w:pPr>
      <w:rPr>
        <w:rFonts w:ascii="Courier New" w:hAnsi="Courier New" w:cs="Courier New" w:hint="default"/>
      </w:rPr>
    </w:lvl>
    <w:lvl w:ilvl="8" w:tplc="62A245FC" w:tentative="1">
      <w:start w:val="1"/>
      <w:numFmt w:val="bullet"/>
      <w:lvlText w:val=""/>
      <w:lvlJc w:val="left"/>
      <w:pPr>
        <w:ind w:left="6840" w:hanging="360"/>
      </w:pPr>
      <w:rPr>
        <w:rFonts w:ascii="Wingdings" w:hAnsi="Wingdings" w:hint="default"/>
      </w:rPr>
    </w:lvl>
  </w:abstractNum>
  <w:abstractNum w:abstractNumId="144" w15:restartNumberingAfterBreak="0">
    <w:nsid w:val="635F0D5F"/>
    <w:multiLevelType w:val="multilevel"/>
    <w:tmpl w:val="62AA82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52D44D2"/>
    <w:multiLevelType w:val="multilevel"/>
    <w:tmpl w:val="01580820"/>
    <w:name w:val="oc_Num_4th"/>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46" w15:restartNumberingAfterBreak="0">
    <w:nsid w:val="67EE66BA"/>
    <w:multiLevelType w:val="hybridMultilevel"/>
    <w:tmpl w:val="7EE204F8"/>
    <w:lvl w:ilvl="0" w:tplc="CCCAF4D0">
      <w:start w:val="1"/>
      <w:numFmt w:val="decimal"/>
      <w:pStyle w:val="STBListNumber2"/>
      <w:lvlText w:val="%1."/>
      <w:lvlJc w:val="left"/>
      <w:pPr>
        <w:ind w:left="1080" w:hanging="360"/>
      </w:pPr>
    </w:lvl>
    <w:lvl w:ilvl="1" w:tplc="7B2CC836" w:tentative="1">
      <w:start w:val="1"/>
      <w:numFmt w:val="lowerLetter"/>
      <w:lvlText w:val="%2."/>
      <w:lvlJc w:val="left"/>
      <w:pPr>
        <w:ind w:left="1800" w:hanging="360"/>
      </w:pPr>
    </w:lvl>
    <w:lvl w:ilvl="2" w:tplc="70A2873C" w:tentative="1">
      <w:start w:val="1"/>
      <w:numFmt w:val="lowerRoman"/>
      <w:lvlText w:val="%3."/>
      <w:lvlJc w:val="right"/>
      <w:pPr>
        <w:ind w:left="2520" w:hanging="180"/>
      </w:pPr>
    </w:lvl>
    <w:lvl w:ilvl="3" w:tplc="6EA8B428" w:tentative="1">
      <w:start w:val="1"/>
      <w:numFmt w:val="decimal"/>
      <w:lvlText w:val="%4."/>
      <w:lvlJc w:val="left"/>
      <w:pPr>
        <w:ind w:left="3240" w:hanging="360"/>
      </w:pPr>
    </w:lvl>
    <w:lvl w:ilvl="4" w:tplc="0666D90C" w:tentative="1">
      <w:start w:val="1"/>
      <w:numFmt w:val="lowerLetter"/>
      <w:lvlText w:val="%5."/>
      <w:lvlJc w:val="left"/>
      <w:pPr>
        <w:ind w:left="3960" w:hanging="360"/>
      </w:pPr>
    </w:lvl>
    <w:lvl w:ilvl="5" w:tplc="256C208C" w:tentative="1">
      <w:start w:val="1"/>
      <w:numFmt w:val="lowerRoman"/>
      <w:lvlText w:val="%6."/>
      <w:lvlJc w:val="right"/>
      <w:pPr>
        <w:ind w:left="4680" w:hanging="180"/>
      </w:pPr>
    </w:lvl>
    <w:lvl w:ilvl="6" w:tplc="06C4D092" w:tentative="1">
      <w:start w:val="1"/>
      <w:numFmt w:val="decimal"/>
      <w:lvlText w:val="%7."/>
      <w:lvlJc w:val="left"/>
      <w:pPr>
        <w:ind w:left="5400" w:hanging="360"/>
      </w:pPr>
    </w:lvl>
    <w:lvl w:ilvl="7" w:tplc="F496E4DC" w:tentative="1">
      <w:start w:val="1"/>
      <w:numFmt w:val="lowerLetter"/>
      <w:lvlText w:val="%8."/>
      <w:lvlJc w:val="left"/>
      <w:pPr>
        <w:ind w:left="6120" w:hanging="360"/>
      </w:pPr>
    </w:lvl>
    <w:lvl w:ilvl="8" w:tplc="4AF8A186" w:tentative="1">
      <w:start w:val="1"/>
      <w:numFmt w:val="lowerRoman"/>
      <w:lvlText w:val="%9."/>
      <w:lvlJc w:val="right"/>
      <w:pPr>
        <w:ind w:left="6840" w:hanging="180"/>
      </w:pPr>
    </w:lvl>
  </w:abstractNum>
  <w:abstractNum w:abstractNumId="147" w15:restartNumberingAfterBreak="0">
    <w:nsid w:val="68F54B01"/>
    <w:multiLevelType w:val="multilevel"/>
    <w:tmpl w:val="67F806B6"/>
    <w:styleLink w:val="Estilo32"/>
    <w:lvl w:ilvl="0">
      <w:start w:val="8"/>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8" w15:restartNumberingAfterBreak="0">
    <w:nsid w:val="6918033E"/>
    <w:multiLevelType w:val="multilevel"/>
    <w:tmpl w:val="B0F42486"/>
    <w:lvl w:ilvl="0">
      <w:start w:val="1"/>
      <w:numFmt w:val="lowerRoman"/>
      <w:lvlText w:val="(%1)"/>
      <w:lvlJc w:val="left"/>
      <w:rPr>
        <w:rFonts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C0B3394"/>
    <w:multiLevelType w:val="hybridMultilevel"/>
    <w:tmpl w:val="4F82B6CA"/>
    <w:styleLink w:val="Estilo821"/>
    <w:lvl w:ilvl="0" w:tplc="F60E0BF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0" w15:restartNumberingAfterBreak="0">
    <w:nsid w:val="6CD86E82"/>
    <w:multiLevelType w:val="multilevel"/>
    <w:tmpl w:val="16122B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6"/>
      <w:numFmt w:val="upperLetter"/>
      <w:pStyle w:val="Ttulo9"/>
      <w:suff w:val="nothing"/>
      <w:lvlText w:val="%9"/>
      <w:lvlJc w:val="left"/>
      <w:pPr>
        <w:ind w:left="0" w:firstLine="0"/>
      </w:pPr>
      <w:rPr>
        <w:rFonts w:hint="default"/>
      </w:rPr>
    </w:lvl>
  </w:abstractNum>
  <w:abstractNum w:abstractNumId="151" w15:restartNumberingAfterBreak="0">
    <w:nsid w:val="6E9051F1"/>
    <w:multiLevelType w:val="hybridMultilevel"/>
    <w:tmpl w:val="12186176"/>
    <w:lvl w:ilvl="0" w:tplc="4F4C7DFC">
      <w:start w:val="1"/>
      <w:numFmt w:val="lowerLetter"/>
      <w:lvlText w:val="(%1)"/>
      <w:lvlJc w:val="left"/>
      <w:pPr>
        <w:ind w:left="810" w:hanging="360"/>
      </w:pPr>
      <w:rPr>
        <w:rFonts w:hint="default"/>
        <w:lang w:val="es-ES_tradnl"/>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2" w15:restartNumberingAfterBreak="0">
    <w:nsid w:val="6FC65BE6"/>
    <w:multiLevelType w:val="multilevel"/>
    <w:tmpl w:val="4824065C"/>
    <w:lvl w:ilvl="0">
      <w:start w:val="2"/>
      <w:numFmt w:val="lowerLetter"/>
      <w:lvlText w:val="(%1)"/>
      <w:lvlJc w:val="left"/>
      <w:pPr>
        <w:ind w:left="0" w:firstLine="0"/>
      </w:pPr>
      <w:rPr>
        <w:rFonts w:ascii="Garamond" w:eastAsia="Times New Roman" w:hAnsi="Garamond" w:cs="Times New Roman"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3" w15:restartNumberingAfterBreak="0">
    <w:nsid w:val="700F5153"/>
    <w:multiLevelType w:val="multilevel"/>
    <w:tmpl w:val="A2C858FC"/>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0F37223"/>
    <w:multiLevelType w:val="hybridMultilevel"/>
    <w:tmpl w:val="BDAE6408"/>
    <w:lvl w:ilvl="0" w:tplc="FDB81728">
      <w:start w:val="1"/>
      <w:numFmt w:val="decimal"/>
      <w:lvlText w:val="(%1)"/>
      <w:lvlJc w:val="left"/>
      <w:pPr>
        <w:ind w:left="780" w:hanging="42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5" w15:restartNumberingAfterBreak="0">
    <w:nsid w:val="71A77082"/>
    <w:multiLevelType w:val="hybridMultilevel"/>
    <w:tmpl w:val="C35C14F6"/>
    <w:lvl w:ilvl="0" w:tplc="0C0A0001">
      <w:start w:val="1"/>
      <w:numFmt w:val="bullet"/>
      <w:pStyle w:val="Bull1"/>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261427B"/>
    <w:multiLevelType w:val="multilevel"/>
    <w:tmpl w:val="C2B63726"/>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3BE22CC"/>
    <w:multiLevelType w:val="multilevel"/>
    <w:tmpl w:val="4FF4D5C4"/>
    <w:lvl w:ilvl="0">
      <w:start w:val="1"/>
      <w:numFmt w:val="lowerRoman"/>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439102A"/>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59" w15:restartNumberingAfterBreak="0">
    <w:nsid w:val="75771FA0"/>
    <w:multiLevelType w:val="hybridMultilevel"/>
    <w:tmpl w:val="CD2CAE8C"/>
    <w:name w:val="SimpleListTemplate2"/>
    <w:lvl w:ilvl="0" w:tplc="B0984B54">
      <w:start w:val="1"/>
      <w:numFmt w:val="decimal"/>
      <w:pStyle w:val="SimpleLists6a"/>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0" w15:restartNumberingAfterBreak="0">
    <w:nsid w:val="76667057"/>
    <w:multiLevelType w:val="multilevel"/>
    <w:tmpl w:val="09F8D9AC"/>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7E0227A"/>
    <w:multiLevelType w:val="multilevel"/>
    <w:tmpl w:val="4D0C3730"/>
    <w:lvl w:ilvl="0">
      <w:start w:val="1"/>
      <w:numFmt w:val="lowerRoman"/>
      <w:lvlText w:val="(%1)"/>
      <w:lvlJc w:val="left"/>
      <w:pPr>
        <w:ind w:left="851" w:firstLine="0"/>
      </w:pPr>
      <w:rPr>
        <w:rFonts w:ascii="Garamond" w:eastAsia="Times New Roman" w:hAnsi="Garamond" w:cs="Times New Roman" w:hint="default"/>
        <w:b w:val="0"/>
        <w:bCs w:val="0"/>
        <w:i w:val="0"/>
        <w:iCs w:val="0"/>
        <w:smallCaps w:val="0"/>
        <w:strike w:val="0"/>
        <w:color w:val="000000"/>
        <w:spacing w:val="0"/>
        <w:w w:val="100"/>
        <w:position w:val="0"/>
        <w:sz w:val="20"/>
        <w:szCs w:val="20"/>
        <w:u w:val="none"/>
      </w:rPr>
    </w:lvl>
    <w:lvl w:ilvl="1">
      <w:numFmt w:val="decimal"/>
      <w:lvlText w:val=""/>
      <w:lvlJc w:val="left"/>
      <w:pPr>
        <w:ind w:left="851" w:firstLine="0"/>
      </w:pPr>
      <w:rPr>
        <w:rFonts w:hint="default"/>
      </w:rPr>
    </w:lvl>
    <w:lvl w:ilvl="2">
      <w:numFmt w:val="decimal"/>
      <w:lvlText w:val=""/>
      <w:lvlJc w:val="left"/>
      <w:pPr>
        <w:ind w:left="851" w:firstLine="0"/>
      </w:pPr>
      <w:rPr>
        <w:rFonts w:hint="default"/>
      </w:rPr>
    </w:lvl>
    <w:lvl w:ilvl="3">
      <w:numFmt w:val="decimal"/>
      <w:lvlText w:val=""/>
      <w:lvlJc w:val="left"/>
      <w:pPr>
        <w:ind w:left="851" w:firstLine="0"/>
      </w:pPr>
      <w:rPr>
        <w:rFonts w:hint="default"/>
      </w:rPr>
    </w:lvl>
    <w:lvl w:ilvl="4">
      <w:numFmt w:val="decimal"/>
      <w:lvlText w:val=""/>
      <w:lvlJc w:val="left"/>
      <w:pPr>
        <w:ind w:left="851" w:firstLine="0"/>
      </w:pPr>
      <w:rPr>
        <w:rFonts w:hint="default"/>
      </w:rPr>
    </w:lvl>
    <w:lvl w:ilvl="5">
      <w:numFmt w:val="decimal"/>
      <w:lvlText w:val=""/>
      <w:lvlJc w:val="left"/>
      <w:pPr>
        <w:ind w:left="851" w:firstLine="0"/>
      </w:pPr>
      <w:rPr>
        <w:rFonts w:hint="default"/>
      </w:rPr>
    </w:lvl>
    <w:lvl w:ilvl="6">
      <w:numFmt w:val="decimal"/>
      <w:lvlText w:val=""/>
      <w:lvlJc w:val="left"/>
      <w:pPr>
        <w:ind w:left="851" w:firstLine="0"/>
      </w:pPr>
      <w:rPr>
        <w:rFonts w:hint="default"/>
      </w:rPr>
    </w:lvl>
    <w:lvl w:ilvl="7">
      <w:numFmt w:val="decimal"/>
      <w:lvlText w:val=""/>
      <w:lvlJc w:val="left"/>
      <w:pPr>
        <w:ind w:left="851" w:firstLine="0"/>
      </w:pPr>
      <w:rPr>
        <w:rFonts w:hint="default"/>
      </w:rPr>
    </w:lvl>
    <w:lvl w:ilvl="8">
      <w:numFmt w:val="decimal"/>
      <w:lvlText w:val=""/>
      <w:lvlJc w:val="left"/>
      <w:pPr>
        <w:ind w:left="851" w:firstLine="0"/>
      </w:pPr>
      <w:rPr>
        <w:rFonts w:hint="default"/>
      </w:rPr>
    </w:lvl>
  </w:abstractNum>
  <w:abstractNum w:abstractNumId="162" w15:restartNumberingAfterBreak="0">
    <w:nsid w:val="78093C52"/>
    <w:multiLevelType w:val="singleLevel"/>
    <w:tmpl w:val="D4EC0FFA"/>
    <w:styleLink w:val="Estilo12"/>
    <w:lvl w:ilvl="0">
      <w:start w:val="1"/>
      <w:numFmt w:val="bullet"/>
      <w:pStyle w:val="BulletText1"/>
      <w:lvlText w:val=""/>
      <w:lvlJc w:val="left"/>
      <w:pPr>
        <w:tabs>
          <w:tab w:val="num" w:pos="0"/>
        </w:tabs>
        <w:ind w:left="187" w:hanging="187"/>
      </w:pPr>
      <w:rPr>
        <w:rFonts w:ascii="Symbol" w:hAnsi="Symbol" w:hint="default"/>
      </w:rPr>
    </w:lvl>
  </w:abstractNum>
  <w:abstractNum w:abstractNumId="163" w15:restartNumberingAfterBreak="0">
    <w:nsid w:val="783F552E"/>
    <w:multiLevelType w:val="hybridMultilevel"/>
    <w:tmpl w:val="333CE3C6"/>
    <w:lvl w:ilvl="0" w:tplc="7282821C">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4" w15:restartNumberingAfterBreak="0">
    <w:nsid w:val="78B80A10"/>
    <w:multiLevelType w:val="multilevel"/>
    <w:tmpl w:val="7E1ED764"/>
    <w:name w:val="FlatNumbersListTemplate"/>
    <w:styleLink w:val="FlatNumbersList"/>
    <w:lvl w:ilvl="0">
      <w:start w:val="1"/>
      <w:numFmt w:val="decimal"/>
      <w:lvlText w:val="%1."/>
      <w:lvlJc w:val="left"/>
      <w:pPr>
        <w:tabs>
          <w:tab w:val="num" w:pos="720"/>
        </w:tabs>
        <w:ind w:left="1080" w:hanging="360"/>
      </w:pPr>
      <w:rPr>
        <w:rFonts w:hint="default"/>
      </w:rPr>
    </w:lvl>
    <w:lvl w:ilvl="1">
      <w:start w:val="1"/>
      <w:numFmt w:val="decimal"/>
      <w:lvlRestart w:val="0"/>
      <w:lvlText w:val="%2."/>
      <w:lvlJc w:val="left"/>
      <w:pPr>
        <w:ind w:left="0" w:firstLine="720"/>
      </w:pPr>
      <w:rPr>
        <w:rFonts w:hint="default"/>
      </w:rPr>
    </w:lvl>
    <w:lvl w:ilvl="2">
      <w:start w:val="1"/>
      <w:numFmt w:val="lowerLetter"/>
      <w:lvlRestart w:val="0"/>
      <w:lvlText w:val="(%3)"/>
      <w:lvlJc w:val="left"/>
      <w:pPr>
        <w:ind w:left="0" w:firstLine="720"/>
      </w:pPr>
      <w:rPr>
        <w:rFonts w:hint="default"/>
      </w:rPr>
    </w:lvl>
    <w:lvl w:ilvl="3">
      <w:start w:val="1"/>
      <w:numFmt w:val="lowerRoman"/>
      <w:lvlRestart w:val="0"/>
      <w:lvlText w:val="(%4)"/>
      <w:lvlJc w:val="left"/>
      <w:pPr>
        <w:ind w:left="0" w:firstLine="720"/>
      </w:pPr>
      <w:rPr>
        <w:rFonts w:hint="default"/>
      </w:rPr>
    </w:lvl>
    <w:lvl w:ilvl="4">
      <w:start w:val="1"/>
      <w:numFmt w:val="ordinalText"/>
      <w:lvlRestart w:val="0"/>
      <w:suff w:val="space"/>
      <w:lvlText w:val="%5,"/>
      <w:lvlJc w:val="left"/>
      <w:pPr>
        <w:ind w:left="0" w:firstLine="720"/>
      </w:pPr>
      <w:rPr>
        <w:rFonts w:hint="default"/>
      </w:rPr>
    </w:lvl>
    <w:lvl w:ilvl="5">
      <w:start w:val="1"/>
      <w:numFmt w:val="none"/>
      <w:lvlRestart w:val="0"/>
      <w:lvlText w:val="Q:"/>
      <w:lvlJc w:val="left"/>
      <w:pPr>
        <w:ind w:left="1440" w:hanging="720"/>
      </w:pPr>
      <w:rPr>
        <w:rFonts w:hint="default"/>
      </w:rPr>
    </w:lvl>
    <w:lvl w:ilvl="6">
      <w:start w:val="1"/>
      <w:numFmt w:val="none"/>
      <w:lvlRestart w:val="0"/>
      <w:lvlText w:val="A:"/>
      <w:lvlJc w:val="left"/>
      <w:pPr>
        <w:ind w:left="1440" w:hanging="720"/>
      </w:pPr>
      <w:rPr>
        <w:rFonts w:hint="default"/>
      </w:rPr>
    </w:lvl>
    <w:lvl w:ilvl="7">
      <w:start w:val="1"/>
      <w:numFmt w:val="decimal"/>
      <w:lvlRestart w:val="0"/>
      <w:lvlText w:val="(%8)"/>
      <w:lvlJc w:val="left"/>
      <w:pPr>
        <w:ind w:left="720" w:hanging="720"/>
      </w:pPr>
      <w:rPr>
        <w:rFonts w:hint="default"/>
        <w:b/>
        <w:i w:val="0"/>
      </w:rPr>
    </w:lvl>
    <w:lvl w:ilvl="8">
      <w:start w:val="1"/>
      <w:numFmt w:val="upperLetter"/>
      <w:lvlRestart w:val="0"/>
      <w:lvlText w:val="(%9)"/>
      <w:lvlJc w:val="left"/>
      <w:pPr>
        <w:ind w:left="720" w:hanging="720"/>
      </w:pPr>
      <w:rPr>
        <w:rFonts w:hint="default"/>
        <w:b/>
        <w:i w:val="0"/>
      </w:rPr>
    </w:lvl>
  </w:abstractNum>
  <w:abstractNum w:abstractNumId="165" w15:restartNumberingAfterBreak="0">
    <w:nsid w:val="7C732C7C"/>
    <w:multiLevelType w:val="hybridMultilevel"/>
    <w:tmpl w:val="FAECE400"/>
    <w:styleLink w:val="FlatNumbersList1"/>
    <w:lvl w:ilvl="0" w:tplc="2C0A0001">
      <w:start w:val="1"/>
      <w:numFmt w:val="bullet"/>
      <w:lvlText w:val=""/>
      <w:lvlJc w:val="left"/>
      <w:pPr>
        <w:ind w:left="774" w:hanging="360"/>
      </w:pPr>
      <w:rPr>
        <w:rFonts w:ascii="Symbol" w:hAnsi="Symbol" w:hint="default"/>
      </w:rPr>
    </w:lvl>
    <w:lvl w:ilvl="1" w:tplc="2C0A0003" w:tentative="1">
      <w:start w:val="1"/>
      <w:numFmt w:val="bullet"/>
      <w:lvlText w:val="o"/>
      <w:lvlJc w:val="left"/>
      <w:pPr>
        <w:ind w:left="1494" w:hanging="360"/>
      </w:pPr>
      <w:rPr>
        <w:rFonts w:ascii="Courier New" w:hAnsi="Courier New" w:cs="Courier New" w:hint="default"/>
      </w:rPr>
    </w:lvl>
    <w:lvl w:ilvl="2" w:tplc="2C0A0005" w:tentative="1">
      <w:start w:val="1"/>
      <w:numFmt w:val="bullet"/>
      <w:lvlText w:val=""/>
      <w:lvlJc w:val="left"/>
      <w:pPr>
        <w:ind w:left="2214" w:hanging="360"/>
      </w:pPr>
      <w:rPr>
        <w:rFonts w:ascii="Wingdings" w:hAnsi="Wingdings" w:hint="default"/>
      </w:rPr>
    </w:lvl>
    <w:lvl w:ilvl="3" w:tplc="2C0A0001" w:tentative="1">
      <w:start w:val="1"/>
      <w:numFmt w:val="bullet"/>
      <w:lvlText w:val=""/>
      <w:lvlJc w:val="left"/>
      <w:pPr>
        <w:ind w:left="2934" w:hanging="360"/>
      </w:pPr>
      <w:rPr>
        <w:rFonts w:ascii="Symbol" w:hAnsi="Symbol" w:hint="default"/>
      </w:rPr>
    </w:lvl>
    <w:lvl w:ilvl="4" w:tplc="2C0A0003" w:tentative="1">
      <w:start w:val="1"/>
      <w:numFmt w:val="bullet"/>
      <w:lvlText w:val="o"/>
      <w:lvlJc w:val="left"/>
      <w:pPr>
        <w:ind w:left="3654" w:hanging="360"/>
      </w:pPr>
      <w:rPr>
        <w:rFonts w:ascii="Courier New" w:hAnsi="Courier New" w:cs="Courier New" w:hint="default"/>
      </w:rPr>
    </w:lvl>
    <w:lvl w:ilvl="5" w:tplc="2C0A0005" w:tentative="1">
      <w:start w:val="1"/>
      <w:numFmt w:val="bullet"/>
      <w:lvlText w:val=""/>
      <w:lvlJc w:val="left"/>
      <w:pPr>
        <w:ind w:left="4374" w:hanging="360"/>
      </w:pPr>
      <w:rPr>
        <w:rFonts w:ascii="Wingdings" w:hAnsi="Wingdings" w:hint="default"/>
      </w:rPr>
    </w:lvl>
    <w:lvl w:ilvl="6" w:tplc="2C0A0001" w:tentative="1">
      <w:start w:val="1"/>
      <w:numFmt w:val="bullet"/>
      <w:lvlText w:val=""/>
      <w:lvlJc w:val="left"/>
      <w:pPr>
        <w:ind w:left="5094" w:hanging="360"/>
      </w:pPr>
      <w:rPr>
        <w:rFonts w:ascii="Symbol" w:hAnsi="Symbol" w:hint="default"/>
      </w:rPr>
    </w:lvl>
    <w:lvl w:ilvl="7" w:tplc="2C0A0003" w:tentative="1">
      <w:start w:val="1"/>
      <w:numFmt w:val="bullet"/>
      <w:lvlText w:val="o"/>
      <w:lvlJc w:val="left"/>
      <w:pPr>
        <w:ind w:left="5814" w:hanging="360"/>
      </w:pPr>
      <w:rPr>
        <w:rFonts w:ascii="Courier New" w:hAnsi="Courier New" w:cs="Courier New" w:hint="default"/>
      </w:rPr>
    </w:lvl>
    <w:lvl w:ilvl="8" w:tplc="2C0A0005" w:tentative="1">
      <w:start w:val="1"/>
      <w:numFmt w:val="bullet"/>
      <w:lvlText w:val=""/>
      <w:lvlJc w:val="left"/>
      <w:pPr>
        <w:ind w:left="6534" w:hanging="360"/>
      </w:pPr>
      <w:rPr>
        <w:rFonts w:ascii="Wingdings" w:hAnsi="Wingdings" w:hint="default"/>
      </w:rPr>
    </w:lvl>
  </w:abstractNum>
  <w:abstractNum w:abstractNumId="166" w15:restartNumberingAfterBreak="0">
    <w:nsid w:val="7D143CF1"/>
    <w:multiLevelType w:val="hybridMultilevel"/>
    <w:tmpl w:val="46768594"/>
    <w:lvl w:ilvl="0" w:tplc="C2B648F8">
      <w:start w:val="1"/>
      <w:numFmt w:val="bullet"/>
      <w:pStyle w:val="STBBullet2"/>
      <w:lvlText w:val=""/>
      <w:lvlJc w:val="left"/>
      <w:pPr>
        <w:ind w:left="1080" w:hanging="360"/>
      </w:pPr>
      <w:rPr>
        <w:rFonts w:ascii="Symbol" w:hAnsi="Symbol" w:hint="default"/>
      </w:rPr>
    </w:lvl>
    <w:lvl w:ilvl="1" w:tplc="B67C624A" w:tentative="1">
      <w:start w:val="1"/>
      <w:numFmt w:val="bullet"/>
      <w:lvlText w:val="o"/>
      <w:lvlJc w:val="left"/>
      <w:pPr>
        <w:ind w:left="1800" w:hanging="360"/>
      </w:pPr>
      <w:rPr>
        <w:rFonts w:ascii="Courier New" w:hAnsi="Courier New" w:cs="Courier New" w:hint="default"/>
      </w:rPr>
    </w:lvl>
    <w:lvl w:ilvl="2" w:tplc="1FCAE8CC" w:tentative="1">
      <w:start w:val="1"/>
      <w:numFmt w:val="bullet"/>
      <w:lvlText w:val=""/>
      <w:lvlJc w:val="left"/>
      <w:pPr>
        <w:ind w:left="2520" w:hanging="360"/>
      </w:pPr>
      <w:rPr>
        <w:rFonts w:ascii="Wingdings" w:hAnsi="Wingdings" w:hint="default"/>
      </w:rPr>
    </w:lvl>
    <w:lvl w:ilvl="3" w:tplc="629A3234" w:tentative="1">
      <w:start w:val="1"/>
      <w:numFmt w:val="bullet"/>
      <w:lvlText w:val=""/>
      <w:lvlJc w:val="left"/>
      <w:pPr>
        <w:ind w:left="3240" w:hanging="360"/>
      </w:pPr>
      <w:rPr>
        <w:rFonts w:ascii="Symbol" w:hAnsi="Symbol" w:hint="default"/>
      </w:rPr>
    </w:lvl>
    <w:lvl w:ilvl="4" w:tplc="486014F4" w:tentative="1">
      <w:start w:val="1"/>
      <w:numFmt w:val="bullet"/>
      <w:lvlText w:val="o"/>
      <w:lvlJc w:val="left"/>
      <w:pPr>
        <w:ind w:left="3960" w:hanging="360"/>
      </w:pPr>
      <w:rPr>
        <w:rFonts w:ascii="Courier New" w:hAnsi="Courier New" w:cs="Courier New" w:hint="default"/>
      </w:rPr>
    </w:lvl>
    <w:lvl w:ilvl="5" w:tplc="4E465F74" w:tentative="1">
      <w:start w:val="1"/>
      <w:numFmt w:val="bullet"/>
      <w:lvlText w:val=""/>
      <w:lvlJc w:val="left"/>
      <w:pPr>
        <w:ind w:left="4680" w:hanging="360"/>
      </w:pPr>
      <w:rPr>
        <w:rFonts w:ascii="Wingdings" w:hAnsi="Wingdings" w:hint="default"/>
      </w:rPr>
    </w:lvl>
    <w:lvl w:ilvl="6" w:tplc="458C74F2" w:tentative="1">
      <w:start w:val="1"/>
      <w:numFmt w:val="bullet"/>
      <w:lvlText w:val=""/>
      <w:lvlJc w:val="left"/>
      <w:pPr>
        <w:ind w:left="5400" w:hanging="360"/>
      </w:pPr>
      <w:rPr>
        <w:rFonts w:ascii="Symbol" w:hAnsi="Symbol" w:hint="default"/>
      </w:rPr>
    </w:lvl>
    <w:lvl w:ilvl="7" w:tplc="03C2977A" w:tentative="1">
      <w:start w:val="1"/>
      <w:numFmt w:val="bullet"/>
      <w:lvlText w:val="o"/>
      <w:lvlJc w:val="left"/>
      <w:pPr>
        <w:ind w:left="6120" w:hanging="360"/>
      </w:pPr>
      <w:rPr>
        <w:rFonts w:ascii="Courier New" w:hAnsi="Courier New" w:cs="Courier New" w:hint="default"/>
      </w:rPr>
    </w:lvl>
    <w:lvl w:ilvl="8" w:tplc="86F02F18" w:tentative="1">
      <w:start w:val="1"/>
      <w:numFmt w:val="bullet"/>
      <w:lvlText w:val=""/>
      <w:lvlJc w:val="left"/>
      <w:pPr>
        <w:ind w:left="6840" w:hanging="360"/>
      </w:pPr>
      <w:rPr>
        <w:rFonts w:ascii="Wingdings" w:hAnsi="Wingdings" w:hint="default"/>
      </w:rPr>
    </w:lvl>
  </w:abstractNum>
  <w:abstractNum w:abstractNumId="167" w15:restartNumberingAfterBreak="0">
    <w:nsid w:val="7D3D58A4"/>
    <w:multiLevelType w:val="multilevel"/>
    <w:tmpl w:val="C254AD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DE63169"/>
    <w:multiLevelType w:val="hybridMultilevel"/>
    <w:tmpl w:val="0BA6202E"/>
    <w:name w:val="Heading"/>
    <w:lvl w:ilvl="0" w:tplc="ED707E0A">
      <w:start w:val="1"/>
      <w:numFmt w:val="bullet"/>
      <w:pStyle w:val="TableBullet"/>
      <w:lvlText w:val=""/>
      <w:lvlJc w:val="left"/>
      <w:pPr>
        <w:ind w:left="720" w:hanging="360"/>
      </w:pPr>
      <w:rPr>
        <w:rFonts w:ascii="Symbol" w:hAnsi="Symbol" w:hint="default"/>
        <w:vanish w:val="0"/>
      </w:rPr>
    </w:lvl>
    <w:lvl w:ilvl="1" w:tplc="D0C01200" w:tentative="1">
      <w:start w:val="1"/>
      <w:numFmt w:val="bullet"/>
      <w:lvlText w:val="o"/>
      <w:lvlJc w:val="left"/>
      <w:pPr>
        <w:ind w:left="1440" w:hanging="360"/>
      </w:pPr>
      <w:rPr>
        <w:rFonts w:ascii="Courier New" w:hAnsi="Courier New" w:hint="default"/>
        <w:vanish w:val="0"/>
      </w:rPr>
    </w:lvl>
    <w:lvl w:ilvl="2" w:tplc="D8305C9C" w:tentative="1">
      <w:start w:val="1"/>
      <w:numFmt w:val="bullet"/>
      <w:lvlText w:val=""/>
      <w:lvlJc w:val="left"/>
      <w:pPr>
        <w:ind w:left="2160" w:hanging="360"/>
      </w:pPr>
      <w:rPr>
        <w:rFonts w:ascii="Wingdings" w:hAnsi="Wingdings" w:hint="default"/>
        <w:vanish w:val="0"/>
      </w:rPr>
    </w:lvl>
    <w:lvl w:ilvl="3" w:tplc="66F09D24" w:tentative="1">
      <w:start w:val="1"/>
      <w:numFmt w:val="bullet"/>
      <w:lvlText w:val=""/>
      <w:lvlJc w:val="left"/>
      <w:pPr>
        <w:ind w:left="2880" w:hanging="360"/>
      </w:pPr>
      <w:rPr>
        <w:rFonts w:ascii="Symbol" w:hAnsi="Symbol" w:hint="default"/>
        <w:vanish w:val="0"/>
      </w:rPr>
    </w:lvl>
    <w:lvl w:ilvl="4" w:tplc="EB301706" w:tentative="1">
      <w:start w:val="1"/>
      <w:numFmt w:val="bullet"/>
      <w:lvlText w:val="o"/>
      <w:lvlJc w:val="left"/>
      <w:pPr>
        <w:ind w:left="3600" w:hanging="360"/>
      </w:pPr>
      <w:rPr>
        <w:rFonts w:ascii="Courier New" w:hAnsi="Courier New" w:hint="default"/>
        <w:vanish w:val="0"/>
      </w:rPr>
    </w:lvl>
    <w:lvl w:ilvl="5" w:tplc="9C2A9CEE" w:tentative="1">
      <w:start w:val="1"/>
      <w:numFmt w:val="bullet"/>
      <w:lvlText w:val=""/>
      <w:lvlJc w:val="left"/>
      <w:pPr>
        <w:ind w:left="4320" w:hanging="360"/>
      </w:pPr>
      <w:rPr>
        <w:rFonts w:ascii="Wingdings" w:hAnsi="Wingdings" w:hint="default"/>
        <w:vanish w:val="0"/>
      </w:rPr>
    </w:lvl>
    <w:lvl w:ilvl="6" w:tplc="C0A87994" w:tentative="1">
      <w:start w:val="1"/>
      <w:numFmt w:val="bullet"/>
      <w:lvlText w:val=""/>
      <w:lvlJc w:val="left"/>
      <w:pPr>
        <w:ind w:left="5040" w:hanging="360"/>
      </w:pPr>
      <w:rPr>
        <w:rFonts w:ascii="Symbol" w:hAnsi="Symbol" w:hint="default"/>
        <w:vanish w:val="0"/>
      </w:rPr>
    </w:lvl>
    <w:lvl w:ilvl="7" w:tplc="7DCC7F60" w:tentative="1">
      <w:start w:val="1"/>
      <w:numFmt w:val="bullet"/>
      <w:lvlText w:val="o"/>
      <w:lvlJc w:val="left"/>
      <w:pPr>
        <w:ind w:left="5760" w:hanging="360"/>
      </w:pPr>
      <w:rPr>
        <w:rFonts w:ascii="Courier New" w:hAnsi="Courier New" w:hint="default"/>
        <w:vanish w:val="0"/>
      </w:rPr>
    </w:lvl>
    <w:lvl w:ilvl="8" w:tplc="E80EF068" w:tentative="1">
      <w:start w:val="1"/>
      <w:numFmt w:val="bullet"/>
      <w:lvlText w:val=""/>
      <w:lvlJc w:val="left"/>
      <w:pPr>
        <w:tabs>
          <w:tab w:val="num" w:pos="0"/>
        </w:tabs>
        <w:ind w:left="6480" w:hanging="360"/>
      </w:pPr>
      <w:rPr>
        <w:rFonts w:ascii="Wingdings" w:hAnsi="Wingdings" w:hint="default"/>
        <w:vanish w:val="0"/>
      </w:rPr>
    </w:lvl>
  </w:abstractNum>
  <w:abstractNum w:abstractNumId="169" w15:restartNumberingAfterBreak="0">
    <w:nsid w:val="7E3A5A07"/>
    <w:multiLevelType w:val="multilevel"/>
    <w:tmpl w:val="7D6C2D02"/>
    <w:lvl w:ilvl="0">
      <w:start w:val="1"/>
      <w:numFmt w:val="lowerRoman"/>
      <w:lvlText w:val="(%1)"/>
      <w:lvlJc w:val="left"/>
      <w:rPr>
        <w:rFonts w:ascii="Garamond" w:eastAsia="Batang" w:hAnsi="Garamond" w:cs="Times New Roman"/>
        <w:b w:val="0"/>
        <w:bCs w:val="0"/>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E8765D1"/>
    <w:multiLevelType w:val="hybridMultilevel"/>
    <w:tmpl w:val="207232AE"/>
    <w:lvl w:ilvl="0" w:tplc="31D88890">
      <w:start w:val="1"/>
      <w:numFmt w:val="bullet"/>
      <w:pStyle w:val="STBBullet1DBL"/>
      <w:lvlText w:val=""/>
      <w:lvlJc w:val="left"/>
      <w:pPr>
        <w:ind w:left="1080" w:hanging="360"/>
      </w:pPr>
      <w:rPr>
        <w:rFonts w:ascii="Symbol" w:hAnsi="Symbol" w:hint="default"/>
      </w:rPr>
    </w:lvl>
    <w:lvl w:ilvl="1" w:tplc="A15A76BA" w:tentative="1">
      <w:start w:val="1"/>
      <w:numFmt w:val="bullet"/>
      <w:lvlText w:val="o"/>
      <w:lvlJc w:val="left"/>
      <w:pPr>
        <w:ind w:left="1800" w:hanging="360"/>
      </w:pPr>
      <w:rPr>
        <w:rFonts w:ascii="Courier New" w:hAnsi="Courier New" w:cs="Courier New" w:hint="default"/>
      </w:rPr>
    </w:lvl>
    <w:lvl w:ilvl="2" w:tplc="2DE06C94" w:tentative="1">
      <w:start w:val="1"/>
      <w:numFmt w:val="bullet"/>
      <w:lvlText w:val=""/>
      <w:lvlJc w:val="left"/>
      <w:pPr>
        <w:ind w:left="2520" w:hanging="360"/>
      </w:pPr>
      <w:rPr>
        <w:rFonts w:ascii="Wingdings" w:hAnsi="Wingdings" w:hint="default"/>
      </w:rPr>
    </w:lvl>
    <w:lvl w:ilvl="3" w:tplc="E1E6B412" w:tentative="1">
      <w:start w:val="1"/>
      <w:numFmt w:val="bullet"/>
      <w:lvlText w:val=""/>
      <w:lvlJc w:val="left"/>
      <w:pPr>
        <w:ind w:left="3240" w:hanging="360"/>
      </w:pPr>
      <w:rPr>
        <w:rFonts w:ascii="Symbol" w:hAnsi="Symbol" w:hint="default"/>
      </w:rPr>
    </w:lvl>
    <w:lvl w:ilvl="4" w:tplc="AA8898A4" w:tentative="1">
      <w:start w:val="1"/>
      <w:numFmt w:val="bullet"/>
      <w:lvlText w:val="o"/>
      <w:lvlJc w:val="left"/>
      <w:pPr>
        <w:ind w:left="3960" w:hanging="360"/>
      </w:pPr>
      <w:rPr>
        <w:rFonts w:ascii="Courier New" w:hAnsi="Courier New" w:cs="Courier New" w:hint="default"/>
      </w:rPr>
    </w:lvl>
    <w:lvl w:ilvl="5" w:tplc="5C4640A6" w:tentative="1">
      <w:start w:val="1"/>
      <w:numFmt w:val="bullet"/>
      <w:lvlText w:val=""/>
      <w:lvlJc w:val="left"/>
      <w:pPr>
        <w:ind w:left="4680" w:hanging="360"/>
      </w:pPr>
      <w:rPr>
        <w:rFonts w:ascii="Wingdings" w:hAnsi="Wingdings" w:hint="default"/>
      </w:rPr>
    </w:lvl>
    <w:lvl w:ilvl="6" w:tplc="A14A0810" w:tentative="1">
      <w:start w:val="1"/>
      <w:numFmt w:val="bullet"/>
      <w:lvlText w:val=""/>
      <w:lvlJc w:val="left"/>
      <w:pPr>
        <w:ind w:left="5400" w:hanging="360"/>
      </w:pPr>
      <w:rPr>
        <w:rFonts w:ascii="Symbol" w:hAnsi="Symbol" w:hint="default"/>
      </w:rPr>
    </w:lvl>
    <w:lvl w:ilvl="7" w:tplc="87D8E3E4" w:tentative="1">
      <w:start w:val="1"/>
      <w:numFmt w:val="bullet"/>
      <w:lvlText w:val="o"/>
      <w:lvlJc w:val="left"/>
      <w:pPr>
        <w:ind w:left="6120" w:hanging="360"/>
      </w:pPr>
      <w:rPr>
        <w:rFonts w:ascii="Courier New" w:hAnsi="Courier New" w:cs="Courier New" w:hint="default"/>
      </w:rPr>
    </w:lvl>
    <w:lvl w:ilvl="8" w:tplc="302C71C4" w:tentative="1">
      <w:start w:val="1"/>
      <w:numFmt w:val="bullet"/>
      <w:lvlText w:val=""/>
      <w:lvlJc w:val="left"/>
      <w:pPr>
        <w:ind w:left="6840" w:hanging="360"/>
      </w:pPr>
      <w:rPr>
        <w:rFonts w:ascii="Wingdings" w:hAnsi="Wingdings" w:hint="default"/>
      </w:rPr>
    </w:lvl>
  </w:abstractNum>
  <w:abstractNum w:abstractNumId="171" w15:restartNumberingAfterBreak="0">
    <w:nsid w:val="7FB508E1"/>
    <w:multiLevelType w:val="multilevel"/>
    <w:tmpl w:val="080A001D"/>
    <w:styleLink w:val="ShortOutlineList1"/>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2" w15:restartNumberingAfterBreak="0">
    <w:nsid w:val="7FC86A66"/>
    <w:multiLevelType w:val="hybridMultilevel"/>
    <w:tmpl w:val="7264CCF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2"/>
  </w:num>
  <w:num w:numId="3">
    <w:abstractNumId w:val="72"/>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83"/>
  </w:num>
  <w:num w:numId="15">
    <w:abstractNumId w:val="139"/>
  </w:num>
  <w:num w:numId="16">
    <w:abstractNumId w:val="166"/>
  </w:num>
  <w:num w:numId="17">
    <w:abstractNumId w:val="170"/>
  </w:num>
  <w:num w:numId="18">
    <w:abstractNumId w:val="143"/>
  </w:num>
  <w:num w:numId="19">
    <w:abstractNumId w:val="104"/>
  </w:num>
  <w:num w:numId="20">
    <w:abstractNumId w:val="34"/>
  </w:num>
  <w:num w:numId="21">
    <w:abstractNumId w:val="128"/>
  </w:num>
  <w:num w:numId="22">
    <w:abstractNumId w:val="46"/>
  </w:num>
  <w:num w:numId="23">
    <w:abstractNumId w:val="30"/>
  </w:num>
  <w:num w:numId="24">
    <w:abstractNumId w:val="133"/>
  </w:num>
  <w:num w:numId="25">
    <w:abstractNumId w:val="146"/>
  </w:num>
  <w:num w:numId="26">
    <w:abstractNumId w:val="33"/>
  </w:num>
  <w:num w:numId="27">
    <w:abstractNumId w:val="13"/>
  </w:num>
  <w:num w:numId="28">
    <w:abstractNumId w:val="51"/>
  </w:num>
  <w:num w:numId="29">
    <w:abstractNumId w:val="75"/>
  </w:num>
  <w:num w:numId="30">
    <w:abstractNumId w:val="109"/>
  </w:num>
  <w:num w:numId="31">
    <w:abstractNumId w:val="105"/>
  </w:num>
  <w:num w:numId="32">
    <w:abstractNumId w:val="150"/>
  </w:num>
  <w:num w:numId="33">
    <w:abstractNumId w:val="115"/>
  </w:num>
  <w:num w:numId="34">
    <w:abstractNumId w:val="71"/>
  </w:num>
  <w:num w:numId="35">
    <w:abstractNumId w:val="145"/>
  </w:num>
  <w:num w:numId="36">
    <w:abstractNumId w:val="43"/>
  </w:num>
  <w:num w:numId="37">
    <w:abstractNumId w:val="58"/>
  </w:num>
  <w:num w:numId="38">
    <w:abstractNumId w:val="168"/>
  </w:num>
  <w:num w:numId="39">
    <w:abstractNumId w:val="54"/>
  </w:num>
  <w:num w:numId="40">
    <w:abstractNumId w:val="15"/>
  </w:num>
  <w:num w:numId="41">
    <w:abstractNumId w:val="101"/>
  </w:num>
  <w:num w:numId="42">
    <w:abstractNumId w:val="162"/>
  </w:num>
  <w:num w:numId="43">
    <w:abstractNumId w:val="94"/>
  </w:num>
  <w:num w:numId="44">
    <w:abstractNumId w:val="147"/>
  </w:num>
  <w:num w:numId="45">
    <w:abstractNumId w:val="55"/>
  </w:num>
  <w:num w:numId="46">
    <w:abstractNumId w:val="28"/>
  </w:num>
  <w:num w:numId="47">
    <w:abstractNumId w:val="39"/>
  </w:num>
  <w:num w:numId="48">
    <w:abstractNumId w:val="81"/>
  </w:num>
  <w:num w:numId="49">
    <w:abstractNumId w:val="68"/>
  </w:num>
  <w:num w:numId="50">
    <w:abstractNumId w:val="171"/>
  </w:num>
  <w:num w:numId="51">
    <w:abstractNumId w:val="60"/>
  </w:num>
  <w:num w:numId="52">
    <w:abstractNumId w:val="21"/>
  </w:num>
  <w:num w:numId="53">
    <w:abstractNumId w:val="14"/>
  </w:num>
  <w:num w:numId="54">
    <w:abstractNumId w:val="49"/>
  </w:num>
  <w:num w:numId="55">
    <w:abstractNumId w:val="84"/>
  </w:num>
  <w:num w:numId="56">
    <w:abstractNumId w:val="38"/>
  </w:num>
  <w:num w:numId="57">
    <w:abstractNumId w:val="45"/>
  </w:num>
  <w:num w:numId="58">
    <w:abstractNumId w:val="52"/>
  </w:num>
  <w:num w:numId="59">
    <w:abstractNumId w:val="110"/>
  </w:num>
  <w:num w:numId="60">
    <w:abstractNumId w:val="155"/>
  </w:num>
  <w:num w:numId="61">
    <w:abstractNumId w:val="61"/>
  </w:num>
  <w:num w:numId="62">
    <w:abstractNumId w:val="164"/>
  </w:num>
  <w:num w:numId="63">
    <w:abstractNumId w:val="25"/>
  </w:num>
  <w:num w:numId="64">
    <w:abstractNumId w:val="73"/>
  </w:num>
  <w:num w:numId="65">
    <w:abstractNumId w:val="159"/>
  </w:num>
  <w:num w:numId="66">
    <w:abstractNumId w:val="59"/>
  </w:num>
  <w:num w:numId="67">
    <w:abstractNumId w:val="24"/>
  </w:num>
  <w:num w:numId="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54"/>
  </w:num>
  <w:num w:numId="70">
    <w:abstractNumId w:val="144"/>
  </w:num>
  <w:num w:numId="71">
    <w:abstractNumId w:val="78"/>
  </w:num>
  <w:num w:numId="72">
    <w:abstractNumId w:val="119"/>
  </w:num>
  <w:num w:numId="73">
    <w:abstractNumId w:val="56"/>
  </w:num>
  <w:num w:numId="74">
    <w:abstractNumId w:val="96"/>
  </w:num>
  <w:num w:numId="75">
    <w:abstractNumId w:val="32"/>
  </w:num>
  <w:num w:numId="76">
    <w:abstractNumId w:val="74"/>
  </w:num>
  <w:num w:numId="77">
    <w:abstractNumId w:val="48"/>
  </w:num>
  <w:num w:numId="78">
    <w:abstractNumId w:val="160"/>
  </w:num>
  <w:num w:numId="79">
    <w:abstractNumId w:val="23"/>
  </w:num>
  <w:num w:numId="80">
    <w:abstractNumId w:val="102"/>
  </w:num>
  <w:num w:numId="81">
    <w:abstractNumId w:val="167"/>
  </w:num>
  <w:num w:numId="82">
    <w:abstractNumId w:val="22"/>
  </w:num>
  <w:num w:numId="83">
    <w:abstractNumId w:val="130"/>
  </w:num>
  <w:num w:numId="84">
    <w:abstractNumId w:val="138"/>
  </w:num>
  <w:num w:numId="85">
    <w:abstractNumId w:val="121"/>
  </w:num>
  <w:num w:numId="86">
    <w:abstractNumId w:val="36"/>
  </w:num>
  <w:num w:numId="87">
    <w:abstractNumId w:val="112"/>
  </w:num>
  <w:num w:numId="88">
    <w:abstractNumId w:val="86"/>
  </w:num>
  <w:num w:numId="89">
    <w:abstractNumId w:val="169"/>
  </w:num>
  <w:num w:numId="90">
    <w:abstractNumId w:val="90"/>
  </w:num>
  <w:num w:numId="91">
    <w:abstractNumId w:val="35"/>
  </w:num>
  <w:num w:numId="92">
    <w:abstractNumId w:val="17"/>
  </w:num>
  <w:num w:numId="93">
    <w:abstractNumId w:val="70"/>
  </w:num>
  <w:num w:numId="94">
    <w:abstractNumId w:val="118"/>
  </w:num>
  <w:num w:numId="95">
    <w:abstractNumId w:val="40"/>
  </w:num>
  <w:num w:numId="96">
    <w:abstractNumId w:val="99"/>
  </w:num>
  <w:num w:numId="97">
    <w:abstractNumId w:val="26"/>
  </w:num>
  <w:num w:numId="98">
    <w:abstractNumId w:val="157"/>
  </w:num>
  <w:num w:numId="99">
    <w:abstractNumId w:val="140"/>
  </w:num>
  <w:num w:numId="100">
    <w:abstractNumId w:val="106"/>
  </w:num>
  <w:num w:numId="101">
    <w:abstractNumId w:val="156"/>
  </w:num>
  <w:num w:numId="102">
    <w:abstractNumId w:val="114"/>
  </w:num>
  <w:num w:numId="103">
    <w:abstractNumId w:val="153"/>
  </w:num>
  <w:num w:numId="104">
    <w:abstractNumId w:val="64"/>
  </w:num>
  <w:num w:numId="105">
    <w:abstractNumId w:val="136"/>
  </w:num>
  <w:num w:numId="106">
    <w:abstractNumId w:val="135"/>
  </w:num>
  <w:num w:numId="107">
    <w:abstractNumId w:val="95"/>
  </w:num>
  <w:num w:numId="108">
    <w:abstractNumId w:val="126"/>
  </w:num>
  <w:num w:numId="109">
    <w:abstractNumId w:val="82"/>
  </w:num>
  <w:num w:numId="110">
    <w:abstractNumId w:val="103"/>
  </w:num>
  <w:num w:numId="111">
    <w:abstractNumId w:val="137"/>
  </w:num>
  <w:num w:numId="112">
    <w:abstractNumId w:val="63"/>
  </w:num>
  <w:num w:numId="113">
    <w:abstractNumId w:val="18"/>
  </w:num>
  <w:num w:numId="114">
    <w:abstractNumId w:val="125"/>
  </w:num>
  <w:num w:numId="115">
    <w:abstractNumId w:val="120"/>
  </w:num>
  <w:num w:numId="116">
    <w:abstractNumId w:val="29"/>
  </w:num>
  <w:num w:numId="117">
    <w:abstractNumId w:val="151"/>
  </w:num>
  <w:num w:numId="118">
    <w:abstractNumId w:val="66"/>
  </w:num>
  <w:num w:numId="119">
    <w:abstractNumId w:val="85"/>
  </w:num>
  <w:num w:numId="120">
    <w:abstractNumId w:val="92"/>
  </w:num>
  <w:num w:numId="121">
    <w:abstractNumId w:val="113"/>
  </w:num>
  <w:num w:numId="122">
    <w:abstractNumId w:val="134"/>
  </w:num>
  <w:num w:numId="123">
    <w:abstractNumId w:val="37"/>
  </w:num>
  <w:num w:numId="124">
    <w:abstractNumId w:val="124"/>
  </w:num>
  <w:num w:numId="125">
    <w:abstractNumId w:val="44"/>
  </w:num>
  <w:num w:numId="126">
    <w:abstractNumId w:val="79"/>
  </w:num>
  <w:num w:numId="127">
    <w:abstractNumId w:val="12"/>
  </w:num>
  <w:num w:numId="128">
    <w:abstractNumId w:val="148"/>
  </w:num>
  <w:num w:numId="129">
    <w:abstractNumId w:val="50"/>
  </w:num>
  <w:num w:numId="130">
    <w:abstractNumId w:val="142"/>
  </w:num>
  <w:num w:numId="131">
    <w:abstractNumId w:val="77"/>
  </w:num>
  <w:num w:numId="132">
    <w:abstractNumId w:val="131"/>
  </w:num>
  <w:num w:numId="133">
    <w:abstractNumId w:val="97"/>
  </w:num>
  <w:num w:numId="134">
    <w:abstractNumId w:val="91"/>
  </w:num>
  <w:num w:numId="135">
    <w:abstractNumId w:val="149"/>
  </w:num>
  <w:num w:numId="136">
    <w:abstractNumId w:val="98"/>
  </w:num>
  <w:num w:numId="137">
    <w:abstractNumId w:val="16"/>
    <w:lvlOverride w:ilvl="0">
      <w:lvl w:ilvl="0" w:tplc="9EFA44DA">
        <w:start w:val="1"/>
        <w:numFmt w:val="decimal"/>
        <w:lvlText w:val="(%1)"/>
        <w:lvlJc w:val="left"/>
        <w:pPr>
          <w:ind w:left="502" w:hanging="360"/>
        </w:pPr>
        <w:rPr>
          <w:rFonts w:hint="default"/>
          <w:i w:val="0"/>
          <w:color w:val="auto"/>
        </w:rPr>
      </w:lvl>
    </w:lvlOverride>
  </w:num>
  <w:num w:numId="138">
    <w:abstractNumId w:val="123"/>
  </w:num>
  <w:num w:numId="139">
    <w:abstractNumId w:val="108"/>
  </w:num>
  <w:num w:numId="140">
    <w:abstractNumId w:val="165"/>
  </w:num>
  <w:num w:numId="141">
    <w:abstractNumId w:val="127"/>
  </w:num>
  <w:num w:numId="142">
    <w:abstractNumId w:val="76"/>
  </w:num>
  <w:num w:numId="143">
    <w:abstractNumId w:val="89"/>
  </w:num>
  <w:num w:numId="144">
    <w:abstractNumId w:val="172"/>
  </w:num>
  <w:num w:numId="145">
    <w:abstractNumId w:val="65"/>
  </w:num>
  <w:num w:numId="146">
    <w:abstractNumId w:val="93"/>
  </w:num>
  <w:num w:numId="147">
    <w:abstractNumId w:val="161"/>
  </w:num>
  <w:num w:numId="148">
    <w:abstractNumId w:val="152"/>
  </w:num>
  <w:num w:numId="149">
    <w:abstractNumId w:val="80"/>
  </w:num>
  <w:num w:numId="150">
    <w:abstractNumId w:val="117"/>
  </w:num>
  <w:num w:numId="151">
    <w:abstractNumId w:val="42"/>
  </w:num>
  <w:num w:numId="152">
    <w:abstractNumId w:val="20"/>
  </w:num>
  <w:num w:numId="153">
    <w:abstractNumId w:val="129"/>
  </w:num>
  <w:num w:numId="154">
    <w:abstractNumId w:val="53"/>
  </w:num>
  <w:num w:numId="155">
    <w:abstractNumId w:val="144"/>
  </w:num>
  <w:num w:numId="156">
    <w:abstractNumId w:val="18"/>
  </w:num>
  <w:num w:numId="157">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7"/>
  </w:num>
  <w:num w:numId="160">
    <w:abstractNumId w:val="80"/>
  </w:num>
  <w:num w:numId="161">
    <w:abstractNumId w:val="97"/>
  </w:num>
  <w:num w:numId="162">
    <w:abstractNumId w:val="91"/>
  </w:num>
  <w:num w:numId="163">
    <w:abstractNumId w:val="47"/>
  </w:num>
  <w:num w:numId="164">
    <w:abstractNumId w:val="78"/>
    <w:lvlOverride w:ilvl="0">
      <w:startOverride w:val="1"/>
    </w:lvlOverride>
    <w:lvlOverride w:ilvl="1"/>
    <w:lvlOverride w:ilvl="2"/>
    <w:lvlOverride w:ilvl="3"/>
    <w:lvlOverride w:ilvl="4"/>
    <w:lvlOverride w:ilvl="5"/>
    <w:lvlOverride w:ilvl="6"/>
    <w:lvlOverride w:ilvl="7"/>
    <w:lvlOverride w:ilvl="8"/>
  </w:num>
  <w:num w:numId="1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65"/>
  </w:num>
  <w:num w:numId="167">
    <w:abstractNumId w:val="151"/>
    <w:lvlOverride w:ilvl="0">
      <w:startOverride w:val="1"/>
    </w:lvlOverride>
    <w:lvlOverride w:ilvl="1"/>
    <w:lvlOverride w:ilvl="2"/>
    <w:lvlOverride w:ilvl="3"/>
    <w:lvlOverride w:ilvl="4"/>
    <w:lvlOverride w:ilvl="5"/>
    <w:lvlOverride w:ilvl="6"/>
    <w:lvlOverride w:ilvl="7"/>
    <w:lvlOverride w:ilvl="8"/>
  </w:num>
  <w:num w:numId="168">
    <w:abstractNumId w:val="119"/>
    <w:lvlOverride w:ilvl="0">
      <w:startOverride w:val="1"/>
    </w:lvlOverride>
    <w:lvlOverride w:ilvl="1"/>
    <w:lvlOverride w:ilvl="2"/>
    <w:lvlOverride w:ilvl="3"/>
    <w:lvlOverride w:ilvl="4"/>
    <w:lvlOverride w:ilvl="5"/>
    <w:lvlOverride w:ilvl="6"/>
    <w:lvlOverride w:ilvl="7"/>
    <w:lvlOverride w:ilvl="8"/>
  </w:num>
  <w:num w:numId="169">
    <w:abstractNumId w:val="56"/>
    <w:lvlOverride w:ilvl="0">
      <w:startOverride w:val="1"/>
    </w:lvlOverride>
    <w:lvlOverride w:ilvl="1"/>
    <w:lvlOverride w:ilvl="2"/>
    <w:lvlOverride w:ilvl="3"/>
    <w:lvlOverride w:ilvl="4"/>
    <w:lvlOverride w:ilvl="5"/>
    <w:lvlOverride w:ilvl="6"/>
    <w:lvlOverride w:ilvl="7"/>
    <w:lvlOverride w:ilvl="8"/>
  </w:num>
  <w:num w:numId="170">
    <w:abstractNumId w:val="96"/>
    <w:lvlOverride w:ilvl="0">
      <w:startOverride w:val="1"/>
    </w:lvlOverride>
    <w:lvlOverride w:ilvl="1"/>
    <w:lvlOverride w:ilvl="2"/>
    <w:lvlOverride w:ilvl="3"/>
    <w:lvlOverride w:ilvl="4"/>
    <w:lvlOverride w:ilvl="5"/>
    <w:lvlOverride w:ilvl="6"/>
    <w:lvlOverride w:ilvl="7"/>
    <w:lvlOverride w:ilvl="8"/>
  </w:num>
  <w:num w:numId="171">
    <w:abstractNumId w:val="32"/>
    <w:lvlOverride w:ilvl="0">
      <w:startOverride w:val="1"/>
    </w:lvlOverride>
    <w:lvlOverride w:ilvl="1"/>
    <w:lvlOverride w:ilvl="2"/>
    <w:lvlOverride w:ilvl="3"/>
    <w:lvlOverride w:ilvl="4"/>
    <w:lvlOverride w:ilvl="5"/>
    <w:lvlOverride w:ilvl="6"/>
    <w:lvlOverride w:ilvl="7"/>
    <w:lvlOverride w:ilvl="8"/>
  </w:num>
  <w:num w:numId="172">
    <w:abstractNumId w:val="74"/>
    <w:lvlOverride w:ilvl="0">
      <w:startOverride w:val="1"/>
    </w:lvlOverride>
    <w:lvlOverride w:ilvl="1"/>
    <w:lvlOverride w:ilvl="2"/>
    <w:lvlOverride w:ilvl="3"/>
    <w:lvlOverride w:ilvl="4"/>
    <w:lvlOverride w:ilvl="5"/>
    <w:lvlOverride w:ilvl="6"/>
    <w:lvlOverride w:ilvl="7"/>
    <w:lvlOverride w:ilvl="8"/>
  </w:num>
  <w:num w:numId="173">
    <w:abstractNumId w:val="152"/>
    <w:lvlOverride w:ilvl="0">
      <w:startOverride w:val="2"/>
    </w:lvlOverride>
    <w:lvlOverride w:ilvl="1"/>
    <w:lvlOverride w:ilvl="2"/>
    <w:lvlOverride w:ilvl="3"/>
    <w:lvlOverride w:ilvl="4"/>
    <w:lvlOverride w:ilvl="5"/>
    <w:lvlOverride w:ilvl="6"/>
    <w:lvlOverride w:ilvl="7"/>
    <w:lvlOverride w:ilvl="8"/>
  </w:num>
  <w:num w:numId="174">
    <w:abstractNumId w:val="161"/>
    <w:lvlOverride w:ilvl="0">
      <w:startOverride w:val="1"/>
    </w:lvlOverride>
    <w:lvlOverride w:ilvl="1"/>
    <w:lvlOverride w:ilvl="2"/>
    <w:lvlOverride w:ilvl="3"/>
    <w:lvlOverride w:ilvl="4"/>
    <w:lvlOverride w:ilvl="5"/>
    <w:lvlOverride w:ilvl="6"/>
    <w:lvlOverride w:ilvl="7"/>
    <w:lvlOverride w:ilvl="8"/>
  </w:num>
  <w:num w:numId="175">
    <w:abstractNumId w:val="48"/>
    <w:lvlOverride w:ilvl="0">
      <w:startOverride w:val="1"/>
    </w:lvlOverride>
    <w:lvlOverride w:ilvl="1"/>
    <w:lvlOverride w:ilvl="2"/>
    <w:lvlOverride w:ilvl="3"/>
    <w:lvlOverride w:ilvl="4"/>
    <w:lvlOverride w:ilvl="5"/>
    <w:lvlOverride w:ilvl="6"/>
    <w:lvlOverride w:ilvl="7"/>
    <w:lvlOverride w:ilvl="8"/>
  </w:num>
  <w:num w:numId="1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60"/>
    <w:lvlOverride w:ilvl="0">
      <w:startOverride w:val="1"/>
    </w:lvlOverride>
    <w:lvlOverride w:ilvl="1"/>
    <w:lvlOverride w:ilvl="2"/>
    <w:lvlOverride w:ilvl="3"/>
    <w:lvlOverride w:ilvl="4"/>
    <w:lvlOverride w:ilvl="5"/>
    <w:lvlOverride w:ilvl="6"/>
    <w:lvlOverride w:ilvl="7"/>
    <w:lvlOverride w:ilvl="8"/>
  </w:num>
  <w:num w:numId="178">
    <w:abstractNumId w:val="23"/>
    <w:lvlOverride w:ilvl="0">
      <w:startOverride w:val="1"/>
    </w:lvlOverride>
    <w:lvlOverride w:ilvl="1"/>
    <w:lvlOverride w:ilvl="2"/>
    <w:lvlOverride w:ilvl="3"/>
    <w:lvlOverride w:ilvl="4"/>
    <w:lvlOverride w:ilvl="5"/>
    <w:lvlOverride w:ilvl="6"/>
    <w:lvlOverride w:ilvl="7"/>
    <w:lvlOverride w:ilvl="8"/>
  </w:num>
  <w:num w:numId="179">
    <w:abstractNumId w:val="66"/>
    <w:lvlOverride w:ilvl="0">
      <w:startOverride w:val="1"/>
    </w:lvlOverride>
    <w:lvlOverride w:ilvl="1"/>
    <w:lvlOverride w:ilvl="2"/>
    <w:lvlOverride w:ilvl="3"/>
    <w:lvlOverride w:ilvl="4"/>
    <w:lvlOverride w:ilvl="5"/>
    <w:lvlOverride w:ilvl="6"/>
    <w:lvlOverride w:ilvl="7"/>
    <w:lvlOverride w:ilvl="8"/>
  </w:num>
  <w:num w:numId="180">
    <w:abstractNumId w:val="85"/>
    <w:lvlOverride w:ilvl="0">
      <w:startOverride w:val="1"/>
    </w:lvlOverride>
    <w:lvlOverride w:ilvl="1"/>
    <w:lvlOverride w:ilvl="2"/>
    <w:lvlOverride w:ilvl="3"/>
    <w:lvlOverride w:ilvl="4"/>
    <w:lvlOverride w:ilvl="5"/>
    <w:lvlOverride w:ilvl="6"/>
    <w:lvlOverride w:ilvl="7"/>
    <w:lvlOverride w:ilvl="8"/>
  </w:num>
  <w:num w:numId="181">
    <w:abstractNumId w:val="92"/>
    <w:lvlOverride w:ilvl="0">
      <w:startOverride w:val="1"/>
    </w:lvlOverride>
    <w:lvlOverride w:ilvl="1"/>
    <w:lvlOverride w:ilvl="2"/>
    <w:lvlOverride w:ilvl="3"/>
    <w:lvlOverride w:ilvl="4"/>
    <w:lvlOverride w:ilvl="5"/>
    <w:lvlOverride w:ilvl="6"/>
    <w:lvlOverride w:ilvl="7"/>
    <w:lvlOverride w:ilvl="8"/>
  </w:num>
  <w:num w:numId="182">
    <w:abstractNumId w:val="113"/>
    <w:lvlOverride w:ilvl="0">
      <w:startOverride w:val="1"/>
    </w:lvlOverride>
    <w:lvlOverride w:ilvl="1"/>
    <w:lvlOverride w:ilvl="2"/>
    <w:lvlOverride w:ilvl="3"/>
    <w:lvlOverride w:ilvl="4"/>
    <w:lvlOverride w:ilvl="5"/>
    <w:lvlOverride w:ilvl="6"/>
    <w:lvlOverride w:ilvl="7"/>
    <w:lvlOverride w:ilvl="8"/>
  </w:num>
  <w:num w:numId="183">
    <w:abstractNumId w:val="102"/>
    <w:lvlOverride w:ilvl="0">
      <w:startOverride w:val="1"/>
    </w:lvlOverride>
    <w:lvlOverride w:ilvl="1"/>
    <w:lvlOverride w:ilvl="2"/>
    <w:lvlOverride w:ilvl="3"/>
    <w:lvlOverride w:ilvl="4"/>
    <w:lvlOverride w:ilvl="5"/>
    <w:lvlOverride w:ilvl="6"/>
    <w:lvlOverride w:ilvl="7"/>
    <w:lvlOverride w:ilvl="8"/>
  </w:num>
  <w:num w:numId="184">
    <w:abstractNumId w:val="167"/>
    <w:lvlOverride w:ilvl="0">
      <w:startOverride w:val="1"/>
    </w:lvlOverride>
    <w:lvlOverride w:ilvl="1"/>
    <w:lvlOverride w:ilvl="2"/>
    <w:lvlOverride w:ilvl="3"/>
    <w:lvlOverride w:ilvl="4"/>
    <w:lvlOverride w:ilvl="5"/>
    <w:lvlOverride w:ilvl="6"/>
    <w:lvlOverride w:ilvl="7"/>
    <w:lvlOverride w:ilvl="8"/>
  </w:num>
  <w:num w:numId="185">
    <w:abstractNumId w:val="22"/>
    <w:lvlOverride w:ilvl="0">
      <w:startOverride w:val="1"/>
    </w:lvlOverride>
    <w:lvlOverride w:ilvl="1"/>
    <w:lvlOverride w:ilvl="2"/>
    <w:lvlOverride w:ilvl="3"/>
    <w:lvlOverride w:ilvl="4"/>
    <w:lvlOverride w:ilvl="5"/>
    <w:lvlOverride w:ilvl="6"/>
    <w:lvlOverride w:ilvl="7"/>
    <w:lvlOverride w:ilvl="8"/>
  </w:num>
  <w:num w:numId="186">
    <w:abstractNumId w:val="130"/>
    <w:lvlOverride w:ilvl="0">
      <w:startOverride w:val="1"/>
    </w:lvlOverride>
    <w:lvlOverride w:ilvl="1"/>
    <w:lvlOverride w:ilvl="2"/>
    <w:lvlOverride w:ilvl="3"/>
    <w:lvlOverride w:ilvl="4"/>
    <w:lvlOverride w:ilvl="5"/>
    <w:lvlOverride w:ilvl="6"/>
    <w:lvlOverride w:ilvl="7"/>
    <w:lvlOverride w:ilvl="8"/>
  </w:num>
  <w:num w:numId="187">
    <w:abstractNumId w:val="138"/>
    <w:lvlOverride w:ilvl="0">
      <w:startOverride w:val="1"/>
    </w:lvlOverride>
    <w:lvlOverride w:ilvl="1"/>
    <w:lvlOverride w:ilvl="2"/>
    <w:lvlOverride w:ilvl="3"/>
    <w:lvlOverride w:ilvl="4"/>
    <w:lvlOverride w:ilvl="5"/>
    <w:lvlOverride w:ilvl="6"/>
    <w:lvlOverride w:ilvl="7"/>
    <w:lvlOverride w:ilvl="8"/>
  </w:num>
  <w:num w:numId="188">
    <w:abstractNumId w:val="121"/>
    <w:lvlOverride w:ilvl="0">
      <w:startOverride w:val="1"/>
    </w:lvlOverride>
    <w:lvlOverride w:ilvl="1"/>
    <w:lvlOverride w:ilvl="2"/>
    <w:lvlOverride w:ilvl="3"/>
    <w:lvlOverride w:ilvl="4"/>
    <w:lvlOverride w:ilvl="5"/>
    <w:lvlOverride w:ilvl="6"/>
    <w:lvlOverride w:ilvl="7"/>
    <w:lvlOverride w:ilvl="8"/>
  </w:num>
  <w:num w:numId="189">
    <w:abstractNumId w:val="36"/>
    <w:lvlOverride w:ilvl="0">
      <w:startOverride w:val="1"/>
    </w:lvlOverride>
    <w:lvlOverride w:ilvl="1"/>
    <w:lvlOverride w:ilvl="2"/>
    <w:lvlOverride w:ilvl="3"/>
    <w:lvlOverride w:ilvl="4"/>
    <w:lvlOverride w:ilvl="5"/>
    <w:lvlOverride w:ilvl="6"/>
    <w:lvlOverride w:ilvl="7"/>
    <w:lvlOverride w:ilvl="8"/>
  </w:num>
  <w:num w:numId="190">
    <w:abstractNumId w:val="112"/>
    <w:lvlOverride w:ilvl="0">
      <w:startOverride w:val="1"/>
    </w:lvlOverride>
    <w:lvlOverride w:ilvl="1"/>
    <w:lvlOverride w:ilvl="2"/>
    <w:lvlOverride w:ilvl="3"/>
    <w:lvlOverride w:ilvl="4"/>
    <w:lvlOverride w:ilvl="5"/>
    <w:lvlOverride w:ilvl="6"/>
    <w:lvlOverride w:ilvl="7"/>
    <w:lvlOverride w:ilvl="8"/>
  </w:num>
  <w:num w:numId="191">
    <w:abstractNumId w:val="86"/>
    <w:lvlOverride w:ilvl="0">
      <w:startOverride w:val="1"/>
    </w:lvlOverride>
    <w:lvlOverride w:ilvl="1"/>
    <w:lvlOverride w:ilvl="2"/>
    <w:lvlOverride w:ilvl="3"/>
    <w:lvlOverride w:ilvl="4"/>
    <w:lvlOverride w:ilvl="5"/>
    <w:lvlOverride w:ilvl="6"/>
    <w:lvlOverride w:ilvl="7"/>
    <w:lvlOverride w:ilvl="8"/>
  </w:num>
  <w:num w:numId="192">
    <w:abstractNumId w:val="169"/>
    <w:lvlOverride w:ilvl="0">
      <w:startOverride w:val="1"/>
    </w:lvlOverride>
    <w:lvlOverride w:ilvl="1"/>
    <w:lvlOverride w:ilvl="2"/>
    <w:lvlOverride w:ilvl="3"/>
    <w:lvlOverride w:ilvl="4"/>
    <w:lvlOverride w:ilvl="5"/>
    <w:lvlOverride w:ilvl="6"/>
    <w:lvlOverride w:ilvl="7"/>
    <w:lvlOverride w:ilvl="8"/>
  </w:num>
  <w:num w:numId="193">
    <w:abstractNumId w:val="90"/>
    <w:lvlOverride w:ilvl="0">
      <w:startOverride w:val="1"/>
    </w:lvlOverride>
    <w:lvlOverride w:ilvl="1"/>
    <w:lvlOverride w:ilvl="2"/>
    <w:lvlOverride w:ilvl="3"/>
    <w:lvlOverride w:ilvl="4"/>
    <w:lvlOverride w:ilvl="5"/>
    <w:lvlOverride w:ilvl="6"/>
    <w:lvlOverride w:ilvl="7"/>
    <w:lvlOverride w:ilvl="8"/>
  </w:num>
  <w:num w:numId="194">
    <w:abstractNumId w:val="35"/>
    <w:lvlOverride w:ilvl="0">
      <w:startOverride w:val="1"/>
    </w:lvlOverride>
    <w:lvlOverride w:ilvl="1"/>
    <w:lvlOverride w:ilvl="2"/>
    <w:lvlOverride w:ilvl="3"/>
    <w:lvlOverride w:ilvl="4"/>
    <w:lvlOverride w:ilvl="5"/>
    <w:lvlOverride w:ilvl="6"/>
    <w:lvlOverride w:ilvl="7"/>
    <w:lvlOverride w:ilvl="8"/>
  </w:num>
  <w:num w:numId="195">
    <w:abstractNumId w:val="17"/>
    <w:lvlOverride w:ilvl="0">
      <w:startOverride w:val="1"/>
    </w:lvlOverride>
    <w:lvlOverride w:ilvl="1"/>
    <w:lvlOverride w:ilvl="2"/>
    <w:lvlOverride w:ilvl="3"/>
    <w:lvlOverride w:ilvl="4"/>
    <w:lvlOverride w:ilvl="5"/>
    <w:lvlOverride w:ilvl="6"/>
    <w:lvlOverride w:ilvl="7"/>
    <w:lvlOverride w:ilvl="8"/>
  </w:num>
  <w:num w:numId="196">
    <w:abstractNumId w:val="70"/>
    <w:lvlOverride w:ilvl="0">
      <w:startOverride w:val="1"/>
    </w:lvlOverride>
    <w:lvlOverride w:ilvl="1"/>
    <w:lvlOverride w:ilvl="2"/>
    <w:lvlOverride w:ilvl="3"/>
    <w:lvlOverride w:ilvl="4"/>
    <w:lvlOverride w:ilvl="5"/>
    <w:lvlOverride w:ilvl="6"/>
    <w:lvlOverride w:ilvl="7"/>
    <w:lvlOverride w:ilvl="8"/>
  </w:num>
  <w:num w:numId="197">
    <w:abstractNumId w:val="118"/>
    <w:lvlOverride w:ilvl="0">
      <w:startOverride w:val="1"/>
    </w:lvlOverride>
    <w:lvlOverride w:ilvl="1"/>
    <w:lvlOverride w:ilvl="2"/>
    <w:lvlOverride w:ilvl="3"/>
    <w:lvlOverride w:ilvl="4"/>
    <w:lvlOverride w:ilvl="5"/>
    <w:lvlOverride w:ilvl="6"/>
    <w:lvlOverride w:ilvl="7"/>
    <w:lvlOverride w:ilvl="8"/>
  </w:num>
  <w:num w:numId="198">
    <w:abstractNumId w:val="40"/>
    <w:lvlOverride w:ilvl="0">
      <w:startOverride w:val="1"/>
    </w:lvlOverride>
    <w:lvlOverride w:ilvl="1"/>
    <w:lvlOverride w:ilvl="2"/>
    <w:lvlOverride w:ilvl="3"/>
    <w:lvlOverride w:ilvl="4"/>
    <w:lvlOverride w:ilvl="5"/>
    <w:lvlOverride w:ilvl="6"/>
    <w:lvlOverride w:ilvl="7"/>
    <w:lvlOverride w:ilvl="8"/>
  </w:num>
  <w:num w:numId="199">
    <w:abstractNumId w:val="99"/>
    <w:lvlOverride w:ilvl="0">
      <w:startOverride w:val="1"/>
    </w:lvlOverride>
    <w:lvlOverride w:ilvl="1"/>
    <w:lvlOverride w:ilvl="2"/>
    <w:lvlOverride w:ilvl="3"/>
    <w:lvlOverride w:ilvl="4"/>
    <w:lvlOverride w:ilvl="5"/>
    <w:lvlOverride w:ilvl="6"/>
    <w:lvlOverride w:ilvl="7"/>
    <w:lvlOverride w:ilvl="8"/>
  </w:num>
  <w:num w:numId="200">
    <w:abstractNumId w:val="26"/>
    <w:lvlOverride w:ilvl="0">
      <w:startOverride w:val="1"/>
    </w:lvlOverride>
    <w:lvlOverride w:ilvl="1"/>
    <w:lvlOverride w:ilvl="2"/>
    <w:lvlOverride w:ilvl="3"/>
    <w:lvlOverride w:ilvl="4"/>
    <w:lvlOverride w:ilvl="5"/>
    <w:lvlOverride w:ilvl="6"/>
    <w:lvlOverride w:ilvl="7"/>
    <w:lvlOverride w:ilvl="8"/>
  </w:num>
  <w:num w:numId="201">
    <w:abstractNumId w:val="134"/>
    <w:lvlOverride w:ilvl="0">
      <w:startOverride w:val="1"/>
    </w:lvlOverride>
    <w:lvlOverride w:ilvl="1"/>
    <w:lvlOverride w:ilvl="2"/>
    <w:lvlOverride w:ilvl="3"/>
    <w:lvlOverride w:ilvl="4"/>
    <w:lvlOverride w:ilvl="5"/>
    <w:lvlOverride w:ilvl="6"/>
    <w:lvlOverride w:ilvl="7"/>
    <w:lvlOverride w:ilvl="8"/>
  </w:num>
  <w:num w:numId="202">
    <w:abstractNumId w:val="37"/>
    <w:lvlOverride w:ilvl="0">
      <w:startOverride w:val="1"/>
    </w:lvlOverride>
    <w:lvlOverride w:ilvl="1"/>
    <w:lvlOverride w:ilvl="2"/>
    <w:lvlOverride w:ilvl="3"/>
    <w:lvlOverride w:ilvl="4"/>
    <w:lvlOverride w:ilvl="5"/>
    <w:lvlOverride w:ilvl="6"/>
    <w:lvlOverride w:ilvl="7"/>
    <w:lvlOverride w:ilvl="8"/>
  </w:num>
  <w:num w:numId="203">
    <w:abstractNumId w:val="124"/>
    <w:lvlOverride w:ilvl="0">
      <w:startOverride w:val="1"/>
    </w:lvlOverride>
    <w:lvlOverride w:ilvl="1"/>
    <w:lvlOverride w:ilvl="2"/>
    <w:lvlOverride w:ilvl="3"/>
    <w:lvlOverride w:ilvl="4"/>
    <w:lvlOverride w:ilvl="5"/>
    <w:lvlOverride w:ilvl="6"/>
    <w:lvlOverride w:ilvl="7"/>
    <w:lvlOverride w:ilvl="8"/>
  </w:num>
  <w:num w:numId="204">
    <w:abstractNumId w:val="44"/>
    <w:lvlOverride w:ilvl="0">
      <w:startOverride w:val="1"/>
    </w:lvlOverride>
    <w:lvlOverride w:ilvl="1"/>
    <w:lvlOverride w:ilvl="2"/>
    <w:lvlOverride w:ilvl="3"/>
    <w:lvlOverride w:ilvl="4"/>
    <w:lvlOverride w:ilvl="5"/>
    <w:lvlOverride w:ilvl="6"/>
    <w:lvlOverride w:ilvl="7"/>
    <w:lvlOverride w:ilvl="8"/>
  </w:num>
  <w:num w:numId="205">
    <w:abstractNumId w:val="157"/>
    <w:lvlOverride w:ilvl="0">
      <w:startOverride w:val="1"/>
    </w:lvlOverride>
    <w:lvlOverride w:ilvl="1"/>
    <w:lvlOverride w:ilvl="2"/>
    <w:lvlOverride w:ilvl="3"/>
    <w:lvlOverride w:ilvl="4"/>
    <w:lvlOverride w:ilvl="5"/>
    <w:lvlOverride w:ilvl="6"/>
    <w:lvlOverride w:ilvl="7"/>
    <w:lvlOverride w:ilvl="8"/>
  </w:num>
  <w:num w:numId="206">
    <w:abstractNumId w:val="140"/>
    <w:lvlOverride w:ilvl="0">
      <w:startOverride w:val="1"/>
    </w:lvlOverride>
    <w:lvlOverride w:ilvl="1"/>
    <w:lvlOverride w:ilvl="2"/>
    <w:lvlOverride w:ilvl="3"/>
    <w:lvlOverride w:ilvl="4"/>
    <w:lvlOverride w:ilvl="5"/>
    <w:lvlOverride w:ilvl="6"/>
    <w:lvlOverride w:ilvl="7"/>
    <w:lvlOverride w:ilvl="8"/>
  </w:num>
  <w:num w:numId="207">
    <w:abstractNumId w:val="106"/>
    <w:lvlOverride w:ilvl="0">
      <w:startOverride w:val="1"/>
    </w:lvlOverride>
    <w:lvlOverride w:ilvl="1"/>
    <w:lvlOverride w:ilvl="2"/>
    <w:lvlOverride w:ilvl="3"/>
    <w:lvlOverride w:ilvl="4"/>
    <w:lvlOverride w:ilvl="5"/>
    <w:lvlOverride w:ilvl="6"/>
    <w:lvlOverride w:ilvl="7"/>
    <w:lvlOverride w:ilvl="8"/>
  </w:num>
  <w:num w:numId="208">
    <w:abstractNumId w:val="156"/>
    <w:lvlOverride w:ilvl="0">
      <w:startOverride w:val="1"/>
    </w:lvlOverride>
    <w:lvlOverride w:ilvl="1"/>
    <w:lvlOverride w:ilvl="2"/>
    <w:lvlOverride w:ilvl="3"/>
    <w:lvlOverride w:ilvl="4"/>
    <w:lvlOverride w:ilvl="5"/>
    <w:lvlOverride w:ilvl="6"/>
    <w:lvlOverride w:ilvl="7"/>
    <w:lvlOverride w:ilvl="8"/>
  </w:num>
  <w:num w:numId="209">
    <w:abstractNumId w:val="114"/>
    <w:lvlOverride w:ilvl="0">
      <w:startOverride w:val="1"/>
    </w:lvlOverride>
    <w:lvlOverride w:ilvl="1"/>
    <w:lvlOverride w:ilvl="2"/>
    <w:lvlOverride w:ilvl="3"/>
    <w:lvlOverride w:ilvl="4"/>
    <w:lvlOverride w:ilvl="5"/>
    <w:lvlOverride w:ilvl="6"/>
    <w:lvlOverride w:ilvl="7"/>
    <w:lvlOverride w:ilvl="8"/>
  </w:num>
  <w:num w:numId="210">
    <w:abstractNumId w:val="153"/>
    <w:lvlOverride w:ilvl="0">
      <w:startOverride w:val="1"/>
    </w:lvlOverride>
    <w:lvlOverride w:ilvl="1"/>
    <w:lvlOverride w:ilvl="2"/>
    <w:lvlOverride w:ilvl="3"/>
    <w:lvlOverride w:ilvl="4"/>
    <w:lvlOverride w:ilvl="5"/>
    <w:lvlOverride w:ilvl="6"/>
    <w:lvlOverride w:ilvl="7"/>
    <w:lvlOverride w:ilvl="8"/>
  </w:num>
  <w:num w:numId="211">
    <w:abstractNumId w:val="64"/>
    <w:lvlOverride w:ilvl="0">
      <w:startOverride w:val="1"/>
    </w:lvlOverride>
    <w:lvlOverride w:ilvl="1"/>
    <w:lvlOverride w:ilvl="2"/>
    <w:lvlOverride w:ilvl="3"/>
    <w:lvlOverride w:ilvl="4"/>
    <w:lvlOverride w:ilvl="5"/>
    <w:lvlOverride w:ilvl="6"/>
    <w:lvlOverride w:ilvl="7"/>
    <w:lvlOverride w:ilvl="8"/>
  </w:num>
  <w:num w:numId="21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36"/>
    <w:lvlOverride w:ilvl="0">
      <w:startOverride w:val="1"/>
    </w:lvlOverride>
    <w:lvlOverride w:ilvl="1"/>
    <w:lvlOverride w:ilvl="2"/>
    <w:lvlOverride w:ilvl="3"/>
    <w:lvlOverride w:ilvl="4"/>
    <w:lvlOverride w:ilvl="5"/>
    <w:lvlOverride w:ilvl="6"/>
    <w:lvlOverride w:ilvl="7"/>
    <w:lvlOverride w:ilvl="8"/>
  </w:num>
  <w:num w:numId="214">
    <w:abstractNumId w:val="135"/>
    <w:lvlOverride w:ilvl="0">
      <w:startOverride w:val="1"/>
    </w:lvlOverride>
    <w:lvlOverride w:ilvl="1"/>
    <w:lvlOverride w:ilvl="2"/>
    <w:lvlOverride w:ilvl="3"/>
    <w:lvlOverride w:ilvl="4"/>
    <w:lvlOverride w:ilvl="5"/>
    <w:lvlOverride w:ilvl="6"/>
    <w:lvlOverride w:ilvl="7"/>
    <w:lvlOverride w:ilvl="8"/>
  </w:num>
  <w:num w:numId="215">
    <w:abstractNumId w:val="95"/>
    <w:lvlOverride w:ilvl="0">
      <w:startOverride w:val="1"/>
    </w:lvlOverride>
    <w:lvlOverride w:ilvl="1"/>
    <w:lvlOverride w:ilvl="2"/>
    <w:lvlOverride w:ilvl="3"/>
    <w:lvlOverride w:ilvl="4"/>
    <w:lvlOverride w:ilvl="5"/>
    <w:lvlOverride w:ilvl="6"/>
    <w:lvlOverride w:ilvl="7"/>
    <w:lvlOverride w:ilvl="8"/>
  </w:num>
  <w:num w:numId="216">
    <w:abstractNumId w:val="126"/>
    <w:lvlOverride w:ilvl="0">
      <w:startOverride w:val="1"/>
    </w:lvlOverride>
    <w:lvlOverride w:ilvl="1"/>
    <w:lvlOverride w:ilvl="2"/>
    <w:lvlOverride w:ilvl="3"/>
    <w:lvlOverride w:ilvl="4"/>
    <w:lvlOverride w:ilvl="5"/>
    <w:lvlOverride w:ilvl="6"/>
    <w:lvlOverride w:ilvl="7"/>
    <w:lvlOverride w:ilvl="8"/>
  </w:num>
  <w:num w:numId="2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82"/>
    <w:lvlOverride w:ilvl="0">
      <w:startOverride w:val="1"/>
    </w:lvlOverride>
    <w:lvlOverride w:ilvl="1"/>
    <w:lvlOverride w:ilvl="2"/>
    <w:lvlOverride w:ilvl="3"/>
    <w:lvlOverride w:ilvl="4"/>
    <w:lvlOverride w:ilvl="5"/>
    <w:lvlOverride w:ilvl="6"/>
    <w:lvlOverride w:ilvl="7"/>
    <w:lvlOverride w:ilvl="8"/>
  </w:num>
  <w:num w:numId="219">
    <w:abstractNumId w:val="148"/>
    <w:lvlOverride w:ilvl="0">
      <w:startOverride w:val="1"/>
    </w:lvlOverride>
    <w:lvlOverride w:ilvl="1"/>
    <w:lvlOverride w:ilvl="2"/>
    <w:lvlOverride w:ilvl="3"/>
    <w:lvlOverride w:ilvl="4"/>
    <w:lvlOverride w:ilvl="5"/>
    <w:lvlOverride w:ilvl="6"/>
    <w:lvlOverride w:ilvl="7"/>
    <w:lvlOverride w:ilvl="8"/>
  </w:num>
  <w:num w:numId="220">
    <w:abstractNumId w:val="50"/>
    <w:lvlOverride w:ilvl="0">
      <w:startOverride w:val="1"/>
    </w:lvlOverride>
    <w:lvlOverride w:ilvl="1"/>
    <w:lvlOverride w:ilvl="2"/>
    <w:lvlOverride w:ilvl="3"/>
    <w:lvlOverride w:ilvl="4"/>
    <w:lvlOverride w:ilvl="5"/>
    <w:lvlOverride w:ilvl="6"/>
    <w:lvlOverride w:ilvl="7"/>
    <w:lvlOverride w:ilvl="8"/>
  </w:num>
  <w:num w:numId="221">
    <w:abstractNumId w:val="131"/>
    <w:lvlOverride w:ilvl="0">
      <w:startOverride w:val="1"/>
    </w:lvlOverride>
    <w:lvlOverride w:ilvl="1"/>
    <w:lvlOverride w:ilvl="2"/>
    <w:lvlOverride w:ilvl="3"/>
    <w:lvlOverride w:ilvl="4"/>
    <w:lvlOverride w:ilvl="5"/>
    <w:lvlOverride w:ilvl="6"/>
    <w:lvlOverride w:ilvl="7"/>
    <w:lvlOverride w:ilvl="8"/>
  </w:num>
  <w:num w:numId="222">
    <w:abstractNumId w:val="103"/>
    <w:lvlOverride w:ilvl="0">
      <w:startOverride w:val="1"/>
    </w:lvlOverride>
    <w:lvlOverride w:ilvl="1"/>
    <w:lvlOverride w:ilvl="2"/>
    <w:lvlOverride w:ilvl="3"/>
    <w:lvlOverride w:ilvl="4"/>
    <w:lvlOverride w:ilvl="5"/>
    <w:lvlOverride w:ilvl="6"/>
    <w:lvlOverride w:ilvl="7"/>
    <w:lvlOverride w:ilvl="8"/>
  </w:num>
  <w:num w:numId="22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7"/>
    <w:lvlOverride w:ilvl="0">
      <w:startOverride w:val="1"/>
    </w:lvlOverride>
    <w:lvlOverride w:ilvl="1"/>
    <w:lvlOverride w:ilvl="2"/>
    <w:lvlOverride w:ilvl="3"/>
    <w:lvlOverride w:ilvl="4"/>
    <w:lvlOverride w:ilvl="5"/>
    <w:lvlOverride w:ilvl="6"/>
    <w:lvlOverride w:ilvl="7"/>
    <w:lvlOverride w:ilvl="8"/>
  </w:num>
  <w:num w:numId="225">
    <w:abstractNumId w:val="63"/>
    <w:lvlOverride w:ilvl="0">
      <w:startOverride w:val="1"/>
    </w:lvlOverride>
    <w:lvlOverride w:ilvl="1"/>
    <w:lvlOverride w:ilvl="2"/>
    <w:lvlOverride w:ilvl="3"/>
    <w:lvlOverride w:ilvl="4"/>
    <w:lvlOverride w:ilvl="5"/>
    <w:lvlOverride w:ilvl="6"/>
    <w:lvlOverride w:ilvl="7"/>
    <w:lvlOverride w:ilvl="8"/>
  </w:num>
  <w:num w:numId="226">
    <w:abstractNumId w:val="41"/>
  </w:num>
  <w:num w:numId="2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00"/>
  </w:num>
  <w:num w:numId="298">
    <w:abstractNumId w:val="11"/>
  </w:num>
  <w:num w:numId="299">
    <w:abstractNumId w:val="88"/>
  </w:num>
  <w:num w:numId="300">
    <w:abstractNumId w:val="116"/>
  </w:num>
  <w:num w:numId="301">
    <w:abstractNumId w:val="19"/>
  </w:num>
  <w:num w:numId="302">
    <w:abstractNumId w:val="163"/>
  </w:num>
  <w:num w:numId="303">
    <w:abstractNumId w:val="158"/>
  </w:num>
  <w:num w:numId="304">
    <w:abstractNumId w:val="62"/>
  </w:num>
  <w:num w:numId="305">
    <w:abstractNumId w:val="67"/>
  </w:num>
  <w:num w:numId="306">
    <w:abstractNumId w:val="27"/>
  </w:num>
  <w:num w:numId="307">
    <w:abstractNumId w:val="10"/>
  </w:num>
  <w:num w:numId="308">
    <w:abstractNumId w:val="31"/>
  </w:num>
  <w:num w:numId="309">
    <w:abstractNumId w:val="69"/>
  </w:num>
  <w:num w:numId="310">
    <w:abstractNumId w:val="16"/>
  </w:num>
  <w:numIdMacAtCleanup w:val="3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6" w:nlCheck="1" w:checkStyle="0"/>
  <w:activeWritingStyle w:appName="MSWord" w:lang="es-ES" w:vendorID="64" w:dllVersion="6" w:nlCheck="1" w:checkStyle="1"/>
  <w:activeWritingStyle w:appName="MSWord" w:lang="es-AR" w:vendorID="64" w:dllVersion="6" w:nlCheck="1" w:checkStyle="1"/>
  <w:activeWritingStyle w:appName="MSWord" w:lang="es-ES_tradnl" w:vendorID="64" w:dllVersion="6" w:nlCheck="1" w:checkStyle="1"/>
  <w:activeWritingStyle w:appName="MSWord" w:lang="es-AR"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ctiveWritingStyle w:appName="MSWord" w:lang="en-US" w:vendorID="64" w:dllVersion="6" w:nlCheck="1" w:checkStyle="1"/>
  <w:activeWritingStyle w:appName="MSWord" w:lang="es-MX" w:vendorID="64" w:dllVersion="6" w:nlCheck="1" w:checkStyle="1"/>
  <w:activeWritingStyle w:appName="MSWord" w:lang="en-GB" w:vendorID="64" w:dllVersion="6" w:nlCheck="1" w:checkStyle="1"/>
  <w:activeWritingStyle w:appName="MSWord" w:lang="en-GB" w:vendorID="64" w:dllVersion="0" w:nlCheck="1" w:checkStyle="0"/>
  <w:activeWritingStyle w:appName="MSWord" w:lang="es-AR" w:vendorID="64" w:dllVersion="131078" w:nlCheck="1" w:checkStyle="1"/>
  <w:activeWritingStyle w:appName="MSWord" w:lang="es-ES" w:vendorID="64" w:dllVersion="131078" w:nlCheck="1" w:checkStyle="1"/>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0MzMyNLE0MjayMDdT0lEKTi0uzszPAykwMqsFAA2gm4QtAAAA"/>
  </w:docVars>
  <w:rsids>
    <w:rsidRoot w:val="00354069"/>
    <w:rsid w:val="00001462"/>
    <w:rsid w:val="00002289"/>
    <w:rsid w:val="00003BD2"/>
    <w:rsid w:val="00004651"/>
    <w:rsid w:val="00004AF3"/>
    <w:rsid w:val="000062B1"/>
    <w:rsid w:val="000118D1"/>
    <w:rsid w:val="00015EB8"/>
    <w:rsid w:val="00017878"/>
    <w:rsid w:val="0002000A"/>
    <w:rsid w:val="000206C9"/>
    <w:rsid w:val="00020E30"/>
    <w:rsid w:val="00020F0B"/>
    <w:rsid w:val="000221CA"/>
    <w:rsid w:val="00024893"/>
    <w:rsid w:val="00025583"/>
    <w:rsid w:val="00025B80"/>
    <w:rsid w:val="000265D1"/>
    <w:rsid w:val="00027D9E"/>
    <w:rsid w:val="00031232"/>
    <w:rsid w:val="00032E36"/>
    <w:rsid w:val="00033631"/>
    <w:rsid w:val="0003564C"/>
    <w:rsid w:val="00035652"/>
    <w:rsid w:val="00036211"/>
    <w:rsid w:val="00036AE9"/>
    <w:rsid w:val="000374D7"/>
    <w:rsid w:val="00040086"/>
    <w:rsid w:val="0004009C"/>
    <w:rsid w:val="00041C78"/>
    <w:rsid w:val="00042F46"/>
    <w:rsid w:val="00045934"/>
    <w:rsid w:val="00046C39"/>
    <w:rsid w:val="00046D9E"/>
    <w:rsid w:val="00047228"/>
    <w:rsid w:val="00047471"/>
    <w:rsid w:val="00052365"/>
    <w:rsid w:val="00053E76"/>
    <w:rsid w:val="00053E9A"/>
    <w:rsid w:val="00054492"/>
    <w:rsid w:val="00056047"/>
    <w:rsid w:val="000568EB"/>
    <w:rsid w:val="0006001B"/>
    <w:rsid w:val="00060DAB"/>
    <w:rsid w:val="00060E6F"/>
    <w:rsid w:val="00064661"/>
    <w:rsid w:val="00064E6E"/>
    <w:rsid w:val="00066536"/>
    <w:rsid w:val="000705DC"/>
    <w:rsid w:val="0007258F"/>
    <w:rsid w:val="000747FD"/>
    <w:rsid w:val="00075520"/>
    <w:rsid w:val="00082D1C"/>
    <w:rsid w:val="00084AAC"/>
    <w:rsid w:val="000901B6"/>
    <w:rsid w:val="00090E99"/>
    <w:rsid w:val="00091682"/>
    <w:rsid w:val="000930E2"/>
    <w:rsid w:val="00093DF2"/>
    <w:rsid w:val="00095026"/>
    <w:rsid w:val="0009741A"/>
    <w:rsid w:val="000977F1"/>
    <w:rsid w:val="000A2B2A"/>
    <w:rsid w:val="000A2B96"/>
    <w:rsid w:val="000A4B2D"/>
    <w:rsid w:val="000A7E41"/>
    <w:rsid w:val="000B07BC"/>
    <w:rsid w:val="000B3941"/>
    <w:rsid w:val="000B462C"/>
    <w:rsid w:val="000B4E16"/>
    <w:rsid w:val="000B5760"/>
    <w:rsid w:val="000B5BF8"/>
    <w:rsid w:val="000B643E"/>
    <w:rsid w:val="000B64BA"/>
    <w:rsid w:val="000C0386"/>
    <w:rsid w:val="000C067C"/>
    <w:rsid w:val="000C1065"/>
    <w:rsid w:val="000C4539"/>
    <w:rsid w:val="000C4B9D"/>
    <w:rsid w:val="000C5666"/>
    <w:rsid w:val="000C62B8"/>
    <w:rsid w:val="000C709F"/>
    <w:rsid w:val="000D013B"/>
    <w:rsid w:val="000D1418"/>
    <w:rsid w:val="000D1B42"/>
    <w:rsid w:val="000D3441"/>
    <w:rsid w:val="000D4B32"/>
    <w:rsid w:val="000D5331"/>
    <w:rsid w:val="000D7192"/>
    <w:rsid w:val="000D7376"/>
    <w:rsid w:val="000D7885"/>
    <w:rsid w:val="000D7D59"/>
    <w:rsid w:val="000E08EC"/>
    <w:rsid w:val="000E0FC2"/>
    <w:rsid w:val="000E535B"/>
    <w:rsid w:val="000E692E"/>
    <w:rsid w:val="000E6CD6"/>
    <w:rsid w:val="000E7283"/>
    <w:rsid w:val="000E7EEF"/>
    <w:rsid w:val="000F448F"/>
    <w:rsid w:val="000F4594"/>
    <w:rsid w:val="000F4825"/>
    <w:rsid w:val="000F4AB0"/>
    <w:rsid w:val="000F7726"/>
    <w:rsid w:val="00100D85"/>
    <w:rsid w:val="00101389"/>
    <w:rsid w:val="001027F7"/>
    <w:rsid w:val="00102EA6"/>
    <w:rsid w:val="001031F1"/>
    <w:rsid w:val="00103261"/>
    <w:rsid w:val="001062C3"/>
    <w:rsid w:val="00106E6E"/>
    <w:rsid w:val="00107479"/>
    <w:rsid w:val="001078B2"/>
    <w:rsid w:val="00110D06"/>
    <w:rsid w:val="00111812"/>
    <w:rsid w:val="00111ED6"/>
    <w:rsid w:val="00112F31"/>
    <w:rsid w:val="0011458F"/>
    <w:rsid w:val="001148E6"/>
    <w:rsid w:val="00115AE8"/>
    <w:rsid w:val="001177D4"/>
    <w:rsid w:val="00117CF2"/>
    <w:rsid w:val="0012027B"/>
    <w:rsid w:val="0012280A"/>
    <w:rsid w:val="001238E2"/>
    <w:rsid w:val="00123BAA"/>
    <w:rsid w:val="00124667"/>
    <w:rsid w:val="00124875"/>
    <w:rsid w:val="001252E1"/>
    <w:rsid w:val="001254AF"/>
    <w:rsid w:val="00125E9F"/>
    <w:rsid w:val="0012654E"/>
    <w:rsid w:val="00126C00"/>
    <w:rsid w:val="001271ED"/>
    <w:rsid w:val="0013005D"/>
    <w:rsid w:val="0013082B"/>
    <w:rsid w:val="00131A86"/>
    <w:rsid w:val="00132755"/>
    <w:rsid w:val="00133BDE"/>
    <w:rsid w:val="001347CB"/>
    <w:rsid w:val="00134899"/>
    <w:rsid w:val="001352A9"/>
    <w:rsid w:val="00135627"/>
    <w:rsid w:val="001358C1"/>
    <w:rsid w:val="00135D04"/>
    <w:rsid w:val="00136D87"/>
    <w:rsid w:val="00141286"/>
    <w:rsid w:val="001415A4"/>
    <w:rsid w:val="0014256C"/>
    <w:rsid w:val="00143253"/>
    <w:rsid w:val="001437BE"/>
    <w:rsid w:val="00143849"/>
    <w:rsid w:val="001440E4"/>
    <w:rsid w:val="00145C4B"/>
    <w:rsid w:val="00146B2D"/>
    <w:rsid w:val="00147586"/>
    <w:rsid w:val="0015138F"/>
    <w:rsid w:val="00154FB7"/>
    <w:rsid w:val="00156BC6"/>
    <w:rsid w:val="001576E2"/>
    <w:rsid w:val="00157F53"/>
    <w:rsid w:val="001639AD"/>
    <w:rsid w:val="00166B10"/>
    <w:rsid w:val="00170EA0"/>
    <w:rsid w:val="00170EB6"/>
    <w:rsid w:val="00174490"/>
    <w:rsid w:val="00175C3E"/>
    <w:rsid w:val="00176D3F"/>
    <w:rsid w:val="00180528"/>
    <w:rsid w:val="00181065"/>
    <w:rsid w:val="00181782"/>
    <w:rsid w:val="0018182E"/>
    <w:rsid w:val="00183DE6"/>
    <w:rsid w:val="00184452"/>
    <w:rsid w:val="00185A01"/>
    <w:rsid w:val="00190DC2"/>
    <w:rsid w:val="0019392F"/>
    <w:rsid w:val="00194A66"/>
    <w:rsid w:val="00194C06"/>
    <w:rsid w:val="00195030"/>
    <w:rsid w:val="00197FE5"/>
    <w:rsid w:val="001A1675"/>
    <w:rsid w:val="001A2513"/>
    <w:rsid w:val="001A3B05"/>
    <w:rsid w:val="001A458E"/>
    <w:rsid w:val="001A498C"/>
    <w:rsid w:val="001A4CF4"/>
    <w:rsid w:val="001A4E68"/>
    <w:rsid w:val="001B0143"/>
    <w:rsid w:val="001B0344"/>
    <w:rsid w:val="001B0D0C"/>
    <w:rsid w:val="001B304C"/>
    <w:rsid w:val="001B35F3"/>
    <w:rsid w:val="001B3926"/>
    <w:rsid w:val="001B4AD9"/>
    <w:rsid w:val="001B4D20"/>
    <w:rsid w:val="001B667D"/>
    <w:rsid w:val="001B7194"/>
    <w:rsid w:val="001C37CD"/>
    <w:rsid w:val="001C53E1"/>
    <w:rsid w:val="001C541F"/>
    <w:rsid w:val="001D21B0"/>
    <w:rsid w:val="001D2848"/>
    <w:rsid w:val="001D2852"/>
    <w:rsid w:val="001D2BEF"/>
    <w:rsid w:val="001D2CB1"/>
    <w:rsid w:val="001D2F94"/>
    <w:rsid w:val="001D3739"/>
    <w:rsid w:val="001D5C14"/>
    <w:rsid w:val="001E0275"/>
    <w:rsid w:val="001E3DCC"/>
    <w:rsid w:val="001E401E"/>
    <w:rsid w:val="001E5B49"/>
    <w:rsid w:val="001E6388"/>
    <w:rsid w:val="001E6FEA"/>
    <w:rsid w:val="001E7233"/>
    <w:rsid w:val="001E7DE2"/>
    <w:rsid w:val="001F1B85"/>
    <w:rsid w:val="001F381D"/>
    <w:rsid w:val="001F3DBC"/>
    <w:rsid w:val="001F4075"/>
    <w:rsid w:val="001F4CF5"/>
    <w:rsid w:val="001F7C6B"/>
    <w:rsid w:val="002006F4"/>
    <w:rsid w:val="00202442"/>
    <w:rsid w:val="00203E4C"/>
    <w:rsid w:val="002054B1"/>
    <w:rsid w:val="00206F74"/>
    <w:rsid w:val="0021054F"/>
    <w:rsid w:val="0021140A"/>
    <w:rsid w:val="002117F2"/>
    <w:rsid w:val="00211EC0"/>
    <w:rsid w:val="00212803"/>
    <w:rsid w:val="00215FED"/>
    <w:rsid w:val="002168FA"/>
    <w:rsid w:val="00216F2A"/>
    <w:rsid w:val="00217608"/>
    <w:rsid w:val="00220792"/>
    <w:rsid w:val="002220EC"/>
    <w:rsid w:val="00223124"/>
    <w:rsid w:val="00223E71"/>
    <w:rsid w:val="00225B3A"/>
    <w:rsid w:val="00226758"/>
    <w:rsid w:val="002302BB"/>
    <w:rsid w:val="0023128B"/>
    <w:rsid w:val="00234407"/>
    <w:rsid w:val="002357E6"/>
    <w:rsid w:val="00235EEF"/>
    <w:rsid w:val="00237FAA"/>
    <w:rsid w:val="00241664"/>
    <w:rsid w:val="002439C8"/>
    <w:rsid w:val="00243CF5"/>
    <w:rsid w:val="002460D6"/>
    <w:rsid w:val="00246124"/>
    <w:rsid w:val="00246C9A"/>
    <w:rsid w:val="00246F57"/>
    <w:rsid w:val="002503D9"/>
    <w:rsid w:val="002509D7"/>
    <w:rsid w:val="00251095"/>
    <w:rsid w:val="002515ED"/>
    <w:rsid w:val="002518CC"/>
    <w:rsid w:val="00253C0A"/>
    <w:rsid w:val="00253EF8"/>
    <w:rsid w:val="002544C4"/>
    <w:rsid w:val="00260C6B"/>
    <w:rsid w:val="00261955"/>
    <w:rsid w:val="00261E68"/>
    <w:rsid w:val="00267A59"/>
    <w:rsid w:val="0027046C"/>
    <w:rsid w:val="00271728"/>
    <w:rsid w:val="00274DE6"/>
    <w:rsid w:val="00275175"/>
    <w:rsid w:val="0027625D"/>
    <w:rsid w:val="00276304"/>
    <w:rsid w:val="0028058D"/>
    <w:rsid w:val="0028067D"/>
    <w:rsid w:val="0028105C"/>
    <w:rsid w:val="002820EE"/>
    <w:rsid w:val="002825BA"/>
    <w:rsid w:val="0028298F"/>
    <w:rsid w:val="00282AAE"/>
    <w:rsid w:val="002830AF"/>
    <w:rsid w:val="00283391"/>
    <w:rsid w:val="0028340E"/>
    <w:rsid w:val="00283E47"/>
    <w:rsid w:val="00284201"/>
    <w:rsid w:val="00285072"/>
    <w:rsid w:val="0028667F"/>
    <w:rsid w:val="002868A6"/>
    <w:rsid w:val="002875D0"/>
    <w:rsid w:val="002878A4"/>
    <w:rsid w:val="00287E37"/>
    <w:rsid w:val="00287FAD"/>
    <w:rsid w:val="00290A87"/>
    <w:rsid w:val="00292FE4"/>
    <w:rsid w:val="00293121"/>
    <w:rsid w:val="00294B20"/>
    <w:rsid w:val="002950D7"/>
    <w:rsid w:val="0029562A"/>
    <w:rsid w:val="002A04E0"/>
    <w:rsid w:val="002A0821"/>
    <w:rsid w:val="002A0C97"/>
    <w:rsid w:val="002A18F0"/>
    <w:rsid w:val="002A19E0"/>
    <w:rsid w:val="002A230D"/>
    <w:rsid w:val="002A37D4"/>
    <w:rsid w:val="002A3F44"/>
    <w:rsid w:val="002A55BA"/>
    <w:rsid w:val="002A5D19"/>
    <w:rsid w:val="002B0469"/>
    <w:rsid w:val="002B14F0"/>
    <w:rsid w:val="002B169B"/>
    <w:rsid w:val="002B1E31"/>
    <w:rsid w:val="002B3B97"/>
    <w:rsid w:val="002B4513"/>
    <w:rsid w:val="002B50D2"/>
    <w:rsid w:val="002C0623"/>
    <w:rsid w:val="002C08A1"/>
    <w:rsid w:val="002C15E0"/>
    <w:rsid w:val="002C2444"/>
    <w:rsid w:val="002C639E"/>
    <w:rsid w:val="002C7806"/>
    <w:rsid w:val="002C7E6A"/>
    <w:rsid w:val="002D0D9C"/>
    <w:rsid w:val="002D15C0"/>
    <w:rsid w:val="002D177B"/>
    <w:rsid w:val="002D19E7"/>
    <w:rsid w:val="002D1AEF"/>
    <w:rsid w:val="002D2562"/>
    <w:rsid w:val="002D2EEB"/>
    <w:rsid w:val="002D4A8C"/>
    <w:rsid w:val="002D5345"/>
    <w:rsid w:val="002D5CDD"/>
    <w:rsid w:val="002D67FB"/>
    <w:rsid w:val="002E067D"/>
    <w:rsid w:val="002E1C33"/>
    <w:rsid w:val="002E232E"/>
    <w:rsid w:val="002E369C"/>
    <w:rsid w:val="002E403B"/>
    <w:rsid w:val="002E460E"/>
    <w:rsid w:val="002E4BDA"/>
    <w:rsid w:val="002E58BA"/>
    <w:rsid w:val="002E5D0E"/>
    <w:rsid w:val="002E72F6"/>
    <w:rsid w:val="002F277A"/>
    <w:rsid w:val="002F2B19"/>
    <w:rsid w:val="002F309D"/>
    <w:rsid w:val="002F30D3"/>
    <w:rsid w:val="002F6E1A"/>
    <w:rsid w:val="00301127"/>
    <w:rsid w:val="0030127F"/>
    <w:rsid w:val="00302BFE"/>
    <w:rsid w:val="00306460"/>
    <w:rsid w:val="003064F3"/>
    <w:rsid w:val="00306D21"/>
    <w:rsid w:val="0030727A"/>
    <w:rsid w:val="0031170E"/>
    <w:rsid w:val="0031178B"/>
    <w:rsid w:val="00313867"/>
    <w:rsid w:val="003162CB"/>
    <w:rsid w:val="003206B1"/>
    <w:rsid w:val="003219D2"/>
    <w:rsid w:val="00322580"/>
    <w:rsid w:val="00322BC0"/>
    <w:rsid w:val="00324F09"/>
    <w:rsid w:val="003257FE"/>
    <w:rsid w:val="0032687B"/>
    <w:rsid w:val="00326B45"/>
    <w:rsid w:val="00327114"/>
    <w:rsid w:val="003326AD"/>
    <w:rsid w:val="003359CD"/>
    <w:rsid w:val="00336A2C"/>
    <w:rsid w:val="00337725"/>
    <w:rsid w:val="0034558A"/>
    <w:rsid w:val="00345871"/>
    <w:rsid w:val="00345C07"/>
    <w:rsid w:val="00350096"/>
    <w:rsid w:val="003503B0"/>
    <w:rsid w:val="003504C7"/>
    <w:rsid w:val="003516AF"/>
    <w:rsid w:val="00351AE5"/>
    <w:rsid w:val="00353B50"/>
    <w:rsid w:val="00354069"/>
    <w:rsid w:val="00360F06"/>
    <w:rsid w:val="0036100B"/>
    <w:rsid w:val="0036168F"/>
    <w:rsid w:val="00361906"/>
    <w:rsid w:val="00365C8A"/>
    <w:rsid w:val="0036674D"/>
    <w:rsid w:val="0036752D"/>
    <w:rsid w:val="00367A0E"/>
    <w:rsid w:val="00370D64"/>
    <w:rsid w:val="00371279"/>
    <w:rsid w:val="0037156A"/>
    <w:rsid w:val="00371BA1"/>
    <w:rsid w:val="00373BDD"/>
    <w:rsid w:val="00374637"/>
    <w:rsid w:val="00374F9E"/>
    <w:rsid w:val="00375F43"/>
    <w:rsid w:val="0037727E"/>
    <w:rsid w:val="00377933"/>
    <w:rsid w:val="00377BCA"/>
    <w:rsid w:val="00380D82"/>
    <w:rsid w:val="00382258"/>
    <w:rsid w:val="003828A9"/>
    <w:rsid w:val="0038291C"/>
    <w:rsid w:val="0038416B"/>
    <w:rsid w:val="003852C5"/>
    <w:rsid w:val="00385BC3"/>
    <w:rsid w:val="00387E05"/>
    <w:rsid w:val="00387E1B"/>
    <w:rsid w:val="003904A0"/>
    <w:rsid w:val="0039074A"/>
    <w:rsid w:val="00390E1E"/>
    <w:rsid w:val="0039201D"/>
    <w:rsid w:val="0039266E"/>
    <w:rsid w:val="003935BE"/>
    <w:rsid w:val="0039367E"/>
    <w:rsid w:val="00395373"/>
    <w:rsid w:val="0039682C"/>
    <w:rsid w:val="00396B7D"/>
    <w:rsid w:val="00396C95"/>
    <w:rsid w:val="003A0B40"/>
    <w:rsid w:val="003A1C8C"/>
    <w:rsid w:val="003A23B9"/>
    <w:rsid w:val="003A3026"/>
    <w:rsid w:val="003A3C47"/>
    <w:rsid w:val="003A5F34"/>
    <w:rsid w:val="003A699E"/>
    <w:rsid w:val="003A6A1F"/>
    <w:rsid w:val="003A70FB"/>
    <w:rsid w:val="003A7FFA"/>
    <w:rsid w:val="003B02D7"/>
    <w:rsid w:val="003B08AA"/>
    <w:rsid w:val="003B31A6"/>
    <w:rsid w:val="003B5F2A"/>
    <w:rsid w:val="003B74FC"/>
    <w:rsid w:val="003B7A23"/>
    <w:rsid w:val="003C1C73"/>
    <w:rsid w:val="003C1CBB"/>
    <w:rsid w:val="003C32D9"/>
    <w:rsid w:val="003C3893"/>
    <w:rsid w:val="003C4238"/>
    <w:rsid w:val="003C5410"/>
    <w:rsid w:val="003C5835"/>
    <w:rsid w:val="003C79CD"/>
    <w:rsid w:val="003C7F19"/>
    <w:rsid w:val="003C8183"/>
    <w:rsid w:val="003D0F9C"/>
    <w:rsid w:val="003D1A83"/>
    <w:rsid w:val="003D215D"/>
    <w:rsid w:val="003D28AA"/>
    <w:rsid w:val="003D32F5"/>
    <w:rsid w:val="003D341E"/>
    <w:rsid w:val="003D47CF"/>
    <w:rsid w:val="003D500D"/>
    <w:rsid w:val="003D6347"/>
    <w:rsid w:val="003E0520"/>
    <w:rsid w:val="003E0715"/>
    <w:rsid w:val="003E0F1F"/>
    <w:rsid w:val="003E102D"/>
    <w:rsid w:val="003E20FF"/>
    <w:rsid w:val="003E2145"/>
    <w:rsid w:val="003E2984"/>
    <w:rsid w:val="003E2AA3"/>
    <w:rsid w:val="003E3A47"/>
    <w:rsid w:val="003E6E97"/>
    <w:rsid w:val="003F1D83"/>
    <w:rsid w:val="003F2399"/>
    <w:rsid w:val="003F2F49"/>
    <w:rsid w:val="003F634A"/>
    <w:rsid w:val="003F6EEB"/>
    <w:rsid w:val="00401612"/>
    <w:rsid w:val="00401B26"/>
    <w:rsid w:val="0040244B"/>
    <w:rsid w:val="004032D6"/>
    <w:rsid w:val="004048EA"/>
    <w:rsid w:val="00404B28"/>
    <w:rsid w:val="0040780E"/>
    <w:rsid w:val="00407B1A"/>
    <w:rsid w:val="00410013"/>
    <w:rsid w:val="004109CB"/>
    <w:rsid w:val="004112A1"/>
    <w:rsid w:val="004113B6"/>
    <w:rsid w:val="00411600"/>
    <w:rsid w:val="00411BCF"/>
    <w:rsid w:val="0041337F"/>
    <w:rsid w:val="00413AE1"/>
    <w:rsid w:val="0041505D"/>
    <w:rsid w:val="00415A3B"/>
    <w:rsid w:val="004209AC"/>
    <w:rsid w:val="00420D4E"/>
    <w:rsid w:val="00421038"/>
    <w:rsid w:val="00421967"/>
    <w:rsid w:val="00421DE9"/>
    <w:rsid w:val="00423076"/>
    <w:rsid w:val="00423CE4"/>
    <w:rsid w:val="00425EF4"/>
    <w:rsid w:val="004269A7"/>
    <w:rsid w:val="0043008E"/>
    <w:rsid w:val="00430884"/>
    <w:rsid w:val="004314C9"/>
    <w:rsid w:val="004331D9"/>
    <w:rsid w:val="00433D14"/>
    <w:rsid w:val="00437132"/>
    <w:rsid w:val="004417C4"/>
    <w:rsid w:val="00441FF9"/>
    <w:rsid w:val="00442928"/>
    <w:rsid w:val="00442CE5"/>
    <w:rsid w:val="00442F02"/>
    <w:rsid w:val="00442F0C"/>
    <w:rsid w:val="004436A1"/>
    <w:rsid w:val="00443AC9"/>
    <w:rsid w:val="00443E75"/>
    <w:rsid w:val="004449CF"/>
    <w:rsid w:val="00445663"/>
    <w:rsid w:val="00447C72"/>
    <w:rsid w:val="00450227"/>
    <w:rsid w:val="004512E8"/>
    <w:rsid w:val="0045216A"/>
    <w:rsid w:val="00452C10"/>
    <w:rsid w:val="00454B7D"/>
    <w:rsid w:val="00456D5F"/>
    <w:rsid w:val="00456DDE"/>
    <w:rsid w:val="0045769B"/>
    <w:rsid w:val="00457AB0"/>
    <w:rsid w:val="00457B0F"/>
    <w:rsid w:val="004604DB"/>
    <w:rsid w:val="0046309E"/>
    <w:rsid w:val="00467C51"/>
    <w:rsid w:val="00467DC9"/>
    <w:rsid w:val="0047053B"/>
    <w:rsid w:val="00471521"/>
    <w:rsid w:val="00473989"/>
    <w:rsid w:val="00473FFA"/>
    <w:rsid w:val="004742F7"/>
    <w:rsid w:val="00475DCA"/>
    <w:rsid w:val="004761E7"/>
    <w:rsid w:val="00481890"/>
    <w:rsid w:val="00481B0B"/>
    <w:rsid w:val="00482939"/>
    <w:rsid w:val="00487296"/>
    <w:rsid w:val="00487DC7"/>
    <w:rsid w:val="00490F01"/>
    <w:rsid w:val="00491B58"/>
    <w:rsid w:val="00491F9F"/>
    <w:rsid w:val="0049203C"/>
    <w:rsid w:val="004938E2"/>
    <w:rsid w:val="00493B1A"/>
    <w:rsid w:val="004956EC"/>
    <w:rsid w:val="0049603F"/>
    <w:rsid w:val="00496D40"/>
    <w:rsid w:val="004A0653"/>
    <w:rsid w:val="004A1456"/>
    <w:rsid w:val="004A16F7"/>
    <w:rsid w:val="004A1802"/>
    <w:rsid w:val="004A3D6D"/>
    <w:rsid w:val="004A4CCB"/>
    <w:rsid w:val="004A5C30"/>
    <w:rsid w:val="004A61FE"/>
    <w:rsid w:val="004A771C"/>
    <w:rsid w:val="004B2363"/>
    <w:rsid w:val="004B2A5F"/>
    <w:rsid w:val="004B53A6"/>
    <w:rsid w:val="004B7B54"/>
    <w:rsid w:val="004C1C4F"/>
    <w:rsid w:val="004C1F60"/>
    <w:rsid w:val="004C411E"/>
    <w:rsid w:val="004C4E85"/>
    <w:rsid w:val="004C5D43"/>
    <w:rsid w:val="004C7AB5"/>
    <w:rsid w:val="004D05EA"/>
    <w:rsid w:val="004D3C93"/>
    <w:rsid w:val="004D590A"/>
    <w:rsid w:val="004D6228"/>
    <w:rsid w:val="004E04AD"/>
    <w:rsid w:val="004E19C4"/>
    <w:rsid w:val="004E2883"/>
    <w:rsid w:val="004E3079"/>
    <w:rsid w:val="004E3A7F"/>
    <w:rsid w:val="004E4105"/>
    <w:rsid w:val="004E4EDD"/>
    <w:rsid w:val="004E534C"/>
    <w:rsid w:val="004E5941"/>
    <w:rsid w:val="004E77B3"/>
    <w:rsid w:val="004F0A66"/>
    <w:rsid w:val="004F17D9"/>
    <w:rsid w:val="004F1F9D"/>
    <w:rsid w:val="004F294D"/>
    <w:rsid w:val="004F3704"/>
    <w:rsid w:val="004F4373"/>
    <w:rsid w:val="004F7520"/>
    <w:rsid w:val="004F7CE2"/>
    <w:rsid w:val="0050083F"/>
    <w:rsid w:val="005014EB"/>
    <w:rsid w:val="00502F67"/>
    <w:rsid w:val="005031E8"/>
    <w:rsid w:val="00503E3C"/>
    <w:rsid w:val="0050593A"/>
    <w:rsid w:val="005059A8"/>
    <w:rsid w:val="00505D9E"/>
    <w:rsid w:val="00506555"/>
    <w:rsid w:val="005066E1"/>
    <w:rsid w:val="00511EA4"/>
    <w:rsid w:val="00512949"/>
    <w:rsid w:val="00514367"/>
    <w:rsid w:val="00516D49"/>
    <w:rsid w:val="00517586"/>
    <w:rsid w:val="005203BC"/>
    <w:rsid w:val="00520635"/>
    <w:rsid w:val="00520741"/>
    <w:rsid w:val="0052186D"/>
    <w:rsid w:val="00522B6D"/>
    <w:rsid w:val="0052303B"/>
    <w:rsid w:val="0052555E"/>
    <w:rsid w:val="00526F0C"/>
    <w:rsid w:val="00527FD7"/>
    <w:rsid w:val="00531345"/>
    <w:rsid w:val="00531775"/>
    <w:rsid w:val="00532065"/>
    <w:rsid w:val="00533F33"/>
    <w:rsid w:val="00536CAE"/>
    <w:rsid w:val="005375E4"/>
    <w:rsid w:val="005408A5"/>
    <w:rsid w:val="00540D6F"/>
    <w:rsid w:val="00541112"/>
    <w:rsid w:val="005416C4"/>
    <w:rsid w:val="005457B9"/>
    <w:rsid w:val="00545BDD"/>
    <w:rsid w:val="00546790"/>
    <w:rsid w:val="005471BA"/>
    <w:rsid w:val="00547842"/>
    <w:rsid w:val="00547D1A"/>
    <w:rsid w:val="00547EDC"/>
    <w:rsid w:val="00550A45"/>
    <w:rsid w:val="005523E4"/>
    <w:rsid w:val="005524AC"/>
    <w:rsid w:val="005528D3"/>
    <w:rsid w:val="00556229"/>
    <w:rsid w:val="0055665F"/>
    <w:rsid w:val="00556963"/>
    <w:rsid w:val="0055738D"/>
    <w:rsid w:val="00557592"/>
    <w:rsid w:val="00560374"/>
    <w:rsid w:val="00560464"/>
    <w:rsid w:val="00561790"/>
    <w:rsid w:val="00564BB3"/>
    <w:rsid w:val="005652C1"/>
    <w:rsid w:val="00566007"/>
    <w:rsid w:val="005666EC"/>
    <w:rsid w:val="00566FE3"/>
    <w:rsid w:val="00567015"/>
    <w:rsid w:val="00572027"/>
    <w:rsid w:val="0057256B"/>
    <w:rsid w:val="00572D13"/>
    <w:rsid w:val="00573BBF"/>
    <w:rsid w:val="005748D7"/>
    <w:rsid w:val="00574BEF"/>
    <w:rsid w:val="00574C70"/>
    <w:rsid w:val="00574D52"/>
    <w:rsid w:val="0057512B"/>
    <w:rsid w:val="005808D9"/>
    <w:rsid w:val="00581B11"/>
    <w:rsid w:val="00582114"/>
    <w:rsid w:val="005824A4"/>
    <w:rsid w:val="00584387"/>
    <w:rsid w:val="00585DA3"/>
    <w:rsid w:val="00585E6B"/>
    <w:rsid w:val="00592022"/>
    <w:rsid w:val="0059285D"/>
    <w:rsid w:val="00592C82"/>
    <w:rsid w:val="0059465E"/>
    <w:rsid w:val="00594811"/>
    <w:rsid w:val="00596454"/>
    <w:rsid w:val="005A06C8"/>
    <w:rsid w:val="005A0E42"/>
    <w:rsid w:val="005A35FE"/>
    <w:rsid w:val="005A69B9"/>
    <w:rsid w:val="005B1C4A"/>
    <w:rsid w:val="005B3544"/>
    <w:rsid w:val="005B3FF8"/>
    <w:rsid w:val="005B5EF6"/>
    <w:rsid w:val="005B6575"/>
    <w:rsid w:val="005B732B"/>
    <w:rsid w:val="005B7D50"/>
    <w:rsid w:val="005C139D"/>
    <w:rsid w:val="005C1A71"/>
    <w:rsid w:val="005C231A"/>
    <w:rsid w:val="005C56D3"/>
    <w:rsid w:val="005C5C8B"/>
    <w:rsid w:val="005C5D24"/>
    <w:rsid w:val="005C762C"/>
    <w:rsid w:val="005C7D3B"/>
    <w:rsid w:val="005D06A8"/>
    <w:rsid w:val="005E14F3"/>
    <w:rsid w:val="005E1BE7"/>
    <w:rsid w:val="005E2ABB"/>
    <w:rsid w:val="005E2EF9"/>
    <w:rsid w:val="005E31AA"/>
    <w:rsid w:val="005E3C3E"/>
    <w:rsid w:val="005E5199"/>
    <w:rsid w:val="005F0A7F"/>
    <w:rsid w:val="005F0EE2"/>
    <w:rsid w:val="005F3221"/>
    <w:rsid w:val="005F4094"/>
    <w:rsid w:val="005F4E4C"/>
    <w:rsid w:val="005F668B"/>
    <w:rsid w:val="005F6759"/>
    <w:rsid w:val="005F6891"/>
    <w:rsid w:val="00600032"/>
    <w:rsid w:val="00601473"/>
    <w:rsid w:val="00601C27"/>
    <w:rsid w:val="00602512"/>
    <w:rsid w:val="006025BF"/>
    <w:rsid w:val="00605D90"/>
    <w:rsid w:val="00606618"/>
    <w:rsid w:val="006070BB"/>
    <w:rsid w:val="0060792A"/>
    <w:rsid w:val="00607A7F"/>
    <w:rsid w:val="00607D38"/>
    <w:rsid w:val="00612BAC"/>
    <w:rsid w:val="00614A86"/>
    <w:rsid w:val="00614C6A"/>
    <w:rsid w:val="00615582"/>
    <w:rsid w:val="00616849"/>
    <w:rsid w:val="0061712B"/>
    <w:rsid w:val="00617FA1"/>
    <w:rsid w:val="00620077"/>
    <w:rsid w:val="00620862"/>
    <w:rsid w:val="00621D5C"/>
    <w:rsid w:val="00624AA9"/>
    <w:rsid w:val="00626E05"/>
    <w:rsid w:val="006277FE"/>
    <w:rsid w:val="00630B6A"/>
    <w:rsid w:val="00631C65"/>
    <w:rsid w:val="0063223E"/>
    <w:rsid w:val="00632593"/>
    <w:rsid w:val="00632C54"/>
    <w:rsid w:val="00634CE1"/>
    <w:rsid w:val="00635975"/>
    <w:rsid w:val="006400CB"/>
    <w:rsid w:val="00640305"/>
    <w:rsid w:val="006406EE"/>
    <w:rsid w:val="00640745"/>
    <w:rsid w:val="00640869"/>
    <w:rsid w:val="00641F48"/>
    <w:rsid w:val="00643E9E"/>
    <w:rsid w:val="00646E38"/>
    <w:rsid w:val="00647340"/>
    <w:rsid w:val="00647650"/>
    <w:rsid w:val="00651284"/>
    <w:rsid w:val="00653426"/>
    <w:rsid w:val="0065360A"/>
    <w:rsid w:val="00653CBF"/>
    <w:rsid w:val="00654808"/>
    <w:rsid w:val="00655AF1"/>
    <w:rsid w:val="00656F08"/>
    <w:rsid w:val="00657AC3"/>
    <w:rsid w:val="00657F42"/>
    <w:rsid w:val="00660DF9"/>
    <w:rsid w:val="00664795"/>
    <w:rsid w:val="006653F6"/>
    <w:rsid w:val="00666F5C"/>
    <w:rsid w:val="0067383E"/>
    <w:rsid w:val="00675772"/>
    <w:rsid w:val="00675BAA"/>
    <w:rsid w:val="00675E52"/>
    <w:rsid w:val="00676512"/>
    <w:rsid w:val="00677499"/>
    <w:rsid w:val="00680B4E"/>
    <w:rsid w:val="00681149"/>
    <w:rsid w:val="006812D4"/>
    <w:rsid w:val="00681A5C"/>
    <w:rsid w:val="00681A8B"/>
    <w:rsid w:val="006829B6"/>
    <w:rsid w:val="006878E1"/>
    <w:rsid w:val="0068799C"/>
    <w:rsid w:val="00687E2F"/>
    <w:rsid w:val="0069007F"/>
    <w:rsid w:val="00690D50"/>
    <w:rsid w:val="00694352"/>
    <w:rsid w:val="0069541F"/>
    <w:rsid w:val="00695DBA"/>
    <w:rsid w:val="00695DCC"/>
    <w:rsid w:val="00696EA3"/>
    <w:rsid w:val="0069700D"/>
    <w:rsid w:val="006A076B"/>
    <w:rsid w:val="006A1ECE"/>
    <w:rsid w:val="006A1FC8"/>
    <w:rsid w:val="006A4782"/>
    <w:rsid w:val="006A53E0"/>
    <w:rsid w:val="006A78FA"/>
    <w:rsid w:val="006B0328"/>
    <w:rsid w:val="006B061F"/>
    <w:rsid w:val="006B1E71"/>
    <w:rsid w:val="006B240E"/>
    <w:rsid w:val="006B30C7"/>
    <w:rsid w:val="006B3163"/>
    <w:rsid w:val="006B3401"/>
    <w:rsid w:val="006B3DAE"/>
    <w:rsid w:val="006B4BB1"/>
    <w:rsid w:val="006B60D2"/>
    <w:rsid w:val="006B66D3"/>
    <w:rsid w:val="006B6CDB"/>
    <w:rsid w:val="006B749A"/>
    <w:rsid w:val="006C0C8C"/>
    <w:rsid w:val="006C1C62"/>
    <w:rsid w:val="006C2A42"/>
    <w:rsid w:val="006C342B"/>
    <w:rsid w:val="006C4BA5"/>
    <w:rsid w:val="006C52E0"/>
    <w:rsid w:val="006C6F02"/>
    <w:rsid w:val="006D03A3"/>
    <w:rsid w:val="006D276E"/>
    <w:rsid w:val="006D2B27"/>
    <w:rsid w:val="006D303F"/>
    <w:rsid w:val="006D32CD"/>
    <w:rsid w:val="006D3BBA"/>
    <w:rsid w:val="006D46A5"/>
    <w:rsid w:val="006D5A37"/>
    <w:rsid w:val="006D5C47"/>
    <w:rsid w:val="006D60FE"/>
    <w:rsid w:val="006D610A"/>
    <w:rsid w:val="006D6E60"/>
    <w:rsid w:val="006D6FF5"/>
    <w:rsid w:val="006D736B"/>
    <w:rsid w:val="006E0C0C"/>
    <w:rsid w:val="006E1D3E"/>
    <w:rsid w:val="006E2A00"/>
    <w:rsid w:val="006E378D"/>
    <w:rsid w:val="006E3DE2"/>
    <w:rsid w:val="006E513B"/>
    <w:rsid w:val="006E6D4C"/>
    <w:rsid w:val="006F1734"/>
    <w:rsid w:val="006F1998"/>
    <w:rsid w:val="006F2158"/>
    <w:rsid w:val="006F496D"/>
    <w:rsid w:val="006F592E"/>
    <w:rsid w:val="006F7469"/>
    <w:rsid w:val="0070182F"/>
    <w:rsid w:val="0070262A"/>
    <w:rsid w:val="00703220"/>
    <w:rsid w:val="0070379A"/>
    <w:rsid w:val="0070602E"/>
    <w:rsid w:val="00706145"/>
    <w:rsid w:val="007066DA"/>
    <w:rsid w:val="00706FCD"/>
    <w:rsid w:val="007073A0"/>
    <w:rsid w:val="00710509"/>
    <w:rsid w:val="00711918"/>
    <w:rsid w:val="00712C06"/>
    <w:rsid w:val="00713D6E"/>
    <w:rsid w:val="00713FFC"/>
    <w:rsid w:val="0071445B"/>
    <w:rsid w:val="00714972"/>
    <w:rsid w:val="007162B4"/>
    <w:rsid w:val="007178F4"/>
    <w:rsid w:val="00717E51"/>
    <w:rsid w:val="00720A4E"/>
    <w:rsid w:val="00721B08"/>
    <w:rsid w:val="007224B7"/>
    <w:rsid w:val="0072291F"/>
    <w:rsid w:val="0072499D"/>
    <w:rsid w:val="00724DA0"/>
    <w:rsid w:val="00724EF7"/>
    <w:rsid w:val="0072500E"/>
    <w:rsid w:val="0072702E"/>
    <w:rsid w:val="007325F3"/>
    <w:rsid w:val="00733ADE"/>
    <w:rsid w:val="00735B29"/>
    <w:rsid w:val="0074173D"/>
    <w:rsid w:val="007449CC"/>
    <w:rsid w:val="00745740"/>
    <w:rsid w:val="00745EE9"/>
    <w:rsid w:val="00747F6C"/>
    <w:rsid w:val="007508A9"/>
    <w:rsid w:val="007534C0"/>
    <w:rsid w:val="00753D11"/>
    <w:rsid w:val="0075518C"/>
    <w:rsid w:val="0075714E"/>
    <w:rsid w:val="007641BF"/>
    <w:rsid w:val="00764FDB"/>
    <w:rsid w:val="00766094"/>
    <w:rsid w:val="00766EE8"/>
    <w:rsid w:val="007717E7"/>
    <w:rsid w:val="00771ED2"/>
    <w:rsid w:val="00772F18"/>
    <w:rsid w:val="00773AAF"/>
    <w:rsid w:val="007745A8"/>
    <w:rsid w:val="00776B33"/>
    <w:rsid w:val="0078046B"/>
    <w:rsid w:val="007823FF"/>
    <w:rsid w:val="00786272"/>
    <w:rsid w:val="00787E5F"/>
    <w:rsid w:val="0079012E"/>
    <w:rsid w:val="007940BC"/>
    <w:rsid w:val="0079501A"/>
    <w:rsid w:val="00795AAC"/>
    <w:rsid w:val="0079668D"/>
    <w:rsid w:val="007A0798"/>
    <w:rsid w:val="007A10E9"/>
    <w:rsid w:val="007A1D75"/>
    <w:rsid w:val="007A2A43"/>
    <w:rsid w:val="007A3472"/>
    <w:rsid w:val="007A3B44"/>
    <w:rsid w:val="007A465B"/>
    <w:rsid w:val="007A5073"/>
    <w:rsid w:val="007A6830"/>
    <w:rsid w:val="007A77E7"/>
    <w:rsid w:val="007B07F5"/>
    <w:rsid w:val="007B0C93"/>
    <w:rsid w:val="007B1920"/>
    <w:rsid w:val="007B2FF7"/>
    <w:rsid w:val="007B646A"/>
    <w:rsid w:val="007B7EC2"/>
    <w:rsid w:val="007C091A"/>
    <w:rsid w:val="007C21D8"/>
    <w:rsid w:val="007C2367"/>
    <w:rsid w:val="007C3E5C"/>
    <w:rsid w:val="007C59C6"/>
    <w:rsid w:val="007C6247"/>
    <w:rsid w:val="007D1401"/>
    <w:rsid w:val="007D1D7E"/>
    <w:rsid w:val="007D25B2"/>
    <w:rsid w:val="007D42CB"/>
    <w:rsid w:val="007D540D"/>
    <w:rsid w:val="007D5BE7"/>
    <w:rsid w:val="007D69A5"/>
    <w:rsid w:val="007D751C"/>
    <w:rsid w:val="007D79C8"/>
    <w:rsid w:val="007E0315"/>
    <w:rsid w:val="007E13A5"/>
    <w:rsid w:val="007E1E3C"/>
    <w:rsid w:val="007E1E79"/>
    <w:rsid w:val="007E2207"/>
    <w:rsid w:val="007E24FE"/>
    <w:rsid w:val="007E2623"/>
    <w:rsid w:val="007E4AF9"/>
    <w:rsid w:val="007E5326"/>
    <w:rsid w:val="007E587D"/>
    <w:rsid w:val="007E5D4E"/>
    <w:rsid w:val="007E654F"/>
    <w:rsid w:val="007E72D3"/>
    <w:rsid w:val="007F1496"/>
    <w:rsid w:val="007F1725"/>
    <w:rsid w:val="007F24A9"/>
    <w:rsid w:val="007F2BB9"/>
    <w:rsid w:val="007F3B93"/>
    <w:rsid w:val="007F732A"/>
    <w:rsid w:val="00802BA0"/>
    <w:rsid w:val="00804F6D"/>
    <w:rsid w:val="008061C3"/>
    <w:rsid w:val="00807A6A"/>
    <w:rsid w:val="00810CA3"/>
    <w:rsid w:val="008131EA"/>
    <w:rsid w:val="00814233"/>
    <w:rsid w:val="00815C38"/>
    <w:rsid w:val="00816332"/>
    <w:rsid w:val="0081727F"/>
    <w:rsid w:val="00820BBE"/>
    <w:rsid w:val="00821F30"/>
    <w:rsid w:val="00822DB2"/>
    <w:rsid w:val="008242E8"/>
    <w:rsid w:val="00826B77"/>
    <w:rsid w:val="00826D44"/>
    <w:rsid w:val="00827314"/>
    <w:rsid w:val="008301D3"/>
    <w:rsid w:val="00830255"/>
    <w:rsid w:val="00830740"/>
    <w:rsid w:val="00830F9B"/>
    <w:rsid w:val="00831B86"/>
    <w:rsid w:val="00831C3F"/>
    <w:rsid w:val="00833CED"/>
    <w:rsid w:val="008360BD"/>
    <w:rsid w:val="00837DB3"/>
    <w:rsid w:val="00837EBB"/>
    <w:rsid w:val="00842171"/>
    <w:rsid w:val="008429D0"/>
    <w:rsid w:val="008430DE"/>
    <w:rsid w:val="00843721"/>
    <w:rsid w:val="00843748"/>
    <w:rsid w:val="00845D78"/>
    <w:rsid w:val="0084662F"/>
    <w:rsid w:val="0085059C"/>
    <w:rsid w:val="008509C8"/>
    <w:rsid w:val="00851300"/>
    <w:rsid w:val="0085610A"/>
    <w:rsid w:val="00856E23"/>
    <w:rsid w:val="00863AC5"/>
    <w:rsid w:val="00864755"/>
    <w:rsid w:val="00865564"/>
    <w:rsid w:val="008656CA"/>
    <w:rsid w:val="008657EE"/>
    <w:rsid w:val="00865AA9"/>
    <w:rsid w:val="00865C48"/>
    <w:rsid w:val="00866206"/>
    <w:rsid w:val="0086632A"/>
    <w:rsid w:val="00866ACE"/>
    <w:rsid w:val="00866E2B"/>
    <w:rsid w:val="00866FDA"/>
    <w:rsid w:val="00873F2D"/>
    <w:rsid w:val="00874FC5"/>
    <w:rsid w:val="00880835"/>
    <w:rsid w:val="008869DB"/>
    <w:rsid w:val="00887A64"/>
    <w:rsid w:val="00890308"/>
    <w:rsid w:val="00890701"/>
    <w:rsid w:val="00892038"/>
    <w:rsid w:val="00893B23"/>
    <w:rsid w:val="00893B6A"/>
    <w:rsid w:val="00894017"/>
    <w:rsid w:val="008978A3"/>
    <w:rsid w:val="008A0C6E"/>
    <w:rsid w:val="008A202E"/>
    <w:rsid w:val="008A2E55"/>
    <w:rsid w:val="008A2EC8"/>
    <w:rsid w:val="008A5A55"/>
    <w:rsid w:val="008A5F57"/>
    <w:rsid w:val="008B0923"/>
    <w:rsid w:val="008B2F62"/>
    <w:rsid w:val="008B6600"/>
    <w:rsid w:val="008B6735"/>
    <w:rsid w:val="008B7DC6"/>
    <w:rsid w:val="008C0CB1"/>
    <w:rsid w:val="008C1934"/>
    <w:rsid w:val="008C25EF"/>
    <w:rsid w:val="008C48FC"/>
    <w:rsid w:val="008C5171"/>
    <w:rsid w:val="008C7677"/>
    <w:rsid w:val="008D171D"/>
    <w:rsid w:val="008D2028"/>
    <w:rsid w:val="008D26DF"/>
    <w:rsid w:val="008D2761"/>
    <w:rsid w:val="008D31D8"/>
    <w:rsid w:val="008D3779"/>
    <w:rsid w:val="008D3CFF"/>
    <w:rsid w:val="008D45DF"/>
    <w:rsid w:val="008D4E6F"/>
    <w:rsid w:val="008D5A29"/>
    <w:rsid w:val="008D72DA"/>
    <w:rsid w:val="008E1A99"/>
    <w:rsid w:val="008E21A6"/>
    <w:rsid w:val="008E338E"/>
    <w:rsid w:val="008E40CA"/>
    <w:rsid w:val="008E4209"/>
    <w:rsid w:val="008E54F0"/>
    <w:rsid w:val="008E5589"/>
    <w:rsid w:val="008E68C2"/>
    <w:rsid w:val="008E6FD5"/>
    <w:rsid w:val="008F0C8A"/>
    <w:rsid w:val="008F2059"/>
    <w:rsid w:val="008F2D14"/>
    <w:rsid w:val="008F44C9"/>
    <w:rsid w:val="008F5E5E"/>
    <w:rsid w:val="008F686E"/>
    <w:rsid w:val="00900CB4"/>
    <w:rsid w:val="00900D07"/>
    <w:rsid w:val="00900EFF"/>
    <w:rsid w:val="00901A85"/>
    <w:rsid w:val="009030D3"/>
    <w:rsid w:val="009046D0"/>
    <w:rsid w:val="00905EB1"/>
    <w:rsid w:val="00907A1C"/>
    <w:rsid w:val="009105ED"/>
    <w:rsid w:val="009109A7"/>
    <w:rsid w:val="00910AA7"/>
    <w:rsid w:val="00910B8B"/>
    <w:rsid w:val="0091210D"/>
    <w:rsid w:val="00914394"/>
    <w:rsid w:val="00915EC5"/>
    <w:rsid w:val="009171EE"/>
    <w:rsid w:val="00917970"/>
    <w:rsid w:val="00917AD3"/>
    <w:rsid w:val="00920766"/>
    <w:rsid w:val="00920771"/>
    <w:rsid w:val="00921056"/>
    <w:rsid w:val="009237FD"/>
    <w:rsid w:val="00927CB6"/>
    <w:rsid w:val="00931562"/>
    <w:rsid w:val="00931EC3"/>
    <w:rsid w:val="00931FCC"/>
    <w:rsid w:val="00933DAD"/>
    <w:rsid w:val="009344A8"/>
    <w:rsid w:val="00934BB9"/>
    <w:rsid w:val="00935577"/>
    <w:rsid w:val="00936D82"/>
    <w:rsid w:val="00940022"/>
    <w:rsid w:val="00941FC5"/>
    <w:rsid w:val="00942574"/>
    <w:rsid w:val="00942B81"/>
    <w:rsid w:val="00942DA6"/>
    <w:rsid w:val="00942FF3"/>
    <w:rsid w:val="0094434F"/>
    <w:rsid w:val="009455B2"/>
    <w:rsid w:val="00946BE7"/>
    <w:rsid w:val="00947E2C"/>
    <w:rsid w:val="00950935"/>
    <w:rsid w:val="009511E7"/>
    <w:rsid w:val="0095445C"/>
    <w:rsid w:val="0095797F"/>
    <w:rsid w:val="00957B8F"/>
    <w:rsid w:val="00957E6A"/>
    <w:rsid w:val="0096060A"/>
    <w:rsid w:val="00962167"/>
    <w:rsid w:val="009630EB"/>
    <w:rsid w:val="009643D9"/>
    <w:rsid w:val="00964DD8"/>
    <w:rsid w:val="00964FFD"/>
    <w:rsid w:val="0096503B"/>
    <w:rsid w:val="00965048"/>
    <w:rsid w:val="009661F4"/>
    <w:rsid w:val="0097462F"/>
    <w:rsid w:val="009753A2"/>
    <w:rsid w:val="00975882"/>
    <w:rsid w:val="00975B80"/>
    <w:rsid w:val="00977814"/>
    <w:rsid w:val="00981412"/>
    <w:rsid w:val="00983D58"/>
    <w:rsid w:val="009848DF"/>
    <w:rsid w:val="009861BE"/>
    <w:rsid w:val="00992DFF"/>
    <w:rsid w:val="0099360D"/>
    <w:rsid w:val="00993990"/>
    <w:rsid w:val="00994F0F"/>
    <w:rsid w:val="00995278"/>
    <w:rsid w:val="00996E9B"/>
    <w:rsid w:val="00997186"/>
    <w:rsid w:val="00997358"/>
    <w:rsid w:val="009A16BB"/>
    <w:rsid w:val="009A2984"/>
    <w:rsid w:val="009A2C8B"/>
    <w:rsid w:val="009A4332"/>
    <w:rsid w:val="009A5492"/>
    <w:rsid w:val="009A5A5C"/>
    <w:rsid w:val="009A5A88"/>
    <w:rsid w:val="009B263C"/>
    <w:rsid w:val="009B2BA1"/>
    <w:rsid w:val="009B3E90"/>
    <w:rsid w:val="009B5D21"/>
    <w:rsid w:val="009B6A5D"/>
    <w:rsid w:val="009B6B44"/>
    <w:rsid w:val="009C35B9"/>
    <w:rsid w:val="009C47C9"/>
    <w:rsid w:val="009C5D4C"/>
    <w:rsid w:val="009C5ED2"/>
    <w:rsid w:val="009C6230"/>
    <w:rsid w:val="009C65DB"/>
    <w:rsid w:val="009C67D1"/>
    <w:rsid w:val="009C7402"/>
    <w:rsid w:val="009C7A9D"/>
    <w:rsid w:val="009D1218"/>
    <w:rsid w:val="009D270B"/>
    <w:rsid w:val="009D2BE6"/>
    <w:rsid w:val="009D4491"/>
    <w:rsid w:val="009D49DF"/>
    <w:rsid w:val="009D607C"/>
    <w:rsid w:val="009D7D54"/>
    <w:rsid w:val="009E0619"/>
    <w:rsid w:val="009E0C27"/>
    <w:rsid w:val="009E1627"/>
    <w:rsid w:val="009E41A4"/>
    <w:rsid w:val="009E6186"/>
    <w:rsid w:val="009F0D21"/>
    <w:rsid w:val="009F17C8"/>
    <w:rsid w:val="009F3AA6"/>
    <w:rsid w:val="009F3F8D"/>
    <w:rsid w:val="009F522D"/>
    <w:rsid w:val="00A00AA1"/>
    <w:rsid w:val="00A01E34"/>
    <w:rsid w:val="00A0330C"/>
    <w:rsid w:val="00A03EA6"/>
    <w:rsid w:val="00A04C12"/>
    <w:rsid w:val="00A05F31"/>
    <w:rsid w:val="00A06D31"/>
    <w:rsid w:val="00A07B3E"/>
    <w:rsid w:val="00A108E1"/>
    <w:rsid w:val="00A149B4"/>
    <w:rsid w:val="00A14C20"/>
    <w:rsid w:val="00A17B02"/>
    <w:rsid w:val="00A20175"/>
    <w:rsid w:val="00A21446"/>
    <w:rsid w:val="00A2181C"/>
    <w:rsid w:val="00A2246A"/>
    <w:rsid w:val="00A23B59"/>
    <w:rsid w:val="00A25529"/>
    <w:rsid w:val="00A257CC"/>
    <w:rsid w:val="00A25DB0"/>
    <w:rsid w:val="00A27AC7"/>
    <w:rsid w:val="00A304D8"/>
    <w:rsid w:val="00A30BA2"/>
    <w:rsid w:val="00A31090"/>
    <w:rsid w:val="00A31287"/>
    <w:rsid w:val="00A313B8"/>
    <w:rsid w:val="00A336CB"/>
    <w:rsid w:val="00A34B2E"/>
    <w:rsid w:val="00A35C7F"/>
    <w:rsid w:val="00A37D99"/>
    <w:rsid w:val="00A40FA1"/>
    <w:rsid w:val="00A42965"/>
    <w:rsid w:val="00A436B4"/>
    <w:rsid w:val="00A438F1"/>
    <w:rsid w:val="00A441AF"/>
    <w:rsid w:val="00A44AC6"/>
    <w:rsid w:val="00A4522A"/>
    <w:rsid w:val="00A539D1"/>
    <w:rsid w:val="00A54661"/>
    <w:rsid w:val="00A555B8"/>
    <w:rsid w:val="00A57974"/>
    <w:rsid w:val="00A60384"/>
    <w:rsid w:val="00A612AB"/>
    <w:rsid w:val="00A622E4"/>
    <w:rsid w:val="00A6269B"/>
    <w:rsid w:val="00A633AB"/>
    <w:rsid w:val="00A64224"/>
    <w:rsid w:val="00A644A6"/>
    <w:rsid w:val="00A64892"/>
    <w:rsid w:val="00A66971"/>
    <w:rsid w:val="00A66B1D"/>
    <w:rsid w:val="00A71EC5"/>
    <w:rsid w:val="00A724E4"/>
    <w:rsid w:val="00A72966"/>
    <w:rsid w:val="00A7316D"/>
    <w:rsid w:val="00A734AA"/>
    <w:rsid w:val="00A734BA"/>
    <w:rsid w:val="00A75C69"/>
    <w:rsid w:val="00A75EFD"/>
    <w:rsid w:val="00A7613B"/>
    <w:rsid w:val="00A76779"/>
    <w:rsid w:val="00A80B8A"/>
    <w:rsid w:val="00A82653"/>
    <w:rsid w:val="00A83B45"/>
    <w:rsid w:val="00A84849"/>
    <w:rsid w:val="00A86390"/>
    <w:rsid w:val="00A86854"/>
    <w:rsid w:val="00A910B1"/>
    <w:rsid w:val="00A91A4B"/>
    <w:rsid w:val="00A94FE1"/>
    <w:rsid w:val="00A95805"/>
    <w:rsid w:val="00A95F13"/>
    <w:rsid w:val="00AA2004"/>
    <w:rsid w:val="00AA22A8"/>
    <w:rsid w:val="00AA48CA"/>
    <w:rsid w:val="00AB0414"/>
    <w:rsid w:val="00AB1D12"/>
    <w:rsid w:val="00AB1F3D"/>
    <w:rsid w:val="00AB4870"/>
    <w:rsid w:val="00AB51A8"/>
    <w:rsid w:val="00AB7554"/>
    <w:rsid w:val="00AB7816"/>
    <w:rsid w:val="00AC0123"/>
    <w:rsid w:val="00AC03AB"/>
    <w:rsid w:val="00AC06AB"/>
    <w:rsid w:val="00AC07E8"/>
    <w:rsid w:val="00AC0CBC"/>
    <w:rsid w:val="00AC1CC6"/>
    <w:rsid w:val="00AC3103"/>
    <w:rsid w:val="00AC33D9"/>
    <w:rsid w:val="00AC4218"/>
    <w:rsid w:val="00AC65B5"/>
    <w:rsid w:val="00AC72CE"/>
    <w:rsid w:val="00AC7C31"/>
    <w:rsid w:val="00AD1253"/>
    <w:rsid w:val="00AD19D3"/>
    <w:rsid w:val="00AD2922"/>
    <w:rsid w:val="00AD3761"/>
    <w:rsid w:val="00AD5B3B"/>
    <w:rsid w:val="00AD636A"/>
    <w:rsid w:val="00AD6CB9"/>
    <w:rsid w:val="00AE1B1E"/>
    <w:rsid w:val="00AE21DF"/>
    <w:rsid w:val="00AE25A5"/>
    <w:rsid w:val="00AE32CA"/>
    <w:rsid w:val="00AE4148"/>
    <w:rsid w:val="00AE4A2E"/>
    <w:rsid w:val="00AE4A58"/>
    <w:rsid w:val="00AE5070"/>
    <w:rsid w:val="00AE56A9"/>
    <w:rsid w:val="00AE767F"/>
    <w:rsid w:val="00AE7BC8"/>
    <w:rsid w:val="00AF19FC"/>
    <w:rsid w:val="00AF2570"/>
    <w:rsid w:val="00AF25EE"/>
    <w:rsid w:val="00AF51E8"/>
    <w:rsid w:val="00AF5DF7"/>
    <w:rsid w:val="00AF6DEE"/>
    <w:rsid w:val="00AF77EC"/>
    <w:rsid w:val="00B03811"/>
    <w:rsid w:val="00B04236"/>
    <w:rsid w:val="00B04B49"/>
    <w:rsid w:val="00B05152"/>
    <w:rsid w:val="00B07E28"/>
    <w:rsid w:val="00B11FE9"/>
    <w:rsid w:val="00B136D5"/>
    <w:rsid w:val="00B138B6"/>
    <w:rsid w:val="00B14770"/>
    <w:rsid w:val="00B14ADF"/>
    <w:rsid w:val="00B16BFF"/>
    <w:rsid w:val="00B20539"/>
    <w:rsid w:val="00B20697"/>
    <w:rsid w:val="00B23E4F"/>
    <w:rsid w:val="00B24322"/>
    <w:rsid w:val="00B24FBC"/>
    <w:rsid w:val="00B26DE4"/>
    <w:rsid w:val="00B27D37"/>
    <w:rsid w:val="00B30051"/>
    <w:rsid w:val="00B3409A"/>
    <w:rsid w:val="00B34265"/>
    <w:rsid w:val="00B3500E"/>
    <w:rsid w:val="00B35271"/>
    <w:rsid w:val="00B35C5B"/>
    <w:rsid w:val="00B36DBC"/>
    <w:rsid w:val="00B40CD0"/>
    <w:rsid w:val="00B41A8F"/>
    <w:rsid w:val="00B42889"/>
    <w:rsid w:val="00B42973"/>
    <w:rsid w:val="00B4393A"/>
    <w:rsid w:val="00B441B1"/>
    <w:rsid w:val="00B44773"/>
    <w:rsid w:val="00B45F53"/>
    <w:rsid w:val="00B47EE1"/>
    <w:rsid w:val="00B50259"/>
    <w:rsid w:val="00B5075F"/>
    <w:rsid w:val="00B51DCD"/>
    <w:rsid w:val="00B5254F"/>
    <w:rsid w:val="00B53742"/>
    <w:rsid w:val="00B549A1"/>
    <w:rsid w:val="00B55709"/>
    <w:rsid w:val="00B55B12"/>
    <w:rsid w:val="00B57FC8"/>
    <w:rsid w:val="00B60356"/>
    <w:rsid w:val="00B609AB"/>
    <w:rsid w:val="00B60DEB"/>
    <w:rsid w:val="00B619A3"/>
    <w:rsid w:val="00B61FEF"/>
    <w:rsid w:val="00B638F6"/>
    <w:rsid w:val="00B65DC5"/>
    <w:rsid w:val="00B67055"/>
    <w:rsid w:val="00B70CAF"/>
    <w:rsid w:val="00B712E6"/>
    <w:rsid w:val="00B73F3E"/>
    <w:rsid w:val="00B77AFC"/>
    <w:rsid w:val="00B810A9"/>
    <w:rsid w:val="00B81564"/>
    <w:rsid w:val="00B816E3"/>
    <w:rsid w:val="00B81D9F"/>
    <w:rsid w:val="00B8482F"/>
    <w:rsid w:val="00B84A48"/>
    <w:rsid w:val="00B84CE6"/>
    <w:rsid w:val="00B8572A"/>
    <w:rsid w:val="00B86ABB"/>
    <w:rsid w:val="00B86C48"/>
    <w:rsid w:val="00B86E06"/>
    <w:rsid w:val="00B87409"/>
    <w:rsid w:val="00B875C6"/>
    <w:rsid w:val="00B92AEC"/>
    <w:rsid w:val="00B93192"/>
    <w:rsid w:val="00B9347C"/>
    <w:rsid w:val="00B94BB6"/>
    <w:rsid w:val="00B95BD9"/>
    <w:rsid w:val="00BA062F"/>
    <w:rsid w:val="00BA0777"/>
    <w:rsid w:val="00BA1135"/>
    <w:rsid w:val="00BA1541"/>
    <w:rsid w:val="00BA1F48"/>
    <w:rsid w:val="00BA22DB"/>
    <w:rsid w:val="00BA381F"/>
    <w:rsid w:val="00BA4138"/>
    <w:rsid w:val="00BA5897"/>
    <w:rsid w:val="00BA622E"/>
    <w:rsid w:val="00BA731C"/>
    <w:rsid w:val="00BA7B5D"/>
    <w:rsid w:val="00BB2D93"/>
    <w:rsid w:val="00BB492A"/>
    <w:rsid w:val="00BB5BBB"/>
    <w:rsid w:val="00BB6EC9"/>
    <w:rsid w:val="00BB7147"/>
    <w:rsid w:val="00BC1A45"/>
    <w:rsid w:val="00BC1AB1"/>
    <w:rsid w:val="00BC306A"/>
    <w:rsid w:val="00BC460D"/>
    <w:rsid w:val="00BD0196"/>
    <w:rsid w:val="00BD14C8"/>
    <w:rsid w:val="00BD3B7C"/>
    <w:rsid w:val="00BD49A6"/>
    <w:rsid w:val="00BD5A93"/>
    <w:rsid w:val="00BD7EED"/>
    <w:rsid w:val="00BE1975"/>
    <w:rsid w:val="00BE1B7C"/>
    <w:rsid w:val="00BE2141"/>
    <w:rsid w:val="00BE29AF"/>
    <w:rsid w:val="00BE41F9"/>
    <w:rsid w:val="00BE506A"/>
    <w:rsid w:val="00BE521B"/>
    <w:rsid w:val="00BE6304"/>
    <w:rsid w:val="00BE7750"/>
    <w:rsid w:val="00BE7BCF"/>
    <w:rsid w:val="00BF03FE"/>
    <w:rsid w:val="00BF0A20"/>
    <w:rsid w:val="00BF0CC4"/>
    <w:rsid w:val="00BF0DB3"/>
    <w:rsid w:val="00BF12FB"/>
    <w:rsid w:val="00BF1A35"/>
    <w:rsid w:val="00BF4278"/>
    <w:rsid w:val="00BF4543"/>
    <w:rsid w:val="00BF4C7E"/>
    <w:rsid w:val="00BF71FE"/>
    <w:rsid w:val="00C00B7B"/>
    <w:rsid w:val="00C058D1"/>
    <w:rsid w:val="00C075A7"/>
    <w:rsid w:val="00C078C2"/>
    <w:rsid w:val="00C131A5"/>
    <w:rsid w:val="00C137E1"/>
    <w:rsid w:val="00C13A25"/>
    <w:rsid w:val="00C15954"/>
    <w:rsid w:val="00C16956"/>
    <w:rsid w:val="00C2017C"/>
    <w:rsid w:val="00C20933"/>
    <w:rsid w:val="00C20FB8"/>
    <w:rsid w:val="00C23949"/>
    <w:rsid w:val="00C240D5"/>
    <w:rsid w:val="00C257BF"/>
    <w:rsid w:val="00C25C8F"/>
    <w:rsid w:val="00C27021"/>
    <w:rsid w:val="00C27DB9"/>
    <w:rsid w:val="00C3114B"/>
    <w:rsid w:val="00C31669"/>
    <w:rsid w:val="00C3180C"/>
    <w:rsid w:val="00C33858"/>
    <w:rsid w:val="00C33DDB"/>
    <w:rsid w:val="00C33FD4"/>
    <w:rsid w:val="00C3531E"/>
    <w:rsid w:val="00C358F8"/>
    <w:rsid w:val="00C40242"/>
    <w:rsid w:val="00C40481"/>
    <w:rsid w:val="00C404AD"/>
    <w:rsid w:val="00C40ABC"/>
    <w:rsid w:val="00C40E2D"/>
    <w:rsid w:val="00C40EE2"/>
    <w:rsid w:val="00C42FDD"/>
    <w:rsid w:val="00C43CE5"/>
    <w:rsid w:val="00C43D71"/>
    <w:rsid w:val="00C44E11"/>
    <w:rsid w:val="00C47BC6"/>
    <w:rsid w:val="00C50500"/>
    <w:rsid w:val="00C505D2"/>
    <w:rsid w:val="00C51B39"/>
    <w:rsid w:val="00C51F69"/>
    <w:rsid w:val="00C531EA"/>
    <w:rsid w:val="00C555D1"/>
    <w:rsid w:val="00C56405"/>
    <w:rsid w:val="00C5743F"/>
    <w:rsid w:val="00C611F4"/>
    <w:rsid w:val="00C61613"/>
    <w:rsid w:val="00C65821"/>
    <w:rsid w:val="00C66726"/>
    <w:rsid w:val="00C66DA6"/>
    <w:rsid w:val="00C67CF5"/>
    <w:rsid w:val="00C7002A"/>
    <w:rsid w:val="00C70E71"/>
    <w:rsid w:val="00C7329A"/>
    <w:rsid w:val="00C7387B"/>
    <w:rsid w:val="00C74010"/>
    <w:rsid w:val="00C7497A"/>
    <w:rsid w:val="00C74B16"/>
    <w:rsid w:val="00C7624D"/>
    <w:rsid w:val="00C765EA"/>
    <w:rsid w:val="00C7745B"/>
    <w:rsid w:val="00C77BF3"/>
    <w:rsid w:val="00C828C0"/>
    <w:rsid w:val="00C83085"/>
    <w:rsid w:val="00C836DC"/>
    <w:rsid w:val="00C83998"/>
    <w:rsid w:val="00C84E40"/>
    <w:rsid w:val="00C87F94"/>
    <w:rsid w:val="00C90424"/>
    <w:rsid w:val="00C9132E"/>
    <w:rsid w:val="00C93285"/>
    <w:rsid w:val="00C939D4"/>
    <w:rsid w:val="00C93DA9"/>
    <w:rsid w:val="00C93E9C"/>
    <w:rsid w:val="00C96EE3"/>
    <w:rsid w:val="00C975B7"/>
    <w:rsid w:val="00CA01B5"/>
    <w:rsid w:val="00CA0A60"/>
    <w:rsid w:val="00CA1433"/>
    <w:rsid w:val="00CA3A3D"/>
    <w:rsid w:val="00CA609C"/>
    <w:rsid w:val="00CA63CB"/>
    <w:rsid w:val="00CA6CA4"/>
    <w:rsid w:val="00CA70B6"/>
    <w:rsid w:val="00CB24D3"/>
    <w:rsid w:val="00CB4F3D"/>
    <w:rsid w:val="00CB4F7C"/>
    <w:rsid w:val="00CB6832"/>
    <w:rsid w:val="00CB7F3B"/>
    <w:rsid w:val="00CC0785"/>
    <w:rsid w:val="00CC334C"/>
    <w:rsid w:val="00CC4CFB"/>
    <w:rsid w:val="00CC5595"/>
    <w:rsid w:val="00CC5BFD"/>
    <w:rsid w:val="00CD0C65"/>
    <w:rsid w:val="00CD2DF5"/>
    <w:rsid w:val="00CD36C7"/>
    <w:rsid w:val="00CD4571"/>
    <w:rsid w:val="00CD5501"/>
    <w:rsid w:val="00CD725E"/>
    <w:rsid w:val="00CE0124"/>
    <w:rsid w:val="00CE1BA7"/>
    <w:rsid w:val="00CE2102"/>
    <w:rsid w:val="00CE3302"/>
    <w:rsid w:val="00CE45C7"/>
    <w:rsid w:val="00CE6C41"/>
    <w:rsid w:val="00CF0CD5"/>
    <w:rsid w:val="00CF18EA"/>
    <w:rsid w:val="00CF1BA1"/>
    <w:rsid w:val="00CF2928"/>
    <w:rsid w:val="00CF358B"/>
    <w:rsid w:val="00CF3979"/>
    <w:rsid w:val="00CF3F9C"/>
    <w:rsid w:val="00CF7280"/>
    <w:rsid w:val="00D00ACF"/>
    <w:rsid w:val="00D0239F"/>
    <w:rsid w:val="00D03C58"/>
    <w:rsid w:val="00D0469F"/>
    <w:rsid w:val="00D048CA"/>
    <w:rsid w:val="00D05B65"/>
    <w:rsid w:val="00D0650F"/>
    <w:rsid w:val="00D06FA8"/>
    <w:rsid w:val="00D070F7"/>
    <w:rsid w:val="00D07F00"/>
    <w:rsid w:val="00D10541"/>
    <w:rsid w:val="00D10649"/>
    <w:rsid w:val="00D10FE6"/>
    <w:rsid w:val="00D1211B"/>
    <w:rsid w:val="00D13698"/>
    <w:rsid w:val="00D13CD1"/>
    <w:rsid w:val="00D151A3"/>
    <w:rsid w:val="00D170F4"/>
    <w:rsid w:val="00D20352"/>
    <w:rsid w:val="00D206C6"/>
    <w:rsid w:val="00D20847"/>
    <w:rsid w:val="00D22074"/>
    <w:rsid w:val="00D23B93"/>
    <w:rsid w:val="00D26420"/>
    <w:rsid w:val="00D27364"/>
    <w:rsid w:val="00D279D9"/>
    <w:rsid w:val="00D27FAF"/>
    <w:rsid w:val="00D308A4"/>
    <w:rsid w:val="00D314DB"/>
    <w:rsid w:val="00D316F6"/>
    <w:rsid w:val="00D31D22"/>
    <w:rsid w:val="00D31EBD"/>
    <w:rsid w:val="00D3310F"/>
    <w:rsid w:val="00D34E58"/>
    <w:rsid w:val="00D35AB9"/>
    <w:rsid w:val="00D37D3C"/>
    <w:rsid w:val="00D415A4"/>
    <w:rsid w:val="00D437A2"/>
    <w:rsid w:val="00D4598D"/>
    <w:rsid w:val="00D46E98"/>
    <w:rsid w:val="00D47C16"/>
    <w:rsid w:val="00D47C81"/>
    <w:rsid w:val="00D51C0E"/>
    <w:rsid w:val="00D53314"/>
    <w:rsid w:val="00D553E0"/>
    <w:rsid w:val="00D56424"/>
    <w:rsid w:val="00D56439"/>
    <w:rsid w:val="00D60A13"/>
    <w:rsid w:val="00D6141E"/>
    <w:rsid w:val="00D616D1"/>
    <w:rsid w:val="00D63398"/>
    <w:rsid w:val="00D63449"/>
    <w:rsid w:val="00D63A73"/>
    <w:rsid w:val="00D64773"/>
    <w:rsid w:val="00D64AB8"/>
    <w:rsid w:val="00D64B1A"/>
    <w:rsid w:val="00D654A1"/>
    <w:rsid w:val="00D66702"/>
    <w:rsid w:val="00D6775A"/>
    <w:rsid w:val="00D71B61"/>
    <w:rsid w:val="00D71E63"/>
    <w:rsid w:val="00D71F15"/>
    <w:rsid w:val="00D72014"/>
    <w:rsid w:val="00D729AC"/>
    <w:rsid w:val="00D72E7F"/>
    <w:rsid w:val="00D739DD"/>
    <w:rsid w:val="00D74195"/>
    <w:rsid w:val="00D74620"/>
    <w:rsid w:val="00D775FF"/>
    <w:rsid w:val="00D77C67"/>
    <w:rsid w:val="00D81032"/>
    <w:rsid w:val="00D810EC"/>
    <w:rsid w:val="00D81ACB"/>
    <w:rsid w:val="00D81EC1"/>
    <w:rsid w:val="00D82CFA"/>
    <w:rsid w:val="00D84480"/>
    <w:rsid w:val="00D8762C"/>
    <w:rsid w:val="00D9109B"/>
    <w:rsid w:val="00D91272"/>
    <w:rsid w:val="00D91F0A"/>
    <w:rsid w:val="00D93288"/>
    <w:rsid w:val="00D9349F"/>
    <w:rsid w:val="00D9580B"/>
    <w:rsid w:val="00D95A80"/>
    <w:rsid w:val="00D95EF4"/>
    <w:rsid w:val="00D960F4"/>
    <w:rsid w:val="00D96B1E"/>
    <w:rsid w:val="00D97CA0"/>
    <w:rsid w:val="00DA08C2"/>
    <w:rsid w:val="00DA0B07"/>
    <w:rsid w:val="00DA0B86"/>
    <w:rsid w:val="00DA106C"/>
    <w:rsid w:val="00DA29AE"/>
    <w:rsid w:val="00DA3522"/>
    <w:rsid w:val="00DA47A8"/>
    <w:rsid w:val="00DA4F20"/>
    <w:rsid w:val="00DB12D8"/>
    <w:rsid w:val="00DB1552"/>
    <w:rsid w:val="00DB4985"/>
    <w:rsid w:val="00DB6011"/>
    <w:rsid w:val="00DC02E5"/>
    <w:rsid w:val="00DC0D1D"/>
    <w:rsid w:val="00DC2A03"/>
    <w:rsid w:val="00DC30EE"/>
    <w:rsid w:val="00DC3CF3"/>
    <w:rsid w:val="00DC4066"/>
    <w:rsid w:val="00DC41C9"/>
    <w:rsid w:val="00DC45BF"/>
    <w:rsid w:val="00DC4FAC"/>
    <w:rsid w:val="00DC5484"/>
    <w:rsid w:val="00DD0708"/>
    <w:rsid w:val="00DD2CEF"/>
    <w:rsid w:val="00DD2D84"/>
    <w:rsid w:val="00DD35C2"/>
    <w:rsid w:val="00DD61F9"/>
    <w:rsid w:val="00DD6580"/>
    <w:rsid w:val="00DD7327"/>
    <w:rsid w:val="00DD76AE"/>
    <w:rsid w:val="00DD7AFC"/>
    <w:rsid w:val="00DE02C1"/>
    <w:rsid w:val="00DE0516"/>
    <w:rsid w:val="00DE06DE"/>
    <w:rsid w:val="00DE2C88"/>
    <w:rsid w:val="00DE5028"/>
    <w:rsid w:val="00DE503D"/>
    <w:rsid w:val="00DE68FF"/>
    <w:rsid w:val="00DE71FB"/>
    <w:rsid w:val="00DF0A28"/>
    <w:rsid w:val="00DF0F12"/>
    <w:rsid w:val="00DF296C"/>
    <w:rsid w:val="00DF34A9"/>
    <w:rsid w:val="00DF619C"/>
    <w:rsid w:val="00DF6632"/>
    <w:rsid w:val="00DF6A07"/>
    <w:rsid w:val="00E01024"/>
    <w:rsid w:val="00E016F2"/>
    <w:rsid w:val="00E01D68"/>
    <w:rsid w:val="00E035D3"/>
    <w:rsid w:val="00E03A56"/>
    <w:rsid w:val="00E0476C"/>
    <w:rsid w:val="00E04E26"/>
    <w:rsid w:val="00E07B08"/>
    <w:rsid w:val="00E10103"/>
    <w:rsid w:val="00E10EE5"/>
    <w:rsid w:val="00E128F8"/>
    <w:rsid w:val="00E12CA3"/>
    <w:rsid w:val="00E12EA1"/>
    <w:rsid w:val="00E1344F"/>
    <w:rsid w:val="00E13EFA"/>
    <w:rsid w:val="00E149F0"/>
    <w:rsid w:val="00E1500E"/>
    <w:rsid w:val="00E15461"/>
    <w:rsid w:val="00E173AE"/>
    <w:rsid w:val="00E1747A"/>
    <w:rsid w:val="00E17A68"/>
    <w:rsid w:val="00E20F82"/>
    <w:rsid w:val="00E21F94"/>
    <w:rsid w:val="00E23F72"/>
    <w:rsid w:val="00E25695"/>
    <w:rsid w:val="00E263D7"/>
    <w:rsid w:val="00E27442"/>
    <w:rsid w:val="00E3145E"/>
    <w:rsid w:val="00E31B65"/>
    <w:rsid w:val="00E33021"/>
    <w:rsid w:val="00E4029B"/>
    <w:rsid w:val="00E402DD"/>
    <w:rsid w:val="00E40EB6"/>
    <w:rsid w:val="00E43A3E"/>
    <w:rsid w:val="00E44305"/>
    <w:rsid w:val="00E5379F"/>
    <w:rsid w:val="00E54D44"/>
    <w:rsid w:val="00E56663"/>
    <w:rsid w:val="00E56C61"/>
    <w:rsid w:val="00E57D5E"/>
    <w:rsid w:val="00E60007"/>
    <w:rsid w:val="00E629E0"/>
    <w:rsid w:val="00E65F9D"/>
    <w:rsid w:val="00E6608A"/>
    <w:rsid w:val="00E67D88"/>
    <w:rsid w:val="00E70E82"/>
    <w:rsid w:val="00E70F60"/>
    <w:rsid w:val="00E720CD"/>
    <w:rsid w:val="00E7334F"/>
    <w:rsid w:val="00E73F63"/>
    <w:rsid w:val="00E74325"/>
    <w:rsid w:val="00E749BF"/>
    <w:rsid w:val="00E76280"/>
    <w:rsid w:val="00E7729B"/>
    <w:rsid w:val="00E81201"/>
    <w:rsid w:val="00E8148C"/>
    <w:rsid w:val="00E84B23"/>
    <w:rsid w:val="00E85189"/>
    <w:rsid w:val="00E85782"/>
    <w:rsid w:val="00E85A42"/>
    <w:rsid w:val="00E90BD1"/>
    <w:rsid w:val="00E92000"/>
    <w:rsid w:val="00E92856"/>
    <w:rsid w:val="00E92DCF"/>
    <w:rsid w:val="00E935DD"/>
    <w:rsid w:val="00E93720"/>
    <w:rsid w:val="00E93D27"/>
    <w:rsid w:val="00E94FA7"/>
    <w:rsid w:val="00E950B1"/>
    <w:rsid w:val="00E9694B"/>
    <w:rsid w:val="00E96B63"/>
    <w:rsid w:val="00E96BBB"/>
    <w:rsid w:val="00E96C75"/>
    <w:rsid w:val="00E96E68"/>
    <w:rsid w:val="00E970BD"/>
    <w:rsid w:val="00EA2527"/>
    <w:rsid w:val="00EA2DD9"/>
    <w:rsid w:val="00EA3ADF"/>
    <w:rsid w:val="00EA4D6C"/>
    <w:rsid w:val="00EA7EA7"/>
    <w:rsid w:val="00EB25EF"/>
    <w:rsid w:val="00EB530A"/>
    <w:rsid w:val="00EB5AF5"/>
    <w:rsid w:val="00EB6D0C"/>
    <w:rsid w:val="00EB72B4"/>
    <w:rsid w:val="00EB7AD7"/>
    <w:rsid w:val="00EB7C62"/>
    <w:rsid w:val="00EB7EDE"/>
    <w:rsid w:val="00EC28F5"/>
    <w:rsid w:val="00EC4C92"/>
    <w:rsid w:val="00ED0A30"/>
    <w:rsid w:val="00ED0CA7"/>
    <w:rsid w:val="00ED17EF"/>
    <w:rsid w:val="00ED2825"/>
    <w:rsid w:val="00ED5C69"/>
    <w:rsid w:val="00EE113B"/>
    <w:rsid w:val="00EE18AE"/>
    <w:rsid w:val="00EE3DF8"/>
    <w:rsid w:val="00EE642B"/>
    <w:rsid w:val="00EE6C95"/>
    <w:rsid w:val="00EE76CA"/>
    <w:rsid w:val="00EF2B4D"/>
    <w:rsid w:val="00EF4E14"/>
    <w:rsid w:val="00EF500D"/>
    <w:rsid w:val="00EF6658"/>
    <w:rsid w:val="00EF69E9"/>
    <w:rsid w:val="00EF7649"/>
    <w:rsid w:val="00F00242"/>
    <w:rsid w:val="00F031F1"/>
    <w:rsid w:val="00F039D8"/>
    <w:rsid w:val="00F0435F"/>
    <w:rsid w:val="00F044A2"/>
    <w:rsid w:val="00F077BE"/>
    <w:rsid w:val="00F11593"/>
    <w:rsid w:val="00F1194E"/>
    <w:rsid w:val="00F1205F"/>
    <w:rsid w:val="00F132BE"/>
    <w:rsid w:val="00F16EB7"/>
    <w:rsid w:val="00F16FB9"/>
    <w:rsid w:val="00F1738B"/>
    <w:rsid w:val="00F20846"/>
    <w:rsid w:val="00F2146E"/>
    <w:rsid w:val="00F23F50"/>
    <w:rsid w:val="00F243B9"/>
    <w:rsid w:val="00F25601"/>
    <w:rsid w:val="00F261EF"/>
    <w:rsid w:val="00F26769"/>
    <w:rsid w:val="00F26A57"/>
    <w:rsid w:val="00F27711"/>
    <w:rsid w:val="00F27DE8"/>
    <w:rsid w:val="00F30F23"/>
    <w:rsid w:val="00F317D5"/>
    <w:rsid w:val="00F32E44"/>
    <w:rsid w:val="00F32E6C"/>
    <w:rsid w:val="00F3457D"/>
    <w:rsid w:val="00F34598"/>
    <w:rsid w:val="00F40195"/>
    <w:rsid w:val="00F4028C"/>
    <w:rsid w:val="00F412E2"/>
    <w:rsid w:val="00F41FE1"/>
    <w:rsid w:val="00F421D3"/>
    <w:rsid w:val="00F42AAC"/>
    <w:rsid w:val="00F42D71"/>
    <w:rsid w:val="00F42EA2"/>
    <w:rsid w:val="00F43E19"/>
    <w:rsid w:val="00F45DA7"/>
    <w:rsid w:val="00F510DA"/>
    <w:rsid w:val="00F51B42"/>
    <w:rsid w:val="00F52DD6"/>
    <w:rsid w:val="00F536D4"/>
    <w:rsid w:val="00F53AD9"/>
    <w:rsid w:val="00F548A4"/>
    <w:rsid w:val="00F54D73"/>
    <w:rsid w:val="00F54F44"/>
    <w:rsid w:val="00F57211"/>
    <w:rsid w:val="00F574E6"/>
    <w:rsid w:val="00F57523"/>
    <w:rsid w:val="00F57AF2"/>
    <w:rsid w:val="00F60655"/>
    <w:rsid w:val="00F606A8"/>
    <w:rsid w:val="00F612A7"/>
    <w:rsid w:val="00F61E6F"/>
    <w:rsid w:val="00F620F1"/>
    <w:rsid w:val="00F625A4"/>
    <w:rsid w:val="00F64C96"/>
    <w:rsid w:val="00F6714F"/>
    <w:rsid w:val="00F71DDC"/>
    <w:rsid w:val="00F72916"/>
    <w:rsid w:val="00F739A5"/>
    <w:rsid w:val="00F73A08"/>
    <w:rsid w:val="00F81E2D"/>
    <w:rsid w:val="00F8263A"/>
    <w:rsid w:val="00F82C78"/>
    <w:rsid w:val="00F831D4"/>
    <w:rsid w:val="00F838EA"/>
    <w:rsid w:val="00F8428B"/>
    <w:rsid w:val="00F8596F"/>
    <w:rsid w:val="00F87E91"/>
    <w:rsid w:val="00F90135"/>
    <w:rsid w:val="00F91364"/>
    <w:rsid w:val="00F922EC"/>
    <w:rsid w:val="00F9294C"/>
    <w:rsid w:val="00F92AD6"/>
    <w:rsid w:val="00F930B6"/>
    <w:rsid w:val="00F9509B"/>
    <w:rsid w:val="00F955C4"/>
    <w:rsid w:val="00F96021"/>
    <w:rsid w:val="00F963A6"/>
    <w:rsid w:val="00F977C5"/>
    <w:rsid w:val="00FA13D8"/>
    <w:rsid w:val="00FA1883"/>
    <w:rsid w:val="00FA188C"/>
    <w:rsid w:val="00FA36BE"/>
    <w:rsid w:val="00FA3ECD"/>
    <w:rsid w:val="00FA4A82"/>
    <w:rsid w:val="00FA5053"/>
    <w:rsid w:val="00FA74DB"/>
    <w:rsid w:val="00FB1C9D"/>
    <w:rsid w:val="00FB1CE5"/>
    <w:rsid w:val="00FB1E7D"/>
    <w:rsid w:val="00FB5C87"/>
    <w:rsid w:val="00FB6A58"/>
    <w:rsid w:val="00FC0784"/>
    <w:rsid w:val="00FC0F85"/>
    <w:rsid w:val="00FC107E"/>
    <w:rsid w:val="00FC43B9"/>
    <w:rsid w:val="00FC4A53"/>
    <w:rsid w:val="00FC6C3F"/>
    <w:rsid w:val="00FD1140"/>
    <w:rsid w:val="00FD3063"/>
    <w:rsid w:val="00FD327B"/>
    <w:rsid w:val="00FE174D"/>
    <w:rsid w:val="00FE1781"/>
    <w:rsid w:val="00FE1EDE"/>
    <w:rsid w:val="00FE20A3"/>
    <w:rsid w:val="00FE23BB"/>
    <w:rsid w:val="00FE30DA"/>
    <w:rsid w:val="00FE455B"/>
    <w:rsid w:val="00FF09B2"/>
    <w:rsid w:val="00FF19D5"/>
    <w:rsid w:val="00FF1AFA"/>
    <w:rsid w:val="00FF2EC8"/>
    <w:rsid w:val="00FF3D5A"/>
    <w:rsid w:val="00FF447A"/>
    <w:rsid w:val="00FF4A3E"/>
    <w:rsid w:val="00FF5A6D"/>
    <w:rsid w:val="127EB162"/>
    <w:rsid w:val="29D80127"/>
    <w:rsid w:val="3E62D0AC"/>
    <w:rsid w:val="577E94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F08C3"/>
  <w15:docId w15:val="{3A0B1382-9D14-49BE-A323-2588E887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es-E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qFormat="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qFormat="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1" w:unhideWhenUsed="1" w:qFormat="1"/>
    <w:lsdException w:name="List Number" w:semiHidden="1" w:uiPriority="1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iPriority="1" w:unhideWhenUsed="1" w:qFormat="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99" w:qFormat="1"/>
    <w:lsdException w:name="Closing" w:semiHidden="1" w:unhideWhenUsed="1" w:qFormat="1"/>
    <w:lsdException w:name="Signature" w:semiHidden="1" w:uiPriority="99" w:unhideWhenUsed="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iPriority="2" w:unhideWhenUsed="1" w:qFormat="1"/>
    <w:lsdException w:name="List Continue 2" w:semiHidden="1" w:uiPriority="2" w:unhideWhenUsed="1" w:qFormat="1"/>
    <w:lsdException w:name="List Continue 3" w:semiHidden="1" w:uiPriority="2" w:unhideWhenUsed="1" w:qFormat="1"/>
    <w:lsdException w:name="List Continue 4" w:semiHidden="1" w:uiPriority="2" w:unhideWhenUsed="1" w:qFormat="1"/>
    <w:lsdException w:name="List Continue 5" w:semiHidden="1" w:uiPriority="2" w:unhideWhenUsed="1" w:qFormat="1"/>
    <w:lsdException w:name="Message Header" w:semiHidden="1" w:uiPriority="99" w:unhideWhenUsed="1"/>
    <w:lsdException w:name="Subtitle" w:uiPriority="11" w:qFormat="1"/>
    <w:lsdException w:name="Salutation" w:semiHidden="1" w:uiPriority="9" w:unhideWhenUsed="1" w:qFormat="1"/>
    <w:lsdException w:name="Date" w:semiHidden="1" w:uiPriority="99" w:unhideWhenUsed="1"/>
    <w:lsdException w:name="Body Text First Indent" w:semiHidden="1" w:unhideWhenUsed="1" w:qFormat="1"/>
    <w:lsdException w:name="Body Text First Indent 2" w:semiHidden="1" w:uiPriority="99" w:unhideWhenUsed="1" w:qFormat="1"/>
    <w:lsdException w:name="Note Heading" w:semiHidden="1" w:uiPriority="99" w:unhideWhenUsed="1"/>
    <w:lsdException w:name="Body Text 2" w:semiHidden="1" w:unhideWhenUsed="1" w:qFormat="1"/>
    <w:lsdException w:name="Body Text 3" w:semiHidden="1" w:unhideWhenUsed="1" w:qFormat="1"/>
    <w:lsdException w:name="Body Text Indent 2" w:semiHidden="1" w:uiPriority="99" w:unhideWhenUsed="1" w:qFormat="1"/>
    <w:lsdException w:name="Body Text Indent 3" w:semiHidden="1" w:uiPriority="99" w:unhideWhenUsed="1" w:qFormat="1"/>
    <w:lsdException w:name="Block Text" w:semiHidden="1" w:unhideWhenUsed="1" w:qFormat="1"/>
    <w:lsdException w:name="Hyperlink" w:semiHidden="1" w:uiPriority="99" w:unhideWhenUsed="1"/>
    <w:lsdException w:name="FollowedHyperlink" w:semiHidden="1" w:uiPriority="99" w:unhideWhenUsed="1" w:qFormat="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30"/>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1,Chapter Heading,Cía,H1,l1,app heading 1,level1,Level1"/>
    <w:basedOn w:val="Normal"/>
    <w:next w:val="Normal"/>
    <w:link w:val="Ttulo1Car"/>
    <w:uiPriority w:val="9"/>
    <w:qFormat/>
    <w:rsid w:val="00BF4C7E"/>
    <w:pPr>
      <w:spacing w:after="0" w:line="240" w:lineRule="auto"/>
      <w:jc w:val="center"/>
      <w:outlineLvl w:val="0"/>
    </w:pPr>
    <w:rPr>
      <w:rFonts w:ascii="Garamond" w:eastAsia="MS Mincho" w:hAnsi="Garamond" w:cs="Times New Roman"/>
      <w:b/>
      <w:sz w:val="24"/>
      <w:szCs w:val="18"/>
      <w:lang w:val="es-ES_tradnl" w:eastAsia="es-ES"/>
    </w:rPr>
  </w:style>
  <w:style w:type="paragraph" w:styleId="Ttulo2">
    <w:name w:val="heading 2"/>
    <w:aliases w:val="Tight Slug"/>
    <w:basedOn w:val="Normal"/>
    <w:next w:val="Textoindependiente"/>
    <w:link w:val="Ttulo2Car"/>
    <w:uiPriority w:val="9"/>
    <w:qFormat/>
    <w:rsid w:val="004C1C4F"/>
    <w:pPr>
      <w:keepNext/>
      <w:keepLines/>
      <w:suppressAutoHyphens/>
      <w:spacing w:after="240" w:line="240" w:lineRule="auto"/>
      <w:ind w:firstLine="720"/>
      <w:outlineLvl w:val="1"/>
    </w:pPr>
    <w:rPr>
      <w:rFonts w:ascii="Times New Roman" w:eastAsia="SimSun" w:hAnsi="Times New Roman" w:cs="Times New Roman"/>
      <w:bCs/>
      <w:sz w:val="20"/>
      <w:szCs w:val="26"/>
      <w:lang w:val="x-none" w:eastAsia="x-none"/>
    </w:rPr>
  </w:style>
  <w:style w:type="paragraph" w:styleId="Ttulo3">
    <w:name w:val="heading 3"/>
    <w:aliases w:val="3"/>
    <w:basedOn w:val="Normal"/>
    <w:next w:val="Textoindependiente"/>
    <w:link w:val="Ttulo3Car"/>
    <w:uiPriority w:val="9"/>
    <w:qFormat/>
    <w:rsid w:val="004C1C4F"/>
    <w:pPr>
      <w:keepNext/>
      <w:keepLines/>
      <w:spacing w:after="240" w:line="240" w:lineRule="auto"/>
      <w:ind w:firstLine="1440"/>
      <w:outlineLvl w:val="2"/>
    </w:pPr>
    <w:rPr>
      <w:rFonts w:ascii="Times New Roman" w:eastAsia="SimSun" w:hAnsi="Times New Roman" w:cs="Times New Roman"/>
      <w:bCs/>
      <w:sz w:val="20"/>
      <w:szCs w:val="20"/>
      <w:lang w:val="x-none" w:eastAsia="x-none"/>
    </w:rPr>
  </w:style>
  <w:style w:type="paragraph" w:styleId="Ttulo4">
    <w:name w:val="heading 4"/>
    <w:basedOn w:val="Normal"/>
    <w:next w:val="Textoindependiente"/>
    <w:link w:val="Ttulo4Car"/>
    <w:uiPriority w:val="9"/>
    <w:qFormat/>
    <w:rsid w:val="004C1C4F"/>
    <w:pPr>
      <w:keepNext/>
      <w:keepLines/>
      <w:spacing w:after="240" w:line="240" w:lineRule="auto"/>
      <w:ind w:firstLine="2160"/>
      <w:outlineLvl w:val="3"/>
    </w:pPr>
    <w:rPr>
      <w:rFonts w:ascii="Times New Roman" w:eastAsia="SimSun" w:hAnsi="Times New Roman" w:cs="Times New Roman"/>
      <w:bCs/>
      <w:iCs/>
      <w:sz w:val="20"/>
      <w:szCs w:val="20"/>
      <w:lang w:val="x-none" w:eastAsia="x-none"/>
    </w:rPr>
  </w:style>
  <w:style w:type="paragraph" w:styleId="Ttulo5">
    <w:name w:val="heading 5"/>
    <w:aliases w:val="5,CG-Left Ind 0,5 FL 0"/>
    <w:basedOn w:val="Normal"/>
    <w:next w:val="Textoindependiente"/>
    <w:link w:val="Ttulo5Car"/>
    <w:uiPriority w:val="9"/>
    <w:qFormat/>
    <w:rsid w:val="004C1C4F"/>
    <w:pPr>
      <w:keepNext/>
      <w:keepLines/>
      <w:spacing w:after="240" w:line="240" w:lineRule="auto"/>
      <w:ind w:firstLine="2880"/>
      <w:outlineLvl w:val="4"/>
    </w:pPr>
    <w:rPr>
      <w:rFonts w:ascii="Times New Roman" w:eastAsia="SimSun" w:hAnsi="Times New Roman" w:cs="Times New Roman"/>
      <w:sz w:val="20"/>
      <w:szCs w:val="20"/>
      <w:lang w:val="x-none" w:eastAsia="x-none"/>
    </w:rPr>
  </w:style>
  <w:style w:type="paragraph" w:styleId="Ttulo6">
    <w:name w:val="heading 6"/>
    <w:basedOn w:val="Normal"/>
    <w:next w:val="Textoindependiente"/>
    <w:link w:val="Ttulo6Car"/>
    <w:uiPriority w:val="9"/>
    <w:qFormat/>
    <w:rsid w:val="004C1C4F"/>
    <w:pPr>
      <w:keepNext/>
      <w:keepLines/>
      <w:spacing w:after="240" w:line="240" w:lineRule="auto"/>
      <w:ind w:firstLine="3600"/>
      <w:outlineLvl w:val="5"/>
    </w:pPr>
    <w:rPr>
      <w:rFonts w:ascii="Times New Roman" w:eastAsia="SimSun" w:hAnsi="Times New Roman" w:cs="Times New Roman"/>
      <w:iCs/>
      <w:sz w:val="20"/>
      <w:szCs w:val="20"/>
      <w:lang w:val="x-none" w:eastAsia="x-none"/>
    </w:rPr>
  </w:style>
  <w:style w:type="paragraph" w:styleId="Ttulo7">
    <w:name w:val="heading 7"/>
    <w:basedOn w:val="Normal"/>
    <w:next w:val="Normal"/>
    <w:link w:val="Ttulo7Car"/>
    <w:uiPriority w:val="9"/>
    <w:qFormat/>
    <w:rsid w:val="004C1C4F"/>
    <w:pPr>
      <w:keepNext/>
      <w:keepLines/>
      <w:spacing w:after="240" w:line="240" w:lineRule="auto"/>
      <w:ind w:firstLine="4320"/>
      <w:outlineLvl w:val="6"/>
    </w:pPr>
    <w:rPr>
      <w:rFonts w:ascii="Times New Roman" w:eastAsia="SimSun" w:hAnsi="Times New Roman" w:cs="Times New Roman"/>
      <w:iCs/>
      <w:sz w:val="20"/>
      <w:szCs w:val="20"/>
      <w:lang w:val="x-none" w:eastAsia="x-none"/>
    </w:rPr>
  </w:style>
  <w:style w:type="paragraph" w:styleId="Ttulo8">
    <w:name w:val="heading 8"/>
    <w:aliases w:val="8"/>
    <w:basedOn w:val="Normal"/>
    <w:next w:val="Textoindependiente"/>
    <w:link w:val="Ttulo8Car"/>
    <w:uiPriority w:val="9"/>
    <w:qFormat/>
    <w:rsid w:val="004C1C4F"/>
    <w:pPr>
      <w:keepNext/>
      <w:keepLines/>
      <w:spacing w:after="240" w:line="240" w:lineRule="auto"/>
      <w:ind w:firstLine="5040"/>
      <w:outlineLvl w:val="7"/>
    </w:pPr>
    <w:rPr>
      <w:rFonts w:ascii="Times New Roman" w:eastAsia="SimSun" w:hAnsi="Times New Roman" w:cs="Times New Roman"/>
      <w:sz w:val="20"/>
      <w:szCs w:val="20"/>
      <w:lang w:val="x-none" w:eastAsia="x-none"/>
    </w:rPr>
  </w:style>
  <w:style w:type="paragraph" w:styleId="Ttulo9">
    <w:name w:val="heading 9"/>
    <w:aliases w:val="9,Item"/>
    <w:basedOn w:val="Normal"/>
    <w:next w:val="Textoindependiente"/>
    <w:link w:val="Ttulo9Car"/>
    <w:uiPriority w:val="9"/>
    <w:qFormat/>
    <w:rsid w:val="004C1C4F"/>
    <w:pPr>
      <w:keepNext/>
      <w:keepLines/>
      <w:numPr>
        <w:ilvl w:val="8"/>
        <w:numId w:val="32"/>
      </w:numPr>
      <w:spacing w:after="240" w:line="240" w:lineRule="auto"/>
      <w:jc w:val="center"/>
      <w:outlineLvl w:val="8"/>
    </w:pPr>
    <w:rPr>
      <w:rFonts w:ascii="Times New Roman" w:eastAsia="SimSun" w:hAnsi="Times New Roman" w:cs="Times New Roman"/>
      <w:iCs/>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aliases w:val="f,footer"/>
    <w:basedOn w:val="Normal"/>
    <w:link w:val="PiedepginaCar"/>
    <w:uiPriority w:val="99"/>
    <w:rsid w:val="00354069"/>
    <w:pPr>
      <w:tabs>
        <w:tab w:val="center" w:pos="4252"/>
        <w:tab w:val="right" w:pos="8504"/>
      </w:tabs>
      <w:spacing w:after="0" w:line="240" w:lineRule="auto"/>
    </w:pPr>
    <w:rPr>
      <w:rFonts w:ascii="Times New Roman" w:eastAsia="MS Mincho" w:hAnsi="Times New Roman" w:cs="Times New Roman"/>
      <w:sz w:val="24"/>
      <w:szCs w:val="20"/>
      <w:lang w:val="es-AR" w:eastAsia="x-none"/>
    </w:rPr>
  </w:style>
  <w:style w:type="character" w:customStyle="1" w:styleId="PiedepginaCar">
    <w:name w:val="Pie de página Car"/>
    <w:aliases w:val="f Car,footer Car"/>
    <w:basedOn w:val="Fuentedeprrafopredeter"/>
    <w:link w:val="Piedepgina"/>
    <w:uiPriority w:val="99"/>
    <w:rsid w:val="00354069"/>
    <w:rPr>
      <w:rFonts w:ascii="Times New Roman" w:eastAsia="MS Mincho" w:hAnsi="Times New Roman" w:cs="Times New Roman"/>
      <w:sz w:val="24"/>
      <w:szCs w:val="20"/>
      <w:lang w:val="es-AR" w:eastAsia="x-none"/>
    </w:rPr>
  </w:style>
  <w:style w:type="character" w:styleId="Nmerodepgina">
    <w:name w:val="page number"/>
    <w:basedOn w:val="Fuentedeprrafopredeter"/>
    <w:uiPriority w:val="99"/>
    <w:rsid w:val="00354069"/>
  </w:style>
  <w:style w:type="paragraph" w:styleId="Textonotapie">
    <w:name w:val="footnote text"/>
    <w:basedOn w:val="Normal"/>
    <w:link w:val="TextonotapieCar"/>
    <w:uiPriority w:val="99"/>
    <w:unhideWhenUsed/>
    <w:qFormat/>
    <w:rsid w:val="00354069"/>
    <w:pPr>
      <w:spacing w:after="0" w:line="240" w:lineRule="auto"/>
    </w:pPr>
    <w:rPr>
      <w:rFonts w:ascii="Times New Roman" w:eastAsia="MS Mincho" w:hAnsi="Times New Roman" w:cs="Times New Roman"/>
      <w:sz w:val="20"/>
      <w:szCs w:val="20"/>
      <w:lang w:val="es-AR" w:eastAsia="es-ES"/>
    </w:rPr>
  </w:style>
  <w:style w:type="character" w:customStyle="1" w:styleId="TextonotapieCar">
    <w:name w:val="Texto nota pie Car"/>
    <w:basedOn w:val="Fuentedeprrafopredeter"/>
    <w:link w:val="Textonotapie"/>
    <w:uiPriority w:val="99"/>
    <w:rsid w:val="00354069"/>
    <w:rPr>
      <w:rFonts w:ascii="Times New Roman" w:eastAsia="MS Mincho" w:hAnsi="Times New Roman" w:cs="Times New Roman"/>
      <w:sz w:val="20"/>
      <w:szCs w:val="20"/>
      <w:lang w:val="es-AR" w:eastAsia="es-ES"/>
    </w:rPr>
  </w:style>
  <w:style w:type="character" w:styleId="Refdenotaalpie">
    <w:name w:val="footnote reference"/>
    <w:aliases w:val="16 Point,Superscript 6 Point,ftref,BVI fnr, BVI fnr,Footnote Reference Number,Ref,de nota al pie,Used by Word for Help footnote symbols,Car Car Char Car Char Car Car Char Car Char Char,SUPERS,BVI f,Char Char1,FO,o,Footnote Reference"/>
    <w:basedOn w:val="Fuentedeprrafopredeter"/>
    <w:uiPriority w:val="99"/>
    <w:unhideWhenUsed/>
    <w:qFormat/>
    <w:rsid w:val="00354069"/>
    <w:rPr>
      <w:vertAlign w:val="superscript"/>
    </w:rPr>
  </w:style>
  <w:style w:type="paragraph" w:customStyle="1" w:styleId="Default">
    <w:name w:val="Default"/>
    <w:uiPriority w:val="99"/>
    <w:rsid w:val="00E27442"/>
    <w:pPr>
      <w:autoSpaceDE w:val="0"/>
      <w:autoSpaceDN w:val="0"/>
      <w:adjustRightInd w:val="0"/>
      <w:spacing w:after="0" w:line="240" w:lineRule="auto"/>
    </w:pPr>
    <w:rPr>
      <w:rFonts w:ascii="Garamond" w:hAnsi="Garamond" w:cs="Garamond"/>
      <w:color w:val="000000"/>
      <w:sz w:val="24"/>
      <w:szCs w:val="24"/>
    </w:rPr>
  </w:style>
  <w:style w:type="paragraph" w:styleId="TDC1">
    <w:name w:val="toc 1"/>
    <w:basedOn w:val="Normal"/>
    <w:next w:val="Normal"/>
    <w:autoRedefine/>
    <w:uiPriority w:val="39"/>
    <w:unhideWhenUsed/>
    <w:rsid w:val="001D2F94"/>
    <w:pPr>
      <w:spacing w:after="100"/>
    </w:pPr>
  </w:style>
  <w:style w:type="character" w:styleId="Hipervnculo">
    <w:name w:val="Hyperlink"/>
    <w:basedOn w:val="Fuentedeprrafopredeter"/>
    <w:uiPriority w:val="99"/>
    <w:unhideWhenUsed/>
    <w:rsid w:val="001D2F94"/>
    <w:rPr>
      <w:color w:val="0563C1" w:themeColor="hyperlink"/>
      <w:u w:val="single"/>
    </w:rPr>
  </w:style>
  <w:style w:type="character" w:customStyle="1" w:styleId="Ttulo1Car">
    <w:name w:val="Título 1 Car"/>
    <w:aliases w:val="1 Car,Chapter Heading Car,Cía Car,H1 Car,l1 Car,app heading 1 Car,level1 Car,Level1 Car"/>
    <w:basedOn w:val="Fuentedeprrafopredeter"/>
    <w:link w:val="Ttulo1"/>
    <w:uiPriority w:val="9"/>
    <w:rsid w:val="00BF4C7E"/>
    <w:rPr>
      <w:rFonts w:ascii="Garamond" w:eastAsia="MS Mincho" w:hAnsi="Garamond" w:cs="Times New Roman"/>
      <w:b/>
      <w:sz w:val="24"/>
      <w:szCs w:val="18"/>
      <w:lang w:val="es-ES_tradnl" w:eastAsia="es-ES"/>
    </w:rPr>
  </w:style>
  <w:style w:type="paragraph" w:styleId="Prrafodelista">
    <w:name w:val="List Paragraph"/>
    <w:basedOn w:val="Normal"/>
    <w:link w:val="PrrafodelistaCar"/>
    <w:uiPriority w:val="34"/>
    <w:qFormat/>
    <w:rsid w:val="00D60A13"/>
    <w:pPr>
      <w:ind w:left="720"/>
      <w:contextualSpacing/>
    </w:pPr>
  </w:style>
  <w:style w:type="paragraph" w:styleId="Encabezado">
    <w:name w:val="header"/>
    <w:aliases w:val="Guideline"/>
    <w:basedOn w:val="Normal"/>
    <w:link w:val="EncabezadoCar"/>
    <w:uiPriority w:val="99"/>
    <w:unhideWhenUsed/>
    <w:rsid w:val="007224B7"/>
    <w:pPr>
      <w:tabs>
        <w:tab w:val="center" w:pos="4252"/>
        <w:tab w:val="right" w:pos="8504"/>
      </w:tabs>
      <w:spacing w:after="0" w:line="240" w:lineRule="auto"/>
    </w:pPr>
  </w:style>
  <w:style w:type="character" w:customStyle="1" w:styleId="EncabezadoCar">
    <w:name w:val="Encabezado Car"/>
    <w:aliases w:val="Guideline Car"/>
    <w:basedOn w:val="Fuentedeprrafopredeter"/>
    <w:link w:val="Encabezado"/>
    <w:uiPriority w:val="99"/>
    <w:rsid w:val="007224B7"/>
  </w:style>
  <w:style w:type="paragraph" w:styleId="Textodeglobo">
    <w:name w:val="Balloon Text"/>
    <w:basedOn w:val="Normal"/>
    <w:link w:val="TextodegloboCar"/>
    <w:uiPriority w:val="99"/>
    <w:unhideWhenUsed/>
    <w:rsid w:val="00E17A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E17A68"/>
    <w:rPr>
      <w:rFonts w:ascii="Segoe UI" w:hAnsi="Segoe UI" w:cs="Segoe UI"/>
      <w:sz w:val="18"/>
      <w:szCs w:val="18"/>
    </w:rPr>
  </w:style>
  <w:style w:type="table" w:styleId="Tablaconcuadrcula">
    <w:name w:val="Table Grid"/>
    <w:basedOn w:val="Tablanormal"/>
    <w:uiPriority w:val="59"/>
    <w:rsid w:val="009D4491"/>
    <w:pPr>
      <w:spacing w:after="0" w:line="240" w:lineRule="auto"/>
    </w:pPr>
    <w:rPr>
      <w:rFonts w:ascii="Times New Roman" w:eastAsia="MS Mincho" w:hAnsi="Times New Roman" w:cs="Times New Roman"/>
      <w:sz w:val="20"/>
      <w:szCs w:val="20"/>
      <w:lang w:val="es-AR"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uiPriority w:val="99"/>
    <w:qFormat/>
    <w:rsid w:val="00B55B12"/>
    <w:pPr>
      <w:spacing w:after="0" w:line="240" w:lineRule="auto"/>
      <w:ind w:left="360" w:hanging="360"/>
    </w:pPr>
    <w:rPr>
      <w:rFonts w:ascii="Times New Roman" w:eastAsia="SimSun" w:hAnsi="Times New Roman" w:cs="Times New Roman"/>
      <w:sz w:val="16"/>
      <w:szCs w:val="16"/>
      <w:lang w:val="en-US" w:eastAsia="zh-CN"/>
    </w:rPr>
  </w:style>
  <w:style w:type="character" w:customStyle="1" w:styleId="Ttulo2Car">
    <w:name w:val="Título 2 Car"/>
    <w:aliases w:val="Tight Slug Car"/>
    <w:basedOn w:val="Fuentedeprrafopredeter"/>
    <w:link w:val="Ttulo2"/>
    <w:uiPriority w:val="9"/>
    <w:rsid w:val="004C1C4F"/>
    <w:rPr>
      <w:rFonts w:ascii="Times New Roman" w:eastAsia="SimSun" w:hAnsi="Times New Roman" w:cs="Times New Roman"/>
      <w:bCs/>
      <w:sz w:val="20"/>
      <w:szCs w:val="26"/>
      <w:lang w:val="x-none" w:eastAsia="x-none"/>
    </w:rPr>
  </w:style>
  <w:style w:type="character" w:customStyle="1" w:styleId="Ttulo3Car">
    <w:name w:val="Título 3 Car"/>
    <w:aliases w:val="3 Car"/>
    <w:basedOn w:val="Fuentedeprrafopredeter"/>
    <w:link w:val="Ttulo3"/>
    <w:uiPriority w:val="9"/>
    <w:rsid w:val="004C1C4F"/>
    <w:rPr>
      <w:rFonts w:ascii="Times New Roman" w:eastAsia="SimSun" w:hAnsi="Times New Roman" w:cs="Times New Roman"/>
      <w:bCs/>
      <w:sz w:val="20"/>
      <w:szCs w:val="20"/>
      <w:lang w:val="x-none" w:eastAsia="x-none"/>
    </w:rPr>
  </w:style>
  <w:style w:type="character" w:customStyle="1" w:styleId="Ttulo4Car">
    <w:name w:val="Título 4 Car"/>
    <w:basedOn w:val="Fuentedeprrafopredeter"/>
    <w:link w:val="Ttulo4"/>
    <w:uiPriority w:val="9"/>
    <w:rsid w:val="004C1C4F"/>
    <w:rPr>
      <w:rFonts w:ascii="Times New Roman" w:eastAsia="SimSun" w:hAnsi="Times New Roman" w:cs="Times New Roman"/>
      <w:bCs/>
      <w:iCs/>
      <w:sz w:val="20"/>
      <w:szCs w:val="20"/>
      <w:lang w:val="x-none" w:eastAsia="x-none"/>
    </w:rPr>
  </w:style>
  <w:style w:type="character" w:customStyle="1" w:styleId="Ttulo5Car">
    <w:name w:val="Título 5 Car"/>
    <w:aliases w:val="5 Car,CG-Left Ind 0 Car,5 FL 0 Car"/>
    <w:basedOn w:val="Fuentedeprrafopredeter"/>
    <w:link w:val="Ttulo5"/>
    <w:uiPriority w:val="9"/>
    <w:rsid w:val="004C1C4F"/>
    <w:rPr>
      <w:rFonts w:ascii="Times New Roman" w:eastAsia="SimSun" w:hAnsi="Times New Roman" w:cs="Times New Roman"/>
      <w:sz w:val="20"/>
      <w:szCs w:val="20"/>
      <w:lang w:val="x-none" w:eastAsia="x-none"/>
    </w:rPr>
  </w:style>
  <w:style w:type="character" w:customStyle="1" w:styleId="Ttulo6Car">
    <w:name w:val="Título 6 Car"/>
    <w:basedOn w:val="Fuentedeprrafopredeter"/>
    <w:link w:val="Ttulo6"/>
    <w:uiPriority w:val="9"/>
    <w:rsid w:val="004C1C4F"/>
    <w:rPr>
      <w:rFonts w:ascii="Times New Roman" w:eastAsia="SimSun" w:hAnsi="Times New Roman" w:cs="Times New Roman"/>
      <w:iCs/>
      <w:sz w:val="20"/>
      <w:szCs w:val="20"/>
      <w:lang w:val="x-none" w:eastAsia="x-none"/>
    </w:rPr>
  </w:style>
  <w:style w:type="character" w:customStyle="1" w:styleId="Ttulo7Car">
    <w:name w:val="Título 7 Car"/>
    <w:basedOn w:val="Fuentedeprrafopredeter"/>
    <w:link w:val="Ttulo7"/>
    <w:uiPriority w:val="9"/>
    <w:rsid w:val="004C1C4F"/>
    <w:rPr>
      <w:rFonts w:ascii="Times New Roman" w:eastAsia="SimSun" w:hAnsi="Times New Roman" w:cs="Times New Roman"/>
      <w:iCs/>
      <w:sz w:val="20"/>
      <w:szCs w:val="20"/>
      <w:lang w:val="x-none" w:eastAsia="x-none"/>
    </w:rPr>
  </w:style>
  <w:style w:type="character" w:customStyle="1" w:styleId="Ttulo8Car">
    <w:name w:val="Título 8 Car"/>
    <w:aliases w:val="8 Car"/>
    <w:basedOn w:val="Fuentedeprrafopredeter"/>
    <w:link w:val="Ttulo8"/>
    <w:uiPriority w:val="9"/>
    <w:rsid w:val="004C1C4F"/>
    <w:rPr>
      <w:rFonts w:ascii="Times New Roman" w:eastAsia="SimSun" w:hAnsi="Times New Roman" w:cs="Times New Roman"/>
      <w:sz w:val="20"/>
      <w:szCs w:val="20"/>
      <w:lang w:val="x-none" w:eastAsia="x-none"/>
    </w:rPr>
  </w:style>
  <w:style w:type="character" w:customStyle="1" w:styleId="Ttulo9Car">
    <w:name w:val="Título 9 Car"/>
    <w:aliases w:val="9 Car,Item Car"/>
    <w:basedOn w:val="Fuentedeprrafopredeter"/>
    <w:link w:val="Ttulo9"/>
    <w:uiPriority w:val="9"/>
    <w:rsid w:val="004C1C4F"/>
    <w:rPr>
      <w:rFonts w:ascii="Times New Roman" w:eastAsia="SimSun" w:hAnsi="Times New Roman" w:cs="Times New Roman"/>
      <w:iCs/>
      <w:sz w:val="20"/>
      <w:szCs w:val="20"/>
      <w:lang w:val="x-none" w:eastAsia="x-none"/>
    </w:rPr>
  </w:style>
  <w:style w:type="character" w:customStyle="1" w:styleId="DocID">
    <w:name w:val="DocID"/>
    <w:unhideWhenUsed/>
    <w:rsid w:val="004C1C4F"/>
    <w:rPr>
      <w:sz w:val="14"/>
    </w:rPr>
  </w:style>
  <w:style w:type="paragraph" w:customStyle="1" w:styleId="Bibliografa2">
    <w:name w:val="Bibliografía2"/>
    <w:basedOn w:val="Normal"/>
    <w:next w:val="Normal"/>
    <w:uiPriority w:val="37"/>
    <w:unhideWhenUsed/>
    <w:rsid w:val="004C1C4F"/>
    <w:pPr>
      <w:spacing w:after="0" w:line="240" w:lineRule="auto"/>
    </w:pPr>
    <w:rPr>
      <w:rFonts w:ascii="Times New Roman" w:eastAsia="Calibri" w:hAnsi="Times New Roman" w:cs="Arial"/>
      <w:sz w:val="20"/>
      <w:szCs w:val="24"/>
      <w:lang w:val="en-US"/>
    </w:rPr>
  </w:style>
  <w:style w:type="paragraph" w:styleId="Textodebloque">
    <w:name w:val="Block Text"/>
    <w:aliases w:val="blk"/>
    <w:basedOn w:val="Normal"/>
    <w:link w:val="TextodebloqueCar"/>
    <w:qFormat/>
    <w:rsid w:val="004C1C4F"/>
    <w:pPr>
      <w:spacing w:after="0" w:line="480" w:lineRule="auto"/>
    </w:pPr>
    <w:rPr>
      <w:rFonts w:ascii="Times New Roman" w:eastAsia="SimSun" w:hAnsi="Times New Roman" w:cs="Times New Roman"/>
      <w:iCs/>
      <w:sz w:val="20"/>
      <w:szCs w:val="20"/>
      <w:lang w:val="x-none" w:eastAsia="x-none"/>
    </w:rPr>
  </w:style>
  <w:style w:type="paragraph" w:styleId="Textoindependiente">
    <w:name w:val="Body Text"/>
    <w:aliases w:val="Borrador,body text,Bodytext,BT,bt wide,S&amp;S-First Line-1&quot;,Corpo de texto2"/>
    <w:basedOn w:val="Normal"/>
    <w:link w:val="TextoindependienteCar1"/>
    <w:uiPriority w:val="99"/>
    <w:qFormat/>
    <w:rsid w:val="004C1C4F"/>
    <w:pPr>
      <w:spacing w:after="240" w:line="240" w:lineRule="auto"/>
      <w:ind w:firstLine="1440"/>
    </w:pPr>
    <w:rPr>
      <w:rFonts w:ascii="Times New Roman" w:eastAsia="Calibri" w:hAnsi="Times New Roman" w:cs="Times New Roman"/>
      <w:sz w:val="20"/>
      <w:szCs w:val="20"/>
      <w:lang w:val="x-none" w:eastAsia="x-none"/>
    </w:rPr>
  </w:style>
  <w:style w:type="character" w:customStyle="1" w:styleId="TextoindependienteCar">
    <w:name w:val="Texto independiente Car"/>
    <w:aliases w:val="body text Car,b Car,Bodytext Car,BT Car,bt wide Car,S&amp;S-First Line-1&quot; Car,Corpo de texto2 Car,Borrador Car1"/>
    <w:basedOn w:val="Fuentedeprrafopredeter"/>
    <w:rsid w:val="004C1C4F"/>
  </w:style>
  <w:style w:type="character" w:customStyle="1" w:styleId="TextoindependienteCar1">
    <w:name w:val="Texto independiente Car1"/>
    <w:aliases w:val="Borrador Car,body text Car1,Bodytext Car1,BT Car1,bt wide Car1,S&amp;S-First Line-1&quot; Car1,Corpo de texto2 Car1"/>
    <w:link w:val="Textoindependiente"/>
    <w:uiPriority w:val="99"/>
    <w:rsid w:val="004C1C4F"/>
    <w:rPr>
      <w:rFonts w:ascii="Times New Roman" w:eastAsia="Calibri" w:hAnsi="Times New Roman" w:cs="Times New Roman"/>
      <w:sz w:val="20"/>
      <w:szCs w:val="20"/>
      <w:lang w:val="x-none" w:eastAsia="x-none"/>
    </w:rPr>
  </w:style>
  <w:style w:type="paragraph" w:styleId="Textoindependiente2">
    <w:name w:val="Body Text 2"/>
    <w:aliases w:val="CG-Bullet Two,CG-Bullet2,CG-Bullettwo,b2,Body Text 23"/>
    <w:basedOn w:val="Normal"/>
    <w:link w:val="Textoindependiente2Car"/>
    <w:qFormat/>
    <w:rsid w:val="004C1C4F"/>
    <w:pPr>
      <w:spacing w:after="0" w:line="480" w:lineRule="auto"/>
      <w:ind w:firstLine="720"/>
    </w:pPr>
    <w:rPr>
      <w:rFonts w:ascii="Times New Roman" w:eastAsia="Calibri" w:hAnsi="Times New Roman" w:cs="Arial"/>
      <w:sz w:val="20"/>
      <w:szCs w:val="24"/>
      <w:lang w:val="en-US"/>
    </w:rPr>
  </w:style>
  <w:style w:type="character" w:customStyle="1" w:styleId="Textoindependiente2Car">
    <w:name w:val="Texto independiente 2 Car"/>
    <w:aliases w:val="CG-Bullet Two Car,CG-Bullet2 Car,CG-Bullettwo Car,b2 Car,Body Text 23 Car"/>
    <w:basedOn w:val="Fuentedeprrafopredeter"/>
    <w:link w:val="Textoindependiente2"/>
    <w:rsid w:val="004C1C4F"/>
    <w:rPr>
      <w:rFonts w:ascii="Times New Roman" w:eastAsia="Calibri" w:hAnsi="Times New Roman" w:cs="Arial"/>
      <w:sz w:val="20"/>
      <w:szCs w:val="24"/>
      <w:lang w:val="en-US"/>
    </w:rPr>
  </w:style>
  <w:style w:type="paragraph" w:styleId="Textoindependiente3">
    <w:name w:val="Body Text 3"/>
    <w:aliases w:val="b3"/>
    <w:basedOn w:val="Normal"/>
    <w:link w:val="Textoindependiente3Car"/>
    <w:qFormat/>
    <w:rsid w:val="004C1C4F"/>
    <w:pPr>
      <w:spacing w:after="0" w:line="360" w:lineRule="auto"/>
      <w:ind w:firstLine="1440"/>
    </w:pPr>
    <w:rPr>
      <w:rFonts w:ascii="Times New Roman" w:eastAsia="Calibri" w:hAnsi="Times New Roman" w:cs="Times New Roman"/>
      <w:sz w:val="16"/>
      <w:szCs w:val="16"/>
      <w:lang w:val="x-none" w:eastAsia="x-none"/>
    </w:rPr>
  </w:style>
  <w:style w:type="character" w:customStyle="1" w:styleId="Textoindependiente3Car">
    <w:name w:val="Texto independiente 3 Car"/>
    <w:aliases w:val="b3 Car"/>
    <w:basedOn w:val="Fuentedeprrafopredeter"/>
    <w:link w:val="Textoindependiente3"/>
    <w:rsid w:val="004C1C4F"/>
    <w:rPr>
      <w:rFonts w:ascii="Times New Roman" w:eastAsia="Calibri" w:hAnsi="Times New Roman" w:cs="Times New Roman"/>
      <w:sz w:val="16"/>
      <w:szCs w:val="16"/>
      <w:lang w:val="x-none" w:eastAsia="x-none"/>
    </w:rPr>
  </w:style>
  <w:style w:type="paragraph" w:styleId="Textoindependienteprimerasangra">
    <w:name w:val="Body Text First Indent"/>
    <w:aliases w:val="bt5"/>
    <w:basedOn w:val="Textoindependiente"/>
    <w:link w:val="TextoindependienteprimerasangraCar"/>
    <w:qFormat/>
    <w:rsid w:val="004C1C4F"/>
    <w:pPr>
      <w:ind w:firstLine="720"/>
    </w:pPr>
  </w:style>
  <w:style w:type="character" w:customStyle="1" w:styleId="TextoindependienteprimerasangraCar">
    <w:name w:val="Texto independiente primera sangría Car"/>
    <w:aliases w:val="bt5 Car"/>
    <w:basedOn w:val="TextoindependienteCar"/>
    <w:link w:val="Textoindependienteprimerasangra"/>
    <w:rsid w:val="004C1C4F"/>
    <w:rPr>
      <w:rFonts w:ascii="Times New Roman" w:eastAsia="Calibri" w:hAnsi="Times New Roman" w:cs="Times New Roman"/>
      <w:sz w:val="20"/>
      <w:szCs w:val="20"/>
      <w:lang w:val="x-none" w:eastAsia="x-none"/>
    </w:rPr>
  </w:style>
  <w:style w:type="paragraph" w:styleId="Sangradetextonormal">
    <w:name w:val="Body Text Indent"/>
    <w:aliases w:val="Sangría de t. independiente,bi"/>
    <w:basedOn w:val="Normal"/>
    <w:link w:val="SangradetextonormalCar1"/>
    <w:qFormat/>
    <w:rsid w:val="004C1C4F"/>
    <w:pPr>
      <w:spacing w:after="240" w:line="240" w:lineRule="auto"/>
      <w:ind w:left="720"/>
    </w:pPr>
    <w:rPr>
      <w:rFonts w:ascii="Times New Roman" w:eastAsia="Calibri" w:hAnsi="Times New Roman" w:cs="Arial"/>
      <w:sz w:val="20"/>
      <w:szCs w:val="24"/>
      <w:lang w:val="en-US"/>
    </w:rPr>
  </w:style>
  <w:style w:type="character" w:customStyle="1" w:styleId="SangradetextonormalCar">
    <w:name w:val="Sangría de texto normal Car"/>
    <w:aliases w:val="Sangría de t. independiente Car1,bi Car1"/>
    <w:basedOn w:val="Fuentedeprrafopredeter"/>
    <w:rsid w:val="004C1C4F"/>
  </w:style>
  <w:style w:type="character" w:customStyle="1" w:styleId="SangradetextonormalCar1">
    <w:name w:val="Sangría de texto normal Car1"/>
    <w:aliases w:val="Sangría de t. independiente Car,bi Car"/>
    <w:basedOn w:val="Fuentedeprrafopredeter"/>
    <w:link w:val="Sangradetextonormal"/>
    <w:rsid w:val="004C1C4F"/>
    <w:rPr>
      <w:rFonts w:ascii="Times New Roman" w:eastAsia="Calibri" w:hAnsi="Times New Roman" w:cs="Arial"/>
      <w:sz w:val="20"/>
      <w:szCs w:val="24"/>
      <w:lang w:val="en-US"/>
    </w:rPr>
  </w:style>
  <w:style w:type="paragraph" w:styleId="Textoindependienteprimerasangra2">
    <w:name w:val="Body Text First Indent 2"/>
    <w:basedOn w:val="Sangradetextonormal"/>
    <w:link w:val="Textoindependienteprimerasangra2Car"/>
    <w:uiPriority w:val="99"/>
    <w:unhideWhenUsed/>
    <w:qFormat/>
    <w:rsid w:val="004C1C4F"/>
    <w:pPr>
      <w:ind w:firstLine="360"/>
    </w:pPr>
  </w:style>
  <w:style w:type="character" w:customStyle="1" w:styleId="Textoindependienteprimerasangra2Car">
    <w:name w:val="Texto independiente primera sangría 2 Car"/>
    <w:basedOn w:val="SangradetextonormalCar"/>
    <w:link w:val="Textoindependienteprimerasangra2"/>
    <w:uiPriority w:val="99"/>
    <w:rsid w:val="004C1C4F"/>
    <w:rPr>
      <w:rFonts w:ascii="Times New Roman" w:eastAsia="Calibri" w:hAnsi="Times New Roman" w:cs="Arial"/>
      <w:sz w:val="20"/>
      <w:szCs w:val="24"/>
      <w:lang w:val="en-US"/>
    </w:rPr>
  </w:style>
  <w:style w:type="paragraph" w:styleId="Sangra2detindependiente">
    <w:name w:val="Body Text Indent 2"/>
    <w:basedOn w:val="Normal"/>
    <w:link w:val="Sangra2detindependienteCar"/>
    <w:uiPriority w:val="99"/>
    <w:qFormat/>
    <w:rsid w:val="004C1C4F"/>
    <w:pPr>
      <w:spacing w:after="0" w:line="480" w:lineRule="auto"/>
      <w:ind w:left="720"/>
    </w:pPr>
    <w:rPr>
      <w:rFonts w:ascii="Times New Roman" w:eastAsia="Calibri" w:hAnsi="Times New Roman" w:cs="Arial"/>
      <w:sz w:val="20"/>
      <w:szCs w:val="24"/>
      <w:lang w:val="en-US"/>
    </w:rPr>
  </w:style>
  <w:style w:type="character" w:customStyle="1" w:styleId="Sangra2detindependienteCar">
    <w:name w:val="Sangría 2 de t. independiente Car"/>
    <w:basedOn w:val="Fuentedeprrafopredeter"/>
    <w:link w:val="Sangra2detindependiente"/>
    <w:uiPriority w:val="99"/>
    <w:rsid w:val="004C1C4F"/>
    <w:rPr>
      <w:rFonts w:ascii="Times New Roman" w:eastAsia="Calibri" w:hAnsi="Times New Roman" w:cs="Arial"/>
      <w:sz w:val="20"/>
      <w:szCs w:val="24"/>
      <w:lang w:val="en-US"/>
    </w:rPr>
  </w:style>
  <w:style w:type="paragraph" w:styleId="Sangra3detindependiente">
    <w:name w:val="Body Text Indent 3"/>
    <w:basedOn w:val="Normal"/>
    <w:link w:val="Sangra3detindependienteCar"/>
    <w:uiPriority w:val="99"/>
    <w:qFormat/>
    <w:rsid w:val="004C1C4F"/>
    <w:pPr>
      <w:spacing w:after="240" w:line="240" w:lineRule="auto"/>
      <w:ind w:left="720"/>
    </w:pPr>
    <w:rPr>
      <w:rFonts w:ascii="Times New Roman" w:eastAsia="Calibri" w:hAnsi="Times New Roman" w:cs="Times New Roman"/>
      <w:sz w:val="16"/>
      <w:szCs w:val="16"/>
      <w:lang w:val="x-none" w:eastAsia="x-none"/>
    </w:rPr>
  </w:style>
  <w:style w:type="character" w:customStyle="1" w:styleId="Sangra3detindependienteCar">
    <w:name w:val="Sangría 3 de t. independiente Car"/>
    <w:basedOn w:val="Fuentedeprrafopredeter"/>
    <w:link w:val="Sangra3detindependiente"/>
    <w:uiPriority w:val="99"/>
    <w:rsid w:val="004C1C4F"/>
    <w:rPr>
      <w:rFonts w:ascii="Times New Roman" w:eastAsia="Calibri" w:hAnsi="Times New Roman" w:cs="Times New Roman"/>
      <w:sz w:val="16"/>
      <w:szCs w:val="16"/>
      <w:lang w:val="x-none" w:eastAsia="x-none"/>
    </w:rPr>
  </w:style>
  <w:style w:type="paragraph" w:styleId="Descripcin">
    <w:name w:val="caption"/>
    <w:basedOn w:val="Normal"/>
    <w:next w:val="Normal"/>
    <w:uiPriority w:val="35"/>
    <w:qFormat/>
    <w:rsid w:val="004C1C4F"/>
    <w:pPr>
      <w:spacing w:after="0" w:line="240" w:lineRule="auto"/>
    </w:pPr>
    <w:rPr>
      <w:rFonts w:ascii="Times New Roman" w:eastAsia="Calibri" w:hAnsi="Times New Roman" w:cs="Arial"/>
      <w:b/>
      <w:bCs/>
      <w:color w:val="4F81BD"/>
      <w:sz w:val="18"/>
      <w:szCs w:val="18"/>
      <w:lang w:val="en-US"/>
    </w:rPr>
  </w:style>
  <w:style w:type="paragraph" w:styleId="Cierre">
    <w:name w:val="Closing"/>
    <w:aliases w:val="c,cl"/>
    <w:basedOn w:val="Normal"/>
    <w:link w:val="CierreCar"/>
    <w:qFormat/>
    <w:rsid w:val="004C1C4F"/>
    <w:pPr>
      <w:spacing w:after="600" w:line="240" w:lineRule="auto"/>
      <w:ind w:left="4320"/>
    </w:pPr>
    <w:rPr>
      <w:rFonts w:ascii="Times New Roman" w:eastAsia="Calibri" w:hAnsi="Times New Roman" w:cs="Arial"/>
      <w:sz w:val="20"/>
      <w:szCs w:val="24"/>
      <w:lang w:val="en-US"/>
    </w:rPr>
  </w:style>
  <w:style w:type="character" w:customStyle="1" w:styleId="CierreCar">
    <w:name w:val="Cierre Car"/>
    <w:aliases w:val="c Car,cl Car"/>
    <w:basedOn w:val="Fuentedeprrafopredeter"/>
    <w:link w:val="Cierre"/>
    <w:rsid w:val="004C1C4F"/>
    <w:rPr>
      <w:rFonts w:ascii="Times New Roman" w:eastAsia="Calibri" w:hAnsi="Times New Roman" w:cs="Arial"/>
      <w:sz w:val="20"/>
      <w:szCs w:val="24"/>
      <w:lang w:val="en-US"/>
    </w:rPr>
  </w:style>
  <w:style w:type="paragraph" w:styleId="Textocomentario">
    <w:name w:val="annotation text"/>
    <w:basedOn w:val="Normal"/>
    <w:link w:val="TextocomentarioCar"/>
    <w:uiPriority w:val="99"/>
    <w:unhideWhenUsed/>
    <w:rsid w:val="004C1C4F"/>
    <w:pPr>
      <w:spacing w:after="0" w:line="240" w:lineRule="auto"/>
    </w:pPr>
    <w:rPr>
      <w:rFonts w:ascii="Times New Roman" w:eastAsia="Calibri" w:hAnsi="Times New Roman" w:cs="Times New Roman"/>
      <w:sz w:val="20"/>
      <w:szCs w:val="20"/>
      <w:lang w:val="x-none" w:eastAsia="x-none"/>
    </w:rPr>
  </w:style>
  <w:style w:type="character" w:customStyle="1" w:styleId="TextocomentarioCar">
    <w:name w:val="Texto comentario Car"/>
    <w:basedOn w:val="Fuentedeprrafopredeter"/>
    <w:link w:val="Textocomentario"/>
    <w:uiPriority w:val="99"/>
    <w:rsid w:val="004C1C4F"/>
    <w:rPr>
      <w:rFonts w:ascii="Times New Roman" w:eastAsia="Calibri" w:hAnsi="Times New Roman" w:cs="Times New Roman"/>
      <w:sz w:val="20"/>
      <w:szCs w:val="20"/>
      <w:lang w:val="x-none" w:eastAsia="x-none"/>
    </w:rPr>
  </w:style>
  <w:style w:type="paragraph" w:styleId="Asuntodelcomentario">
    <w:name w:val="annotation subject"/>
    <w:basedOn w:val="Textocomentario"/>
    <w:next w:val="Textocomentario"/>
    <w:link w:val="AsuntodelcomentarioCar"/>
    <w:uiPriority w:val="99"/>
    <w:unhideWhenUsed/>
    <w:rsid w:val="004C1C4F"/>
    <w:rPr>
      <w:b/>
      <w:bCs/>
    </w:rPr>
  </w:style>
  <w:style w:type="character" w:customStyle="1" w:styleId="AsuntodelcomentarioCar">
    <w:name w:val="Asunto del comentario Car"/>
    <w:basedOn w:val="TextocomentarioCar"/>
    <w:link w:val="Asuntodelcomentario"/>
    <w:uiPriority w:val="99"/>
    <w:rsid w:val="004C1C4F"/>
    <w:rPr>
      <w:rFonts w:ascii="Times New Roman" w:eastAsia="Calibri" w:hAnsi="Times New Roman" w:cs="Times New Roman"/>
      <w:b/>
      <w:bCs/>
      <w:sz w:val="20"/>
      <w:szCs w:val="20"/>
      <w:lang w:val="x-none" w:eastAsia="x-none"/>
    </w:rPr>
  </w:style>
  <w:style w:type="paragraph" w:styleId="Fecha">
    <w:name w:val="Date"/>
    <w:basedOn w:val="Normal"/>
    <w:next w:val="Normal"/>
    <w:link w:val="FechaCar"/>
    <w:uiPriority w:val="99"/>
    <w:rsid w:val="004C1C4F"/>
    <w:pPr>
      <w:spacing w:after="240" w:line="240" w:lineRule="auto"/>
    </w:pPr>
    <w:rPr>
      <w:rFonts w:ascii="Times New Roman" w:eastAsia="Calibri" w:hAnsi="Times New Roman" w:cs="Arial"/>
      <w:sz w:val="20"/>
      <w:szCs w:val="24"/>
      <w:lang w:val="en-US"/>
    </w:rPr>
  </w:style>
  <w:style w:type="character" w:customStyle="1" w:styleId="FechaCar">
    <w:name w:val="Fecha Car"/>
    <w:basedOn w:val="Fuentedeprrafopredeter"/>
    <w:link w:val="Fecha"/>
    <w:uiPriority w:val="99"/>
    <w:rsid w:val="004C1C4F"/>
    <w:rPr>
      <w:rFonts w:ascii="Times New Roman" w:eastAsia="Calibri" w:hAnsi="Times New Roman" w:cs="Arial"/>
      <w:sz w:val="20"/>
      <w:szCs w:val="24"/>
      <w:lang w:val="en-US"/>
    </w:rPr>
  </w:style>
  <w:style w:type="paragraph" w:styleId="Mapadeldocumento">
    <w:name w:val="Document Map"/>
    <w:basedOn w:val="Normal"/>
    <w:link w:val="MapadeldocumentoCar"/>
    <w:uiPriority w:val="99"/>
    <w:unhideWhenUsed/>
    <w:rsid w:val="004C1C4F"/>
    <w:pPr>
      <w:spacing w:after="0" w:line="240" w:lineRule="auto"/>
    </w:pPr>
    <w:rPr>
      <w:rFonts w:ascii="Tahoma" w:eastAsia="Calibri" w:hAnsi="Tahoma" w:cs="Times New Roman"/>
      <w:sz w:val="16"/>
      <w:szCs w:val="16"/>
      <w:lang w:val="x-none" w:eastAsia="x-none"/>
    </w:rPr>
  </w:style>
  <w:style w:type="character" w:customStyle="1" w:styleId="MapadeldocumentoCar">
    <w:name w:val="Mapa del documento Car"/>
    <w:basedOn w:val="Fuentedeprrafopredeter"/>
    <w:link w:val="Mapadeldocumento"/>
    <w:uiPriority w:val="99"/>
    <w:rsid w:val="004C1C4F"/>
    <w:rPr>
      <w:rFonts w:ascii="Tahoma" w:eastAsia="Calibri" w:hAnsi="Tahoma" w:cs="Times New Roman"/>
      <w:sz w:val="16"/>
      <w:szCs w:val="16"/>
      <w:lang w:val="x-none" w:eastAsia="x-none"/>
    </w:rPr>
  </w:style>
  <w:style w:type="paragraph" w:styleId="Firmadecorreoelectrnico">
    <w:name w:val="E-mail Signature"/>
    <w:basedOn w:val="Normal"/>
    <w:link w:val="FirmadecorreoelectrnicoCar"/>
    <w:uiPriority w:val="99"/>
    <w:unhideWhenUsed/>
    <w:rsid w:val="004C1C4F"/>
    <w:pPr>
      <w:spacing w:after="0" w:line="240" w:lineRule="auto"/>
    </w:pPr>
    <w:rPr>
      <w:rFonts w:ascii="Times New Roman" w:eastAsia="Calibri" w:hAnsi="Times New Roman" w:cs="Arial"/>
      <w:sz w:val="20"/>
      <w:szCs w:val="24"/>
      <w:lang w:val="en-US"/>
    </w:rPr>
  </w:style>
  <w:style w:type="character" w:customStyle="1" w:styleId="FirmadecorreoelectrnicoCar">
    <w:name w:val="Firma de correo electrónico Car"/>
    <w:basedOn w:val="Fuentedeprrafopredeter"/>
    <w:link w:val="Firmadecorreoelectrnico"/>
    <w:uiPriority w:val="99"/>
    <w:rsid w:val="004C1C4F"/>
    <w:rPr>
      <w:rFonts w:ascii="Times New Roman" w:eastAsia="Calibri" w:hAnsi="Times New Roman" w:cs="Arial"/>
      <w:sz w:val="20"/>
      <w:szCs w:val="24"/>
      <w:lang w:val="en-US"/>
    </w:rPr>
  </w:style>
  <w:style w:type="paragraph" w:styleId="Textonotaalfinal">
    <w:name w:val="endnote text"/>
    <w:basedOn w:val="Normal"/>
    <w:next w:val="EndnoteTextMore"/>
    <w:link w:val="TextonotaalfinalCar"/>
    <w:uiPriority w:val="99"/>
    <w:unhideWhenUsed/>
    <w:qFormat/>
    <w:rsid w:val="004C1C4F"/>
    <w:pPr>
      <w:spacing w:after="240" w:line="240" w:lineRule="auto"/>
      <w:ind w:left="720" w:hanging="720"/>
    </w:pPr>
    <w:rPr>
      <w:rFonts w:ascii="Times New Roman" w:eastAsia="Calibri" w:hAnsi="Times New Roman" w:cs="Times New Roman"/>
      <w:sz w:val="20"/>
      <w:szCs w:val="20"/>
      <w:lang w:val="x-none" w:eastAsia="x-none"/>
    </w:rPr>
  </w:style>
  <w:style w:type="character" w:customStyle="1" w:styleId="TextonotaalfinalCar">
    <w:name w:val="Texto nota al final Car"/>
    <w:basedOn w:val="Fuentedeprrafopredeter"/>
    <w:link w:val="Textonotaalfinal"/>
    <w:uiPriority w:val="99"/>
    <w:rsid w:val="004C1C4F"/>
    <w:rPr>
      <w:rFonts w:ascii="Times New Roman" w:eastAsia="Calibri" w:hAnsi="Times New Roman" w:cs="Times New Roman"/>
      <w:sz w:val="20"/>
      <w:szCs w:val="20"/>
      <w:lang w:val="x-none" w:eastAsia="x-none"/>
    </w:rPr>
  </w:style>
  <w:style w:type="paragraph" w:styleId="Direccinsobre">
    <w:name w:val="envelope address"/>
    <w:basedOn w:val="Normal"/>
    <w:uiPriority w:val="99"/>
    <w:unhideWhenUsed/>
    <w:qFormat/>
    <w:rsid w:val="004C1C4F"/>
    <w:pPr>
      <w:framePr w:w="7920" w:h="1980" w:hRule="exact" w:hSpace="180" w:wrap="auto" w:hAnchor="page" w:xAlign="center" w:yAlign="bottom"/>
      <w:spacing w:after="0" w:line="240" w:lineRule="auto"/>
      <w:ind w:left="2880"/>
    </w:pPr>
    <w:rPr>
      <w:rFonts w:ascii="Times New Roman" w:eastAsia="SimSun" w:hAnsi="Times New Roman" w:cs="Times New Roman"/>
      <w:sz w:val="20"/>
      <w:szCs w:val="24"/>
      <w:lang w:val="en-US"/>
    </w:rPr>
  </w:style>
  <w:style w:type="paragraph" w:styleId="Remitedesobre">
    <w:name w:val="envelope return"/>
    <w:basedOn w:val="Normal"/>
    <w:uiPriority w:val="99"/>
    <w:unhideWhenUsed/>
    <w:rsid w:val="004C1C4F"/>
    <w:pPr>
      <w:spacing w:after="0" w:line="240" w:lineRule="auto"/>
    </w:pPr>
    <w:rPr>
      <w:rFonts w:ascii="Times New Roman" w:eastAsia="SimSun" w:hAnsi="Times New Roman" w:cs="Times New Roman"/>
      <w:sz w:val="20"/>
      <w:szCs w:val="20"/>
      <w:lang w:val="en-US"/>
    </w:rPr>
  </w:style>
  <w:style w:type="paragraph" w:styleId="DireccinHTML">
    <w:name w:val="HTML Address"/>
    <w:basedOn w:val="Normal"/>
    <w:link w:val="DireccinHTMLCar"/>
    <w:uiPriority w:val="99"/>
    <w:unhideWhenUsed/>
    <w:rsid w:val="004C1C4F"/>
    <w:pPr>
      <w:spacing w:after="0" w:line="240" w:lineRule="auto"/>
    </w:pPr>
    <w:rPr>
      <w:rFonts w:ascii="Times New Roman" w:eastAsia="Calibri" w:hAnsi="Times New Roman" w:cs="Times New Roman"/>
      <w:i/>
      <w:iCs/>
      <w:sz w:val="20"/>
      <w:szCs w:val="20"/>
      <w:lang w:val="x-none" w:eastAsia="x-none"/>
    </w:rPr>
  </w:style>
  <w:style w:type="character" w:customStyle="1" w:styleId="DireccinHTMLCar">
    <w:name w:val="Dirección HTML Car"/>
    <w:basedOn w:val="Fuentedeprrafopredeter"/>
    <w:link w:val="DireccinHTML"/>
    <w:uiPriority w:val="99"/>
    <w:rsid w:val="004C1C4F"/>
    <w:rPr>
      <w:rFonts w:ascii="Times New Roman" w:eastAsia="Calibri" w:hAnsi="Times New Roman" w:cs="Times New Roman"/>
      <w:i/>
      <w:iCs/>
      <w:sz w:val="20"/>
      <w:szCs w:val="20"/>
      <w:lang w:val="x-none" w:eastAsia="x-none"/>
    </w:rPr>
  </w:style>
  <w:style w:type="paragraph" w:styleId="HTMLconformatoprevio">
    <w:name w:val="HTML Preformatted"/>
    <w:basedOn w:val="Normal"/>
    <w:link w:val="HTMLconformatoprevioCar"/>
    <w:uiPriority w:val="99"/>
    <w:unhideWhenUsed/>
    <w:rsid w:val="004C1C4F"/>
    <w:pPr>
      <w:spacing w:after="0" w:line="240" w:lineRule="auto"/>
    </w:pPr>
    <w:rPr>
      <w:rFonts w:ascii="Consolas" w:eastAsia="Calibri" w:hAnsi="Consolas" w:cs="Times New Roman"/>
      <w:sz w:val="20"/>
      <w:szCs w:val="20"/>
      <w:lang w:val="x-none" w:eastAsia="x-none"/>
    </w:rPr>
  </w:style>
  <w:style w:type="character" w:customStyle="1" w:styleId="HTMLconformatoprevioCar">
    <w:name w:val="HTML con formato previo Car"/>
    <w:basedOn w:val="Fuentedeprrafopredeter"/>
    <w:link w:val="HTMLconformatoprevio"/>
    <w:uiPriority w:val="99"/>
    <w:rsid w:val="004C1C4F"/>
    <w:rPr>
      <w:rFonts w:ascii="Consolas" w:eastAsia="Calibri" w:hAnsi="Consolas" w:cs="Times New Roman"/>
      <w:sz w:val="20"/>
      <w:szCs w:val="20"/>
      <w:lang w:val="x-none" w:eastAsia="x-none"/>
    </w:rPr>
  </w:style>
  <w:style w:type="paragraph" w:styleId="ndice1">
    <w:name w:val="index 1"/>
    <w:basedOn w:val="Normal"/>
    <w:next w:val="Normal"/>
    <w:autoRedefine/>
    <w:uiPriority w:val="99"/>
    <w:unhideWhenUsed/>
    <w:rsid w:val="004C1C4F"/>
    <w:pPr>
      <w:spacing w:after="0" w:line="240" w:lineRule="auto"/>
      <w:ind w:left="220" w:hanging="220"/>
    </w:pPr>
    <w:rPr>
      <w:rFonts w:ascii="Times New Roman" w:eastAsia="Calibri" w:hAnsi="Times New Roman" w:cs="Arial"/>
      <w:sz w:val="20"/>
      <w:szCs w:val="24"/>
      <w:lang w:val="en-US"/>
    </w:rPr>
  </w:style>
  <w:style w:type="paragraph" w:styleId="ndice2">
    <w:name w:val="index 2"/>
    <w:basedOn w:val="Normal"/>
    <w:next w:val="Normal"/>
    <w:autoRedefine/>
    <w:uiPriority w:val="99"/>
    <w:unhideWhenUsed/>
    <w:rsid w:val="004C1C4F"/>
    <w:pPr>
      <w:spacing w:after="0" w:line="240" w:lineRule="auto"/>
      <w:ind w:left="440" w:hanging="220"/>
    </w:pPr>
    <w:rPr>
      <w:rFonts w:ascii="Times New Roman" w:eastAsia="Calibri" w:hAnsi="Times New Roman" w:cs="Arial"/>
      <w:sz w:val="20"/>
      <w:szCs w:val="24"/>
      <w:lang w:val="en-US"/>
    </w:rPr>
  </w:style>
  <w:style w:type="paragraph" w:styleId="ndice3">
    <w:name w:val="index 3"/>
    <w:basedOn w:val="Normal"/>
    <w:next w:val="Normal"/>
    <w:autoRedefine/>
    <w:uiPriority w:val="99"/>
    <w:unhideWhenUsed/>
    <w:rsid w:val="004C1C4F"/>
    <w:pPr>
      <w:spacing w:after="0" w:line="240" w:lineRule="auto"/>
      <w:ind w:left="660" w:hanging="220"/>
    </w:pPr>
    <w:rPr>
      <w:rFonts w:ascii="Times New Roman" w:eastAsia="Calibri" w:hAnsi="Times New Roman" w:cs="Arial"/>
      <w:sz w:val="20"/>
      <w:szCs w:val="24"/>
      <w:lang w:val="en-US"/>
    </w:rPr>
  </w:style>
  <w:style w:type="paragraph" w:styleId="ndice4">
    <w:name w:val="index 4"/>
    <w:basedOn w:val="Normal"/>
    <w:next w:val="Normal"/>
    <w:autoRedefine/>
    <w:uiPriority w:val="99"/>
    <w:unhideWhenUsed/>
    <w:rsid w:val="004C1C4F"/>
    <w:pPr>
      <w:spacing w:after="0" w:line="240" w:lineRule="auto"/>
      <w:ind w:left="880" w:hanging="220"/>
    </w:pPr>
    <w:rPr>
      <w:rFonts w:ascii="Times New Roman" w:eastAsia="Calibri" w:hAnsi="Times New Roman" w:cs="Arial"/>
      <w:sz w:val="20"/>
      <w:szCs w:val="24"/>
      <w:lang w:val="en-US"/>
    </w:rPr>
  </w:style>
  <w:style w:type="paragraph" w:styleId="ndice5">
    <w:name w:val="index 5"/>
    <w:basedOn w:val="Normal"/>
    <w:next w:val="Normal"/>
    <w:autoRedefine/>
    <w:uiPriority w:val="99"/>
    <w:unhideWhenUsed/>
    <w:rsid w:val="004C1C4F"/>
    <w:pPr>
      <w:spacing w:after="0" w:line="240" w:lineRule="auto"/>
      <w:ind w:left="1100" w:hanging="220"/>
    </w:pPr>
    <w:rPr>
      <w:rFonts w:ascii="Times New Roman" w:eastAsia="Calibri" w:hAnsi="Times New Roman" w:cs="Arial"/>
      <w:sz w:val="20"/>
      <w:szCs w:val="24"/>
      <w:lang w:val="en-US"/>
    </w:rPr>
  </w:style>
  <w:style w:type="paragraph" w:styleId="ndice6">
    <w:name w:val="index 6"/>
    <w:basedOn w:val="Normal"/>
    <w:next w:val="Normal"/>
    <w:autoRedefine/>
    <w:uiPriority w:val="99"/>
    <w:unhideWhenUsed/>
    <w:rsid w:val="004C1C4F"/>
    <w:pPr>
      <w:spacing w:after="0" w:line="240" w:lineRule="auto"/>
      <w:ind w:left="1320" w:hanging="220"/>
    </w:pPr>
    <w:rPr>
      <w:rFonts w:ascii="Times New Roman" w:eastAsia="Calibri" w:hAnsi="Times New Roman" w:cs="Arial"/>
      <w:sz w:val="20"/>
      <w:szCs w:val="24"/>
      <w:lang w:val="en-US"/>
    </w:rPr>
  </w:style>
  <w:style w:type="paragraph" w:styleId="ndice7">
    <w:name w:val="index 7"/>
    <w:basedOn w:val="Normal"/>
    <w:next w:val="Normal"/>
    <w:autoRedefine/>
    <w:uiPriority w:val="99"/>
    <w:unhideWhenUsed/>
    <w:rsid w:val="004C1C4F"/>
    <w:pPr>
      <w:spacing w:after="0" w:line="240" w:lineRule="auto"/>
      <w:ind w:left="1540" w:hanging="220"/>
    </w:pPr>
    <w:rPr>
      <w:rFonts w:ascii="Times New Roman" w:eastAsia="Calibri" w:hAnsi="Times New Roman" w:cs="Arial"/>
      <w:sz w:val="20"/>
      <w:szCs w:val="24"/>
      <w:lang w:val="en-US"/>
    </w:rPr>
  </w:style>
  <w:style w:type="paragraph" w:styleId="ndice8">
    <w:name w:val="index 8"/>
    <w:basedOn w:val="Normal"/>
    <w:next w:val="Normal"/>
    <w:autoRedefine/>
    <w:uiPriority w:val="99"/>
    <w:unhideWhenUsed/>
    <w:rsid w:val="004C1C4F"/>
    <w:pPr>
      <w:spacing w:after="0" w:line="240" w:lineRule="auto"/>
      <w:ind w:left="1760" w:hanging="220"/>
    </w:pPr>
    <w:rPr>
      <w:rFonts w:ascii="Times New Roman" w:eastAsia="Calibri" w:hAnsi="Times New Roman" w:cs="Arial"/>
      <w:sz w:val="20"/>
      <w:szCs w:val="24"/>
      <w:lang w:val="en-US"/>
    </w:rPr>
  </w:style>
  <w:style w:type="paragraph" w:styleId="ndice9">
    <w:name w:val="index 9"/>
    <w:basedOn w:val="Normal"/>
    <w:next w:val="Normal"/>
    <w:autoRedefine/>
    <w:uiPriority w:val="99"/>
    <w:unhideWhenUsed/>
    <w:rsid w:val="004C1C4F"/>
    <w:pPr>
      <w:spacing w:after="0" w:line="240" w:lineRule="auto"/>
      <w:ind w:left="1980" w:hanging="220"/>
    </w:pPr>
    <w:rPr>
      <w:rFonts w:ascii="Times New Roman" w:eastAsia="Calibri" w:hAnsi="Times New Roman" w:cs="Arial"/>
      <w:sz w:val="20"/>
      <w:szCs w:val="24"/>
      <w:lang w:val="en-US"/>
    </w:rPr>
  </w:style>
  <w:style w:type="paragraph" w:styleId="Ttulodendice">
    <w:name w:val="index heading"/>
    <w:basedOn w:val="Normal"/>
    <w:next w:val="ndice1"/>
    <w:uiPriority w:val="99"/>
    <w:unhideWhenUsed/>
    <w:rsid w:val="004C1C4F"/>
    <w:pPr>
      <w:spacing w:after="0" w:line="240" w:lineRule="auto"/>
    </w:pPr>
    <w:rPr>
      <w:rFonts w:ascii="Cambria" w:eastAsia="SimSun" w:hAnsi="Cambria" w:cs="Times New Roman"/>
      <w:b/>
      <w:bCs/>
      <w:sz w:val="20"/>
      <w:szCs w:val="24"/>
      <w:lang w:val="en-US"/>
    </w:rPr>
  </w:style>
  <w:style w:type="paragraph" w:customStyle="1" w:styleId="Sombreadoclaro-nfasis21">
    <w:name w:val="Sombreado claro - Énfasis 21"/>
    <w:basedOn w:val="Normal"/>
    <w:next w:val="Normal"/>
    <w:link w:val="Sombreadoclaro-nfasis2Car"/>
    <w:uiPriority w:val="30"/>
    <w:qFormat/>
    <w:rsid w:val="004C1C4F"/>
    <w:pPr>
      <w:pBdr>
        <w:bottom w:val="single" w:sz="4" w:space="4" w:color="4F81BD"/>
      </w:pBdr>
      <w:spacing w:before="200" w:after="280" w:line="240" w:lineRule="auto"/>
      <w:ind w:left="936" w:right="936"/>
    </w:pPr>
    <w:rPr>
      <w:rFonts w:ascii="Times New Roman" w:eastAsia="Calibri" w:hAnsi="Times New Roman" w:cs="Times New Roman"/>
      <w:b/>
      <w:bCs/>
      <w:i/>
      <w:iCs/>
      <w:color w:val="4F81BD"/>
      <w:sz w:val="20"/>
      <w:szCs w:val="20"/>
      <w:lang w:val="x-none" w:eastAsia="x-none"/>
    </w:rPr>
  </w:style>
  <w:style w:type="character" w:customStyle="1" w:styleId="Sombreadoclaro-nfasis2Car">
    <w:name w:val="Sombreado claro - Énfasis 2 Car"/>
    <w:link w:val="Sombreadoclaro-nfasis21"/>
    <w:uiPriority w:val="30"/>
    <w:rsid w:val="004C1C4F"/>
    <w:rPr>
      <w:rFonts w:ascii="Times New Roman" w:eastAsia="Calibri" w:hAnsi="Times New Roman" w:cs="Times New Roman"/>
      <w:b/>
      <w:bCs/>
      <w:i/>
      <w:iCs/>
      <w:color w:val="4F81BD"/>
      <w:sz w:val="20"/>
      <w:szCs w:val="20"/>
      <w:lang w:val="x-none" w:eastAsia="x-none"/>
    </w:rPr>
  </w:style>
  <w:style w:type="paragraph" w:styleId="Lista">
    <w:name w:val="List"/>
    <w:basedOn w:val="Normal"/>
    <w:uiPriority w:val="99"/>
    <w:unhideWhenUsed/>
    <w:rsid w:val="004C1C4F"/>
    <w:pPr>
      <w:spacing w:after="0" w:line="240" w:lineRule="auto"/>
      <w:ind w:left="360" w:hanging="360"/>
      <w:contextualSpacing/>
    </w:pPr>
    <w:rPr>
      <w:rFonts w:ascii="Times New Roman" w:eastAsia="Calibri" w:hAnsi="Times New Roman" w:cs="Arial"/>
      <w:sz w:val="20"/>
      <w:szCs w:val="24"/>
      <w:lang w:val="en-US"/>
    </w:rPr>
  </w:style>
  <w:style w:type="paragraph" w:styleId="Lista2">
    <w:name w:val="List 2"/>
    <w:basedOn w:val="Normal"/>
    <w:uiPriority w:val="99"/>
    <w:unhideWhenUsed/>
    <w:rsid w:val="004C1C4F"/>
    <w:pPr>
      <w:spacing w:after="0" w:line="240" w:lineRule="auto"/>
      <w:ind w:left="720" w:hanging="360"/>
      <w:contextualSpacing/>
    </w:pPr>
    <w:rPr>
      <w:rFonts w:ascii="Times New Roman" w:eastAsia="Calibri" w:hAnsi="Times New Roman" w:cs="Arial"/>
      <w:sz w:val="20"/>
      <w:szCs w:val="24"/>
      <w:lang w:val="en-US"/>
    </w:rPr>
  </w:style>
  <w:style w:type="paragraph" w:styleId="Lista3">
    <w:name w:val="List 3"/>
    <w:basedOn w:val="Normal"/>
    <w:uiPriority w:val="99"/>
    <w:unhideWhenUsed/>
    <w:rsid w:val="004C1C4F"/>
    <w:pPr>
      <w:spacing w:after="0" w:line="240" w:lineRule="auto"/>
      <w:ind w:left="1080" w:hanging="360"/>
      <w:contextualSpacing/>
    </w:pPr>
    <w:rPr>
      <w:rFonts w:ascii="Times New Roman" w:eastAsia="Calibri" w:hAnsi="Times New Roman" w:cs="Arial"/>
      <w:sz w:val="20"/>
      <w:szCs w:val="24"/>
      <w:lang w:val="en-US"/>
    </w:rPr>
  </w:style>
  <w:style w:type="paragraph" w:styleId="Lista4">
    <w:name w:val="List 4"/>
    <w:basedOn w:val="Normal"/>
    <w:uiPriority w:val="99"/>
    <w:unhideWhenUsed/>
    <w:rsid w:val="004C1C4F"/>
    <w:pPr>
      <w:spacing w:after="240" w:line="240" w:lineRule="auto"/>
      <w:ind w:left="1440" w:hanging="360"/>
    </w:pPr>
    <w:rPr>
      <w:rFonts w:ascii="Times New Roman" w:eastAsia="Calibri" w:hAnsi="Times New Roman" w:cs="Arial"/>
      <w:sz w:val="20"/>
      <w:szCs w:val="24"/>
      <w:lang w:val="en-US"/>
    </w:rPr>
  </w:style>
  <w:style w:type="paragraph" w:styleId="Lista5">
    <w:name w:val="List 5"/>
    <w:basedOn w:val="Normal"/>
    <w:uiPriority w:val="99"/>
    <w:unhideWhenUsed/>
    <w:rsid w:val="004C1C4F"/>
    <w:pPr>
      <w:spacing w:after="0" w:line="240" w:lineRule="auto"/>
      <w:ind w:left="1800" w:hanging="360"/>
      <w:contextualSpacing/>
    </w:pPr>
    <w:rPr>
      <w:rFonts w:ascii="Times New Roman" w:eastAsia="Calibri" w:hAnsi="Times New Roman" w:cs="Arial"/>
      <w:sz w:val="20"/>
      <w:szCs w:val="24"/>
      <w:lang w:val="en-US"/>
    </w:rPr>
  </w:style>
  <w:style w:type="paragraph" w:styleId="Listaconvietas">
    <w:name w:val="List Bullet"/>
    <w:aliases w:val="lb"/>
    <w:basedOn w:val="Normal"/>
    <w:uiPriority w:val="1"/>
    <w:qFormat/>
    <w:rsid w:val="004C1C4F"/>
    <w:pPr>
      <w:numPr>
        <w:numId w:val="4"/>
      </w:numPr>
      <w:spacing w:after="0" w:line="240" w:lineRule="auto"/>
      <w:contextualSpacing/>
    </w:pPr>
    <w:rPr>
      <w:rFonts w:ascii="Times New Roman" w:eastAsia="Calibri" w:hAnsi="Times New Roman" w:cs="Arial"/>
      <w:sz w:val="20"/>
      <w:szCs w:val="24"/>
      <w:lang w:val="en-US"/>
    </w:rPr>
  </w:style>
  <w:style w:type="paragraph" w:styleId="Listaconvietas2">
    <w:name w:val="List Bullet 2"/>
    <w:aliases w:val="lb2"/>
    <w:basedOn w:val="Normal"/>
    <w:uiPriority w:val="1"/>
    <w:qFormat/>
    <w:rsid w:val="004C1C4F"/>
    <w:pPr>
      <w:numPr>
        <w:numId w:val="6"/>
      </w:numPr>
      <w:spacing w:after="0" w:line="240" w:lineRule="auto"/>
      <w:contextualSpacing/>
    </w:pPr>
    <w:rPr>
      <w:rFonts w:ascii="Times New Roman" w:eastAsia="Calibri" w:hAnsi="Times New Roman" w:cs="Arial"/>
      <w:sz w:val="20"/>
      <w:szCs w:val="24"/>
      <w:lang w:val="en-US"/>
    </w:rPr>
  </w:style>
  <w:style w:type="paragraph" w:styleId="Listaconvietas3">
    <w:name w:val="List Bullet 3"/>
    <w:aliases w:val="lb3"/>
    <w:basedOn w:val="Normal"/>
    <w:uiPriority w:val="1"/>
    <w:qFormat/>
    <w:rsid w:val="004C1C4F"/>
    <w:pPr>
      <w:numPr>
        <w:numId w:val="7"/>
      </w:numPr>
      <w:spacing w:after="240" w:line="240" w:lineRule="auto"/>
    </w:pPr>
    <w:rPr>
      <w:rFonts w:ascii="Times New Roman" w:eastAsia="Calibri" w:hAnsi="Times New Roman" w:cs="Arial"/>
      <w:sz w:val="20"/>
      <w:szCs w:val="24"/>
      <w:lang w:val="en-US"/>
    </w:rPr>
  </w:style>
  <w:style w:type="paragraph" w:styleId="Listaconvietas4">
    <w:name w:val="List Bullet 4"/>
    <w:aliases w:val="lb4"/>
    <w:basedOn w:val="Normal"/>
    <w:uiPriority w:val="1"/>
    <w:qFormat/>
    <w:rsid w:val="004C1C4F"/>
    <w:pPr>
      <w:numPr>
        <w:numId w:val="8"/>
      </w:numPr>
      <w:spacing w:after="240" w:line="240" w:lineRule="auto"/>
    </w:pPr>
    <w:rPr>
      <w:rFonts w:ascii="Times New Roman" w:eastAsia="Calibri" w:hAnsi="Times New Roman" w:cs="Arial"/>
      <w:sz w:val="20"/>
      <w:szCs w:val="24"/>
      <w:lang w:val="en-US"/>
    </w:rPr>
  </w:style>
  <w:style w:type="paragraph" w:styleId="Listaconvietas5">
    <w:name w:val="List Bullet 5"/>
    <w:aliases w:val="lb5"/>
    <w:basedOn w:val="Normal"/>
    <w:uiPriority w:val="1"/>
    <w:qFormat/>
    <w:rsid w:val="004C1C4F"/>
    <w:pPr>
      <w:numPr>
        <w:numId w:val="9"/>
      </w:numPr>
      <w:spacing w:after="0" w:line="240" w:lineRule="auto"/>
      <w:contextualSpacing/>
    </w:pPr>
    <w:rPr>
      <w:rFonts w:ascii="Times New Roman" w:eastAsia="Calibri" w:hAnsi="Times New Roman" w:cs="Arial"/>
      <w:sz w:val="20"/>
      <w:szCs w:val="24"/>
      <w:lang w:val="en-US"/>
    </w:rPr>
  </w:style>
  <w:style w:type="paragraph" w:styleId="Continuarlista">
    <w:name w:val="List Continue"/>
    <w:basedOn w:val="Normal"/>
    <w:uiPriority w:val="2"/>
    <w:qFormat/>
    <w:rsid w:val="004C1C4F"/>
    <w:pPr>
      <w:spacing w:after="240" w:line="240" w:lineRule="auto"/>
    </w:pPr>
    <w:rPr>
      <w:rFonts w:ascii="Times New Roman" w:eastAsia="Calibri" w:hAnsi="Times New Roman" w:cs="Arial"/>
      <w:sz w:val="20"/>
      <w:szCs w:val="24"/>
      <w:lang w:val="en-US"/>
    </w:rPr>
  </w:style>
  <w:style w:type="paragraph" w:styleId="Continuarlista2">
    <w:name w:val="List Continue 2"/>
    <w:basedOn w:val="Normal"/>
    <w:uiPriority w:val="2"/>
    <w:qFormat/>
    <w:rsid w:val="004C1C4F"/>
    <w:pPr>
      <w:spacing w:after="240" w:line="240" w:lineRule="auto"/>
      <w:ind w:left="720"/>
    </w:pPr>
    <w:rPr>
      <w:rFonts w:ascii="Times New Roman" w:eastAsia="Calibri" w:hAnsi="Times New Roman" w:cs="Arial"/>
      <w:sz w:val="20"/>
      <w:szCs w:val="24"/>
      <w:lang w:val="en-US"/>
    </w:rPr>
  </w:style>
  <w:style w:type="paragraph" w:styleId="Continuarlista3">
    <w:name w:val="List Continue 3"/>
    <w:basedOn w:val="Normal"/>
    <w:uiPriority w:val="2"/>
    <w:qFormat/>
    <w:rsid w:val="004C1C4F"/>
    <w:pPr>
      <w:spacing w:after="240" w:line="240" w:lineRule="auto"/>
      <w:ind w:left="1080"/>
    </w:pPr>
    <w:rPr>
      <w:rFonts w:ascii="Times New Roman" w:eastAsia="Calibri" w:hAnsi="Times New Roman" w:cs="Arial"/>
      <w:sz w:val="20"/>
      <w:szCs w:val="24"/>
      <w:lang w:val="en-US"/>
    </w:rPr>
  </w:style>
  <w:style w:type="paragraph" w:styleId="Continuarlista4">
    <w:name w:val="List Continue 4"/>
    <w:basedOn w:val="Normal"/>
    <w:uiPriority w:val="2"/>
    <w:qFormat/>
    <w:rsid w:val="004C1C4F"/>
    <w:pPr>
      <w:spacing w:after="240" w:line="240" w:lineRule="auto"/>
      <w:ind w:left="1440"/>
    </w:pPr>
    <w:rPr>
      <w:rFonts w:ascii="Times New Roman" w:eastAsia="Calibri" w:hAnsi="Times New Roman" w:cs="Arial"/>
      <w:sz w:val="20"/>
      <w:szCs w:val="24"/>
      <w:lang w:val="en-US"/>
    </w:rPr>
  </w:style>
  <w:style w:type="paragraph" w:styleId="Continuarlista5">
    <w:name w:val="List Continue 5"/>
    <w:basedOn w:val="Normal"/>
    <w:uiPriority w:val="2"/>
    <w:qFormat/>
    <w:rsid w:val="004C1C4F"/>
    <w:pPr>
      <w:spacing w:after="240" w:line="240" w:lineRule="auto"/>
      <w:ind w:left="1800"/>
    </w:pPr>
    <w:rPr>
      <w:rFonts w:ascii="Times New Roman" w:eastAsia="Calibri" w:hAnsi="Times New Roman" w:cs="Arial"/>
      <w:sz w:val="20"/>
      <w:szCs w:val="24"/>
      <w:lang w:val="en-US"/>
    </w:rPr>
  </w:style>
  <w:style w:type="paragraph" w:styleId="Listaconnmeros">
    <w:name w:val="List Number"/>
    <w:aliases w:val="ln"/>
    <w:basedOn w:val="Normal"/>
    <w:uiPriority w:val="19"/>
    <w:unhideWhenUsed/>
    <w:rsid w:val="004C1C4F"/>
    <w:pPr>
      <w:numPr>
        <w:numId w:val="5"/>
      </w:numPr>
      <w:spacing w:after="0" w:line="240" w:lineRule="auto"/>
      <w:contextualSpacing/>
    </w:pPr>
    <w:rPr>
      <w:rFonts w:ascii="Times New Roman" w:eastAsia="Calibri" w:hAnsi="Times New Roman" w:cs="Arial"/>
      <w:sz w:val="20"/>
      <w:szCs w:val="24"/>
      <w:lang w:val="en-US"/>
    </w:rPr>
  </w:style>
  <w:style w:type="paragraph" w:styleId="Listaconnmeros2">
    <w:name w:val="List Number 2"/>
    <w:aliases w:val="ln2"/>
    <w:basedOn w:val="Normal"/>
    <w:uiPriority w:val="19"/>
    <w:unhideWhenUsed/>
    <w:rsid w:val="004C1C4F"/>
    <w:pPr>
      <w:numPr>
        <w:numId w:val="10"/>
      </w:numPr>
      <w:spacing w:after="0" w:line="240" w:lineRule="auto"/>
      <w:contextualSpacing/>
    </w:pPr>
    <w:rPr>
      <w:rFonts w:ascii="Times New Roman" w:eastAsia="Calibri" w:hAnsi="Times New Roman" w:cs="Arial"/>
      <w:sz w:val="20"/>
      <w:szCs w:val="24"/>
      <w:lang w:val="en-US"/>
    </w:rPr>
  </w:style>
  <w:style w:type="paragraph" w:styleId="Listaconnmeros3">
    <w:name w:val="List Number 3"/>
    <w:aliases w:val="ln3"/>
    <w:basedOn w:val="Normal"/>
    <w:uiPriority w:val="19"/>
    <w:unhideWhenUsed/>
    <w:rsid w:val="004C1C4F"/>
    <w:pPr>
      <w:numPr>
        <w:numId w:val="11"/>
      </w:numPr>
      <w:spacing w:after="0" w:line="240" w:lineRule="auto"/>
      <w:contextualSpacing/>
    </w:pPr>
    <w:rPr>
      <w:rFonts w:ascii="Times New Roman" w:eastAsia="Calibri" w:hAnsi="Times New Roman" w:cs="Arial"/>
      <w:sz w:val="20"/>
      <w:szCs w:val="24"/>
      <w:lang w:val="en-US"/>
    </w:rPr>
  </w:style>
  <w:style w:type="paragraph" w:styleId="Listaconnmeros4">
    <w:name w:val="List Number 4"/>
    <w:aliases w:val="ln4"/>
    <w:basedOn w:val="Normal"/>
    <w:uiPriority w:val="19"/>
    <w:unhideWhenUsed/>
    <w:rsid w:val="004C1C4F"/>
    <w:pPr>
      <w:numPr>
        <w:numId w:val="12"/>
      </w:numPr>
      <w:spacing w:after="0" w:line="240" w:lineRule="auto"/>
      <w:contextualSpacing/>
    </w:pPr>
    <w:rPr>
      <w:rFonts w:ascii="Times New Roman" w:eastAsia="Calibri" w:hAnsi="Times New Roman" w:cs="Arial"/>
      <w:sz w:val="20"/>
      <w:szCs w:val="24"/>
      <w:lang w:val="en-US"/>
    </w:rPr>
  </w:style>
  <w:style w:type="paragraph" w:styleId="Listaconnmeros5">
    <w:name w:val="List Number 5"/>
    <w:aliases w:val="ln5"/>
    <w:basedOn w:val="Normal"/>
    <w:uiPriority w:val="19"/>
    <w:unhideWhenUsed/>
    <w:rsid w:val="004C1C4F"/>
    <w:pPr>
      <w:numPr>
        <w:numId w:val="13"/>
      </w:numPr>
      <w:spacing w:after="0" w:line="240" w:lineRule="auto"/>
      <w:contextualSpacing/>
    </w:pPr>
    <w:rPr>
      <w:rFonts w:ascii="Times New Roman" w:eastAsia="Calibri" w:hAnsi="Times New Roman" w:cs="Arial"/>
      <w:sz w:val="20"/>
      <w:szCs w:val="24"/>
      <w:lang w:val="en-US"/>
    </w:rPr>
  </w:style>
  <w:style w:type="paragraph" w:customStyle="1" w:styleId="Listavistosa-nfasis11">
    <w:name w:val="Lista vistosa - Énfasis 11"/>
    <w:aliases w:val="Colorful List Accent 1,Colorful List - Accent 11,lp,Lista vistosa - Énfasis 12"/>
    <w:basedOn w:val="Normal"/>
    <w:uiPriority w:val="99"/>
    <w:qFormat/>
    <w:rsid w:val="004C1C4F"/>
    <w:pPr>
      <w:spacing w:after="0" w:line="240" w:lineRule="auto"/>
      <w:ind w:left="720"/>
      <w:contextualSpacing/>
    </w:pPr>
    <w:rPr>
      <w:rFonts w:ascii="Times New Roman" w:eastAsia="Calibri" w:hAnsi="Times New Roman" w:cs="Arial"/>
      <w:sz w:val="20"/>
      <w:szCs w:val="24"/>
      <w:lang w:val="en-US"/>
    </w:rPr>
  </w:style>
  <w:style w:type="paragraph" w:styleId="Textomacro">
    <w:name w:val="macro"/>
    <w:link w:val="TextomacroCar"/>
    <w:uiPriority w:val="99"/>
    <w:unhideWhenUsed/>
    <w:rsid w:val="004C1C4F"/>
    <w:pPr>
      <w:tabs>
        <w:tab w:val="left" w:pos="480"/>
        <w:tab w:val="left" w:pos="960"/>
        <w:tab w:val="left" w:pos="1440"/>
        <w:tab w:val="left" w:pos="1920"/>
        <w:tab w:val="left" w:pos="2400"/>
        <w:tab w:val="left" w:pos="2880"/>
        <w:tab w:val="left" w:pos="3360"/>
        <w:tab w:val="left" w:pos="3840"/>
        <w:tab w:val="left" w:pos="4320"/>
      </w:tabs>
      <w:spacing w:after="0" w:line="240" w:lineRule="auto"/>
      <w:ind w:left="360" w:hanging="360"/>
    </w:pPr>
    <w:rPr>
      <w:rFonts w:ascii="Consolas" w:eastAsia="Calibri" w:hAnsi="Consolas" w:cs="Arial"/>
      <w:sz w:val="20"/>
      <w:szCs w:val="20"/>
      <w:lang w:val="es-AR" w:eastAsia="es-AR"/>
    </w:rPr>
  </w:style>
  <w:style w:type="character" w:customStyle="1" w:styleId="TextomacroCar">
    <w:name w:val="Texto macro Car"/>
    <w:basedOn w:val="Fuentedeprrafopredeter"/>
    <w:link w:val="Textomacro"/>
    <w:uiPriority w:val="99"/>
    <w:rsid w:val="004C1C4F"/>
    <w:rPr>
      <w:rFonts w:ascii="Consolas" w:eastAsia="Calibri" w:hAnsi="Consolas" w:cs="Arial"/>
      <w:sz w:val="20"/>
      <w:szCs w:val="20"/>
      <w:lang w:val="es-AR" w:eastAsia="es-AR"/>
    </w:rPr>
  </w:style>
  <w:style w:type="paragraph" w:styleId="Encabezadodemensaje">
    <w:name w:val="Message Header"/>
    <w:basedOn w:val="Normal"/>
    <w:link w:val="EncabezadodemensajeCar"/>
    <w:uiPriority w:val="99"/>
    <w:unhideWhenUsed/>
    <w:rsid w:val="004C1C4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SimSun" w:hAnsi="Cambria" w:cs="Times New Roman"/>
      <w:sz w:val="20"/>
      <w:szCs w:val="20"/>
      <w:lang w:val="x-none" w:eastAsia="x-none"/>
    </w:rPr>
  </w:style>
  <w:style w:type="character" w:customStyle="1" w:styleId="EncabezadodemensajeCar">
    <w:name w:val="Encabezado de mensaje Car"/>
    <w:basedOn w:val="Fuentedeprrafopredeter"/>
    <w:link w:val="Encabezadodemensaje"/>
    <w:uiPriority w:val="99"/>
    <w:rsid w:val="004C1C4F"/>
    <w:rPr>
      <w:rFonts w:ascii="Cambria" w:eastAsia="SimSun" w:hAnsi="Cambria" w:cs="Times New Roman"/>
      <w:sz w:val="20"/>
      <w:szCs w:val="20"/>
      <w:shd w:val="pct20" w:color="auto" w:fill="auto"/>
      <w:lang w:val="x-none" w:eastAsia="x-none"/>
    </w:rPr>
  </w:style>
  <w:style w:type="paragraph" w:customStyle="1" w:styleId="Cuadrculamedia21">
    <w:name w:val="Cuadrícula media 21"/>
    <w:uiPriority w:val="1"/>
    <w:qFormat/>
    <w:rsid w:val="004C1C4F"/>
    <w:pPr>
      <w:spacing w:after="0" w:line="240" w:lineRule="auto"/>
      <w:ind w:left="360" w:hanging="360"/>
    </w:pPr>
    <w:rPr>
      <w:rFonts w:ascii="Times New Roman" w:eastAsia="Calibri" w:hAnsi="Times New Roman" w:cs="Arial"/>
      <w:sz w:val="24"/>
      <w:szCs w:val="24"/>
      <w:lang w:val="en-US"/>
    </w:rPr>
  </w:style>
  <w:style w:type="paragraph" w:styleId="NormalWeb">
    <w:name w:val="Normal (Web)"/>
    <w:basedOn w:val="Normal"/>
    <w:uiPriority w:val="99"/>
    <w:unhideWhenUsed/>
    <w:rsid w:val="004C1C4F"/>
    <w:pPr>
      <w:spacing w:after="0" w:line="240" w:lineRule="auto"/>
    </w:pPr>
    <w:rPr>
      <w:rFonts w:ascii="Times New Roman" w:eastAsia="Calibri" w:hAnsi="Times New Roman" w:cs="Times New Roman"/>
      <w:sz w:val="20"/>
      <w:szCs w:val="24"/>
      <w:lang w:val="en-US"/>
    </w:rPr>
  </w:style>
  <w:style w:type="paragraph" w:styleId="Sangranormal">
    <w:name w:val="Normal Indent"/>
    <w:basedOn w:val="Normal"/>
    <w:uiPriority w:val="99"/>
    <w:unhideWhenUsed/>
    <w:rsid w:val="004C1C4F"/>
    <w:pPr>
      <w:spacing w:after="0" w:line="240" w:lineRule="auto"/>
      <w:ind w:left="720"/>
    </w:pPr>
    <w:rPr>
      <w:rFonts w:ascii="Times New Roman" w:eastAsia="Calibri" w:hAnsi="Times New Roman" w:cs="Arial"/>
      <w:sz w:val="20"/>
      <w:szCs w:val="24"/>
      <w:lang w:val="en-US"/>
    </w:rPr>
  </w:style>
  <w:style w:type="paragraph" w:styleId="Encabezadodenota">
    <w:name w:val="Note Heading"/>
    <w:basedOn w:val="Normal"/>
    <w:next w:val="Normal"/>
    <w:link w:val="EncabezadodenotaCar"/>
    <w:uiPriority w:val="99"/>
    <w:unhideWhenUsed/>
    <w:rsid w:val="004C1C4F"/>
    <w:pPr>
      <w:spacing w:after="0" w:line="240" w:lineRule="auto"/>
    </w:pPr>
    <w:rPr>
      <w:rFonts w:ascii="Times New Roman" w:eastAsia="Calibri" w:hAnsi="Times New Roman" w:cs="Arial"/>
      <w:sz w:val="20"/>
      <w:szCs w:val="24"/>
      <w:lang w:val="en-US"/>
    </w:rPr>
  </w:style>
  <w:style w:type="character" w:customStyle="1" w:styleId="EncabezadodenotaCar">
    <w:name w:val="Encabezado de nota Car"/>
    <w:basedOn w:val="Fuentedeprrafopredeter"/>
    <w:link w:val="Encabezadodenota"/>
    <w:uiPriority w:val="99"/>
    <w:rsid w:val="004C1C4F"/>
    <w:rPr>
      <w:rFonts w:ascii="Times New Roman" w:eastAsia="Calibri" w:hAnsi="Times New Roman" w:cs="Arial"/>
      <w:sz w:val="20"/>
      <w:szCs w:val="24"/>
      <w:lang w:val="en-US"/>
    </w:rPr>
  </w:style>
  <w:style w:type="paragraph" w:styleId="Textosinformato">
    <w:name w:val="Plain Text"/>
    <w:basedOn w:val="Normal"/>
    <w:link w:val="TextosinformatoCar"/>
    <w:uiPriority w:val="99"/>
    <w:unhideWhenUsed/>
    <w:rsid w:val="004C1C4F"/>
    <w:pPr>
      <w:spacing w:after="0" w:line="240" w:lineRule="auto"/>
    </w:pPr>
    <w:rPr>
      <w:rFonts w:ascii="Consolas" w:eastAsia="Calibri" w:hAnsi="Consolas" w:cs="Times New Roman"/>
      <w:sz w:val="21"/>
      <w:szCs w:val="21"/>
      <w:lang w:val="x-none" w:eastAsia="x-none"/>
    </w:rPr>
  </w:style>
  <w:style w:type="character" w:customStyle="1" w:styleId="TextosinformatoCar">
    <w:name w:val="Texto sin formato Car"/>
    <w:basedOn w:val="Fuentedeprrafopredeter"/>
    <w:link w:val="Textosinformato"/>
    <w:uiPriority w:val="99"/>
    <w:rsid w:val="004C1C4F"/>
    <w:rPr>
      <w:rFonts w:ascii="Consolas" w:eastAsia="Calibri" w:hAnsi="Consolas" w:cs="Times New Roman"/>
      <w:sz w:val="21"/>
      <w:szCs w:val="21"/>
      <w:lang w:val="x-none" w:eastAsia="x-none"/>
    </w:rPr>
  </w:style>
  <w:style w:type="paragraph" w:customStyle="1" w:styleId="Cuadrculavistosa-nfasis11">
    <w:name w:val="Cuadrícula vistosa - Énfasis 11"/>
    <w:basedOn w:val="Normal"/>
    <w:next w:val="Normal"/>
    <w:link w:val="Cuadrculavistosa-nfasis1Car"/>
    <w:uiPriority w:val="29"/>
    <w:qFormat/>
    <w:rsid w:val="004C1C4F"/>
    <w:pPr>
      <w:spacing w:after="0" w:line="240" w:lineRule="auto"/>
    </w:pPr>
    <w:rPr>
      <w:rFonts w:ascii="Times New Roman" w:eastAsia="Calibri" w:hAnsi="Times New Roman" w:cs="Times New Roman"/>
      <w:i/>
      <w:iCs/>
      <w:color w:val="000000"/>
      <w:sz w:val="20"/>
      <w:szCs w:val="20"/>
      <w:lang w:val="x-none" w:eastAsia="x-none"/>
    </w:rPr>
  </w:style>
  <w:style w:type="character" w:customStyle="1" w:styleId="Cuadrculavistosa-nfasis1Car">
    <w:name w:val="Cuadrícula vistosa - Énfasis 1 Car"/>
    <w:link w:val="Cuadrculavistosa-nfasis11"/>
    <w:uiPriority w:val="29"/>
    <w:rsid w:val="004C1C4F"/>
    <w:rPr>
      <w:rFonts w:ascii="Times New Roman" w:eastAsia="Calibri" w:hAnsi="Times New Roman" w:cs="Times New Roman"/>
      <w:i/>
      <w:iCs/>
      <w:color w:val="000000"/>
      <w:sz w:val="20"/>
      <w:szCs w:val="20"/>
      <w:lang w:val="x-none" w:eastAsia="x-none"/>
    </w:rPr>
  </w:style>
  <w:style w:type="paragraph" w:styleId="Saludo">
    <w:name w:val="Salutation"/>
    <w:aliases w:val="sal"/>
    <w:basedOn w:val="Normal"/>
    <w:next w:val="Normal"/>
    <w:link w:val="SaludoCar"/>
    <w:uiPriority w:val="9"/>
    <w:qFormat/>
    <w:rsid w:val="004C1C4F"/>
    <w:pPr>
      <w:spacing w:after="0" w:line="240" w:lineRule="auto"/>
    </w:pPr>
    <w:rPr>
      <w:rFonts w:ascii="Times New Roman" w:eastAsia="Calibri" w:hAnsi="Times New Roman" w:cs="Arial"/>
      <w:sz w:val="20"/>
      <w:szCs w:val="24"/>
      <w:lang w:val="en-US"/>
    </w:rPr>
  </w:style>
  <w:style w:type="character" w:customStyle="1" w:styleId="SaludoCar">
    <w:name w:val="Saludo Car"/>
    <w:aliases w:val="sal Car"/>
    <w:basedOn w:val="Fuentedeprrafopredeter"/>
    <w:link w:val="Saludo"/>
    <w:uiPriority w:val="9"/>
    <w:rsid w:val="004C1C4F"/>
    <w:rPr>
      <w:rFonts w:ascii="Times New Roman" w:eastAsia="Calibri" w:hAnsi="Times New Roman" w:cs="Arial"/>
      <w:sz w:val="20"/>
      <w:szCs w:val="24"/>
      <w:lang w:val="en-US"/>
    </w:rPr>
  </w:style>
  <w:style w:type="paragraph" w:styleId="Firma">
    <w:name w:val="Signature"/>
    <w:aliases w:val="sg"/>
    <w:basedOn w:val="Normal"/>
    <w:link w:val="FirmaCar"/>
    <w:uiPriority w:val="99"/>
    <w:unhideWhenUsed/>
    <w:rsid w:val="004C1C4F"/>
    <w:pPr>
      <w:spacing w:after="0" w:line="240" w:lineRule="auto"/>
      <w:ind w:left="4320"/>
    </w:pPr>
    <w:rPr>
      <w:rFonts w:ascii="Times New Roman" w:eastAsia="Calibri" w:hAnsi="Times New Roman" w:cs="Arial"/>
      <w:sz w:val="20"/>
      <w:szCs w:val="24"/>
      <w:lang w:val="en-US"/>
    </w:rPr>
  </w:style>
  <w:style w:type="character" w:customStyle="1" w:styleId="FirmaCar">
    <w:name w:val="Firma Car"/>
    <w:aliases w:val="sg Car"/>
    <w:basedOn w:val="Fuentedeprrafopredeter"/>
    <w:link w:val="Firma"/>
    <w:uiPriority w:val="99"/>
    <w:rsid w:val="004C1C4F"/>
    <w:rPr>
      <w:rFonts w:ascii="Times New Roman" w:eastAsia="Calibri" w:hAnsi="Times New Roman" w:cs="Arial"/>
      <w:sz w:val="20"/>
      <w:szCs w:val="24"/>
      <w:lang w:val="en-US"/>
    </w:rPr>
  </w:style>
  <w:style w:type="paragraph" w:styleId="Subttulo">
    <w:name w:val="Subtitle"/>
    <w:aliases w:val="st"/>
    <w:basedOn w:val="Normal"/>
    <w:link w:val="SubttuloCar"/>
    <w:uiPriority w:val="11"/>
    <w:qFormat/>
    <w:rsid w:val="004C1C4F"/>
    <w:pPr>
      <w:numPr>
        <w:ilvl w:val="1"/>
      </w:numPr>
      <w:spacing w:after="240" w:line="240" w:lineRule="auto"/>
      <w:jc w:val="center"/>
      <w:outlineLvl w:val="1"/>
    </w:pPr>
    <w:rPr>
      <w:rFonts w:ascii="Times New Roman" w:eastAsia="SimSun" w:hAnsi="Times New Roman" w:cs="Times New Roman"/>
      <w:iCs/>
      <w:sz w:val="20"/>
      <w:szCs w:val="20"/>
      <w:lang w:val="x-none" w:eastAsia="x-none"/>
    </w:rPr>
  </w:style>
  <w:style w:type="character" w:customStyle="1" w:styleId="SubttuloCar">
    <w:name w:val="Subtítulo Car"/>
    <w:aliases w:val="st Car"/>
    <w:basedOn w:val="Fuentedeprrafopredeter"/>
    <w:link w:val="Subttulo"/>
    <w:uiPriority w:val="11"/>
    <w:rsid w:val="004C1C4F"/>
    <w:rPr>
      <w:rFonts w:ascii="Times New Roman" w:eastAsia="SimSun" w:hAnsi="Times New Roman" w:cs="Times New Roman"/>
      <w:iCs/>
      <w:sz w:val="20"/>
      <w:szCs w:val="20"/>
      <w:lang w:val="x-none" w:eastAsia="x-none"/>
    </w:rPr>
  </w:style>
  <w:style w:type="paragraph" w:styleId="Textoconsangra">
    <w:name w:val="table of authorities"/>
    <w:basedOn w:val="Normal"/>
    <w:next w:val="Normal"/>
    <w:uiPriority w:val="99"/>
    <w:unhideWhenUsed/>
    <w:rsid w:val="004C1C4F"/>
    <w:pPr>
      <w:spacing w:after="0" w:line="240" w:lineRule="auto"/>
      <w:ind w:left="220" w:hanging="220"/>
    </w:pPr>
    <w:rPr>
      <w:rFonts w:ascii="Times New Roman" w:eastAsia="Calibri" w:hAnsi="Times New Roman" w:cs="Arial"/>
      <w:sz w:val="20"/>
      <w:szCs w:val="24"/>
      <w:lang w:val="en-US"/>
    </w:rPr>
  </w:style>
  <w:style w:type="paragraph" w:styleId="Tabladeilustraciones">
    <w:name w:val="table of figures"/>
    <w:basedOn w:val="Normal"/>
    <w:next w:val="Normal"/>
    <w:uiPriority w:val="99"/>
    <w:unhideWhenUsed/>
    <w:rsid w:val="004C1C4F"/>
    <w:pPr>
      <w:spacing w:after="0" w:line="240" w:lineRule="auto"/>
    </w:pPr>
    <w:rPr>
      <w:rFonts w:ascii="Times New Roman" w:eastAsia="Calibri" w:hAnsi="Times New Roman" w:cs="Arial"/>
      <w:sz w:val="20"/>
      <w:szCs w:val="24"/>
      <w:lang w:val="en-US"/>
    </w:rPr>
  </w:style>
  <w:style w:type="paragraph" w:customStyle="1" w:styleId="Ttulo10">
    <w:name w:val="Título1"/>
    <w:basedOn w:val="Normal"/>
    <w:next w:val="Textoindependiente"/>
    <w:link w:val="TtuloCar1"/>
    <w:uiPriority w:val="10"/>
    <w:qFormat/>
    <w:rsid w:val="004C1C4F"/>
    <w:pPr>
      <w:spacing w:after="240" w:line="240" w:lineRule="auto"/>
      <w:jc w:val="center"/>
      <w:outlineLvl w:val="0"/>
    </w:pPr>
    <w:rPr>
      <w:rFonts w:ascii="Times New Roman" w:eastAsia="SimSun" w:hAnsi="Times New Roman" w:cs="Times New Roman"/>
      <w:b/>
      <w:sz w:val="20"/>
      <w:szCs w:val="52"/>
      <w:lang w:val="x-none" w:eastAsia="x-none"/>
    </w:rPr>
  </w:style>
  <w:style w:type="character" w:customStyle="1" w:styleId="TtuloCar1">
    <w:name w:val="Título Car1"/>
    <w:link w:val="Ttulo10"/>
    <w:uiPriority w:val="10"/>
    <w:rsid w:val="004C1C4F"/>
    <w:rPr>
      <w:rFonts w:ascii="Times New Roman" w:eastAsia="SimSun" w:hAnsi="Times New Roman" w:cs="Times New Roman"/>
      <w:b/>
      <w:sz w:val="20"/>
      <w:szCs w:val="52"/>
      <w:lang w:val="x-none" w:eastAsia="x-none"/>
    </w:rPr>
  </w:style>
  <w:style w:type="paragraph" w:styleId="Encabezadodelista">
    <w:name w:val="toa heading"/>
    <w:basedOn w:val="Normal"/>
    <w:next w:val="Normal"/>
    <w:uiPriority w:val="99"/>
    <w:unhideWhenUsed/>
    <w:rsid w:val="004C1C4F"/>
    <w:pPr>
      <w:spacing w:before="120" w:after="0" w:line="240" w:lineRule="auto"/>
    </w:pPr>
    <w:rPr>
      <w:rFonts w:ascii="Cambria" w:eastAsia="SimSun" w:hAnsi="Cambria" w:cs="Times New Roman"/>
      <w:b/>
      <w:bCs/>
      <w:sz w:val="20"/>
      <w:szCs w:val="24"/>
      <w:lang w:val="en-US"/>
    </w:rPr>
  </w:style>
  <w:style w:type="paragraph" w:styleId="TDC2">
    <w:name w:val="toc 2"/>
    <w:basedOn w:val="Normal"/>
    <w:next w:val="Normal"/>
    <w:link w:val="TDC2Car"/>
    <w:autoRedefine/>
    <w:unhideWhenUsed/>
    <w:rsid w:val="004C1C4F"/>
    <w:pPr>
      <w:spacing w:after="100" w:line="240" w:lineRule="auto"/>
      <w:ind w:left="220"/>
    </w:pPr>
    <w:rPr>
      <w:rFonts w:ascii="Times New Roman" w:eastAsia="Calibri" w:hAnsi="Times New Roman" w:cs="Arial"/>
      <w:sz w:val="20"/>
      <w:szCs w:val="24"/>
      <w:lang w:val="en-US"/>
    </w:rPr>
  </w:style>
  <w:style w:type="paragraph" w:styleId="TDC3">
    <w:name w:val="toc 3"/>
    <w:basedOn w:val="Normal"/>
    <w:next w:val="Normal"/>
    <w:autoRedefine/>
    <w:uiPriority w:val="39"/>
    <w:unhideWhenUsed/>
    <w:rsid w:val="004C1C4F"/>
    <w:pPr>
      <w:spacing w:after="100" w:line="240" w:lineRule="auto"/>
      <w:ind w:left="440"/>
    </w:pPr>
    <w:rPr>
      <w:rFonts w:ascii="Times New Roman" w:eastAsia="Calibri" w:hAnsi="Times New Roman" w:cs="Arial"/>
      <w:sz w:val="20"/>
      <w:szCs w:val="24"/>
      <w:lang w:val="en-US"/>
    </w:rPr>
  </w:style>
  <w:style w:type="paragraph" w:styleId="TDC4">
    <w:name w:val="toc 4"/>
    <w:basedOn w:val="Normal"/>
    <w:next w:val="Normal"/>
    <w:autoRedefine/>
    <w:uiPriority w:val="39"/>
    <w:unhideWhenUsed/>
    <w:rsid w:val="004C1C4F"/>
    <w:pPr>
      <w:spacing w:after="100" w:line="240" w:lineRule="auto"/>
      <w:ind w:left="660"/>
    </w:pPr>
    <w:rPr>
      <w:rFonts w:ascii="Times New Roman" w:eastAsia="Calibri" w:hAnsi="Times New Roman" w:cs="Arial"/>
      <w:sz w:val="20"/>
      <w:szCs w:val="24"/>
      <w:lang w:val="en-US"/>
    </w:rPr>
  </w:style>
  <w:style w:type="paragraph" w:styleId="TDC5">
    <w:name w:val="toc 5"/>
    <w:basedOn w:val="Normal"/>
    <w:next w:val="Normal"/>
    <w:autoRedefine/>
    <w:uiPriority w:val="39"/>
    <w:unhideWhenUsed/>
    <w:rsid w:val="004C1C4F"/>
    <w:pPr>
      <w:spacing w:after="100" w:line="240" w:lineRule="auto"/>
      <w:ind w:left="880"/>
    </w:pPr>
    <w:rPr>
      <w:rFonts w:ascii="Times New Roman" w:eastAsia="Calibri" w:hAnsi="Times New Roman" w:cs="Arial"/>
      <w:sz w:val="20"/>
      <w:szCs w:val="24"/>
      <w:lang w:val="en-US"/>
    </w:rPr>
  </w:style>
  <w:style w:type="paragraph" w:styleId="TDC6">
    <w:name w:val="toc 6"/>
    <w:basedOn w:val="Normal"/>
    <w:next w:val="Normal"/>
    <w:autoRedefine/>
    <w:uiPriority w:val="39"/>
    <w:unhideWhenUsed/>
    <w:rsid w:val="004C1C4F"/>
    <w:pPr>
      <w:spacing w:after="100" w:line="240" w:lineRule="auto"/>
      <w:ind w:left="1100"/>
    </w:pPr>
    <w:rPr>
      <w:rFonts w:ascii="Times New Roman" w:eastAsia="Calibri" w:hAnsi="Times New Roman" w:cs="Arial"/>
      <w:sz w:val="20"/>
      <w:szCs w:val="24"/>
      <w:lang w:val="en-US"/>
    </w:rPr>
  </w:style>
  <w:style w:type="paragraph" w:styleId="TDC7">
    <w:name w:val="toc 7"/>
    <w:basedOn w:val="Normal"/>
    <w:next w:val="Normal"/>
    <w:autoRedefine/>
    <w:uiPriority w:val="39"/>
    <w:unhideWhenUsed/>
    <w:rsid w:val="004C1C4F"/>
    <w:pPr>
      <w:spacing w:after="100" w:line="240" w:lineRule="auto"/>
      <w:ind w:left="1320"/>
    </w:pPr>
    <w:rPr>
      <w:rFonts w:ascii="Times New Roman" w:eastAsia="Calibri" w:hAnsi="Times New Roman" w:cs="Arial"/>
      <w:sz w:val="20"/>
      <w:szCs w:val="24"/>
      <w:lang w:val="en-US"/>
    </w:rPr>
  </w:style>
  <w:style w:type="paragraph" w:styleId="TDC8">
    <w:name w:val="toc 8"/>
    <w:basedOn w:val="Normal"/>
    <w:next w:val="Normal"/>
    <w:autoRedefine/>
    <w:uiPriority w:val="39"/>
    <w:unhideWhenUsed/>
    <w:rsid w:val="004C1C4F"/>
    <w:pPr>
      <w:spacing w:after="100" w:line="240" w:lineRule="auto"/>
      <w:ind w:left="1540"/>
    </w:pPr>
    <w:rPr>
      <w:rFonts w:ascii="Times New Roman" w:eastAsia="Calibri" w:hAnsi="Times New Roman" w:cs="Arial"/>
      <w:sz w:val="20"/>
      <w:szCs w:val="24"/>
      <w:lang w:val="en-US"/>
    </w:rPr>
  </w:style>
  <w:style w:type="paragraph" w:styleId="TDC9">
    <w:name w:val="toc 9"/>
    <w:basedOn w:val="Normal"/>
    <w:next w:val="Normal"/>
    <w:autoRedefine/>
    <w:uiPriority w:val="39"/>
    <w:unhideWhenUsed/>
    <w:rsid w:val="004C1C4F"/>
    <w:pPr>
      <w:spacing w:after="100" w:line="240" w:lineRule="auto"/>
      <w:ind w:left="1760"/>
    </w:pPr>
    <w:rPr>
      <w:rFonts w:ascii="Times New Roman" w:eastAsia="Calibri" w:hAnsi="Times New Roman" w:cs="Arial"/>
      <w:sz w:val="20"/>
      <w:szCs w:val="24"/>
      <w:lang w:val="en-US"/>
    </w:rPr>
  </w:style>
  <w:style w:type="paragraph" w:customStyle="1" w:styleId="TtulodeTDC2">
    <w:name w:val="Título de TDC2"/>
    <w:basedOn w:val="Ttulo1"/>
    <w:next w:val="Normal"/>
    <w:uiPriority w:val="99"/>
    <w:unhideWhenUsed/>
    <w:qFormat/>
    <w:rsid w:val="004C1C4F"/>
    <w:pPr>
      <w:keepNext/>
      <w:keepLines/>
      <w:spacing w:after="240"/>
      <w:jc w:val="left"/>
      <w:outlineLvl w:val="9"/>
    </w:pPr>
    <w:rPr>
      <w:rFonts w:ascii="Times New Roman" w:eastAsia="SimSun" w:hAnsi="Times New Roman"/>
      <w:b w:val="0"/>
      <w:bCs/>
      <w:sz w:val="20"/>
      <w:szCs w:val="28"/>
      <w:lang w:val="x-none" w:eastAsia="x-none"/>
    </w:rPr>
  </w:style>
  <w:style w:type="paragraph" w:customStyle="1" w:styleId="BlockText5">
    <w:name w:val="Block Text .5"/>
    <w:basedOn w:val="Normal"/>
    <w:uiPriority w:val="99"/>
    <w:qFormat/>
    <w:rsid w:val="004C1C4F"/>
    <w:pPr>
      <w:spacing w:after="0" w:line="480" w:lineRule="auto"/>
      <w:ind w:left="720" w:right="720"/>
    </w:pPr>
    <w:rPr>
      <w:rFonts w:ascii="Times New Roman" w:eastAsia="Calibri" w:hAnsi="Times New Roman" w:cs="Arial"/>
      <w:sz w:val="20"/>
      <w:szCs w:val="24"/>
      <w:lang w:val="en-US"/>
    </w:rPr>
  </w:style>
  <w:style w:type="paragraph" w:customStyle="1" w:styleId="BlockText5J">
    <w:name w:val="Block Text .5 J"/>
    <w:basedOn w:val="Normal"/>
    <w:uiPriority w:val="99"/>
    <w:qFormat/>
    <w:rsid w:val="004C1C4F"/>
    <w:pPr>
      <w:spacing w:after="0" w:line="480" w:lineRule="auto"/>
      <w:ind w:left="720" w:right="720"/>
      <w:jc w:val="both"/>
    </w:pPr>
    <w:rPr>
      <w:rFonts w:ascii="Times New Roman" w:eastAsia="Calibri" w:hAnsi="Times New Roman" w:cs="Arial"/>
      <w:sz w:val="20"/>
      <w:szCs w:val="24"/>
      <w:lang w:val="en-US"/>
    </w:rPr>
  </w:style>
  <w:style w:type="paragraph" w:customStyle="1" w:styleId="BlockText5Sgl">
    <w:name w:val="Block Text .5 Sgl"/>
    <w:basedOn w:val="Normal"/>
    <w:uiPriority w:val="99"/>
    <w:qFormat/>
    <w:rsid w:val="004C1C4F"/>
    <w:pPr>
      <w:spacing w:after="240" w:line="240" w:lineRule="auto"/>
      <w:ind w:left="720" w:right="720"/>
    </w:pPr>
    <w:rPr>
      <w:rFonts w:ascii="Times New Roman" w:eastAsia="Calibri" w:hAnsi="Times New Roman" w:cs="Arial"/>
      <w:sz w:val="20"/>
      <w:szCs w:val="24"/>
      <w:lang w:val="en-US"/>
    </w:rPr>
  </w:style>
  <w:style w:type="paragraph" w:customStyle="1" w:styleId="BlockText5SglJ">
    <w:name w:val="Block Text .5 Sgl J"/>
    <w:basedOn w:val="Normal"/>
    <w:uiPriority w:val="99"/>
    <w:qFormat/>
    <w:rsid w:val="004C1C4F"/>
    <w:pPr>
      <w:spacing w:after="240" w:line="240" w:lineRule="auto"/>
      <w:ind w:left="720" w:right="720"/>
      <w:jc w:val="both"/>
    </w:pPr>
    <w:rPr>
      <w:rFonts w:ascii="Times New Roman" w:eastAsia="Calibri" w:hAnsi="Times New Roman" w:cs="Arial"/>
      <w:sz w:val="20"/>
      <w:szCs w:val="24"/>
      <w:lang w:val="en-US"/>
    </w:rPr>
  </w:style>
  <w:style w:type="paragraph" w:customStyle="1" w:styleId="BlockText1">
    <w:name w:val="Block Text 1"/>
    <w:basedOn w:val="Normal"/>
    <w:uiPriority w:val="99"/>
    <w:qFormat/>
    <w:rsid w:val="004C1C4F"/>
    <w:pPr>
      <w:spacing w:after="0" w:line="480" w:lineRule="auto"/>
      <w:ind w:left="1440" w:right="1440"/>
    </w:pPr>
    <w:rPr>
      <w:rFonts w:ascii="Times New Roman" w:eastAsia="Calibri" w:hAnsi="Times New Roman" w:cs="Arial"/>
      <w:sz w:val="20"/>
      <w:szCs w:val="24"/>
      <w:lang w:val="en-US"/>
    </w:rPr>
  </w:style>
  <w:style w:type="paragraph" w:customStyle="1" w:styleId="BlockText1J">
    <w:name w:val="Block Text 1 J"/>
    <w:basedOn w:val="Normal"/>
    <w:uiPriority w:val="99"/>
    <w:qFormat/>
    <w:rsid w:val="004C1C4F"/>
    <w:pPr>
      <w:spacing w:after="0" w:line="480" w:lineRule="auto"/>
      <w:ind w:left="1440" w:right="1440"/>
      <w:jc w:val="both"/>
    </w:pPr>
    <w:rPr>
      <w:rFonts w:ascii="Times New Roman" w:eastAsia="Calibri" w:hAnsi="Times New Roman" w:cs="Arial"/>
      <w:sz w:val="20"/>
      <w:szCs w:val="24"/>
      <w:lang w:val="en-US"/>
    </w:rPr>
  </w:style>
  <w:style w:type="paragraph" w:customStyle="1" w:styleId="BlockText1Sgl">
    <w:name w:val="Block Text 1 Sgl"/>
    <w:basedOn w:val="Normal"/>
    <w:uiPriority w:val="99"/>
    <w:qFormat/>
    <w:rsid w:val="004C1C4F"/>
    <w:pPr>
      <w:spacing w:after="240" w:line="240" w:lineRule="auto"/>
      <w:ind w:left="1440" w:right="1440"/>
    </w:pPr>
    <w:rPr>
      <w:rFonts w:ascii="Times New Roman" w:eastAsia="Calibri" w:hAnsi="Times New Roman" w:cs="Arial"/>
      <w:sz w:val="20"/>
      <w:szCs w:val="24"/>
      <w:lang w:val="en-US"/>
    </w:rPr>
  </w:style>
  <w:style w:type="paragraph" w:customStyle="1" w:styleId="BlockText1SglJ">
    <w:name w:val="Block Text 1 Sgl J"/>
    <w:basedOn w:val="Normal"/>
    <w:uiPriority w:val="99"/>
    <w:qFormat/>
    <w:rsid w:val="004C1C4F"/>
    <w:pPr>
      <w:spacing w:after="240" w:line="240" w:lineRule="auto"/>
      <w:ind w:left="1440" w:right="1440"/>
      <w:jc w:val="both"/>
    </w:pPr>
    <w:rPr>
      <w:rFonts w:ascii="Times New Roman" w:eastAsia="Calibri" w:hAnsi="Times New Roman" w:cs="Arial"/>
      <w:sz w:val="20"/>
      <w:szCs w:val="24"/>
      <w:lang w:val="en-US"/>
    </w:rPr>
  </w:style>
  <w:style w:type="paragraph" w:customStyle="1" w:styleId="BlockTextJ">
    <w:name w:val="Block Text J"/>
    <w:basedOn w:val="Textodebloque"/>
    <w:uiPriority w:val="99"/>
    <w:qFormat/>
    <w:rsid w:val="004C1C4F"/>
    <w:pPr>
      <w:jc w:val="both"/>
    </w:pPr>
  </w:style>
  <w:style w:type="paragraph" w:customStyle="1" w:styleId="BlockTextSgl">
    <w:name w:val="Block Text Sgl"/>
    <w:basedOn w:val="Normal"/>
    <w:link w:val="BlockTextSglChar"/>
    <w:qFormat/>
    <w:rsid w:val="004C1C4F"/>
    <w:pPr>
      <w:spacing w:after="240" w:line="240" w:lineRule="auto"/>
    </w:pPr>
    <w:rPr>
      <w:rFonts w:ascii="Times New Roman" w:eastAsia="Calibri" w:hAnsi="Times New Roman" w:cs="Times New Roman"/>
      <w:sz w:val="20"/>
      <w:szCs w:val="20"/>
      <w:lang w:val="x-none" w:eastAsia="x-none"/>
    </w:rPr>
  </w:style>
  <w:style w:type="paragraph" w:customStyle="1" w:styleId="BlockTextSglJ">
    <w:name w:val="Block Text Sgl J"/>
    <w:basedOn w:val="Normal"/>
    <w:uiPriority w:val="99"/>
    <w:qFormat/>
    <w:rsid w:val="004C1C4F"/>
    <w:pPr>
      <w:spacing w:after="240" w:line="240" w:lineRule="auto"/>
      <w:jc w:val="both"/>
    </w:pPr>
    <w:rPr>
      <w:rFonts w:ascii="Times New Roman" w:eastAsia="Calibri" w:hAnsi="Times New Roman" w:cs="Arial"/>
      <w:sz w:val="20"/>
      <w:szCs w:val="24"/>
      <w:lang w:val="en-US"/>
    </w:rPr>
  </w:style>
  <w:style w:type="paragraph" w:customStyle="1" w:styleId="BodyText2J">
    <w:name w:val="Body Text 2 J"/>
    <w:basedOn w:val="Textoindependiente2"/>
    <w:uiPriority w:val="99"/>
    <w:qFormat/>
    <w:rsid w:val="004C1C4F"/>
    <w:pPr>
      <w:jc w:val="both"/>
    </w:pPr>
  </w:style>
  <w:style w:type="paragraph" w:customStyle="1" w:styleId="BodyText2Sgl">
    <w:name w:val="Body Text 2 Sgl"/>
    <w:aliases w:val="2btx,bt2s"/>
    <w:basedOn w:val="Normal"/>
    <w:link w:val="BodyText2SglChar1"/>
    <w:uiPriority w:val="99"/>
    <w:qFormat/>
    <w:rsid w:val="004C1C4F"/>
    <w:pPr>
      <w:spacing w:after="240" w:line="240" w:lineRule="auto"/>
      <w:ind w:firstLine="720"/>
    </w:pPr>
    <w:rPr>
      <w:rFonts w:ascii="Times New Roman" w:eastAsia="Calibri" w:hAnsi="Times New Roman" w:cs="Times New Roman"/>
      <w:sz w:val="20"/>
      <w:szCs w:val="20"/>
      <w:lang w:val="x-none" w:eastAsia="x-none"/>
    </w:rPr>
  </w:style>
  <w:style w:type="paragraph" w:customStyle="1" w:styleId="BodyText2SglJ">
    <w:name w:val="Body Text 2 Sgl J"/>
    <w:basedOn w:val="BodyText2Sgl"/>
    <w:uiPriority w:val="99"/>
    <w:qFormat/>
    <w:rsid w:val="004C1C4F"/>
    <w:pPr>
      <w:jc w:val="both"/>
    </w:pPr>
  </w:style>
  <w:style w:type="paragraph" w:customStyle="1" w:styleId="BodyText3J">
    <w:name w:val="Body Text 3 J"/>
    <w:basedOn w:val="Textoindependiente3"/>
    <w:uiPriority w:val="99"/>
    <w:qFormat/>
    <w:rsid w:val="004C1C4F"/>
    <w:pPr>
      <w:jc w:val="both"/>
    </w:pPr>
  </w:style>
  <w:style w:type="paragraph" w:customStyle="1" w:styleId="BodyTextIndentInch">
    <w:name w:val="Body Text Indent Inch"/>
    <w:basedOn w:val="Normal"/>
    <w:uiPriority w:val="99"/>
    <w:qFormat/>
    <w:rsid w:val="004C1C4F"/>
    <w:pPr>
      <w:spacing w:after="0" w:line="480" w:lineRule="auto"/>
      <w:ind w:left="1440"/>
    </w:pPr>
    <w:rPr>
      <w:rFonts w:ascii="Times New Roman" w:eastAsia="Calibri" w:hAnsi="Times New Roman" w:cs="Arial"/>
      <w:sz w:val="20"/>
      <w:szCs w:val="24"/>
      <w:lang w:val="en-US"/>
    </w:rPr>
  </w:style>
  <w:style w:type="paragraph" w:customStyle="1" w:styleId="BodyTextIndentInchJ">
    <w:name w:val="Body Text Indent Inch J"/>
    <w:basedOn w:val="Normal"/>
    <w:uiPriority w:val="99"/>
    <w:qFormat/>
    <w:rsid w:val="004C1C4F"/>
    <w:pPr>
      <w:spacing w:after="0" w:line="480" w:lineRule="auto"/>
      <w:ind w:left="1440"/>
      <w:jc w:val="both"/>
    </w:pPr>
    <w:rPr>
      <w:rFonts w:ascii="Times New Roman" w:eastAsia="Calibri" w:hAnsi="Times New Roman" w:cs="Arial"/>
      <w:sz w:val="20"/>
      <w:szCs w:val="24"/>
      <w:lang w:val="en-US"/>
    </w:rPr>
  </w:style>
  <w:style w:type="paragraph" w:customStyle="1" w:styleId="BodyTextIndentInchSgl">
    <w:name w:val="Body Text Indent Inch Sgl"/>
    <w:basedOn w:val="Normal"/>
    <w:uiPriority w:val="99"/>
    <w:qFormat/>
    <w:rsid w:val="004C1C4F"/>
    <w:pPr>
      <w:spacing w:after="240" w:line="240" w:lineRule="auto"/>
      <w:ind w:left="1440"/>
    </w:pPr>
    <w:rPr>
      <w:rFonts w:ascii="Times New Roman" w:eastAsia="Calibri" w:hAnsi="Times New Roman" w:cs="Arial"/>
      <w:sz w:val="20"/>
      <w:szCs w:val="24"/>
      <w:lang w:val="en-US"/>
    </w:rPr>
  </w:style>
  <w:style w:type="paragraph" w:customStyle="1" w:styleId="BodyTextIndentInchSglJ">
    <w:name w:val="Body Text Indent Inch Sgl J"/>
    <w:basedOn w:val="Normal"/>
    <w:uiPriority w:val="99"/>
    <w:qFormat/>
    <w:rsid w:val="004C1C4F"/>
    <w:pPr>
      <w:spacing w:after="240" w:line="240" w:lineRule="auto"/>
      <w:ind w:left="1440"/>
      <w:jc w:val="both"/>
    </w:pPr>
    <w:rPr>
      <w:rFonts w:ascii="Times New Roman" w:eastAsia="Calibri" w:hAnsi="Times New Roman" w:cs="Arial"/>
      <w:sz w:val="20"/>
      <w:szCs w:val="24"/>
      <w:lang w:val="en-US"/>
    </w:rPr>
  </w:style>
  <w:style w:type="paragraph" w:customStyle="1" w:styleId="BodyTextIndentJ">
    <w:name w:val="Body Text Indent J"/>
    <w:basedOn w:val="Normal"/>
    <w:uiPriority w:val="99"/>
    <w:qFormat/>
    <w:rsid w:val="004C1C4F"/>
    <w:pPr>
      <w:spacing w:after="0" w:line="480" w:lineRule="auto"/>
      <w:ind w:left="720"/>
      <w:jc w:val="both"/>
    </w:pPr>
    <w:rPr>
      <w:rFonts w:ascii="Times New Roman" w:eastAsia="Calibri" w:hAnsi="Times New Roman" w:cs="Arial"/>
      <w:sz w:val="20"/>
      <w:szCs w:val="24"/>
      <w:lang w:val="en-US"/>
    </w:rPr>
  </w:style>
  <w:style w:type="paragraph" w:customStyle="1" w:styleId="BodyTextIndentSgl">
    <w:name w:val="Body Text Indent Sgl"/>
    <w:basedOn w:val="Normal"/>
    <w:uiPriority w:val="99"/>
    <w:qFormat/>
    <w:rsid w:val="004C1C4F"/>
    <w:pPr>
      <w:spacing w:after="240" w:line="240" w:lineRule="auto"/>
      <w:ind w:left="720"/>
    </w:pPr>
    <w:rPr>
      <w:rFonts w:ascii="Times New Roman" w:eastAsia="Calibri" w:hAnsi="Times New Roman" w:cs="Arial"/>
      <w:sz w:val="20"/>
      <w:szCs w:val="24"/>
      <w:lang w:val="en-US"/>
    </w:rPr>
  </w:style>
  <w:style w:type="paragraph" w:customStyle="1" w:styleId="BodyTextIndentSglJ">
    <w:name w:val="Body Text Indent Sgl J"/>
    <w:basedOn w:val="Normal"/>
    <w:uiPriority w:val="99"/>
    <w:qFormat/>
    <w:rsid w:val="004C1C4F"/>
    <w:pPr>
      <w:spacing w:after="240" w:line="240" w:lineRule="auto"/>
      <w:ind w:left="720"/>
      <w:jc w:val="both"/>
    </w:pPr>
    <w:rPr>
      <w:rFonts w:ascii="Times New Roman" w:eastAsia="Calibri" w:hAnsi="Times New Roman" w:cs="Arial"/>
      <w:sz w:val="20"/>
      <w:szCs w:val="24"/>
      <w:lang w:val="en-US"/>
    </w:rPr>
  </w:style>
  <w:style w:type="paragraph" w:customStyle="1" w:styleId="BodyTextJ">
    <w:name w:val="Body Text J"/>
    <w:basedOn w:val="Textoindependiente"/>
    <w:uiPriority w:val="99"/>
    <w:qFormat/>
    <w:rsid w:val="004C1C4F"/>
    <w:pPr>
      <w:jc w:val="both"/>
    </w:pPr>
  </w:style>
  <w:style w:type="paragraph" w:customStyle="1" w:styleId="BodyTextNumbered">
    <w:name w:val="Body Text Numbered"/>
    <w:basedOn w:val="Textoindependiente"/>
    <w:uiPriority w:val="99"/>
    <w:qFormat/>
    <w:rsid w:val="004C1C4F"/>
    <w:pPr>
      <w:numPr>
        <w:numId w:val="14"/>
      </w:numPr>
      <w:tabs>
        <w:tab w:val="num" w:pos="1800"/>
        <w:tab w:val="left" w:pos="2160"/>
      </w:tabs>
      <w:ind w:left="0" w:firstLine="1440"/>
      <w:outlineLvl w:val="0"/>
    </w:pPr>
  </w:style>
  <w:style w:type="paragraph" w:customStyle="1" w:styleId="EndnoteTextMore">
    <w:name w:val="Endnote TextMore"/>
    <w:basedOn w:val="Textonotaalfinal"/>
    <w:uiPriority w:val="99"/>
    <w:qFormat/>
    <w:rsid w:val="004C1C4F"/>
    <w:pPr>
      <w:ind w:firstLine="0"/>
    </w:pPr>
  </w:style>
  <w:style w:type="paragraph" w:customStyle="1" w:styleId="BodyTextSgl">
    <w:name w:val="Body Text Sgl"/>
    <w:basedOn w:val="Normal"/>
    <w:uiPriority w:val="99"/>
    <w:qFormat/>
    <w:rsid w:val="004C1C4F"/>
    <w:pPr>
      <w:spacing w:after="240" w:line="240" w:lineRule="auto"/>
      <w:ind w:firstLine="1440"/>
    </w:pPr>
    <w:rPr>
      <w:rFonts w:ascii="Times New Roman" w:eastAsia="Calibri" w:hAnsi="Times New Roman" w:cs="Arial"/>
      <w:sz w:val="20"/>
      <w:szCs w:val="24"/>
      <w:lang w:val="en-US"/>
    </w:rPr>
  </w:style>
  <w:style w:type="paragraph" w:customStyle="1" w:styleId="BodyTextSglJ">
    <w:name w:val="Body Text Sgl J"/>
    <w:basedOn w:val="Normal"/>
    <w:uiPriority w:val="99"/>
    <w:qFormat/>
    <w:rsid w:val="004C1C4F"/>
    <w:pPr>
      <w:spacing w:after="0" w:line="240" w:lineRule="auto"/>
      <w:ind w:firstLine="1440"/>
      <w:jc w:val="both"/>
    </w:pPr>
    <w:rPr>
      <w:rFonts w:ascii="Times New Roman" w:eastAsia="Calibri" w:hAnsi="Times New Roman" w:cs="Arial"/>
      <w:sz w:val="20"/>
      <w:szCs w:val="24"/>
      <w:lang w:val="en-US"/>
    </w:rPr>
  </w:style>
  <w:style w:type="paragraph" w:customStyle="1" w:styleId="CenteredB">
    <w:name w:val="Centered B"/>
    <w:basedOn w:val="Normal"/>
    <w:uiPriority w:val="99"/>
    <w:qFormat/>
    <w:rsid w:val="004C1C4F"/>
    <w:pPr>
      <w:spacing w:after="240" w:line="240" w:lineRule="auto"/>
      <w:jc w:val="center"/>
    </w:pPr>
    <w:rPr>
      <w:rFonts w:ascii="Times New Roman" w:eastAsia="Calibri" w:hAnsi="Times New Roman" w:cs="Arial"/>
      <w:b/>
      <w:sz w:val="20"/>
      <w:szCs w:val="24"/>
      <w:lang w:val="en-US"/>
    </w:rPr>
  </w:style>
  <w:style w:type="paragraph" w:customStyle="1" w:styleId="CenteredBU">
    <w:name w:val="Centered BU"/>
    <w:basedOn w:val="Normal"/>
    <w:uiPriority w:val="99"/>
    <w:qFormat/>
    <w:rsid w:val="004C1C4F"/>
    <w:pPr>
      <w:spacing w:after="240" w:line="240" w:lineRule="auto"/>
      <w:jc w:val="center"/>
    </w:pPr>
    <w:rPr>
      <w:rFonts w:ascii="Times New Roman" w:eastAsia="Calibri" w:hAnsi="Times New Roman" w:cs="Arial"/>
      <w:b/>
      <w:sz w:val="20"/>
      <w:szCs w:val="24"/>
      <w:u w:val="single"/>
      <w:lang w:val="en-US"/>
    </w:rPr>
  </w:style>
  <w:style w:type="paragraph" w:customStyle="1" w:styleId="CenteredText">
    <w:name w:val="Centered Text"/>
    <w:basedOn w:val="Normal"/>
    <w:uiPriority w:val="99"/>
    <w:qFormat/>
    <w:rsid w:val="004C1C4F"/>
    <w:pPr>
      <w:spacing w:after="240" w:line="240" w:lineRule="auto"/>
      <w:jc w:val="center"/>
    </w:pPr>
    <w:rPr>
      <w:rFonts w:ascii="Times New Roman" w:eastAsia="Calibri" w:hAnsi="Times New Roman" w:cs="Arial"/>
      <w:sz w:val="20"/>
      <w:szCs w:val="24"/>
      <w:lang w:val="en-US"/>
    </w:rPr>
  </w:style>
  <w:style w:type="paragraph" w:customStyle="1" w:styleId="CenteredU">
    <w:name w:val="Centered U"/>
    <w:basedOn w:val="Normal"/>
    <w:uiPriority w:val="99"/>
    <w:qFormat/>
    <w:rsid w:val="004C1C4F"/>
    <w:pPr>
      <w:spacing w:after="240" w:line="240" w:lineRule="auto"/>
      <w:jc w:val="center"/>
    </w:pPr>
    <w:rPr>
      <w:rFonts w:ascii="Times New Roman" w:eastAsia="Calibri" w:hAnsi="Times New Roman" w:cs="Arial"/>
      <w:sz w:val="20"/>
      <w:szCs w:val="24"/>
      <w:u w:val="single"/>
      <w:lang w:val="en-US"/>
    </w:rPr>
  </w:style>
  <w:style w:type="character" w:styleId="Hipervnculovisitado">
    <w:name w:val="FollowedHyperlink"/>
    <w:uiPriority w:val="99"/>
    <w:unhideWhenUsed/>
    <w:qFormat/>
    <w:rsid w:val="004C1C4F"/>
    <w:rPr>
      <w:color w:val="800080"/>
      <w:u w:val="single"/>
    </w:rPr>
  </w:style>
  <w:style w:type="paragraph" w:customStyle="1" w:styleId="FooterLandscape">
    <w:name w:val="Footer Landscape"/>
    <w:basedOn w:val="Normal"/>
    <w:uiPriority w:val="99"/>
    <w:qFormat/>
    <w:rsid w:val="004C1C4F"/>
    <w:pPr>
      <w:tabs>
        <w:tab w:val="center" w:pos="7200"/>
        <w:tab w:val="right" w:pos="14400"/>
      </w:tabs>
      <w:spacing w:after="0" w:line="240" w:lineRule="auto"/>
    </w:pPr>
    <w:rPr>
      <w:rFonts w:ascii="Arial" w:eastAsia="Calibri" w:hAnsi="Arial" w:cs="Arial"/>
      <w:sz w:val="20"/>
      <w:szCs w:val="24"/>
      <w:lang w:val="en-US"/>
    </w:rPr>
  </w:style>
  <w:style w:type="paragraph" w:customStyle="1" w:styleId="FootnoteTextMore">
    <w:name w:val="Footnote TextMore"/>
    <w:basedOn w:val="Normal"/>
    <w:uiPriority w:val="99"/>
    <w:qFormat/>
    <w:rsid w:val="004C1C4F"/>
    <w:pPr>
      <w:spacing w:after="240" w:line="240" w:lineRule="auto"/>
      <w:ind w:left="720" w:hanging="720"/>
    </w:pPr>
    <w:rPr>
      <w:rFonts w:ascii="Times New Roman" w:eastAsia="Calibri" w:hAnsi="Times New Roman" w:cs="Arial"/>
      <w:sz w:val="20"/>
      <w:szCs w:val="24"/>
      <w:lang w:val="en-US"/>
    </w:rPr>
  </w:style>
  <w:style w:type="paragraph" w:customStyle="1" w:styleId="STBBullet1">
    <w:name w:val="STB Bullet 1"/>
    <w:basedOn w:val="Normal"/>
    <w:uiPriority w:val="99"/>
    <w:qFormat/>
    <w:rsid w:val="004C1C4F"/>
    <w:pPr>
      <w:numPr>
        <w:numId w:val="15"/>
      </w:numPr>
      <w:tabs>
        <w:tab w:val="left" w:pos="720"/>
      </w:tabs>
      <w:spacing w:after="240" w:line="240" w:lineRule="auto"/>
      <w:ind w:left="0" w:firstLine="360"/>
    </w:pPr>
    <w:rPr>
      <w:rFonts w:ascii="Times New Roman" w:eastAsia="Calibri" w:hAnsi="Times New Roman" w:cs="Arial"/>
      <w:sz w:val="20"/>
      <w:szCs w:val="24"/>
      <w:lang w:val="en-US"/>
    </w:rPr>
  </w:style>
  <w:style w:type="paragraph" w:customStyle="1" w:styleId="STBBullet2">
    <w:name w:val="STB Bullet 2"/>
    <w:basedOn w:val="Normal"/>
    <w:uiPriority w:val="99"/>
    <w:qFormat/>
    <w:rsid w:val="004C1C4F"/>
    <w:pPr>
      <w:numPr>
        <w:numId w:val="16"/>
      </w:numPr>
      <w:tabs>
        <w:tab w:val="left" w:pos="1080"/>
      </w:tabs>
      <w:spacing w:after="0" w:line="240" w:lineRule="auto"/>
      <w:ind w:left="0" w:firstLine="720"/>
    </w:pPr>
    <w:rPr>
      <w:rFonts w:ascii="Times New Roman" w:eastAsia="Calibri" w:hAnsi="Times New Roman" w:cs="Arial"/>
      <w:sz w:val="20"/>
      <w:szCs w:val="24"/>
      <w:lang w:val="en-US"/>
    </w:rPr>
  </w:style>
  <w:style w:type="paragraph" w:customStyle="1" w:styleId="STBBullet1DBL">
    <w:name w:val="STB Bullet 1 DBL"/>
    <w:basedOn w:val="Normal"/>
    <w:uiPriority w:val="99"/>
    <w:qFormat/>
    <w:rsid w:val="004C1C4F"/>
    <w:pPr>
      <w:numPr>
        <w:numId w:val="17"/>
      </w:numPr>
      <w:tabs>
        <w:tab w:val="left" w:pos="720"/>
      </w:tabs>
      <w:spacing w:after="0" w:line="480" w:lineRule="auto"/>
      <w:ind w:left="0" w:firstLine="360"/>
    </w:pPr>
    <w:rPr>
      <w:rFonts w:ascii="Times New Roman" w:eastAsia="Calibri" w:hAnsi="Times New Roman" w:cs="Arial"/>
      <w:sz w:val="20"/>
      <w:szCs w:val="24"/>
      <w:lang w:val="en-US"/>
    </w:rPr>
  </w:style>
  <w:style w:type="paragraph" w:customStyle="1" w:styleId="STBBullet2DBL">
    <w:name w:val="STB Bullet 2 DBL"/>
    <w:basedOn w:val="Normal"/>
    <w:uiPriority w:val="99"/>
    <w:qFormat/>
    <w:rsid w:val="004C1C4F"/>
    <w:pPr>
      <w:numPr>
        <w:numId w:val="18"/>
      </w:numPr>
      <w:tabs>
        <w:tab w:val="left" w:pos="1080"/>
      </w:tabs>
      <w:spacing w:after="0" w:line="480" w:lineRule="auto"/>
      <w:ind w:left="0" w:firstLine="720"/>
    </w:pPr>
    <w:rPr>
      <w:rFonts w:ascii="Times New Roman" w:eastAsia="Calibri" w:hAnsi="Times New Roman" w:cs="Arial"/>
      <w:sz w:val="20"/>
      <w:szCs w:val="24"/>
      <w:lang w:val="en-US"/>
    </w:rPr>
  </w:style>
  <w:style w:type="paragraph" w:customStyle="1" w:styleId="STBBullet3">
    <w:name w:val="STB Bullet 3"/>
    <w:basedOn w:val="Normal"/>
    <w:uiPriority w:val="99"/>
    <w:qFormat/>
    <w:rsid w:val="004C1C4F"/>
    <w:pPr>
      <w:numPr>
        <w:numId w:val="19"/>
      </w:numPr>
      <w:tabs>
        <w:tab w:val="left" w:pos="1440"/>
      </w:tabs>
      <w:spacing w:after="240" w:line="240" w:lineRule="auto"/>
      <w:ind w:left="0" w:firstLine="1080"/>
    </w:pPr>
    <w:rPr>
      <w:rFonts w:ascii="Times New Roman" w:eastAsia="Calibri" w:hAnsi="Times New Roman" w:cs="Arial"/>
      <w:sz w:val="20"/>
      <w:szCs w:val="24"/>
      <w:lang w:val="en-US"/>
    </w:rPr>
  </w:style>
  <w:style w:type="paragraph" w:customStyle="1" w:styleId="STBBullet3DBL">
    <w:name w:val="STB Bullet 3 DBL"/>
    <w:basedOn w:val="Normal"/>
    <w:uiPriority w:val="99"/>
    <w:qFormat/>
    <w:rsid w:val="004C1C4F"/>
    <w:pPr>
      <w:numPr>
        <w:numId w:val="20"/>
      </w:numPr>
      <w:tabs>
        <w:tab w:val="left" w:pos="1440"/>
      </w:tabs>
      <w:spacing w:after="0" w:line="480" w:lineRule="auto"/>
      <w:ind w:left="0" w:firstLine="1080"/>
    </w:pPr>
    <w:rPr>
      <w:rFonts w:ascii="Times New Roman" w:eastAsia="Calibri" w:hAnsi="Times New Roman" w:cs="Arial"/>
      <w:sz w:val="20"/>
      <w:szCs w:val="24"/>
      <w:lang w:val="en-US"/>
    </w:rPr>
  </w:style>
  <w:style w:type="paragraph" w:customStyle="1" w:styleId="STBBullet4">
    <w:name w:val="STB Bullet 4"/>
    <w:basedOn w:val="Normal"/>
    <w:uiPriority w:val="99"/>
    <w:qFormat/>
    <w:rsid w:val="004C1C4F"/>
    <w:pPr>
      <w:numPr>
        <w:numId w:val="21"/>
      </w:numPr>
      <w:tabs>
        <w:tab w:val="left" w:pos="1800"/>
      </w:tabs>
      <w:spacing w:after="240" w:line="240" w:lineRule="auto"/>
      <w:ind w:left="0" w:firstLine="1440"/>
    </w:pPr>
    <w:rPr>
      <w:rFonts w:ascii="Times New Roman" w:eastAsia="Calibri" w:hAnsi="Times New Roman" w:cs="Arial"/>
      <w:sz w:val="20"/>
      <w:szCs w:val="24"/>
      <w:lang w:val="en-US"/>
    </w:rPr>
  </w:style>
  <w:style w:type="paragraph" w:customStyle="1" w:styleId="STBBullet4DBL">
    <w:name w:val="STB Bullet 4 DBL"/>
    <w:basedOn w:val="Normal"/>
    <w:uiPriority w:val="99"/>
    <w:qFormat/>
    <w:rsid w:val="004C1C4F"/>
    <w:pPr>
      <w:numPr>
        <w:numId w:val="22"/>
      </w:numPr>
      <w:tabs>
        <w:tab w:val="left" w:pos="1800"/>
      </w:tabs>
      <w:spacing w:after="0" w:line="480" w:lineRule="auto"/>
      <w:ind w:left="0" w:firstLine="1440"/>
    </w:pPr>
    <w:rPr>
      <w:rFonts w:ascii="Times New Roman" w:eastAsia="Calibri" w:hAnsi="Times New Roman" w:cs="Arial"/>
      <w:sz w:val="20"/>
      <w:szCs w:val="24"/>
      <w:lang w:val="en-US"/>
    </w:rPr>
  </w:style>
  <w:style w:type="paragraph" w:customStyle="1" w:styleId="STBListNumber1">
    <w:name w:val="STB List Number 1"/>
    <w:basedOn w:val="Normal"/>
    <w:uiPriority w:val="99"/>
    <w:qFormat/>
    <w:rsid w:val="004C1C4F"/>
    <w:pPr>
      <w:numPr>
        <w:numId w:val="23"/>
      </w:numPr>
      <w:spacing w:after="240" w:line="240" w:lineRule="auto"/>
      <w:ind w:left="0" w:firstLine="720"/>
    </w:pPr>
    <w:rPr>
      <w:rFonts w:ascii="Times New Roman" w:eastAsia="Calibri" w:hAnsi="Times New Roman" w:cs="Arial"/>
      <w:sz w:val="20"/>
      <w:szCs w:val="24"/>
      <w:lang w:val="en-US"/>
    </w:rPr>
  </w:style>
  <w:style w:type="paragraph" w:customStyle="1" w:styleId="STBListNumber1DBL">
    <w:name w:val="STB List Number 1 DBL"/>
    <w:basedOn w:val="Normal"/>
    <w:uiPriority w:val="99"/>
    <w:qFormat/>
    <w:rsid w:val="004C1C4F"/>
    <w:pPr>
      <w:numPr>
        <w:numId w:val="24"/>
      </w:numPr>
      <w:spacing w:after="0" w:line="480" w:lineRule="auto"/>
      <w:ind w:left="0" w:firstLine="720"/>
    </w:pPr>
    <w:rPr>
      <w:rFonts w:ascii="Times New Roman" w:eastAsia="Calibri" w:hAnsi="Times New Roman" w:cs="Arial"/>
      <w:sz w:val="20"/>
      <w:szCs w:val="24"/>
      <w:lang w:val="en-US"/>
    </w:rPr>
  </w:style>
  <w:style w:type="paragraph" w:customStyle="1" w:styleId="STBListNumber2">
    <w:name w:val="STB List Number 2"/>
    <w:basedOn w:val="Normal"/>
    <w:uiPriority w:val="99"/>
    <w:qFormat/>
    <w:rsid w:val="004C1C4F"/>
    <w:pPr>
      <w:numPr>
        <w:numId w:val="25"/>
      </w:numPr>
      <w:spacing w:after="240" w:line="240" w:lineRule="auto"/>
      <w:ind w:left="0" w:firstLine="1440"/>
    </w:pPr>
    <w:rPr>
      <w:rFonts w:ascii="Times New Roman" w:eastAsia="Calibri" w:hAnsi="Times New Roman" w:cs="Arial"/>
      <w:sz w:val="20"/>
      <w:szCs w:val="24"/>
      <w:lang w:val="en-US"/>
    </w:rPr>
  </w:style>
  <w:style w:type="paragraph" w:customStyle="1" w:styleId="STBListNumber2DBL">
    <w:name w:val="STB List Number 2 DBL"/>
    <w:basedOn w:val="Normal"/>
    <w:uiPriority w:val="99"/>
    <w:qFormat/>
    <w:rsid w:val="004C1C4F"/>
    <w:pPr>
      <w:numPr>
        <w:numId w:val="26"/>
      </w:numPr>
      <w:spacing w:after="0" w:line="480" w:lineRule="auto"/>
      <w:ind w:left="0" w:firstLine="1440"/>
    </w:pPr>
    <w:rPr>
      <w:rFonts w:ascii="Times New Roman" w:eastAsia="Calibri" w:hAnsi="Times New Roman" w:cs="Arial"/>
      <w:sz w:val="20"/>
      <w:szCs w:val="24"/>
      <w:lang w:val="en-US"/>
    </w:rPr>
  </w:style>
  <w:style w:type="paragraph" w:customStyle="1" w:styleId="STBListNumber3">
    <w:name w:val="STB List Number 3"/>
    <w:basedOn w:val="Normal"/>
    <w:uiPriority w:val="99"/>
    <w:qFormat/>
    <w:rsid w:val="004C1C4F"/>
    <w:pPr>
      <w:numPr>
        <w:numId w:val="27"/>
      </w:numPr>
      <w:spacing w:after="240" w:line="240" w:lineRule="auto"/>
      <w:ind w:left="0" w:firstLine="2160"/>
    </w:pPr>
    <w:rPr>
      <w:rFonts w:ascii="Times New Roman" w:eastAsia="Calibri" w:hAnsi="Times New Roman" w:cs="Arial"/>
      <w:sz w:val="20"/>
      <w:szCs w:val="24"/>
      <w:lang w:val="en-US"/>
    </w:rPr>
  </w:style>
  <w:style w:type="paragraph" w:customStyle="1" w:styleId="STBListNumber3DBL">
    <w:name w:val="STB List Number 3 DBL"/>
    <w:basedOn w:val="Normal"/>
    <w:uiPriority w:val="99"/>
    <w:qFormat/>
    <w:rsid w:val="004C1C4F"/>
    <w:pPr>
      <w:numPr>
        <w:numId w:val="28"/>
      </w:numPr>
      <w:spacing w:after="0" w:line="480" w:lineRule="auto"/>
      <w:ind w:left="0" w:firstLine="2160"/>
    </w:pPr>
    <w:rPr>
      <w:rFonts w:ascii="Times New Roman" w:eastAsia="Calibri" w:hAnsi="Times New Roman" w:cs="Arial"/>
      <w:sz w:val="20"/>
      <w:szCs w:val="24"/>
      <w:lang w:val="en-US"/>
    </w:rPr>
  </w:style>
  <w:style w:type="paragraph" w:customStyle="1" w:styleId="STBListNumber4">
    <w:name w:val="STB List Number 4"/>
    <w:basedOn w:val="Normal"/>
    <w:uiPriority w:val="99"/>
    <w:qFormat/>
    <w:rsid w:val="004C1C4F"/>
    <w:pPr>
      <w:numPr>
        <w:numId w:val="29"/>
      </w:numPr>
      <w:spacing w:after="240" w:line="240" w:lineRule="auto"/>
      <w:ind w:left="0" w:firstLine="2880"/>
    </w:pPr>
    <w:rPr>
      <w:rFonts w:ascii="Times New Roman" w:eastAsia="Calibri" w:hAnsi="Times New Roman" w:cs="Arial"/>
      <w:sz w:val="20"/>
      <w:szCs w:val="24"/>
      <w:lang w:val="en-US"/>
    </w:rPr>
  </w:style>
  <w:style w:type="paragraph" w:customStyle="1" w:styleId="STBListNumber4DBL">
    <w:name w:val="STB List Number 4 DBL"/>
    <w:basedOn w:val="Normal"/>
    <w:uiPriority w:val="99"/>
    <w:qFormat/>
    <w:rsid w:val="004C1C4F"/>
    <w:pPr>
      <w:numPr>
        <w:numId w:val="30"/>
      </w:numPr>
      <w:spacing w:after="0" w:line="480" w:lineRule="auto"/>
      <w:ind w:left="0" w:firstLine="2880"/>
    </w:pPr>
    <w:rPr>
      <w:rFonts w:ascii="Times New Roman" w:eastAsia="Calibri" w:hAnsi="Times New Roman" w:cs="Arial"/>
      <w:sz w:val="20"/>
      <w:szCs w:val="24"/>
      <w:lang w:val="en-US"/>
    </w:rPr>
  </w:style>
  <w:style w:type="paragraph" w:customStyle="1" w:styleId="TitleB">
    <w:name w:val="Title B"/>
    <w:aliases w:val="Title B1,tb"/>
    <w:basedOn w:val="Normal"/>
    <w:next w:val="Textoindependiente"/>
    <w:link w:val="TitleBChar"/>
    <w:qFormat/>
    <w:rsid w:val="004C1C4F"/>
    <w:pPr>
      <w:keepNext/>
      <w:spacing w:after="240" w:line="240" w:lineRule="auto"/>
      <w:outlineLvl w:val="0"/>
    </w:pPr>
    <w:rPr>
      <w:rFonts w:ascii="Times New Roman" w:eastAsia="Calibri" w:hAnsi="Times New Roman" w:cs="Times New Roman"/>
      <w:b/>
      <w:sz w:val="20"/>
      <w:szCs w:val="20"/>
      <w:lang w:val="x-none" w:eastAsia="x-none"/>
    </w:rPr>
  </w:style>
  <w:style w:type="paragraph" w:customStyle="1" w:styleId="TitleBC">
    <w:name w:val="Title BC"/>
    <w:basedOn w:val="Normal"/>
    <w:link w:val="TitleBCChar"/>
    <w:qFormat/>
    <w:rsid w:val="004C1C4F"/>
    <w:pPr>
      <w:keepNext/>
      <w:spacing w:after="240" w:line="240" w:lineRule="auto"/>
      <w:jc w:val="center"/>
      <w:outlineLvl w:val="0"/>
    </w:pPr>
    <w:rPr>
      <w:rFonts w:ascii="Times New Roman Bold" w:eastAsia="Calibri" w:hAnsi="Times New Roman Bold" w:cs="Times New Roman"/>
      <w:b/>
      <w:caps/>
      <w:sz w:val="20"/>
      <w:szCs w:val="20"/>
      <w:lang w:val="x-none" w:eastAsia="x-none"/>
    </w:rPr>
  </w:style>
  <w:style w:type="paragraph" w:customStyle="1" w:styleId="TitleBU">
    <w:name w:val="Title BU"/>
    <w:basedOn w:val="Normal"/>
    <w:next w:val="Textoindependiente"/>
    <w:uiPriority w:val="99"/>
    <w:qFormat/>
    <w:rsid w:val="004C1C4F"/>
    <w:pPr>
      <w:spacing w:after="240" w:line="240" w:lineRule="auto"/>
      <w:outlineLvl w:val="0"/>
    </w:pPr>
    <w:rPr>
      <w:rFonts w:ascii="Times New Roman" w:eastAsia="Calibri" w:hAnsi="Times New Roman" w:cs="Arial"/>
      <w:b/>
      <w:sz w:val="20"/>
      <w:szCs w:val="24"/>
      <w:u w:val="single"/>
      <w:lang w:val="en-US"/>
    </w:rPr>
  </w:style>
  <w:style w:type="paragraph" w:customStyle="1" w:styleId="TitleBUC">
    <w:name w:val="Title BUC"/>
    <w:basedOn w:val="Normal"/>
    <w:next w:val="Textoindependiente"/>
    <w:uiPriority w:val="99"/>
    <w:qFormat/>
    <w:rsid w:val="004C1C4F"/>
    <w:pPr>
      <w:spacing w:after="240" w:line="240" w:lineRule="auto"/>
      <w:jc w:val="center"/>
      <w:outlineLvl w:val="0"/>
    </w:pPr>
    <w:rPr>
      <w:rFonts w:ascii="Times New Roman" w:eastAsia="Calibri" w:hAnsi="Times New Roman" w:cs="Arial"/>
      <w:b/>
      <w:sz w:val="20"/>
      <w:szCs w:val="24"/>
      <w:u w:val="single"/>
      <w:lang w:val="en-US"/>
    </w:rPr>
  </w:style>
  <w:style w:type="paragraph" w:customStyle="1" w:styleId="TitleC">
    <w:name w:val="Title C"/>
    <w:basedOn w:val="Normal"/>
    <w:next w:val="Normal"/>
    <w:uiPriority w:val="99"/>
    <w:qFormat/>
    <w:rsid w:val="004C1C4F"/>
    <w:pPr>
      <w:spacing w:after="240" w:line="240" w:lineRule="auto"/>
      <w:jc w:val="center"/>
      <w:outlineLvl w:val="0"/>
    </w:pPr>
    <w:rPr>
      <w:rFonts w:ascii="Times New Roman" w:eastAsia="Calibri" w:hAnsi="Times New Roman" w:cs="Arial"/>
      <w:sz w:val="20"/>
      <w:szCs w:val="24"/>
      <w:lang w:val="en-US"/>
    </w:rPr>
  </w:style>
  <w:style w:type="paragraph" w:customStyle="1" w:styleId="TitleL">
    <w:name w:val="Title L"/>
    <w:basedOn w:val="Ttulo10"/>
    <w:uiPriority w:val="99"/>
    <w:qFormat/>
    <w:rsid w:val="004C1C4F"/>
    <w:pPr>
      <w:jc w:val="left"/>
    </w:pPr>
  </w:style>
  <w:style w:type="paragraph" w:customStyle="1" w:styleId="TitleUC">
    <w:name w:val="Title UC"/>
    <w:basedOn w:val="Normal"/>
    <w:next w:val="Normal"/>
    <w:uiPriority w:val="99"/>
    <w:qFormat/>
    <w:rsid w:val="004C1C4F"/>
    <w:pPr>
      <w:spacing w:after="240" w:line="240" w:lineRule="auto"/>
      <w:jc w:val="center"/>
      <w:outlineLvl w:val="0"/>
    </w:pPr>
    <w:rPr>
      <w:rFonts w:ascii="Times New Roman" w:eastAsia="Calibri" w:hAnsi="Times New Roman" w:cs="Arial"/>
      <w:sz w:val="20"/>
      <w:szCs w:val="24"/>
      <w:u w:val="single"/>
      <w:lang w:val="en-US"/>
    </w:rPr>
  </w:style>
  <w:style w:type="paragraph" w:customStyle="1" w:styleId="BlockTextSglJIndent">
    <w:name w:val="Block Text Sgl J Indent"/>
    <w:basedOn w:val="Normal"/>
    <w:uiPriority w:val="99"/>
    <w:qFormat/>
    <w:rsid w:val="004C1C4F"/>
    <w:pPr>
      <w:spacing w:after="240" w:line="240" w:lineRule="auto"/>
      <w:ind w:left="720"/>
      <w:jc w:val="both"/>
    </w:pPr>
    <w:rPr>
      <w:rFonts w:ascii="Times New Roman" w:eastAsia="Calibri" w:hAnsi="Times New Roman" w:cs="Arial"/>
      <w:sz w:val="20"/>
      <w:szCs w:val="24"/>
      <w:lang w:val="en-US"/>
    </w:rPr>
  </w:style>
  <w:style w:type="paragraph" w:customStyle="1" w:styleId="BlockTextSglJIndent2">
    <w:name w:val="Block Text Sgl J Indent 2"/>
    <w:basedOn w:val="Normal"/>
    <w:uiPriority w:val="99"/>
    <w:qFormat/>
    <w:rsid w:val="004C1C4F"/>
    <w:pPr>
      <w:spacing w:after="240" w:line="240" w:lineRule="auto"/>
      <w:ind w:left="1440"/>
      <w:jc w:val="both"/>
    </w:pPr>
    <w:rPr>
      <w:rFonts w:ascii="Times New Roman" w:eastAsia="Calibri" w:hAnsi="Times New Roman" w:cs="Arial"/>
      <w:sz w:val="20"/>
      <w:szCs w:val="24"/>
      <w:lang w:val="en-US"/>
    </w:rPr>
  </w:style>
  <w:style w:type="paragraph" w:customStyle="1" w:styleId="BlockTextSglJIndent3">
    <w:name w:val="Block Text Sgl J Indent 3"/>
    <w:basedOn w:val="Normal"/>
    <w:uiPriority w:val="99"/>
    <w:qFormat/>
    <w:rsid w:val="004C1C4F"/>
    <w:pPr>
      <w:spacing w:after="240" w:line="240" w:lineRule="auto"/>
      <w:ind w:left="2160"/>
      <w:jc w:val="both"/>
    </w:pPr>
    <w:rPr>
      <w:rFonts w:ascii="Times New Roman" w:eastAsia="Calibri" w:hAnsi="Times New Roman" w:cs="Arial"/>
      <w:sz w:val="20"/>
      <w:szCs w:val="24"/>
      <w:lang w:val="en-US"/>
    </w:rPr>
  </w:style>
  <w:style w:type="paragraph" w:customStyle="1" w:styleId="BlockTextSglJIndent4">
    <w:name w:val="Block Text Sgl J Indent 4"/>
    <w:basedOn w:val="Normal"/>
    <w:uiPriority w:val="99"/>
    <w:qFormat/>
    <w:rsid w:val="004C1C4F"/>
    <w:pPr>
      <w:spacing w:after="240" w:line="240" w:lineRule="auto"/>
      <w:ind w:left="2880"/>
      <w:jc w:val="both"/>
    </w:pPr>
    <w:rPr>
      <w:rFonts w:ascii="Times New Roman" w:eastAsia="Calibri" w:hAnsi="Times New Roman" w:cs="Arial"/>
      <w:sz w:val="20"/>
      <w:szCs w:val="24"/>
      <w:lang w:val="en-US"/>
    </w:rPr>
  </w:style>
  <w:style w:type="character" w:customStyle="1" w:styleId="Ttulodellibro2">
    <w:name w:val="Título del libro2"/>
    <w:uiPriority w:val="33"/>
    <w:qFormat/>
    <w:rsid w:val="004C1C4F"/>
    <w:rPr>
      <w:b/>
      <w:bCs/>
      <w:smallCaps/>
      <w:spacing w:val="5"/>
    </w:rPr>
  </w:style>
  <w:style w:type="character" w:styleId="Refdecomentario">
    <w:name w:val="annotation reference"/>
    <w:uiPriority w:val="99"/>
    <w:unhideWhenUsed/>
    <w:rsid w:val="004C1C4F"/>
    <w:rPr>
      <w:sz w:val="16"/>
      <w:szCs w:val="16"/>
    </w:rPr>
  </w:style>
  <w:style w:type="character" w:styleId="nfasis">
    <w:name w:val="Emphasis"/>
    <w:qFormat/>
    <w:rsid w:val="004C1C4F"/>
    <w:rPr>
      <w:i/>
      <w:iCs/>
    </w:rPr>
  </w:style>
  <w:style w:type="character" w:styleId="Refdenotaalfinal">
    <w:name w:val="endnote reference"/>
    <w:uiPriority w:val="99"/>
    <w:unhideWhenUsed/>
    <w:rsid w:val="004C1C4F"/>
    <w:rPr>
      <w:vertAlign w:val="superscript"/>
    </w:rPr>
  </w:style>
  <w:style w:type="character" w:styleId="AcrnimoHTML">
    <w:name w:val="HTML Acronym"/>
    <w:basedOn w:val="Fuentedeprrafopredeter"/>
    <w:uiPriority w:val="99"/>
    <w:unhideWhenUsed/>
    <w:rsid w:val="004C1C4F"/>
  </w:style>
  <w:style w:type="character" w:styleId="CitaHTML">
    <w:name w:val="HTML Cite"/>
    <w:uiPriority w:val="99"/>
    <w:unhideWhenUsed/>
    <w:rsid w:val="004C1C4F"/>
    <w:rPr>
      <w:i/>
      <w:iCs/>
    </w:rPr>
  </w:style>
  <w:style w:type="character" w:styleId="CdigoHTML">
    <w:name w:val="HTML Code"/>
    <w:uiPriority w:val="99"/>
    <w:unhideWhenUsed/>
    <w:rsid w:val="004C1C4F"/>
    <w:rPr>
      <w:rFonts w:ascii="Consolas" w:hAnsi="Consolas" w:cs="Consolas"/>
      <w:sz w:val="20"/>
      <w:szCs w:val="20"/>
    </w:rPr>
  </w:style>
  <w:style w:type="character" w:styleId="DefinicinHTML">
    <w:name w:val="HTML Definition"/>
    <w:uiPriority w:val="99"/>
    <w:unhideWhenUsed/>
    <w:rsid w:val="004C1C4F"/>
    <w:rPr>
      <w:i/>
      <w:iCs/>
    </w:rPr>
  </w:style>
  <w:style w:type="character" w:styleId="TecladoHTML">
    <w:name w:val="HTML Keyboard"/>
    <w:uiPriority w:val="99"/>
    <w:unhideWhenUsed/>
    <w:rsid w:val="004C1C4F"/>
    <w:rPr>
      <w:rFonts w:ascii="Consolas" w:hAnsi="Consolas" w:cs="Consolas"/>
      <w:sz w:val="20"/>
      <w:szCs w:val="20"/>
    </w:rPr>
  </w:style>
  <w:style w:type="character" w:styleId="EjemplodeHTML">
    <w:name w:val="HTML Sample"/>
    <w:uiPriority w:val="99"/>
    <w:unhideWhenUsed/>
    <w:rsid w:val="004C1C4F"/>
    <w:rPr>
      <w:rFonts w:ascii="Consolas" w:hAnsi="Consolas" w:cs="Consolas"/>
      <w:sz w:val="24"/>
      <w:szCs w:val="24"/>
    </w:rPr>
  </w:style>
  <w:style w:type="character" w:styleId="MquinadeescribirHTML">
    <w:name w:val="HTML Typewriter"/>
    <w:uiPriority w:val="99"/>
    <w:unhideWhenUsed/>
    <w:rsid w:val="004C1C4F"/>
    <w:rPr>
      <w:rFonts w:ascii="Consolas" w:hAnsi="Consolas" w:cs="Consolas"/>
      <w:sz w:val="20"/>
      <w:szCs w:val="20"/>
    </w:rPr>
  </w:style>
  <w:style w:type="character" w:styleId="VariableHTML">
    <w:name w:val="HTML Variable"/>
    <w:uiPriority w:val="99"/>
    <w:unhideWhenUsed/>
    <w:rsid w:val="004C1C4F"/>
    <w:rPr>
      <w:i/>
      <w:iCs/>
    </w:rPr>
  </w:style>
  <w:style w:type="character" w:customStyle="1" w:styleId="nfasisintenso2">
    <w:name w:val="Énfasis intenso2"/>
    <w:uiPriority w:val="21"/>
    <w:qFormat/>
    <w:rsid w:val="004C1C4F"/>
    <w:rPr>
      <w:b/>
      <w:bCs/>
      <w:i/>
      <w:iCs/>
      <w:color w:val="4F81BD"/>
    </w:rPr>
  </w:style>
  <w:style w:type="character" w:customStyle="1" w:styleId="Referenciaintensa2">
    <w:name w:val="Referencia intensa2"/>
    <w:uiPriority w:val="32"/>
    <w:qFormat/>
    <w:rsid w:val="004C1C4F"/>
    <w:rPr>
      <w:b/>
      <w:bCs/>
      <w:smallCaps/>
      <w:color w:val="C0504D"/>
      <w:spacing w:val="5"/>
      <w:u w:val="single"/>
    </w:rPr>
  </w:style>
  <w:style w:type="character" w:styleId="Nmerodelnea">
    <w:name w:val="line number"/>
    <w:basedOn w:val="Fuentedeprrafopredeter"/>
    <w:uiPriority w:val="99"/>
    <w:unhideWhenUsed/>
    <w:rsid w:val="004C1C4F"/>
  </w:style>
  <w:style w:type="character" w:customStyle="1" w:styleId="Cuadrculamedia11">
    <w:name w:val="Cuadrícula media 11"/>
    <w:uiPriority w:val="99"/>
    <w:rsid w:val="004C1C4F"/>
    <w:rPr>
      <w:color w:val="808080"/>
    </w:rPr>
  </w:style>
  <w:style w:type="character" w:styleId="Textoennegrita">
    <w:name w:val="Strong"/>
    <w:qFormat/>
    <w:rsid w:val="004C1C4F"/>
    <w:rPr>
      <w:b/>
      <w:bCs/>
    </w:rPr>
  </w:style>
  <w:style w:type="character" w:customStyle="1" w:styleId="nfasissutil2">
    <w:name w:val="Énfasis sutil2"/>
    <w:uiPriority w:val="19"/>
    <w:qFormat/>
    <w:rsid w:val="004C1C4F"/>
    <w:rPr>
      <w:i/>
      <w:iCs/>
      <w:color w:val="808080"/>
    </w:rPr>
  </w:style>
  <w:style w:type="character" w:customStyle="1" w:styleId="Referenciasutil2">
    <w:name w:val="Referencia sutil2"/>
    <w:uiPriority w:val="31"/>
    <w:qFormat/>
    <w:rsid w:val="004C1C4F"/>
    <w:rPr>
      <w:smallCaps/>
      <w:color w:val="C0504D"/>
      <w:u w:val="single"/>
    </w:rPr>
  </w:style>
  <w:style w:type="paragraph" w:customStyle="1" w:styleId="cover8ptredSgl">
    <w:name w:val="cover 8pt red Sgl"/>
    <w:basedOn w:val="BlockTextSgl"/>
    <w:uiPriority w:val="99"/>
    <w:qFormat/>
    <w:rsid w:val="004C1C4F"/>
    <w:rPr>
      <w:color w:val="FF0000"/>
      <w:sz w:val="16"/>
    </w:rPr>
  </w:style>
  <w:style w:type="paragraph" w:customStyle="1" w:styleId="coverblocktext9ptsgl">
    <w:name w:val="cover block text 9pt sgl"/>
    <w:basedOn w:val="BlockTextSgl"/>
    <w:uiPriority w:val="99"/>
    <w:qFormat/>
    <w:rsid w:val="004C1C4F"/>
    <w:pPr>
      <w:tabs>
        <w:tab w:val="right" w:pos="9000"/>
      </w:tabs>
    </w:pPr>
    <w:rPr>
      <w:b/>
      <w:sz w:val="18"/>
      <w:u w:val="single"/>
    </w:rPr>
  </w:style>
  <w:style w:type="paragraph" w:customStyle="1" w:styleId="CenteredB12pt">
    <w:name w:val="Centered B 12pt"/>
    <w:basedOn w:val="CenteredB"/>
    <w:uiPriority w:val="99"/>
    <w:qFormat/>
    <w:rsid w:val="004C1C4F"/>
    <w:pPr>
      <w:spacing w:before="240" w:after="0"/>
    </w:pPr>
    <w:rPr>
      <w:sz w:val="24"/>
    </w:rPr>
  </w:style>
  <w:style w:type="paragraph" w:customStyle="1" w:styleId="CenteredTextline">
    <w:name w:val="Centered Text line"/>
    <w:basedOn w:val="CenteredText"/>
    <w:uiPriority w:val="99"/>
    <w:qFormat/>
    <w:rsid w:val="004C1C4F"/>
    <w:pPr>
      <w:tabs>
        <w:tab w:val="center" w:pos="5220"/>
      </w:tabs>
      <w:ind w:left="3600" w:right="3629"/>
    </w:pPr>
    <w:rPr>
      <w:u w:val="single"/>
    </w:rPr>
  </w:style>
  <w:style w:type="paragraph" w:customStyle="1" w:styleId="centerBodySgl8pt">
    <w:name w:val="center Body Sgl 8pt"/>
    <w:basedOn w:val="BodyText2Sgl"/>
    <w:uiPriority w:val="99"/>
    <w:qFormat/>
    <w:rsid w:val="004C1C4F"/>
    <w:pPr>
      <w:spacing w:after="200"/>
    </w:pPr>
    <w:rPr>
      <w:sz w:val="16"/>
    </w:rPr>
  </w:style>
  <w:style w:type="paragraph" w:customStyle="1" w:styleId="cover8ptctr">
    <w:name w:val="cover 8pt ctr"/>
    <w:basedOn w:val="BodyText2Sgl"/>
    <w:uiPriority w:val="99"/>
    <w:qFormat/>
    <w:rsid w:val="004C1C4F"/>
    <w:pPr>
      <w:spacing w:before="120" w:after="0"/>
      <w:ind w:firstLine="0"/>
      <w:jc w:val="center"/>
    </w:pPr>
    <w:rPr>
      <w:sz w:val="16"/>
    </w:rPr>
  </w:style>
  <w:style w:type="paragraph" w:customStyle="1" w:styleId="cover8ptctrital">
    <w:name w:val="cover 8pt ctr ital"/>
    <w:basedOn w:val="cover8ptctr"/>
    <w:uiPriority w:val="99"/>
    <w:qFormat/>
    <w:rsid w:val="004C1C4F"/>
    <w:pPr>
      <w:spacing w:after="80"/>
    </w:pPr>
    <w:rPr>
      <w:i/>
    </w:rPr>
  </w:style>
  <w:style w:type="paragraph" w:customStyle="1" w:styleId="coverctr14ptbold">
    <w:name w:val="cover ctr 14pt bold"/>
    <w:basedOn w:val="BodyText2Sgl"/>
    <w:uiPriority w:val="99"/>
    <w:qFormat/>
    <w:rsid w:val="004C1C4F"/>
    <w:pPr>
      <w:tabs>
        <w:tab w:val="center" w:pos="7200"/>
      </w:tabs>
      <w:ind w:left="1080" w:firstLine="0"/>
    </w:pPr>
    <w:rPr>
      <w:b/>
      <w:sz w:val="28"/>
    </w:rPr>
  </w:style>
  <w:style w:type="paragraph" w:customStyle="1" w:styleId="cover8ptctrB">
    <w:name w:val="cover 8pt ctr B"/>
    <w:basedOn w:val="cover8ptctr"/>
    <w:uiPriority w:val="99"/>
    <w:qFormat/>
    <w:rsid w:val="004C1C4F"/>
    <w:rPr>
      <w:b/>
    </w:rPr>
  </w:style>
  <w:style w:type="paragraph" w:customStyle="1" w:styleId="CenteredB14pt">
    <w:name w:val="Centered B 14pt"/>
    <w:basedOn w:val="CenteredB12pt"/>
    <w:uiPriority w:val="99"/>
    <w:qFormat/>
    <w:rsid w:val="004C1C4F"/>
    <w:rPr>
      <w:sz w:val="28"/>
    </w:rPr>
  </w:style>
  <w:style w:type="paragraph" w:customStyle="1" w:styleId="coverlefttext9ptsgl">
    <w:name w:val="cover left text 9pt sgl"/>
    <w:basedOn w:val="coverblocktext9ptsgl"/>
    <w:uiPriority w:val="99"/>
    <w:qFormat/>
    <w:rsid w:val="004C1C4F"/>
    <w:pPr>
      <w:spacing w:before="240"/>
    </w:pPr>
    <w:rPr>
      <w:b w:val="0"/>
      <w:u w:val="none"/>
    </w:rPr>
  </w:style>
  <w:style w:type="paragraph" w:customStyle="1" w:styleId="rightalign">
    <w:name w:val="right align"/>
    <w:basedOn w:val="BodyText2Sgl"/>
    <w:uiPriority w:val="99"/>
    <w:qFormat/>
    <w:rsid w:val="004C1C4F"/>
    <w:pPr>
      <w:jc w:val="right"/>
    </w:pPr>
    <w:rPr>
      <w:b/>
      <w:u w:val="single"/>
    </w:rPr>
  </w:style>
  <w:style w:type="paragraph" w:customStyle="1" w:styleId="TitleLIB">
    <w:name w:val="Title LIB"/>
    <w:basedOn w:val="TitleL"/>
    <w:uiPriority w:val="99"/>
    <w:qFormat/>
    <w:rsid w:val="004C1C4F"/>
    <w:pPr>
      <w:keepNext/>
    </w:pPr>
    <w:rPr>
      <w:i/>
    </w:rPr>
  </w:style>
  <w:style w:type="paragraph" w:customStyle="1" w:styleId="tabletext">
    <w:name w:val="table text"/>
    <w:aliases w:val="!Signature,Single Para,Single Spacing,Small,TX,Table,Table Table Text,Table Text,Table text,heading,s,single spacing,sm,sp,ss,table,tablet text,tble,tbt,text,tx,txt,txt sm"/>
    <w:basedOn w:val="Normal"/>
    <w:uiPriority w:val="99"/>
    <w:qFormat/>
    <w:rsid w:val="004C1C4F"/>
    <w:pPr>
      <w:spacing w:after="240" w:line="240" w:lineRule="auto"/>
    </w:pPr>
    <w:rPr>
      <w:rFonts w:ascii="Times New Roman" w:eastAsia="Calibri" w:hAnsi="Times New Roman" w:cs="Arial"/>
      <w:sz w:val="20"/>
      <w:szCs w:val="24"/>
      <w:lang w:val="en-US"/>
    </w:rPr>
  </w:style>
  <w:style w:type="paragraph" w:customStyle="1" w:styleId="table8pt">
    <w:name w:val="table 8pt"/>
    <w:basedOn w:val="Normal"/>
    <w:uiPriority w:val="99"/>
    <w:qFormat/>
    <w:rsid w:val="004C1C4F"/>
    <w:pPr>
      <w:spacing w:after="0" w:line="240" w:lineRule="auto"/>
      <w:ind w:left="144" w:right="144" w:hanging="144"/>
    </w:pPr>
    <w:rPr>
      <w:rFonts w:ascii="Times New Roman" w:eastAsia="SimSun" w:hAnsi="Times New Roman" w:cs="Times New Roman"/>
      <w:sz w:val="16"/>
      <w:szCs w:val="24"/>
      <w:lang w:val="en-GB" w:eastAsia="zh-CN" w:bidi="he-IL"/>
    </w:rPr>
  </w:style>
  <w:style w:type="paragraph" w:customStyle="1" w:styleId="TableNotesLine">
    <w:name w:val="Table Notes Line"/>
    <w:basedOn w:val="Normal"/>
    <w:uiPriority w:val="99"/>
    <w:qFormat/>
    <w:rsid w:val="004C1C4F"/>
    <w:pPr>
      <w:pBdr>
        <w:bottom w:val="single" w:sz="4" w:space="1" w:color="auto"/>
      </w:pBdr>
      <w:spacing w:after="0" w:line="240" w:lineRule="auto"/>
      <w:ind w:right="7587"/>
    </w:pPr>
    <w:rPr>
      <w:rFonts w:ascii="Times New Roman" w:eastAsia="Calibri" w:hAnsi="Times New Roman" w:cs="Arial"/>
      <w:sz w:val="16"/>
      <w:szCs w:val="16"/>
      <w:lang w:val="en-US"/>
    </w:rPr>
  </w:style>
  <w:style w:type="paragraph" w:customStyle="1" w:styleId="TableNotes0">
    <w:name w:val="Table Notes"/>
    <w:basedOn w:val="Normal"/>
    <w:uiPriority w:val="99"/>
    <w:qFormat/>
    <w:rsid w:val="004C1C4F"/>
    <w:pPr>
      <w:tabs>
        <w:tab w:val="left" w:pos="360"/>
      </w:tabs>
      <w:spacing w:after="240" w:line="240" w:lineRule="auto"/>
      <w:ind w:left="360" w:hanging="360"/>
      <w:contextualSpacing/>
    </w:pPr>
    <w:rPr>
      <w:rFonts w:ascii="Times New Roman" w:eastAsia="Calibri" w:hAnsi="Times New Roman" w:cs="Arial"/>
      <w:sz w:val="16"/>
      <w:szCs w:val="17"/>
      <w:lang w:val="en-US"/>
    </w:rPr>
  </w:style>
  <w:style w:type="paragraph" w:customStyle="1" w:styleId="table8pts">
    <w:name w:val="table 8pts"/>
    <w:basedOn w:val="BodyText2Sgl"/>
    <w:uiPriority w:val="99"/>
    <w:qFormat/>
    <w:rsid w:val="004C1C4F"/>
    <w:pPr>
      <w:spacing w:after="0"/>
      <w:ind w:firstLine="0"/>
    </w:pPr>
    <w:rPr>
      <w:sz w:val="16"/>
      <w:szCs w:val="16"/>
    </w:rPr>
  </w:style>
  <w:style w:type="paragraph" w:customStyle="1" w:styleId="table10pts">
    <w:name w:val="table 10pts"/>
    <w:basedOn w:val="Normal"/>
    <w:uiPriority w:val="99"/>
    <w:qFormat/>
    <w:rsid w:val="004C1C4F"/>
    <w:pPr>
      <w:spacing w:after="0" w:line="240" w:lineRule="auto"/>
    </w:pPr>
    <w:rPr>
      <w:rFonts w:ascii="Times New Roman" w:eastAsia="Calibri" w:hAnsi="Times New Roman" w:cs="Arial"/>
      <w:sz w:val="20"/>
      <w:szCs w:val="24"/>
      <w:lang w:val="en-US"/>
    </w:rPr>
  </w:style>
  <w:style w:type="paragraph" w:customStyle="1" w:styleId="table9pts">
    <w:name w:val="table 9pts"/>
    <w:basedOn w:val="Normal"/>
    <w:uiPriority w:val="99"/>
    <w:qFormat/>
    <w:rsid w:val="004C1C4F"/>
    <w:pPr>
      <w:spacing w:after="0" w:line="240" w:lineRule="auto"/>
    </w:pPr>
    <w:rPr>
      <w:rFonts w:ascii="Times New Roman" w:eastAsia="Calibri" w:hAnsi="Times New Roman" w:cs="Arial"/>
      <w:sz w:val="18"/>
      <w:szCs w:val="24"/>
      <w:lang w:val="en-US"/>
    </w:rPr>
  </w:style>
  <w:style w:type="paragraph" w:customStyle="1" w:styleId="TitleI">
    <w:name w:val="Title I"/>
    <w:basedOn w:val="table10pts"/>
    <w:uiPriority w:val="99"/>
    <w:qFormat/>
    <w:rsid w:val="004C1C4F"/>
    <w:pPr>
      <w:keepNext/>
      <w:spacing w:after="240"/>
    </w:pPr>
    <w:rPr>
      <w:i/>
    </w:rPr>
  </w:style>
  <w:style w:type="paragraph" w:customStyle="1" w:styleId="TitleI5">
    <w:name w:val="Title I .5"/>
    <w:basedOn w:val="TitleI"/>
    <w:uiPriority w:val="99"/>
    <w:qFormat/>
    <w:rsid w:val="004C1C4F"/>
    <w:pPr>
      <w:ind w:left="720"/>
    </w:pPr>
  </w:style>
  <w:style w:type="paragraph" w:customStyle="1" w:styleId="BodyText2Sgl1indent">
    <w:name w:val="Body Text 2 Sgl 1&quot; indent"/>
    <w:basedOn w:val="BodyText2Sgl"/>
    <w:uiPriority w:val="99"/>
    <w:qFormat/>
    <w:rsid w:val="004C1C4F"/>
    <w:pPr>
      <w:ind w:firstLine="1440"/>
    </w:pPr>
  </w:style>
  <w:style w:type="paragraph" w:customStyle="1" w:styleId="IndexmanualTOC">
    <w:name w:val="Index manual TOC"/>
    <w:basedOn w:val="Normal"/>
    <w:uiPriority w:val="99"/>
    <w:qFormat/>
    <w:rsid w:val="004C1C4F"/>
    <w:pPr>
      <w:tabs>
        <w:tab w:val="right" w:leader="dot" w:pos="9000"/>
      </w:tabs>
      <w:spacing w:after="0" w:line="240" w:lineRule="auto"/>
    </w:pPr>
    <w:rPr>
      <w:rFonts w:ascii="Times New Roman" w:eastAsia="Calibri" w:hAnsi="Times New Roman" w:cs="Arial"/>
      <w:sz w:val="20"/>
      <w:szCs w:val="24"/>
      <w:lang w:val="en-US"/>
    </w:rPr>
  </w:style>
  <w:style w:type="character" w:customStyle="1" w:styleId="Table8pt0">
    <w:name w:val="Table 8pt"/>
    <w:uiPriority w:val="1"/>
    <w:qFormat/>
    <w:rsid w:val="004C1C4F"/>
    <w:rPr>
      <w:sz w:val="16"/>
    </w:rPr>
  </w:style>
  <w:style w:type="character" w:customStyle="1" w:styleId="Table7pt">
    <w:name w:val="Table 7pt"/>
    <w:uiPriority w:val="1"/>
    <w:rsid w:val="004C1C4F"/>
    <w:rPr>
      <w:sz w:val="14"/>
    </w:rPr>
  </w:style>
  <w:style w:type="paragraph" w:customStyle="1" w:styleId="Tablenotesline0">
    <w:name w:val="Table notes line"/>
    <w:basedOn w:val="Normal"/>
    <w:uiPriority w:val="99"/>
    <w:qFormat/>
    <w:rsid w:val="004C1C4F"/>
    <w:pPr>
      <w:pBdr>
        <w:bottom w:val="single" w:sz="4" w:space="1" w:color="auto"/>
      </w:pBdr>
      <w:spacing w:after="0" w:line="240" w:lineRule="auto"/>
      <w:ind w:right="7920"/>
    </w:pPr>
    <w:rPr>
      <w:rFonts w:ascii="Times New Roman" w:eastAsia="Calibri" w:hAnsi="Times New Roman" w:cs="Arial"/>
      <w:sz w:val="16"/>
      <w:szCs w:val="24"/>
      <w:lang w:val="en-US"/>
    </w:rPr>
  </w:style>
  <w:style w:type="character" w:customStyle="1" w:styleId="Table10pt">
    <w:name w:val="Table 10pt"/>
    <w:uiPriority w:val="1"/>
    <w:qFormat/>
    <w:rsid w:val="004C1C4F"/>
    <w:rPr>
      <w:sz w:val="20"/>
    </w:rPr>
  </w:style>
  <w:style w:type="paragraph" w:customStyle="1" w:styleId="TableNoteLine">
    <w:name w:val="Table Note Line"/>
    <w:basedOn w:val="Normal"/>
    <w:uiPriority w:val="99"/>
    <w:rsid w:val="004C1C4F"/>
    <w:pPr>
      <w:keepNext/>
      <w:pBdr>
        <w:bottom w:val="single" w:sz="4" w:space="1" w:color="auto"/>
      </w:pBdr>
      <w:spacing w:after="60" w:line="240" w:lineRule="auto"/>
      <w:ind w:right="7920"/>
    </w:pPr>
    <w:rPr>
      <w:rFonts w:ascii="Times New Roman" w:eastAsia="Times New Roman" w:hAnsi="Times New Roman" w:cs="Times New Roman"/>
      <w:sz w:val="20"/>
      <w:szCs w:val="16"/>
      <w:lang w:val="en-US"/>
    </w:rPr>
  </w:style>
  <w:style w:type="paragraph" w:customStyle="1" w:styleId="Table9p">
    <w:name w:val="Table 9p"/>
    <w:basedOn w:val="BodyText2Sgl"/>
    <w:uiPriority w:val="99"/>
    <w:qFormat/>
    <w:rsid w:val="004C1C4F"/>
    <w:pPr>
      <w:spacing w:after="0"/>
      <w:ind w:firstLine="0"/>
    </w:pPr>
    <w:rPr>
      <w:sz w:val="18"/>
    </w:rPr>
  </w:style>
  <w:style w:type="paragraph" w:customStyle="1" w:styleId="Table8p">
    <w:name w:val="Table 8p"/>
    <w:basedOn w:val="Table9p"/>
    <w:uiPriority w:val="99"/>
    <w:qFormat/>
    <w:rsid w:val="004C1C4F"/>
    <w:rPr>
      <w:sz w:val="16"/>
    </w:rPr>
  </w:style>
  <w:style w:type="paragraph" w:customStyle="1" w:styleId="Table9pt">
    <w:name w:val="Table 9pt"/>
    <w:basedOn w:val="Normal"/>
    <w:uiPriority w:val="99"/>
    <w:qFormat/>
    <w:rsid w:val="004C1C4F"/>
    <w:pPr>
      <w:spacing w:after="0" w:line="252" w:lineRule="auto"/>
      <w:ind w:right="91"/>
    </w:pPr>
    <w:rPr>
      <w:rFonts w:ascii="Times New Roman" w:eastAsia="Calibri" w:hAnsi="Times New Roman" w:cs="Arial"/>
      <w:sz w:val="18"/>
      <w:szCs w:val="18"/>
      <w:lang w:val="en-US"/>
    </w:rPr>
  </w:style>
  <w:style w:type="table" w:customStyle="1" w:styleId="TableGrid1">
    <w:name w:val="Table Grid1"/>
    <w:basedOn w:val="Tablanormal"/>
    <w:next w:val="Tablaconcuadrcula"/>
    <w:rsid w:val="004C1C4F"/>
    <w:pPr>
      <w:spacing w:after="0" w:line="240" w:lineRule="auto"/>
    </w:pPr>
    <w:rPr>
      <w:rFonts w:ascii="Arial" w:eastAsia="Calibri" w:hAnsi="Arial" w:cs="Arial"/>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BI">
    <w:name w:val="Title BI"/>
    <w:basedOn w:val="Normal"/>
    <w:next w:val="Normal"/>
    <w:link w:val="TitleBIChar"/>
    <w:qFormat/>
    <w:rsid w:val="004C1C4F"/>
    <w:pPr>
      <w:keepNext/>
      <w:spacing w:after="240" w:line="240" w:lineRule="auto"/>
    </w:pPr>
    <w:rPr>
      <w:rFonts w:ascii="Times New Roman" w:eastAsia="Calibri" w:hAnsi="Times New Roman" w:cs="Times New Roman"/>
      <w:b/>
      <w:i/>
      <w:sz w:val="20"/>
      <w:szCs w:val="20"/>
      <w:lang w:val="x-none" w:eastAsia="x-none"/>
    </w:rPr>
  </w:style>
  <w:style w:type="character" w:customStyle="1" w:styleId="TitleBChar">
    <w:name w:val="Title B Char"/>
    <w:link w:val="TitleB"/>
    <w:locked/>
    <w:rsid w:val="004C1C4F"/>
    <w:rPr>
      <w:rFonts w:ascii="Times New Roman" w:eastAsia="Calibri" w:hAnsi="Times New Roman" w:cs="Times New Roman"/>
      <w:b/>
      <w:sz w:val="20"/>
      <w:szCs w:val="20"/>
      <w:lang w:val="x-none" w:eastAsia="x-none"/>
    </w:rPr>
  </w:style>
  <w:style w:type="paragraph" w:customStyle="1" w:styleId="Bodybold">
    <w:name w:val="Body bold"/>
    <w:basedOn w:val="Normal"/>
    <w:uiPriority w:val="99"/>
    <w:qFormat/>
    <w:rsid w:val="004C1C4F"/>
    <w:pPr>
      <w:spacing w:after="240" w:line="240" w:lineRule="auto"/>
      <w:ind w:firstLine="720"/>
    </w:pPr>
    <w:rPr>
      <w:rFonts w:ascii="Times New Roman" w:eastAsia="PMingLiU" w:hAnsi="Times New Roman" w:cs="Times New Roman"/>
      <w:b/>
      <w:sz w:val="20"/>
      <w:szCs w:val="20"/>
      <w:lang w:val="en-GB" w:eastAsia="zh-CN" w:bidi="he-IL"/>
    </w:rPr>
  </w:style>
  <w:style w:type="paragraph" w:customStyle="1" w:styleId="TitleItalicLeft">
    <w:name w:val="Title Italic Left"/>
    <w:basedOn w:val="Normal"/>
    <w:uiPriority w:val="99"/>
    <w:qFormat/>
    <w:rsid w:val="004C1C4F"/>
    <w:pPr>
      <w:keepNext/>
      <w:spacing w:after="240" w:line="240" w:lineRule="auto"/>
    </w:pPr>
    <w:rPr>
      <w:rFonts w:ascii="Times New Roman" w:eastAsia="SimSun" w:hAnsi="Times New Roman" w:cs="Times New Roman"/>
      <w:i/>
      <w:sz w:val="20"/>
      <w:szCs w:val="24"/>
      <w:lang w:val="en-GB" w:eastAsia="zh-CN" w:bidi="he-IL"/>
    </w:rPr>
  </w:style>
  <w:style w:type="table" w:customStyle="1" w:styleId="TableGrid2">
    <w:name w:val="Table Grid2"/>
    <w:basedOn w:val="Tablanormal"/>
    <w:next w:val="Tablaconcuadrcula"/>
    <w:rsid w:val="004C1C4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5BI">
    <w:name w:val="Title .5 BI"/>
    <w:basedOn w:val="BodyText2Sgl"/>
    <w:uiPriority w:val="99"/>
    <w:qFormat/>
    <w:rsid w:val="004C1C4F"/>
    <w:pPr>
      <w:keepNext/>
      <w:autoSpaceDE w:val="0"/>
      <w:autoSpaceDN w:val="0"/>
      <w:adjustRightInd w:val="0"/>
    </w:pPr>
    <w:rPr>
      <w:rFonts w:eastAsia="MS Mincho"/>
      <w:b/>
      <w:i/>
      <w:w w:val="0"/>
    </w:rPr>
  </w:style>
  <w:style w:type="numbering" w:customStyle="1" w:styleId="NoList1">
    <w:name w:val="No List1"/>
    <w:next w:val="Sinlista"/>
    <w:semiHidden/>
    <w:unhideWhenUsed/>
    <w:rsid w:val="004C1C4F"/>
  </w:style>
  <w:style w:type="table" w:customStyle="1" w:styleId="TableGrid3">
    <w:name w:val="Table Grid3"/>
    <w:basedOn w:val="Tablanormal"/>
    <w:next w:val="Tablaconcuadrcula"/>
    <w:uiPriority w:val="59"/>
    <w:rsid w:val="004C1C4F"/>
    <w:pPr>
      <w:spacing w:after="0" w:line="240" w:lineRule="auto"/>
    </w:pPr>
    <w:rPr>
      <w:rFonts w:ascii="Calibri" w:eastAsia="Calibri" w:hAnsi="Calibri" w:cs="Arial"/>
      <w:lang w:val="en-GB"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anormal"/>
    <w:next w:val="Tablaconcuadrcula"/>
    <w:uiPriority w:val="59"/>
    <w:rsid w:val="004C1C4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inlista"/>
    <w:uiPriority w:val="99"/>
    <w:semiHidden/>
    <w:unhideWhenUsed/>
    <w:rsid w:val="004C1C4F"/>
  </w:style>
  <w:style w:type="table" w:customStyle="1" w:styleId="TableGrid4">
    <w:name w:val="Table Grid4"/>
    <w:basedOn w:val="Tablanormal"/>
    <w:next w:val="Tablaconcuadrcula"/>
    <w:uiPriority w:val="59"/>
    <w:rsid w:val="004C1C4F"/>
    <w:pPr>
      <w:spacing w:after="0" w:line="240" w:lineRule="auto"/>
    </w:pPr>
    <w:rPr>
      <w:rFonts w:ascii="Calibri" w:eastAsia="Calibri" w:hAnsi="Calibri" w:cs="Arial"/>
      <w:lang w:val="en-GB"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anormal"/>
    <w:next w:val="Tablaconcuadrcula"/>
    <w:rsid w:val="004C1C4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BodyText2Sgl"/>
    <w:uiPriority w:val="99"/>
    <w:qFormat/>
    <w:rsid w:val="004C1C4F"/>
  </w:style>
  <w:style w:type="paragraph" w:customStyle="1" w:styleId="Bullet">
    <w:name w:val="Bullet"/>
    <w:basedOn w:val="BodyText2Sgl"/>
    <w:uiPriority w:val="99"/>
    <w:rsid w:val="004C1C4F"/>
    <w:pPr>
      <w:numPr>
        <w:numId w:val="31"/>
      </w:numPr>
      <w:ind w:left="1080"/>
    </w:pPr>
  </w:style>
  <w:style w:type="paragraph" w:customStyle="1" w:styleId="i">
    <w:name w:val="(i)"/>
    <w:basedOn w:val="Normal"/>
    <w:uiPriority w:val="99"/>
    <w:qFormat/>
    <w:rsid w:val="004C1C4F"/>
    <w:pPr>
      <w:spacing w:after="240" w:line="240" w:lineRule="auto"/>
      <w:ind w:left="720" w:hanging="720"/>
    </w:pPr>
    <w:rPr>
      <w:rFonts w:ascii="Times New Roman" w:eastAsia="Calibri" w:hAnsi="Times New Roman" w:cs="Arial"/>
      <w:sz w:val="20"/>
      <w:lang w:val="en-US"/>
    </w:rPr>
  </w:style>
  <w:style w:type="table" w:customStyle="1" w:styleId="Tablaconcuadrcula1">
    <w:name w:val="Tabla con cuadrícula1"/>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NormalNotasLetras">
    <w:name w:val="EY Normal Notas Letras"/>
    <w:basedOn w:val="Normal"/>
    <w:link w:val="EYNormalNotasLetrasChar"/>
    <w:qFormat/>
    <w:rsid w:val="004C1C4F"/>
    <w:pPr>
      <w:spacing w:after="0" w:line="300" w:lineRule="exact"/>
      <w:ind w:left="1134" w:hanging="567"/>
    </w:pPr>
    <w:rPr>
      <w:rFonts w:ascii="EYInterstate Light" w:eastAsia="Times New Roman" w:hAnsi="EYInterstate Light" w:cs="Times New Roman"/>
      <w:sz w:val="18"/>
      <w:szCs w:val="18"/>
      <w:lang w:val="es-ES_tradnl" w:eastAsia="es-ES"/>
    </w:rPr>
  </w:style>
  <w:style w:type="character" w:customStyle="1" w:styleId="EYNormalNotasLetrasChar">
    <w:name w:val="EY Normal Notas Letras Char"/>
    <w:link w:val="EYNormalNotasLetras"/>
    <w:rsid w:val="004C1C4F"/>
    <w:rPr>
      <w:rFonts w:ascii="EYInterstate Light" w:eastAsia="Times New Roman" w:hAnsi="EYInterstate Light" w:cs="Times New Roman"/>
      <w:sz w:val="18"/>
      <w:szCs w:val="18"/>
      <w:lang w:val="es-ES_tradnl" w:eastAsia="es-ES"/>
    </w:rPr>
  </w:style>
  <w:style w:type="table" w:customStyle="1" w:styleId="TableGrid13">
    <w:name w:val="Table Grid13"/>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breadovistoso-nfasis11">
    <w:name w:val="Sombreado vistoso - Énfasis 11"/>
    <w:hidden/>
    <w:uiPriority w:val="99"/>
    <w:rsid w:val="004C1C4F"/>
    <w:pPr>
      <w:spacing w:after="0" w:line="240" w:lineRule="auto"/>
    </w:pPr>
    <w:rPr>
      <w:rFonts w:ascii="Times New Roman" w:eastAsia="Calibri" w:hAnsi="Times New Roman" w:cs="Arial"/>
      <w:sz w:val="20"/>
      <w:szCs w:val="24"/>
      <w:lang w:val="en-US"/>
    </w:rPr>
  </w:style>
  <w:style w:type="table" w:customStyle="1" w:styleId="TableGrid15">
    <w:name w:val="Table Grid15"/>
    <w:basedOn w:val="Tablanormal"/>
    <w:next w:val="Tablaconcuadrcula"/>
    <w:rsid w:val="004C1C4F"/>
    <w:pPr>
      <w:spacing w:after="0" w:line="240" w:lineRule="auto"/>
    </w:pPr>
    <w:rPr>
      <w:rFonts w:ascii="Arial" w:eastAsia="Calibri" w:hAnsi="Arial" w:cs="Arial"/>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Sinlista"/>
    <w:uiPriority w:val="99"/>
    <w:semiHidden/>
    <w:unhideWhenUsed/>
    <w:rsid w:val="004C1C4F"/>
  </w:style>
  <w:style w:type="paragraph" w:customStyle="1" w:styleId="Heading11">
    <w:name w:val="Heading 11"/>
    <w:basedOn w:val="Normal"/>
    <w:next w:val="Textoindependiente"/>
    <w:uiPriority w:val="9"/>
    <w:qFormat/>
    <w:rsid w:val="004C1C4F"/>
    <w:pPr>
      <w:keepNext/>
      <w:keepLines/>
      <w:spacing w:after="240" w:line="240" w:lineRule="auto"/>
      <w:outlineLvl w:val="0"/>
    </w:pPr>
    <w:rPr>
      <w:rFonts w:ascii="Calibri" w:eastAsia="SimSun" w:hAnsi="Calibri" w:cs="Times New Roman"/>
      <w:bCs/>
      <w:szCs w:val="28"/>
      <w:lang w:val="en-US"/>
    </w:rPr>
  </w:style>
  <w:style w:type="paragraph" w:customStyle="1" w:styleId="Heading21">
    <w:name w:val="Heading 21"/>
    <w:basedOn w:val="Normal"/>
    <w:next w:val="Textoindependiente"/>
    <w:uiPriority w:val="9"/>
    <w:qFormat/>
    <w:rsid w:val="004C1C4F"/>
    <w:pPr>
      <w:keepNext/>
      <w:keepLines/>
      <w:suppressAutoHyphens/>
      <w:spacing w:after="240" w:line="240" w:lineRule="auto"/>
      <w:ind w:firstLine="720"/>
      <w:outlineLvl w:val="1"/>
    </w:pPr>
    <w:rPr>
      <w:rFonts w:ascii="Times New Roman" w:eastAsia="SimSun" w:hAnsi="Times New Roman" w:cs="Times New Roman"/>
      <w:bCs/>
      <w:sz w:val="20"/>
      <w:szCs w:val="26"/>
      <w:lang w:val="en-US"/>
    </w:rPr>
  </w:style>
  <w:style w:type="paragraph" w:customStyle="1" w:styleId="Heading31">
    <w:name w:val="Heading 31"/>
    <w:basedOn w:val="Normal"/>
    <w:next w:val="Textoindependiente"/>
    <w:uiPriority w:val="9"/>
    <w:qFormat/>
    <w:rsid w:val="004C1C4F"/>
    <w:pPr>
      <w:keepNext/>
      <w:keepLines/>
      <w:spacing w:after="240" w:line="240" w:lineRule="auto"/>
      <w:ind w:firstLine="1440"/>
      <w:outlineLvl w:val="2"/>
    </w:pPr>
    <w:rPr>
      <w:rFonts w:ascii="Times New Roman" w:eastAsia="SimSun" w:hAnsi="Times New Roman" w:cs="Times New Roman"/>
      <w:bCs/>
      <w:sz w:val="20"/>
      <w:szCs w:val="24"/>
      <w:lang w:val="en-US"/>
    </w:rPr>
  </w:style>
  <w:style w:type="paragraph" w:customStyle="1" w:styleId="Heading41">
    <w:name w:val="Heading 41"/>
    <w:basedOn w:val="Normal"/>
    <w:next w:val="Textoindependiente"/>
    <w:uiPriority w:val="9"/>
    <w:qFormat/>
    <w:rsid w:val="004C1C4F"/>
    <w:pPr>
      <w:keepNext/>
      <w:keepLines/>
      <w:spacing w:after="240" w:line="240" w:lineRule="auto"/>
      <w:ind w:firstLine="2160"/>
      <w:outlineLvl w:val="3"/>
    </w:pPr>
    <w:rPr>
      <w:rFonts w:ascii="Times New Roman" w:eastAsia="SimSun" w:hAnsi="Times New Roman" w:cs="Times New Roman"/>
      <w:bCs/>
      <w:iCs/>
      <w:sz w:val="20"/>
      <w:szCs w:val="24"/>
      <w:lang w:val="en-US"/>
    </w:rPr>
  </w:style>
  <w:style w:type="paragraph" w:customStyle="1" w:styleId="Heading51">
    <w:name w:val="Heading 51"/>
    <w:basedOn w:val="Normal"/>
    <w:next w:val="Textoindependiente"/>
    <w:uiPriority w:val="9"/>
    <w:qFormat/>
    <w:rsid w:val="004C1C4F"/>
    <w:pPr>
      <w:keepNext/>
      <w:keepLines/>
      <w:spacing w:after="240" w:line="240" w:lineRule="auto"/>
      <w:ind w:firstLine="2880"/>
      <w:outlineLvl w:val="4"/>
    </w:pPr>
    <w:rPr>
      <w:rFonts w:ascii="Times New Roman" w:eastAsia="SimSun" w:hAnsi="Times New Roman" w:cs="Times New Roman"/>
      <w:sz w:val="20"/>
      <w:szCs w:val="24"/>
      <w:lang w:val="en-US"/>
    </w:rPr>
  </w:style>
  <w:style w:type="paragraph" w:customStyle="1" w:styleId="Heading61">
    <w:name w:val="Heading 61"/>
    <w:basedOn w:val="Normal"/>
    <w:next w:val="Textoindependiente"/>
    <w:uiPriority w:val="9"/>
    <w:qFormat/>
    <w:rsid w:val="004C1C4F"/>
    <w:pPr>
      <w:keepNext/>
      <w:keepLines/>
      <w:spacing w:after="240" w:line="240" w:lineRule="auto"/>
      <w:ind w:firstLine="3600"/>
      <w:outlineLvl w:val="5"/>
    </w:pPr>
    <w:rPr>
      <w:rFonts w:ascii="Times New Roman" w:eastAsia="SimSun" w:hAnsi="Times New Roman" w:cs="Times New Roman"/>
      <w:iCs/>
      <w:sz w:val="20"/>
      <w:szCs w:val="24"/>
      <w:lang w:val="en-US"/>
    </w:rPr>
  </w:style>
  <w:style w:type="paragraph" w:customStyle="1" w:styleId="Heading71">
    <w:name w:val="Heading 71"/>
    <w:basedOn w:val="Normal"/>
    <w:next w:val="Normal"/>
    <w:uiPriority w:val="9"/>
    <w:qFormat/>
    <w:rsid w:val="004C1C4F"/>
    <w:pPr>
      <w:keepNext/>
      <w:keepLines/>
      <w:spacing w:after="240" w:line="240" w:lineRule="auto"/>
      <w:ind w:firstLine="4320"/>
      <w:outlineLvl w:val="6"/>
    </w:pPr>
    <w:rPr>
      <w:rFonts w:ascii="Times New Roman" w:eastAsia="SimSun" w:hAnsi="Times New Roman" w:cs="Times New Roman"/>
      <w:iCs/>
      <w:sz w:val="20"/>
      <w:szCs w:val="24"/>
      <w:lang w:val="en-US"/>
    </w:rPr>
  </w:style>
  <w:style w:type="paragraph" w:customStyle="1" w:styleId="Heading81">
    <w:name w:val="Heading 81"/>
    <w:basedOn w:val="Normal"/>
    <w:next w:val="Textoindependiente"/>
    <w:uiPriority w:val="9"/>
    <w:qFormat/>
    <w:rsid w:val="004C1C4F"/>
    <w:pPr>
      <w:keepNext/>
      <w:keepLines/>
      <w:spacing w:after="240" w:line="240" w:lineRule="auto"/>
      <w:ind w:firstLine="5040"/>
      <w:outlineLvl w:val="7"/>
    </w:pPr>
    <w:rPr>
      <w:rFonts w:ascii="Times New Roman" w:eastAsia="SimSun" w:hAnsi="Times New Roman" w:cs="Times New Roman"/>
      <w:sz w:val="20"/>
      <w:szCs w:val="20"/>
      <w:lang w:val="en-US"/>
    </w:rPr>
  </w:style>
  <w:style w:type="paragraph" w:customStyle="1" w:styleId="Heading91">
    <w:name w:val="Heading 91"/>
    <w:basedOn w:val="Normal"/>
    <w:next w:val="Textoindependiente"/>
    <w:uiPriority w:val="9"/>
    <w:qFormat/>
    <w:rsid w:val="004C1C4F"/>
    <w:pPr>
      <w:keepNext/>
      <w:keepLines/>
      <w:spacing w:after="240" w:line="240" w:lineRule="auto"/>
      <w:jc w:val="center"/>
      <w:outlineLvl w:val="8"/>
    </w:pPr>
    <w:rPr>
      <w:rFonts w:ascii="Times New Roman" w:eastAsia="SimSun" w:hAnsi="Times New Roman" w:cs="Times New Roman"/>
      <w:iCs/>
      <w:sz w:val="20"/>
      <w:szCs w:val="20"/>
      <w:lang w:val="en-US"/>
    </w:rPr>
  </w:style>
  <w:style w:type="numbering" w:customStyle="1" w:styleId="NoList11">
    <w:name w:val="No List11"/>
    <w:next w:val="Sinlista"/>
    <w:uiPriority w:val="99"/>
    <w:semiHidden/>
    <w:unhideWhenUsed/>
    <w:rsid w:val="004C1C4F"/>
  </w:style>
  <w:style w:type="paragraph" w:customStyle="1" w:styleId="BlockText10">
    <w:name w:val="Block Text1"/>
    <w:basedOn w:val="Normal"/>
    <w:next w:val="Textodebloque"/>
    <w:uiPriority w:val="99"/>
    <w:qFormat/>
    <w:rsid w:val="004C1C4F"/>
    <w:pPr>
      <w:spacing w:after="0" w:line="480" w:lineRule="auto"/>
    </w:pPr>
    <w:rPr>
      <w:rFonts w:ascii="Times New Roman" w:eastAsia="SimSun" w:hAnsi="Times New Roman" w:cs="Arial"/>
      <w:iCs/>
      <w:sz w:val="20"/>
      <w:szCs w:val="24"/>
      <w:lang w:val="en-US"/>
    </w:rPr>
  </w:style>
  <w:style w:type="paragraph" w:customStyle="1" w:styleId="Caption1">
    <w:name w:val="Caption1"/>
    <w:basedOn w:val="Normal"/>
    <w:next w:val="Normal"/>
    <w:uiPriority w:val="35"/>
    <w:semiHidden/>
    <w:unhideWhenUsed/>
    <w:qFormat/>
    <w:rsid w:val="004C1C4F"/>
    <w:pPr>
      <w:spacing w:after="0" w:line="240" w:lineRule="auto"/>
    </w:pPr>
    <w:rPr>
      <w:rFonts w:ascii="Times New Roman" w:eastAsia="Calibri" w:hAnsi="Times New Roman" w:cs="Arial"/>
      <w:b/>
      <w:bCs/>
      <w:color w:val="4F81BD"/>
      <w:sz w:val="18"/>
      <w:szCs w:val="18"/>
      <w:lang w:val="en-US"/>
    </w:rPr>
  </w:style>
  <w:style w:type="paragraph" w:customStyle="1" w:styleId="EnvelopeAddress1">
    <w:name w:val="Envelope Address1"/>
    <w:basedOn w:val="Normal"/>
    <w:next w:val="Direccinsobre"/>
    <w:uiPriority w:val="99"/>
    <w:semiHidden/>
    <w:unhideWhenUsed/>
    <w:qFormat/>
    <w:rsid w:val="004C1C4F"/>
    <w:pPr>
      <w:framePr w:w="7920" w:h="1980" w:hRule="exact" w:hSpace="180" w:wrap="auto" w:hAnchor="page" w:xAlign="center" w:yAlign="bottom"/>
      <w:spacing w:after="0" w:line="240" w:lineRule="auto"/>
      <w:ind w:left="2880"/>
    </w:pPr>
    <w:rPr>
      <w:rFonts w:ascii="Times New Roman" w:eastAsia="SimSun" w:hAnsi="Times New Roman" w:cs="Times New Roman"/>
      <w:sz w:val="20"/>
      <w:szCs w:val="24"/>
      <w:lang w:val="en-US"/>
    </w:rPr>
  </w:style>
  <w:style w:type="paragraph" w:customStyle="1" w:styleId="EnvelopeReturn1">
    <w:name w:val="Envelope Return1"/>
    <w:basedOn w:val="Normal"/>
    <w:next w:val="Remitedesobre"/>
    <w:uiPriority w:val="99"/>
    <w:semiHidden/>
    <w:unhideWhenUsed/>
    <w:rsid w:val="004C1C4F"/>
    <w:pPr>
      <w:spacing w:after="0" w:line="240" w:lineRule="auto"/>
    </w:pPr>
    <w:rPr>
      <w:rFonts w:ascii="Times New Roman" w:eastAsia="SimSun" w:hAnsi="Times New Roman" w:cs="Times New Roman"/>
      <w:sz w:val="20"/>
      <w:szCs w:val="20"/>
      <w:lang w:val="en-US"/>
    </w:rPr>
  </w:style>
  <w:style w:type="paragraph" w:customStyle="1" w:styleId="IndexHeading1">
    <w:name w:val="Index Heading1"/>
    <w:basedOn w:val="Normal"/>
    <w:next w:val="ndice1"/>
    <w:uiPriority w:val="99"/>
    <w:semiHidden/>
    <w:unhideWhenUsed/>
    <w:rsid w:val="004C1C4F"/>
    <w:pPr>
      <w:spacing w:after="0" w:line="240" w:lineRule="auto"/>
    </w:pPr>
    <w:rPr>
      <w:rFonts w:ascii="Cambria" w:eastAsia="SimSun" w:hAnsi="Cambria" w:cs="Times New Roman"/>
      <w:b/>
      <w:bCs/>
      <w:sz w:val="20"/>
      <w:szCs w:val="24"/>
      <w:lang w:val="en-US"/>
    </w:rPr>
  </w:style>
  <w:style w:type="paragraph" w:customStyle="1" w:styleId="IntenseQuote1">
    <w:name w:val="Intense Quote1"/>
    <w:basedOn w:val="Normal"/>
    <w:next w:val="Normal"/>
    <w:uiPriority w:val="30"/>
    <w:qFormat/>
    <w:rsid w:val="004C1C4F"/>
    <w:pPr>
      <w:pBdr>
        <w:bottom w:val="single" w:sz="4" w:space="4" w:color="4F81BD"/>
      </w:pBdr>
      <w:spacing w:before="200" w:after="280" w:line="240" w:lineRule="auto"/>
      <w:ind w:left="936" w:right="936"/>
    </w:pPr>
    <w:rPr>
      <w:rFonts w:ascii="Times New Roman" w:eastAsia="Calibri" w:hAnsi="Times New Roman" w:cs="Arial"/>
      <w:b/>
      <w:bCs/>
      <w:i/>
      <w:iCs/>
      <w:color w:val="4F81BD"/>
      <w:sz w:val="20"/>
      <w:szCs w:val="24"/>
      <w:lang w:val="en-US"/>
    </w:rPr>
  </w:style>
  <w:style w:type="paragraph" w:customStyle="1" w:styleId="MessageHeader1">
    <w:name w:val="Message Header1"/>
    <w:basedOn w:val="Normal"/>
    <w:next w:val="Encabezadodemensaje"/>
    <w:uiPriority w:val="99"/>
    <w:semiHidden/>
    <w:unhideWhenUsed/>
    <w:rsid w:val="004C1C4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SimSun" w:hAnsi="Cambria" w:cs="Times New Roman"/>
      <w:lang w:val="en-US"/>
    </w:rPr>
  </w:style>
  <w:style w:type="paragraph" w:customStyle="1" w:styleId="Quote1">
    <w:name w:val="Quote1"/>
    <w:basedOn w:val="Normal"/>
    <w:next w:val="Normal"/>
    <w:uiPriority w:val="29"/>
    <w:qFormat/>
    <w:rsid w:val="004C1C4F"/>
    <w:pPr>
      <w:spacing w:after="0" w:line="240" w:lineRule="auto"/>
    </w:pPr>
    <w:rPr>
      <w:rFonts w:ascii="Times New Roman" w:eastAsia="Calibri" w:hAnsi="Times New Roman" w:cs="Arial"/>
      <w:i/>
      <w:iCs/>
      <w:color w:val="000000"/>
      <w:sz w:val="20"/>
      <w:szCs w:val="24"/>
      <w:lang w:val="en-US"/>
    </w:rPr>
  </w:style>
  <w:style w:type="paragraph" w:customStyle="1" w:styleId="Subtitle1">
    <w:name w:val="Subtitle1"/>
    <w:basedOn w:val="Normal"/>
    <w:next w:val="Subttulo"/>
    <w:uiPriority w:val="11"/>
    <w:qFormat/>
    <w:rsid w:val="004C1C4F"/>
    <w:pPr>
      <w:numPr>
        <w:ilvl w:val="1"/>
      </w:numPr>
      <w:spacing w:after="240" w:line="240" w:lineRule="auto"/>
      <w:jc w:val="center"/>
      <w:outlineLvl w:val="1"/>
    </w:pPr>
    <w:rPr>
      <w:rFonts w:ascii="Calibri" w:eastAsia="SimSun" w:hAnsi="Calibri" w:cs="Times New Roman"/>
      <w:iCs/>
      <w:lang w:val="en-US"/>
    </w:rPr>
  </w:style>
  <w:style w:type="paragraph" w:customStyle="1" w:styleId="Title1">
    <w:name w:val="Title1"/>
    <w:basedOn w:val="Normal"/>
    <w:next w:val="Textoindependiente"/>
    <w:uiPriority w:val="99"/>
    <w:qFormat/>
    <w:rsid w:val="004C1C4F"/>
    <w:pPr>
      <w:spacing w:after="240" w:line="240" w:lineRule="auto"/>
      <w:jc w:val="center"/>
      <w:outlineLvl w:val="0"/>
    </w:pPr>
    <w:rPr>
      <w:rFonts w:ascii="Times New Roman" w:eastAsia="SimSun" w:hAnsi="Times New Roman" w:cs="Times New Roman"/>
      <w:b/>
      <w:sz w:val="20"/>
      <w:szCs w:val="52"/>
      <w:lang w:val="en-US"/>
    </w:rPr>
  </w:style>
  <w:style w:type="paragraph" w:customStyle="1" w:styleId="TOAHeading1">
    <w:name w:val="TOA Heading1"/>
    <w:basedOn w:val="Normal"/>
    <w:next w:val="Normal"/>
    <w:uiPriority w:val="99"/>
    <w:semiHidden/>
    <w:unhideWhenUsed/>
    <w:rsid w:val="004C1C4F"/>
    <w:pPr>
      <w:spacing w:before="120" w:after="0" w:line="240" w:lineRule="auto"/>
    </w:pPr>
    <w:rPr>
      <w:rFonts w:ascii="Cambria" w:eastAsia="SimSun" w:hAnsi="Cambria" w:cs="Times New Roman"/>
      <w:b/>
      <w:bCs/>
      <w:sz w:val="20"/>
      <w:szCs w:val="24"/>
      <w:lang w:val="en-US"/>
    </w:rPr>
  </w:style>
  <w:style w:type="character" w:customStyle="1" w:styleId="Heading1Char1">
    <w:name w:val="Heading 1 Char1"/>
    <w:aliases w:val="Titulo informe Char1,Titulos notas (Alt+N) Char1,Titulos notas Char1"/>
    <w:rsid w:val="004C1C4F"/>
    <w:rPr>
      <w:rFonts w:ascii="Cambria" w:eastAsia="Times New Roman" w:hAnsi="Cambria" w:cs="Times New Roman"/>
      <w:b/>
      <w:bCs/>
      <w:color w:val="365F91"/>
      <w:sz w:val="28"/>
      <w:szCs w:val="28"/>
    </w:rPr>
  </w:style>
  <w:style w:type="character" w:customStyle="1" w:styleId="FollowedHyperlink1">
    <w:name w:val="FollowedHyperlink1"/>
    <w:uiPriority w:val="99"/>
    <w:semiHidden/>
    <w:unhideWhenUsed/>
    <w:qFormat/>
    <w:rsid w:val="004C1C4F"/>
    <w:rPr>
      <w:color w:val="800080"/>
      <w:u w:val="single"/>
    </w:rPr>
  </w:style>
  <w:style w:type="character" w:customStyle="1" w:styleId="Hyperlink1">
    <w:name w:val="Hyperlink1"/>
    <w:uiPriority w:val="99"/>
    <w:unhideWhenUsed/>
    <w:rsid w:val="004C1C4F"/>
    <w:rPr>
      <w:color w:val="0000FF"/>
      <w:u w:val="single"/>
    </w:rPr>
  </w:style>
  <w:style w:type="character" w:customStyle="1" w:styleId="IntenseEmphasis1">
    <w:name w:val="Intense Emphasis1"/>
    <w:uiPriority w:val="21"/>
    <w:qFormat/>
    <w:rsid w:val="004C1C4F"/>
    <w:rPr>
      <w:b/>
      <w:bCs/>
      <w:i/>
      <w:iCs/>
      <w:color w:val="4F81BD"/>
    </w:rPr>
  </w:style>
  <w:style w:type="character" w:customStyle="1" w:styleId="IntenseReference1">
    <w:name w:val="Intense Reference1"/>
    <w:uiPriority w:val="32"/>
    <w:qFormat/>
    <w:rsid w:val="004C1C4F"/>
    <w:rPr>
      <w:b/>
      <w:bCs/>
      <w:smallCaps/>
      <w:color w:val="C0504D"/>
      <w:spacing w:val="5"/>
      <w:u w:val="single"/>
    </w:rPr>
  </w:style>
  <w:style w:type="character" w:customStyle="1" w:styleId="SubtleEmphasis1">
    <w:name w:val="Subtle Emphasis1"/>
    <w:uiPriority w:val="19"/>
    <w:qFormat/>
    <w:rsid w:val="004C1C4F"/>
    <w:rPr>
      <w:i/>
      <w:iCs/>
      <w:color w:val="808080"/>
    </w:rPr>
  </w:style>
  <w:style w:type="character" w:customStyle="1" w:styleId="SubtleReference1">
    <w:name w:val="Subtle Reference1"/>
    <w:uiPriority w:val="31"/>
    <w:qFormat/>
    <w:rsid w:val="004C1C4F"/>
    <w:rPr>
      <w:smallCaps/>
      <w:color w:val="C0504D"/>
      <w:u w:val="single"/>
    </w:rPr>
  </w:style>
  <w:style w:type="table" w:customStyle="1" w:styleId="TableGrid5">
    <w:name w:val="Table Grid5"/>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anormal"/>
    <w:next w:val="Tablaconcuadrcula"/>
    <w:rsid w:val="004C1C4F"/>
    <w:pPr>
      <w:spacing w:after="0" w:line="240" w:lineRule="auto"/>
    </w:pPr>
    <w:rPr>
      <w:rFonts w:ascii="Arial" w:eastAsia="Calibri" w:hAnsi="Arial" w:cs="Arial"/>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anormal"/>
    <w:next w:val="Tablaconcuadrcula"/>
    <w:rsid w:val="004C1C4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Sinlista"/>
    <w:uiPriority w:val="99"/>
    <w:semiHidden/>
    <w:unhideWhenUsed/>
    <w:rsid w:val="004C1C4F"/>
  </w:style>
  <w:style w:type="table" w:customStyle="1" w:styleId="TableGrid31">
    <w:name w:val="Table Grid31"/>
    <w:basedOn w:val="Tablanormal"/>
    <w:next w:val="Tablaconcuadrcula"/>
    <w:uiPriority w:val="59"/>
    <w:rsid w:val="004C1C4F"/>
    <w:pPr>
      <w:spacing w:after="0" w:line="240" w:lineRule="auto"/>
    </w:pPr>
    <w:rPr>
      <w:rFonts w:ascii="Calibri" w:eastAsia="Calibri" w:hAnsi="Calibri" w:cs="Arial"/>
      <w:lang w:val="en-GB"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anormal"/>
    <w:next w:val="Tablaconcuadrcula"/>
    <w:rsid w:val="004C1C4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Sinlista"/>
    <w:uiPriority w:val="99"/>
    <w:semiHidden/>
    <w:unhideWhenUsed/>
    <w:rsid w:val="004C1C4F"/>
  </w:style>
  <w:style w:type="table" w:customStyle="1" w:styleId="TableGrid41">
    <w:name w:val="Table Grid41"/>
    <w:basedOn w:val="Tablanormal"/>
    <w:next w:val="Tablaconcuadrcula"/>
    <w:uiPriority w:val="59"/>
    <w:rsid w:val="004C1C4F"/>
    <w:pPr>
      <w:spacing w:after="0" w:line="240" w:lineRule="auto"/>
    </w:pPr>
    <w:rPr>
      <w:rFonts w:ascii="Calibri" w:eastAsia="Calibri" w:hAnsi="Calibri" w:cs="Arial"/>
      <w:lang w:val="en-GB"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anormal"/>
    <w:next w:val="Tablaconcuadrcula"/>
    <w:rsid w:val="004C1C4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uiPriority w:val="9"/>
    <w:semiHidden/>
    <w:rsid w:val="004C1C4F"/>
    <w:rPr>
      <w:rFonts w:ascii="Cambria" w:eastAsia="Times New Roman" w:hAnsi="Cambria" w:cs="Times New Roman"/>
      <w:b/>
      <w:bCs/>
      <w:color w:val="4F81BD"/>
      <w:sz w:val="26"/>
      <w:szCs w:val="26"/>
    </w:rPr>
  </w:style>
  <w:style w:type="character" w:customStyle="1" w:styleId="Heading3Char1">
    <w:name w:val="Heading 3 Char1"/>
    <w:uiPriority w:val="9"/>
    <w:semiHidden/>
    <w:rsid w:val="004C1C4F"/>
    <w:rPr>
      <w:rFonts w:ascii="Cambria" w:eastAsia="Times New Roman" w:hAnsi="Cambria" w:cs="Times New Roman"/>
      <w:b/>
      <w:bCs/>
      <w:color w:val="4F81BD"/>
    </w:rPr>
  </w:style>
  <w:style w:type="character" w:customStyle="1" w:styleId="Heading4Char1">
    <w:name w:val="Heading 4 Char1"/>
    <w:uiPriority w:val="9"/>
    <w:semiHidden/>
    <w:rsid w:val="004C1C4F"/>
    <w:rPr>
      <w:rFonts w:ascii="Cambria" w:eastAsia="Times New Roman" w:hAnsi="Cambria" w:cs="Times New Roman"/>
      <w:b/>
      <w:bCs/>
      <w:i/>
      <w:iCs/>
      <w:color w:val="4F81BD"/>
    </w:rPr>
  </w:style>
  <w:style w:type="character" w:customStyle="1" w:styleId="Heading5Char1">
    <w:name w:val="Heading 5 Char1"/>
    <w:uiPriority w:val="9"/>
    <w:semiHidden/>
    <w:rsid w:val="004C1C4F"/>
    <w:rPr>
      <w:rFonts w:ascii="Cambria" w:eastAsia="Times New Roman" w:hAnsi="Cambria" w:cs="Times New Roman"/>
      <w:color w:val="243F60"/>
    </w:rPr>
  </w:style>
  <w:style w:type="character" w:customStyle="1" w:styleId="Heading6Char1">
    <w:name w:val="Heading 6 Char1"/>
    <w:uiPriority w:val="9"/>
    <w:semiHidden/>
    <w:rsid w:val="004C1C4F"/>
    <w:rPr>
      <w:rFonts w:ascii="Cambria" w:eastAsia="Times New Roman" w:hAnsi="Cambria" w:cs="Times New Roman"/>
      <w:i/>
      <w:iCs/>
      <w:color w:val="243F60"/>
    </w:rPr>
  </w:style>
  <w:style w:type="character" w:customStyle="1" w:styleId="Heading7Char1">
    <w:name w:val="Heading 7 Char1"/>
    <w:rsid w:val="004C1C4F"/>
    <w:rPr>
      <w:rFonts w:ascii="Cambria" w:eastAsia="Times New Roman" w:hAnsi="Cambria" w:cs="Times New Roman"/>
      <w:i/>
      <w:iCs/>
      <w:color w:val="404040"/>
    </w:rPr>
  </w:style>
  <w:style w:type="character" w:customStyle="1" w:styleId="Heading8Char1">
    <w:name w:val="Heading 8 Char1"/>
    <w:uiPriority w:val="9"/>
    <w:semiHidden/>
    <w:rsid w:val="004C1C4F"/>
    <w:rPr>
      <w:rFonts w:ascii="Cambria" w:eastAsia="Times New Roman" w:hAnsi="Cambria" w:cs="Times New Roman"/>
      <w:color w:val="404040"/>
      <w:sz w:val="20"/>
      <w:szCs w:val="20"/>
    </w:rPr>
  </w:style>
  <w:style w:type="character" w:customStyle="1" w:styleId="Heading9Char1">
    <w:name w:val="Heading 9 Char1"/>
    <w:uiPriority w:val="9"/>
    <w:semiHidden/>
    <w:rsid w:val="004C1C4F"/>
    <w:rPr>
      <w:rFonts w:ascii="Cambria" w:eastAsia="Times New Roman" w:hAnsi="Cambria" w:cs="Times New Roman"/>
      <w:i/>
      <w:iCs/>
      <w:color w:val="404040"/>
      <w:sz w:val="20"/>
      <w:szCs w:val="20"/>
    </w:rPr>
  </w:style>
  <w:style w:type="character" w:customStyle="1" w:styleId="IntenseQuoteChar1">
    <w:name w:val="Intense Quote Char1"/>
    <w:uiPriority w:val="30"/>
    <w:rsid w:val="004C1C4F"/>
    <w:rPr>
      <w:b/>
      <w:bCs/>
      <w:i/>
      <w:iCs/>
      <w:color w:val="4F81BD"/>
    </w:rPr>
  </w:style>
  <w:style w:type="character" w:customStyle="1" w:styleId="MessageHeaderChar1">
    <w:name w:val="Message Header Char1"/>
    <w:uiPriority w:val="99"/>
    <w:semiHidden/>
    <w:rsid w:val="004C1C4F"/>
    <w:rPr>
      <w:rFonts w:ascii="Cambria" w:eastAsia="Times New Roman" w:hAnsi="Cambria" w:cs="Times New Roman"/>
      <w:sz w:val="24"/>
      <w:szCs w:val="24"/>
      <w:shd w:val="pct20" w:color="auto" w:fill="auto"/>
    </w:rPr>
  </w:style>
  <w:style w:type="character" w:customStyle="1" w:styleId="QuoteChar1">
    <w:name w:val="Quote Char1"/>
    <w:uiPriority w:val="29"/>
    <w:rsid w:val="004C1C4F"/>
    <w:rPr>
      <w:i/>
      <w:iCs/>
      <w:color w:val="000000"/>
    </w:rPr>
  </w:style>
  <w:style w:type="character" w:customStyle="1" w:styleId="SubtitleChar1">
    <w:name w:val="Subtitle Char1"/>
    <w:uiPriority w:val="11"/>
    <w:rsid w:val="004C1C4F"/>
    <w:rPr>
      <w:rFonts w:ascii="Cambria" w:eastAsia="Times New Roman" w:hAnsi="Cambria" w:cs="Times New Roman"/>
      <w:i/>
      <w:iCs/>
      <w:color w:val="4F81BD"/>
      <w:spacing w:val="15"/>
      <w:sz w:val="24"/>
      <w:szCs w:val="24"/>
    </w:rPr>
  </w:style>
  <w:style w:type="character" w:customStyle="1" w:styleId="TitleChar1">
    <w:name w:val="Title Char1"/>
    <w:uiPriority w:val="10"/>
    <w:rsid w:val="004C1C4F"/>
    <w:rPr>
      <w:rFonts w:ascii="Cambria" w:eastAsia="Times New Roman" w:hAnsi="Cambria" w:cs="Times New Roman"/>
      <w:color w:val="17365D"/>
      <w:spacing w:val="5"/>
      <w:kern w:val="28"/>
      <w:sz w:val="52"/>
      <w:szCs w:val="52"/>
    </w:rPr>
  </w:style>
  <w:style w:type="numbering" w:customStyle="1" w:styleId="NoList4">
    <w:name w:val="No List4"/>
    <w:next w:val="Sinlista"/>
    <w:uiPriority w:val="99"/>
    <w:semiHidden/>
    <w:unhideWhenUsed/>
    <w:rsid w:val="004C1C4F"/>
  </w:style>
  <w:style w:type="table" w:customStyle="1" w:styleId="TableGrid6">
    <w:name w:val="Table Grid6"/>
    <w:basedOn w:val="Tablanormal"/>
    <w:next w:val="Tablaconcuadrcula"/>
    <w:uiPriority w:val="99"/>
    <w:rsid w:val="004C1C4F"/>
    <w:pPr>
      <w:adjustRightInd w:val="0"/>
      <w:spacing w:after="0" w:line="240" w:lineRule="auto"/>
    </w:pPr>
    <w:rPr>
      <w:rFonts w:ascii="Times New Roman" w:eastAsia="Calibri"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tblBorders>
      <w:tblCellMar>
        <w:top w:w="3" w:type="dxa"/>
        <w:bottom w:w="3" w:type="dxa"/>
      </w:tblCellMar>
    </w:tblPr>
  </w:style>
  <w:style w:type="table" w:customStyle="1" w:styleId="TableGrid17">
    <w:name w:val="Table Grid17"/>
    <w:uiPriority w:val="99"/>
    <w:rsid w:val="004C1C4F"/>
    <w:pPr>
      <w:adjustRightInd w:val="0"/>
      <w:spacing w:after="0" w:line="240" w:lineRule="auto"/>
    </w:pPr>
    <w:rPr>
      <w:rFonts w:ascii="Arial" w:eastAsia="Calibri" w:hAnsi="Arial" w:cs="Times New Roman"/>
      <w:lang w:val="en-US"/>
    </w:rPr>
    <w:tblPr>
      <w:tblInd w:w="0" w:type="dxa"/>
      <w:tblBorders>
        <w:top w:val="single" w:sz="4" w:space="0" w:color="000000"/>
        <w:left w:val="single" w:sz="4" w:space="0" w:color="000000"/>
        <w:bottom w:val="single" w:sz="4" w:space="0" w:color="000000"/>
        <w:right w:val="single" w:sz="4" w:space="0" w:color="000000"/>
      </w:tblBorders>
      <w:tblCellMar>
        <w:top w:w="3" w:type="dxa"/>
        <w:left w:w="108" w:type="dxa"/>
        <w:bottom w:w="3" w:type="dxa"/>
        <w:right w:w="108" w:type="dxa"/>
      </w:tblCellMar>
    </w:tblPr>
  </w:style>
  <w:style w:type="table" w:customStyle="1" w:styleId="TableGrid22">
    <w:name w:val="Table Grid22"/>
    <w:uiPriority w:val="99"/>
    <w:rsid w:val="004C1C4F"/>
    <w:pPr>
      <w:adjustRightInd w:val="0"/>
      <w:spacing w:after="0" w:line="240" w:lineRule="auto"/>
    </w:pPr>
    <w:rPr>
      <w:rFonts w:ascii="Times New Roman" w:eastAsia="Calibri" w:hAnsi="Times New Roman" w:cs="Times New Roman"/>
      <w:sz w:val="20"/>
      <w:szCs w:val="20"/>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32">
    <w:name w:val="Table Grid32"/>
    <w:uiPriority w:val="99"/>
    <w:rsid w:val="004C1C4F"/>
    <w:pPr>
      <w:adjustRightInd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12">
    <w:name w:val="Table Grid112"/>
    <w:uiPriority w:val="99"/>
    <w:rsid w:val="004C1C4F"/>
    <w:pPr>
      <w:adjustRightInd w:val="0"/>
      <w:spacing w:after="0" w:line="240" w:lineRule="auto"/>
    </w:pPr>
    <w:rPr>
      <w:rFonts w:ascii="Times New Roman" w:eastAsia="Calibri" w:hAnsi="Times New Roman" w:cs="Times New Roman"/>
      <w:sz w:val="20"/>
      <w:szCs w:val="20"/>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42">
    <w:name w:val="Table Grid42"/>
    <w:uiPriority w:val="99"/>
    <w:rsid w:val="004C1C4F"/>
    <w:pPr>
      <w:adjustRightInd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22">
    <w:name w:val="Table Grid122"/>
    <w:uiPriority w:val="99"/>
    <w:rsid w:val="004C1C4F"/>
    <w:pPr>
      <w:adjustRightInd w:val="0"/>
      <w:spacing w:after="0" w:line="240" w:lineRule="auto"/>
    </w:pPr>
    <w:rPr>
      <w:rFonts w:ascii="Times New Roman" w:eastAsia="Calibri" w:hAnsi="Times New Roman" w:cs="Times New Roman"/>
      <w:sz w:val="20"/>
      <w:szCs w:val="20"/>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12">
    <w:name w:val="Tabla con cuadrícula12"/>
    <w:uiPriority w:val="99"/>
    <w:rsid w:val="004C1C4F"/>
    <w:pPr>
      <w:adjustRightInd w:val="0"/>
      <w:spacing w:after="0" w:line="240" w:lineRule="auto"/>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22">
    <w:name w:val="Tabla con cuadrícula22"/>
    <w:uiPriority w:val="99"/>
    <w:rsid w:val="004C1C4F"/>
    <w:pPr>
      <w:adjustRightInd w:val="0"/>
      <w:spacing w:after="0" w:line="240" w:lineRule="auto"/>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42">
    <w:name w:val="Tabla con cuadrícula42"/>
    <w:uiPriority w:val="99"/>
    <w:rsid w:val="004C1C4F"/>
    <w:pPr>
      <w:adjustRightInd w:val="0"/>
      <w:spacing w:after="0" w:line="240" w:lineRule="auto"/>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52">
    <w:name w:val="Tabla con cuadrícula52"/>
    <w:basedOn w:val="Tablanormal"/>
    <w:uiPriority w:val="99"/>
    <w:rsid w:val="004C1C4F"/>
    <w:pPr>
      <w:adjustRightInd w:val="0"/>
      <w:spacing w:after="0" w:line="240" w:lineRule="auto"/>
    </w:pPr>
    <w:rPr>
      <w:rFonts w:ascii="Times New Roman" w:eastAsia="Calibri"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tblBorders>
      <w:tblCellMar>
        <w:top w:w="3" w:type="dxa"/>
        <w:bottom w:w="3" w:type="dxa"/>
      </w:tblCellMar>
    </w:tblPr>
  </w:style>
  <w:style w:type="table" w:customStyle="1" w:styleId="TableGrid132">
    <w:name w:val="Table Grid132"/>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42">
    <w:name w:val="Table Grid142"/>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51">
    <w:name w:val="Table Grid151"/>
    <w:uiPriority w:val="99"/>
    <w:rsid w:val="004C1C4F"/>
    <w:pPr>
      <w:spacing w:after="200" w:line="276" w:lineRule="auto"/>
    </w:pPr>
    <w:rPr>
      <w:rFonts w:ascii="Arial" w:eastAsia="Calibri" w:hAnsi="Arial" w:cs="Arial"/>
      <w:lang w:val="en-US"/>
    </w:rPr>
    <w:tblPr>
      <w:tblInd w:w="0" w:type="dxa"/>
      <w:tblBorders>
        <w:top w:val="single" w:sz="4" w:space="0" w:color="000000"/>
        <w:left w:val="single" w:sz="4" w:space="0" w:color="000000"/>
        <w:bottom w:val="single" w:sz="4" w:space="0" w:color="000000"/>
        <w:right w:val="single" w:sz="4" w:space="0" w:color="000000"/>
      </w:tblBorders>
      <w:tblCellMar>
        <w:top w:w="3" w:type="dxa"/>
        <w:left w:w="108" w:type="dxa"/>
        <w:bottom w:w="3" w:type="dxa"/>
        <w:right w:w="108" w:type="dxa"/>
      </w:tblCellMar>
    </w:tblPr>
  </w:style>
  <w:style w:type="table" w:customStyle="1" w:styleId="TableGrid51">
    <w:name w:val="Table Grid51"/>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61">
    <w:name w:val="Table Grid161"/>
    <w:uiPriority w:val="99"/>
    <w:rsid w:val="004C1C4F"/>
    <w:pPr>
      <w:spacing w:after="200" w:line="276" w:lineRule="auto"/>
    </w:pPr>
    <w:rPr>
      <w:rFonts w:ascii="Arial" w:eastAsia="Calibri" w:hAnsi="Arial" w:cs="Arial"/>
      <w:lang w:val="en-US"/>
    </w:rPr>
    <w:tblPr>
      <w:tblInd w:w="0" w:type="dxa"/>
      <w:tblBorders>
        <w:top w:val="single" w:sz="4" w:space="0" w:color="000000"/>
        <w:left w:val="single" w:sz="4" w:space="0" w:color="000000"/>
        <w:bottom w:val="single" w:sz="4" w:space="0" w:color="000000"/>
        <w:right w:val="single" w:sz="4" w:space="0" w:color="000000"/>
      </w:tblBorders>
      <w:tblCellMar>
        <w:top w:w="3" w:type="dxa"/>
        <w:left w:w="108" w:type="dxa"/>
        <w:bottom w:w="3" w:type="dxa"/>
        <w:right w:w="108" w:type="dxa"/>
      </w:tblCellMar>
    </w:tblPr>
  </w:style>
  <w:style w:type="table" w:customStyle="1" w:styleId="TableGrid211">
    <w:name w:val="Table Grid211"/>
    <w:uiPriority w:val="99"/>
    <w:rsid w:val="004C1C4F"/>
    <w:pPr>
      <w:spacing w:after="200" w:line="276" w:lineRule="auto"/>
    </w:pPr>
    <w:rPr>
      <w:rFonts w:ascii="Times New Roman" w:eastAsia="Calibri" w:hAnsi="Times New Roman Bold" w:cs="Arial"/>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311">
    <w:name w:val="Table Grid311"/>
    <w:uiPriority w:val="99"/>
    <w:rsid w:val="004C1C4F"/>
    <w:pPr>
      <w:spacing w:after="200" w:line="276"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111">
    <w:name w:val="Table Grid1111"/>
    <w:uiPriority w:val="99"/>
    <w:rsid w:val="004C1C4F"/>
    <w:pPr>
      <w:spacing w:after="200" w:line="276" w:lineRule="auto"/>
    </w:pPr>
    <w:rPr>
      <w:rFonts w:ascii="Times New Roman" w:eastAsia="Calibri" w:hAnsi="Times New Roman Bold" w:cs="Arial"/>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411">
    <w:name w:val="Table Grid411"/>
    <w:uiPriority w:val="99"/>
    <w:rsid w:val="004C1C4F"/>
    <w:pPr>
      <w:spacing w:after="200" w:line="276"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211">
    <w:name w:val="Table Grid1211"/>
    <w:uiPriority w:val="99"/>
    <w:rsid w:val="004C1C4F"/>
    <w:pPr>
      <w:spacing w:after="200" w:line="276" w:lineRule="auto"/>
    </w:pPr>
    <w:rPr>
      <w:rFonts w:ascii="Times New Roman" w:eastAsia="Calibri" w:hAnsi="Times New Roman Bold" w:cs="Arial"/>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111">
    <w:name w:val="Tabla con cuadrícula111"/>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211">
    <w:name w:val="Tabla con cuadrícula211"/>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411">
    <w:name w:val="Tabla con cuadrícula411"/>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511">
    <w:name w:val="Tabla con cuadrícula511"/>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311">
    <w:name w:val="Table Grid1311"/>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411">
    <w:name w:val="Table Grid1411"/>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numbering" w:customStyle="1" w:styleId="NoList5">
    <w:name w:val="No List5"/>
    <w:next w:val="Sinlista"/>
    <w:uiPriority w:val="99"/>
    <w:semiHidden/>
    <w:unhideWhenUsed/>
    <w:rsid w:val="004C1C4F"/>
  </w:style>
  <w:style w:type="table" w:customStyle="1" w:styleId="TableGrid7">
    <w:name w:val="Table Grid7"/>
    <w:basedOn w:val="Tablanormal"/>
    <w:next w:val="Tablaconcuadrcula"/>
    <w:uiPriority w:val="99"/>
    <w:rsid w:val="004C1C4F"/>
    <w:pPr>
      <w:adjustRightInd w:val="0"/>
      <w:spacing w:after="0" w:line="240" w:lineRule="auto"/>
    </w:pPr>
    <w:rPr>
      <w:rFonts w:ascii="Times New Roman" w:eastAsia="Calibri"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tblBorders>
      <w:tblCellMar>
        <w:top w:w="3" w:type="dxa"/>
        <w:bottom w:w="3" w:type="dxa"/>
      </w:tblCellMar>
    </w:tblPr>
  </w:style>
  <w:style w:type="table" w:customStyle="1" w:styleId="TableGrid18">
    <w:name w:val="Table Grid18"/>
    <w:uiPriority w:val="99"/>
    <w:rsid w:val="004C1C4F"/>
    <w:pPr>
      <w:adjustRightInd w:val="0"/>
      <w:spacing w:after="0" w:line="240" w:lineRule="auto"/>
    </w:pPr>
    <w:rPr>
      <w:rFonts w:ascii="Arial" w:eastAsia="Calibri" w:hAnsi="Arial" w:cs="Times New Roman"/>
      <w:lang w:val="en-US"/>
    </w:rPr>
    <w:tblPr>
      <w:tblInd w:w="0" w:type="dxa"/>
      <w:tblBorders>
        <w:top w:val="single" w:sz="4" w:space="0" w:color="000000"/>
        <w:left w:val="single" w:sz="4" w:space="0" w:color="000000"/>
        <w:bottom w:val="single" w:sz="4" w:space="0" w:color="000000"/>
        <w:right w:val="single" w:sz="4" w:space="0" w:color="000000"/>
      </w:tblBorders>
      <w:tblCellMar>
        <w:top w:w="3" w:type="dxa"/>
        <w:left w:w="108" w:type="dxa"/>
        <w:bottom w:w="3" w:type="dxa"/>
        <w:right w:w="108" w:type="dxa"/>
      </w:tblCellMar>
    </w:tblPr>
  </w:style>
  <w:style w:type="table" w:customStyle="1" w:styleId="TableGrid23">
    <w:name w:val="Table Grid23"/>
    <w:uiPriority w:val="99"/>
    <w:rsid w:val="004C1C4F"/>
    <w:pPr>
      <w:adjustRightInd w:val="0"/>
      <w:spacing w:after="0" w:line="240" w:lineRule="auto"/>
    </w:pPr>
    <w:rPr>
      <w:rFonts w:ascii="Times New Roman" w:eastAsia="Calibri" w:hAnsi="Times New Roman" w:cs="Times New Roman"/>
      <w:sz w:val="20"/>
      <w:szCs w:val="20"/>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33">
    <w:name w:val="Table Grid33"/>
    <w:uiPriority w:val="99"/>
    <w:rsid w:val="004C1C4F"/>
    <w:pPr>
      <w:adjustRightInd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13">
    <w:name w:val="Table Grid113"/>
    <w:uiPriority w:val="99"/>
    <w:rsid w:val="004C1C4F"/>
    <w:pPr>
      <w:adjustRightInd w:val="0"/>
      <w:spacing w:after="0" w:line="240" w:lineRule="auto"/>
    </w:pPr>
    <w:rPr>
      <w:rFonts w:ascii="Times New Roman" w:eastAsia="Calibri" w:hAnsi="Times New Roman" w:cs="Times New Roman"/>
      <w:sz w:val="20"/>
      <w:szCs w:val="20"/>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43">
    <w:name w:val="Table Grid43"/>
    <w:uiPriority w:val="99"/>
    <w:rsid w:val="004C1C4F"/>
    <w:pPr>
      <w:adjustRightInd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23">
    <w:name w:val="Table Grid123"/>
    <w:uiPriority w:val="99"/>
    <w:rsid w:val="004C1C4F"/>
    <w:pPr>
      <w:adjustRightInd w:val="0"/>
      <w:spacing w:after="0" w:line="240" w:lineRule="auto"/>
    </w:pPr>
    <w:rPr>
      <w:rFonts w:ascii="Times New Roman" w:eastAsia="Calibri" w:hAnsi="Times New Roman" w:cs="Times New Roman"/>
      <w:sz w:val="20"/>
      <w:szCs w:val="20"/>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13">
    <w:name w:val="Tabla con cuadrícula13"/>
    <w:uiPriority w:val="99"/>
    <w:rsid w:val="004C1C4F"/>
    <w:pPr>
      <w:adjustRightInd w:val="0"/>
      <w:spacing w:after="0" w:line="240" w:lineRule="auto"/>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23">
    <w:name w:val="Tabla con cuadrícula23"/>
    <w:uiPriority w:val="99"/>
    <w:rsid w:val="004C1C4F"/>
    <w:pPr>
      <w:adjustRightInd w:val="0"/>
      <w:spacing w:after="0" w:line="240" w:lineRule="auto"/>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43">
    <w:name w:val="Tabla con cuadrícula43"/>
    <w:uiPriority w:val="99"/>
    <w:rsid w:val="004C1C4F"/>
    <w:pPr>
      <w:adjustRightInd w:val="0"/>
      <w:spacing w:after="0" w:line="240" w:lineRule="auto"/>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53">
    <w:name w:val="Tabla con cuadrícula53"/>
    <w:basedOn w:val="Tablanormal"/>
    <w:uiPriority w:val="99"/>
    <w:rsid w:val="004C1C4F"/>
    <w:pPr>
      <w:adjustRightInd w:val="0"/>
      <w:spacing w:after="0" w:line="240" w:lineRule="auto"/>
    </w:pPr>
    <w:rPr>
      <w:rFonts w:ascii="Times New Roman" w:eastAsia="Calibri"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tblBorders>
      <w:tblCellMar>
        <w:top w:w="3" w:type="dxa"/>
        <w:bottom w:w="3" w:type="dxa"/>
      </w:tblCellMar>
    </w:tblPr>
  </w:style>
  <w:style w:type="table" w:customStyle="1" w:styleId="TableGrid133">
    <w:name w:val="Table Grid133"/>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43">
    <w:name w:val="Table Grid143"/>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52">
    <w:name w:val="Table Grid152"/>
    <w:uiPriority w:val="99"/>
    <w:rsid w:val="004C1C4F"/>
    <w:pPr>
      <w:spacing w:after="200" w:line="276" w:lineRule="auto"/>
    </w:pPr>
    <w:rPr>
      <w:rFonts w:ascii="Arial" w:eastAsia="Calibri" w:hAnsi="Arial" w:cs="Arial"/>
      <w:lang w:val="en-US"/>
    </w:rPr>
    <w:tblPr>
      <w:tblInd w:w="0" w:type="dxa"/>
      <w:tblBorders>
        <w:top w:val="single" w:sz="4" w:space="0" w:color="000000"/>
        <w:left w:val="single" w:sz="4" w:space="0" w:color="000000"/>
        <w:bottom w:val="single" w:sz="4" w:space="0" w:color="000000"/>
        <w:right w:val="single" w:sz="4" w:space="0" w:color="000000"/>
      </w:tblBorders>
      <w:tblCellMar>
        <w:top w:w="3" w:type="dxa"/>
        <w:left w:w="108" w:type="dxa"/>
        <w:bottom w:w="3" w:type="dxa"/>
        <w:right w:w="108" w:type="dxa"/>
      </w:tblCellMar>
    </w:tblPr>
  </w:style>
  <w:style w:type="table" w:customStyle="1" w:styleId="TableGrid52">
    <w:name w:val="Table Grid52"/>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62">
    <w:name w:val="Table Grid162"/>
    <w:uiPriority w:val="99"/>
    <w:rsid w:val="004C1C4F"/>
    <w:pPr>
      <w:spacing w:after="200" w:line="276" w:lineRule="auto"/>
    </w:pPr>
    <w:rPr>
      <w:rFonts w:ascii="Arial" w:eastAsia="Calibri" w:hAnsi="Arial" w:cs="Arial"/>
      <w:lang w:val="en-US"/>
    </w:rPr>
    <w:tblPr>
      <w:tblInd w:w="0" w:type="dxa"/>
      <w:tblBorders>
        <w:top w:val="single" w:sz="4" w:space="0" w:color="000000"/>
        <w:left w:val="single" w:sz="4" w:space="0" w:color="000000"/>
        <w:bottom w:val="single" w:sz="4" w:space="0" w:color="000000"/>
        <w:right w:val="single" w:sz="4" w:space="0" w:color="000000"/>
      </w:tblBorders>
      <w:tblCellMar>
        <w:top w:w="3" w:type="dxa"/>
        <w:left w:w="108" w:type="dxa"/>
        <w:bottom w:w="3" w:type="dxa"/>
        <w:right w:w="108" w:type="dxa"/>
      </w:tblCellMar>
    </w:tblPr>
  </w:style>
  <w:style w:type="table" w:customStyle="1" w:styleId="TableGrid212">
    <w:name w:val="Table Grid212"/>
    <w:uiPriority w:val="99"/>
    <w:rsid w:val="004C1C4F"/>
    <w:pPr>
      <w:spacing w:after="200" w:line="276" w:lineRule="auto"/>
    </w:pPr>
    <w:rPr>
      <w:rFonts w:ascii="Times New Roman" w:eastAsia="Calibri" w:hAnsi="Times New Roman Bold" w:cs="Arial"/>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312">
    <w:name w:val="Table Grid312"/>
    <w:uiPriority w:val="99"/>
    <w:rsid w:val="004C1C4F"/>
    <w:pPr>
      <w:spacing w:after="200" w:line="276"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112">
    <w:name w:val="Table Grid1112"/>
    <w:uiPriority w:val="99"/>
    <w:rsid w:val="004C1C4F"/>
    <w:pPr>
      <w:spacing w:after="200" w:line="276" w:lineRule="auto"/>
    </w:pPr>
    <w:rPr>
      <w:rFonts w:ascii="Times New Roman" w:eastAsia="Calibri" w:hAnsi="Times New Roman Bold" w:cs="Arial"/>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412">
    <w:name w:val="Table Grid412"/>
    <w:uiPriority w:val="99"/>
    <w:rsid w:val="004C1C4F"/>
    <w:pPr>
      <w:spacing w:after="200" w:line="276"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212">
    <w:name w:val="Table Grid1212"/>
    <w:uiPriority w:val="99"/>
    <w:rsid w:val="004C1C4F"/>
    <w:pPr>
      <w:spacing w:after="200" w:line="276" w:lineRule="auto"/>
    </w:pPr>
    <w:rPr>
      <w:rFonts w:ascii="Times New Roman" w:eastAsia="Calibri" w:hAnsi="Times New Roman Bold" w:cs="Arial"/>
      <w:lang w:val="en-US" w:eastAsia="en-GB"/>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112">
    <w:name w:val="Tabla con cuadrícula112"/>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212">
    <w:name w:val="Tabla con cuadrícula212"/>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412">
    <w:name w:val="Tabla con cuadrícula412"/>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aconcuadrcula512">
    <w:name w:val="Tabla con cuadrícula512"/>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312">
    <w:name w:val="Table Grid1312"/>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TableGrid1412">
    <w:name w:val="Table Grid1412"/>
    <w:uiPriority w:val="99"/>
    <w:rsid w:val="004C1C4F"/>
    <w:pPr>
      <w:spacing w:after="200" w:line="276" w:lineRule="auto"/>
    </w:pPr>
    <w:rPr>
      <w:rFonts w:ascii="Times New Roman" w:eastAsia="Calibri" w:hAnsi="Times New Roman Bold" w:cs="Arial"/>
      <w:lang w:val="en-US"/>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character" w:customStyle="1" w:styleId="TitleBCar">
    <w:name w:val="Title B Car"/>
    <w:aliases w:val="tb Car"/>
    <w:rsid w:val="004C1C4F"/>
    <w:rPr>
      <w:b/>
      <w:szCs w:val="24"/>
    </w:rPr>
  </w:style>
  <w:style w:type="character" w:customStyle="1" w:styleId="BodyText2SglChar1">
    <w:name w:val="Body Text 2 Sgl Char1"/>
    <w:link w:val="BodyText2Sgl"/>
    <w:uiPriority w:val="99"/>
    <w:rsid w:val="004C1C4F"/>
    <w:rPr>
      <w:rFonts w:ascii="Times New Roman" w:eastAsia="Calibri" w:hAnsi="Times New Roman" w:cs="Times New Roman"/>
      <w:sz w:val="20"/>
      <w:szCs w:val="20"/>
      <w:lang w:val="x-none" w:eastAsia="x-none"/>
    </w:rPr>
  </w:style>
  <w:style w:type="paragraph" w:customStyle="1" w:styleId="ListBullet3Sgl">
    <w:name w:val="List Bullet 3 Sgl"/>
    <w:basedOn w:val="Listaconvietas3"/>
    <w:uiPriority w:val="99"/>
    <w:qFormat/>
    <w:rsid w:val="004C1C4F"/>
    <w:pPr>
      <w:numPr>
        <w:numId w:val="33"/>
      </w:numPr>
    </w:pPr>
  </w:style>
  <w:style w:type="character" w:customStyle="1" w:styleId="BodyText2SglChar">
    <w:name w:val="Body Text 2 Sgl Char"/>
    <w:aliases w:val="Body Text 2 Sgl Char Char,bt2s Char"/>
    <w:rsid w:val="004C1C4F"/>
    <w:rPr>
      <w:rFonts w:cs="Times"/>
      <w:lang w:val="en-US" w:eastAsia="en-US" w:bidi="ar-SA"/>
    </w:rPr>
  </w:style>
  <w:style w:type="paragraph" w:customStyle="1" w:styleId="H1">
    <w:name w:val="H1*"/>
    <w:basedOn w:val="Normal"/>
    <w:uiPriority w:val="99"/>
    <w:qFormat/>
    <w:rsid w:val="004C1C4F"/>
    <w:pPr>
      <w:spacing w:after="240" w:line="240" w:lineRule="auto"/>
      <w:ind w:left="1440" w:hanging="720"/>
    </w:pPr>
    <w:rPr>
      <w:rFonts w:ascii="Times New Roman" w:eastAsia="Calibri" w:hAnsi="Times New Roman" w:cs="Arial"/>
      <w:sz w:val="20"/>
      <w:szCs w:val="24"/>
      <w:lang w:val="en-US"/>
    </w:rPr>
  </w:style>
  <w:style w:type="numbering" w:customStyle="1" w:styleId="NoList6">
    <w:name w:val="No List6"/>
    <w:next w:val="Sinlista"/>
    <w:uiPriority w:val="99"/>
    <w:semiHidden/>
    <w:unhideWhenUsed/>
    <w:rsid w:val="004C1C4F"/>
  </w:style>
  <w:style w:type="paragraph" w:customStyle="1" w:styleId="BodyCAPS">
    <w:name w:val="Body CAPS"/>
    <w:basedOn w:val="Normal"/>
    <w:uiPriority w:val="99"/>
    <w:rsid w:val="004C1C4F"/>
    <w:pPr>
      <w:spacing w:after="0" w:line="240" w:lineRule="auto"/>
    </w:pPr>
    <w:rPr>
      <w:rFonts w:ascii="Times New Roman" w:eastAsia="Times New Roman" w:hAnsi="Times New Roman" w:cs="Times"/>
      <w:caps/>
      <w:sz w:val="20"/>
      <w:szCs w:val="24"/>
      <w:lang w:val="en-US"/>
    </w:rPr>
  </w:style>
  <w:style w:type="paragraph" w:customStyle="1" w:styleId="BodyCAPS1">
    <w:name w:val="Body CAPS 1"/>
    <w:basedOn w:val="Normal"/>
    <w:uiPriority w:val="99"/>
    <w:rsid w:val="004C1C4F"/>
    <w:pPr>
      <w:spacing w:after="0" w:line="240" w:lineRule="auto"/>
      <w:ind w:left="720"/>
    </w:pPr>
    <w:rPr>
      <w:rFonts w:ascii="Times New Roman" w:eastAsia="Times New Roman" w:hAnsi="Times New Roman" w:cs="Times"/>
      <w:caps/>
      <w:sz w:val="20"/>
      <w:szCs w:val="24"/>
      <w:lang w:val="en-US"/>
    </w:rPr>
  </w:style>
  <w:style w:type="paragraph" w:customStyle="1" w:styleId="BodyCAPS2">
    <w:name w:val="Body CAPS 2"/>
    <w:basedOn w:val="Normal"/>
    <w:uiPriority w:val="99"/>
    <w:rsid w:val="004C1C4F"/>
    <w:pPr>
      <w:spacing w:after="0" w:line="240" w:lineRule="auto"/>
      <w:ind w:left="1440"/>
    </w:pPr>
    <w:rPr>
      <w:rFonts w:ascii="Times New Roman" w:eastAsia="Times New Roman" w:hAnsi="Times New Roman" w:cs="Times"/>
      <w:caps/>
      <w:sz w:val="20"/>
      <w:szCs w:val="24"/>
      <w:lang w:val="en-US"/>
    </w:rPr>
  </w:style>
  <w:style w:type="paragraph" w:customStyle="1" w:styleId="BodyCAPS3">
    <w:name w:val="Body CAPS 3"/>
    <w:basedOn w:val="Normal"/>
    <w:uiPriority w:val="99"/>
    <w:rsid w:val="004C1C4F"/>
    <w:pPr>
      <w:spacing w:after="0" w:line="240" w:lineRule="auto"/>
      <w:ind w:left="2160"/>
    </w:pPr>
    <w:rPr>
      <w:rFonts w:ascii="Times New Roman" w:eastAsia="Times New Roman" w:hAnsi="Times New Roman" w:cs="Times"/>
      <w:caps/>
      <w:sz w:val="20"/>
      <w:szCs w:val="24"/>
      <w:lang w:val="en-US"/>
    </w:rPr>
  </w:style>
  <w:style w:type="paragraph" w:customStyle="1" w:styleId="BodyCAPS4">
    <w:name w:val="Body CAPS 4"/>
    <w:basedOn w:val="Normal"/>
    <w:uiPriority w:val="99"/>
    <w:rsid w:val="004C1C4F"/>
    <w:pPr>
      <w:spacing w:after="0" w:line="240" w:lineRule="auto"/>
      <w:ind w:left="2880"/>
    </w:pPr>
    <w:rPr>
      <w:rFonts w:ascii="Times New Roman" w:eastAsia="Times New Roman" w:hAnsi="Times New Roman" w:cs="Times"/>
      <w:caps/>
      <w:sz w:val="20"/>
      <w:szCs w:val="24"/>
      <w:lang w:val="en-US"/>
    </w:rPr>
  </w:style>
  <w:style w:type="paragraph" w:customStyle="1" w:styleId="BodyCAPS5">
    <w:name w:val="Body CAPS 5"/>
    <w:basedOn w:val="Normal"/>
    <w:uiPriority w:val="99"/>
    <w:rsid w:val="004C1C4F"/>
    <w:pPr>
      <w:spacing w:after="0" w:line="240" w:lineRule="auto"/>
      <w:ind w:left="3600"/>
    </w:pPr>
    <w:rPr>
      <w:rFonts w:ascii="Times New Roman" w:eastAsia="Times New Roman" w:hAnsi="Times New Roman" w:cs="Times"/>
      <w:caps/>
      <w:sz w:val="20"/>
      <w:szCs w:val="24"/>
      <w:lang w:val="en-US"/>
    </w:rPr>
  </w:style>
  <w:style w:type="paragraph" w:customStyle="1" w:styleId="BodyText1">
    <w:name w:val="Body Text 1"/>
    <w:basedOn w:val="Normal"/>
    <w:uiPriority w:val="99"/>
    <w:rsid w:val="004C1C4F"/>
    <w:pPr>
      <w:spacing w:after="0" w:line="240" w:lineRule="auto"/>
      <w:ind w:left="1440" w:hanging="720"/>
    </w:pPr>
    <w:rPr>
      <w:rFonts w:ascii="Times New Roman" w:eastAsia="Times New Roman" w:hAnsi="Times New Roman" w:cs="Times"/>
      <w:sz w:val="20"/>
      <w:szCs w:val="24"/>
      <w:lang w:val="en-US"/>
    </w:rPr>
  </w:style>
  <w:style w:type="paragraph" w:customStyle="1" w:styleId="BodyText4">
    <w:name w:val="Body Text 4"/>
    <w:basedOn w:val="Normal"/>
    <w:uiPriority w:val="99"/>
    <w:rsid w:val="004C1C4F"/>
    <w:pPr>
      <w:spacing w:after="0" w:line="240" w:lineRule="auto"/>
      <w:ind w:left="2880"/>
    </w:pPr>
    <w:rPr>
      <w:rFonts w:ascii="Times New Roman" w:eastAsia="Times New Roman" w:hAnsi="Times New Roman" w:cs="Times"/>
      <w:sz w:val="20"/>
      <w:szCs w:val="24"/>
      <w:lang w:val="en-US"/>
    </w:rPr>
  </w:style>
  <w:style w:type="paragraph" w:customStyle="1" w:styleId="BodyText5">
    <w:name w:val="Body Text 5"/>
    <w:basedOn w:val="Normal"/>
    <w:uiPriority w:val="99"/>
    <w:rsid w:val="004C1C4F"/>
    <w:pPr>
      <w:spacing w:after="0" w:line="240" w:lineRule="auto"/>
      <w:ind w:left="3600"/>
    </w:pPr>
    <w:rPr>
      <w:rFonts w:ascii="Times New Roman" w:eastAsia="Times New Roman" w:hAnsi="Times New Roman" w:cs="Times"/>
      <w:sz w:val="20"/>
      <w:szCs w:val="24"/>
      <w:lang w:val="en-US"/>
    </w:rPr>
  </w:style>
  <w:style w:type="paragraph" w:customStyle="1" w:styleId="TableBottomRow">
    <w:name w:val="Table Bottom Row"/>
    <w:basedOn w:val="Normal"/>
    <w:next w:val="Normal"/>
    <w:uiPriority w:val="99"/>
    <w:rsid w:val="004C1C4F"/>
    <w:pPr>
      <w:tabs>
        <w:tab w:val="right" w:leader="dot" w:pos="5724"/>
      </w:tabs>
      <w:spacing w:after="80" w:line="240" w:lineRule="auto"/>
    </w:pPr>
    <w:rPr>
      <w:rFonts w:ascii="Times New Roman" w:eastAsia="Calibri" w:hAnsi="Times New Roman" w:cs="Times New Roman"/>
      <w:sz w:val="16"/>
      <w:szCs w:val="24"/>
      <w:lang w:val="en-US"/>
    </w:rPr>
  </w:style>
  <w:style w:type="paragraph" w:customStyle="1" w:styleId="TableMiddleRows">
    <w:name w:val="Table Middle Rows"/>
    <w:basedOn w:val="Normal"/>
    <w:uiPriority w:val="99"/>
    <w:rsid w:val="004C1C4F"/>
    <w:pPr>
      <w:tabs>
        <w:tab w:val="right" w:leader="dot" w:pos="4140"/>
      </w:tabs>
      <w:spacing w:after="0" w:line="240" w:lineRule="auto"/>
    </w:pPr>
    <w:rPr>
      <w:rFonts w:ascii="Times New Roman" w:eastAsia="Times New Roman" w:hAnsi="Times New Roman" w:cs="Times New Roman"/>
      <w:iCs/>
      <w:sz w:val="16"/>
      <w:szCs w:val="24"/>
      <w:lang w:val="en-US"/>
    </w:rPr>
  </w:style>
  <w:style w:type="paragraph" w:customStyle="1" w:styleId="MarginNoteRight">
    <w:name w:val="Margin Note Right"/>
    <w:basedOn w:val="Normal"/>
    <w:uiPriority w:val="99"/>
    <w:rsid w:val="004C1C4F"/>
    <w:pPr>
      <w:framePr w:w="1134" w:hSpace="181" w:vSpace="181" w:wrap="around" w:vAnchor="text" w:hAnchor="page" w:xAlign="right" w:y="1"/>
      <w:spacing w:after="80" w:line="240" w:lineRule="auto"/>
    </w:pPr>
    <w:rPr>
      <w:rFonts w:ascii="Times New Roman" w:eastAsia="Times New Roman" w:hAnsi="Times New Roman" w:cs="Times New Roman"/>
      <w:sz w:val="16"/>
      <w:szCs w:val="20"/>
      <w:lang w:val="en-US"/>
    </w:rPr>
  </w:style>
  <w:style w:type="paragraph" w:customStyle="1" w:styleId="CoverPage1">
    <w:name w:val="Cover Page 1"/>
    <w:basedOn w:val="Normal"/>
    <w:next w:val="Textoindependiente"/>
    <w:uiPriority w:val="99"/>
    <w:rsid w:val="004C1C4F"/>
    <w:pPr>
      <w:keepNext/>
      <w:spacing w:after="0" w:line="240" w:lineRule="auto"/>
      <w:jc w:val="center"/>
    </w:pPr>
    <w:rPr>
      <w:rFonts w:ascii="Times New Roman" w:eastAsia="Times New Roman" w:hAnsi="Times New Roman" w:cs="Times"/>
      <w:b/>
      <w:caps/>
      <w:sz w:val="32"/>
      <w:szCs w:val="24"/>
      <w:lang w:val="en-US"/>
    </w:rPr>
  </w:style>
  <w:style w:type="paragraph" w:customStyle="1" w:styleId="CoverPage2">
    <w:name w:val="Cover Page 2"/>
    <w:basedOn w:val="Normal"/>
    <w:next w:val="Textoindependiente"/>
    <w:uiPriority w:val="99"/>
    <w:rsid w:val="004C1C4F"/>
    <w:pPr>
      <w:keepNext/>
      <w:spacing w:after="0" w:line="240" w:lineRule="auto"/>
      <w:jc w:val="center"/>
    </w:pPr>
    <w:rPr>
      <w:rFonts w:ascii="Times New Roman" w:eastAsia="Times New Roman" w:hAnsi="Times New Roman" w:cs="Times"/>
      <w:i/>
      <w:sz w:val="18"/>
      <w:szCs w:val="24"/>
      <w:lang w:val="en-US"/>
    </w:rPr>
  </w:style>
  <w:style w:type="paragraph" w:customStyle="1" w:styleId="CoverPage3">
    <w:name w:val="Cover Page 3"/>
    <w:basedOn w:val="Normal"/>
    <w:next w:val="Textoindependiente"/>
    <w:uiPriority w:val="99"/>
    <w:rsid w:val="004C1C4F"/>
    <w:pPr>
      <w:keepNext/>
      <w:spacing w:after="0" w:line="240" w:lineRule="auto"/>
      <w:jc w:val="center"/>
    </w:pPr>
    <w:rPr>
      <w:rFonts w:ascii="Times New Roman" w:eastAsia="Times New Roman" w:hAnsi="Times New Roman" w:cs="Times"/>
      <w:sz w:val="18"/>
      <w:szCs w:val="24"/>
      <w:lang w:val="en-US"/>
    </w:rPr>
  </w:style>
  <w:style w:type="paragraph" w:customStyle="1" w:styleId="CoverPage4">
    <w:name w:val="Cover Page 4"/>
    <w:basedOn w:val="Normal"/>
    <w:next w:val="Textoindependiente"/>
    <w:uiPriority w:val="99"/>
    <w:rsid w:val="004C1C4F"/>
    <w:pPr>
      <w:keepNext/>
      <w:spacing w:after="0" w:line="240" w:lineRule="auto"/>
      <w:jc w:val="center"/>
    </w:pPr>
    <w:rPr>
      <w:rFonts w:ascii="Times New Roman" w:eastAsia="Times New Roman" w:hAnsi="Times New Roman" w:cs="Times"/>
      <w:b/>
      <w:sz w:val="24"/>
      <w:szCs w:val="24"/>
      <w:lang w:val="en-US"/>
    </w:rPr>
  </w:style>
  <w:style w:type="paragraph" w:customStyle="1" w:styleId="CoverPage5">
    <w:name w:val="Cover Page 5"/>
    <w:basedOn w:val="Normal"/>
    <w:next w:val="Textoindependiente"/>
    <w:uiPriority w:val="99"/>
    <w:rsid w:val="004C1C4F"/>
    <w:pPr>
      <w:keepNext/>
      <w:spacing w:after="0" w:line="240" w:lineRule="auto"/>
      <w:jc w:val="center"/>
    </w:pPr>
    <w:rPr>
      <w:rFonts w:ascii="Times New Roman" w:eastAsia="Times New Roman" w:hAnsi="Times New Roman" w:cs="Times"/>
      <w:sz w:val="16"/>
      <w:szCs w:val="24"/>
      <w:lang w:val="en-US"/>
    </w:rPr>
  </w:style>
  <w:style w:type="paragraph" w:customStyle="1" w:styleId="CoverPage6">
    <w:name w:val="Cover Page 6"/>
    <w:basedOn w:val="Normal"/>
    <w:next w:val="Textoindependiente"/>
    <w:uiPriority w:val="99"/>
    <w:rsid w:val="004C1C4F"/>
    <w:pPr>
      <w:keepNext/>
      <w:spacing w:after="0" w:line="240" w:lineRule="auto"/>
      <w:jc w:val="center"/>
    </w:pPr>
    <w:rPr>
      <w:rFonts w:ascii="Times New Roman" w:eastAsia="Times New Roman" w:hAnsi="Times New Roman" w:cs="Times"/>
      <w:sz w:val="20"/>
      <w:szCs w:val="24"/>
      <w:lang w:val="en-US"/>
    </w:rPr>
  </w:style>
  <w:style w:type="paragraph" w:customStyle="1" w:styleId="TableFootnote">
    <w:name w:val="Table Footnote"/>
    <w:basedOn w:val="Normal"/>
    <w:uiPriority w:val="99"/>
    <w:rsid w:val="004C1C4F"/>
    <w:pPr>
      <w:spacing w:after="0" w:line="240" w:lineRule="auto"/>
      <w:ind w:left="360" w:hanging="360"/>
      <w:contextualSpacing/>
    </w:pPr>
    <w:rPr>
      <w:rFonts w:ascii="Times New Roman" w:eastAsia="Times New Roman" w:hAnsi="Times New Roman" w:cs="Times"/>
      <w:sz w:val="16"/>
      <w:szCs w:val="20"/>
      <w:lang w:val="en-US"/>
    </w:rPr>
  </w:style>
  <w:style w:type="paragraph" w:customStyle="1" w:styleId="TableHeader">
    <w:name w:val="Table Header"/>
    <w:basedOn w:val="Normal"/>
    <w:uiPriority w:val="99"/>
    <w:rsid w:val="004C1C4F"/>
    <w:pPr>
      <w:keepNext/>
      <w:spacing w:after="80" w:line="240" w:lineRule="auto"/>
      <w:jc w:val="center"/>
    </w:pPr>
    <w:rPr>
      <w:rFonts w:ascii="Times New Roman" w:eastAsia="Times New Roman" w:hAnsi="Times New Roman" w:cs="Times"/>
      <w:bCs/>
      <w:sz w:val="16"/>
      <w:szCs w:val="24"/>
      <w:lang w:val="en-US"/>
    </w:rPr>
  </w:style>
  <w:style w:type="paragraph" w:customStyle="1" w:styleId="Tableheaderrow">
    <w:name w:val="Table header row"/>
    <w:basedOn w:val="Normal"/>
    <w:uiPriority w:val="99"/>
    <w:rsid w:val="004C1C4F"/>
    <w:pPr>
      <w:keepNext/>
      <w:pBdr>
        <w:bottom w:val="single" w:sz="4" w:space="1" w:color="auto"/>
      </w:pBdr>
      <w:spacing w:after="80" w:line="240" w:lineRule="auto"/>
      <w:jc w:val="center"/>
    </w:pPr>
    <w:rPr>
      <w:rFonts w:ascii="Times New Roman" w:eastAsia="Times New Roman" w:hAnsi="Times New Roman" w:cs="Times"/>
      <w:b/>
      <w:bCs/>
      <w:sz w:val="16"/>
      <w:szCs w:val="24"/>
      <w:lang w:val="en-US"/>
    </w:rPr>
  </w:style>
  <w:style w:type="paragraph" w:customStyle="1" w:styleId="Tableheaderrowitalic">
    <w:name w:val="Table header row italic"/>
    <w:basedOn w:val="Normal"/>
    <w:uiPriority w:val="99"/>
    <w:rsid w:val="004C1C4F"/>
    <w:pPr>
      <w:spacing w:after="80" w:line="240" w:lineRule="auto"/>
      <w:jc w:val="center"/>
    </w:pPr>
    <w:rPr>
      <w:rFonts w:ascii="Times New Roman" w:eastAsia="Times New Roman" w:hAnsi="Times New Roman" w:cs="Times"/>
      <w:bCs/>
      <w:i/>
      <w:iCs/>
      <w:sz w:val="16"/>
      <w:szCs w:val="24"/>
      <w:lang w:val="en-US"/>
    </w:rPr>
  </w:style>
  <w:style w:type="paragraph" w:customStyle="1" w:styleId="TableLine">
    <w:name w:val="Table Line"/>
    <w:basedOn w:val="Normal"/>
    <w:uiPriority w:val="99"/>
    <w:qFormat/>
    <w:rsid w:val="004C1C4F"/>
    <w:pPr>
      <w:keepNext/>
      <w:tabs>
        <w:tab w:val="right" w:pos="1890"/>
      </w:tabs>
      <w:spacing w:after="0" w:line="240" w:lineRule="auto"/>
    </w:pPr>
    <w:rPr>
      <w:rFonts w:ascii="Times New Roman" w:eastAsia="Times New Roman" w:hAnsi="Times New Roman" w:cs="Times"/>
      <w:sz w:val="20"/>
      <w:szCs w:val="20"/>
      <w:lang w:val="en-US"/>
    </w:rPr>
  </w:style>
  <w:style w:type="paragraph" w:customStyle="1" w:styleId="TableMarginNote">
    <w:name w:val="Table Margin Note"/>
    <w:basedOn w:val="Normal"/>
    <w:uiPriority w:val="99"/>
    <w:rsid w:val="004C1C4F"/>
    <w:pPr>
      <w:spacing w:after="0" w:line="288" w:lineRule="auto"/>
    </w:pPr>
    <w:rPr>
      <w:rFonts w:ascii="Times New Roman" w:eastAsia="Times New Roman" w:hAnsi="Times New Roman" w:cs="Times"/>
      <w:sz w:val="16"/>
      <w:szCs w:val="20"/>
      <w:lang w:val="en-US"/>
    </w:rPr>
  </w:style>
  <w:style w:type="paragraph" w:customStyle="1" w:styleId="Tablerow">
    <w:name w:val="Table row"/>
    <w:basedOn w:val="Normal"/>
    <w:uiPriority w:val="99"/>
    <w:rsid w:val="004C1C4F"/>
    <w:pPr>
      <w:spacing w:after="0" w:line="240" w:lineRule="auto"/>
    </w:pPr>
    <w:rPr>
      <w:rFonts w:ascii="Times New Roman" w:eastAsia="Times New Roman" w:hAnsi="Times New Roman" w:cs="Times"/>
      <w:bCs/>
      <w:sz w:val="16"/>
      <w:szCs w:val="24"/>
      <w:lang w:val="en-US"/>
    </w:rPr>
  </w:style>
  <w:style w:type="character" w:customStyle="1" w:styleId="FooterChar1">
    <w:name w:val="Footer Char1"/>
    <w:aliases w:val="f Char1,footer Char1"/>
    <w:uiPriority w:val="99"/>
    <w:rsid w:val="004C1C4F"/>
    <w:rPr>
      <w:rFonts w:eastAsia="Times New Roman"/>
      <w:sz w:val="16"/>
      <w:szCs w:val="24"/>
      <w:lang w:val="en-GB" w:eastAsia="en-US" w:bidi="ar-SA"/>
    </w:rPr>
  </w:style>
  <w:style w:type="character" w:customStyle="1" w:styleId="HeaderChar1">
    <w:name w:val="Header Char1"/>
    <w:aliases w:val="Guideline Char1"/>
    <w:rsid w:val="004C1C4F"/>
    <w:rPr>
      <w:rFonts w:eastAsia="Times New Roman"/>
      <w:szCs w:val="24"/>
      <w:lang w:val="en-GB" w:eastAsia="en-US" w:bidi="ar-SA"/>
    </w:rPr>
  </w:style>
  <w:style w:type="paragraph" w:customStyle="1" w:styleId="Title10">
    <w:name w:val="Title 1"/>
    <w:basedOn w:val="Normal"/>
    <w:next w:val="Textoindependiente"/>
    <w:uiPriority w:val="99"/>
    <w:rsid w:val="004C1C4F"/>
    <w:pPr>
      <w:spacing w:after="0" w:line="240" w:lineRule="auto"/>
      <w:jc w:val="center"/>
    </w:pPr>
    <w:rPr>
      <w:rFonts w:ascii="Times New Roman" w:eastAsia="Calibri" w:hAnsi="Times New Roman" w:cs="Arial"/>
      <w:b/>
      <w:sz w:val="20"/>
      <w:szCs w:val="24"/>
      <w:lang w:val="es-AR"/>
    </w:rPr>
  </w:style>
  <w:style w:type="paragraph" w:customStyle="1" w:styleId="Title2">
    <w:name w:val="Title 2"/>
    <w:basedOn w:val="Normal"/>
    <w:next w:val="Textoindependiente"/>
    <w:uiPriority w:val="99"/>
    <w:rsid w:val="004C1C4F"/>
    <w:pPr>
      <w:keepNext/>
      <w:spacing w:after="0" w:line="240" w:lineRule="auto"/>
      <w:jc w:val="center"/>
    </w:pPr>
    <w:rPr>
      <w:rFonts w:ascii="Times New Roman" w:eastAsia="Times New Roman" w:hAnsi="Times New Roman" w:cs="Times"/>
      <w:b/>
      <w:caps/>
      <w:sz w:val="20"/>
      <w:szCs w:val="24"/>
      <w:lang w:val="en-US"/>
    </w:rPr>
  </w:style>
  <w:style w:type="paragraph" w:customStyle="1" w:styleId="Title30">
    <w:name w:val="Title 3"/>
    <w:basedOn w:val="Normal"/>
    <w:next w:val="Textoindependiente"/>
    <w:link w:val="Title3Char"/>
    <w:rsid w:val="004C1C4F"/>
    <w:pPr>
      <w:keepNext/>
      <w:spacing w:after="0" w:line="240" w:lineRule="auto"/>
    </w:pPr>
    <w:rPr>
      <w:rFonts w:ascii="Times New Roman" w:eastAsia="Calibri" w:hAnsi="Times New Roman" w:cs="Times New Roman"/>
      <w:b/>
      <w:sz w:val="20"/>
      <w:szCs w:val="20"/>
      <w:lang w:val="x-none" w:eastAsia="x-none"/>
    </w:rPr>
  </w:style>
  <w:style w:type="paragraph" w:customStyle="1" w:styleId="Title4">
    <w:name w:val="Title 4"/>
    <w:basedOn w:val="Normal"/>
    <w:next w:val="Textoindependiente"/>
    <w:uiPriority w:val="99"/>
    <w:rsid w:val="004C1C4F"/>
    <w:pPr>
      <w:keepNext/>
      <w:spacing w:after="0" w:line="240" w:lineRule="auto"/>
    </w:pPr>
    <w:rPr>
      <w:rFonts w:ascii="Times New Roman" w:eastAsia="Calibri" w:hAnsi="Times New Roman" w:cs="Times"/>
      <w:b/>
      <w:i/>
      <w:sz w:val="20"/>
      <w:szCs w:val="24"/>
      <w:lang w:val="en-US"/>
    </w:rPr>
  </w:style>
  <w:style w:type="paragraph" w:customStyle="1" w:styleId="Title5">
    <w:name w:val="Title 5"/>
    <w:basedOn w:val="Normal"/>
    <w:next w:val="BodyText1"/>
    <w:uiPriority w:val="99"/>
    <w:rsid w:val="004C1C4F"/>
    <w:pPr>
      <w:keepNext/>
      <w:spacing w:after="0" w:line="240" w:lineRule="auto"/>
    </w:pPr>
    <w:rPr>
      <w:rFonts w:ascii="Times New Roman" w:eastAsia="Calibri" w:hAnsi="Times New Roman" w:cs="Times"/>
      <w:i/>
      <w:sz w:val="20"/>
      <w:szCs w:val="24"/>
      <w:lang w:val="en-US"/>
    </w:rPr>
  </w:style>
  <w:style w:type="paragraph" w:customStyle="1" w:styleId="Title6">
    <w:name w:val="Title 6"/>
    <w:basedOn w:val="Normal"/>
    <w:next w:val="BodyText1"/>
    <w:uiPriority w:val="99"/>
    <w:rsid w:val="004C1C4F"/>
    <w:pPr>
      <w:keepNext/>
      <w:spacing w:after="0" w:line="240" w:lineRule="auto"/>
    </w:pPr>
    <w:rPr>
      <w:rFonts w:ascii="Times New Roman" w:eastAsia="Calibri" w:hAnsi="Times New Roman" w:cs="Times"/>
      <w:sz w:val="20"/>
      <w:szCs w:val="24"/>
      <w:u w:val="single"/>
      <w:lang w:val="en-US"/>
    </w:rPr>
  </w:style>
  <w:style w:type="paragraph" w:customStyle="1" w:styleId="Title7">
    <w:name w:val="Title 7"/>
    <w:basedOn w:val="Normal"/>
    <w:next w:val="Textoindependiente"/>
    <w:uiPriority w:val="99"/>
    <w:rsid w:val="004C1C4F"/>
    <w:pPr>
      <w:keepNext/>
      <w:spacing w:after="0" w:line="240" w:lineRule="auto"/>
      <w:ind w:left="720"/>
    </w:pPr>
    <w:rPr>
      <w:rFonts w:ascii="Times New Roman" w:eastAsia="Calibri" w:hAnsi="Times New Roman" w:cs="Times"/>
      <w:sz w:val="20"/>
      <w:szCs w:val="24"/>
      <w:u w:val="single"/>
      <w:lang w:val="en-US"/>
    </w:rPr>
  </w:style>
  <w:style w:type="paragraph" w:customStyle="1" w:styleId="ocNum1st1">
    <w:name w:val="oc_Num_1st 1"/>
    <w:basedOn w:val="Normal"/>
    <w:next w:val="Textoindependiente"/>
    <w:uiPriority w:val="99"/>
    <w:rsid w:val="004C1C4F"/>
    <w:pPr>
      <w:spacing w:after="0" w:line="240" w:lineRule="auto"/>
      <w:outlineLvl w:val="0"/>
    </w:pPr>
    <w:rPr>
      <w:rFonts w:ascii="Times New Roman" w:eastAsia="Calibri" w:hAnsi="Times New Roman" w:cs="Times New Roman"/>
      <w:sz w:val="20"/>
      <w:szCs w:val="24"/>
      <w:lang w:val="en-US"/>
    </w:rPr>
  </w:style>
  <w:style w:type="paragraph" w:customStyle="1" w:styleId="ocNum1st2">
    <w:name w:val="oc_Num_1st 2"/>
    <w:basedOn w:val="Normal"/>
    <w:next w:val="BodyText1"/>
    <w:uiPriority w:val="99"/>
    <w:rsid w:val="004C1C4F"/>
    <w:pPr>
      <w:spacing w:after="0" w:line="240" w:lineRule="auto"/>
      <w:ind w:left="720" w:hanging="720"/>
      <w:outlineLvl w:val="1"/>
    </w:pPr>
    <w:rPr>
      <w:rFonts w:ascii="Times New Roman" w:eastAsia="Calibri" w:hAnsi="Times New Roman" w:cs="Times New Roman"/>
      <w:sz w:val="20"/>
      <w:szCs w:val="24"/>
      <w:lang w:val="en-US"/>
    </w:rPr>
  </w:style>
  <w:style w:type="paragraph" w:customStyle="1" w:styleId="ocNum1st3">
    <w:name w:val="oc_Num_1st 3"/>
    <w:basedOn w:val="Normal"/>
    <w:next w:val="Textoindependiente2"/>
    <w:uiPriority w:val="99"/>
    <w:rsid w:val="004C1C4F"/>
    <w:pPr>
      <w:spacing w:after="0" w:line="240" w:lineRule="auto"/>
      <w:ind w:left="1440" w:hanging="720"/>
      <w:outlineLvl w:val="2"/>
    </w:pPr>
    <w:rPr>
      <w:rFonts w:ascii="Times New Roman" w:eastAsia="Calibri" w:hAnsi="Times New Roman" w:cs="Times New Roman"/>
      <w:sz w:val="20"/>
      <w:szCs w:val="24"/>
      <w:lang w:val="en-US"/>
    </w:rPr>
  </w:style>
  <w:style w:type="paragraph" w:customStyle="1" w:styleId="ocNum1st4">
    <w:name w:val="oc_Num_1st 4"/>
    <w:basedOn w:val="Normal"/>
    <w:next w:val="Textoindependiente3"/>
    <w:uiPriority w:val="99"/>
    <w:rsid w:val="004C1C4F"/>
    <w:pPr>
      <w:spacing w:after="0" w:line="240" w:lineRule="auto"/>
      <w:ind w:left="2160" w:hanging="720"/>
      <w:outlineLvl w:val="3"/>
    </w:pPr>
    <w:rPr>
      <w:rFonts w:ascii="Times New Roman" w:eastAsia="Calibri" w:hAnsi="Times New Roman" w:cs="Times New Roman"/>
      <w:sz w:val="20"/>
      <w:szCs w:val="24"/>
      <w:lang w:val="en-US"/>
    </w:rPr>
  </w:style>
  <w:style w:type="paragraph" w:customStyle="1" w:styleId="ocNum1st5">
    <w:name w:val="oc_Num_1st 5"/>
    <w:basedOn w:val="Normal"/>
    <w:next w:val="BodyText4"/>
    <w:uiPriority w:val="99"/>
    <w:rsid w:val="004C1C4F"/>
    <w:pPr>
      <w:spacing w:after="0" w:line="240" w:lineRule="auto"/>
      <w:ind w:left="2880" w:hanging="720"/>
      <w:outlineLvl w:val="4"/>
    </w:pPr>
    <w:rPr>
      <w:rFonts w:ascii="Times New Roman" w:eastAsia="Calibri" w:hAnsi="Times New Roman" w:cs="Times New Roman"/>
      <w:sz w:val="20"/>
      <w:szCs w:val="24"/>
      <w:lang w:val="en-US"/>
    </w:rPr>
  </w:style>
  <w:style w:type="paragraph" w:customStyle="1" w:styleId="ocNum1st6">
    <w:name w:val="oc_Num_1st 6"/>
    <w:basedOn w:val="Normal"/>
    <w:next w:val="Textoindependiente"/>
    <w:uiPriority w:val="99"/>
    <w:rsid w:val="004C1C4F"/>
    <w:pPr>
      <w:spacing w:after="0" w:line="240" w:lineRule="auto"/>
      <w:outlineLvl w:val="5"/>
    </w:pPr>
    <w:rPr>
      <w:rFonts w:ascii="Times New Roman" w:eastAsia="Calibri" w:hAnsi="Times New Roman" w:cs="Times New Roman"/>
      <w:sz w:val="20"/>
      <w:szCs w:val="24"/>
      <w:lang w:val="en-US"/>
    </w:rPr>
  </w:style>
  <w:style w:type="paragraph" w:customStyle="1" w:styleId="ocNum1st7">
    <w:name w:val="oc_Num_1st 7"/>
    <w:basedOn w:val="Normal"/>
    <w:next w:val="Textoindependiente"/>
    <w:uiPriority w:val="99"/>
    <w:rsid w:val="004C1C4F"/>
    <w:pPr>
      <w:spacing w:after="0" w:line="240" w:lineRule="auto"/>
      <w:outlineLvl w:val="6"/>
    </w:pPr>
    <w:rPr>
      <w:rFonts w:ascii="Times New Roman" w:eastAsia="Calibri" w:hAnsi="Times New Roman" w:cs="Times New Roman"/>
      <w:sz w:val="20"/>
      <w:szCs w:val="24"/>
      <w:lang w:val="en-US"/>
    </w:rPr>
  </w:style>
  <w:style w:type="paragraph" w:customStyle="1" w:styleId="ocNum1st8">
    <w:name w:val="oc_Num_1st 8"/>
    <w:basedOn w:val="Normal"/>
    <w:next w:val="Textoindependiente"/>
    <w:uiPriority w:val="99"/>
    <w:rsid w:val="004C1C4F"/>
    <w:pPr>
      <w:spacing w:after="0" w:line="240" w:lineRule="auto"/>
      <w:outlineLvl w:val="7"/>
    </w:pPr>
    <w:rPr>
      <w:rFonts w:ascii="Times New Roman" w:eastAsia="Calibri" w:hAnsi="Times New Roman" w:cs="Times New Roman"/>
      <w:sz w:val="20"/>
      <w:szCs w:val="24"/>
      <w:lang w:val="en-US"/>
    </w:rPr>
  </w:style>
  <w:style w:type="paragraph" w:customStyle="1" w:styleId="ocNum1st9">
    <w:name w:val="oc_Num_1st 9"/>
    <w:basedOn w:val="Normal"/>
    <w:next w:val="Textoindependiente"/>
    <w:uiPriority w:val="99"/>
    <w:rsid w:val="004C1C4F"/>
    <w:pPr>
      <w:spacing w:after="0" w:line="240" w:lineRule="auto"/>
      <w:outlineLvl w:val="8"/>
    </w:pPr>
    <w:rPr>
      <w:rFonts w:ascii="Times New Roman" w:eastAsia="Calibri" w:hAnsi="Times New Roman" w:cs="Times New Roman"/>
      <w:sz w:val="20"/>
      <w:szCs w:val="24"/>
      <w:lang w:val="en-US"/>
    </w:rPr>
  </w:style>
  <w:style w:type="paragraph" w:customStyle="1" w:styleId="ocNum2nd1">
    <w:name w:val="oc_Num_2nd 1"/>
    <w:basedOn w:val="Normal"/>
    <w:next w:val="Textoindependiente"/>
    <w:uiPriority w:val="99"/>
    <w:rsid w:val="004C1C4F"/>
    <w:pPr>
      <w:spacing w:after="0" w:line="240" w:lineRule="auto"/>
      <w:outlineLvl w:val="0"/>
    </w:pPr>
    <w:rPr>
      <w:rFonts w:ascii="Times New Roman" w:eastAsia="Calibri" w:hAnsi="Times New Roman" w:cs="Times New Roman"/>
      <w:sz w:val="20"/>
      <w:szCs w:val="24"/>
      <w:lang w:val="en-US"/>
    </w:rPr>
  </w:style>
  <w:style w:type="paragraph" w:customStyle="1" w:styleId="ocNum2nd2">
    <w:name w:val="oc_Num_2nd 2"/>
    <w:basedOn w:val="Normal"/>
    <w:next w:val="BodyText1"/>
    <w:uiPriority w:val="99"/>
    <w:rsid w:val="004C1C4F"/>
    <w:pPr>
      <w:spacing w:after="0" w:line="240" w:lineRule="auto"/>
      <w:ind w:left="720" w:hanging="720"/>
      <w:outlineLvl w:val="1"/>
    </w:pPr>
    <w:rPr>
      <w:rFonts w:ascii="Times New Roman" w:eastAsia="Calibri" w:hAnsi="Times New Roman" w:cs="Times New Roman"/>
      <w:sz w:val="20"/>
      <w:szCs w:val="24"/>
      <w:lang w:val="en-US"/>
    </w:rPr>
  </w:style>
  <w:style w:type="paragraph" w:customStyle="1" w:styleId="ocNum2nd3">
    <w:name w:val="oc_Num_2nd 3"/>
    <w:basedOn w:val="Normal"/>
    <w:next w:val="Textoindependiente2"/>
    <w:uiPriority w:val="99"/>
    <w:rsid w:val="004C1C4F"/>
    <w:pPr>
      <w:spacing w:after="0" w:line="240" w:lineRule="auto"/>
      <w:ind w:left="1440" w:hanging="720"/>
      <w:outlineLvl w:val="2"/>
    </w:pPr>
    <w:rPr>
      <w:rFonts w:ascii="Times New Roman" w:eastAsia="Calibri" w:hAnsi="Times New Roman" w:cs="Times New Roman"/>
      <w:sz w:val="20"/>
      <w:szCs w:val="24"/>
      <w:lang w:val="en-US"/>
    </w:rPr>
  </w:style>
  <w:style w:type="paragraph" w:customStyle="1" w:styleId="ocNum2nd4">
    <w:name w:val="oc_Num_2nd 4"/>
    <w:basedOn w:val="Normal"/>
    <w:next w:val="Textoindependiente3"/>
    <w:uiPriority w:val="99"/>
    <w:rsid w:val="004C1C4F"/>
    <w:pPr>
      <w:spacing w:after="0" w:line="240" w:lineRule="auto"/>
      <w:ind w:left="2160" w:hanging="720"/>
      <w:outlineLvl w:val="3"/>
    </w:pPr>
    <w:rPr>
      <w:rFonts w:ascii="Times New Roman" w:eastAsia="Calibri" w:hAnsi="Times New Roman" w:cs="Times New Roman"/>
      <w:sz w:val="20"/>
      <w:szCs w:val="24"/>
      <w:lang w:val="en-US"/>
    </w:rPr>
  </w:style>
  <w:style w:type="paragraph" w:customStyle="1" w:styleId="ocNum2nd5">
    <w:name w:val="oc_Num_2nd 5"/>
    <w:basedOn w:val="Normal"/>
    <w:next w:val="BodyText4"/>
    <w:uiPriority w:val="99"/>
    <w:rsid w:val="004C1C4F"/>
    <w:pPr>
      <w:spacing w:after="0" w:line="240" w:lineRule="auto"/>
      <w:ind w:left="2880" w:hanging="720"/>
      <w:outlineLvl w:val="4"/>
    </w:pPr>
    <w:rPr>
      <w:rFonts w:ascii="Times New Roman" w:eastAsia="Calibri" w:hAnsi="Times New Roman" w:cs="Times New Roman"/>
      <w:sz w:val="20"/>
      <w:szCs w:val="24"/>
      <w:lang w:val="en-US"/>
    </w:rPr>
  </w:style>
  <w:style w:type="paragraph" w:customStyle="1" w:styleId="ocNum2nd6">
    <w:name w:val="oc_Num_2nd 6"/>
    <w:basedOn w:val="Normal"/>
    <w:next w:val="Textoindependiente"/>
    <w:uiPriority w:val="99"/>
    <w:rsid w:val="004C1C4F"/>
    <w:pPr>
      <w:spacing w:after="0" w:line="240" w:lineRule="auto"/>
      <w:outlineLvl w:val="5"/>
    </w:pPr>
    <w:rPr>
      <w:rFonts w:ascii="Times New Roman" w:eastAsia="Calibri" w:hAnsi="Times New Roman" w:cs="Times New Roman"/>
      <w:sz w:val="20"/>
      <w:szCs w:val="24"/>
      <w:lang w:val="en-US"/>
    </w:rPr>
  </w:style>
  <w:style w:type="paragraph" w:customStyle="1" w:styleId="ocNum2nd7">
    <w:name w:val="oc_Num_2nd 7"/>
    <w:basedOn w:val="Normal"/>
    <w:next w:val="Textoindependiente"/>
    <w:uiPriority w:val="99"/>
    <w:rsid w:val="004C1C4F"/>
    <w:pPr>
      <w:spacing w:after="0" w:line="240" w:lineRule="auto"/>
      <w:outlineLvl w:val="6"/>
    </w:pPr>
    <w:rPr>
      <w:rFonts w:ascii="Times New Roman" w:eastAsia="Calibri" w:hAnsi="Times New Roman" w:cs="Times New Roman"/>
      <w:sz w:val="20"/>
      <w:szCs w:val="24"/>
      <w:lang w:val="en-US"/>
    </w:rPr>
  </w:style>
  <w:style w:type="paragraph" w:customStyle="1" w:styleId="ocNum2nd8">
    <w:name w:val="oc_Num_2nd 8"/>
    <w:basedOn w:val="Normal"/>
    <w:next w:val="Textoindependiente"/>
    <w:uiPriority w:val="99"/>
    <w:rsid w:val="004C1C4F"/>
    <w:pPr>
      <w:spacing w:after="0" w:line="240" w:lineRule="auto"/>
      <w:outlineLvl w:val="7"/>
    </w:pPr>
    <w:rPr>
      <w:rFonts w:ascii="Times New Roman" w:eastAsia="Calibri" w:hAnsi="Times New Roman" w:cs="Times New Roman"/>
      <w:sz w:val="20"/>
      <w:szCs w:val="24"/>
      <w:lang w:val="en-US"/>
    </w:rPr>
  </w:style>
  <w:style w:type="paragraph" w:customStyle="1" w:styleId="ocNum2nd9">
    <w:name w:val="oc_Num_2nd 9"/>
    <w:basedOn w:val="Normal"/>
    <w:next w:val="Textoindependiente"/>
    <w:uiPriority w:val="99"/>
    <w:rsid w:val="004C1C4F"/>
    <w:pPr>
      <w:spacing w:after="0" w:line="240" w:lineRule="auto"/>
      <w:outlineLvl w:val="8"/>
    </w:pPr>
    <w:rPr>
      <w:rFonts w:ascii="Times New Roman" w:eastAsia="Calibri" w:hAnsi="Times New Roman" w:cs="Times New Roman"/>
      <w:sz w:val="20"/>
      <w:szCs w:val="24"/>
      <w:lang w:val="en-US"/>
    </w:rPr>
  </w:style>
  <w:style w:type="paragraph" w:customStyle="1" w:styleId="ocNum3rd1">
    <w:name w:val="oc_Num_3rd 1"/>
    <w:basedOn w:val="Normal"/>
    <w:next w:val="BodyText1"/>
    <w:uiPriority w:val="99"/>
    <w:rsid w:val="004C1C4F"/>
    <w:pPr>
      <w:spacing w:after="0" w:line="240" w:lineRule="auto"/>
      <w:ind w:left="720"/>
      <w:outlineLvl w:val="0"/>
    </w:pPr>
    <w:rPr>
      <w:rFonts w:ascii="Times New Roman" w:eastAsia="Calibri" w:hAnsi="Times New Roman" w:cs="Times New Roman"/>
      <w:sz w:val="20"/>
      <w:szCs w:val="24"/>
      <w:lang w:val="en-US"/>
    </w:rPr>
  </w:style>
  <w:style w:type="paragraph" w:customStyle="1" w:styleId="ocNum3rd2">
    <w:name w:val="oc_Num_3rd 2"/>
    <w:basedOn w:val="Normal"/>
    <w:next w:val="Textoindependiente2"/>
    <w:uiPriority w:val="99"/>
    <w:rsid w:val="004C1C4F"/>
    <w:pPr>
      <w:spacing w:after="0" w:line="240" w:lineRule="auto"/>
      <w:ind w:left="1440" w:hanging="720"/>
      <w:outlineLvl w:val="1"/>
    </w:pPr>
    <w:rPr>
      <w:rFonts w:ascii="Times New Roman" w:eastAsia="Calibri" w:hAnsi="Times New Roman" w:cs="Times New Roman"/>
      <w:sz w:val="20"/>
      <w:szCs w:val="24"/>
      <w:lang w:val="en-US"/>
    </w:rPr>
  </w:style>
  <w:style w:type="paragraph" w:customStyle="1" w:styleId="ocNum3rd3">
    <w:name w:val="oc_Num_3rd 3"/>
    <w:basedOn w:val="Normal"/>
    <w:next w:val="Textoindependiente3"/>
    <w:uiPriority w:val="99"/>
    <w:rsid w:val="004C1C4F"/>
    <w:pPr>
      <w:spacing w:after="0" w:line="240" w:lineRule="auto"/>
      <w:ind w:left="2160" w:hanging="720"/>
      <w:outlineLvl w:val="2"/>
    </w:pPr>
    <w:rPr>
      <w:rFonts w:ascii="Times New Roman" w:eastAsia="Calibri" w:hAnsi="Times New Roman" w:cs="Times New Roman"/>
      <w:sz w:val="20"/>
      <w:szCs w:val="24"/>
      <w:lang w:val="en-US"/>
    </w:rPr>
  </w:style>
  <w:style w:type="paragraph" w:customStyle="1" w:styleId="ocNum3rd4">
    <w:name w:val="oc_Num_3rd 4"/>
    <w:basedOn w:val="Normal"/>
    <w:next w:val="BodyText4"/>
    <w:uiPriority w:val="99"/>
    <w:rsid w:val="004C1C4F"/>
    <w:pPr>
      <w:spacing w:after="0" w:line="240" w:lineRule="auto"/>
      <w:ind w:left="2880" w:hanging="720"/>
      <w:outlineLvl w:val="3"/>
    </w:pPr>
    <w:rPr>
      <w:rFonts w:ascii="Times New Roman" w:eastAsia="Calibri" w:hAnsi="Times New Roman" w:cs="Times New Roman"/>
      <w:sz w:val="20"/>
      <w:szCs w:val="24"/>
      <w:lang w:val="en-US"/>
    </w:rPr>
  </w:style>
  <w:style w:type="paragraph" w:customStyle="1" w:styleId="ocNum3rd5">
    <w:name w:val="oc_Num_3rd 5"/>
    <w:basedOn w:val="Normal"/>
    <w:next w:val="BodyText5"/>
    <w:uiPriority w:val="99"/>
    <w:rsid w:val="004C1C4F"/>
    <w:pPr>
      <w:spacing w:after="0" w:line="240" w:lineRule="auto"/>
      <w:ind w:left="3600" w:hanging="720"/>
      <w:outlineLvl w:val="4"/>
    </w:pPr>
    <w:rPr>
      <w:rFonts w:ascii="Times New Roman" w:eastAsia="Calibri" w:hAnsi="Times New Roman" w:cs="Times New Roman"/>
      <w:sz w:val="20"/>
      <w:szCs w:val="24"/>
      <w:lang w:val="en-US"/>
    </w:rPr>
  </w:style>
  <w:style w:type="paragraph" w:customStyle="1" w:styleId="ocNum3rd6">
    <w:name w:val="oc_Num_3rd 6"/>
    <w:basedOn w:val="Normal"/>
    <w:next w:val="Textoindependiente"/>
    <w:uiPriority w:val="99"/>
    <w:rsid w:val="004C1C4F"/>
    <w:pPr>
      <w:spacing w:after="0" w:line="240" w:lineRule="auto"/>
      <w:outlineLvl w:val="5"/>
    </w:pPr>
    <w:rPr>
      <w:rFonts w:ascii="Times New Roman" w:eastAsia="Calibri" w:hAnsi="Times New Roman" w:cs="Times New Roman"/>
      <w:sz w:val="24"/>
      <w:szCs w:val="24"/>
      <w:lang w:val="en-US"/>
    </w:rPr>
  </w:style>
  <w:style w:type="paragraph" w:customStyle="1" w:styleId="ocNum3rd7">
    <w:name w:val="oc_Num_3rd 7"/>
    <w:basedOn w:val="Normal"/>
    <w:next w:val="Textoindependiente"/>
    <w:uiPriority w:val="99"/>
    <w:rsid w:val="004C1C4F"/>
    <w:pPr>
      <w:spacing w:after="0" w:line="240" w:lineRule="auto"/>
      <w:outlineLvl w:val="6"/>
    </w:pPr>
    <w:rPr>
      <w:rFonts w:ascii="Times New Roman" w:eastAsia="Calibri" w:hAnsi="Times New Roman" w:cs="Times New Roman"/>
      <w:sz w:val="20"/>
      <w:szCs w:val="24"/>
      <w:lang w:val="en-US"/>
    </w:rPr>
  </w:style>
  <w:style w:type="paragraph" w:customStyle="1" w:styleId="ocNum3rd8">
    <w:name w:val="oc_Num_3rd 8"/>
    <w:basedOn w:val="Normal"/>
    <w:next w:val="Textoindependiente"/>
    <w:uiPriority w:val="99"/>
    <w:rsid w:val="004C1C4F"/>
    <w:pPr>
      <w:spacing w:after="0" w:line="240" w:lineRule="auto"/>
      <w:outlineLvl w:val="7"/>
    </w:pPr>
    <w:rPr>
      <w:rFonts w:ascii="Times New Roman" w:eastAsia="Calibri" w:hAnsi="Times New Roman" w:cs="Times New Roman"/>
      <w:sz w:val="20"/>
      <w:szCs w:val="24"/>
      <w:lang w:val="en-US"/>
    </w:rPr>
  </w:style>
  <w:style w:type="paragraph" w:customStyle="1" w:styleId="ocNum3rd9">
    <w:name w:val="oc_Num_3rd 9"/>
    <w:basedOn w:val="Normal"/>
    <w:next w:val="Textoindependiente"/>
    <w:uiPriority w:val="99"/>
    <w:rsid w:val="004C1C4F"/>
    <w:pPr>
      <w:spacing w:after="0" w:line="240" w:lineRule="auto"/>
      <w:outlineLvl w:val="8"/>
    </w:pPr>
    <w:rPr>
      <w:rFonts w:ascii="Times New Roman" w:eastAsia="Calibri" w:hAnsi="Times New Roman" w:cs="Times New Roman"/>
      <w:sz w:val="20"/>
      <w:szCs w:val="24"/>
      <w:lang w:val="en-US"/>
    </w:rPr>
  </w:style>
  <w:style w:type="paragraph" w:customStyle="1" w:styleId="ocNum4th1">
    <w:name w:val="oc_Num_4th 1"/>
    <w:basedOn w:val="Normal"/>
    <w:next w:val="Textoindependiente"/>
    <w:uiPriority w:val="99"/>
    <w:rsid w:val="004C1C4F"/>
    <w:pPr>
      <w:spacing w:after="0" w:line="240" w:lineRule="auto"/>
      <w:outlineLvl w:val="0"/>
    </w:pPr>
    <w:rPr>
      <w:rFonts w:ascii="Times New Roman" w:eastAsia="Calibri" w:hAnsi="Times New Roman" w:cs="Times New Roman"/>
      <w:sz w:val="20"/>
      <w:szCs w:val="24"/>
      <w:lang w:val="en-US"/>
    </w:rPr>
  </w:style>
  <w:style w:type="paragraph" w:customStyle="1" w:styleId="ocNum4th2">
    <w:name w:val="oc_Num_4th 2"/>
    <w:basedOn w:val="Normal"/>
    <w:next w:val="BodyText1"/>
    <w:uiPriority w:val="99"/>
    <w:rsid w:val="004C1C4F"/>
    <w:pPr>
      <w:tabs>
        <w:tab w:val="left" w:pos="720"/>
      </w:tabs>
      <w:spacing w:after="0" w:line="240" w:lineRule="auto"/>
      <w:ind w:left="720" w:hanging="720"/>
      <w:outlineLvl w:val="1"/>
    </w:pPr>
    <w:rPr>
      <w:rFonts w:ascii="Times New Roman" w:eastAsia="Calibri" w:hAnsi="Times New Roman" w:cs="Times New Roman"/>
      <w:sz w:val="20"/>
      <w:szCs w:val="24"/>
      <w:lang w:val="en-US"/>
    </w:rPr>
  </w:style>
  <w:style w:type="paragraph" w:customStyle="1" w:styleId="ocNum4th3">
    <w:name w:val="oc_Num_4th 3"/>
    <w:basedOn w:val="Normal"/>
    <w:next w:val="BodyText1"/>
    <w:uiPriority w:val="99"/>
    <w:rsid w:val="004C1C4F"/>
    <w:pPr>
      <w:tabs>
        <w:tab w:val="left" w:pos="720"/>
      </w:tabs>
      <w:spacing w:after="0" w:line="240" w:lineRule="auto"/>
      <w:ind w:left="720" w:hanging="720"/>
      <w:outlineLvl w:val="2"/>
    </w:pPr>
    <w:rPr>
      <w:rFonts w:ascii="Times New Roman" w:eastAsia="Calibri" w:hAnsi="Times New Roman" w:cs="Times New Roman"/>
      <w:sz w:val="20"/>
      <w:szCs w:val="24"/>
      <w:lang w:val="en-US"/>
    </w:rPr>
  </w:style>
  <w:style w:type="paragraph" w:customStyle="1" w:styleId="ocNum4th4">
    <w:name w:val="oc_Num_4th 4"/>
    <w:basedOn w:val="Normal"/>
    <w:next w:val="BodyText1"/>
    <w:uiPriority w:val="99"/>
    <w:rsid w:val="004C1C4F"/>
    <w:pPr>
      <w:spacing w:after="0" w:line="240" w:lineRule="auto"/>
      <w:ind w:left="720"/>
      <w:outlineLvl w:val="3"/>
    </w:pPr>
    <w:rPr>
      <w:rFonts w:ascii="Times New Roman" w:eastAsia="Calibri" w:hAnsi="Times New Roman" w:cs="Times New Roman"/>
      <w:sz w:val="20"/>
      <w:szCs w:val="24"/>
      <w:lang w:val="en-US"/>
    </w:rPr>
  </w:style>
  <w:style w:type="paragraph" w:customStyle="1" w:styleId="ocNum4th5">
    <w:name w:val="oc_Num_4th 5"/>
    <w:basedOn w:val="Normal"/>
    <w:next w:val="Textoindependiente2"/>
    <w:uiPriority w:val="99"/>
    <w:rsid w:val="004C1C4F"/>
    <w:pPr>
      <w:tabs>
        <w:tab w:val="left" w:pos="1440"/>
      </w:tabs>
      <w:spacing w:after="0" w:line="240" w:lineRule="auto"/>
      <w:ind w:left="1440" w:hanging="720"/>
      <w:outlineLvl w:val="4"/>
    </w:pPr>
    <w:rPr>
      <w:rFonts w:ascii="Times New Roman" w:eastAsia="Calibri" w:hAnsi="Times New Roman" w:cs="Times New Roman"/>
      <w:sz w:val="20"/>
      <w:szCs w:val="24"/>
      <w:lang w:val="en-US"/>
    </w:rPr>
  </w:style>
  <w:style w:type="paragraph" w:customStyle="1" w:styleId="ocNum4th6">
    <w:name w:val="oc_Num_4th 6"/>
    <w:basedOn w:val="Normal"/>
    <w:next w:val="Textoindependiente3"/>
    <w:uiPriority w:val="99"/>
    <w:rsid w:val="004C1C4F"/>
    <w:pPr>
      <w:tabs>
        <w:tab w:val="left" w:pos="2160"/>
      </w:tabs>
      <w:spacing w:after="0" w:line="240" w:lineRule="auto"/>
      <w:ind w:left="2160" w:hanging="720"/>
      <w:outlineLvl w:val="5"/>
    </w:pPr>
    <w:rPr>
      <w:rFonts w:ascii="Times New Roman" w:eastAsia="Calibri" w:hAnsi="Times New Roman" w:cs="Times New Roman"/>
      <w:sz w:val="20"/>
      <w:szCs w:val="24"/>
      <w:lang w:val="en-US"/>
    </w:rPr>
  </w:style>
  <w:style w:type="paragraph" w:customStyle="1" w:styleId="ocNum4th7">
    <w:name w:val="oc_Num_4th 7"/>
    <w:basedOn w:val="Normal"/>
    <w:next w:val="BodyText4"/>
    <w:uiPriority w:val="99"/>
    <w:rsid w:val="004C1C4F"/>
    <w:pPr>
      <w:tabs>
        <w:tab w:val="left" w:pos="2880"/>
      </w:tabs>
      <w:spacing w:after="0" w:line="240" w:lineRule="auto"/>
      <w:ind w:left="2880" w:hanging="720"/>
      <w:outlineLvl w:val="6"/>
    </w:pPr>
    <w:rPr>
      <w:rFonts w:ascii="Times New Roman" w:eastAsia="Calibri" w:hAnsi="Times New Roman" w:cs="Times New Roman"/>
      <w:sz w:val="20"/>
      <w:szCs w:val="24"/>
      <w:lang w:val="en-US"/>
    </w:rPr>
  </w:style>
  <w:style w:type="paragraph" w:customStyle="1" w:styleId="ocNum4th8">
    <w:name w:val="oc_Num_4th 8"/>
    <w:basedOn w:val="Normal"/>
    <w:next w:val="BodyText5"/>
    <w:uiPriority w:val="99"/>
    <w:rsid w:val="004C1C4F"/>
    <w:pPr>
      <w:tabs>
        <w:tab w:val="left" w:pos="3600"/>
      </w:tabs>
      <w:spacing w:after="0" w:line="240" w:lineRule="auto"/>
      <w:ind w:left="3600" w:hanging="720"/>
      <w:outlineLvl w:val="7"/>
    </w:pPr>
    <w:rPr>
      <w:rFonts w:ascii="Times New Roman" w:eastAsia="Calibri" w:hAnsi="Times New Roman" w:cs="Times New Roman"/>
      <w:sz w:val="20"/>
      <w:szCs w:val="24"/>
      <w:lang w:val="en-US"/>
    </w:rPr>
  </w:style>
  <w:style w:type="paragraph" w:customStyle="1" w:styleId="ocNum4th9">
    <w:name w:val="oc_Num_4th 9"/>
    <w:basedOn w:val="Normal"/>
    <w:next w:val="Textoindependiente"/>
    <w:uiPriority w:val="99"/>
    <w:rsid w:val="004C1C4F"/>
    <w:pPr>
      <w:spacing w:after="0" w:line="240" w:lineRule="auto"/>
      <w:outlineLvl w:val="8"/>
    </w:pPr>
    <w:rPr>
      <w:rFonts w:ascii="Times New Roman" w:eastAsia="Calibri" w:hAnsi="Times New Roman" w:cs="Times New Roman"/>
      <w:sz w:val="20"/>
      <w:szCs w:val="24"/>
      <w:lang w:val="en-US"/>
    </w:rPr>
  </w:style>
  <w:style w:type="paragraph" w:customStyle="1" w:styleId="ocNum5th1">
    <w:name w:val="oc_Num_5th 1"/>
    <w:basedOn w:val="Normal"/>
    <w:next w:val="BodyText1"/>
    <w:uiPriority w:val="99"/>
    <w:rsid w:val="004C1C4F"/>
    <w:pPr>
      <w:tabs>
        <w:tab w:val="left" w:pos="720"/>
      </w:tabs>
      <w:spacing w:after="0" w:line="240" w:lineRule="auto"/>
      <w:ind w:left="720" w:hanging="720"/>
      <w:outlineLvl w:val="0"/>
    </w:pPr>
    <w:rPr>
      <w:rFonts w:ascii="Times New Roman" w:eastAsia="Calibri" w:hAnsi="Times New Roman" w:cs="Times New Roman"/>
      <w:sz w:val="20"/>
      <w:szCs w:val="24"/>
      <w:lang w:val="en-US"/>
    </w:rPr>
  </w:style>
  <w:style w:type="paragraph" w:customStyle="1" w:styleId="ocNum5th2">
    <w:name w:val="oc_Num_5th 2"/>
    <w:basedOn w:val="Normal"/>
    <w:next w:val="BodyText1"/>
    <w:uiPriority w:val="99"/>
    <w:rsid w:val="004C1C4F"/>
    <w:pPr>
      <w:spacing w:after="0" w:line="240" w:lineRule="auto"/>
      <w:ind w:left="720"/>
      <w:outlineLvl w:val="1"/>
    </w:pPr>
    <w:rPr>
      <w:rFonts w:ascii="Times New Roman" w:eastAsia="Calibri" w:hAnsi="Times New Roman" w:cs="Times New Roman"/>
      <w:sz w:val="20"/>
      <w:szCs w:val="24"/>
      <w:lang w:val="en-US"/>
    </w:rPr>
  </w:style>
  <w:style w:type="paragraph" w:customStyle="1" w:styleId="ocNum5th3">
    <w:name w:val="oc_Num_5th 3"/>
    <w:basedOn w:val="Normal"/>
    <w:next w:val="BodyText1"/>
    <w:uiPriority w:val="99"/>
    <w:rsid w:val="004C1C4F"/>
    <w:pPr>
      <w:tabs>
        <w:tab w:val="left" w:pos="720"/>
      </w:tabs>
      <w:spacing w:after="0" w:line="240" w:lineRule="auto"/>
      <w:ind w:left="720" w:hanging="720"/>
      <w:outlineLvl w:val="2"/>
    </w:pPr>
    <w:rPr>
      <w:rFonts w:ascii="Times New Roman" w:eastAsia="Calibri" w:hAnsi="Times New Roman" w:cs="Times New Roman"/>
      <w:sz w:val="20"/>
      <w:szCs w:val="24"/>
      <w:lang w:val="en-US"/>
    </w:rPr>
  </w:style>
  <w:style w:type="paragraph" w:customStyle="1" w:styleId="ocNum5th4">
    <w:name w:val="oc_Num_5th 4"/>
    <w:basedOn w:val="Normal"/>
    <w:next w:val="Textoindependiente2"/>
    <w:uiPriority w:val="99"/>
    <w:rsid w:val="004C1C4F"/>
    <w:pPr>
      <w:tabs>
        <w:tab w:val="left" w:pos="1440"/>
      </w:tabs>
      <w:spacing w:after="0" w:line="240" w:lineRule="auto"/>
      <w:ind w:left="1440" w:hanging="720"/>
      <w:outlineLvl w:val="3"/>
    </w:pPr>
    <w:rPr>
      <w:rFonts w:ascii="Times New Roman" w:eastAsia="Calibri" w:hAnsi="Times New Roman" w:cs="Times New Roman"/>
      <w:sz w:val="20"/>
      <w:szCs w:val="24"/>
      <w:lang w:val="en-US"/>
    </w:rPr>
  </w:style>
  <w:style w:type="paragraph" w:customStyle="1" w:styleId="ocNum5th5">
    <w:name w:val="oc_Num_5th 5"/>
    <w:basedOn w:val="Normal"/>
    <w:next w:val="Textoindependiente3"/>
    <w:uiPriority w:val="99"/>
    <w:rsid w:val="004C1C4F"/>
    <w:pPr>
      <w:tabs>
        <w:tab w:val="left" w:pos="2160"/>
      </w:tabs>
      <w:spacing w:after="0" w:line="240" w:lineRule="auto"/>
      <w:ind w:left="2160" w:hanging="720"/>
      <w:outlineLvl w:val="4"/>
    </w:pPr>
    <w:rPr>
      <w:rFonts w:ascii="Times New Roman" w:eastAsia="Calibri" w:hAnsi="Times New Roman" w:cs="Times New Roman"/>
      <w:sz w:val="20"/>
      <w:szCs w:val="24"/>
      <w:lang w:val="en-US"/>
    </w:rPr>
  </w:style>
  <w:style w:type="paragraph" w:customStyle="1" w:styleId="ocNum5th6">
    <w:name w:val="oc_Num_5th 6"/>
    <w:basedOn w:val="Normal"/>
    <w:next w:val="BodyText4"/>
    <w:uiPriority w:val="99"/>
    <w:rsid w:val="004C1C4F"/>
    <w:pPr>
      <w:tabs>
        <w:tab w:val="left" w:pos="2880"/>
      </w:tabs>
      <w:spacing w:after="0" w:line="240" w:lineRule="auto"/>
      <w:ind w:left="2880" w:hanging="720"/>
      <w:outlineLvl w:val="5"/>
    </w:pPr>
    <w:rPr>
      <w:rFonts w:ascii="Times New Roman" w:eastAsia="Calibri" w:hAnsi="Times New Roman" w:cs="Times New Roman"/>
      <w:sz w:val="20"/>
      <w:szCs w:val="24"/>
      <w:lang w:val="en-US"/>
    </w:rPr>
  </w:style>
  <w:style w:type="paragraph" w:customStyle="1" w:styleId="ocNum5th7">
    <w:name w:val="oc_Num_5th 7"/>
    <w:basedOn w:val="Normal"/>
    <w:next w:val="Textoindependiente"/>
    <w:uiPriority w:val="99"/>
    <w:rsid w:val="004C1C4F"/>
    <w:pPr>
      <w:spacing w:after="0" w:line="240" w:lineRule="auto"/>
      <w:outlineLvl w:val="6"/>
    </w:pPr>
    <w:rPr>
      <w:rFonts w:ascii="Times New Roman" w:eastAsia="Calibri" w:hAnsi="Times New Roman" w:cs="Times New Roman"/>
      <w:sz w:val="20"/>
      <w:szCs w:val="24"/>
      <w:lang w:val="en-US"/>
    </w:rPr>
  </w:style>
  <w:style w:type="paragraph" w:customStyle="1" w:styleId="ocNum5th8">
    <w:name w:val="oc_Num_5th 8"/>
    <w:basedOn w:val="Normal"/>
    <w:next w:val="Textoindependiente"/>
    <w:uiPriority w:val="99"/>
    <w:rsid w:val="004C1C4F"/>
    <w:pPr>
      <w:spacing w:after="0" w:line="240" w:lineRule="auto"/>
      <w:outlineLvl w:val="7"/>
    </w:pPr>
    <w:rPr>
      <w:rFonts w:ascii="Times New Roman" w:eastAsia="Calibri" w:hAnsi="Times New Roman" w:cs="Times New Roman"/>
      <w:sz w:val="20"/>
      <w:szCs w:val="24"/>
      <w:lang w:val="en-US"/>
    </w:rPr>
  </w:style>
  <w:style w:type="paragraph" w:customStyle="1" w:styleId="ocNum5th9">
    <w:name w:val="oc_Num_5th 9"/>
    <w:basedOn w:val="Normal"/>
    <w:next w:val="Textoindependiente"/>
    <w:uiPriority w:val="99"/>
    <w:rsid w:val="004C1C4F"/>
    <w:pPr>
      <w:spacing w:after="0" w:line="240" w:lineRule="auto"/>
      <w:outlineLvl w:val="8"/>
    </w:pPr>
    <w:rPr>
      <w:rFonts w:ascii="Times New Roman" w:eastAsia="Calibri" w:hAnsi="Times New Roman" w:cs="Times New Roman"/>
      <w:sz w:val="20"/>
      <w:szCs w:val="24"/>
      <w:lang w:val="en-US"/>
    </w:rPr>
  </w:style>
  <w:style w:type="paragraph" w:customStyle="1" w:styleId="BulletL9">
    <w:name w:val="Bullet L9"/>
    <w:basedOn w:val="Normal"/>
    <w:link w:val="BulletL9Char"/>
    <w:rsid w:val="004C1C4F"/>
    <w:pPr>
      <w:tabs>
        <w:tab w:val="num" w:pos="0"/>
      </w:tabs>
      <w:spacing w:after="240" w:line="288" w:lineRule="auto"/>
      <w:ind w:left="1"/>
      <w:outlineLvl w:val="8"/>
    </w:pPr>
    <w:rPr>
      <w:rFonts w:ascii="Times New Roman" w:eastAsia="Calibri" w:hAnsi="Times New Roman" w:cs="Times New Roman"/>
      <w:sz w:val="20"/>
      <w:szCs w:val="20"/>
      <w:lang w:val="x-none" w:eastAsia="x-none"/>
    </w:rPr>
  </w:style>
  <w:style w:type="character" w:customStyle="1" w:styleId="BulletL9Char">
    <w:name w:val="Bullet L9 Char"/>
    <w:link w:val="BulletL9"/>
    <w:rsid w:val="004C1C4F"/>
    <w:rPr>
      <w:rFonts w:ascii="Times New Roman" w:eastAsia="Calibri" w:hAnsi="Times New Roman" w:cs="Times New Roman"/>
      <w:sz w:val="20"/>
      <w:szCs w:val="20"/>
      <w:lang w:val="x-none" w:eastAsia="x-none"/>
    </w:rPr>
  </w:style>
  <w:style w:type="paragraph" w:customStyle="1" w:styleId="BulletL8">
    <w:name w:val="Bullet L8"/>
    <w:basedOn w:val="Normal"/>
    <w:link w:val="BulletL8Char"/>
    <w:rsid w:val="004C1C4F"/>
    <w:pPr>
      <w:spacing w:after="240" w:line="288" w:lineRule="auto"/>
      <w:outlineLvl w:val="7"/>
    </w:pPr>
    <w:rPr>
      <w:rFonts w:ascii="Times New Roman" w:eastAsia="Calibri" w:hAnsi="Times New Roman" w:cs="Times New Roman"/>
      <w:sz w:val="20"/>
      <w:szCs w:val="20"/>
      <w:lang w:val="x-none" w:eastAsia="x-none"/>
    </w:rPr>
  </w:style>
  <w:style w:type="character" w:customStyle="1" w:styleId="BulletL8Char">
    <w:name w:val="Bullet L8 Char"/>
    <w:link w:val="BulletL8"/>
    <w:rsid w:val="004C1C4F"/>
    <w:rPr>
      <w:rFonts w:ascii="Times New Roman" w:eastAsia="Calibri" w:hAnsi="Times New Roman" w:cs="Times New Roman"/>
      <w:sz w:val="20"/>
      <w:szCs w:val="20"/>
      <w:lang w:val="x-none" w:eastAsia="x-none"/>
    </w:rPr>
  </w:style>
  <w:style w:type="paragraph" w:customStyle="1" w:styleId="BulletL7">
    <w:name w:val="Bullet L7"/>
    <w:basedOn w:val="Normal"/>
    <w:link w:val="BulletL7Char"/>
    <w:rsid w:val="004C1C4F"/>
    <w:pPr>
      <w:spacing w:after="240" w:line="288" w:lineRule="auto"/>
      <w:outlineLvl w:val="6"/>
    </w:pPr>
    <w:rPr>
      <w:rFonts w:ascii="Times New Roman" w:eastAsia="Calibri" w:hAnsi="Times New Roman" w:cs="Times New Roman"/>
      <w:sz w:val="20"/>
      <w:szCs w:val="20"/>
      <w:lang w:val="x-none" w:eastAsia="x-none"/>
    </w:rPr>
  </w:style>
  <w:style w:type="character" w:customStyle="1" w:styleId="BulletL7Char">
    <w:name w:val="Bullet L7 Char"/>
    <w:link w:val="BulletL7"/>
    <w:rsid w:val="004C1C4F"/>
    <w:rPr>
      <w:rFonts w:ascii="Times New Roman" w:eastAsia="Calibri" w:hAnsi="Times New Roman" w:cs="Times New Roman"/>
      <w:sz w:val="20"/>
      <w:szCs w:val="20"/>
      <w:lang w:val="x-none" w:eastAsia="x-none"/>
    </w:rPr>
  </w:style>
  <w:style w:type="paragraph" w:customStyle="1" w:styleId="BulletL6">
    <w:name w:val="Bullet L6"/>
    <w:basedOn w:val="Normal"/>
    <w:link w:val="BulletL6Char"/>
    <w:rsid w:val="004C1C4F"/>
    <w:pPr>
      <w:spacing w:after="240" w:line="240" w:lineRule="auto"/>
      <w:outlineLvl w:val="5"/>
    </w:pPr>
    <w:rPr>
      <w:rFonts w:ascii="Times New Roman" w:eastAsia="Calibri" w:hAnsi="Times New Roman" w:cs="Times New Roman"/>
      <w:sz w:val="20"/>
      <w:szCs w:val="20"/>
      <w:lang w:val="x-none" w:eastAsia="x-none"/>
    </w:rPr>
  </w:style>
  <w:style w:type="character" w:customStyle="1" w:styleId="BulletL6Char">
    <w:name w:val="Bullet L6 Char"/>
    <w:link w:val="BulletL6"/>
    <w:rsid w:val="004C1C4F"/>
    <w:rPr>
      <w:rFonts w:ascii="Times New Roman" w:eastAsia="Calibri" w:hAnsi="Times New Roman" w:cs="Times New Roman"/>
      <w:sz w:val="20"/>
      <w:szCs w:val="20"/>
      <w:lang w:val="x-none" w:eastAsia="x-none"/>
    </w:rPr>
  </w:style>
  <w:style w:type="paragraph" w:customStyle="1" w:styleId="BulletL5">
    <w:name w:val="Bullet L5"/>
    <w:basedOn w:val="Normal"/>
    <w:link w:val="BulletL5Char"/>
    <w:rsid w:val="004C1C4F"/>
    <w:pPr>
      <w:spacing w:after="240" w:line="240" w:lineRule="auto"/>
      <w:outlineLvl w:val="4"/>
    </w:pPr>
    <w:rPr>
      <w:rFonts w:ascii="Times New Roman" w:eastAsia="Calibri" w:hAnsi="Times New Roman" w:cs="Times New Roman"/>
      <w:sz w:val="20"/>
      <w:szCs w:val="20"/>
      <w:lang w:val="x-none" w:eastAsia="x-none"/>
    </w:rPr>
  </w:style>
  <w:style w:type="character" w:customStyle="1" w:styleId="BulletL5Char">
    <w:name w:val="Bullet L5 Char"/>
    <w:link w:val="BulletL5"/>
    <w:rsid w:val="004C1C4F"/>
    <w:rPr>
      <w:rFonts w:ascii="Times New Roman" w:eastAsia="Calibri" w:hAnsi="Times New Roman" w:cs="Times New Roman"/>
      <w:sz w:val="20"/>
      <w:szCs w:val="20"/>
      <w:lang w:val="x-none" w:eastAsia="x-none"/>
    </w:rPr>
  </w:style>
  <w:style w:type="paragraph" w:customStyle="1" w:styleId="BulletL4">
    <w:name w:val="Bullet L4"/>
    <w:basedOn w:val="Normal"/>
    <w:link w:val="BulletL4Char"/>
    <w:rsid w:val="004C1C4F"/>
    <w:pPr>
      <w:spacing w:after="240" w:line="240" w:lineRule="auto"/>
      <w:outlineLvl w:val="3"/>
    </w:pPr>
    <w:rPr>
      <w:rFonts w:ascii="Times New Roman" w:eastAsia="Calibri" w:hAnsi="Times New Roman" w:cs="Times New Roman"/>
      <w:sz w:val="20"/>
      <w:szCs w:val="20"/>
      <w:lang w:val="x-none" w:eastAsia="x-none"/>
    </w:rPr>
  </w:style>
  <w:style w:type="character" w:customStyle="1" w:styleId="BulletL4Char">
    <w:name w:val="Bullet L4 Char"/>
    <w:link w:val="BulletL4"/>
    <w:rsid w:val="004C1C4F"/>
    <w:rPr>
      <w:rFonts w:ascii="Times New Roman" w:eastAsia="Calibri" w:hAnsi="Times New Roman" w:cs="Times New Roman"/>
      <w:sz w:val="20"/>
      <w:szCs w:val="20"/>
      <w:lang w:val="x-none" w:eastAsia="x-none"/>
    </w:rPr>
  </w:style>
  <w:style w:type="paragraph" w:customStyle="1" w:styleId="BulletL3">
    <w:name w:val="Bullet L3"/>
    <w:basedOn w:val="Normal"/>
    <w:link w:val="BulletL3Char"/>
    <w:uiPriority w:val="99"/>
    <w:rsid w:val="004C1C4F"/>
    <w:pPr>
      <w:numPr>
        <w:ilvl w:val="2"/>
        <w:numId w:val="39"/>
      </w:numPr>
      <w:tabs>
        <w:tab w:val="clear" w:pos="720"/>
      </w:tabs>
      <w:spacing w:after="0" w:line="240" w:lineRule="auto"/>
      <w:ind w:left="1440" w:hanging="360"/>
      <w:outlineLvl w:val="2"/>
    </w:pPr>
    <w:rPr>
      <w:rFonts w:ascii="Times New Roman" w:eastAsia="Calibri" w:hAnsi="Times New Roman" w:cs="Times New Roman"/>
      <w:i/>
      <w:sz w:val="20"/>
      <w:szCs w:val="24"/>
      <w:lang w:val="x-none" w:eastAsia="x-none"/>
    </w:rPr>
  </w:style>
  <w:style w:type="character" w:customStyle="1" w:styleId="BulletL3Char">
    <w:name w:val="Bullet L3 Char"/>
    <w:link w:val="BulletL3"/>
    <w:uiPriority w:val="99"/>
    <w:rsid w:val="004C1C4F"/>
    <w:rPr>
      <w:rFonts w:ascii="Times New Roman" w:eastAsia="Calibri" w:hAnsi="Times New Roman" w:cs="Times New Roman"/>
      <w:i/>
      <w:sz w:val="20"/>
      <w:szCs w:val="24"/>
      <w:lang w:val="x-none" w:eastAsia="x-none"/>
    </w:rPr>
  </w:style>
  <w:style w:type="paragraph" w:customStyle="1" w:styleId="BulletL2">
    <w:name w:val="Bullet L2"/>
    <w:basedOn w:val="Normal"/>
    <w:link w:val="BulletL2Char"/>
    <w:uiPriority w:val="99"/>
    <w:rsid w:val="004C1C4F"/>
    <w:pPr>
      <w:numPr>
        <w:numId w:val="36"/>
      </w:numPr>
      <w:spacing w:after="0" w:line="240" w:lineRule="auto"/>
      <w:outlineLvl w:val="1"/>
    </w:pPr>
    <w:rPr>
      <w:rFonts w:ascii="Times New Roman" w:eastAsia="Calibri" w:hAnsi="Times New Roman" w:cs="Times New Roman"/>
      <w:sz w:val="20"/>
      <w:szCs w:val="24"/>
      <w:lang w:val="x-none" w:eastAsia="en-GB" w:bidi="ar-AE"/>
    </w:rPr>
  </w:style>
  <w:style w:type="character" w:customStyle="1" w:styleId="BulletL2Char">
    <w:name w:val="Bullet L2 Char"/>
    <w:link w:val="BulletL2"/>
    <w:uiPriority w:val="99"/>
    <w:rsid w:val="004C1C4F"/>
    <w:rPr>
      <w:rFonts w:ascii="Times New Roman" w:eastAsia="Calibri" w:hAnsi="Times New Roman" w:cs="Times New Roman"/>
      <w:sz w:val="20"/>
      <w:szCs w:val="24"/>
      <w:lang w:val="x-none" w:eastAsia="en-GB" w:bidi="ar-AE"/>
    </w:rPr>
  </w:style>
  <w:style w:type="paragraph" w:customStyle="1" w:styleId="BulletL1">
    <w:name w:val="Bullet L1"/>
    <w:basedOn w:val="Normal"/>
    <w:link w:val="BulletL1Char"/>
    <w:rsid w:val="004C1C4F"/>
    <w:pPr>
      <w:spacing w:after="240" w:line="240" w:lineRule="auto"/>
      <w:outlineLvl w:val="0"/>
    </w:pPr>
    <w:rPr>
      <w:rFonts w:ascii="Times New Roman" w:eastAsia="Calibri" w:hAnsi="Times New Roman" w:cs="Times New Roman"/>
      <w:sz w:val="20"/>
      <w:szCs w:val="20"/>
      <w:lang w:val="x-none" w:eastAsia="x-none"/>
    </w:rPr>
  </w:style>
  <w:style w:type="character" w:customStyle="1" w:styleId="BulletL1Char">
    <w:name w:val="Bullet L1 Char"/>
    <w:link w:val="BulletL1"/>
    <w:rsid w:val="004C1C4F"/>
    <w:rPr>
      <w:rFonts w:ascii="Times New Roman" w:eastAsia="Calibri" w:hAnsi="Times New Roman" w:cs="Times New Roman"/>
      <w:sz w:val="20"/>
      <w:szCs w:val="20"/>
      <w:lang w:val="x-none" w:eastAsia="x-none"/>
    </w:rPr>
  </w:style>
  <w:style w:type="table" w:customStyle="1" w:styleId="TableGrid8">
    <w:name w:val="Table Grid8"/>
    <w:basedOn w:val="Tablanormal"/>
    <w:next w:val="Tablaconcuadrcula"/>
    <w:uiPriority w:val="59"/>
    <w:rsid w:val="004C1C4F"/>
    <w:pPr>
      <w:spacing w:after="0" w:line="240" w:lineRule="auto"/>
    </w:pPr>
    <w:rPr>
      <w:rFonts w:ascii="Times New Roman" w:eastAsia="SimSun" w:hAnsi="Times New Roman"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erRight">
    <w:name w:val="Footer Right"/>
    <w:basedOn w:val="Piedepgina"/>
    <w:link w:val="FooterRightChar"/>
    <w:rsid w:val="004C1C4F"/>
    <w:pPr>
      <w:tabs>
        <w:tab w:val="clear" w:pos="4252"/>
        <w:tab w:val="clear" w:pos="8504"/>
        <w:tab w:val="center" w:pos="4680"/>
        <w:tab w:val="right" w:pos="9360"/>
      </w:tabs>
      <w:jc w:val="right"/>
    </w:pPr>
    <w:rPr>
      <w:rFonts w:eastAsia="Calibri"/>
      <w:sz w:val="20"/>
      <w:szCs w:val="18"/>
      <w:lang w:val="x-none"/>
    </w:rPr>
  </w:style>
  <w:style w:type="character" w:customStyle="1" w:styleId="FooterRightChar">
    <w:name w:val="Footer Right Char"/>
    <w:link w:val="FooterRight"/>
    <w:rsid w:val="004C1C4F"/>
    <w:rPr>
      <w:rFonts w:ascii="Times New Roman" w:eastAsia="Calibri" w:hAnsi="Times New Roman" w:cs="Times New Roman"/>
      <w:sz w:val="20"/>
      <w:szCs w:val="18"/>
      <w:lang w:val="x-none" w:eastAsia="x-none"/>
    </w:rPr>
  </w:style>
  <w:style w:type="paragraph" w:customStyle="1" w:styleId="xl49">
    <w:name w:val="xl49"/>
    <w:basedOn w:val="Normal"/>
    <w:uiPriority w:val="99"/>
    <w:rsid w:val="004C1C4F"/>
    <w:pPr>
      <w:spacing w:before="100" w:beforeAutospacing="1" w:after="100" w:afterAutospacing="1" w:line="240" w:lineRule="auto"/>
      <w:ind w:firstLineChars="100" w:firstLine="100"/>
      <w:textAlignment w:val="center"/>
    </w:pPr>
    <w:rPr>
      <w:rFonts w:ascii="Times New Roman" w:eastAsia="Times New Roman" w:hAnsi="Times New Roman" w:cs="Times New Roman"/>
      <w:sz w:val="17"/>
      <w:szCs w:val="17"/>
      <w:lang w:val="pt-BR" w:eastAsia="pt-BR"/>
    </w:rPr>
  </w:style>
  <w:style w:type="paragraph" w:customStyle="1" w:styleId="Bullet1">
    <w:name w:val="Bullet1"/>
    <w:aliases w:val="bu1"/>
    <w:basedOn w:val="Normal"/>
    <w:uiPriority w:val="99"/>
    <w:rsid w:val="004C1C4F"/>
    <w:pPr>
      <w:numPr>
        <w:numId w:val="34"/>
      </w:numPr>
      <w:tabs>
        <w:tab w:val="left" w:pos="864"/>
      </w:tabs>
      <w:spacing w:after="120" w:line="240" w:lineRule="exact"/>
    </w:pPr>
    <w:rPr>
      <w:rFonts w:ascii="Times New Roman" w:eastAsia="Times New Roman" w:hAnsi="Times New Roman" w:cs="Times New Roman"/>
      <w:sz w:val="21"/>
      <w:szCs w:val="20"/>
      <w:lang w:val="en-US"/>
    </w:rPr>
  </w:style>
  <w:style w:type="paragraph" w:customStyle="1" w:styleId="Cell-Item">
    <w:name w:val="Cell-Item"/>
    <w:basedOn w:val="Normal"/>
    <w:link w:val="Cell-ItemChar"/>
    <w:rsid w:val="004C1C4F"/>
    <w:pPr>
      <w:tabs>
        <w:tab w:val="right" w:leader="dot" w:pos="7200"/>
      </w:tabs>
      <w:spacing w:after="40" w:line="240" w:lineRule="exact"/>
      <w:ind w:left="144" w:hanging="144"/>
    </w:pPr>
    <w:rPr>
      <w:rFonts w:ascii="Times New Roman" w:eastAsia="Times New Roman" w:hAnsi="Times New Roman" w:cs="Times New Roman"/>
      <w:sz w:val="21"/>
      <w:szCs w:val="20"/>
      <w:lang w:val="x-none" w:eastAsia="x-none"/>
    </w:rPr>
  </w:style>
  <w:style w:type="character" w:customStyle="1" w:styleId="Cell-ItemChar">
    <w:name w:val="Cell-Item Char"/>
    <w:link w:val="Cell-Item"/>
    <w:rsid w:val="004C1C4F"/>
    <w:rPr>
      <w:rFonts w:ascii="Times New Roman" w:eastAsia="Times New Roman" w:hAnsi="Times New Roman" w:cs="Times New Roman"/>
      <w:sz w:val="21"/>
      <w:szCs w:val="20"/>
      <w:lang w:val="x-none" w:eastAsia="x-none"/>
    </w:rPr>
  </w:style>
  <w:style w:type="paragraph" w:customStyle="1" w:styleId="Cell-Data">
    <w:name w:val="Cell-Data"/>
    <w:basedOn w:val="Normal"/>
    <w:uiPriority w:val="99"/>
    <w:rsid w:val="004C1C4F"/>
    <w:pPr>
      <w:spacing w:after="40" w:line="240" w:lineRule="exact"/>
      <w:jc w:val="right"/>
    </w:pPr>
    <w:rPr>
      <w:rFonts w:ascii="Times New Roman" w:eastAsia="Times New Roman" w:hAnsi="Times New Roman" w:cs="Times New Roman"/>
      <w:sz w:val="21"/>
      <w:szCs w:val="20"/>
      <w:lang w:val="en-US"/>
    </w:rPr>
  </w:style>
  <w:style w:type="paragraph" w:customStyle="1" w:styleId="Cell-Hed">
    <w:name w:val="Cell-Hed"/>
    <w:basedOn w:val="Normal"/>
    <w:uiPriority w:val="99"/>
    <w:rsid w:val="004C1C4F"/>
    <w:pPr>
      <w:keepNext/>
      <w:spacing w:before="40" w:after="20" w:line="220" w:lineRule="exact"/>
      <w:jc w:val="center"/>
    </w:pPr>
    <w:rPr>
      <w:rFonts w:ascii="Times New Roman" w:eastAsia="Times New Roman" w:hAnsi="Times New Roman" w:cs="Times New Roman"/>
      <w:b/>
      <w:sz w:val="19"/>
      <w:szCs w:val="20"/>
      <w:lang w:val="en-US"/>
    </w:rPr>
  </w:style>
  <w:style w:type="paragraph" w:customStyle="1" w:styleId="L1Hed-NotTopPage">
    <w:name w:val="L1Hed-NotTopPage"/>
    <w:basedOn w:val="Normal"/>
    <w:next w:val="Normal"/>
    <w:uiPriority w:val="99"/>
    <w:rsid w:val="004C1C4F"/>
    <w:pPr>
      <w:keepNext/>
      <w:spacing w:before="480" w:after="240" w:line="260" w:lineRule="exact"/>
      <w:jc w:val="center"/>
    </w:pPr>
    <w:rPr>
      <w:rFonts w:ascii="Times New Roman" w:eastAsia="Times New Roman" w:hAnsi="Times New Roman" w:cs="Times New Roman"/>
      <w:b/>
      <w:sz w:val="21"/>
      <w:szCs w:val="20"/>
      <w:lang w:val="en-US"/>
    </w:rPr>
  </w:style>
  <w:style w:type="paragraph" w:customStyle="1" w:styleId="BulletedList">
    <w:name w:val="Bulleted List"/>
    <w:basedOn w:val="Normal"/>
    <w:link w:val="BulletedListChar"/>
    <w:uiPriority w:val="99"/>
    <w:qFormat/>
    <w:rsid w:val="004C1C4F"/>
    <w:pPr>
      <w:numPr>
        <w:numId w:val="40"/>
      </w:numPr>
      <w:spacing w:after="240" w:line="240" w:lineRule="auto"/>
    </w:pPr>
    <w:rPr>
      <w:rFonts w:ascii="Times New Roman" w:eastAsia="Times New Roman" w:hAnsi="Times New Roman" w:cs="Times New Roman"/>
      <w:sz w:val="24"/>
      <w:szCs w:val="20"/>
      <w:lang w:val="x-none" w:eastAsia="x-none"/>
    </w:rPr>
  </w:style>
  <w:style w:type="character" w:customStyle="1" w:styleId="BulletedListChar">
    <w:name w:val="Bulleted List Char"/>
    <w:link w:val="BulletedList"/>
    <w:uiPriority w:val="99"/>
    <w:rsid w:val="004C1C4F"/>
    <w:rPr>
      <w:rFonts w:ascii="Times New Roman" w:eastAsia="Times New Roman" w:hAnsi="Times New Roman" w:cs="Times New Roman"/>
      <w:sz w:val="24"/>
      <w:szCs w:val="20"/>
      <w:lang w:val="x-none" w:eastAsia="x-none"/>
    </w:rPr>
  </w:style>
  <w:style w:type="paragraph" w:customStyle="1" w:styleId="BodyBlock">
    <w:name w:val="BodyBlock"/>
    <w:basedOn w:val="Normal"/>
    <w:link w:val="BodyBlockChar"/>
    <w:rsid w:val="004C1C4F"/>
    <w:pPr>
      <w:tabs>
        <w:tab w:val="left" w:pos="432"/>
      </w:tabs>
      <w:spacing w:after="120" w:line="240" w:lineRule="exact"/>
    </w:pPr>
    <w:rPr>
      <w:rFonts w:ascii="Times New Roman" w:eastAsia="Times New Roman" w:hAnsi="Times New Roman" w:cs="Times New Roman"/>
      <w:sz w:val="21"/>
      <w:szCs w:val="20"/>
      <w:lang w:val="x-none" w:eastAsia="x-none"/>
    </w:rPr>
  </w:style>
  <w:style w:type="character" w:customStyle="1" w:styleId="BodyBlockChar">
    <w:name w:val="BodyBlock Char"/>
    <w:link w:val="BodyBlock"/>
    <w:rsid w:val="004C1C4F"/>
    <w:rPr>
      <w:rFonts w:ascii="Times New Roman" w:eastAsia="Times New Roman" w:hAnsi="Times New Roman" w:cs="Times New Roman"/>
      <w:sz w:val="21"/>
      <w:szCs w:val="20"/>
      <w:lang w:val="x-none" w:eastAsia="x-none"/>
    </w:rPr>
  </w:style>
  <w:style w:type="paragraph" w:customStyle="1" w:styleId="Title16">
    <w:name w:val="Title16"/>
    <w:basedOn w:val="Normal"/>
    <w:uiPriority w:val="99"/>
    <w:rsid w:val="004C1C4F"/>
    <w:pPr>
      <w:spacing w:after="120" w:line="240" w:lineRule="auto"/>
      <w:jc w:val="center"/>
    </w:pPr>
    <w:rPr>
      <w:rFonts w:ascii="Times New Roman" w:eastAsia="Times New Roman" w:hAnsi="Times New Roman" w:cs="Times New Roman"/>
      <w:b/>
      <w:sz w:val="32"/>
      <w:szCs w:val="20"/>
      <w:lang w:val="en-US"/>
    </w:rPr>
  </w:style>
  <w:style w:type="paragraph" w:customStyle="1" w:styleId="VariBody">
    <w:name w:val="VariBody"/>
    <w:basedOn w:val="Normal"/>
    <w:uiPriority w:val="99"/>
    <w:rsid w:val="004C1C4F"/>
    <w:pPr>
      <w:spacing w:after="100"/>
      <w:ind w:firstLine="432"/>
    </w:pPr>
    <w:rPr>
      <w:rFonts w:ascii="Times New Roman" w:eastAsia="Times New Roman" w:hAnsi="Times New Roman" w:cs="Times New Roman"/>
      <w:sz w:val="18"/>
      <w:szCs w:val="20"/>
      <w:lang w:val="en-US"/>
    </w:rPr>
  </w:style>
  <w:style w:type="table" w:styleId="Sombreadoclaro-nfasis3">
    <w:name w:val="Light Shading Accent 3"/>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Sombreadoclaro-nfasis6">
    <w:name w:val="Light Shading Accent 6"/>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nfasissutil3">
    <w:name w:val="Énfasis sutil3"/>
    <w:basedOn w:val="Tablanormal"/>
    <w:uiPriority w:val="19"/>
    <w:qFormat/>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character" w:customStyle="1" w:styleId="shorttext">
    <w:name w:val="short_text"/>
    <w:basedOn w:val="Fuentedeprrafopredeter"/>
    <w:rsid w:val="004C1C4F"/>
  </w:style>
  <w:style w:type="table" w:styleId="Tablabsica1">
    <w:name w:val="Table Simple 1"/>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z-BottomofForm1">
    <w:name w:val="z-Bottom of Form1"/>
    <w:next w:val="Normal"/>
    <w:hidden/>
    <w:uiPriority w:val="99"/>
    <w:rsid w:val="004C1C4F"/>
    <w:pPr>
      <w:pBdr>
        <w:top w:val="double" w:sz="2" w:space="0" w:color="000000"/>
      </w:pBdr>
      <w:spacing w:after="0" w:line="240" w:lineRule="auto"/>
      <w:jc w:val="center"/>
    </w:pPr>
    <w:rPr>
      <w:rFonts w:ascii="Arial" w:eastAsia="Times New Roman" w:hAnsi="Arial" w:cs="Times New Roman"/>
      <w:snapToGrid w:val="0"/>
      <w:vanish/>
      <w:sz w:val="16"/>
      <w:szCs w:val="20"/>
      <w:lang w:val="pt-BR" w:eastAsia="pt-BR"/>
    </w:rPr>
  </w:style>
  <w:style w:type="paragraph" w:customStyle="1" w:styleId="z-TopofForm1">
    <w:name w:val="z-Top of Form1"/>
    <w:next w:val="Normal"/>
    <w:hidden/>
    <w:uiPriority w:val="99"/>
    <w:rsid w:val="004C1C4F"/>
    <w:pPr>
      <w:pBdr>
        <w:bottom w:val="double" w:sz="2" w:space="0" w:color="000000"/>
      </w:pBdr>
      <w:spacing w:after="0" w:line="240" w:lineRule="auto"/>
      <w:jc w:val="center"/>
    </w:pPr>
    <w:rPr>
      <w:rFonts w:ascii="Arial" w:eastAsia="Times New Roman" w:hAnsi="Arial" w:cs="Times New Roman"/>
      <w:snapToGrid w:val="0"/>
      <w:vanish/>
      <w:sz w:val="16"/>
      <w:szCs w:val="20"/>
      <w:lang w:val="pt-BR" w:eastAsia="pt-BR"/>
    </w:rPr>
  </w:style>
  <w:style w:type="paragraph" w:customStyle="1" w:styleId="Body-DTP">
    <w:name w:val="Body-DTP"/>
    <w:basedOn w:val="Normal"/>
    <w:link w:val="Body-DTPChar"/>
    <w:rsid w:val="004C1C4F"/>
    <w:pPr>
      <w:spacing w:after="120" w:line="240" w:lineRule="exact"/>
      <w:ind w:firstLine="432"/>
    </w:pPr>
    <w:rPr>
      <w:rFonts w:ascii="Times New Roman" w:eastAsia="Times New Roman" w:hAnsi="Times New Roman" w:cs="Times New Roman"/>
      <w:sz w:val="21"/>
      <w:szCs w:val="20"/>
      <w:lang w:val="x-none" w:eastAsia="x-none"/>
    </w:rPr>
  </w:style>
  <w:style w:type="character" w:customStyle="1" w:styleId="Body-DTPChar">
    <w:name w:val="Body-DTP Char"/>
    <w:link w:val="Body-DTP"/>
    <w:rsid w:val="004C1C4F"/>
    <w:rPr>
      <w:rFonts w:ascii="Times New Roman" w:eastAsia="Times New Roman" w:hAnsi="Times New Roman" w:cs="Times New Roman"/>
      <w:sz w:val="21"/>
      <w:szCs w:val="20"/>
      <w:lang w:val="x-none" w:eastAsia="x-none"/>
    </w:rPr>
  </w:style>
  <w:style w:type="paragraph" w:customStyle="1" w:styleId="BodyText6">
    <w:name w:val="Body Text 6"/>
    <w:basedOn w:val="Normal"/>
    <w:uiPriority w:val="99"/>
    <w:rsid w:val="004C1C4F"/>
    <w:pPr>
      <w:spacing w:after="0" w:line="240" w:lineRule="auto"/>
      <w:ind w:left="4320"/>
    </w:pPr>
    <w:rPr>
      <w:rFonts w:ascii="Times New Roman" w:eastAsia="Calibri" w:hAnsi="Times New Roman" w:cs="Times New Roman"/>
      <w:sz w:val="20"/>
      <w:szCs w:val="24"/>
      <w:lang w:val="en-US" w:eastAsia="en-GB"/>
    </w:rPr>
  </w:style>
  <w:style w:type="paragraph" w:customStyle="1" w:styleId="BodyText7">
    <w:name w:val="Body Text 7"/>
    <w:basedOn w:val="Normal"/>
    <w:uiPriority w:val="99"/>
    <w:rsid w:val="004C1C4F"/>
    <w:pPr>
      <w:spacing w:after="0" w:line="240" w:lineRule="auto"/>
      <w:ind w:left="5041"/>
    </w:pPr>
    <w:rPr>
      <w:rFonts w:ascii="Times New Roman" w:eastAsia="Calibri" w:hAnsi="Times New Roman" w:cs="Times New Roman"/>
      <w:sz w:val="20"/>
      <w:szCs w:val="24"/>
      <w:lang w:val="en-US" w:eastAsia="en-GB"/>
    </w:rPr>
  </w:style>
  <w:style w:type="paragraph" w:customStyle="1" w:styleId="Footnote">
    <w:name w:val="Footnote"/>
    <w:basedOn w:val="CSTableNotes"/>
    <w:uiPriority w:val="99"/>
    <w:rsid w:val="004C1C4F"/>
    <w:pPr>
      <w:spacing w:after="100"/>
      <w:ind w:left="504" w:hanging="504"/>
    </w:pPr>
  </w:style>
  <w:style w:type="paragraph" w:customStyle="1" w:styleId="NormalBold">
    <w:name w:val="NormalBold"/>
    <w:basedOn w:val="Normal"/>
    <w:next w:val="Normal"/>
    <w:uiPriority w:val="99"/>
    <w:rsid w:val="004C1C4F"/>
    <w:pPr>
      <w:spacing w:after="0" w:line="240" w:lineRule="auto"/>
    </w:pPr>
    <w:rPr>
      <w:rFonts w:ascii="Times New Roman" w:eastAsia="Calibri" w:hAnsi="Times New Roman" w:cs="Times New Roman"/>
      <w:b/>
      <w:bCs/>
      <w:sz w:val="20"/>
      <w:szCs w:val="24"/>
      <w:lang w:val="en-US"/>
    </w:rPr>
  </w:style>
  <w:style w:type="paragraph" w:customStyle="1" w:styleId="NormalBoldNS">
    <w:name w:val="NormalBoldNS"/>
    <w:basedOn w:val="Normal"/>
    <w:next w:val="Normal"/>
    <w:uiPriority w:val="99"/>
    <w:rsid w:val="004C1C4F"/>
    <w:pPr>
      <w:spacing w:after="0" w:line="240" w:lineRule="auto"/>
    </w:pPr>
    <w:rPr>
      <w:rFonts w:ascii="Times New Roman" w:eastAsia="Calibri" w:hAnsi="Times New Roman" w:cs="Times New Roman"/>
      <w:b/>
      <w:bCs/>
      <w:sz w:val="20"/>
      <w:szCs w:val="24"/>
      <w:lang w:val="en-US"/>
    </w:rPr>
  </w:style>
  <w:style w:type="paragraph" w:customStyle="1" w:styleId="NormalNS">
    <w:name w:val="NormalNS"/>
    <w:basedOn w:val="Normal"/>
    <w:uiPriority w:val="99"/>
    <w:rsid w:val="004C1C4F"/>
    <w:pPr>
      <w:spacing w:after="0" w:line="240" w:lineRule="auto"/>
    </w:pPr>
    <w:rPr>
      <w:rFonts w:ascii="Times New Roman" w:eastAsia="Calibri" w:hAnsi="Times New Roman" w:cs="Times New Roman"/>
      <w:sz w:val="20"/>
      <w:szCs w:val="24"/>
      <w:lang w:val="en-US"/>
    </w:rPr>
  </w:style>
  <w:style w:type="paragraph" w:customStyle="1" w:styleId="NormalRight">
    <w:name w:val="NormalRight"/>
    <w:basedOn w:val="NormalNS"/>
    <w:uiPriority w:val="99"/>
    <w:rsid w:val="004C1C4F"/>
  </w:style>
  <w:style w:type="paragraph" w:customStyle="1" w:styleId="NoteContinuation">
    <w:name w:val="Note Continuation"/>
    <w:basedOn w:val="Normal"/>
    <w:uiPriority w:val="99"/>
    <w:rsid w:val="004C1C4F"/>
    <w:pPr>
      <w:spacing w:after="120" w:line="240" w:lineRule="auto"/>
      <w:ind w:left="340"/>
    </w:pPr>
    <w:rPr>
      <w:rFonts w:ascii="Times New Roman" w:eastAsia="Calibri" w:hAnsi="Times New Roman" w:cs="Times New Roman"/>
      <w:sz w:val="20"/>
      <w:szCs w:val="20"/>
      <w:lang w:val="en-US"/>
    </w:rPr>
  </w:style>
  <w:style w:type="paragraph" w:customStyle="1" w:styleId="BGHStandard">
    <w:name w:val="BGH Standard"/>
    <w:basedOn w:val="Normal"/>
    <w:uiPriority w:val="99"/>
    <w:rsid w:val="004C1C4F"/>
    <w:pPr>
      <w:spacing w:after="0" w:line="240" w:lineRule="auto"/>
      <w:ind w:left="1985"/>
    </w:pPr>
    <w:rPr>
      <w:rFonts w:ascii="Times New Roman" w:eastAsia="Calibri" w:hAnsi="Times New Roman" w:cs="Times New Roman"/>
      <w:sz w:val="20"/>
      <w:szCs w:val="24"/>
      <w:lang w:val="en-US" w:eastAsia="en-GB"/>
    </w:rPr>
  </w:style>
  <w:style w:type="paragraph" w:customStyle="1" w:styleId="NormalRight12">
    <w:name w:val="NormalRight12"/>
    <w:basedOn w:val="NormalRight"/>
    <w:uiPriority w:val="99"/>
    <w:rsid w:val="004C1C4F"/>
  </w:style>
  <w:style w:type="paragraph" w:customStyle="1" w:styleId="SubTitle0">
    <w:name w:val="SubTitle0"/>
    <w:basedOn w:val="Subttulo"/>
    <w:uiPriority w:val="99"/>
    <w:rsid w:val="004C1C4F"/>
  </w:style>
  <w:style w:type="paragraph" w:customStyle="1" w:styleId="OptionLabel">
    <w:name w:val="OptionLabel"/>
    <w:uiPriority w:val="99"/>
    <w:rsid w:val="004C1C4F"/>
    <w:pPr>
      <w:spacing w:after="0" w:line="240" w:lineRule="auto"/>
    </w:pPr>
    <w:rPr>
      <w:rFonts w:ascii="Times New Roman" w:eastAsia="SimSun" w:hAnsi="Times New Roman" w:cs="Times New Roman"/>
      <w:b/>
      <w:bCs/>
      <w:sz w:val="24"/>
      <w:szCs w:val="24"/>
      <w:lang w:val="en-GB" w:eastAsia="zh-CN" w:bidi="ar-AE"/>
    </w:rPr>
  </w:style>
  <w:style w:type="paragraph" w:customStyle="1" w:styleId="NormalLeft">
    <w:name w:val="NormalLeft"/>
    <w:basedOn w:val="Normal"/>
    <w:next w:val="Normal"/>
    <w:uiPriority w:val="99"/>
    <w:rsid w:val="004C1C4F"/>
    <w:pPr>
      <w:spacing w:after="0" w:line="240" w:lineRule="auto"/>
    </w:pPr>
    <w:rPr>
      <w:rFonts w:ascii="Times New Roman" w:eastAsia="Calibri" w:hAnsi="Times New Roman" w:cs="Times New Roman"/>
      <w:sz w:val="20"/>
      <w:szCs w:val="24"/>
      <w:lang w:val="en-US"/>
    </w:rPr>
  </w:style>
  <w:style w:type="table" w:customStyle="1" w:styleId="ColorfulGrid1">
    <w:name w:val="Colorful Grid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uadrculamedia2-nfasis2">
    <w:name w:val="Medium Grid 2 Accent 2"/>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uadrculamedia2-nfasis3">
    <w:name w:val="Medium Grid 2 Accent 3"/>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uadrculamedia2-nfasis4">
    <w:name w:val="Medium Grid 2 Accent 4"/>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media2-nfasis5">
    <w:name w:val="Medium Grid 2 Accent 5"/>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uadrculamedia2-nfasis6">
    <w:name w:val="Medium Grid 2 Accent 6"/>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
    <w:name w:val="Cuadrícula vistosa - Énfasis 62"/>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CCCCC"/>
      </w:tcPr>
    </w:tblStylePr>
  </w:style>
  <w:style w:type="table" w:styleId="Cuadrculamedia1-nfasis2">
    <w:name w:val="Medium Grid 1 Accent 2"/>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BE5F1"/>
      </w:tcPr>
    </w:tblStylePr>
  </w:style>
  <w:style w:type="table" w:styleId="Cuadrculamedia1-nfasis3">
    <w:name w:val="Medium Grid 1 Accent 3"/>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F2DBDB"/>
      </w:tcPr>
    </w:tblStylePr>
  </w:style>
  <w:style w:type="table" w:styleId="Cuadrculamedia1-nfasis4">
    <w:name w:val="Medium Grid 1 Accent 4"/>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AF1DD"/>
      </w:tcPr>
    </w:tblStylePr>
  </w:style>
  <w:style w:type="table" w:styleId="Cuadrculamedia1-nfasis5">
    <w:name w:val="Medium Grid 1 Accent 5"/>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E5DFEC"/>
      </w:tcPr>
    </w:tblStylePr>
  </w:style>
  <w:style w:type="table" w:styleId="Cuadrculamedia1-nfasis6">
    <w:name w:val="Medium Grid 1 Accent 6"/>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AEEF3"/>
      </w:tcPr>
    </w:tblStylePr>
  </w:style>
  <w:style w:type="table" w:customStyle="1" w:styleId="Listavistosa-nfasis62">
    <w:name w:val="Lista vistosa - Énfasis 62"/>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9D9"/>
      </w:tcPr>
    </w:tblStylePr>
  </w:style>
  <w:style w:type="table" w:customStyle="1" w:styleId="ColorfulShading1">
    <w:name w:val="Colorful Shading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insideH w:val="single" w:sz="4" w:space="0" w:color="000000"/>
        </w:tcBorders>
        <w:shd w:val="clear" w:color="auto" w:fill="000000"/>
      </w:tcPr>
    </w:tblStylePr>
    <w:tblStylePr w:type="lastCol">
      <w:rPr>
        <w:color w:val="FFFFFF"/>
      </w:rPr>
      <w:tblPr/>
      <w:tcPr>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Listamedia2-nfasis2">
    <w:name w:val="Medium List 2 Accent 2"/>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insideH w:val="single" w:sz="4" w:space="0" w:color="2C4C74"/>
        </w:tcBorders>
        <w:shd w:val="clear" w:color="auto" w:fill="2C4C74"/>
      </w:tcPr>
    </w:tblStylePr>
    <w:tblStylePr w:type="lastCol">
      <w:rPr>
        <w:color w:val="FFFFFF"/>
      </w:rPr>
      <w:tblPr/>
      <w:tcPr>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Listamedia2-nfasis3">
    <w:name w:val="Medium List 2 Accent 3"/>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insideH w:val="single" w:sz="4" w:space="0" w:color="772C2A"/>
        </w:tcBorders>
        <w:shd w:val="clear" w:color="auto" w:fill="772C2A"/>
      </w:tcPr>
    </w:tblStylePr>
    <w:tblStylePr w:type="lastCol">
      <w:rPr>
        <w:color w:val="FFFFFF"/>
      </w:rPr>
      <w:tblPr/>
      <w:tcPr>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Listamedia2-nfasis4">
    <w:name w:val="Medium List 2 Accent 4"/>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bottom w:val="single" w:sz="24" w:space="0" w:color="8064A2"/>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insideH w:val="single" w:sz="4" w:space="0" w:color="5E7530"/>
        </w:tcBorders>
        <w:shd w:val="clear" w:color="auto" w:fill="5E7530"/>
      </w:tcPr>
    </w:tblStylePr>
    <w:tblStylePr w:type="lastCol">
      <w:rPr>
        <w:color w:val="FFFFFF"/>
      </w:rPr>
      <w:tblPr/>
      <w:tcPr>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Listamedia2-nfasis5">
    <w:name w:val="Medium List 2 Accent 5"/>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bottom w:val="single" w:sz="24" w:space="0" w:color="9BBB59"/>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insideH w:val="single" w:sz="4" w:space="0" w:color="4C3B62"/>
        </w:tcBorders>
        <w:shd w:val="clear" w:color="auto" w:fill="4C3B62"/>
      </w:tcPr>
    </w:tblStylePr>
    <w:tblStylePr w:type="lastCol">
      <w:rPr>
        <w:color w:val="FFFFFF"/>
      </w:rPr>
      <w:tblPr/>
      <w:tcPr>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Listamedia2-nfasis6">
    <w:name w:val="Medium List 2 Accent 6"/>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bottom w:val="single" w:sz="24" w:space="0" w:color="F79646"/>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insideH w:val="single" w:sz="4" w:space="0" w:color="276A7C"/>
        </w:tcBorders>
        <w:shd w:val="clear" w:color="auto" w:fill="276A7C"/>
      </w:tcPr>
    </w:tblStylePr>
    <w:tblStylePr w:type="lastCol">
      <w:rPr>
        <w:color w:val="FFFFFF"/>
      </w:rPr>
      <w:tblPr/>
      <w:tcPr>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TtulodeTDC3">
    <w:name w:val="Título de TDC3"/>
    <w:basedOn w:val="Tablanormal"/>
    <w:uiPriority w:val="39"/>
    <w:qFormat/>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bottom w:val="single" w:sz="24" w:space="0" w:color="4BACC6"/>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insideH w:val="single" w:sz="4" w:space="0" w:color="B65608"/>
        </w:tcBorders>
        <w:shd w:val="clear" w:color="auto" w:fill="B65608"/>
      </w:tcPr>
    </w:tblStylePr>
    <w:tblStylePr w:type="lastCol">
      <w:rPr>
        <w:color w:val="FFFFFF"/>
      </w:rPr>
      <w:tblPr/>
      <w:tcPr>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anormal"/>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000000"/>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000000"/>
      </w:tcPr>
    </w:tblStylePr>
    <w:tblStylePr w:type="firstCol">
      <w:tblPr/>
      <w:tcPr>
        <w:tcBorders>
          <w:right w:val="single" w:sz="18" w:space="0" w:color="FFFFFF"/>
        </w:tcBorders>
        <w:shd w:val="clear" w:color="auto" w:fill="000000"/>
      </w:tcPr>
    </w:tblStylePr>
    <w:tblStylePr w:type="lastCol">
      <w:tblPr/>
      <w:tcPr>
        <w:tcBorders>
          <w:left w:val="single" w:sz="18" w:space="0" w:color="FFFFFF"/>
        </w:tcBorders>
        <w:shd w:val="clear" w:color="auto" w:fill="000000"/>
      </w:tcPr>
    </w:tblStylePr>
    <w:tblStylePr w:type="band1Vert">
      <w:tblPr/>
      <w:tcPr>
        <w:shd w:val="clear" w:color="auto" w:fill="000000"/>
      </w:tcPr>
    </w:tblStylePr>
    <w:tblStylePr w:type="band1Horz">
      <w:tblPr/>
      <w:tcPr>
        <w:shd w:val="clear" w:color="auto" w:fill="000000"/>
      </w:tcPr>
    </w:tblStylePr>
  </w:style>
  <w:style w:type="table" w:styleId="Listamedia1-nfasis2">
    <w:name w:val="Medium List 1 Accent 2"/>
    <w:basedOn w:val="Tablanormal"/>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4F81BD"/>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43F60"/>
      </w:tcPr>
    </w:tblStylePr>
    <w:tblStylePr w:type="firstCol">
      <w:tblPr/>
      <w:tcPr>
        <w:tcBorders>
          <w:right w:val="single" w:sz="18" w:space="0" w:color="FFFFFF"/>
        </w:tcBorders>
        <w:shd w:val="clear" w:color="auto" w:fill="365F91"/>
      </w:tcPr>
    </w:tblStylePr>
    <w:tblStylePr w:type="lastCol">
      <w:tblPr/>
      <w:tcPr>
        <w:tcBorders>
          <w:left w:val="single" w:sz="18" w:space="0" w:color="FFFFFF"/>
        </w:tcBorders>
        <w:shd w:val="clear" w:color="auto" w:fill="365F91"/>
      </w:tcPr>
    </w:tblStylePr>
    <w:tblStylePr w:type="band1Vert">
      <w:tblPr/>
      <w:tcPr>
        <w:shd w:val="clear" w:color="auto" w:fill="365F91"/>
      </w:tcPr>
    </w:tblStylePr>
    <w:tblStylePr w:type="band1Horz">
      <w:tblPr/>
      <w:tcPr>
        <w:shd w:val="clear" w:color="auto" w:fill="365F91"/>
      </w:tcPr>
    </w:tblStylePr>
  </w:style>
  <w:style w:type="table" w:styleId="Listamedia1-nfasis3">
    <w:name w:val="Medium List 1 Accent 3"/>
    <w:basedOn w:val="Tablanormal"/>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C0504D"/>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622423"/>
      </w:tcPr>
    </w:tblStylePr>
    <w:tblStylePr w:type="firstCol">
      <w:tblPr/>
      <w:tcPr>
        <w:tcBorders>
          <w:right w:val="single" w:sz="18" w:space="0" w:color="FFFFFF"/>
        </w:tcBorders>
        <w:shd w:val="clear" w:color="auto" w:fill="943634"/>
      </w:tcPr>
    </w:tblStylePr>
    <w:tblStylePr w:type="lastCol">
      <w:tblPr/>
      <w:tcPr>
        <w:tcBorders>
          <w:left w:val="single" w:sz="18" w:space="0" w:color="FFFFFF"/>
        </w:tcBorders>
        <w:shd w:val="clear" w:color="auto" w:fill="943634"/>
      </w:tcPr>
    </w:tblStylePr>
    <w:tblStylePr w:type="band1Vert">
      <w:tblPr/>
      <w:tcPr>
        <w:shd w:val="clear" w:color="auto" w:fill="943634"/>
      </w:tcPr>
    </w:tblStylePr>
    <w:tblStylePr w:type="band1Horz">
      <w:tblPr/>
      <w:tcPr>
        <w:shd w:val="clear" w:color="auto" w:fill="943634"/>
      </w:tcPr>
    </w:tblStylePr>
  </w:style>
  <w:style w:type="table" w:styleId="Listamedia1-nfasis4">
    <w:name w:val="Medium List 1 Accent 4"/>
    <w:basedOn w:val="Tablanormal"/>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styleId="Listamedia1-nfasis5">
    <w:name w:val="Medium List 1 Accent 5"/>
    <w:basedOn w:val="Tablanormal"/>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8064A2"/>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3F3151"/>
      </w:tcPr>
    </w:tblStylePr>
    <w:tblStylePr w:type="firstCol">
      <w:tblPr/>
      <w:tcPr>
        <w:tcBorders>
          <w:right w:val="single" w:sz="18" w:space="0" w:color="FFFFFF"/>
        </w:tcBorders>
        <w:shd w:val="clear" w:color="auto" w:fill="5F497A"/>
      </w:tcPr>
    </w:tblStylePr>
    <w:tblStylePr w:type="lastCol">
      <w:tblPr/>
      <w:tcPr>
        <w:tcBorders>
          <w:left w:val="single" w:sz="18" w:space="0" w:color="FFFFFF"/>
        </w:tcBorders>
        <w:shd w:val="clear" w:color="auto" w:fill="5F497A"/>
      </w:tcPr>
    </w:tblStylePr>
    <w:tblStylePr w:type="band1Vert">
      <w:tblPr/>
      <w:tcPr>
        <w:shd w:val="clear" w:color="auto" w:fill="5F497A"/>
      </w:tcPr>
    </w:tblStylePr>
    <w:tblStylePr w:type="band1Horz">
      <w:tblPr/>
      <w:tcPr>
        <w:shd w:val="clear" w:color="auto" w:fill="5F497A"/>
      </w:tcPr>
    </w:tblStylePr>
  </w:style>
  <w:style w:type="table" w:styleId="Listamedia1-nfasis6">
    <w:name w:val="Medium List 1 Accent 6"/>
    <w:basedOn w:val="Tablanormal"/>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table" w:customStyle="1" w:styleId="Bibliografa3">
    <w:name w:val="Bibliografía3"/>
    <w:basedOn w:val="Tablanormal"/>
    <w:uiPriority w:val="37"/>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F7964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974706"/>
      </w:tcPr>
    </w:tblStylePr>
    <w:tblStylePr w:type="firstCol">
      <w:tblPr/>
      <w:tcPr>
        <w:tcBorders>
          <w:right w:val="single" w:sz="18" w:space="0" w:color="FFFFFF"/>
        </w:tcBorders>
        <w:shd w:val="clear" w:color="auto" w:fill="E36C0A"/>
      </w:tcPr>
    </w:tblStylePr>
    <w:tblStylePr w:type="lastCol">
      <w:tblPr/>
      <w:tcPr>
        <w:tcBorders>
          <w:left w:val="single" w:sz="18" w:space="0" w:color="FFFFFF"/>
        </w:tcBorders>
        <w:shd w:val="clear" w:color="auto" w:fill="E36C0A"/>
      </w:tcPr>
    </w:tblStylePr>
    <w:tblStylePr w:type="band1Vert">
      <w:tblPr/>
      <w:tcPr>
        <w:shd w:val="clear" w:color="auto" w:fill="E36C0A"/>
      </w:tcPr>
    </w:tblStylePr>
    <w:tblStylePr w:type="band1Horz">
      <w:tblPr/>
      <w:tcPr>
        <w:shd w:val="clear" w:color="auto" w:fill="E36C0A"/>
      </w:tcPr>
    </w:tblStylePr>
  </w:style>
  <w:style w:type="table" w:customStyle="1" w:styleId="LightGrid1">
    <w:name w:val="Light Grid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Mincho"/>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SimSun" w:hAnsi="Times New Roman" w:cs="Mincho"/>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Mincho"/>
        <w:b/>
        <w:bCs/>
      </w:rPr>
      <w:tblPr/>
      <w:tcPr>
        <w:tcBorders>
          <w:top w:val="single" w:sz="8" w:space="0" w:color="4F81BD"/>
          <w:left w:val="single" w:sz="8" w:space="0" w:color="4F81BD"/>
          <w:bottom w:val="single" w:sz="18" w:space="0" w:color="4F81BD"/>
          <w:right w:val="single" w:sz="8" w:space="0" w:color="4F81BD"/>
          <w:insideV w:val="single" w:sz="8" w:space="0" w:color="4F81BD"/>
        </w:tcBorders>
      </w:tcPr>
    </w:tblStylePr>
    <w:tblStylePr w:type="lastRow">
      <w:pPr>
        <w:spacing w:before="0" w:after="0" w:line="240" w:lineRule="auto"/>
      </w:pPr>
      <w:rPr>
        <w:rFonts w:ascii="Times New Roman" w:eastAsia="SimSun" w:hAnsi="Times New Roman" w:cs="Mincho"/>
        <w:b/>
        <w:bCs/>
      </w:rPr>
      <w:tblPr/>
      <w:tcPr>
        <w:tcBorders>
          <w:top w:val="double" w:sz="6" w:space="0" w:color="4F81BD"/>
          <w:left w:val="single" w:sz="8" w:space="0" w:color="4F81BD"/>
          <w:bottom w:val="single" w:sz="8" w:space="0" w:color="4F81BD"/>
          <w:right w:val="single" w:sz="8" w:space="0" w:color="4F81BD"/>
          <w:insideV w:val="single" w:sz="8" w:space="0" w:color="4F81BD"/>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Sombreadovistoso-nfasis2">
    <w:name w:val="Colorful Shading Accent 2"/>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Mincho"/>
        <w:b/>
        <w:bCs/>
      </w:rPr>
      <w:tblPr/>
      <w:tcPr>
        <w:tcBorders>
          <w:top w:val="single" w:sz="8" w:space="0" w:color="C0504D"/>
          <w:left w:val="single" w:sz="8" w:space="0" w:color="C0504D"/>
          <w:bottom w:val="single" w:sz="18" w:space="0" w:color="C0504D"/>
          <w:right w:val="single" w:sz="8" w:space="0" w:color="C0504D"/>
          <w:insideV w:val="single" w:sz="8" w:space="0" w:color="C0504D"/>
        </w:tcBorders>
      </w:tcPr>
    </w:tblStylePr>
    <w:tblStylePr w:type="lastRow">
      <w:pPr>
        <w:spacing w:before="0" w:after="0" w:line="240" w:lineRule="auto"/>
      </w:pPr>
      <w:rPr>
        <w:rFonts w:ascii="Times New Roman" w:eastAsia="SimSun" w:hAnsi="Times New Roman" w:cs="Mincho"/>
        <w:b/>
        <w:bCs/>
      </w:rPr>
      <w:tblPr/>
      <w:tcPr>
        <w:tcBorders>
          <w:top w:val="double" w:sz="6" w:space="0" w:color="C0504D"/>
          <w:left w:val="single" w:sz="8" w:space="0" w:color="C0504D"/>
          <w:bottom w:val="single" w:sz="8" w:space="0" w:color="C0504D"/>
          <w:right w:val="single" w:sz="8" w:space="0" w:color="C0504D"/>
          <w:insideV w:val="single" w:sz="8" w:space="0" w:color="C0504D"/>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Sombreadovistoso-nfasis3">
    <w:name w:val="Colorful Shading Accent 3"/>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Mincho"/>
        <w:b/>
        <w:bCs/>
      </w:rPr>
      <w:tblPr/>
      <w:tcPr>
        <w:tcBorders>
          <w:top w:val="single" w:sz="8" w:space="0" w:color="9BBB59"/>
          <w:left w:val="single" w:sz="8" w:space="0" w:color="9BBB59"/>
          <w:bottom w:val="single" w:sz="18" w:space="0" w:color="9BBB59"/>
          <w:right w:val="single" w:sz="8" w:space="0" w:color="9BBB59"/>
          <w:insideV w:val="single" w:sz="8" w:space="0" w:color="9BBB59"/>
        </w:tcBorders>
      </w:tcPr>
    </w:tblStylePr>
    <w:tblStylePr w:type="lastRow">
      <w:pPr>
        <w:spacing w:before="0" w:after="0" w:line="240" w:lineRule="auto"/>
      </w:pPr>
      <w:rPr>
        <w:rFonts w:ascii="Times New Roman" w:eastAsia="SimSun" w:hAnsi="Times New Roman" w:cs="Mincho"/>
        <w:b/>
        <w:bCs/>
      </w:rPr>
      <w:tblPr/>
      <w:tcPr>
        <w:tcBorders>
          <w:top w:val="double" w:sz="6" w:space="0" w:color="9BBB59"/>
          <w:left w:val="single" w:sz="8" w:space="0" w:color="9BBB59"/>
          <w:bottom w:val="single" w:sz="8" w:space="0" w:color="9BBB59"/>
          <w:right w:val="single" w:sz="8" w:space="0" w:color="9BBB59"/>
          <w:insideV w:val="single" w:sz="8" w:space="0" w:color="9BBB59"/>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vistoso-nfasis4">
    <w:name w:val="Colorful Shading Accent 4"/>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Mincho"/>
        <w:b/>
        <w:bCs/>
      </w:rPr>
      <w:tblPr/>
      <w:tcPr>
        <w:tcBorders>
          <w:top w:val="single" w:sz="8" w:space="0" w:color="8064A2"/>
          <w:left w:val="single" w:sz="8" w:space="0" w:color="8064A2"/>
          <w:bottom w:val="single" w:sz="18" w:space="0" w:color="8064A2"/>
          <w:right w:val="single" w:sz="8" w:space="0" w:color="8064A2"/>
          <w:insideV w:val="single" w:sz="8" w:space="0" w:color="8064A2"/>
        </w:tcBorders>
      </w:tcPr>
    </w:tblStylePr>
    <w:tblStylePr w:type="lastRow">
      <w:pPr>
        <w:spacing w:before="0" w:after="0" w:line="240" w:lineRule="auto"/>
      </w:pPr>
      <w:rPr>
        <w:rFonts w:ascii="Times New Roman" w:eastAsia="SimSun" w:hAnsi="Times New Roman" w:cs="Mincho"/>
        <w:b/>
        <w:bCs/>
      </w:rPr>
      <w:tblPr/>
      <w:tcPr>
        <w:tcBorders>
          <w:top w:val="double" w:sz="6" w:space="0" w:color="8064A2"/>
          <w:left w:val="single" w:sz="8" w:space="0" w:color="8064A2"/>
          <w:bottom w:val="single" w:sz="8" w:space="0" w:color="8064A2"/>
          <w:right w:val="single" w:sz="8" w:space="0" w:color="8064A2"/>
          <w:insideV w:val="single" w:sz="8" w:space="0" w:color="8064A2"/>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Sombreadovistoso-nfasis5">
    <w:name w:val="Colorful Shading Accent 5"/>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Mincho"/>
        <w:b/>
        <w:bCs/>
      </w:rPr>
      <w:tblPr/>
      <w:tcPr>
        <w:tcBorders>
          <w:top w:val="single" w:sz="8" w:space="0" w:color="4BACC6"/>
          <w:left w:val="single" w:sz="8" w:space="0" w:color="4BACC6"/>
          <w:bottom w:val="single" w:sz="18" w:space="0" w:color="4BACC6"/>
          <w:right w:val="single" w:sz="8" w:space="0" w:color="4BACC6"/>
          <w:insideV w:val="single" w:sz="8" w:space="0" w:color="4BACC6"/>
        </w:tcBorders>
      </w:tcPr>
    </w:tblStylePr>
    <w:tblStylePr w:type="lastRow">
      <w:pPr>
        <w:spacing w:before="0" w:after="0" w:line="240" w:lineRule="auto"/>
      </w:pPr>
      <w:rPr>
        <w:rFonts w:ascii="Times New Roman" w:eastAsia="SimSun" w:hAnsi="Times New Roman" w:cs="Mincho"/>
        <w:b/>
        <w:bCs/>
      </w:rPr>
      <w:tblPr/>
      <w:tcPr>
        <w:tcBorders>
          <w:top w:val="double" w:sz="6" w:space="0" w:color="4BACC6"/>
          <w:left w:val="single" w:sz="8" w:space="0" w:color="4BACC6"/>
          <w:bottom w:val="single" w:sz="8" w:space="0" w:color="4BACC6"/>
          <w:right w:val="single" w:sz="8" w:space="0" w:color="4BACC6"/>
          <w:insideV w:val="single" w:sz="8" w:space="0" w:color="4BACC6"/>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vistoso-nfasis6">
    <w:name w:val="Colorful Shading Accent 6"/>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Mincho"/>
        <w:b/>
        <w:bCs/>
      </w:rPr>
      <w:tblPr/>
      <w:tcPr>
        <w:tcBorders>
          <w:top w:val="single" w:sz="8" w:space="0" w:color="F79646"/>
          <w:left w:val="single" w:sz="8" w:space="0" w:color="F79646"/>
          <w:bottom w:val="single" w:sz="18" w:space="0" w:color="F79646"/>
          <w:right w:val="single" w:sz="8" w:space="0" w:color="F79646"/>
          <w:insideV w:val="single" w:sz="8" w:space="0" w:color="F79646"/>
        </w:tcBorders>
      </w:tcPr>
    </w:tblStylePr>
    <w:tblStylePr w:type="lastRow">
      <w:pPr>
        <w:spacing w:before="0" w:after="0" w:line="240" w:lineRule="auto"/>
      </w:pPr>
      <w:rPr>
        <w:rFonts w:ascii="Times New Roman" w:eastAsia="SimSun" w:hAnsi="Times New Roman" w:cs="Mincho"/>
        <w:b/>
        <w:bCs/>
      </w:rPr>
      <w:tblPr/>
      <w:tcPr>
        <w:tcBorders>
          <w:top w:val="double" w:sz="6" w:space="0" w:color="F79646"/>
          <w:left w:val="single" w:sz="8" w:space="0" w:color="F79646"/>
          <w:bottom w:val="single" w:sz="8" w:space="0" w:color="F79646"/>
          <w:right w:val="single" w:sz="8" w:space="0" w:color="F79646"/>
          <w:insideV w:val="single" w:sz="8" w:space="0" w:color="F79646"/>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oscura-nfasis2">
    <w:name w:val="Dark List Accent 2"/>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aoscura-nfasis3">
    <w:name w:val="Dark List Accent 3"/>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oscura-nfasis4">
    <w:name w:val="Dark List Accent 4"/>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aoscura-nfasis5">
    <w:name w:val="Dark List Accent 5"/>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aoscura-nfasis6">
    <w:name w:val="Dark List Accent 6"/>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LightShading-Accent11">
    <w:name w:val="Light Shading - Accent 11"/>
    <w:basedOn w:val="Tablanormal"/>
    <w:rsid w:val="004C1C4F"/>
    <w:pPr>
      <w:spacing w:after="0" w:line="240" w:lineRule="auto"/>
    </w:pPr>
    <w:rPr>
      <w:rFonts w:ascii="Times New Roman" w:eastAsia="SimSun" w:hAnsi="Times New Roman" w:cs="Times New Roman"/>
      <w:color w:val="365F91"/>
      <w:sz w:val="20"/>
      <w:szCs w:val="20"/>
      <w:lang w:val="es-AR" w:eastAsia="es-A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bottom w:val="single" w:sz="8" w:space="0" w:color="4F81BD"/>
        </w:tcBorders>
      </w:tcPr>
    </w:tblStylePr>
    <w:tblStylePr w:type="lastRow">
      <w:pPr>
        <w:spacing w:before="0" w:after="0" w:line="240" w:lineRule="auto"/>
      </w:pPr>
      <w:rPr>
        <w:b/>
        <w:bCs/>
      </w:rPr>
      <w:tblPr/>
      <w:tcPr>
        <w:tcBorders>
          <w:top w:val="single" w:sz="8" w:space="0" w:color="4F81BD"/>
          <w:bottom w:val="single" w:sz="8" w:space="0" w:color="4F81B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styleId="Cuadrculamedia3-nfasis2">
    <w:name w:val="Medium Grid 3 Accent 2"/>
    <w:basedOn w:val="Tablanormal"/>
    <w:rsid w:val="004C1C4F"/>
    <w:pPr>
      <w:spacing w:after="0" w:line="240" w:lineRule="auto"/>
    </w:pPr>
    <w:rPr>
      <w:rFonts w:ascii="Times New Roman" w:eastAsia="SimSun" w:hAnsi="Times New Roman" w:cs="Times New Roman"/>
      <w:color w:val="943634"/>
      <w:sz w:val="20"/>
      <w:szCs w:val="20"/>
      <w:lang w:val="es-AR" w:eastAsia="es-A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bottom w:val="single" w:sz="8" w:space="0" w:color="C0504D"/>
        </w:tcBorders>
      </w:tcPr>
    </w:tblStylePr>
    <w:tblStylePr w:type="lastRow">
      <w:pPr>
        <w:spacing w:before="0" w:after="0" w:line="240" w:lineRule="auto"/>
      </w:pPr>
      <w:rPr>
        <w:b/>
        <w:bCs/>
      </w:rPr>
      <w:tblPr/>
      <w:tcPr>
        <w:tcBorders>
          <w:top w:val="single" w:sz="8" w:space="0" w:color="C0504D"/>
          <w:bottom w:val="single" w:sz="8" w:space="0" w:color="C0504D"/>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styleId="Cuadrculamedia3-nfasis3">
    <w:name w:val="Medium Grid 3 Accent 3"/>
    <w:basedOn w:val="Tablanormal"/>
    <w:rsid w:val="004C1C4F"/>
    <w:pPr>
      <w:spacing w:after="0" w:line="240" w:lineRule="auto"/>
    </w:pPr>
    <w:rPr>
      <w:rFonts w:ascii="Times New Roman" w:eastAsia="SimSun" w:hAnsi="Times New Roman" w:cs="Times New Roman"/>
      <w:color w:val="76923C"/>
      <w:sz w:val="20"/>
      <w:szCs w:val="20"/>
      <w:lang w:val="es-AR" w:eastAsia="es-A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bottom w:val="single" w:sz="8" w:space="0" w:color="9BBB59"/>
        </w:tcBorders>
      </w:tcPr>
    </w:tblStylePr>
    <w:tblStylePr w:type="lastRow">
      <w:pPr>
        <w:spacing w:before="0" w:after="0" w:line="240" w:lineRule="auto"/>
      </w:pPr>
      <w:rPr>
        <w:b/>
        <w:bCs/>
      </w:rPr>
      <w:tblPr/>
      <w:tcPr>
        <w:tcBorders>
          <w:top w:val="single" w:sz="8" w:space="0" w:color="9BBB59"/>
          <w:bottom w:val="single" w:sz="8" w:space="0" w:color="9BBB59"/>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styleId="Cuadrculamedia3-nfasis4">
    <w:name w:val="Medium Grid 3 Accent 4"/>
    <w:basedOn w:val="Tablanormal"/>
    <w:rsid w:val="004C1C4F"/>
    <w:pPr>
      <w:spacing w:after="0" w:line="240" w:lineRule="auto"/>
    </w:pPr>
    <w:rPr>
      <w:rFonts w:ascii="Times New Roman" w:eastAsia="SimSun" w:hAnsi="Times New Roman" w:cs="Times New Roman"/>
      <w:color w:val="5F497A"/>
      <w:sz w:val="20"/>
      <w:szCs w:val="20"/>
      <w:lang w:val="es-AR" w:eastAsia="es-A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bottom w:val="single" w:sz="8" w:space="0" w:color="8064A2"/>
        </w:tcBorders>
      </w:tcPr>
    </w:tblStylePr>
    <w:tblStylePr w:type="lastRow">
      <w:pPr>
        <w:spacing w:before="0" w:after="0" w:line="240" w:lineRule="auto"/>
      </w:pPr>
      <w:rPr>
        <w:b/>
        <w:bCs/>
      </w:rPr>
      <w:tblPr/>
      <w:tcPr>
        <w:tcBorders>
          <w:top w:val="single" w:sz="8" w:space="0" w:color="8064A2"/>
          <w:bottom w:val="single" w:sz="8" w:space="0" w:color="8064A2"/>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styleId="Cuadrculamedia3-nfasis5">
    <w:name w:val="Medium Grid 3 Accent 5"/>
    <w:basedOn w:val="Tablanormal"/>
    <w:rsid w:val="004C1C4F"/>
    <w:pPr>
      <w:spacing w:after="0" w:line="240" w:lineRule="auto"/>
    </w:pPr>
    <w:rPr>
      <w:rFonts w:ascii="Times New Roman" w:eastAsia="SimSun" w:hAnsi="Times New Roman" w:cs="Times New Roman"/>
      <w:color w:val="31849B"/>
      <w:sz w:val="20"/>
      <w:szCs w:val="20"/>
      <w:lang w:val="es-AR" w:eastAsia="es-A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bottom w:val="single" w:sz="8" w:space="0" w:color="4BACC6"/>
        </w:tcBorders>
      </w:tcPr>
    </w:tblStylePr>
    <w:tblStylePr w:type="lastRow">
      <w:pPr>
        <w:spacing w:before="0" w:after="0" w:line="240" w:lineRule="auto"/>
      </w:pPr>
      <w:rPr>
        <w:b/>
        <w:bCs/>
      </w:rPr>
      <w:tblPr/>
      <w:tcPr>
        <w:tcBorders>
          <w:top w:val="single" w:sz="8" w:space="0" w:color="4BACC6"/>
          <w:bottom w:val="single" w:sz="8" w:space="0" w:color="4BACC6"/>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styleId="Cuadrculamedia3-nfasis6">
    <w:name w:val="Medium Grid 3 Accent 6"/>
    <w:basedOn w:val="Tablanormal"/>
    <w:rsid w:val="004C1C4F"/>
    <w:pPr>
      <w:spacing w:after="0" w:line="240" w:lineRule="auto"/>
    </w:pPr>
    <w:rPr>
      <w:rFonts w:ascii="Times New Roman" w:eastAsia="SimSun" w:hAnsi="Times New Roman" w:cs="Times New Roman"/>
      <w:color w:val="E36C0A"/>
      <w:sz w:val="20"/>
      <w:szCs w:val="20"/>
      <w:lang w:val="es-AR" w:eastAsia="es-A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bottom w:val="single" w:sz="8" w:space="0" w:color="F79646"/>
        </w:tcBorders>
      </w:tcPr>
    </w:tblStylePr>
    <w:tblStylePr w:type="lastRow">
      <w:pPr>
        <w:spacing w:before="0" w:after="0" w:line="240" w:lineRule="auto"/>
      </w:pPr>
      <w:rPr>
        <w:b/>
        <w:bCs/>
      </w:rPr>
      <w:tblPr/>
      <w:tcPr>
        <w:tcBorders>
          <w:top w:val="single" w:sz="8" w:space="0" w:color="F79646"/>
          <w:bottom w:val="single" w:sz="8" w:space="0" w:color="F79646"/>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customStyle="1" w:styleId="MediumGrid11">
    <w:name w:val="Medium Grid 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clara-nfasis2">
    <w:name w:val="Light Grid Accent 2"/>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uadrculaclara-nfasis3">
    <w:name w:val="Light Grid Accent 3"/>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Cuadrculaclara-nfasis4">
    <w:name w:val="Light Grid Accent 4"/>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uadrculaclara-nfasis5">
    <w:name w:val="Light Grid Accent 5"/>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Cuadrculaclara-nfasis6">
    <w:name w:val="Light Grid Accent 6"/>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Referenciasutil3">
    <w:name w:val="Referencia sutil3"/>
    <w:basedOn w:val="Tablanormal"/>
    <w:uiPriority w:val="31"/>
    <w:qFormat/>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Sombreadomedio1-nfasis2">
    <w:name w:val="Medium Shading 1 Accent 2"/>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Sombreadomedio1-nfasis3">
    <w:name w:val="Medium Shading 1 Accent 3"/>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Sombreadomedio1-nfasis4">
    <w:name w:val="Medium Shading 1 Accent 4"/>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Sombreadomedio1-nfasis5">
    <w:name w:val="Medium Shading 1 Accent 5"/>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Sombreadomedio1-nfasis6">
    <w:name w:val="Medium Shading 1 Accent 6"/>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Referenciaintensa3">
    <w:name w:val="Referencia intensa3"/>
    <w:basedOn w:val="Tablanormal"/>
    <w:uiPriority w:val="32"/>
    <w:qFormat/>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tcBorders>
        <w:shd w:val="clear" w:color="auto" w:fill="000000"/>
      </w:tcPr>
    </w:tblStylePr>
    <w:tblStylePr w:type="lastCol">
      <w:rPr>
        <w:b/>
        <w:bCs/>
        <w:i w:val="0"/>
        <w:iCs w:val="0"/>
        <w:color w:val="FFFFFF"/>
      </w:rPr>
      <w:tblPr/>
      <w:tcPr>
        <w:tcBorders>
          <w:left w:val="single" w:sz="24" w:space="0" w:color="FFFFFF"/>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Sombreadomedio2-nfasis2">
    <w:name w:val="Medium Shading 2 Accent 2"/>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tcBorders>
        <w:shd w:val="clear" w:color="auto" w:fill="4F81BD"/>
      </w:tcPr>
    </w:tblStylePr>
    <w:tblStylePr w:type="lastCol">
      <w:rPr>
        <w:b/>
        <w:bCs/>
        <w:i w:val="0"/>
        <w:iCs w:val="0"/>
        <w:color w:val="FFFFFF"/>
      </w:rPr>
      <w:tblPr/>
      <w:tcPr>
        <w:tcBorders>
          <w:left w:val="single" w:sz="24" w:space="0" w:color="FFFFFF"/>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ombreadomedio2-nfasis3">
    <w:name w:val="Medium Shading 2 Accent 3"/>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tcBorders>
        <w:shd w:val="clear" w:color="auto" w:fill="C0504D"/>
      </w:tcPr>
    </w:tblStylePr>
    <w:tblStylePr w:type="lastCol">
      <w:rPr>
        <w:b/>
        <w:bCs/>
        <w:i w:val="0"/>
        <w:iCs w:val="0"/>
        <w:color w:val="FFFFFF"/>
      </w:rPr>
      <w:tblPr/>
      <w:tcPr>
        <w:tcBorders>
          <w:left w:val="single" w:sz="24" w:space="0" w:color="FFFFFF"/>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Sombreadomedio2-nfasis4">
    <w:name w:val="Medium Shading 2 Accent 4"/>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Sombreadomedio2-nfasis5">
    <w:name w:val="Medium Shading 2 Accent 5"/>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tcBorders>
        <w:shd w:val="clear" w:color="auto" w:fill="8064A2"/>
      </w:tcPr>
    </w:tblStylePr>
    <w:tblStylePr w:type="lastCol">
      <w:rPr>
        <w:b/>
        <w:bCs/>
        <w:i w:val="0"/>
        <w:iCs w:val="0"/>
        <w:color w:val="FFFFFF"/>
      </w:rPr>
      <w:tblPr/>
      <w:tcPr>
        <w:tcBorders>
          <w:left w:val="single" w:sz="24" w:space="0" w:color="FFFFFF"/>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Sombreadomedio2-nfasis6">
    <w:name w:val="Medium Shading 2 Accent 6"/>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tulodellibro3">
    <w:name w:val="Título del libro3"/>
    <w:basedOn w:val="Tablanormal"/>
    <w:uiPriority w:val="33"/>
    <w:qFormat/>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Mincho"/>
      </w:rPr>
      <w:tblPr/>
      <w:tcPr>
        <w:tcBorders>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Mincho"/>
      </w:rPr>
      <w:tblPr/>
      <w:tcPr>
        <w:tcBorders>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Sombreadoclaro-nfasis4">
    <w:name w:val="Light Shading Accent 4"/>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Mincho"/>
      </w:rPr>
      <w:tblPr/>
      <w:tcPr>
        <w:tcBorders>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Sombreadoclaro-nfasis5">
    <w:name w:val="Light Shading Accent 5"/>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Mincho"/>
      </w:rPr>
      <w:tblPr/>
      <w:tcPr>
        <w:tcBorders>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1">
    <w:name w:val="Medium List 2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bottom w:val="single" w:sz="24" w:space="0" w:color="000000"/>
        </w:tcBorders>
        <w:shd w:val="clear" w:color="auto" w:fill="FFFFFF"/>
      </w:tcPr>
    </w:tblStylePr>
    <w:tblStylePr w:type="lastRow">
      <w:tblPr/>
      <w:tcPr>
        <w:tcBorders>
          <w:top w:val="single" w:sz="8" w:space="0" w:color="000000"/>
        </w:tcBorders>
        <w:shd w:val="clear" w:color="auto" w:fill="FFFFFF"/>
      </w:tcPr>
    </w:tblStylePr>
    <w:tblStylePr w:type="firstCol">
      <w:tblPr/>
      <w:tcPr>
        <w:tcBorders>
          <w:right w:val="single" w:sz="8" w:space="0" w:color="000000"/>
        </w:tcBorders>
        <w:shd w:val="clear" w:color="auto" w:fill="FFFFFF"/>
      </w:tcPr>
    </w:tblStylePr>
    <w:tblStylePr w:type="lastCol">
      <w:tblPr/>
      <w:tcPr>
        <w:tcBorders>
          <w:left w:val="single" w:sz="8" w:space="0" w:color="000000"/>
        </w:tcBorders>
        <w:shd w:val="clear" w:color="auto" w:fill="FFFFFF"/>
      </w:tcPr>
    </w:tblStylePr>
    <w:tblStylePr w:type="band1Vert">
      <w:tblPr/>
      <w:tcPr>
        <w:shd w:val="clear" w:color="auto" w:fill="C0C0C0"/>
      </w:tcPr>
    </w:tblStylePr>
    <w:tblStylePr w:type="band1Horz">
      <w:tblPr/>
      <w:tcPr>
        <w:shd w:val="clear" w:color="auto" w:fill="C0C0C0"/>
      </w:tcPr>
    </w:tblStylePr>
    <w:tblStylePr w:type="nwCell">
      <w:tblPr/>
      <w:tcPr>
        <w:shd w:val="clear" w:color="auto" w:fill="FFFFFF"/>
      </w:tcPr>
    </w:tblStylePr>
  </w:style>
  <w:style w:type="table" w:styleId="Listaclara-nfasis2">
    <w:name w:val="Light List Accent 2"/>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bottom w:val="single" w:sz="24" w:space="0" w:color="4F81BD"/>
        </w:tcBorders>
        <w:shd w:val="clear" w:color="auto" w:fill="FFFFFF"/>
      </w:tcPr>
    </w:tblStylePr>
    <w:tblStylePr w:type="lastRow">
      <w:tblPr/>
      <w:tcPr>
        <w:tcBorders>
          <w:top w:val="single" w:sz="8" w:space="0" w:color="4F81BD"/>
        </w:tcBorders>
        <w:shd w:val="clear" w:color="auto" w:fill="FFFFFF"/>
      </w:tcPr>
    </w:tblStylePr>
    <w:tblStylePr w:type="firstCol">
      <w:tblPr/>
      <w:tcPr>
        <w:tcBorders>
          <w:right w:val="single" w:sz="8" w:space="0" w:color="4F81BD"/>
        </w:tcBorders>
        <w:shd w:val="clear" w:color="auto" w:fill="FFFFFF"/>
      </w:tcPr>
    </w:tblStylePr>
    <w:tblStylePr w:type="lastCol">
      <w:tblPr/>
      <w:tcPr>
        <w:tcBorders>
          <w:left w:val="single" w:sz="8" w:space="0" w:color="4F81BD"/>
        </w:tcBorders>
        <w:shd w:val="clear" w:color="auto" w:fill="FFFFFF"/>
      </w:tcPr>
    </w:tblStylePr>
    <w:tblStylePr w:type="band1Vert">
      <w:tblPr/>
      <w:tcPr>
        <w:shd w:val="clear" w:color="auto" w:fill="D3DFEE"/>
      </w:tcPr>
    </w:tblStylePr>
    <w:tblStylePr w:type="band1Horz">
      <w:tblPr/>
      <w:tcPr>
        <w:shd w:val="clear" w:color="auto" w:fill="D3DFEE"/>
      </w:tcPr>
    </w:tblStylePr>
    <w:tblStylePr w:type="nwCell">
      <w:tblPr/>
      <w:tcPr>
        <w:shd w:val="clear" w:color="auto" w:fill="FFFFFF"/>
      </w:tcPr>
    </w:tblStylePr>
  </w:style>
  <w:style w:type="table" w:styleId="Listaclara-nfasis3">
    <w:name w:val="Light List Accent 3"/>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bottom w:val="single" w:sz="24" w:space="0" w:color="C0504D"/>
        </w:tcBorders>
        <w:shd w:val="clear" w:color="auto" w:fill="FFFFFF"/>
      </w:tcPr>
    </w:tblStylePr>
    <w:tblStylePr w:type="lastRow">
      <w:tblPr/>
      <w:tcPr>
        <w:tcBorders>
          <w:top w:val="single" w:sz="8" w:space="0" w:color="C0504D"/>
        </w:tcBorders>
        <w:shd w:val="clear" w:color="auto" w:fill="FFFFFF"/>
      </w:tcPr>
    </w:tblStylePr>
    <w:tblStylePr w:type="firstCol">
      <w:tblPr/>
      <w:tcPr>
        <w:tcBorders>
          <w:right w:val="single" w:sz="8" w:space="0" w:color="C0504D"/>
        </w:tcBorders>
        <w:shd w:val="clear" w:color="auto" w:fill="FFFFFF"/>
      </w:tcPr>
    </w:tblStylePr>
    <w:tblStylePr w:type="lastCol">
      <w:tblPr/>
      <w:tcPr>
        <w:tcBorders>
          <w:left w:val="single" w:sz="8" w:space="0" w:color="C0504D"/>
        </w:tcBorders>
        <w:shd w:val="clear" w:color="auto" w:fill="FFFFFF"/>
      </w:tcPr>
    </w:tblStylePr>
    <w:tblStylePr w:type="band1Vert">
      <w:tblPr/>
      <w:tcPr>
        <w:shd w:val="clear" w:color="auto" w:fill="EFD3D2"/>
      </w:tcPr>
    </w:tblStylePr>
    <w:tblStylePr w:type="band1Horz">
      <w:tblPr/>
      <w:tcPr>
        <w:shd w:val="clear" w:color="auto" w:fill="EFD3D2"/>
      </w:tcPr>
    </w:tblStylePr>
    <w:tblStylePr w:type="nwCell">
      <w:tblPr/>
      <w:tcPr>
        <w:shd w:val="clear" w:color="auto" w:fill="FFFFFF"/>
      </w:tcPr>
    </w:tblStylePr>
  </w:style>
  <w:style w:type="table" w:styleId="Listaclara-nfasis4">
    <w:name w:val="Light List Accent 4"/>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bottom w:val="single" w:sz="24" w:space="0" w:color="9BBB59"/>
        </w:tcBorders>
        <w:shd w:val="clear" w:color="auto" w:fill="FFFFFF"/>
      </w:tcPr>
    </w:tblStylePr>
    <w:tblStylePr w:type="lastRow">
      <w:tblPr/>
      <w:tcPr>
        <w:tcBorders>
          <w:top w:val="single" w:sz="8" w:space="0" w:color="9BBB59"/>
        </w:tcBorders>
        <w:shd w:val="clear" w:color="auto" w:fill="FFFFFF"/>
      </w:tcPr>
    </w:tblStylePr>
    <w:tblStylePr w:type="firstCol">
      <w:tblPr/>
      <w:tcPr>
        <w:tcBorders>
          <w:right w:val="single" w:sz="8" w:space="0" w:color="9BBB59"/>
        </w:tcBorders>
        <w:shd w:val="clear" w:color="auto" w:fill="FFFFFF"/>
      </w:tcPr>
    </w:tblStylePr>
    <w:tblStylePr w:type="lastCol">
      <w:tblPr/>
      <w:tcPr>
        <w:tcBorders>
          <w:left w:val="single" w:sz="8" w:space="0" w:color="9BBB59"/>
        </w:tcBorders>
        <w:shd w:val="clear" w:color="auto" w:fill="FFFFFF"/>
      </w:tcPr>
    </w:tblStylePr>
    <w:tblStylePr w:type="band1Vert">
      <w:tblPr/>
      <w:tcPr>
        <w:shd w:val="clear" w:color="auto" w:fill="E6EED5"/>
      </w:tcPr>
    </w:tblStylePr>
    <w:tblStylePr w:type="band1Horz">
      <w:tblPr/>
      <w:tcPr>
        <w:shd w:val="clear" w:color="auto" w:fill="E6EED5"/>
      </w:tcPr>
    </w:tblStylePr>
    <w:tblStylePr w:type="nwCell">
      <w:tblPr/>
      <w:tcPr>
        <w:shd w:val="clear" w:color="auto" w:fill="FFFFFF"/>
      </w:tcPr>
    </w:tblStylePr>
  </w:style>
  <w:style w:type="table" w:styleId="Listaclara-nfasis5">
    <w:name w:val="Light List Accent 5"/>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bottom w:val="single" w:sz="24" w:space="0" w:color="8064A2"/>
        </w:tcBorders>
        <w:shd w:val="clear" w:color="auto" w:fill="FFFFFF"/>
      </w:tcPr>
    </w:tblStylePr>
    <w:tblStylePr w:type="lastRow">
      <w:tblPr/>
      <w:tcPr>
        <w:tcBorders>
          <w:top w:val="single" w:sz="8" w:space="0" w:color="8064A2"/>
        </w:tcBorders>
        <w:shd w:val="clear" w:color="auto" w:fill="FFFFFF"/>
      </w:tcPr>
    </w:tblStylePr>
    <w:tblStylePr w:type="firstCol">
      <w:tblPr/>
      <w:tcPr>
        <w:tcBorders>
          <w:right w:val="single" w:sz="8" w:space="0" w:color="8064A2"/>
        </w:tcBorders>
        <w:shd w:val="clear" w:color="auto" w:fill="FFFFFF"/>
      </w:tcPr>
    </w:tblStylePr>
    <w:tblStylePr w:type="lastCol">
      <w:tblPr/>
      <w:tcPr>
        <w:tcBorders>
          <w:left w:val="single" w:sz="8" w:space="0" w:color="8064A2"/>
        </w:tcBorders>
        <w:shd w:val="clear" w:color="auto" w:fill="FFFFFF"/>
      </w:tcPr>
    </w:tblStylePr>
    <w:tblStylePr w:type="band1Vert">
      <w:tblPr/>
      <w:tcPr>
        <w:shd w:val="clear" w:color="auto" w:fill="DFD8E8"/>
      </w:tcPr>
    </w:tblStylePr>
    <w:tblStylePr w:type="band1Horz">
      <w:tblPr/>
      <w:tcPr>
        <w:shd w:val="clear" w:color="auto" w:fill="DFD8E8"/>
      </w:tcPr>
    </w:tblStylePr>
    <w:tblStylePr w:type="nwCell">
      <w:tblPr/>
      <w:tcPr>
        <w:shd w:val="clear" w:color="auto" w:fill="FFFFFF"/>
      </w:tcPr>
    </w:tblStylePr>
  </w:style>
  <w:style w:type="table" w:styleId="Listaclara-nfasis6">
    <w:name w:val="Light List Accent 6"/>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bottom w:val="single" w:sz="24" w:space="0" w:color="4BACC6"/>
        </w:tcBorders>
        <w:shd w:val="clear" w:color="auto" w:fill="FFFFFF"/>
      </w:tcPr>
    </w:tblStylePr>
    <w:tblStylePr w:type="lastRow">
      <w:tblPr/>
      <w:tcPr>
        <w:tcBorders>
          <w:top w:val="single" w:sz="8" w:space="0" w:color="4BACC6"/>
        </w:tcBorders>
        <w:shd w:val="clear" w:color="auto" w:fill="FFFFFF"/>
      </w:tcPr>
    </w:tblStylePr>
    <w:tblStylePr w:type="firstCol">
      <w:tblPr/>
      <w:tcPr>
        <w:tcBorders>
          <w:right w:val="single" w:sz="8" w:space="0" w:color="4BACC6"/>
        </w:tcBorders>
        <w:shd w:val="clear" w:color="auto" w:fill="FFFFFF"/>
      </w:tcPr>
    </w:tblStylePr>
    <w:tblStylePr w:type="lastCol">
      <w:tblPr/>
      <w:tcPr>
        <w:tcBorders>
          <w:left w:val="single" w:sz="8" w:space="0" w:color="4BACC6"/>
        </w:tcBorders>
        <w:shd w:val="clear" w:color="auto" w:fill="FFFFFF"/>
      </w:tcPr>
    </w:tblStylePr>
    <w:tblStylePr w:type="band1Vert">
      <w:tblPr/>
      <w:tcPr>
        <w:shd w:val="clear" w:color="auto" w:fill="D2EAF1"/>
      </w:tcPr>
    </w:tblStylePr>
    <w:tblStylePr w:type="band1Horz">
      <w:tblPr/>
      <w:tcPr>
        <w:shd w:val="clear" w:color="auto" w:fill="D2EAF1"/>
      </w:tcPr>
    </w:tblStylePr>
    <w:tblStylePr w:type="nwCell">
      <w:tblPr/>
      <w:tcPr>
        <w:shd w:val="clear" w:color="auto" w:fill="FFFFFF"/>
      </w:tcPr>
    </w:tblStylePr>
  </w:style>
  <w:style w:type="table" w:customStyle="1" w:styleId="nfasisintenso3">
    <w:name w:val="Énfasis intenso3"/>
    <w:basedOn w:val="Tablanormal"/>
    <w:uiPriority w:val="21"/>
    <w:qFormat/>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bottom w:val="single" w:sz="24" w:space="0" w:color="F79646"/>
        </w:tcBorders>
        <w:shd w:val="clear" w:color="auto" w:fill="FFFFFF"/>
      </w:tcPr>
    </w:tblStylePr>
    <w:tblStylePr w:type="lastRow">
      <w:tblPr/>
      <w:tcPr>
        <w:tcBorders>
          <w:top w:val="single" w:sz="8" w:space="0" w:color="F79646"/>
        </w:tcBorders>
        <w:shd w:val="clear" w:color="auto" w:fill="FFFFFF"/>
      </w:tcPr>
    </w:tblStylePr>
    <w:tblStylePr w:type="firstCol">
      <w:tblPr/>
      <w:tcPr>
        <w:tcBorders>
          <w:right w:val="single" w:sz="8" w:space="0" w:color="F79646"/>
        </w:tcBorders>
        <w:shd w:val="clear" w:color="auto" w:fill="FFFFFF"/>
      </w:tcPr>
    </w:tblStylePr>
    <w:tblStylePr w:type="lastCol">
      <w:tblPr/>
      <w:tcPr>
        <w:tcBorders>
          <w:left w:val="single" w:sz="8" w:space="0" w:color="F79646"/>
        </w:tcBorders>
        <w:shd w:val="clear" w:color="auto" w:fill="FFFFFF"/>
      </w:tcPr>
    </w:tblStylePr>
    <w:tblStylePr w:type="band1Vert">
      <w:tblPr/>
      <w:tcPr>
        <w:shd w:val="clear" w:color="auto" w:fill="FDE4D0"/>
      </w:tcPr>
    </w:tblStylePr>
    <w:tblStylePr w:type="band1Horz">
      <w:tblPr/>
      <w:tcPr>
        <w:shd w:val="clear" w:color="auto" w:fill="FDE4D0"/>
      </w:tcPr>
    </w:tblStylePr>
    <w:tblStylePr w:type="nwCell">
      <w:tblPr/>
      <w:tcPr>
        <w:shd w:val="clear" w:color="auto" w:fill="FFFFFF"/>
      </w:tcPr>
    </w:tblStylePr>
  </w:style>
  <w:style w:type="table" w:customStyle="1" w:styleId="MediumShading11">
    <w:name w:val="Medium Shading 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MediumShading1-Accent11">
    <w:name w:val="Medium Shading 1 - Accent 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styleId="Listavistosa-nfasis2">
    <w:name w:val="Colorful List Accent 2"/>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styleId="Listavistosa-nfasis3">
    <w:name w:val="Colorful List Accent 3"/>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styleId="Listavistosa-nfasis4">
    <w:name w:val="Colorful List Accent 4"/>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styleId="Listavistosa-nfasis5">
    <w:name w:val="Colorful List Accent 5"/>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styleId="Listavistosa-nfasis6">
    <w:name w:val="Colorful List Accent 6"/>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customStyle="1" w:styleId="MediumShading21">
    <w:name w:val="Medium Shading 2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000000"/>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000000"/>
      </w:tcPr>
    </w:tblStylePr>
    <w:tblStylePr w:type="lastCol">
      <w:rPr>
        <w:b/>
        <w:bCs/>
        <w:color w:val="FFFFFF"/>
      </w:rPr>
      <w:tblPr/>
      <w:tcPr>
        <w:shd w:val="clear" w:color="auto" w:fill="000000"/>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MediumShading2-Accent11">
    <w:name w:val="Medium Shading 2 - Accent 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Cuadrculavistosa-nfasis2">
    <w:name w:val="Colorful Grid Accent 2"/>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C0504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C0504D"/>
      </w:tcPr>
    </w:tblStylePr>
    <w:tblStylePr w:type="lastCol">
      <w:rPr>
        <w:b/>
        <w:bCs/>
        <w:color w:val="FFFFFF"/>
      </w:rPr>
      <w:tblPr/>
      <w:tcPr>
        <w:shd w:val="clear" w:color="auto" w:fill="C0504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Cuadrculavistosa-nfasis3">
    <w:name w:val="Colorful Grid Accent 3"/>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Cuadrculavistosa-nfasis4">
    <w:name w:val="Colorful Grid Accent 4"/>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8064A2"/>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8064A2"/>
      </w:tcPr>
    </w:tblStylePr>
    <w:tblStylePr w:type="lastCol">
      <w:rPr>
        <w:b/>
        <w:bCs/>
        <w:color w:val="FFFFFF"/>
      </w:rPr>
      <w:tblPr/>
      <w:tcPr>
        <w:shd w:val="clear" w:color="auto" w:fill="8064A2"/>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Cuadrculavistosa-nfasis5">
    <w:name w:val="Colorful Grid Accent 5"/>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Cuadrculavistosa-nfasis6">
    <w:name w:val="Colorful Grid Accent 6"/>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styleId="Tablaconefectos3D1">
    <w:name w:val="Table 3D effects 1"/>
    <w:basedOn w:val="Tablanormal"/>
    <w:rsid w:val="004C1C4F"/>
    <w:pPr>
      <w:spacing w:after="240" w:line="240" w:lineRule="auto"/>
      <w:jc w:val="both"/>
    </w:pPr>
    <w:rPr>
      <w:rFonts w:ascii="Times New Roman" w:eastAsia="SimSun" w:hAnsi="Times New Roman" w:cs="Times New Roman"/>
      <w:sz w:val="20"/>
      <w:szCs w:val="20"/>
      <w:lang w:val="es-AR" w:eastAsia="es-A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rsid w:val="004C1C4F"/>
    <w:pPr>
      <w:spacing w:after="240" w:line="240" w:lineRule="auto"/>
      <w:jc w:val="both"/>
    </w:pPr>
    <w:rPr>
      <w:rFonts w:ascii="Times New Roman" w:eastAsia="SimSun" w:hAnsi="Times New Roman" w:cs="Times New Roman"/>
      <w:sz w:val="20"/>
      <w:szCs w:val="20"/>
      <w:lang w:val="es-AR" w:eastAsia="es-A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rsid w:val="004C1C4F"/>
    <w:pPr>
      <w:spacing w:after="240" w:line="240" w:lineRule="auto"/>
      <w:jc w:val="both"/>
    </w:pPr>
    <w:rPr>
      <w:rFonts w:ascii="Times New Roman" w:eastAsia="SimSun" w:hAnsi="Times New Roman" w:cs="Times New Roman"/>
      <w:sz w:val="20"/>
      <w:szCs w:val="20"/>
      <w:lang w:val="es-AR" w:eastAsia="es-A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rsid w:val="004C1C4F"/>
    <w:pPr>
      <w:spacing w:after="240" w:line="240" w:lineRule="auto"/>
      <w:jc w:val="both"/>
    </w:pPr>
    <w:rPr>
      <w:rFonts w:ascii="Times New Roman" w:eastAsia="SimSun" w:hAnsi="Times New Roman" w:cs="Times New Roman"/>
      <w:color w:val="000080"/>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rsid w:val="004C1C4F"/>
    <w:pPr>
      <w:spacing w:after="240" w:line="240" w:lineRule="auto"/>
      <w:jc w:val="both"/>
    </w:pPr>
    <w:rPr>
      <w:rFonts w:ascii="Times New Roman" w:eastAsia="SimSun" w:hAnsi="Times New Roman" w:cs="Times New Roman"/>
      <w:color w:val="FFFFFF"/>
      <w:sz w:val="20"/>
      <w:szCs w:val="20"/>
      <w:lang w:val="es-AR" w:eastAsia="es-A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rsid w:val="004C1C4F"/>
    <w:pPr>
      <w:spacing w:after="240" w:line="240" w:lineRule="auto"/>
      <w:jc w:val="both"/>
    </w:pPr>
    <w:rPr>
      <w:rFonts w:ascii="Times New Roman" w:eastAsia="SimSun" w:hAnsi="Times New Roman"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rsid w:val="004C1C4F"/>
    <w:pPr>
      <w:spacing w:after="240" w:line="240" w:lineRule="auto"/>
      <w:jc w:val="both"/>
    </w:pPr>
    <w:rPr>
      <w:rFonts w:ascii="Times New Roman" w:eastAsia="SimSun" w:hAnsi="Times New Roman" w:cs="Times New Roman"/>
      <w:b/>
      <w:bCs/>
      <w:sz w:val="20"/>
      <w:szCs w:val="20"/>
      <w:lang w:val="es-AR" w:eastAsia="es-A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4C1C4F"/>
    <w:pPr>
      <w:spacing w:after="240" w:line="240" w:lineRule="auto"/>
      <w:jc w:val="both"/>
    </w:pPr>
    <w:rPr>
      <w:rFonts w:ascii="Times New Roman" w:eastAsia="SimSun" w:hAnsi="Times New Roman" w:cs="Times New Roman"/>
      <w:b/>
      <w:bCs/>
      <w:sz w:val="20"/>
      <w:szCs w:val="20"/>
      <w:lang w:val="es-AR" w:eastAsia="es-A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rsid w:val="004C1C4F"/>
    <w:pPr>
      <w:spacing w:after="240" w:line="240" w:lineRule="auto"/>
      <w:jc w:val="both"/>
    </w:pPr>
    <w:rPr>
      <w:rFonts w:ascii="Times New Roman" w:eastAsia="SimSun" w:hAnsi="Times New Roman" w:cs="Times New Roman"/>
      <w:sz w:val="20"/>
      <w:szCs w:val="20"/>
      <w:lang w:val="es-AR" w:eastAsia="es-A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rsid w:val="004C1C4F"/>
    <w:pPr>
      <w:spacing w:after="240" w:line="240" w:lineRule="auto"/>
      <w:jc w:val="both"/>
    </w:pPr>
    <w:rPr>
      <w:rFonts w:ascii="Times New Roman" w:eastAsia="SimSun" w:hAnsi="Times New Roman" w:cs="Times New Roman"/>
      <w:sz w:val="20"/>
      <w:szCs w:val="20"/>
      <w:lang w:val="es-AR" w:eastAsia="es-A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rsid w:val="004C1C4F"/>
    <w:pPr>
      <w:spacing w:after="240" w:line="240" w:lineRule="auto"/>
      <w:jc w:val="both"/>
    </w:pPr>
    <w:rPr>
      <w:rFonts w:ascii="Times New Roman" w:eastAsia="SimSun" w:hAnsi="Times New Roman" w:cs="Times New Roman"/>
      <w:sz w:val="20"/>
      <w:szCs w:val="20"/>
      <w:lang w:val="es-AR" w:eastAsia="es-A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0">
    <w:name w:val="Table Grid 1"/>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cuadrcula20">
    <w:name w:val="Table Grid 2"/>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3">
    <w:name w:val="Table Grid 3"/>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40">
    <w:name w:val="Table Grid 4"/>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0">
    <w:name w:val="Table Grid 5"/>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aconcuadrcula6">
    <w:name w:val="Table Grid 6"/>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aconcuadrcula7">
    <w:name w:val="Table Grid 7"/>
    <w:basedOn w:val="Tablanormal"/>
    <w:rsid w:val="004C1C4F"/>
    <w:pPr>
      <w:spacing w:after="240" w:line="240" w:lineRule="auto"/>
      <w:jc w:val="both"/>
    </w:pPr>
    <w:rPr>
      <w:rFonts w:ascii="Times New Roman" w:eastAsia="SimSun" w:hAnsi="Times New Roman" w:cs="Times New Roman"/>
      <w:b/>
      <w:bCs/>
      <w:sz w:val="20"/>
      <w:szCs w:val="20"/>
      <w:lang w:val="es-AR" w:eastAsia="es-A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aconcuadrcula8">
    <w:name w:val="Table Grid 8"/>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rsid w:val="004C1C4F"/>
    <w:pPr>
      <w:spacing w:after="240" w:line="240" w:lineRule="auto"/>
      <w:jc w:val="both"/>
    </w:pPr>
    <w:rPr>
      <w:rFonts w:ascii="Times New Roman" w:eastAsia="SimSun" w:hAnsi="Times New Roman" w:cs="Times New Roman"/>
      <w:sz w:val="20"/>
      <w:szCs w:val="20"/>
      <w:lang w:val="es-AR" w:eastAsia="es-A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rsid w:val="004C1C4F"/>
    <w:pPr>
      <w:spacing w:after="240" w:line="240" w:lineRule="auto"/>
      <w:jc w:val="both"/>
    </w:pPr>
    <w:rPr>
      <w:rFonts w:ascii="Times New Roman" w:eastAsia="SimSun" w:hAnsi="Times New Roman" w:cs="Times New Roman"/>
      <w:sz w:val="20"/>
      <w:szCs w:val="20"/>
      <w:lang w:val="es-AR" w:eastAsia="es-A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rsid w:val="004C1C4F"/>
    <w:pPr>
      <w:spacing w:after="240" w:line="240" w:lineRule="auto"/>
      <w:jc w:val="both"/>
    </w:pPr>
    <w:rPr>
      <w:rFonts w:ascii="Times New Roman" w:eastAsia="SimSun" w:hAnsi="Times New Roman" w:cs="Times New Roman"/>
      <w:sz w:val="20"/>
      <w:szCs w:val="20"/>
      <w:lang w:val="es-AR" w:eastAsia="es-A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rsid w:val="004C1C4F"/>
    <w:pPr>
      <w:spacing w:after="240" w:line="240" w:lineRule="auto"/>
      <w:jc w:val="both"/>
    </w:pPr>
    <w:rPr>
      <w:rFonts w:ascii="Times New Roman" w:eastAsia="SimSun" w:hAnsi="Times New Roman" w:cs="Times New Roman"/>
      <w:sz w:val="20"/>
      <w:szCs w:val="20"/>
      <w:lang w:val="es-AR" w:eastAsia="es-A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rsid w:val="004C1C4F"/>
    <w:pPr>
      <w:spacing w:after="240" w:line="240" w:lineRule="auto"/>
      <w:jc w:val="both"/>
    </w:pPr>
    <w:rPr>
      <w:rFonts w:ascii="Times New Roman" w:eastAsia="SimSun" w:hAnsi="Times New Roman" w:cs="Times New Roman"/>
      <w:sz w:val="20"/>
      <w:szCs w:val="20"/>
      <w:lang w:val="es-AR" w:eastAsia="es-A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2">
    <w:name w:val="Table Simple 2"/>
    <w:basedOn w:val="Tablanormal"/>
    <w:rsid w:val="004C1C4F"/>
    <w:pPr>
      <w:spacing w:after="240" w:line="240" w:lineRule="auto"/>
      <w:jc w:val="both"/>
    </w:pPr>
    <w:rPr>
      <w:rFonts w:ascii="Times New Roman" w:eastAsia="SimSun" w:hAnsi="Times New Roman" w:cs="Times New Roman"/>
      <w:sz w:val="20"/>
      <w:szCs w:val="20"/>
      <w:lang w:val="es-AR" w:eastAsia="es-A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rsid w:val="004C1C4F"/>
    <w:pPr>
      <w:spacing w:after="240" w:line="240" w:lineRule="auto"/>
      <w:jc w:val="both"/>
    </w:pPr>
    <w:rPr>
      <w:rFonts w:ascii="Times New Roman" w:eastAsia="SimSun" w:hAnsi="Times New Roman" w:cs="Times New Roman"/>
      <w:sz w:val="20"/>
      <w:szCs w:val="20"/>
      <w:lang w:val="es-AR" w:eastAsia="es-A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aliases w:val="Tabla Web 1"/>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aliases w:val="Tabla Web 2"/>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aliases w:val="Tabla Web 3"/>
    <w:basedOn w:val="Tablanormal"/>
    <w:rsid w:val="004C1C4F"/>
    <w:pPr>
      <w:spacing w:after="240" w:line="240" w:lineRule="auto"/>
      <w:jc w:val="both"/>
    </w:pPr>
    <w:rPr>
      <w:rFonts w:ascii="Times New Roman" w:eastAsia="SimSun" w:hAnsi="Times New Roman" w:cs="Times New Roman"/>
      <w:sz w:val="20"/>
      <w:szCs w:val="20"/>
      <w:lang w:val="es-AR" w:eastAsia="es-A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andardL9">
    <w:name w:val="Standard L9"/>
    <w:basedOn w:val="Normal"/>
    <w:next w:val="Textoindependiente3"/>
    <w:uiPriority w:val="99"/>
    <w:rsid w:val="004C1C4F"/>
    <w:pPr>
      <w:numPr>
        <w:ilvl w:val="8"/>
        <w:numId w:val="35"/>
      </w:numPr>
      <w:spacing w:after="0" w:line="240" w:lineRule="auto"/>
      <w:outlineLvl w:val="8"/>
    </w:pPr>
    <w:rPr>
      <w:rFonts w:ascii="Times New Roman" w:eastAsia="Times New Roman" w:hAnsi="Times New Roman" w:cs="Times New Roman"/>
      <w:sz w:val="20"/>
      <w:szCs w:val="24"/>
      <w:lang w:val="en-US"/>
    </w:rPr>
  </w:style>
  <w:style w:type="paragraph" w:customStyle="1" w:styleId="StandardL8">
    <w:name w:val="Standard L8"/>
    <w:basedOn w:val="Normal"/>
    <w:next w:val="Textoindependiente2"/>
    <w:uiPriority w:val="99"/>
    <w:rsid w:val="004C1C4F"/>
    <w:pPr>
      <w:numPr>
        <w:ilvl w:val="7"/>
        <w:numId w:val="35"/>
      </w:numPr>
      <w:spacing w:after="0" w:line="240" w:lineRule="auto"/>
      <w:outlineLvl w:val="7"/>
    </w:pPr>
    <w:rPr>
      <w:rFonts w:ascii="Times New Roman" w:eastAsia="Times New Roman" w:hAnsi="Times New Roman" w:cs="Times New Roman"/>
      <w:sz w:val="20"/>
      <w:szCs w:val="24"/>
      <w:lang w:val="en-US"/>
    </w:rPr>
  </w:style>
  <w:style w:type="paragraph" w:customStyle="1" w:styleId="StandardL7">
    <w:name w:val="Standard L7"/>
    <w:basedOn w:val="Normal"/>
    <w:next w:val="BodyText6"/>
    <w:uiPriority w:val="99"/>
    <w:rsid w:val="004C1C4F"/>
    <w:pPr>
      <w:numPr>
        <w:ilvl w:val="6"/>
        <w:numId w:val="35"/>
      </w:numPr>
      <w:spacing w:after="0" w:line="240" w:lineRule="auto"/>
      <w:outlineLvl w:val="6"/>
    </w:pPr>
    <w:rPr>
      <w:rFonts w:ascii="Times New Roman" w:eastAsia="Times New Roman" w:hAnsi="Times New Roman" w:cs="Times New Roman"/>
      <w:sz w:val="20"/>
      <w:szCs w:val="24"/>
      <w:lang w:val="en-US"/>
    </w:rPr>
  </w:style>
  <w:style w:type="paragraph" w:customStyle="1" w:styleId="StandardL6">
    <w:name w:val="Standard L6"/>
    <w:basedOn w:val="Normal"/>
    <w:next w:val="BodyText5"/>
    <w:uiPriority w:val="99"/>
    <w:rsid w:val="004C1C4F"/>
    <w:pPr>
      <w:numPr>
        <w:ilvl w:val="5"/>
        <w:numId w:val="35"/>
      </w:numPr>
      <w:spacing w:after="0" w:line="240" w:lineRule="auto"/>
      <w:outlineLvl w:val="5"/>
    </w:pPr>
    <w:rPr>
      <w:rFonts w:ascii="Times New Roman" w:eastAsia="Times New Roman" w:hAnsi="Times New Roman" w:cs="Times New Roman"/>
      <w:sz w:val="20"/>
      <w:szCs w:val="24"/>
      <w:lang w:val="en-US"/>
    </w:rPr>
  </w:style>
  <w:style w:type="paragraph" w:customStyle="1" w:styleId="StandardL5">
    <w:name w:val="Standard L5"/>
    <w:basedOn w:val="Normal"/>
    <w:next w:val="BodyText4"/>
    <w:uiPriority w:val="99"/>
    <w:rsid w:val="004C1C4F"/>
    <w:pPr>
      <w:numPr>
        <w:ilvl w:val="4"/>
        <w:numId w:val="35"/>
      </w:numPr>
      <w:spacing w:after="0" w:line="240" w:lineRule="auto"/>
      <w:outlineLvl w:val="4"/>
    </w:pPr>
    <w:rPr>
      <w:rFonts w:ascii="Times New Roman" w:eastAsia="Times New Roman" w:hAnsi="Times New Roman" w:cs="Times New Roman"/>
      <w:sz w:val="20"/>
      <w:szCs w:val="24"/>
      <w:lang w:val="en-US"/>
    </w:rPr>
  </w:style>
  <w:style w:type="paragraph" w:customStyle="1" w:styleId="StandardL4">
    <w:name w:val="Standard L4"/>
    <w:basedOn w:val="Normal"/>
    <w:next w:val="Textoindependiente3"/>
    <w:uiPriority w:val="99"/>
    <w:rsid w:val="004C1C4F"/>
    <w:pPr>
      <w:numPr>
        <w:ilvl w:val="3"/>
        <w:numId w:val="35"/>
      </w:numPr>
      <w:spacing w:after="0" w:line="240" w:lineRule="auto"/>
      <w:outlineLvl w:val="3"/>
    </w:pPr>
    <w:rPr>
      <w:rFonts w:ascii="Times New Roman" w:eastAsia="Times New Roman" w:hAnsi="Times New Roman" w:cs="Times New Roman"/>
      <w:sz w:val="20"/>
      <w:szCs w:val="24"/>
      <w:lang w:val="en-US"/>
    </w:rPr>
  </w:style>
  <w:style w:type="paragraph" w:customStyle="1" w:styleId="StandardL3">
    <w:name w:val="Standard L3"/>
    <w:basedOn w:val="Normal"/>
    <w:next w:val="Textoindependiente2"/>
    <w:uiPriority w:val="99"/>
    <w:rsid w:val="004C1C4F"/>
    <w:pPr>
      <w:numPr>
        <w:ilvl w:val="2"/>
        <w:numId w:val="35"/>
      </w:numPr>
      <w:spacing w:after="0" w:line="240" w:lineRule="auto"/>
      <w:outlineLvl w:val="2"/>
    </w:pPr>
    <w:rPr>
      <w:rFonts w:ascii="Times New Roman" w:eastAsia="Times New Roman" w:hAnsi="Times New Roman" w:cs="Times New Roman"/>
      <w:sz w:val="20"/>
      <w:szCs w:val="24"/>
      <w:lang w:val="en-US"/>
    </w:rPr>
  </w:style>
  <w:style w:type="paragraph" w:customStyle="1" w:styleId="StandardL2">
    <w:name w:val="Standard L2"/>
    <w:basedOn w:val="Normal"/>
    <w:next w:val="BodyText1"/>
    <w:uiPriority w:val="99"/>
    <w:rsid w:val="004C1C4F"/>
    <w:pPr>
      <w:numPr>
        <w:ilvl w:val="1"/>
        <w:numId w:val="35"/>
      </w:numPr>
      <w:spacing w:after="0" w:line="240" w:lineRule="auto"/>
      <w:outlineLvl w:val="1"/>
    </w:pPr>
    <w:rPr>
      <w:rFonts w:ascii="Times New Roman" w:eastAsia="Times New Roman" w:hAnsi="Times New Roman" w:cs="Times New Roman"/>
      <w:sz w:val="20"/>
      <w:szCs w:val="24"/>
      <w:lang w:val="en-US"/>
    </w:rPr>
  </w:style>
  <w:style w:type="paragraph" w:customStyle="1" w:styleId="StandardL1">
    <w:name w:val="Standard L1"/>
    <w:basedOn w:val="Normal"/>
    <w:next w:val="BodyText1"/>
    <w:uiPriority w:val="99"/>
    <w:rsid w:val="004C1C4F"/>
    <w:pPr>
      <w:keepNext/>
      <w:numPr>
        <w:numId w:val="35"/>
      </w:numPr>
      <w:suppressAutoHyphens/>
      <w:spacing w:after="0" w:line="240" w:lineRule="auto"/>
      <w:outlineLvl w:val="0"/>
    </w:pPr>
    <w:rPr>
      <w:rFonts w:ascii="Times New Roman" w:eastAsia="Times New Roman" w:hAnsi="Times New Roman" w:cs="Times New Roman"/>
      <w:b/>
      <w:caps/>
      <w:sz w:val="20"/>
      <w:szCs w:val="24"/>
      <w:lang w:val="en-US"/>
    </w:rPr>
  </w:style>
  <w:style w:type="paragraph" w:customStyle="1" w:styleId="DPWfdHDBoldLeft">
    <w:name w:val="DPWfd HD Bold Left"/>
    <w:basedOn w:val="Normal"/>
    <w:next w:val="Normal"/>
    <w:uiPriority w:val="99"/>
    <w:rsid w:val="004C1C4F"/>
    <w:pPr>
      <w:keepNext/>
      <w:spacing w:after="0" w:line="240" w:lineRule="auto"/>
    </w:pPr>
    <w:rPr>
      <w:rFonts w:ascii="Times New Roman" w:eastAsia="Times New Roman" w:hAnsi="Times New Roman" w:cs="Times New Roman"/>
      <w:b/>
      <w:sz w:val="20"/>
      <w:szCs w:val="20"/>
      <w:lang w:val="en-US"/>
    </w:rPr>
  </w:style>
  <w:style w:type="paragraph" w:customStyle="1" w:styleId="DPWfdHDItal">
    <w:name w:val="DPWfd HD Ital"/>
    <w:basedOn w:val="Normal"/>
    <w:next w:val="Normal"/>
    <w:uiPriority w:val="99"/>
    <w:rsid w:val="004C1C4F"/>
    <w:pPr>
      <w:keepNext/>
      <w:spacing w:after="0" w:line="240" w:lineRule="auto"/>
      <w:ind w:left="360"/>
    </w:pPr>
    <w:rPr>
      <w:rFonts w:ascii="Times New Roman" w:eastAsia="Times New Roman" w:hAnsi="Times New Roman" w:cs="Times New Roman"/>
      <w:i/>
      <w:sz w:val="20"/>
      <w:szCs w:val="20"/>
      <w:lang w:val="en-US"/>
    </w:rPr>
  </w:style>
  <w:style w:type="paragraph" w:customStyle="1" w:styleId="DPWfdHDItalBold">
    <w:name w:val="DPWfd HD Ital Bold"/>
    <w:basedOn w:val="Normal"/>
    <w:next w:val="Normal"/>
    <w:uiPriority w:val="99"/>
    <w:rsid w:val="004C1C4F"/>
    <w:pPr>
      <w:keepNext/>
      <w:spacing w:after="0" w:line="240" w:lineRule="auto"/>
      <w:ind w:left="187"/>
    </w:pPr>
    <w:rPr>
      <w:rFonts w:ascii="Times New Roman" w:eastAsia="Times New Roman" w:hAnsi="Times New Roman" w:cs="Times New Roman"/>
      <w:b/>
      <w:i/>
      <w:sz w:val="20"/>
      <w:szCs w:val="20"/>
      <w:lang w:val="en-US"/>
    </w:rPr>
  </w:style>
  <w:style w:type="paragraph" w:customStyle="1" w:styleId="DPWfdTOC1CenterCaps">
    <w:name w:val="DPWfd TOC1 Center Caps"/>
    <w:basedOn w:val="Normal"/>
    <w:next w:val="Normal"/>
    <w:uiPriority w:val="99"/>
    <w:rsid w:val="004C1C4F"/>
    <w:pPr>
      <w:keepNext/>
      <w:spacing w:before="200" w:after="0" w:line="240" w:lineRule="auto"/>
      <w:jc w:val="center"/>
    </w:pPr>
    <w:rPr>
      <w:rFonts w:ascii="Times New Roman" w:eastAsia="Times New Roman" w:hAnsi="Times New Roman" w:cs="Times New Roman"/>
      <w:b/>
      <w:caps/>
      <w:sz w:val="20"/>
      <w:szCs w:val="20"/>
      <w:lang w:val="en-US"/>
    </w:rPr>
  </w:style>
  <w:style w:type="paragraph" w:customStyle="1" w:styleId="DPWfdPF">
    <w:name w:val="DPW fd PF"/>
    <w:aliases w:val="p"/>
    <w:basedOn w:val="Normal"/>
    <w:link w:val="DPWfdPFChar"/>
    <w:rsid w:val="004C1C4F"/>
    <w:pPr>
      <w:spacing w:after="0" w:line="240" w:lineRule="auto"/>
      <w:ind w:firstLine="360"/>
    </w:pPr>
    <w:rPr>
      <w:rFonts w:ascii="Times New Roman" w:eastAsia="Times New Roman" w:hAnsi="Times New Roman" w:cs="Times New Roman"/>
      <w:sz w:val="20"/>
      <w:szCs w:val="20"/>
      <w:lang w:val="x-none" w:eastAsia="x-none"/>
    </w:rPr>
  </w:style>
  <w:style w:type="character" w:customStyle="1" w:styleId="DPWfdPFChar">
    <w:name w:val="DPW fd PF Char"/>
    <w:link w:val="DPWfdPF"/>
    <w:rsid w:val="004C1C4F"/>
    <w:rPr>
      <w:rFonts w:ascii="Times New Roman" w:eastAsia="Times New Roman" w:hAnsi="Times New Roman" w:cs="Times New Roman"/>
      <w:sz w:val="20"/>
      <w:szCs w:val="20"/>
      <w:lang w:val="x-none" w:eastAsia="x-none"/>
    </w:rPr>
  </w:style>
  <w:style w:type="paragraph" w:customStyle="1" w:styleId="dpwi">
    <w:name w:val="_dpw.(i)"/>
    <w:basedOn w:val="Normal"/>
    <w:uiPriority w:val="99"/>
    <w:rsid w:val="004C1C4F"/>
    <w:pPr>
      <w:spacing w:after="240" w:line="240" w:lineRule="auto"/>
      <w:ind w:firstLine="720"/>
    </w:pPr>
    <w:rPr>
      <w:rFonts w:ascii="Times New Roman" w:eastAsia="Times New Roman" w:hAnsi="Times New Roman" w:cs="Times New Roman"/>
      <w:sz w:val="20"/>
      <w:szCs w:val="20"/>
      <w:lang w:val="en-US"/>
    </w:rPr>
  </w:style>
  <w:style w:type="paragraph" w:customStyle="1" w:styleId="dpwa">
    <w:name w:val="_dpw(a)"/>
    <w:basedOn w:val="Normal"/>
    <w:uiPriority w:val="99"/>
    <w:rsid w:val="004C1C4F"/>
    <w:pPr>
      <w:tabs>
        <w:tab w:val="left" w:pos="1400"/>
      </w:tabs>
      <w:spacing w:after="240" w:line="240" w:lineRule="auto"/>
      <w:ind w:left="1400" w:hanging="680"/>
    </w:pPr>
    <w:rPr>
      <w:rFonts w:ascii="Times New Roman" w:eastAsia="Times New Roman" w:hAnsi="Times New Roman" w:cs="Times New Roman"/>
      <w:sz w:val="20"/>
      <w:szCs w:val="20"/>
      <w:lang w:val="en-US"/>
    </w:rPr>
  </w:style>
  <w:style w:type="character" w:customStyle="1" w:styleId="ColorfulGrid-Accent1Char">
    <w:name w:val="Colorful Grid - Accent 1 Char"/>
    <w:uiPriority w:val="29"/>
    <w:rsid w:val="004C1C4F"/>
    <w:rPr>
      <w:i/>
      <w:iCs/>
      <w:color w:val="000000"/>
      <w:szCs w:val="24"/>
      <w:lang w:val="en-GB"/>
    </w:rPr>
  </w:style>
  <w:style w:type="character" w:customStyle="1" w:styleId="LightShading-Accent2Char">
    <w:name w:val="Light Shading - Accent 2 Char"/>
    <w:uiPriority w:val="30"/>
    <w:rsid w:val="004C1C4F"/>
    <w:rPr>
      <w:b/>
      <w:bCs/>
      <w:i/>
      <w:iCs/>
      <w:color w:val="4F81BD"/>
      <w:szCs w:val="24"/>
      <w:lang w:val="en-GB"/>
    </w:rPr>
  </w:style>
  <w:style w:type="paragraph" w:customStyle="1" w:styleId="CM120">
    <w:name w:val="CM120"/>
    <w:basedOn w:val="Default"/>
    <w:next w:val="Default"/>
    <w:uiPriority w:val="99"/>
    <w:rsid w:val="004C1C4F"/>
    <w:rPr>
      <w:rFonts w:ascii="Times New Roman" w:eastAsia="SimSun" w:hAnsi="Times New Roman" w:cs="Times New Roman"/>
      <w:color w:val="auto"/>
      <w:lang w:val="pt-BR" w:eastAsia="ja-JP"/>
    </w:rPr>
  </w:style>
  <w:style w:type="paragraph" w:customStyle="1" w:styleId="BodyText5sgl">
    <w:name w:val="Body Text .5 sgl"/>
    <w:basedOn w:val="Normal"/>
    <w:link w:val="BodyText5sglChar"/>
    <w:rsid w:val="004C1C4F"/>
    <w:pPr>
      <w:spacing w:after="0" w:line="240" w:lineRule="auto"/>
      <w:ind w:firstLine="720"/>
    </w:pPr>
    <w:rPr>
      <w:rFonts w:ascii="Times New Roman" w:eastAsia="Times New Roman" w:hAnsi="Times New Roman" w:cs="Times New Roman"/>
      <w:sz w:val="20"/>
      <w:szCs w:val="20"/>
      <w:lang w:val="x-none" w:eastAsia="x-none"/>
    </w:rPr>
  </w:style>
  <w:style w:type="character" w:customStyle="1" w:styleId="Title5itboldChar">
    <w:name w:val="Title .5 it bold Char"/>
    <w:link w:val="Title5itbold"/>
    <w:locked/>
    <w:rsid w:val="004C1C4F"/>
    <w:rPr>
      <w:rFonts w:ascii="MS Mincho" w:eastAsia="MS Mincho" w:hAnsi="MS Mincho"/>
      <w:b/>
      <w:i/>
    </w:rPr>
  </w:style>
  <w:style w:type="paragraph" w:customStyle="1" w:styleId="Title5itbold">
    <w:name w:val="Title .5 it bold"/>
    <w:basedOn w:val="Textodebloque"/>
    <w:link w:val="Title5itboldChar"/>
    <w:rsid w:val="004C1C4F"/>
    <w:pPr>
      <w:keepNext/>
      <w:spacing w:after="240"/>
      <w:ind w:left="720"/>
    </w:pPr>
    <w:rPr>
      <w:rFonts w:ascii="MS Mincho" w:eastAsia="MS Mincho" w:hAnsi="MS Mincho" w:cstheme="minorBidi"/>
      <w:b/>
      <w:i/>
      <w:iCs w:val="0"/>
      <w:sz w:val="22"/>
      <w:szCs w:val="22"/>
      <w:lang w:val="es-ES" w:eastAsia="en-US"/>
    </w:rPr>
  </w:style>
  <w:style w:type="paragraph" w:customStyle="1" w:styleId="Title50">
    <w:name w:val="Title .5"/>
    <w:basedOn w:val="Textodebloque"/>
    <w:uiPriority w:val="99"/>
    <w:rsid w:val="004C1C4F"/>
    <w:pPr>
      <w:spacing w:after="200"/>
      <w:ind w:left="180" w:firstLine="20"/>
    </w:pPr>
    <w:rPr>
      <w:rFonts w:eastAsia="MS Mincho" w:cs="Arial"/>
      <w:b/>
      <w:i/>
      <w:sz w:val="24"/>
    </w:rPr>
  </w:style>
  <w:style w:type="paragraph" w:customStyle="1" w:styleId="CSTableline">
    <w:name w:val="CSTable line"/>
    <w:basedOn w:val="Normal"/>
    <w:uiPriority w:val="99"/>
    <w:rsid w:val="004C1C4F"/>
    <w:pPr>
      <w:pBdr>
        <w:top w:val="single" w:sz="4" w:space="1" w:color="auto"/>
      </w:pBdr>
      <w:tabs>
        <w:tab w:val="left" w:pos="-200"/>
      </w:tabs>
      <w:spacing w:after="0" w:line="20" w:lineRule="exact"/>
      <w:ind w:right="7920"/>
    </w:pPr>
    <w:rPr>
      <w:rFonts w:ascii="Times New Roman" w:eastAsia="Calibri" w:hAnsi="Times New Roman" w:cs="Times New Roman"/>
      <w:sz w:val="4"/>
      <w:szCs w:val="4"/>
      <w:lang w:val="en-US" w:eastAsia="en-GB" w:bidi="ar-AE"/>
    </w:rPr>
  </w:style>
  <w:style w:type="paragraph" w:customStyle="1" w:styleId="CSTableNotes">
    <w:name w:val="CSTable Notes"/>
    <w:basedOn w:val="Normal"/>
    <w:uiPriority w:val="99"/>
    <w:rsid w:val="004C1C4F"/>
    <w:pPr>
      <w:tabs>
        <w:tab w:val="left" w:pos="360"/>
      </w:tabs>
      <w:spacing w:after="0" w:line="240" w:lineRule="auto"/>
      <w:ind w:left="360" w:hanging="360"/>
      <w:contextualSpacing/>
    </w:pPr>
    <w:rPr>
      <w:rFonts w:ascii="Times New Roman" w:eastAsia="Times New Roman" w:hAnsi="Times New Roman" w:cs="Times New Roman"/>
      <w:bCs/>
      <w:sz w:val="16"/>
      <w:szCs w:val="20"/>
      <w:lang w:val="en-US"/>
    </w:rPr>
  </w:style>
  <w:style w:type="paragraph" w:customStyle="1" w:styleId="UK10Block10">
    <w:name w:val="UK10 Block 1.0"/>
    <w:basedOn w:val="Normal"/>
    <w:uiPriority w:val="99"/>
    <w:rsid w:val="004C1C4F"/>
    <w:pPr>
      <w:spacing w:after="240" w:line="246" w:lineRule="atLeast"/>
      <w:ind w:left="1440"/>
    </w:pPr>
    <w:rPr>
      <w:rFonts w:ascii="Times New Roman" w:eastAsia="Times New Roman" w:hAnsi="Times New Roman" w:cs="Times New Roman"/>
      <w:sz w:val="20"/>
      <w:szCs w:val="20"/>
      <w:lang w:val="en-US"/>
    </w:rPr>
  </w:style>
  <w:style w:type="character" w:customStyle="1" w:styleId="TextodebloqueCar">
    <w:name w:val="Texto de bloque Car"/>
    <w:aliases w:val="blk Car"/>
    <w:link w:val="Textodebloque"/>
    <w:locked/>
    <w:rsid w:val="004C1C4F"/>
    <w:rPr>
      <w:rFonts w:ascii="Times New Roman" w:eastAsia="SimSun" w:hAnsi="Times New Roman" w:cs="Times New Roman"/>
      <w:iCs/>
      <w:sz w:val="20"/>
      <w:szCs w:val="20"/>
      <w:lang w:val="x-none" w:eastAsia="x-none"/>
    </w:rPr>
  </w:style>
  <w:style w:type="paragraph" w:customStyle="1" w:styleId="BulletedList2">
    <w:name w:val="Bulleted List 2"/>
    <w:basedOn w:val="Normal"/>
    <w:uiPriority w:val="99"/>
    <w:rsid w:val="004C1C4F"/>
    <w:pPr>
      <w:numPr>
        <w:numId w:val="37"/>
      </w:numPr>
      <w:spacing w:after="0" w:line="240" w:lineRule="auto"/>
    </w:pPr>
    <w:rPr>
      <w:rFonts w:ascii="Times New Roman" w:eastAsia="Times New Roman" w:hAnsi="Times New Roman" w:cs="Times New Roman"/>
      <w:sz w:val="20"/>
      <w:szCs w:val="20"/>
      <w:lang w:val="en-US"/>
    </w:rPr>
  </w:style>
  <w:style w:type="paragraph" w:customStyle="1" w:styleId="Numlist3">
    <w:name w:val="Num list 3"/>
    <w:basedOn w:val="Normal"/>
    <w:uiPriority w:val="99"/>
    <w:rsid w:val="004C1C4F"/>
    <w:pPr>
      <w:spacing w:after="0" w:line="240" w:lineRule="auto"/>
      <w:ind w:left="720" w:right="72" w:firstLine="720"/>
    </w:pPr>
    <w:rPr>
      <w:rFonts w:ascii="Times New Roman" w:eastAsia="Times New Roman" w:hAnsi="Times New Roman" w:cs="Times New Roman"/>
      <w:sz w:val="20"/>
      <w:szCs w:val="20"/>
      <w:lang w:val="en-US"/>
    </w:rPr>
  </w:style>
  <w:style w:type="paragraph" w:customStyle="1" w:styleId="BodyText2sgl0">
    <w:name w:val="Body Text 2 sgl"/>
    <w:basedOn w:val="Normal"/>
    <w:uiPriority w:val="99"/>
    <w:rsid w:val="004C1C4F"/>
    <w:pPr>
      <w:widowControl w:val="0"/>
      <w:tabs>
        <w:tab w:val="left" w:pos="9260"/>
      </w:tabs>
      <w:kinsoku w:val="0"/>
      <w:spacing w:after="120" w:line="240" w:lineRule="auto"/>
      <w:ind w:right="-10" w:firstLine="720"/>
    </w:pPr>
    <w:rPr>
      <w:rFonts w:ascii="Times New Roman" w:eastAsia="Times New Roman" w:hAnsi="Times New Roman" w:cs="Times New Roman"/>
      <w:spacing w:val="-8"/>
      <w:w w:val="105"/>
      <w:sz w:val="20"/>
      <w:lang w:val="en-US"/>
    </w:rPr>
  </w:style>
  <w:style w:type="paragraph" w:customStyle="1" w:styleId="CM15">
    <w:name w:val="CM15"/>
    <w:basedOn w:val="Default"/>
    <w:next w:val="Default"/>
    <w:uiPriority w:val="99"/>
    <w:rsid w:val="004C1C4F"/>
    <w:pPr>
      <w:widowControl w:val="0"/>
    </w:pPr>
    <w:rPr>
      <w:rFonts w:ascii="Verdana" w:eastAsia="Times New Roman" w:hAnsi="Verdana" w:cs="Times New Roman"/>
      <w:color w:val="auto"/>
      <w:lang w:val="en-GB" w:eastAsia="en-GB"/>
    </w:rPr>
  </w:style>
  <w:style w:type="paragraph" w:customStyle="1" w:styleId="CM18">
    <w:name w:val="CM18"/>
    <w:basedOn w:val="Default"/>
    <w:next w:val="Default"/>
    <w:uiPriority w:val="99"/>
    <w:rsid w:val="004C1C4F"/>
    <w:pPr>
      <w:widowControl w:val="0"/>
    </w:pPr>
    <w:rPr>
      <w:rFonts w:ascii="Verdana" w:eastAsia="Times New Roman" w:hAnsi="Verdana" w:cs="Times New Roman"/>
      <w:color w:val="auto"/>
      <w:lang w:val="en-GB" w:eastAsia="en-GB"/>
    </w:rPr>
  </w:style>
  <w:style w:type="character" w:customStyle="1" w:styleId="st1">
    <w:name w:val="st1"/>
    <w:basedOn w:val="Fuentedeprrafopredeter"/>
    <w:rsid w:val="004C1C4F"/>
  </w:style>
  <w:style w:type="paragraph" w:customStyle="1" w:styleId="TableBullet">
    <w:name w:val="Table Bullet"/>
    <w:basedOn w:val="Normal"/>
    <w:uiPriority w:val="99"/>
    <w:rsid w:val="004C1C4F"/>
    <w:pPr>
      <w:widowControl w:val="0"/>
      <w:numPr>
        <w:numId w:val="38"/>
      </w:numPr>
      <w:kinsoku w:val="0"/>
      <w:spacing w:after="0" w:line="240" w:lineRule="auto"/>
    </w:pPr>
    <w:rPr>
      <w:rFonts w:ascii="Times New Roman" w:eastAsia="Times New Roman" w:hAnsi="Times New Roman" w:cs="Times New Roman"/>
      <w:sz w:val="20"/>
      <w:szCs w:val="24"/>
      <w:lang w:val="en-US"/>
    </w:rPr>
  </w:style>
  <w:style w:type="paragraph" w:customStyle="1" w:styleId="Centeredtext0">
    <w:name w:val="Centered text"/>
    <w:basedOn w:val="Normal"/>
    <w:uiPriority w:val="99"/>
    <w:rsid w:val="004C1C4F"/>
    <w:pPr>
      <w:widowControl w:val="0"/>
      <w:kinsoku w:val="0"/>
      <w:spacing w:after="0" w:line="240" w:lineRule="auto"/>
      <w:jc w:val="center"/>
    </w:pPr>
    <w:rPr>
      <w:rFonts w:ascii="Times New Roman" w:eastAsia="Calibri" w:hAnsi="Times New Roman" w:cs="Times New Roman"/>
      <w:b/>
      <w:sz w:val="52"/>
      <w:szCs w:val="52"/>
      <w:lang w:val="en-US"/>
    </w:rPr>
  </w:style>
  <w:style w:type="character" w:customStyle="1" w:styleId="DocIDChar">
    <w:name w:val="DocID Char"/>
    <w:locked/>
    <w:rsid w:val="004C1C4F"/>
    <w:rPr>
      <w:rFonts w:eastAsia="Times New Roman"/>
      <w:bCs/>
      <w:color w:val="000000"/>
      <w:sz w:val="14"/>
      <w:szCs w:val="36"/>
      <w:lang w:val="es-PE"/>
    </w:rPr>
  </w:style>
  <w:style w:type="paragraph" w:customStyle="1" w:styleId="Titlebf18pt">
    <w:name w:val="Title bf 18pt"/>
    <w:basedOn w:val="Normal"/>
    <w:uiPriority w:val="99"/>
    <w:rsid w:val="004C1C4F"/>
    <w:pPr>
      <w:tabs>
        <w:tab w:val="left" w:pos="3600"/>
      </w:tabs>
      <w:spacing w:before="480" w:after="0" w:line="240" w:lineRule="auto"/>
      <w:jc w:val="center"/>
    </w:pPr>
    <w:rPr>
      <w:rFonts w:ascii="Times New Roman" w:eastAsia="Calibri" w:hAnsi="Times New Roman" w:cs="Times New Roman"/>
      <w:b/>
      <w:bCs/>
      <w:sz w:val="36"/>
      <w:szCs w:val="36"/>
      <w:lang w:val="en-US"/>
    </w:rPr>
  </w:style>
  <w:style w:type="paragraph" w:customStyle="1" w:styleId="centered11pt">
    <w:name w:val="centered 11 pt"/>
    <w:basedOn w:val="BodyText2sgl0"/>
    <w:uiPriority w:val="99"/>
    <w:rsid w:val="004C1C4F"/>
    <w:pPr>
      <w:tabs>
        <w:tab w:val="clear" w:pos="9260"/>
        <w:tab w:val="left" w:pos="9000"/>
      </w:tabs>
      <w:ind w:right="0" w:firstLine="0"/>
      <w:jc w:val="center"/>
    </w:pPr>
    <w:rPr>
      <w:spacing w:val="0"/>
      <w:w w:val="100"/>
      <w:sz w:val="22"/>
    </w:rPr>
  </w:style>
  <w:style w:type="paragraph" w:customStyle="1" w:styleId="dividingline">
    <w:name w:val="dividing line"/>
    <w:basedOn w:val="Normal"/>
    <w:uiPriority w:val="99"/>
    <w:rsid w:val="004C1C4F"/>
    <w:pPr>
      <w:pBdr>
        <w:top w:val="single" w:sz="4" w:space="1" w:color="auto"/>
      </w:pBdr>
      <w:spacing w:after="0" w:line="240" w:lineRule="auto"/>
      <w:ind w:left="3600" w:right="3629"/>
      <w:jc w:val="center"/>
    </w:pPr>
    <w:rPr>
      <w:rFonts w:ascii="Times New Roman" w:eastAsia="Calibri" w:hAnsi="Times New Roman" w:cs="Times New Roman"/>
      <w:sz w:val="20"/>
      <w:szCs w:val="24"/>
      <w:lang w:val="en-US"/>
    </w:rPr>
  </w:style>
  <w:style w:type="paragraph" w:customStyle="1" w:styleId="Tabledividingline">
    <w:name w:val="Table dividing line"/>
    <w:basedOn w:val="CSTableNotes"/>
    <w:uiPriority w:val="99"/>
    <w:rsid w:val="004C1C4F"/>
    <w:pPr>
      <w:ind w:firstLine="0"/>
    </w:pPr>
  </w:style>
  <w:style w:type="character" w:customStyle="1" w:styleId="Title3Char">
    <w:name w:val="Title 3 Char"/>
    <w:link w:val="Title30"/>
    <w:rsid w:val="004C1C4F"/>
    <w:rPr>
      <w:rFonts w:ascii="Times New Roman" w:eastAsia="Calibri" w:hAnsi="Times New Roman" w:cs="Times New Roman"/>
      <w:b/>
      <w:sz w:val="20"/>
      <w:szCs w:val="20"/>
      <w:lang w:val="x-none" w:eastAsia="x-none"/>
    </w:rPr>
  </w:style>
  <w:style w:type="paragraph" w:customStyle="1" w:styleId="Title70">
    <w:name w:val="Title7"/>
    <w:basedOn w:val="Title6"/>
    <w:uiPriority w:val="99"/>
    <w:rsid w:val="004C1C4F"/>
  </w:style>
  <w:style w:type="paragraph" w:customStyle="1" w:styleId="tablerow9pt">
    <w:name w:val="table row 9pt"/>
    <w:basedOn w:val="Tablerow"/>
    <w:uiPriority w:val="99"/>
    <w:rsid w:val="004C1C4F"/>
  </w:style>
  <w:style w:type="paragraph" w:customStyle="1" w:styleId="centered10ptafter">
    <w:name w:val="centered 10pt after"/>
    <w:basedOn w:val="DPWfdPF"/>
    <w:uiPriority w:val="99"/>
    <w:rsid w:val="004C1C4F"/>
    <w:pPr>
      <w:ind w:firstLine="0"/>
      <w:jc w:val="center"/>
    </w:pPr>
    <w:rPr>
      <w:b/>
    </w:rPr>
  </w:style>
  <w:style w:type="paragraph" w:customStyle="1" w:styleId="abc5indent">
    <w:name w:val="abc .5 indent"/>
    <w:basedOn w:val="Normal"/>
    <w:uiPriority w:val="99"/>
    <w:rsid w:val="004C1C4F"/>
    <w:pPr>
      <w:spacing w:after="0" w:line="240" w:lineRule="auto"/>
      <w:ind w:left="1440" w:hanging="720"/>
    </w:pPr>
    <w:rPr>
      <w:rFonts w:ascii="Times New Roman" w:eastAsia="Calibri" w:hAnsi="Times New Roman" w:cs="Times New Roman"/>
      <w:sz w:val="20"/>
      <w:szCs w:val="24"/>
      <w:lang w:val="en-US"/>
    </w:rPr>
  </w:style>
  <w:style w:type="paragraph" w:customStyle="1" w:styleId="Title8">
    <w:name w:val="Title 8"/>
    <w:basedOn w:val="DPWfdPF"/>
    <w:uiPriority w:val="99"/>
    <w:rsid w:val="004C1C4F"/>
    <w:pPr>
      <w:keepNext/>
      <w:ind w:firstLine="720"/>
    </w:pPr>
    <w:rPr>
      <w:i/>
      <w:lang w:eastAsia="es-ES"/>
    </w:rPr>
  </w:style>
  <w:style w:type="paragraph" w:customStyle="1" w:styleId="TOCPage">
    <w:name w:val="TOC Page"/>
    <w:basedOn w:val="Normal"/>
    <w:next w:val="Normal"/>
    <w:uiPriority w:val="99"/>
    <w:rsid w:val="004C1C4F"/>
    <w:pPr>
      <w:spacing w:after="240" w:line="240" w:lineRule="auto"/>
      <w:jc w:val="right"/>
    </w:pPr>
    <w:rPr>
      <w:rFonts w:ascii="Times New Roman" w:eastAsia="Calibri" w:hAnsi="Times New Roman" w:cs="Times New Roman"/>
      <w:b/>
      <w:sz w:val="20"/>
      <w:szCs w:val="24"/>
      <w:lang w:val="en-US"/>
    </w:rPr>
  </w:style>
  <w:style w:type="character" w:customStyle="1" w:styleId="hps">
    <w:name w:val="hps"/>
    <w:rsid w:val="004C1C4F"/>
    <w:rPr>
      <w:rFonts w:cs="Times New Roman"/>
    </w:rPr>
  </w:style>
  <w:style w:type="character" w:customStyle="1" w:styleId="BodyText5sglChar">
    <w:name w:val="Body Text .5 sgl Char"/>
    <w:link w:val="BodyText5sgl"/>
    <w:rsid w:val="004C1C4F"/>
    <w:rPr>
      <w:rFonts w:ascii="Times New Roman" w:eastAsia="Times New Roman" w:hAnsi="Times New Roman" w:cs="Times New Roman"/>
      <w:sz w:val="20"/>
      <w:szCs w:val="20"/>
      <w:lang w:val="x-none" w:eastAsia="x-none"/>
    </w:rPr>
  </w:style>
  <w:style w:type="paragraph" w:customStyle="1" w:styleId="TitleLI">
    <w:name w:val="Title LI"/>
    <w:basedOn w:val="Normal"/>
    <w:uiPriority w:val="99"/>
    <w:rsid w:val="004C1C4F"/>
    <w:pPr>
      <w:spacing w:after="240" w:line="240" w:lineRule="auto"/>
      <w:outlineLvl w:val="0"/>
    </w:pPr>
    <w:rPr>
      <w:rFonts w:ascii="Times New Roman" w:eastAsia="Times New Roman" w:hAnsi="Times New Roman" w:cs="Arial"/>
      <w:b/>
      <w:bCs/>
      <w:i/>
      <w:szCs w:val="32"/>
      <w:lang w:val="en-US"/>
    </w:rPr>
  </w:style>
  <w:style w:type="character" w:customStyle="1" w:styleId="BlockTextChar">
    <w:name w:val="Block Text Char"/>
    <w:locked/>
    <w:rsid w:val="004C1C4F"/>
    <w:rPr>
      <w:rFonts w:ascii="SimSun" w:eastAsia="SimSun" w:hAnsi="SimSun"/>
      <w:szCs w:val="24"/>
      <w:lang w:val="en-GB" w:eastAsia="zh-CN" w:bidi="he-IL"/>
    </w:rPr>
  </w:style>
  <w:style w:type="character" w:customStyle="1" w:styleId="DeltaViewInsertion">
    <w:name w:val="DeltaView Insertion"/>
    <w:rsid w:val="004C1C4F"/>
    <w:rPr>
      <w:color w:val="0000FF"/>
      <w:u w:val="double"/>
    </w:rPr>
  </w:style>
  <w:style w:type="paragraph" w:customStyle="1" w:styleId="TableNoteDividerLine">
    <w:name w:val="Table Note Divider Line"/>
    <w:basedOn w:val="Normal"/>
    <w:uiPriority w:val="99"/>
    <w:rsid w:val="004C1C4F"/>
    <w:pPr>
      <w:pBdr>
        <w:bottom w:val="single" w:sz="4" w:space="1" w:color="auto"/>
      </w:pBdr>
      <w:spacing w:after="0" w:line="240" w:lineRule="auto"/>
      <w:ind w:right="7227"/>
    </w:pPr>
    <w:rPr>
      <w:rFonts w:ascii="Times New Roman" w:eastAsia="Calibri" w:hAnsi="Times New Roman" w:cs="Times New Roman"/>
      <w:sz w:val="20"/>
      <w:szCs w:val="24"/>
      <w:lang w:val="en-US"/>
    </w:rPr>
  </w:style>
  <w:style w:type="numbering" w:customStyle="1" w:styleId="NoList12">
    <w:name w:val="No List12"/>
    <w:next w:val="Sinlista"/>
    <w:semiHidden/>
    <w:rsid w:val="004C1C4F"/>
  </w:style>
  <w:style w:type="paragraph" w:customStyle="1" w:styleId="HangingIndent">
    <w:name w:val="Hanging Indent"/>
    <w:basedOn w:val="Textodebloque"/>
    <w:uiPriority w:val="99"/>
    <w:rsid w:val="004C1C4F"/>
    <w:pPr>
      <w:spacing w:after="240"/>
      <w:ind w:left="2160" w:hanging="2160"/>
    </w:pPr>
    <w:rPr>
      <w:rFonts w:eastAsia="Arial Unicode MS" w:cs="Arial"/>
      <w:sz w:val="24"/>
    </w:rPr>
  </w:style>
  <w:style w:type="paragraph" w:customStyle="1" w:styleId="UK10Block">
    <w:name w:val="UK10 Block"/>
    <w:basedOn w:val="Normal"/>
    <w:uiPriority w:val="99"/>
    <w:rsid w:val="004C1C4F"/>
    <w:pPr>
      <w:spacing w:after="240" w:line="246" w:lineRule="atLeast"/>
    </w:pPr>
    <w:rPr>
      <w:rFonts w:ascii="Times New Roman" w:eastAsia="Arial Unicode MS" w:hAnsi="Times New Roman" w:cs="Times New Roman"/>
      <w:sz w:val="20"/>
      <w:szCs w:val="24"/>
      <w:lang w:val="en-US"/>
    </w:rPr>
  </w:style>
  <w:style w:type="paragraph" w:customStyle="1" w:styleId="UK10Block05">
    <w:name w:val="UK10 Block 0.5"/>
    <w:basedOn w:val="Normal"/>
    <w:uiPriority w:val="99"/>
    <w:rsid w:val="004C1C4F"/>
    <w:pPr>
      <w:spacing w:after="240" w:line="246" w:lineRule="atLeast"/>
      <w:ind w:left="720"/>
    </w:pPr>
    <w:rPr>
      <w:rFonts w:ascii="Times New Roman" w:eastAsia="Arial Unicode MS" w:hAnsi="Times New Roman" w:cs="Times New Roman"/>
      <w:sz w:val="20"/>
      <w:szCs w:val="24"/>
      <w:lang w:val="en-US"/>
    </w:rPr>
  </w:style>
  <w:style w:type="paragraph" w:customStyle="1" w:styleId="UK10Block15">
    <w:name w:val="UK10 Block 1.5"/>
    <w:basedOn w:val="Normal"/>
    <w:uiPriority w:val="99"/>
    <w:rsid w:val="004C1C4F"/>
    <w:pPr>
      <w:spacing w:after="240" w:line="246" w:lineRule="atLeast"/>
      <w:ind w:left="2160"/>
    </w:pPr>
    <w:rPr>
      <w:rFonts w:ascii="Times New Roman" w:eastAsia="Arial Unicode MS" w:hAnsi="Times New Roman" w:cs="Times New Roman"/>
      <w:sz w:val="20"/>
      <w:szCs w:val="24"/>
      <w:lang w:val="en-US"/>
    </w:rPr>
  </w:style>
  <w:style w:type="paragraph" w:customStyle="1" w:styleId="UK10Block20">
    <w:name w:val="UK10 Block 2.0"/>
    <w:basedOn w:val="Normal"/>
    <w:uiPriority w:val="99"/>
    <w:rsid w:val="004C1C4F"/>
    <w:pPr>
      <w:spacing w:after="240" w:line="246" w:lineRule="atLeast"/>
      <w:ind w:left="2880"/>
    </w:pPr>
    <w:rPr>
      <w:rFonts w:ascii="Times New Roman" w:eastAsia="Arial Unicode MS" w:hAnsi="Times New Roman" w:cs="Times New Roman"/>
      <w:sz w:val="20"/>
      <w:szCs w:val="24"/>
      <w:lang w:val="en-US"/>
    </w:rPr>
  </w:style>
  <w:style w:type="paragraph" w:customStyle="1" w:styleId="UK10Block25">
    <w:name w:val="UK10 Block 2.5"/>
    <w:basedOn w:val="Normal"/>
    <w:uiPriority w:val="99"/>
    <w:rsid w:val="004C1C4F"/>
    <w:pPr>
      <w:spacing w:after="240" w:line="246" w:lineRule="atLeast"/>
      <w:ind w:left="3600"/>
    </w:pPr>
    <w:rPr>
      <w:rFonts w:ascii="Times New Roman" w:eastAsia="Arial Unicode MS" w:hAnsi="Times New Roman" w:cs="Times New Roman"/>
      <w:sz w:val="20"/>
      <w:szCs w:val="24"/>
      <w:lang w:val="en-US"/>
    </w:rPr>
  </w:style>
  <w:style w:type="paragraph" w:customStyle="1" w:styleId="UK10Block30">
    <w:name w:val="UK10 Block 3.0"/>
    <w:basedOn w:val="Normal"/>
    <w:uiPriority w:val="99"/>
    <w:rsid w:val="004C1C4F"/>
    <w:pPr>
      <w:spacing w:after="240" w:line="246" w:lineRule="atLeast"/>
      <w:ind w:left="4320"/>
    </w:pPr>
    <w:rPr>
      <w:rFonts w:ascii="Times New Roman" w:eastAsia="Arial Unicode MS" w:hAnsi="Times New Roman" w:cs="Times New Roman"/>
      <w:sz w:val="20"/>
      <w:szCs w:val="24"/>
      <w:lang w:val="en-US"/>
    </w:rPr>
  </w:style>
  <w:style w:type="paragraph" w:customStyle="1" w:styleId="UK10Title">
    <w:name w:val="UK10 Title"/>
    <w:basedOn w:val="Normal"/>
    <w:next w:val="UK10Block"/>
    <w:uiPriority w:val="99"/>
    <w:rsid w:val="004C1C4F"/>
    <w:pPr>
      <w:spacing w:after="240" w:line="246" w:lineRule="atLeast"/>
      <w:jc w:val="center"/>
    </w:pPr>
    <w:rPr>
      <w:rFonts w:ascii="Times New Roman" w:eastAsia="Arial Unicode MS" w:hAnsi="Times New Roman" w:cs="Times New Roman"/>
      <w:b/>
      <w:kern w:val="28"/>
      <w:sz w:val="20"/>
      <w:szCs w:val="24"/>
      <w:lang w:val="en-US"/>
    </w:rPr>
  </w:style>
  <w:style w:type="paragraph" w:customStyle="1" w:styleId="UK11Block">
    <w:name w:val="UK11 Block"/>
    <w:basedOn w:val="Normal"/>
    <w:uiPriority w:val="99"/>
    <w:rsid w:val="004C1C4F"/>
    <w:pPr>
      <w:spacing w:after="240" w:line="246" w:lineRule="atLeast"/>
    </w:pPr>
    <w:rPr>
      <w:rFonts w:ascii="Times New Roman" w:eastAsia="Arial Unicode MS" w:hAnsi="Times New Roman" w:cs="Times New Roman"/>
      <w:szCs w:val="24"/>
      <w:lang w:val="en-US"/>
    </w:rPr>
  </w:style>
  <w:style w:type="paragraph" w:customStyle="1" w:styleId="UK11Block05">
    <w:name w:val="UK11 Block 0.5"/>
    <w:basedOn w:val="Normal"/>
    <w:uiPriority w:val="99"/>
    <w:rsid w:val="004C1C4F"/>
    <w:pPr>
      <w:spacing w:after="240" w:line="246" w:lineRule="atLeast"/>
      <w:ind w:left="720"/>
    </w:pPr>
    <w:rPr>
      <w:rFonts w:ascii="Times New Roman" w:eastAsia="Arial Unicode MS" w:hAnsi="Times New Roman" w:cs="Times New Roman"/>
      <w:szCs w:val="24"/>
      <w:lang w:val="en-US"/>
    </w:rPr>
  </w:style>
  <w:style w:type="paragraph" w:customStyle="1" w:styleId="UK11Block10">
    <w:name w:val="UK11 Block 1.0"/>
    <w:basedOn w:val="Normal"/>
    <w:uiPriority w:val="99"/>
    <w:rsid w:val="004C1C4F"/>
    <w:pPr>
      <w:spacing w:after="240" w:line="246" w:lineRule="atLeast"/>
      <w:ind w:left="1440"/>
    </w:pPr>
    <w:rPr>
      <w:rFonts w:ascii="Times New Roman" w:eastAsia="Arial Unicode MS" w:hAnsi="Times New Roman" w:cs="Times New Roman"/>
      <w:szCs w:val="24"/>
      <w:lang w:val="en-US"/>
    </w:rPr>
  </w:style>
  <w:style w:type="paragraph" w:customStyle="1" w:styleId="UK11Block15">
    <w:name w:val="UK11 Block 1.5"/>
    <w:basedOn w:val="Normal"/>
    <w:uiPriority w:val="99"/>
    <w:rsid w:val="004C1C4F"/>
    <w:pPr>
      <w:spacing w:after="240" w:line="246" w:lineRule="atLeast"/>
      <w:ind w:left="2160"/>
    </w:pPr>
    <w:rPr>
      <w:rFonts w:ascii="Times New Roman" w:eastAsia="Arial Unicode MS" w:hAnsi="Times New Roman" w:cs="Times New Roman"/>
      <w:szCs w:val="24"/>
      <w:lang w:val="en-US"/>
    </w:rPr>
  </w:style>
  <w:style w:type="paragraph" w:customStyle="1" w:styleId="UK11Block20">
    <w:name w:val="UK11 Block 2.0"/>
    <w:basedOn w:val="Normal"/>
    <w:uiPriority w:val="99"/>
    <w:rsid w:val="004C1C4F"/>
    <w:pPr>
      <w:spacing w:after="240" w:line="246" w:lineRule="atLeast"/>
      <w:ind w:left="2880"/>
    </w:pPr>
    <w:rPr>
      <w:rFonts w:ascii="Times New Roman" w:eastAsia="Arial Unicode MS" w:hAnsi="Times New Roman" w:cs="Times New Roman"/>
      <w:szCs w:val="24"/>
      <w:lang w:val="en-US"/>
    </w:rPr>
  </w:style>
  <w:style w:type="paragraph" w:customStyle="1" w:styleId="UK11Block25">
    <w:name w:val="UK11 Block 2.5"/>
    <w:basedOn w:val="Normal"/>
    <w:uiPriority w:val="99"/>
    <w:rsid w:val="004C1C4F"/>
    <w:pPr>
      <w:spacing w:after="240" w:line="246" w:lineRule="atLeast"/>
      <w:ind w:left="3600"/>
    </w:pPr>
    <w:rPr>
      <w:rFonts w:ascii="Times New Roman" w:eastAsia="Arial Unicode MS" w:hAnsi="Times New Roman" w:cs="Times New Roman"/>
      <w:szCs w:val="24"/>
      <w:lang w:val="en-US"/>
    </w:rPr>
  </w:style>
  <w:style w:type="paragraph" w:customStyle="1" w:styleId="UK11Block30">
    <w:name w:val="UK11 Block 3.0"/>
    <w:basedOn w:val="Normal"/>
    <w:uiPriority w:val="99"/>
    <w:rsid w:val="004C1C4F"/>
    <w:pPr>
      <w:spacing w:after="240" w:line="246" w:lineRule="atLeast"/>
      <w:ind w:left="4320"/>
    </w:pPr>
    <w:rPr>
      <w:rFonts w:ascii="Times New Roman" w:eastAsia="Arial Unicode MS" w:hAnsi="Times New Roman" w:cs="Times New Roman"/>
      <w:szCs w:val="24"/>
      <w:lang w:val="en-US"/>
    </w:rPr>
  </w:style>
  <w:style w:type="paragraph" w:customStyle="1" w:styleId="UK11Title">
    <w:name w:val="UK11 Title"/>
    <w:basedOn w:val="Normal"/>
    <w:next w:val="UK11Block"/>
    <w:uiPriority w:val="99"/>
    <w:rsid w:val="004C1C4F"/>
    <w:pPr>
      <w:spacing w:after="240" w:line="246" w:lineRule="atLeast"/>
      <w:jc w:val="center"/>
    </w:pPr>
    <w:rPr>
      <w:rFonts w:ascii="Times New Roman" w:eastAsia="Arial Unicode MS" w:hAnsi="Times New Roman" w:cs="Times New Roman"/>
      <w:b/>
      <w:kern w:val="28"/>
      <w:szCs w:val="24"/>
      <w:lang w:val="en-US"/>
    </w:rPr>
  </w:style>
  <w:style w:type="paragraph" w:customStyle="1" w:styleId="UK12Block">
    <w:name w:val="UK12 Block"/>
    <w:basedOn w:val="Normal"/>
    <w:uiPriority w:val="99"/>
    <w:rsid w:val="004C1C4F"/>
    <w:pPr>
      <w:spacing w:after="240" w:line="246" w:lineRule="atLeast"/>
    </w:pPr>
    <w:rPr>
      <w:rFonts w:ascii="Times New Roman" w:eastAsia="Arial Unicode MS" w:hAnsi="Times New Roman" w:cs="Times New Roman"/>
      <w:sz w:val="20"/>
      <w:szCs w:val="24"/>
      <w:lang w:val="en-US"/>
    </w:rPr>
  </w:style>
  <w:style w:type="paragraph" w:customStyle="1" w:styleId="UK12Block05">
    <w:name w:val="UK12 Block 0.5"/>
    <w:basedOn w:val="Normal"/>
    <w:uiPriority w:val="99"/>
    <w:rsid w:val="004C1C4F"/>
    <w:pPr>
      <w:spacing w:after="240" w:line="246" w:lineRule="atLeast"/>
      <w:ind w:left="720"/>
    </w:pPr>
    <w:rPr>
      <w:rFonts w:ascii="Times New Roman" w:eastAsia="Arial Unicode MS" w:hAnsi="Times New Roman" w:cs="Times New Roman"/>
      <w:sz w:val="20"/>
      <w:szCs w:val="24"/>
      <w:lang w:val="en-US"/>
    </w:rPr>
  </w:style>
  <w:style w:type="paragraph" w:customStyle="1" w:styleId="UK12Block10">
    <w:name w:val="UK12 Block 1.0"/>
    <w:basedOn w:val="Normal"/>
    <w:uiPriority w:val="99"/>
    <w:rsid w:val="004C1C4F"/>
    <w:pPr>
      <w:spacing w:after="240" w:line="246" w:lineRule="atLeast"/>
      <w:ind w:left="1440"/>
    </w:pPr>
    <w:rPr>
      <w:rFonts w:ascii="Times New Roman" w:eastAsia="Arial Unicode MS" w:hAnsi="Times New Roman" w:cs="Times New Roman"/>
      <w:sz w:val="20"/>
      <w:szCs w:val="24"/>
      <w:lang w:val="en-US"/>
    </w:rPr>
  </w:style>
  <w:style w:type="paragraph" w:customStyle="1" w:styleId="UK12Block15">
    <w:name w:val="UK12 Block 1.5"/>
    <w:basedOn w:val="Normal"/>
    <w:uiPriority w:val="99"/>
    <w:rsid w:val="004C1C4F"/>
    <w:pPr>
      <w:spacing w:after="240" w:line="246" w:lineRule="atLeast"/>
      <w:ind w:left="2160"/>
    </w:pPr>
    <w:rPr>
      <w:rFonts w:ascii="Times New Roman" w:eastAsia="Arial Unicode MS" w:hAnsi="Times New Roman" w:cs="Times New Roman"/>
      <w:sz w:val="20"/>
      <w:szCs w:val="24"/>
      <w:lang w:val="en-US"/>
    </w:rPr>
  </w:style>
  <w:style w:type="paragraph" w:customStyle="1" w:styleId="UK12Block20">
    <w:name w:val="UK12 Block 2.0"/>
    <w:basedOn w:val="Normal"/>
    <w:uiPriority w:val="99"/>
    <w:rsid w:val="004C1C4F"/>
    <w:pPr>
      <w:spacing w:after="240" w:line="246" w:lineRule="atLeast"/>
      <w:ind w:left="2880"/>
    </w:pPr>
    <w:rPr>
      <w:rFonts w:ascii="Times New Roman" w:eastAsia="Arial Unicode MS" w:hAnsi="Times New Roman" w:cs="Times New Roman"/>
      <w:sz w:val="20"/>
      <w:szCs w:val="24"/>
      <w:lang w:val="en-US"/>
    </w:rPr>
  </w:style>
  <w:style w:type="paragraph" w:customStyle="1" w:styleId="UK12Block25">
    <w:name w:val="UK12 Block 2.5"/>
    <w:basedOn w:val="Normal"/>
    <w:uiPriority w:val="99"/>
    <w:rsid w:val="004C1C4F"/>
    <w:pPr>
      <w:spacing w:after="240" w:line="246" w:lineRule="atLeast"/>
      <w:ind w:left="3600"/>
    </w:pPr>
    <w:rPr>
      <w:rFonts w:ascii="Times New Roman" w:eastAsia="Arial Unicode MS" w:hAnsi="Times New Roman" w:cs="Times New Roman"/>
      <w:sz w:val="20"/>
      <w:szCs w:val="24"/>
      <w:lang w:val="en-US"/>
    </w:rPr>
  </w:style>
  <w:style w:type="paragraph" w:customStyle="1" w:styleId="UK12Block30">
    <w:name w:val="UK12 Block 3.0"/>
    <w:basedOn w:val="Normal"/>
    <w:uiPriority w:val="99"/>
    <w:rsid w:val="004C1C4F"/>
    <w:pPr>
      <w:spacing w:after="240" w:line="246" w:lineRule="atLeast"/>
      <w:ind w:left="4320"/>
    </w:pPr>
    <w:rPr>
      <w:rFonts w:ascii="Times New Roman" w:eastAsia="Arial Unicode MS" w:hAnsi="Times New Roman" w:cs="Times New Roman"/>
      <w:sz w:val="20"/>
      <w:szCs w:val="24"/>
      <w:lang w:val="en-US"/>
    </w:rPr>
  </w:style>
  <w:style w:type="paragraph" w:customStyle="1" w:styleId="UK12Title">
    <w:name w:val="UK12 Title"/>
    <w:basedOn w:val="Normal"/>
    <w:next w:val="UK12Block"/>
    <w:uiPriority w:val="99"/>
    <w:rsid w:val="004C1C4F"/>
    <w:pPr>
      <w:spacing w:after="240" w:line="246" w:lineRule="atLeast"/>
      <w:jc w:val="center"/>
    </w:pPr>
    <w:rPr>
      <w:rFonts w:ascii="Times New Roman" w:eastAsia="Arial Unicode MS" w:hAnsi="Times New Roman" w:cs="Times New Roman"/>
      <w:b/>
      <w:kern w:val="28"/>
      <w:sz w:val="20"/>
      <w:szCs w:val="24"/>
      <w:lang w:val="en-US"/>
    </w:rPr>
  </w:style>
  <w:style w:type="table" w:customStyle="1" w:styleId="TableGrid19">
    <w:name w:val="Table Grid19"/>
    <w:basedOn w:val="Tablanormal"/>
    <w:next w:val="Tablaconcuadrcula"/>
    <w:rsid w:val="004C1C4F"/>
    <w:pPr>
      <w:spacing w:after="0" w:line="240" w:lineRule="auto"/>
    </w:pPr>
    <w:rPr>
      <w:rFonts w:ascii="Times New Roman" w:eastAsia="Arial Unicode MS" w:hAnsi="Times New Roman"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Sinlista"/>
    <w:semiHidden/>
    <w:rsid w:val="004C1C4F"/>
  </w:style>
  <w:style w:type="table" w:customStyle="1" w:styleId="TableGrid24">
    <w:name w:val="Table Grid24"/>
    <w:basedOn w:val="Tablanormal"/>
    <w:next w:val="Tablaconcuadrcula"/>
    <w:rsid w:val="004C1C4F"/>
    <w:pPr>
      <w:spacing w:after="0" w:line="240" w:lineRule="auto"/>
    </w:pPr>
    <w:rPr>
      <w:rFonts w:ascii="Times New Roman" w:eastAsia="Arial Unicode MS" w:hAnsi="Times New Roman"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nglespaced">
    <w:name w:val="Single spaced"/>
    <w:basedOn w:val="Normal"/>
    <w:uiPriority w:val="99"/>
    <w:rsid w:val="004C1C4F"/>
    <w:pPr>
      <w:spacing w:after="0" w:line="240" w:lineRule="auto"/>
      <w:ind w:left="720"/>
      <w:contextualSpacing/>
    </w:pPr>
    <w:rPr>
      <w:rFonts w:ascii="Times New Roman" w:eastAsia="Times New Roman" w:hAnsi="Times New Roman" w:cs="Times New Roman"/>
      <w:sz w:val="20"/>
      <w:szCs w:val="20"/>
      <w:lang w:val="en-US"/>
    </w:rPr>
  </w:style>
  <w:style w:type="paragraph" w:customStyle="1" w:styleId="Btext">
    <w:name w:val="Btext"/>
    <w:basedOn w:val="Normal"/>
    <w:link w:val="BtextCharChar"/>
    <w:rsid w:val="004C1C4F"/>
    <w:pPr>
      <w:spacing w:after="0" w:line="240" w:lineRule="auto"/>
      <w:ind w:firstLine="720"/>
    </w:pPr>
    <w:rPr>
      <w:rFonts w:ascii="Times New Roman" w:eastAsia="Calibri" w:hAnsi="Times New Roman" w:cs="Times New Roman"/>
      <w:sz w:val="20"/>
      <w:szCs w:val="20"/>
      <w:lang w:val="x-none" w:eastAsia="x-none"/>
    </w:rPr>
  </w:style>
  <w:style w:type="character" w:customStyle="1" w:styleId="BtextCharChar">
    <w:name w:val="Btext Char Char"/>
    <w:link w:val="Btext"/>
    <w:locked/>
    <w:rsid w:val="004C1C4F"/>
    <w:rPr>
      <w:rFonts w:ascii="Times New Roman" w:eastAsia="Calibri" w:hAnsi="Times New Roman" w:cs="Times New Roman"/>
      <w:sz w:val="20"/>
      <w:szCs w:val="20"/>
      <w:lang w:val="x-none" w:eastAsia="x-none"/>
    </w:rPr>
  </w:style>
  <w:style w:type="paragraph" w:customStyle="1" w:styleId="BodyText50">
    <w:name w:val="Body Text .5"/>
    <w:basedOn w:val="Textoindependiente"/>
    <w:uiPriority w:val="99"/>
    <w:rsid w:val="004C1C4F"/>
    <w:pPr>
      <w:spacing w:line="480" w:lineRule="auto"/>
    </w:pPr>
    <w:rPr>
      <w:rFonts w:eastAsia="MS Mincho" w:cs="Arial"/>
      <w:sz w:val="24"/>
    </w:rPr>
  </w:style>
  <w:style w:type="paragraph" w:customStyle="1" w:styleId="SectionHeading">
    <w:name w:val="SectionHeading"/>
    <w:basedOn w:val="Normal"/>
    <w:next w:val="Textoindependiente"/>
    <w:uiPriority w:val="99"/>
    <w:rsid w:val="004C1C4F"/>
    <w:pPr>
      <w:spacing w:after="240" w:line="240" w:lineRule="auto"/>
      <w:jc w:val="center"/>
      <w:outlineLvl w:val="8"/>
    </w:pPr>
    <w:rPr>
      <w:rFonts w:ascii="Times New Roman" w:eastAsia="Times New Roman" w:hAnsi="Times New Roman" w:cs="Times New Roman"/>
      <w:b/>
      <w:caps/>
      <w:sz w:val="24"/>
      <w:szCs w:val="20"/>
      <w:lang w:val="en-US"/>
    </w:rPr>
  </w:style>
  <w:style w:type="paragraph" w:customStyle="1" w:styleId="Center">
    <w:name w:val="Center"/>
    <w:aliases w:val="ct"/>
    <w:basedOn w:val="Normal"/>
    <w:link w:val="CenterChar"/>
    <w:rsid w:val="004C1C4F"/>
    <w:pPr>
      <w:spacing w:after="0" w:line="240" w:lineRule="auto"/>
      <w:jc w:val="center"/>
    </w:pPr>
    <w:rPr>
      <w:rFonts w:ascii="Times New Roman" w:eastAsia="Times New Roman" w:hAnsi="Times New Roman" w:cs="Times New Roman"/>
      <w:bCs/>
      <w:sz w:val="20"/>
      <w:szCs w:val="32"/>
      <w:lang w:val="x-none" w:eastAsia="x-none"/>
    </w:rPr>
  </w:style>
  <w:style w:type="character" w:customStyle="1" w:styleId="TableLastRow">
    <w:name w:val="TableLastRow"/>
    <w:uiPriority w:val="99"/>
    <w:rsid w:val="004C1C4F"/>
    <w:rPr>
      <w:rFonts w:ascii="Times New Roman" w:hAnsi="Times New Roman" w:cs="Times New Roman"/>
      <w:color w:val="808080"/>
      <w:sz w:val="20"/>
      <w:szCs w:val="20"/>
      <w:lang w:val="en-US"/>
    </w:rPr>
  </w:style>
  <w:style w:type="paragraph" w:customStyle="1" w:styleId="NormalWeb0">
    <w:name w:val="Normal(Web)"/>
    <w:basedOn w:val="Normal"/>
    <w:uiPriority w:val="99"/>
    <w:rsid w:val="004C1C4F"/>
    <w:pPr>
      <w:widowControl w:val="0"/>
      <w:autoSpaceDE w:val="0"/>
      <w:autoSpaceDN w:val="0"/>
      <w:adjustRightInd w:val="0"/>
      <w:spacing w:after="0" w:line="240" w:lineRule="auto"/>
    </w:pPr>
    <w:rPr>
      <w:rFonts w:ascii="Times New Roman" w:eastAsia="Calibri" w:hAnsi="Times New Roman" w:cs="Times New Roman"/>
      <w:sz w:val="20"/>
      <w:szCs w:val="20"/>
      <w:lang w:val="en-US"/>
    </w:rPr>
  </w:style>
  <w:style w:type="paragraph" w:customStyle="1" w:styleId="Normal1">
    <w:name w:val="Normal 1"/>
    <w:next w:val="Normal"/>
    <w:uiPriority w:val="99"/>
    <w:rsid w:val="004C1C4F"/>
    <w:pPr>
      <w:widowControl w:val="0"/>
      <w:autoSpaceDE w:val="0"/>
      <w:autoSpaceDN w:val="0"/>
      <w:adjustRightInd w:val="0"/>
      <w:spacing w:after="200" w:line="240" w:lineRule="auto"/>
      <w:jc w:val="both"/>
    </w:pPr>
    <w:rPr>
      <w:rFonts w:ascii="Times New Roman" w:eastAsia="SimSun" w:hAnsi="Times New Roman" w:cs="Times New Roman"/>
      <w:sz w:val="20"/>
      <w:szCs w:val="20"/>
      <w:lang w:val="en-US" w:eastAsia="zh-CN"/>
    </w:rPr>
  </w:style>
  <w:style w:type="paragraph" w:customStyle="1" w:styleId="DeltaViewTableHeading">
    <w:name w:val="DeltaView Table Heading"/>
    <w:basedOn w:val="Normal"/>
    <w:uiPriority w:val="99"/>
    <w:rsid w:val="004C1C4F"/>
    <w:pPr>
      <w:autoSpaceDE w:val="0"/>
      <w:autoSpaceDN w:val="0"/>
      <w:adjustRightInd w:val="0"/>
      <w:spacing w:after="120" w:line="240" w:lineRule="auto"/>
    </w:pPr>
    <w:rPr>
      <w:rFonts w:ascii="Arial" w:eastAsia="Calibri" w:hAnsi="Arial" w:cs="Arial"/>
      <w:b/>
      <w:bCs/>
      <w:sz w:val="24"/>
      <w:szCs w:val="24"/>
      <w:lang w:val="en-US"/>
    </w:rPr>
  </w:style>
  <w:style w:type="paragraph" w:customStyle="1" w:styleId="DeltaViewTableBody">
    <w:name w:val="DeltaView Table Body"/>
    <w:basedOn w:val="Normal"/>
    <w:uiPriority w:val="99"/>
    <w:rsid w:val="004C1C4F"/>
    <w:pPr>
      <w:autoSpaceDE w:val="0"/>
      <w:autoSpaceDN w:val="0"/>
      <w:adjustRightInd w:val="0"/>
      <w:spacing w:after="0" w:line="240" w:lineRule="auto"/>
    </w:pPr>
    <w:rPr>
      <w:rFonts w:ascii="Arial" w:eastAsia="Calibri" w:hAnsi="Arial" w:cs="Arial"/>
      <w:sz w:val="24"/>
      <w:szCs w:val="24"/>
      <w:lang w:val="en-US"/>
    </w:rPr>
  </w:style>
  <w:style w:type="paragraph" w:customStyle="1" w:styleId="DeltaViewAnnounce">
    <w:name w:val="DeltaView Announce"/>
    <w:uiPriority w:val="99"/>
    <w:rsid w:val="004C1C4F"/>
    <w:pPr>
      <w:autoSpaceDE w:val="0"/>
      <w:autoSpaceDN w:val="0"/>
      <w:adjustRightInd w:val="0"/>
      <w:spacing w:before="100" w:beforeAutospacing="1" w:after="100" w:afterAutospacing="1" w:line="240" w:lineRule="auto"/>
    </w:pPr>
    <w:rPr>
      <w:rFonts w:ascii="Arial" w:eastAsia="SimSun" w:hAnsi="Arial" w:cs="Arial"/>
      <w:sz w:val="24"/>
      <w:szCs w:val="24"/>
      <w:lang w:val="en-GB" w:eastAsia="zh-CN"/>
    </w:rPr>
  </w:style>
  <w:style w:type="character" w:customStyle="1" w:styleId="DeltaViewDeletion">
    <w:name w:val="DeltaView Deletion"/>
    <w:rsid w:val="004C1C4F"/>
    <w:rPr>
      <w:strike/>
      <w:color w:val="FF0000"/>
    </w:rPr>
  </w:style>
  <w:style w:type="character" w:customStyle="1" w:styleId="DeltaViewMoveSource">
    <w:name w:val="DeltaView Move Source"/>
    <w:uiPriority w:val="99"/>
    <w:rsid w:val="004C1C4F"/>
    <w:rPr>
      <w:strike/>
      <w:color w:val="FF0000"/>
    </w:rPr>
  </w:style>
  <w:style w:type="character" w:customStyle="1" w:styleId="DeltaViewMoveDestination">
    <w:name w:val="DeltaView Move Destination"/>
    <w:rsid w:val="004C1C4F"/>
    <w:rPr>
      <w:color w:val="0000FF"/>
      <w:u w:val="double"/>
    </w:rPr>
  </w:style>
  <w:style w:type="character" w:customStyle="1" w:styleId="DeltaViewChangeNumber">
    <w:name w:val="DeltaView Change Number"/>
    <w:uiPriority w:val="99"/>
    <w:rsid w:val="004C1C4F"/>
    <w:rPr>
      <w:color w:val="000000"/>
      <w:vertAlign w:val="superscript"/>
    </w:rPr>
  </w:style>
  <w:style w:type="character" w:customStyle="1" w:styleId="DeltaViewDelimiter">
    <w:name w:val="DeltaView Delimiter"/>
    <w:uiPriority w:val="99"/>
    <w:rsid w:val="004C1C4F"/>
  </w:style>
  <w:style w:type="character" w:customStyle="1" w:styleId="DeltaViewFormatChange">
    <w:name w:val="DeltaView Format Change"/>
    <w:uiPriority w:val="99"/>
    <w:rsid w:val="004C1C4F"/>
    <w:rPr>
      <w:color w:val="000000"/>
    </w:rPr>
  </w:style>
  <w:style w:type="character" w:customStyle="1" w:styleId="DeltaViewMovedDeletion">
    <w:name w:val="DeltaView Moved Deletion"/>
    <w:uiPriority w:val="99"/>
    <w:rsid w:val="004C1C4F"/>
    <w:rPr>
      <w:strike/>
      <w:color w:val="C08080"/>
    </w:rPr>
  </w:style>
  <w:style w:type="character" w:customStyle="1" w:styleId="DeltaViewComment">
    <w:name w:val="DeltaView Comment"/>
    <w:uiPriority w:val="99"/>
    <w:rsid w:val="004C1C4F"/>
    <w:rPr>
      <w:color w:val="000000"/>
    </w:rPr>
  </w:style>
  <w:style w:type="character" w:customStyle="1" w:styleId="DeltaViewStyleChangeText">
    <w:name w:val="DeltaView Style Change Text"/>
    <w:uiPriority w:val="99"/>
    <w:rsid w:val="004C1C4F"/>
    <w:rPr>
      <w:color w:val="000000"/>
      <w:u w:val="double"/>
    </w:rPr>
  </w:style>
  <w:style w:type="character" w:customStyle="1" w:styleId="DeltaViewStyleChangeLabel">
    <w:name w:val="DeltaView Style Change Label"/>
    <w:uiPriority w:val="99"/>
    <w:rsid w:val="004C1C4F"/>
    <w:rPr>
      <w:color w:val="000000"/>
    </w:rPr>
  </w:style>
  <w:style w:type="character" w:customStyle="1" w:styleId="DeltaViewInsertedComment">
    <w:name w:val="DeltaView Inserted Comment"/>
    <w:uiPriority w:val="99"/>
    <w:rsid w:val="004C1C4F"/>
    <w:rPr>
      <w:color w:val="0000FF"/>
      <w:u w:val="double"/>
    </w:rPr>
  </w:style>
  <w:style w:type="character" w:customStyle="1" w:styleId="DeltaViewDeletedComment">
    <w:name w:val="DeltaView Deleted Comment"/>
    <w:uiPriority w:val="99"/>
    <w:rsid w:val="004C1C4F"/>
    <w:rPr>
      <w:strike/>
      <w:color w:val="FF0000"/>
    </w:rPr>
  </w:style>
  <w:style w:type="paragraph" w:customStyle="1" w:styleId="BodyText25">
    <w:name w:val="Body Text .25"/>
    <w:basedOn w:val="Normal"/>
    <w:uiPriority w:val="99"/>
    <w:rsid w:val="004C1C4F"/>
    <w:pPr>
      <w:adjustRightInd w:val="0"/>
      <w:snapToGrid w:val="0"/>
      <w:spacing w:after="0" w:line="240" w:lineRule="auto"/>
      <w:ind w:firstLine="360"/>
    </w:pPr>
    <w:rPr>
      <w:rFonts w:ascii="Times New Roman" w:eastAsia="Calibri" w:hAnsi="Times New Roman" w:cs="Times New Roman"/>
      <w:sz w:val="20"/>
      <w:szCs w:val="20"/>
      <w:lang w:val="en-US"/>
    </w:rPr>
  </w:style>
  <w:style w:type="paragraph" w:customStyle="1" w:styleId="ListParagraph1">
    <w:name w:val="List Paragraph1"/>
    <w:basedOn w:val="Normal"/>
    <w:uiPriority w:val="99"/>
    <w:qFormat/>
    <w:rsid w:val="004C1C4F"/>
    <w:pPr>
      <w:spacing w:after="0" w:line="276" w:lineRule="auto"/>
      <w:ind w:left="720"/>
      <w:contextualSpacing/>
    </w:pPr>
    <w:rPr>
      <w:rFonts w:ascii="Calibri" w:eastAsia="Times New Roman" w:hAnsi="Calibri" w:cs="Times New Roman"/>
      <w:lang w:val="en-US"/>
    </w:rPr>
  </w:style>
  <w:style w:type="paragraph" w:customStyle="1" w:styleId="msolistparagraph0">
    <w:name w:val="msolistparagraph"/>
    <w:basedOn w:val="Normal"/>
    <w:uiPriority w:val="99"/>
    <w:rsid w:val="004C1C4F"/>
    <w:pPr>
      <w:spacing w:after="0" w:line="240" w:lineRule="auto"/>
      <w:ind w:left="720"/>
    </w:pPr>
    <w:rPr>
      <w:rFonts w:ascii="Calibri" w:eastAsia="Times New Roman" w:hAnsi="Calibri" w:cs="Times New Roman"/>
      <w:lang w:eastAsia="es-ES"/>
    </w:rPr>
  </w:style>
  <w:style w:type="paragraph" w:customStyle="1" w:styleId="BodyText22">
    <w:name w:val="Body Text 22"/>
    <w:basedOn w:val="Normal"/>
    <w:uiPriority w:val="99"/>
    <w:rsid w:val="004C1C4F"/>
    <w:pPr>
      <w:widowControl w:val="0"/>
      <w:tabs>
        <w:tab w:val="left" w:pos="3500"/>
        <w:tab w:val="right" w:pos="4400"/>
      </w:tabs>
      <w:suppressAutoHyphens/>
      <w:spacing w:after="0" w:line="240" w:lineRule="auto"/>
    </w:pPr>
    <w:rPr>
      <w:rFonts w:ascii="Bodoni Bk BT" w:eastAsia="Times New Roman" w:hAnsi="Bodoni Bk BT" w:cs="Times New Roman"/>
      <w:spacing w:val="-3"/>
      <w:szCs w:val="20"/>
      <w:lang w:val="es-ES_tradnl" w:eastAsia="es-ES"/>
    </w:rPr>
  </w:style>
  <w:style w:type="paragraph" w:customStyle="1" w:styleId="AANormalTextoNotasletras">
    <w:name w:val="AA Normal Texto Notas letras"/>
    <w:basedOn w:val="Normal"/>
    <w:link w:val="AANormalTextoNotasletrasChar"/>
    <w:rsid w:val="004C1C4F"/>
    <w:pPr>
      <w:spacing w:after="0" w:line="300" w:lineRule="exact"/>
      <w:ind w:left="3828" w:hanging="539"/>
    </w:pPr>
    <w:rPr>
      <w:rFonts w:ascii="Arial" w:eastAsia="Times New Roman" w:hAnsi="Arial" w:cs="Times New Roman"/>
      <w:sz w:val="18"/>
      <w:szCs w:val="20"/>
      <w:lang w:val="es-ES_tradnl" w:eastAsia="es-ES"/>
    </w:rPr>
  </w:style>
  <w:style w:type="paragraph" w:customStyle="1" w:styleId="BodyText21">
    <w:name w:val="Body Text 21"/>
    <w:basedOn w:val="Normal"/>
    <w:uiPriority w:val="99"/>
    <w:rsid w:val="004C1C4F"/>
    <w:pPr>
      <w:widowControl w:val="0"/>
      <w:tabs>
        <w:tab w:val="right" w:pos="6946"/>
        <w:tab w:val="right" w:pos="8647"/>
      </w:tabs>
      <w:suppressAutoHyphens/>
      <w:spacing w:after="0" w:line="240" w:lineRule="auto"/>
    </w:pPr>
    <w:rPr>
      <w:rFonts w:ascii="Times New Roman" w:eastAsia="Times New Roman" w:hAnsi="Times New Roman" w:cs="Times New Roman"/>
      <w:szCs w:val="20"/>
      <w:lang w:val="en-GB" w:eastAsia="es-ES"/>
    </w:rPr>
  </w:style>
  <w:style w:type="paragraph" w:customStyle="1" w:styleId="7">
    <w:name w:val="7"/>
    <w:basedOn w:val="Normal"/>
    <w:uiPriority w:val="99"/>
    <w:rsid w:val="004C1C4F"/>
    <w:pPr>
      <w:widowControl w:val="0"/>
      <w:tabs>
        <w:tab w:val="left" w:pos="-2520"/>
        <w:tab w:val="left" w:pos="-960"/>
        <w:tab w:val="left" w:pos="0"/>
        <w:tab w:val="left" w:pos="3690"/>
        <w:tab w:val="right" w:pos="4590"/>
        <w:tab w:val="left" w:pos="4860"/>
        <w:tab w:val="right" w:pos="5850"/>
        <w:tab w:val="left" w:pos="6210"/>
        <w:tab w:val="right" w:pos="6930"/>
        <w:tab w:val="left" w:pos="7200"/>
        <w:tab w:val="right" w:pos="8010"/>
      </w:tabs>
      <w:suppressAutoHyphens/>
      <w:spacing w:after="0" w:line="240" w:lineRule="auto"/>
    </w:pPr>
    <w:rPr>
      <w:rFonts w:ascii="Times New Roman" w:eastAsia="Times New Roman" w:hAnsi="Times New Roman" w:cs="Times New Roman"/>
      <w:spacing w:val="-3"/>
      <w:szCs w:val="20"/>
      <w:lang w:val="es-PE" w:eastAsia="es-PE"/>
    </w:rPr>
  </w:style>
  <w:style w:type="paragraph" w:customStyle="1" w:styleId="bullet10">
    <w:name w:val="bullet1"/>
    <w:basedOn w:val="Ttulo2"/>
    <w:uiPriority w:val="99"/>
    <w:rsid w:val="004C1C4F"/>
    <w:pPr>
      <w:keepNext w:val="0"/>
      <w:keepLines w:val="0"/>
      <w:numPr>
        <w:numId w:val="41"/>
      </w:numPr>
      <w:suppressAutoHyphens w:val="0"/>
      <w:jc w:val="both"/>
    </w:pPr>
    <w:rPr>
      <w:rFonts w:ascii="Book Antiqua" w:eastAsia="Calibri" w:hAnsi="Book Antiqua"/>
      <w:b/>
      <w:bCs w:val="0"/>
      <w:iCs/>
      <w:caps/>
      <w:kern w:val="28"/>
      <w:sz w:val="22"/>
      <w:szCs w:val="20"/>
      <w:lang w:val="es-ES" w:eastAsia="es-PE"/>
    </w:rPr>
  </w:style>
  <w:style w:type="paragraph" w:customStyle="1" w:styleId="Tabla">
    <w:name w:val="Tabla"/>
    <w:uiPriority w:val="99"/>
    <w:rsid w:val="004C1C4F"/>
    <w:pPr>
      <w:spacing w:after="0" w:line="240" w:lineRule="auto"/>
    </w:pPr>
    <w:rPr>
      <w:rFonts w:ascii="Times New Roman" w:eastAsia="Times New Roman" w:hAnsi="Times New Roman" w:cs="Times New Roman"/>
      <w:color w:val="000000"/>
      <w:sz w:val="24"/>
      <w:szCs w:val="20"/>
      <w:lang w:val="en-US" w:eastAsia="es-PE"/>
    </w:rPr>
  </w:style>
  <w:style w:type="paragraph" w:customStyle="1" w:styleId="n">
    <w:name w:val="n"/>
    <w:aliases w:val="DPW fd"/>
    <w:basedOn w:val="7"/>
    <w:uiPriority w:val="99"/>
    <w:rsid w:val="004C1C4F"/>
    <w:pPr>
      <w:tabs>
        <w:tab w:val="clear" w:pos="-2520"/>
        <w:tab w:val="clear" w:pos="-960"/>
        <w:tab w:val="clear" w:pos="0"/>
        <w:tab w:val="clear" w:pos="3690"/>
        <w:tab w:val="clear" w:pos="4590"/>
        <w:tab w:val="clear" w:pos="4860"/>
        <w:tab w:val="clear" w:pos="5850"/>
        <w:tab w:val="clear" w:pos="6210"/>
        <w:tab w:val="clear" w:pos="6930"/>
        <w:tab w:val="clear" w:pos="7200"/>
        <w:tab w:val="clear" w:pos="8010"/>
        <w:tab w:val="left" w:pos="360"/>
      </w:tabs>
      <w:suppressAutoHyphens w:val="0"/>
      <w:ind w:left="360"/>
    </w:pPr>
    <w:rPr>
      <w:lang w:val="es-ES_tradnl" w:eastAsia="es-ES"/>
    </w:rPr>
  </w:style>
  <w:style w:type="paragraph" w:customStyle="1" w:styleId="b">
    <w:name w:val="b"/>
    <w:basedOn w:val="Normal"/>
    <w:uiPriority w:val="99"/>
    <w:rsid w:val="004C1C4F"/>
    <w:pPr>
      <w:widowControl w:val="0"/>
      <w:tabs>
        <w:tab w:val="left" w:pos="0"/>
        <w:tab w:val="left" w:pos="700"/>
      </w:tabs>
      <w:suppressAutoHyphens/>
      <w:spacing w:after="0" w:line="240" w:lineRule="auto"/>
      <w:ind w:left="360" w:hanging="360"/>
    </w:pPr>
    <w:rPr>
      <w:rFonts w:ascii="Times New Roman" w:eastAsia="Times New Roman" w:hAnsi="Times New Roman" w:cs="Times New Roman"/>
      <w:spacing w:val="-3"/>
      <w:szCs w:val="20"/>
      <w:lang w:val="es-PE" w:eastAsia="es-PE"/>
    </w:rPr>
  </w:style>
  <w:style w:type="paragraph" w:customStyle="1" w:styleId="AATitEstado">
    <w:name w:val="AA Tit Estado"/>
    <w:basedOn w:val="Normal"/>
    <w:uiPriority w:val="99"/>
    <w:rsid w:val="004C1C4F"/>
    <w:pPr>
      <w:spacing w:after="0" w:line="360" w:lineRule="exact"/>
    </w:pPr>
    <w:rPr>
      <w:rFonts w:ascii="Arial" w:eastAsia="Times New Roman" w:hAnsi="Arial" w:cs="Times New Roman"/>
      <w:sz w:val="28"/>
      <w:szCs w:val="20"/>
      <w:lang w:val="es-ES_tradnl"/>
    </w:rPr>
  </w:style>
  <w:style w:type="paragraph" w:customStyle="1" w:styleId="INDENT">
    <w:name w:val="INDENT"/>
    <w:basedOn w:val="Normal"/>
    <w:uiPriority w:val="99"/>
    <w:rsid w:val="004C1C4F"/>
    <w:pPr>
      <w:suppressAutoHyphens/>
      <w:spacing w:after="0" w:line="240" w:lineRule="auto"/>
      <w:ind w:left="504"/>
    </w:pPr>
    <w:rPr>
      <w:rFonts w:ascii="Times New Roman" w:eastAsia="Times New Roman" w:hAnsi="Times New Roman" w:cs="Times New Roman"/>
      <w:spacing w:val="-3"/>
      <w:sz w:val="24"/>
      <w:szCs w:val="24"/>
      <w:lang w:val="es-ES_tradnl"/>
    </w:rPr>
  </w:style>
  <w:style w:type="paragraph" w:customStyle="1" w:styleId="Style">
    <w:name w:val="Style"/>
    <w:uiPriority w:val="99"/>
    <w:rsid w:val="004C1C4F"/>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customStyle="1" w:styleId="NoSpacing1">
    <w:name w:val="No Spacing1"/>
    <w:uiPriority w:val="99"/>
    <w:qFormat/>
    <w:rsid w:val="004C1C4F"/>
    <w:pPr>
      <w:spacing w:after="0" w:line="240" w:lineRule="auto"/>
    </w:pPr>
    <w:rPr>
      <w:rFonts w:ascii="Calibri" w:eastAsia="Calibri" w:hAnsi="Calibri" w:cs="Times New Roman"/>
      <w:lang w:val="en-US"/>
    </w:rPr>
  </w:style>
  <w:style w:type="paragraph" w:customStyle="1" w:styleId="normalsangr2">
    <w:name w:val="normal sangr 2"/>
    <w:basedOn w:val="Normal"/>
    <w:uiPriority w:val="99"/>
    <w:rsid w:val="004C1C4F"/>
    <w:pPr>
      <w:tabs>
        <w:tab w:val="left" w:pos="567"/>
        <w:tab w:val="left" w:pos="709"/>
        <w:tab w:val="left" w:pos="1417"/>
        <w:tab w:val="left" w:pos="2154"/>
        <w:tab w:val="left" w:pos="2832"/>
      </w:tabs>
      <w:snapToGrid w:val="0"/>
      <w:spacing w:after="80" w:line="240" w:lineRule="auto"/>
      <w:ind w:left="568" w:right="142" w:hanging="284"/>
    </w:pPr>
    <w:rPr>
      <w:rFonts w:ascii="Arial" w:eastAsia="Times New Roman" w:hAnsi="Arial" w:cs="Times New Roman"/>
      <w:sz w:val="20"/>
      <w:szCs w:val="20"/>
      <w:lang w:eastAsia="es-ES"/>
    </w:rPr>
  </w:style>
  <w:style w:type="paragraph" w:customStyle="1" w:styleId="EYLineaColumnas">
    <w:name w:val="EY Linea Columnas"/>
    <w:basedOn w:val="Normal"/>
    <w:link w:val="EYLineaColumnasChar"/>
    <w:rsid w:val="004C1C4F"/>
    <w:pPr>
      <w:overflowPunct w:val="0"/>
      <w:autoSpaceDE w:val="0"/>
      <w:autoSpaceDN w:val="0"/>
      <w:adjustRightInd w:val="0"/>
      <w:spacing w:after="0" w:line="60" w:lineRule="exact"/>
      <w:jc w:val="center"/>
    </w:pPr>
    <w:rPr>
      <w:rFonts w:ascii="EYInterstate Light" w:eastAsia="Times New Roman" w:hAnsi="EYInterstate Light" w:cs="Times New Roman"/>
      <w:position w:val="4"/>
      <w:sz w:val="18"/>
      <w:szCs w:val="18"/>
      <w:lang w:val="x-none" w:eastAsia="x-none"/>
    </w:rPr>
  </w:style>
  <w:style w:type="character" w:customStyle="1" w:styleId="EYLineaTotalChar">
    <w:name w:val="EY Linea Total Char"/>
    <w:link w:val="EYLineaTotal"/>
    <w:uiPriority w:val="99"/>
    <w:locked/>
    <w:rsid w:val="004C1C4F"/>
    <w:rPr>
      <w:rFonts w:ascii="EYInterstate Light" w:hAnsi="EYInterstate Light"/>
      <w:b/>
      <w:position w:val="4"/>
      <w:sz w:val="18"/>
      <w:szCs w:val="18"/>
      <w:u w:val="thick"/>
    </w:rPr>
  </w:style>
  <w:style w:type="paragraph" w:customStyle="1" w:styleId="EYLineaTotal">
    <w:name w:val="EY Linea Total"/>
    <w:basedOn w:val="Normal"/>
    <w:link w:val="EYLineaTotalChar"/>
    <w:uiPriority w:val="99"/>
    <w:rsid w:val="004C1C4F"/>
    <w:pPr>
      <w:overflowPunct w:val="0"/>
      <w:autoSpaceDE w:val="0"/>
      <w:autoSpaceDN w:val="0"/>
      <w:adjustRightInd w:val="0"/>
      <w:spacing w:after="0" w:line="100" w:lineRule="exact"/>
    </w:pPr>
    <w:rPr>
      <w:rFonts w:ascii="EYInterstate Light" w:hAnsi="EYInterstate Light"/>
      <w:b/>
      <w:position w:val="4"/>
      <w:sz w:val="18"/>
      <w:szCs w:val="18"/>
      <w:u w:val="thick"/>
    </w:rPr>
  </w:style>
  <w:style w:type="character" w:customStyle="1" w:styleId="EYNormalNotasTitulosChar">
    <w:name w:val="EY Normal Notas Titulos Char"/>
    <w:link w:val="EYNormalNotasTitulos"/>
    <w:locked/>
    <w:rsid w:val="004C1C4F"/>
    <w:rPr>
      <w:rFonts w:ascii="EYInterstate Light" w:hAnsi="EYInterstate Light"/>
      <w:b/>
      <w:sz w:val="18"/>
      <w:szCs w:val="18"/>
    </w:rPr>
  </w:style>
  <w:style w:type="paragraph" w:customStyle="1" w:styleId="EYNormalNotasTitulos">
    <w:name w:val="EY Normal Notas Titulos"/>
    <w:basedOn w:val="Normal"/>
    <w:link w:val="EYNormalNotasTitulosChar"/>
    <w:rsid w:val="004C1C4F"/>
    <w:pPr>
      <w:overflowPunct w:val="0"/>
      <w:autoSpaceDE w:val="0"/>
      <w:autoSpaceDN w:val="0"/>
      <w:adjustRightInd w:val="0"/>
      <w:spacing w:after="0" w:line="300" w:lineRule="exact"/>
      <w:ind w:left="567" w:hanging="567"/>
    </w:pPr>
    <w:rPr>
      <w:rFonts w:ascii="EYInterstate Light" w:hAnsi="EYInterstate Light"/>
      <w:b/>
      <w:sz w:val="18"/>
      <w:szCs w:val="18"/>
    </w:rPr>
  </w:style>
  <w:style w:type="character" w:customStyle="1" w:styleId="EYNormalNotasParrafosChar">
    <w:name w:val="EY Normal Notas Parrafos Char"/>
    <w:link w:val="EYNormalNotasParrafos"/>
    <w:locked/>
    <w:rsid w:val="004C1C4F"/>
    <w:rPr>
      <w:rFonts w:ascii="EYInterstate Light" w:hAnsi="EYInterstate Light"/>
      <w:sz w:val="18"/>
      <w:szCs w:val="18"/>
    </w:rPr>
  </w:style>
  <w:style w:type="paragraph" w:customStyle="1" w:styleId="EYNormalNotasParrafos">
    <w:name w:val="EY Normal Notas Parrafos"/>
    <w:basedOn w:val="EYNormalNotasTitulos"/>
    <w:link w:val="EYNormalNotasParrafosChar"/>
    <w:rsid w:val="004C1C4F"/>
    <w:pPr>
      <w:ind w:firstLine="0"/>
    </w:pPr>
    <w:rPr>
      <w:b w:val="0"/>
    </w:rPr>
  </w:style>
  <w:style w:type="paragraph" w:customStyle="1" w:styleId="EYTituloMoneda">
    <w:name w:val="EY Titulo Moneda"/>
    <w:basedOn w:val="Normal"/>
    <w:link w:val="EYTituloMonedaChar"/>
    <w:uiPriority w:val="99"/>
    <w:rsid w:val="004C1C4F"/>
    <w:pPr>
      <w:overflowPunct w:val="0"/>
      <w:autoSpaceDE w:val="0"/>
      <w:autoSpaceDN w:val="0"/>
      <w:adjustRightInd w:val="0"/>
      <w:spacing w:after="0" w:line="200" w:lineRule="exact"/>
      <w:jc w:val="center"/>
    </w:pPr>
    <w:rPr>
      <w:rFonts w:ascii="EYInterstate Light" w:eastAsia="Times New Roman" w:hAnsi="EYInterstate Light" w:cs="Times New Roman"/>
      <w:sz w:val="16"/>
      <w:szCs w:val="16"/>
      <w:lang w:val="x-none" w:eastAsia="x-none"/>
    </w:rPr>
  </w:style>
  <w:style w:type="character" w:customStyle="1" w:styleId="EYTituloColumnaCarCar">
    <w:name w:val="EY Titulo Columna Car Car"/>
    <w:link w:val="EYTituloColumnaCar"/>
    <w:locked/>
    <w:rsid w:val="004C1C4F"/>
    <w:rPr>
      <w:rFonts w:ascii="Arial" w:hAnsi="Arial"/>
      <w:b/>
      <w:sz w:val="18"/>
      <w:szCs w:val="18"/>
      <w:lang w:val="en-US"/>
    </w:rPr>
  </w:style>
  <w:style w:type="paragraph" w:customStyle="1" w:styleId="EYTituloColumnaCar">
    <w:name w:val="EY Titulo Columna Car"/>
    <w:link w:val="EYTituloColumnaCarCar"/>
    <w:rsid w:val="004C1C4F"/>
    <w:pPr>
      <w:spacing w:after="0" w:line="240" w:lineRule="exact"/>
      <w:jc w:val="center"/>
    </w:pPr>
    <w:rPr>
      <w:rFonts w:ascii="Arial" w:hAnsi="Arial"/>
      <w:b/>
      <w:sz w:val="18"/>
      <w:szCs w:val="18"/>
      <w:lang w:val="en-US"/>
    </w:rPr>
  </w:style>
  <w:style w:type="paragraph" w:customStyle="1" w:styleId="EYNormalTexto">
    <w:name w:val="EY Normal Texto"/>
    <w:basedOn w:val="Normal"/>
    <w:link w:val="EYNormalTextoChar"/>
    <w:uiPriority w:val="99"/>
    <w:qFormat/>
    <w:rsid w:val="004C1C4F"/>
    <w:pPr>
      <w:spacing w:after="0" w:line="300" w:lineRule="exact"/>
    </w:pPr>
    <w:rPr>
      <w:rFonts w:ascii="EYInterstate Light" w:eastAsia="Times New Roman" w:hAnsi="EYInterstate Light" w:cs="Times New Roman"/>
      <w:sz w:val="18"/>
      <w:szCs w:val="18"/>
      <w:lang w:val="es-ES_tradnl" w:eastAsia="x-none"/>
    </w:rPr>
  </w:style>
  <w:style w:type="character" w:customStyle="1" w:styleId="EYNormalTextoChar">
    <w:name w:val="EY Normal Texto Char"/>
    <w:link w:val="EYNormalTexto"/>
    <w:uiPriority w:val="99"/>
    <w:rsid w:val="004C1C4F"/>
    <w:rPr>
      <w:rFonts w:ascii="EYInterstate Light" w:eastAsia="Times New Roman" w:hAnsi="EYInterstate Light" w:cs="Times New Roman"/>
      <w:sz w:val="18"/>
      <w:szCs w:val="18"/>
      <w:lang w:val="es-ES_tradnl" w:eastAsia="x-none"/>
    </w:rPr>
  </w:style>
  <w:style w:type="paragraph" w:customStyle="1" w:styleId="EYLineaSubTotal">
    <w:name w:val="EY Linea Sub Total"/>
    <w:basedOn w:val="EYNormalTexto"/>
    <w:link w:val="EYLineaSubTotalChar"/>
    <w:rsid w:val="004C1C4F"/>
    <w:pPr>
      <w:spacing w:line="100" w:lineRule="exact"/>
    </w:pPr>
    <w:rPr>
      <w:position w:val="4"/>
    </w:rPr>
  </w:style>
  <w:style w:type="paragraph" w:customStyle="1" w:styleId="EYTituloColumna">
    <w:name w:val="EY Titulo Columna"/>
    <w:basedOn w:val="EYNormalTexto"/>
    <w:link w:val="EYTituloColumnaChar"/>
    <w:uiPriority w:val="99"/>
    <w:rsid w:val="004C1C4F"/>
    <w:pPr>
      <w:spacing w:line="240" w:lineRule="exact"/>
      <w:jc w:val="center"/>
    </w:pPr>
    <w:rPr>
      <w:b/>
    </w:rPr>
  </w:style>
  <w:style w:type="character" w:customStyle="1" w:styleId="EYTituloColumnaChar">
    <w:name w:val="EY Titulo Columna Char"/>
    <w:link w:val="EYTituloColumna"/>
    <w:uiPriority w:val="99"/>
    <w:rsid w:val="004C1C4F"/>
    <w:rPr>
      <w:rFonts w:ascii="EYInterstate Light" w:eastAsia="Times New Roman" w:hAnsi="EYInterstate Light" w:cs="Times New Roman"/>
      <w:b/>
      <w:sz w:val="18"/>
      <w:szCs w:val="18"/>
      <w:lang w:val="es-ES_tradnl" w:eastAsia="x-none"/>
    </w:rPr>
  </w:style>
  <w:style w:type="character" w:customStyle="1" w:styleId="EYLineaSubTotalChar">
    <w:name w:val="EY Linea Sub Total Char"/>
    <w:link w:val="EYLineaSubTotal"/>
    <w:rsid w:val="004C1C4F"/>
    <w:rPr>
      <w:rFonts w:ascii="EYInterstate Light" w:eastAsia="Times New Roman" w:hAnsi="EYInterstate Light" w:cs="Times New Roman"/>
      <w:position w:val="4"/>
      <w:sz w:val="18"/>
      <w:szCs w:val="18"/>
      <w:lang w:val="es-ES_tradnl" w:eastAsia="x-none"/>
    </w:rPr>
  </w:style>
  <w:style w:type="character" w:customStyle="1" w:styleId="EYTituloMonedaChar">
    <w:name w:val="EY Titulo Moneda Char"/>
    <w:link w:val="EYTituloMoneda"/>
    <w:uiPriority w:val="99"/>
    <w:rsid w:val="004C1C4F"/>
    <w:rPr>
      <w:rFonts w:ascii="EYInterstate Light" w:eastAsia="Times New Roman" w:hAnsi="EYInterstate Light" w:cs="Times New Roman"/>
      <w:sz w:val="16"/>
      <w:szCs w:val="16"/>
      <w:lang w:val="x-none" w:eastAsia="x-none"/>
    </w:rPr>
  </w:style>
  <w:style w:type="paragraph" w:customStyle="1" w:styleId="BodySingle">
    <w:name w:val="Body Single"/>
    <w:basedOn w:val="Textoindependiente"/>
    <w:uiPriority w:val="99"/>
    <w:rsid w:val="004C1C4F"/>
    <w:pPr>
      <w:spacing w:after="0" w:line="290" w:lineRule="atLeast"/>
      <w:ind w:firstLine="0"/>
    </w:pPr>
    <w:rPr>
      <w:rFonts w:cs="Arial"/>
      <w:sz w:val="24"/>
      <w:lang w:val="en-GB"/>
    </w:rPr>
  </w:style>
  <w:style w:type="paragraph" w:customStyle="1" w:styleId="CharCharChar">
    <w:name w:val="Char Char Char"/>
    <w:basedOn w:val="Normal"/>
    <w:uiPriority w:val="99"/>
    <w:rsid w:val="004C1C4F"/>
    <w:pPr>
      <w:spacing w:line="240" w:lineRule="exact"/>
      <w:jc w:val="right"/>
    </w:pPr>
    <w:rPr>
      <w:rFonts w:ascii="Verdana" w:eastAsia="Times New Roman" w:hAnsi="Verdana" w:cs="Arial"/>
      <w:sz w:val="20"/>
      <w:szCs w:val="21"/>
      <w:lang w:val="es-MX"/>
    </w:rPr>
  </w:style>
  <w:style w:type="paragraph" w:customStyle="1" w:styleId="AATitCa">
    <w:name w:val="AA Tit Cía"/>
    <w:basedOn w:val="Normal"/>
    <w:uiPriority w:val="99"/>
    <w:rsid w:val="004C1C4F"/>
    <w:pPr>
      <w:tabs>
        <w:tab w:val="left" w:pos="1296"/>
      </w:tabs>
      <w:spacing w:after="360" w:line="300" w:lineRule="exact"/>
      <w:outlineLvl w:val="0"/>
    </w:pPr>
    <w:rPr>
      <w:rFonts w:ascii="Arial" w:eastAsia="Times New Roman" w:hAnsi="Arial" w:cs="Times New Roman"/>
      <w:b/>
      <w:sz w:val="24"/>
      <w:szCs w:val="20"/>
      <w:lang w:val="es-ES_tradnl"/>
    </w:rPr>
  </w:style>
  <w:style w:type="paragraph" w:customStyle="1" w:styleId="CharCharCharCharCharCharCarCarChar">
    <w:name w:val="Char Char Char Char Char Char Car Car Char"/>
    <w:basedOn w:val="Normal"/>
    <w:uiPriority w:val="99"/>
    <w:rsid w:val="004C1C4F"/>
    <w:pPr>
      <w:spacing w:line="240" w:lineRule="exact"/>
    </w:pPr>
    <w:rPr>
      <w:rFonts w:ascii="Verdana" w:eastAsia="Times New Roman" w:hAnsi="Verdana" w:cs="Times New Roman"/>
      <w:sz w:val="20"/>
      <w:szCs w:val="20"/>
      <w:lang w:val="en-US"/>
    </w:rPr>
  </w:style>
  <w:style w:type="character" w:customStyle="1" w:styleId="AANormalTextoNotasletrasChar">
    <w:name w:val="AA Normal Texto Notas letras Char"/>
    <w:link w:val="AANormalTextoNotasletras"/>
    <w:rsid w:val="004C1C4F"/>
    <w:rPr>
      <w:rFonts w:ascii="Arial" w:eastAsia="Times New Roman" w:hAnsi="Arial" w:cs="Times New Roman"/>
      <w:sz w:val="18"/>
      <w:szCs w:val="20"/>
      <w:lang w:val="es-ES_tradnl" w:eastAsia="es-ES"/>
    </w:rPr>
  </w:style>
  <w:style w:type="paragraph" w:customStyle="1" w:styleId="EYCaraNombCia">
    <w:name w:val="EY Cara Nomb Cia"/>
    <w:basedOn w:val="Normal"/>
    <w:uiPriority w:val="99"/>
    <w:rsid w:val="004C1C4F"/>
    <w:pPr>
      <w:spacing w:before="10440" w:after="240" w:line="240" w:lineRule="auto"/>
      <w:ind w:left="2155"/>
    </w:pPr>
    <w:rPr>
      <w:rFonts w:ascii="EYInterstate Light" w:eastAsia="Times New Roman" w:hAnsi="EYInterstate Light" w:cs="Times New Roman"/>
      <w:b/>
      <w:szCs w:val="20"/>
      <w:lang w:val="es-ES_tradnl"/>
    </w:rPr>
  </w:style>
  <w:style w:type="paragraph" w:customStyle="1" w:styleId="EYCaraTitLin">
    <w:name w:val="EY Cara Tit Lin"/>
    <w:basedOn w:val="Normal"/>
    <w:uiPriority w:val="99"/>
    <w:rsid w:val="004C1C4F"/>
    <w:pPr>
      <w:spacing w:after="0" w:line="240" w:lineRule="auto"/>
      <w:ind w:left="2155"/>
    </w:pPr>
    <w:rPr>
      <w:rFonts w:ascii="EYInterstate Light" w:eastAsia="Times New Roman" w:hAnsi="EYInterstate Light" w:cs="Times New Roman"/>
      <w:szCs w:val="20"/>
      <w:lang w:val="es-ES_tradnl"/>
    </w:rPr>
  </w:style>
  <w:style w:type="paragraph" w:customStyle="1" w:styleId="EYTextoDictamen">
    <w:name w:val="EY Texto Dictamen"/>
    <w:basedOn w:val="EYNormalTexto"/>
    <w:link w:val="EYTextoDictamenChar"/>
    <w:rsid w:val="004C1C4F"/>
    <w:rPr>
      <w:sz w:val="20"/>
      <w:szCs w:val="22"/>
    </w:rPr>
  </w:style>
  <w:style w:type="paragraph" w:customStyle="1" w:styleId="EYTitCia">
    <w:name w:val="EY Tit Cia"/>
    <w:basedOn w:val="EYNormalTexto"/>
    <w:uiPriority w:val="99"/>
    <w:rsid w:val="004C1C4F"/>
    <w:pPr>
      <w:spacing w:after="360"/>
    </w:pPr>
    <w:rPr>
      <w:b/>
      <w:sz w:val="24"/>
      <w:szCs w:val="24"/>
    </w:rPr>
  </w:style>
  <w:style w:type="character" w:customStyle="1" w:styleId="EYNormalTextoCar">
    <w:name w:val="EY Normal Texto Car"/>
    <w:rsid w:val="004C1C4F"/>
    <w:rPr>
      <w:rFonts w:ascii="Arial" w:hAnsi="Arial"/>
      <w:sz w:val="18"/>
      <w:szCs w:val="18"/>
      <w:lang w:val="en-US" w:eastAsia="es-ES" w:bidi="ar-SA"/>
    </w:rPr>
  </w:style>
  <w:style w:type="paragraph" w:customStyle="1" w:styleId="EYTituloDictamen">
    <w:name w:val="EY Titulo Dictamen"/>
    <w:basedOn w:val="EYNormalTexto"/>
    <w:link w:val="EYTituloDictamenChar"/>
    <w:rsid w:val="004C1C4F"/>
    <w:pPr>
      <w:spacing w:before="1880" w:after="500"/>
    </w:pPr>
    <w:rPr>
      <w:sz w:val="28"/>
      <w:szCs w:val="28"/>
    </w:rPr>
  </w:style>
  <w:style w:type="character" w:customStyle="1" w:styleId="EYTituloDictamenChar">
    <w:name w:val="EY Titulo Dictamen Char"/>
    <w:link w:val="EYTituloDictamen"/>
    <w:rsid w:val="004C1C4F"/>
    <w:rPr>
      <w:rFonts w:ascii="EYInterstate Light" w:eastAsia="Times New Roman" w:hAnsi="EYInterstate Light" w:cs="Times New Roman"/>
      <w:sz w:val="28"/>
      <w:szCs w:val="28"/>
      <w:lang w:val="es-ES_tradnl" w:eastAsia="x-none"/>
    </w:rPr>
  </w:style>
  <w:style w:type="paragraph" w:customStyle="1" w:styleId="EYTituloEstado">
    <w:name w:val="EY Titulo Estado"/>
    <w:basedOn w:val="EYNormalTexto"/>
    <w:link w:val="EYTituloEstadoChar"/>
    <w:rsid w:val="004C1C4F"/>
    <w:pPr>
      <w:spacing w:line="360" w:lineRule="exact"/>
    </w:pPr>
    <w:rPr>
      <w:sz w:val="28"/>
      <w:szCs w:val="28"/>
    </w:rPr>
  </w:style>
  <w:style w:type="character" w:customStyle="1" w:styleId="EYTituloEstadoChar">
    <w:name w:val="EY Titulo Estado Char"/>
    <w:link w:val="EYTituloEstado"/>
    <w:rsid w:val="004C1C4F"/>
    <w:rPr>
      <w:rFonts w:ascii="EYInterstate Light" w:eastAsia="Times New Roman" w:hAnsi="EYInterstate Light" w:cs="Times New Roman"/>
      <w:sz w:val="28"/>
      <w:szCs w:val="28"/>
      <w:lang w:val="es-ES_tradnl" w:eastAsia="x-none"/>
    </w:rPr>
  </w:style>
  <w:style w:type="paragraph" w:customStyle="1" w:styleId="EYTituloFechaEstado">
    <w:name w:val="EY Titulo Fecha Estado"/>
    <w:basedOn w:val="EYNormalTexto"/>
    <w:link w:val="EYTituloFechaEstadoChar"/>
    <w:rsid w:val="004C1C4F"/>
    <w:pPr>
      <w:spacing w:after="600"/>
      <w:jc w:val="both"/>
    </w:pPr>
  </w:style>
  <w:style w:type="character" w:customStyle="1" w:styleId="EYNormalNotasParrafosCar">
    <w:name w:val="EY Normal Notas Parrafos Car"/>
    <w:rsid w:val="004C1C4F"/>
    <w:rPr>
      <w:rFonts w:ascii="Arial" w:hAnsi="Arial"/>
      <w:b/>
      <w:sz w:val="18"/>
      <w:szCs w:val="18"/>
      <w:lang w:val="es-ES_tradnl" w:eastAsia="es-ES"/>
    </w:rPr>
  </w:style>
  <w:style w:type="paragraph" w:customStyle="1" w:styleId="Style2">
    <w:name w:val="Style2"/>
    <w:basedOn w:val="EYCaraTitLin"/>
    <w:uiPriority w:val="99"/>
    <w:rsid w:val="004C1C4F"/>
    <w:rPr>
      <w:lang w:val="it-IT"/>
    </w:rPr>
  </w:style>
  <w:style w:type="paragraph" w:customStyle="1" w:styleId="Style3">
    <w:name w:val="Style3"/>
    <w:basedOn w:val="EYCaraTitLin"/>
    <w:uiPriority w:val="99"/>
    <w:rsid w:val="004C1C4F"/>
  </w:style>
  <w:style w:type="paragraph" w:customStyle="1" w:styleId="Style4">
    <w:name w:val="Style4"/>
    <w:basedOn w:val="EYCaraTitLin"/>
    <w:uiPriority w:val="99"/>
    <w:rsid w:val="004C1C4F"/>
  </w:style>
  <w:style w:type="paragraph" w:customStyle="1" w:styleId="texto">
    <w:name w:val="texto"/>
    <w:basedOn w:val="Normal"/>
    <w:uiPriority w:val="99"/>
    <w:rsid w:val="004C1C4F"/>
    <w:pPr>
      <w:spacing w:before="100" w:beforeAutospacing="1" w:after="100" w:afterAutospacing="1" w:line="240" w:lineRule="auto"/>
    </w:pPr>
    <w:rPr>
      <w:rFonts w:ascii="Arial" w:eastAsia="Times New Roman" w:hAnsi="Arial" w:cs="Arial"/>
      <w:color w:val="666666"/>
      <w:sz w:val="18"/>
      <w:szCs w:val="18"/>
      <w:lang w:val="en-US"/>
    </w:rPr>
  </w:style>
  <w:style w:type="numbering" w:customStyle="1" w:styleId="Sinlista1">
    <w:name w:val="Sin lista1"/>
    <w:next w:val="Sinlista"/>
    <w:uiPriority w:val="99"/>
    <w:semiHidden/>
    <w:unhideWhenUsed/>
    <w:rsid w:val="004C1C4F"/>
  </w:style>
  <w:style w:type="table" w:customStyle="1" w:styleId="Tablaconcuadrcula14">
    <w:name w:val="Tabla con cuadrícula14"/>
    <w:basedOn w:val="Tablanormal"/>
    <w:next w:val="Tablaconcuadrcula"/>
    <w:uiPriority w:val="59"/>
    <w:rsid w:val="004C1C4F"/>
    <w:pPr>
      <w:spacing w:after="0" w:line="300" w:lineRule="exact"/>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YLineaColumnasChar">
    <w:name w:val="EY Linea Columnas Char"/>
    <w:link w:val="EYLineaColumnas"/>
    <w:rsid w:val="004C1C4F"/>
    <w:rPr>
      <w:rFonts w:ascii="EYInterstate Light" w:eastAsia="Times New Roman" w:hAnsi="EYInterstate Light" w:cs="Times New Roman"/>
      <w:position w:val="4"/>
      <w:sz w:val="18"/>
      <w:szCs w:val="18"/>
      <w:lang w:val="x-none" w:eastAsia="x-none"/>
    </w:rPr>
  </w:style>
  <w:style w:type="paragraph" w:customStyle="1" w:styleId="EYTitColumna">
    <w:name w:val="EY Tit Columna"/>
    <w:basedOn w:val="Normal"/>
    <w:uiPriority w:val="99"/>
    <w:rsid w:val="004C1C4F"/>
    <w:pPr>
      <w:spacing w:after="0" w:line="240" w:lineRule="exact"/>
      <w:jc w:val="center"/>
    </w:pPr>
    <w:rPr>
      <w:rFonts w:ascii="Arial" w:eastAsia="Times New Roman" w:hAnsi="Arial" w:cs="Times New Roman"/>
      <w:b/>
      <w:sz w:val="18"/>
      <w:szCs w:val="24"/>
      <w:lang w:val="es-ES_tradnl" w:eastAsia="es-PE"/>
    </w:rPr>
  </w:style>
  <w:style w:type="character" w:customStyle="1" w:styleId="EYTextoDictamenChar">
    <w:name w:val="EY Texto Dictamen Char"/>
    <w:link w:val="EYTextoDictamen"/>
    <w:rsid w:val="004C1C4F"/>
    <w:rPr>
      <w:rFonts w:ascii="EYInterstate Light" w:eastAsia="Times New Roman" w:hAnsi="EYInterstate Light" w:cs="Times New Roman"/>
      <w:sz w:val="20"/>
      <w:lang w:val="es-ES_tradnl" w:eastAsia="x-none"/>
    </w:rPr>
  </w:style>
  <w:style w:type="paragraph" w:customStyle="1" w:styleId="AAFrameAddress">
    <w:name w:val="AA Frame Address"/>
    <w:basedOn w:val="Ttulo1"/>
    <w:uiPriority w:val="99"/>
    <w:rsid w:val="004C1C4F"/>
    <w:pPr>
      <w:keepNext/>
      <w:framePr w:w="2812" w:h="1701" w:hSpace="142" w:vSpace="142" w:wrap="around" w:vAnchor="page" w:hAnchor="page" w:x="8024" w:y="2723"/>
      <w:shd w:val="clear" w:color="FFFFFF" w:fill="auto"/>
      <w:tabs>
        <w:tab w:val="num" w:pos="720"/>
      </w:tabs>
      <w:spacing w:after="90"/>
      <w:ind w:left="720" w:hanging="720"/>
      <w:jc w:val="left"/>
    </w:pPr>
    <w:rPr>
      <w:rFonts w:ascii="Arial" w:eastAsia="SimSun" w:hAnsi="Arial"/>
      <w:b w:val="0"/>
      <w:caps/>
      <w:noProof/>
      <w:sz w:val="18"/>
      <w:szCs w:val="20"/>
      <w:lang w:val="x-none" w:eastAsia="x-none"/>
    </w:rPr>
  </w:style>
  <w:style w:type="paragraph" w:customStyle="1" w:styleId="AAFrameLogo">
    <w:name w:val="AA Frame Logo"/>
    <w:basedOn w:val="Normal"/>
    <w:uiPriority w:val="99"/>
    <w:rsid w:val="004C1C4F"/>
    <w:pPr>
      <w:framePr w:w="4253" w:h="1418" w:hRule="exact" w:hSpace="142" w:vSpace="142" w:wrap="around" w:vAnchor="page" w:hAnchor="page" w:x="7457" w:y="568"/>
      <w:spacing w:after="0" w:line="300" w:lineRule="exact"/>
    </w:pPr>
    <w:rPr>
      <w:rFonts w:ascii="Arial" w:eastAsia="Calibri" w:hAnsi="Arial" w:cs="Times New Roman"/>
      <w:sz w:val="18"/>
      <w:szCs w:val="20"/>
      <w:lang w:val="en-US"/>
    </w:rPr>
  </w:style>
  <w:style w:type="paragraph" w:customStyle="1" w:styleId="AA1stlevelbullet">
    <w:name w:val="AA 1st level bullet"/>
    <w:basedOn w:val="Normal"/>
    <w:uiPriority w:val="99"/>
    <w:rsid w:val="004C1C4F"/>
    <w:pPr>
      <w:tabs>
        <w:tab w:val="left" w:pos="284"/>
      </w:tabs>
      <w:spacing w:after="0" w:line="280" w:lineRule="atLeast"/>
      <w:ind w:left="284" w:hanging="284"/>
    </w:pPr>
    <w:rPr>
      <w:rFonts w:ascii="Arial" w:eastAsia="Calibri" w:hAnsi="Arial" w:cs="Times New Roman"/>
      <w:sz w:val="18"/>
      <w:szCs w:val="20"/>
      <w:lang w:val="en-US"/>
    </w:rPr>
  </w:style>
  <w:style w:type="paragraph" w:customStyle="1" w:styleId="AA2ndlevelbullet">
    <w:name w:val="AA 2nd level bullet"/>
    <w:basedOn w:val="AA1stlevelbullet"/>
    <w:uiPriority w:val="99"/>
    <w:rsid w:val="004C1C4F"/>
    <w:pPr>
      <w:tabs>
        <w:tab w:val="left" w:pos="567"/>
      </w:tabs>
      <w:spacing w:line="240" w:lineRule="auto"/>
      <w:ind w:left="568"/>
    </w:pPr>
  </w:style>
  <w:style w:type="paragraph" w:customStyle="1" w:styleId="AANumbering">
    <w:name w:val="AA Numbering"/>
    <w:basedOn w:val="Normal"/>
    <w:uiPriority w:val="99"/>
    <w:rsid w:val="004C1C4F"/>
    <w:pPr>
      <w:tabs>
        <w:tab w:val="left" w:pos="284"/>
        <w:tab w:val="num" w:pos="360"/>
      </w:tabs>
      <w:spacing w:after="0" w:line="300" w:lineRule="exact"/>
      <w:ind w:left="283" w:hanging="283"/>
    </w:pPr>
    <w:rPr>
      <w:rFonts w:ascii="Arial" w:eastAsia="Calibri" w:hAnsi="Arial" w:cs="Times New Roman"/>
      <w:sz w:val="18"/>
      <w:szCs w:val="20"/>
      <w:lang w:val="en-US"/>
    </w:rPr>
  </w:style>
  <w:style w:type="paragraph" w:customStyle="1" w:styleId="AALetters">
    <w:name w:val="AA Letters"/>
    <w:basedOn w:val="AANumbering"/>
    <w:uiPriority w:val="99"/>
    <w:rsid w:val="004C1C4F"/>
    <w:pPr>
      <w:numPr>
        <w:ilvl w:val="1"/>
      </w:numPr>
      <w:tabs>
        <w:tab w:val="clear" w:pos="284"/>
        <w:tab w:val="num" w:pos="360"/>
        <w:tab w:val="left" w:pos="567"/>
      </w:tabs>
      <w:ind w:left="283" w:hanging="283"/>
    </w:pPr>
  </w:style>
  <w:style w:type="paragraph" w:customStyle="1" w:styleId="EYNormalNotasLetrasLeft2cm">
    <w:name w:val="EY Normal Notas Letras + Left:  2 cm"/>
    <w:basedOn w:val="EYNormalNotasLetras"/>
    <w:uiPriority w:val="99"/>
    <w:rsid w:val="004C1C4F"/>
    <w:pPr>
      <w:ind w:left="1701"/>
    </w:pPr>
    <w:rPr>
      <w:rFonts w:ascii="Arial" w:eastAsia="SimSun" w:hAnsi="Arial"/>
      <w:lang w:val="es-PE"/>
    </w:rPr>
  </w:style>
  <w:style w:type="character" w:customStyle="1" w:styleId="EYNormalNotasLetrasChar1">
    <w:name w:val="EY Normal Notas Letras Char1"/>
    <w:rsid w:val="004C1C4F"/>
    <w:rPr>
      <w:rFonts w:ascii="Arial" w:hAnsi="Arial"/>
      <w:sz w:val="18"/>
      <w:szCs w:val="18"/>
      <w:lang w:val="en-US" w:eastAsia="es-ES" w:bidi="ar-SA"/>
    </w:rPr>
  </w:style>
  <w:style w:type="character" w:customStyle="1" w:styleId="mediumtext1">
    <w:name w:val="medium_text1"/>
    <w:rsid w:val="004C1C4F"/>
    <w:rPr>
      <w:sz w:val="12"/>
      <w:szCs w:val="12"/>
    </w:rPr>
  </w:style>
  <w:style w:type="paragraph" w:customStyle="1" w:styleId="BackCoverCopyright">
    <w:name w:val="Back Cover Copyright"/>
    <w:basedOn w:val="Normal"/>
    <w:uiPriority w:val="99"/>
    <w:rsid w:val="004C1C4F"/>
    <w:pPr>
      <w:suppressAutoHyphens/>
      <w:autoSpaceDE w:val="0"/>
      <w:autoSpaceDN w:val="0"/>
      <w:adjustRightInd w:val="0"/>
      <w:spacing w:after="0" w:line="280" w:lineRule="atLeast"/>
      <w:textAlignment w:val="baseline"/>
    </w:pPr>
    <w:rPr>
      <w:rFonts w:ascii="Times New Roman" w:eastAsia="Times New Roman" w:hAnsi="Times New Roman" w:cs="Times New Roman"/>
      <w:color w:val="000000"/>
      <w:sz w:val="20"/>
      <w:szCs w:val="20"/>
      <w:lang w:val="en-US"/>
    </w:rPr>
  </w:style>
  <w:style w:type="paragraph" w:customStyle="1" w:styleId="EYHeading2">
    <w:name w:val="EY Heading 2"/>
    <w:basedOn w:val="Normal"/>
    <w:next w:val="Normal"/>
    <w:link w:val="EYHeading2Char"/>
    <w:qFormat/>
    <w:rsid w:val="004C1C4F"/>
    <w:pPr>
      <w:keepNext/>
      <w:suppressAutoHyphens/>
      <w:spacing w:before="120" w:after="120" w:line="240" w:lineRule="auto"/>
    </w:pPr>
    <w:rPr>
      <w:rFonts w:ascii="Arial" w:eastAsia="Times New Roman" w:hAnsi="Arial" w:cs="Times New Roman"/>
      <w:b/>
      <w:kern w:val="12"/>
      <w:szCs w:val="20"/>
      <w:lang w:val="x-none" w:eastAsia="x-none"/>
    </w:rPr>
  </w:style>
  <w:style w:type="character" w:customStyle="1" w:styleId="EYHeading2Char">
    <w:name w:val="EY Heading 2 Char"/>
    <w:link w:val="EYHeading2"/>
    <w:rsid w:val="004C1C4F"/>
    <w:rPr>
      <w:rFonts w:ascii="Arial" w:eastAsia="Times New Roman" w:hAnsi="Arial" w:cs="Times New Roman"/>
      <w:b/>
      <w:kern w:val="12"/>
      <w:szCs w:val="20"/>
      <w:lang w:val="x-none" w:eastAsia="x-none"/>
    </w:rPr>
  </w:style>
  <w:style w:type="paragraph" w:customStyle="1" w:styleId="AALneaSubTotal">
    <w:name w:val="AA Línea SubTotal"/>
    <w:basedOn w:val="Normal"/>
    <w:uiPriority w:val="99"/>
    <w:rsid w:val="004C1C4F"/>
    <w:pPr>
      <w:spacing w:after="0" w:line="100" w:lineRule="exact"/>
    </w:pPr>
    <w:rPr>
      <w:rFonts w:ascii="Book Antiqua" w:eastAsia="Times New Roman" w:hAnsi="Book Antiqua" w:cs="Times New Roman"/>
      <w:b/>
      <w:position w:val="4"/>
      <w:sz w:val="18"/>
      <w:szCs w:val="20"/>
      <w:lang w:val="es-ES_tradnl"/>
    </w:rPr>
  </w:style>
  <w:style w:type="paragraph" w:customStyle="1" w:styleId="AALneaTotal">
    <w:name w:val="AA Línea Total"/>
    <w:basedOn w:val="Normal"/>
    <w:uiPriority w:val="99"/>
    <w:rsid w:val="004C1C4F"/>
    <w:pPr>
      <w:keepNext/>
      <w:spacing w:after="0" w:line="100" w:lineRule="exact"/>
      <w:jc w:val="right"/>
    </w:pPr>
    <w:rPr>
      <w:rFonts w:ascii="Book Antiqua" w:eastAsia="Times New Roman" w:hAnsi="Book Antiqua" w:cs="Times New Roman"/>
      <w:b/>
      <w:position w:val="4"/>
      <w:sz w:val="16"/>
      <w:szCs w:val="20"/>
      <w:u w:val="thick"/>
    </w:rPr>
  </w:style>
  <w:style w:type="paragraph" w:customStyle="1" w:styleId="EYTitMoneda">
    <w:name w:val="EY Tit Moneda"/>
    <w:basedOn w:val="Normal"/>
    <w:uiPriority w:val="99"/>
    <w:rsid w:val="004C1C4F"/>
    <w:pPr>
      <w:spacing w:after="0" w:line="200" w:lineRule="exact"/>
      <w:jc w:val="center"/>
    </w:pPr>
    <w:rPr>
      <w:rFonts w:ascii="Arial" w:eastAsia="Times New Roman" w:hAnsi="Arial" w:cs="Times New Roman"/>
      <w:sz w:val="16"/>
      <w:szCs w:val="20"/>
      <w:lang w:val="en-US"/>
    </w:rPr>
  </w:style>
  <w:style w:type="character" w:customStyle="1" w:styleId="longtext">
    <w:name w:val="long_text"/>
    <w:rsid w:val="004C1C4F"/>
  </w:style>
  <w:style w:type="character" w:customStyle="1" w:styleId="jfk-button-label1">
    <w:name w:val="jfk-button-label1"/>
    <w:rsid w:val="004C1C4F"/>
  </w:style>
  <w:style w:type="character" w:customStyle="1" w:styleId="EYNormalTextoChar1">
    <w:name w:val="EY Normal Texto Char1"/>
    <w:rsid w:val="004C1C4F"/>
    <w:rPr>
      <w:rFonts w:ascii="Arial" w:hAnsi="Arial"/>
      <w:sz w:val="18"/>
      <w:szCs w:val="18"/>
      <w:lang w:val="en-US" w:eastAsia="es-ES" w:bidi="ar-SA"/>
    </w:rPr>
  </w:style>
  <w:style w:type="paragraph" w:customStyle="1" w:styleId="AALneaTotal0">
    <w:name w:val="AALínea Total"/>
    <w:basedOn w:val="Normal"/>
    <w:uiPriority w:val="99"/>
    <w:rsid w:val="004C1C4F"/>
    <w:pPr>
      <w:keepNext/>
      <w:tabs>
        <w:tab w:val="decimal" w:pos="1418"/>
      </w:tabs>
      <w:spacing w:after="0" w:line="100" w:lineRule="exact"/>
    </w:pPr>
    <w:rPr>
      <w:rFonts w:ascii="Book Antiqua" w:eastAsia="Times New Roman" w:hAnsi="Book Antiqua" w:cs="Times New Roman"/>
      <w:b/>
      <w:position w:val="4"/>
      <w:sz w:val="20"/>
      <w:szCs w:val="20"/>
      <w:u w:val="thick"/>
      <w:lang w:val="es-ES_tradnl"/>
    </w:rPr>
  </w:style>
  <w:style w:type="character" w:customStyle="1" w:styleId="cs-901-bold1">
    <w:name w:val="cs-901-bold1"/>
    <w:rsid w:val="004C1C4F"/>
    <w:rPr>
      <w:b/>
      <w:bCs/>
    </w:rPr>
  </w:style>
  <w:style w:type="character" w:customStyle="1" w:styleId="longtext1">
    <w:name w:val="long_text1"/>
    <w:rsid w:val="004C1C4F"/>
    <w:rPr>
      <w:sz w:val="21"/>
      <w:szCs w:val="21"/>
    </w:rPr>
  </w:style>
  <w:style w:type="paragraph" w:customStyle="1" w:styleId="EYBodytextwithparaspace">
    <w:name w:val="EY Body text (with para space)"/>
    <w:basedOn w:val="Normal"/>
    <w:link w:val="EYBodytextwithparaspaceChar"/>
    <w:qFormat/>
    <w:rsid w:val="004C1C4F"/>
    <w:pPr>
      <w:suppressAutoHyphens/>
      <w:spacing w:after="240" w:line="240" w:lineRule="auto"/>
    </w:pPr>
    <w:rPr>
      <w:rFonts w:ascii="Arial" w:eastAsia="Times New Roman" w:hAnsi="Arial" w:cs="Times New Roman"/>
      <w:kern w:val="12"/>
      <w:sz w:val="20"/>
      <w:szCs w:val="20"/>
      <w:lang w:val="x-none" w:eastAsia="x-none"/>
    </w:rPr>
  </w:style>
  <w:style w:type="character" w:customStyle="1" w:styleId="EYBodytextwithparaspaceChar">
    <w:name w:val="EY Body text (with para space) Char"/>
    <w:link w:val="EYBodytextwithparaspace"/>
    <w:rsid w:val="004C1C4F"/>
    <w:rPr>
      <w:rFonts w:ascii="Arial" w:eastAsia="Times New Roman" w:hAnsi="Arial" w:cs="Times New Roman"/>
      <w:kern w:val="12"/>
      <w:sz w:val="20"/>
      <w:szCs w:val="20"/>
      <w:lang w:val="x-none" w:eastAsia="x-none"/>
    </w:rPr>
  </w:style>
  <w:style w:type="paragraph" w:customStyle="1" w:styleId="EYHeading1">
    <w:name w:val="EY Heading 1"/>
    <w:basedOn w:val="Normal"/>
    <w:next w:val="EYBodytextwithparaspace"/>
    <w:link w:val="EYHeading1Char"/>
    <w:qFormat/>
    <w:rsid w:val="004C1C4F"/>
    <w:pPr>
      <w:keepNext/>
      <w:suppressAutoHyphens/>
      <w:spacing w:before="120" w:after="240" w:line="240" w:lineRule="auto"/>
    </w:pPr>
    <w:rPr>
      <w:rFonts w:ascii="Arial" w:eastAsia="Times New Roman" w:hAnsi="Arial" w:cs="Times New Roman"/>
      <w:b/>
      <w:kern w:val="12"/>
      <w:sz w:val="26"/>
      <w:szCs w:val="20"/>
      <w:lang w:val="x-none" w:eastAsia="x-none"/>
    </w:rPr>
  </w:style>
  <w:style w:type="character" w:customStyle="1" w:styleId="EYHeading1Char">
    <w:name w:val="EY Heading 1 Char"/>
    <w:link w:val="EYHeading1"/>
    <w:rsid w:val="004C1C4F"/>
    <w:rPr>
      <w:rFonts w:ascii="Arial" w:eastAsia="Times New Roman" w:hAnsi="Arial" w:cs="Times New Roman"/>
      <w:b/>
      <w:kern w:val="12"/>
      <w:sz w:val="26"/>
      <w:szCs w:val="20"/>
      <w:lang w:val="x-none" w:eastAsia="x-none"/>
    </w:rPr>
  </w:style>
  <w:style w:type="character" w:customStyle="1" w:styleId="EYTituloFechaEstadoChar">
    <w:name w:val="EY Titulo Fecha Estado Char"/>
    <w:link w:val="EYTituloFechaEstado"/>
    <w:locked/>
    <w:rsid w:val="004C1C4F"/>
    <w:rPr>
      <w:rFonts w:ascii="EYInterstate Light" w:eastAsia="Times New Roman" w:hAnsi="EYInterstate Light" w:cs="Times New Roman"/>
      <w:sz w:val="18"/>
      <w:szCs w:val="18"/>
      <w:lang w:val="es-ES_tradnl" w:eastAsia="x-none"/>
    </w:rPr>
  </w:style>
  <w:style w:type="character" w:customStyle="1" w:styleId="CenterChar">
    <w:name w:val="Center Char"/>
    <w:link w:val="Center"/>
    <w:rsid w:val="004C1C4F"/>
    <w:rPr>
      <w:rFonts w:ascii="Times New Roman" w:eastAsia="Times New Roman" w:hAnsi="Times New Roman" w:cs="Times New Roman"/>
      <w:bCs/>
      <w:sz w:val="20"/>
      <w:szCs w:val="32"/>
      <w:lang w:val="x-none" w:eastAsia="x-none"/>
    </w:rPr>
  </w:style>
  <w:style w:type="character" w:customStyle="1" w:styleId="paragraph1">
    <w:name w:val="paragraph1"/>
    <w:rsid w:val="004C1C4F"/>
    <w:rPr>
      <w:rFonts w:ascii="Arial" w:hAnsi="Arial" w:cs="Arial" w:hint="default"/>
      <w:vanish w:val="0"/>
      <w:sz w:val="29"/>
      <w:szCs w:val="29"/>
      <w:specVanish w:val="0"/>
    </w:rPr>
  </w:style>
  <w:style w:type="paragraph" w:customStyle="1" w:styleId="Tablefootnoteline">
    <w:name w:val="Table footnote line"/>
    <w:basedOn w:val="Normal"/>
    <w:uiPriority w:val="99"/>
    <w:qFormat/>
    <w:rsid w:val="004C1C4F"/>
    <w:pPr>
      <w:pBdr>
        <w:bottom w:val="single" w:sz="4" w:space="1" w:color="auto"/>
      </w:pBdr>
      <w:spacing w:after="60" w:line="240" w:lineRule="auto"/>
      <w:ind w:right="7560"/>
    </w:pPr>
    <w:rPr>
      <w:rFonts w:ascii="Times New Roman" w:eastAsia="Calibri" w:hAnsi="Times New Roman" w:cs="Times New Roman"/>
      <w:sz w:val="20"/>
      <w:szCs w:val="24"/>
      <w:lang w:val="en-US"/>
    </w:rPr>
  </w:style>
  <w:style w:type="character" w:customStyle="1" w:styleId="Table7ptChar">
    <w:name w:val="Table 7pt Char"/>
    <w:rsid w:val="004C1C4F"/>
    <w:rPr>
      <w:rFonts w:eastAsia="Calibri"/>
      <w:sz w:val="14"/>
      <w:szCs w:val="14"/>
    </w:rPr>
  </w:style>
  <w:style w:type="paragraph" w:customStyle="1" w:styleId="TableFootnotetext">
    <w:name w:val="Table Footnote text"/>
    <w:basedOn w:val="Normal"/>
    <w:uiPriority w:val="99"/>
    <w:qFormat/>
    <w:rsid w:val="004C1C4F"/>
    <w:pPr>
      <w:spacing w:after="0" w:line="240" w:lineRule="auto"/>
      <w:ind w:left="360" w:hanging="360"/>
    </w:pPr>
    <w:rPr>
      <w:rFonts w:ascii="Times New Roman" w:eastAsia="Calibri" w:hAnsi="Times New Roman" w:cs="Times New Roman"/>
      <w:sz w:val="16"/>
      <w:szCs w:val="24"/>
      <w:lang w:val="en-US"/>
    </w:rPr>
  </w:style>
  <w:style w:type="numbering" w:customStyle="1" w:styleId="NoList31">
    <w:name w:val="No List31"/>
    <w:next w:val="Sinlista"/>
    <w:uiPriority w:val="99"/>
    <w:semiHidden/>
    <w:unhideWhenUsed/>
    <w:rsid w:val="004C1C4F"/>
  </w:style>
  <w:style w:type="table" w:customStyle="1" w:styleId="TableGrid34">
    <w:name w:val="Table Grid34"/>
    <w:basedOn w:val="Tablanormal"/>
    <w:next w:val="Tablaconcuadrcula"/>
    <w:uiPriority w:val="99"/>
    <w:rsid w:val="004C1C4F"/>
    <w:pPr>
      <w:spacing w:after="0" w:line="240" w:lineRule="auto"/>
    </w:pPr>
    <w:rPr>
      <w:rFonts w:ascii="Times New Roman" w:eastAsia="MS Mincho" w:hAnsi="Times New Roman" w:cs="Times New Roman"/>
      <w:sz w:val="20"/>
      <w:szCs w:val="20"/>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FEbodytext">
    <w:name w:val="CFE bodytext"/>
    <w:basedOn w:val="Sangradetextonormal"/>
    <w:uiPriority w:val="99"/>
    <w:rsid w:val="004C1C4F"/>
    <w:pPr>
      <w:spacing w:line="260" w:lineRule="exact"/>
      <w:ind w:left="0"/>
    </w:pPr>
    <w:rPr>
      <w:rFonts w:ascii="TimesNewRoman" w:eastAsia="MS Mincho" w:hAnsi="TimesNewRoman"/>
      <w:sz w:val="24"/>
      <w:szCs w:val="22"/>
    </w:rPr>
  </w:style>
  <w:style w:type="paragraph" w:customStyle="1" w:styleId="CG-SingleSp05">
    <w:name w:val="CG-Single Sp 0.5"/>
    <w:aliases w:val="!Body Text,!Body Text .5(J),!Body Text .5s2(J),5(J),5s2(J),CG-Single Sp 0,CG-Single Sp 0.51,MBP_Bd Single Sp .5 L,MBP_Bd Single t6 .5 L,S...,Second Heading,Second Heading 2,Second Heading 9,s2,s21,s9,bt"/>
    <w:basedOn w:val="Normal"/>
    <w:link w:val="CG-SingleSp05Char"/>
    <w:rsid w:val="004C1C4F"/>
    <w:pPr>
      <w:spacing w:after="240" w:line="240" w:lineRule="auto"/>
      <w:ind w:firstLine="720"/>
    </w:pPr>
    <w:rPr>
      <w:rFonts w:ascii="Times New Roman" w:eastAsia="MS Mincho" w:hAnsi="Times New Roman" w:cs="Times New Roman"/>
      <w:sz w:val="20"/>
      <w:szCs w:val="20"/>
      <w:lang w:val="x-none" w:eastAsia="x-none"/>
    </w:rPr>
  </w:style>
  <w:style w:type="character" w:customStyle="1" w:styleId="CG-SingleSp05Char">
    <w:name w:val="CG-Single Sp 0.5 Char"/>
    <w:aliases w:val="s2 Char"/>
    <w:link w:val="CG-SingleSp05"/>
    <w:rsid w:val="004C1C4F"/>
    <w:rPr>
      <w:rFonts w:ascii="Times New Roman" w:eastAsia="MS Mincho" w:hAnsi="Times New Roman" w:cs="Times New Roman"/>
      <w:sz w:val="20"/>
      <w:szCs w:val="20"/>
      <w:lang w:val="x-none" w:eastAsia="x-none"/>
    </w:rPr>
  </w:style>
  <w:style w:type="paragraph" w:customStyle="1" w:styleId="CG-Title-Left-Bold">
    <w:name w:val="CG-Title-Left-Bold"/>
    <w:aliases w:val="Title LeftBold TOC3,t3"/>
    <w:basedOn w:val="Normal"/>
    <w:next w:val="Normal"/>
    <w:uiPriority w:val="99"/>
    <w:rsid w:val="004C1C4F"/>
    <w:pPr>
      <w:keepNext/>
      <w:spacing w:after="240" w:line="240" w:lineRule="auto"/>
    </w:pPr>
    <w:rPr>
      <w:rFonts w:ascii="Times New Roman Bold" w:eastAsia="MS Mincho" w:hAnsi="Times New Roman Bold" w:cs="Times New Roman"/>
      <w:b/>
      <w:sz w:val="20"/>
      <w:szCs w:val="20"/>
      <w:lang w:val="en-US"/>
    </w:rPr>
  </w:style>
  <w:style w:type="paragraph" w:customStyle="1" w:styleId="CG-Title-LeftInd-Italic">
    <w:name w:val="CG-Title-Left Ind-Italic"/>
    <w:aliases w:val="t7"/>
    <w:basedOn w:val="Normal"/>
    <w:next w:val="Normal"/>
    <w:link w:val="CG-Title-LeftInd-ItalicChar"/>
    <w:rsid w:val="004C1C4F"/>
    <w:pPr>
      <w:keepNext/>
      <w:spacing w:after="240" w:line="240" w:lineRule="auto"/>
      <w:ind w:left="720"/>
    </w:pPr>
    <w:rPr>
      <w:rFonts w:ascii="Times New Roman" w:eastAsia="MS Mincho" w:hAnsi="Times New Roman" w:cs="Times New Roman"/>
      <w:i/>
      <w:sz w:val="20"/>
      <w:szCs w:val="20"/>
      <w:lang w:val="x-none" w:eastAsia="x-none"/>
    </w:rPr>
  </w:style>
  <w:style w:type="character" w:customStyle="1" w:styleId="CG-Title-LeftInd-ItalicChar">
    <w:name w:val="CG-Title-Left Ind-Italic Char"/>
    <w:aliases w:val="t7 Char"/>
    <w:link w:val="CG-Title-LeftInd-Italic"/>
    <w:rsid w:val="004C1C4F"/>
    <w:rPr>
      <w:rFonts w:ascii="Times New Roman" w:eastAsia="MS Mincho" w:hAnsi="Times New Roman" w:cs="Times New Roman"/>
      <w:i/>
      <w:sz w:val="20"/>
      <w:szCs w:val="20"/>
      <w:lang w:val="x-none" w:eastAsia="x-none"/>
    </w:rPr>
  </w:style>
  <w:style w:type="paragraph" w:customStyle="1" w:styleId="s2para10">
    <w:name w:val="s2para.10"/>
    <w:aliases w:val="10"/>
    <w:basedOn w:val="Normal"/>
    <w:uiPriority w:val="99"/>
    <w:rsid w:val="004C1C4F"/>
    <w:pPr>
      <w:spacing w:before="60" w:after="60" w:line="216" w:lineRule="auto"/>
      <w:ind w:firstLine="360"/>
    </w:pPr>
    <w:rPr>
      <w:rFonts w:ascii="Univers" w:eastAsia="Times New Roman" w:hAnsi="Univers" w:cs="Arial"/>
      <w:sz w:val="20"/>
      <w:szCs w:val="20"/>
      <w:lang w:val="en-US"/>
    </w:rPr>
  </w:style>
  <w:style w:type="paragraph" w:customStyle="1" w:styleId="5indent">
    <w:name w:val="5 indent"/>
    <w:basedOn w:val="Normal"/>
    <w:uiPriority w:val="99"/>
    <w:rsid w:val="004C1C4F"/>
    <w:pPr>
      <w:spacing w:after="240" w:line="240" w:lineRule="auto"/>
      <w:ind w:firstLine="547"/>
    </w:pPr>
    <w:rPr>
      <w:rFonts w:ascii="Univers" w:eastAsia="Times New Roman" w:hAnsi="Univers" w:cs="Times New Roman"/>
      <w:sz w:val="24"/>
      <w:szCs w:val="20"/>
      <w:lang w:val="en-US"/>
    </w:rPr>
  </w:style>
  <w:style w:type="paragraph" w:customStyle="1" w:styleId="Text">
    <w:name w:val="Text"/>
    <w:aliases w:val="t,tt"/>
    <w:basedOn w:val="Normal"/>
    <w:link w:val="TextChar"/>
    <w:rsid w:val="004C1C4F"/>
    <w:pPr>
      <w:spacing w:after="240" w:line="240" w:lineRule="auto"/>
      <w:ind w:firstLine="720"/>
    </w:pPr>
    <w:rPr>
      <w:rFonts w:ascii="Times New Roman" w:eastAsia="Times New Roman" w:hAnsi="Times New Roman" w:cs="Times New Roman"/>
      <w:sz w:val="20"/>
      <w:szCs w:val="20"/>
      <w:lang w:val="es-ES_tradnl" w:eastAsia="x-none"/>
    </w:rPr>
  </w:style>
  <w:style w:type="character" w:customStyle="1" w:styleId="TextChar">
    <w:name w:val="Text Char"/>
    <w:link w:val="Text"/>
    <w:locked/>
    <w:rsid w:val="004C1C4F"/>
    <w:rPr>
      <w:rFonts w:ascii="Times New Roman" w:eastAsia="Times New Roman" w:hAnsi="Times New Roman" w:cs="Times New Roman"/>
      <w:sz w:val="20"/>
      <w:szCs w:val="20"/>
      <w:lang w:val="es-ES_tradnl" w:eastAsia="x-none"/>
    </w:rPr>
  </w:style>
  <w:style w:type="paragraph" w:customStyle="1" w:styleId="ROMANOS">
    <w:name w:val="ROMANOS"/>
    <w:basedOn w:val="Normal"/>
    <w:link w:val="ROMANOSCar"/>
    <w:rsid w:val="004C1C4F"/>
    <w:pPr>
      <w:tabs>
        <w:tab w:val="left" w:pos="720"/>
      </w:tabs>
      <w:spacing w:after="101" w:line="216" w:lineRule="atLeast"/>
      <w:ind w:left="720" w:hanging="432"/>
    </w:pPr>
    <w:rPr>
      <w:rFonts w:ascii="Arial" w:eastAsia="Times New Roman" w:hAnsi="Arial" w:cs="Times New Roman"/>
      <w:sz w:val="18"/>
      <w:szCs w:val="20"/>
      <w:lang w:val="es-ES_tradnl" w:eastAsia="es-ES"/>
    </w:rPr>
  </w:style>
  <w:style w:type="character" w:customStyle="1" w:styleId="ROMANOSCar">
    <w:name w:val="ROMANOS Car"/>
    <w:link w:val="ROMANOS"/>
    <w:locked/>
    <w:rsid w:val="004C1C4F"/>
    <w:rPr>
      <w:rFonts w:ascii="Arial" w:eastAsia="Times New Roman" w:hAnsi="Arial" w:cs="Times New Roman"/>
      <w:sz w:val="18"/>
      <w:szCs w:val="20"/>
      <w:lang w:val="es-ES_tradnl" w:eastAsia="es-ES"/>
    </w:rPr>
  </w:style>
  <w:style w:type="paragraph" w:customStyle="1" w:styleId="Texto0">
    <w:name w:val="Texto"/>
    <w:basedOn w:val="Normal"/>
    <w:link w:val="TextoCar"/>
    <w:rsid w:val="004C1C4F"/>
    <w:pPr>
      <w:spacing w:after="101" w:line="216" w:lineRule="exact"/>
      <w:ind w:firstLine="288"/>
    </w:pPr>
    <w:rPr>
      <w:rFonts w:ascii="Arial" w:eastAsia="Times New Roman" w:hAnsi="Arial" w:cs="Times New Roman"/>
      <w:sz w:val="18"/>
      <w:szCs w:val="20"/>
      <w:lang w:eastAsia="es-ES"/>
    </w:rPr>
  </w:style>
  <w:style w:type="character" w:customStyle="1" w:styleId="TextoCar">
    <w:name w:val="Texto Car"/>
    <w:link w:val="Texto0"/>
    <w:locked/>
    <w:rsid w:val="004C1C4F"/>
    <w:rPr>
      <w:rFonts w:ascii="Arial" w:eastAsia="Times New Roman" w:hAnsi="Arial" w:cs="Times New Roman"/>
      <w:sz w:val="18"/>
      <w:szCs w:val="20"/>
      <w:lang w:eastAsia="es-ES"/>
    </w:rPr>
  </w:style>
  <w:style w:type="paragraph" w:customStyle="1" w:styleId="DocId0">
    <w:name w:val="DocId"/>
    <w:basedOn w:val="Piedepgina"/>
    <w:uiPriority w:val="99"/>
    <w:rsid w:val="004C1C4F"/>
    <w:pPr>
      <w:tabs>
        <w:tab w:val="clear" w:pos="4252"/>
        <w:tab w:val="clear" w:pos="8504"/>
        <w:tab w:val="center" w:pos="4680"/>
        <w:tab w:val="right" w:pos="9360"/>
      </w:tabs>
    </w:pPr>
    <w:rPr>
      <w:rFonts w:eastAsia="Calibri" w:cs="Arial"/>
      <w:szCs w:val="16"/>
      <w:lang w:val="en-US" w:eastAsia="en-US"/>
    </w:rPr>
  </w:style>
  <w:style w:type="paragraph" w:customStyle="1" w:styleId="BODYTEXT12aft5INDENT">
    <w:name w:val="BODYTEXT12aft.5INDENT"/>
    <w:basedOn w:val="Normal"/>
    <w:link w:val="BODYTEXT12aft5INDENTChar"/>
    <w:qFormat/>
    <w:rsid w:val="004C1C4F"/>
    <w:pPr>
      <w:spacing w:after="240" w:line="240" w:lineRule="auto"/>
      <w:ind w:firstLine="720"/>
    </w:pPr>
    <w:rPr>
      <w:rFonts w:ascii="Times New Roman" w:eastAsia="MS Mincho" w:hAnsi="Times New Roman" w:cs="Times New Roman"/>
      <w:sz w:val="20"/>
      <w:szCs w:val="20"/>
      <w:lang w:val="x-none" w:eastAsia="x-none"/>
    </w:rPr>
  </w:style>
  <w:style w:type="character" w:customStyle="1" w:styleId="BODYTEXT12aft5INDENTChar">
    <w:name w:val="BODYTEXT12aft.5INDENT Char"/>
    <w:link w:val="BODYTEXT12aft5INDENT"/>
    <w:rsid w:val="004C1C4F"/>
    <w:rPr>
      <w:rFonts w:ascii="Times New Roman" w:eastAsia="MS Mincho" w:hAnsi="Times New Roman" w:cs="Times New Roman"/>
      <w:sz w:val="20"/>
      <w:szCs w:val="20"/>
      <w:lang w:val="x-none" w:eastAsia="x-none"/>
    </w:rPr>
  </w:style>
  <w:style w:type="paragraph" w:customStyle="1" w:styleId="CG-SingleSp">
    <w:name w:val="CG-Single Sp"/>
    <w:aliases w:val="!Body Text(J),0,0.,0.5 s2,DPWfd tbl stub10,Second Heading 1,s1"/>
    <w:basedOn w:val="Normal"/>
    <w:link w:val="CG-SingleSpChar"/>
    <w:rsid w:val="004C1C4F"/>
    <w:pPr>
      <w:spacing w:after="0" w:line="240" w:lineRule="auto"/>
      <w:ind w:firstLine="720"/>
    </w:pPr>
    <w:rPr>
      <w:rFonts w:ascii="Times New Roman" w:eastAsia="MS Mincho" w:hAnsi="Times New Roman" w:cs="Times New Roman"/>
      <w:sz w:val="20"/>
      <w:szCs w:val="20"/>
      <w:lang w:val="x-none" w:eastAsia="x-none"/>
    </w:rPr>
  </w:style>
  <w:style w:type="character" w:customStyle="1" w:styleId="CG-SingleSpChar">
    <w:name w:val="CG-Single Sp Char"/>
    <w:aliases w:val="!Body Text(J) Char,0 Char,0. Char,0.5 s2 Char,DPWfd tbl stub10 Char,Second Heading 1 Char,s1 Char"/>
    <w:link w:val="CG-SingleSp"/>
    <w:locked/>
    <w:rsid w:val="004C1C4F"/>
    <w:rPr>
      <w:rFonts w:ascii="Times New Roman" w:eastAsia="MS Mincho" w:hAnsi="Times New Roman" w:cs="Times New Roman"/>
      <w:sz w:val="20"/>
      <w:szCs w:val="20"/>
      <w:lang w:val="x-none" w:eastAsia="x-none"/>
    </w:rPr>
  </w:style>
  <w:style w:type="paragraph" w:customStyle="1" w:styleId="BOLDTITLE">
    <w:name w:val="BOLDTITLE"/>
    <w:basedOn w:val="Normal"/>
    <w:link w:val="BOLDTITLEChar"/>
    <w:qFormat/>
    <w:rsid w:val="004C1C4F"/>
    <w:pPr>
      <w:keepNext/>
      <w:spacing w:after="240" w:line="240" w:lineRule="auto"/>
      <w:jc w:val="center"/>
    </w:pPr>
    <w:rPr>
      <w:rFonts w:ascii="Times New Roman Bold" w:eastAsia="MS Mincho" w:hAnsi="Times New Roman Bold" w:cs="Times New Roman"/>
      <w:b/>
      <w:color w:val="000000"/>
      <w:sz w:val="20"/>
      <w:szCs w:val="20"/>
      <w:lang w:val="x-none" w:eastAsia="x-none"/>
    </w:rPr>
  </w:style>
  <w:style w:type="character" w:customStyle="1" w:styleId="BOLDTITLEChar">
    <w:name w:val="BOLDTITLE Char"/>
    <w:link w:val="BOLDTITLE"/>
    <w:rsid w:val="004C1C4F"/>
    <w:rPr>
      <w:rFonts w:ascii="Times New Roman Bold" w:eastAsia="MS Mincho" w:hAnsi="Times New Roman Bold" w:cs="Times New Roman"/>
      <w:b/>
      <w:color w:val="000000"/>
      <w:sz w:val="20"/>
      <w:szCs w:val="20"/>
      <w:lang w:val="x-none" w:eastAsia="x-none"/>
    </w:rPr>
  </w:style>
  <w:style w:type="paragraph" w:customStyle="1" w:styleId="TitleLeftItalic">
    <w:name w:val="TitleLeftItalic"/>
    <w:basedOn w:val="Normal"/>
    <w:link w:val="TitleLeftItalicChar"/>
    <w:qFormat/>
    <w:rsid w:val="004C1C4F"/>
    <w:pPr>
      <w:keepNext/>
      <w:spacing w:after="0" w:line="240" w:lineRule="auto"/>
    </w:pPr>
    <w:rPr>
      <w:rFonts w:ascii="Times New Roman" w:eastAsia="MS Mincho" w:hAnsi="Times New Roman" w:cs="Times New Roman"/>
      <w:i/>
      <w:sz w:val="20"/>
      <w:szCs w:val="20"/>
      <w:lang w:val="x-none" w:eastAsia="x-none"/>
    </w:rPr>
  </w:style>
  <w:style w:type="character" w:customStyle="1" w:styleId="TitleLeftItalicChar">
    <w:name w:val="TitleLeftItalic Char"/>
    <w:link w:val="TitleLeftItalic"/>
    <w:rsid w:val="004C1C4F"/>
    <w:rPr>
      <w:rFonts w:ascii="Times New Roman" w:eastAsia="MS Mincho" w:hAnsi="Times New Roman" w:cs="Times New Roman"/>
      <w:i/>
      <w:sz w:val="20"/>
      <w:szCs w:val="20"/>
      <w:lang w:val="x-none" w:eastAsia="x-none"/>
    </w:rPr>
  </w:style>
  <w:style w:type="paragraph" w:customStyle="1" w:styleId="TitleLeftBold12aft">
    <w:name w:val="TitleLeftBold12aft"/>
    <w:basedOn w:val="CG-Title-LeftInd-Italic"/>
    <w:link w:val="TitleLeftBold12aftChar"/>
    <w:rsid w:val="004C1C4F"/>
    <w:pPr>
      <w:ind w:left="0"/>
    </w:pPr>
    <w:rPr>
      <w:rFonts w:ascii="Times New Roman Bold" w:hAnsi="Times New Roman Bold"/>
      <w:b/>
    </w:rPr>
  </w:style>
  <w:style w:type="character" w:customStyle="1" w:styleId="TitleLeftBold12aftChar">
    <w:name w:val="TitleLeftBold12aft Char"/>
    <w:link w:val="TitleLeftBold12aft"/>
    <w:rsid w:val="004C1C4F"/>
    <w:rPr>
      <w:rFonts w:ascii="Times New Roman Bold" w:eastAsia="MS Mincho" w:hAnsi="Times New Roman Bold" w:cs="Times New Roman"/>
      <w:b/>
      <w:i/>
      <w:sz w:val="20"/>
      <w:szCs w:val="20"/>
      <w:lang w:val="x-none" w:eastAsia="x-none"/>
    </w:rPr>
  </w:style>
  <w:style w:type="paragraph" w:customStyle="1" w:styleId="TitleLeftBoldItalic">
    <w:name w:val="TitleLeftBoldItalic"/>
    <w:basedOn w:val="CG-Title-LeftInd-Italic"/>
    <w:link w:val="TitleLeftBoldItalicChar"/>
    <w:qFormat/>
    <w:rsid w:val="004C1C4F"/>
    <w:pPr>
      <w:ind w:left="0"/>
    </w:pPr>
    <w:rPr>
      <w:rFonts w:ascii="Times New Roman Bold" w:hAnsi="Times New Roman Bold"/>
      <w:b/>
    </w:rPr>
  </w:style>
  <w:style w:type="character" w:customStyle="1" w:styleId="TitleLeftBoldItalicChar">
    <w:name w:val="TitleLeftBoldItalic Char"/>
    <w:link w:val="TitleLeftBoldItalic"/>
    <w:rsid w:val="004C1C4F"/>
    <w:rPr>
      <w:rFonts w:ascii="Times New Roman Bold" w:eastAsia="MS Mincho" w:hAnsi="Times New Roman Bold" w:cs="Times New Roman"/>
      <w:b/>
      <w:i/>
      <w:sz w:val="20"/>
      <w:szCs w:val="20"/>
      <w:lang w:val="x-none" w:eastAsia="x-none"/>
    </w:rPr>
  </w:style>
  <w:style w:type="paragraph" w:customStyle="1" w:styleId="Bullet12">
    <w:name w:val="Bullet_1"/>
    <w:aliases w:val="CG-Bullet,DPW Bullet1,b1"/>
    <w:basedOn w:val="Normal"/>
    <w:uiPriority w:val="99"/>
    <w:rsid w:val="004C1C4F"/>
    <w:pPr>
      <w:spacing w:after="240" w:line="240" w:lineRule="auto"/>
      <w:ind w:left="720" w:hanging="360"/>
    </w:pPr>
    <w:rPr>
      <w:rFonts w:ascii="Times New Roman" w:eastAsia="MS Mincho" w:hAnsi="Times New Roman" w:cs="Times New Roman"/>
      <w:sz w:val="20"/>
      <w:szCs w:val="20"/>
      <w:lang w:val="en-US"/>
    </w:rPr>
  </w:style>
  <w:style w:type="paragraph" w:customStyle="1" w:styleId="CG-DblInd05">
    <w:name w:val="CG-Dbl Ind 0.5"/>
    <w:aliases w:val="i4"/>
    <w:basedOn w:val="Normal"/>
    <w:uiPriority w:val="99"/>
    <w:rsid w:val="004C1C4F"/>
    <w:pPr>
      <w:spacing w:after="240" w:line="240" w:lineRule="auto"/>
      <w:ind w:left="720" w:right="720"/>
    </w:pPr>
    <w:rPr>
      <w:rFonts w:ascii="Times New Roman" w:eastAsia="MS Mincho" w:hAnsi="Times New Roman" w:cs="Times New Roman"/>
      <w:sz w:val="24"/>
      <w:szCs w:val="20"/>
      <w:lang w:val="en-US"/>
    </w:rPr>
  </w:style>
  <w:style w:type="paragraph" w:customStyle="1" w:styleId="CG-DblInd1">
    <w:name w:val="CG-Dbl Ind 1"/>
    <w:aliases w:val="i5"/>
    <w:basedOn w:val="Normal"/>
    <w:uiPriority w:val="99"/>
    <w:rsid w:val="004C1C4F"/>
    <w:pPr>
      <w:spacing w:after="240" w:line="240" w:lineRule="auto"/>
      <w:ind w:left="1440" w:right="1440"/>
    </w:pPr>
    <w:rPr>
      <w:rFonts w:ascii="Times New Roman" w:eastAsia="MS Mincho" w:hAnsi="Times New Roman" w:cs="Times New Roman"/>
      <w:sz w:val="24"/>
      <w:szCs w:val="20"/>
      <w:lang w:val="en-US"/>
    </w:rPr>
  </w:style>
  <w:style w:type="paragraph" w:customStyle="1" w:styleId="CG-DblSp05">
    <w:name w:val="CG-Dbl Sp 0.5"/>
    <w:aliases w:val="d2"/>
    <w:basedOn w:val="Normal"/>
    <w:uiPriority w:val="99"/>
    <w:rsid w:val="004C1C4F"/>
    <w:pPr>
      <w:spacing w:after="0" w:line="480" w:lineRule="auto"/>
      <w:ind w:firstLine="720"/>
    </w:pPr>
    <w:rPr>
      <w:rFonts w:ascii="Times New Roman" w:eastAsia="MS Mincho" w:hAnsi="Times New Roman" w:cs="Times New Roman"/>
      <w:sz w:val="24"/>
      <w:szCs w:val="20"/>
      <w:lang w:val="en-US"/>
    </w:rPr>
  </w:style>
  <w:style w:type="paragraph" w:customStyle="1" w:styleId="CG-DblSp1">
    <w:name w:val="CG-Dbl Sp 1"/>
    <w:aliases w:val="d3"/>
    <w:basedOn w:val="Normal"/>
    <w:uiPriority w:val="99"/>
    <w:rsid w:val="004C1C4F"/>
    <w:pPr>
      <w:spacing w:after="0" w:line="480" w:lineRule="auto"/>
      <w:ind w:firstLine="1440"/>
    </w:pPr>
    <w:rPr>
      <w:rFonts w:ascii="Times New Roman" w:eastAsia="MS Mincho" w:hAnsi="Times New Roman" w:cs="Times New Roman"/>
      <w:sz w:val="24"/>
      <w:szCs w:val="20"/>
      <w:lang w:val="en-US"/>
    </w:rPr>
  </w:style>
  <w:style w:type="paragraph" w:customStyle="1" w:styleId="CG-DblSp">
    <w:name w:val="CG-Dbl Sp"/>
    <w:aliases w:val="d1"/>
    <w:basedOn w:val="Normal"/>
    <w:uiPriority w:val="99"/>
    <w:rsid w:val="004C1C4F"/>
    <w:pPr>
      <w:spacing w:after="0" w:line="480" w:lineRule="auto"/>
    </w:pPr>
    <w:rPr>
      <w:rFonts w:ascii="Times New Roman" w:eastAsia="MS Mincho" w:hAnsi="Times New Roman" w:cs="Times New Roman"/>
      <w:sz w:val="24"/>
      <w:szCs w:val="20"/>
      <w:lang w:val="en-US"/>
    </w:rPr>
  </w:style>
  <w:style w:type="paragraph" w:customStyle="1" w:styleId="CG-LeftInd05FL05">
    <w:name w:val="CG-Left Ind 0.5 FL 0.5"/>
    <w:aliases w:val="i2"/>
    <w:basedOn w:val="Normal"/>
    <w:uiPriority w:val="99"/>
    <w:rsid w:val="004C1C4F"/>
    <w:pPr>
      <w:spacing w:after="240" w:line="240" w:lineRule="auto"/>
      <w:ind w:left="720" w:firstLine="720"/>
    </w:pPr>
    <w:rPr>
      <w:rFonts w:ascii="Times New Roman" w:eastAsia="MS Mincho" w:hAnsi="Times New Roman" w:cs="Times New Roman"/>
      <w:sz w:val="20"/>
      <w:szCs w:val="20"/>
      <w:lang w:val="en-US"/>
    </w:rPr>
  </w:style>
  <w:style w:type="paragraph" w:customStyle="1" w:styleId="CG-LeftInd05">
    <w:name w:val="CG-Left Ind 0.5"/>
    <w:aliases w:val="i1"/>
    <w:basedOn w:val="Normal"/>
    <w:uiPriority w:val="99"/>
    <w:rsid w:val="004C1C4F"/>
    <w:pPr>
      <w:spacing w:after="240" w:line="240" w:lineRule="auto"/>
      <w:ind w:left="720"/>
    </w:pPr>
    <w:rPr>
      <w:rFonts w:ascii="Times New Roman" w:eastAsia="MS Mincho" w:hAnsi="Times New Roman" w:cs="Times New Roman"/>
      <w:sz w:val="24"/>
      <w:szCs w:val="20"/>
      <w:lang w:val="en-US"/>
    </w:rPr>
  </w:style>
  <w:style w:type="paragraph" w:customStyle="1" w:styleId="CG-LeftInd1">
    <w:name w:val="CG-Left Ind 1"/>
    <w:aliases w:val="i3"/>
    <w:basedOn w:val="Normal"/>
    <w:uiPriority w:val="99"/>
    <w:rsid w:val="004C1C4F"/>
    <w:pPr>
      <w:spacing w:after="240" w:line="240" w:lineRule="auto"/>
      <w:ind w:left="1440"/>
    </w:pPr>
    <w:rPr>
      <w:rFonts w:ascii="Times New Roman" w:eastAsia="MS Mincho" w:hAnsi="Times New Roman" w:cs="Times New Roman"/>
      <w:sz w:val="20"/>
      <w:szCs w:val="20"/>
      <w:lang w:val="en-US"/>
    </w:rPr>
  </w:style>
  <w:style w:type="paragraph" w:customStyle="1" w:styleId="CG-NumberA">
    <w:name w:val="CG-Number A"/>
    <w:aliases w:val="n1"/>
    <w:basedOn w:val="Normal"/>
    <w:uiPriority w:val="99"/>
    <w:rsid w:val="004C1C4F"/>
    <w:pPr>
      <w:tabs>
        <w:tab w:val="num" w:pos="360"/>
      </w:tabs>
      <w:spacing w:after="240" w:line="240" w:lineRule="auto"/>
      <w:ind w:left="360" w:hanging="360"/>
    </w:pPr>
    <w:rPr>
      <w:rFonts w:ascii="Times New Roman" w:eastAsia="MS Mincho" w:hAnsi="Times New Roman" w:cs="Times New Roman"/>
      <w:sz w:val="24"/>
      <w:szCs w:val="20"/>
      <w:lang w:val="en-US"/>
    </w:rPr>
  </w:style>
  <w:style w:type="paragraph" w:customStyle="1" w:styleId="CG-NumberL">
    <w:name w:val="CG-Number L"/>
    <w:aliases w:val="n2"/>
    <w:basedOn w:val="Normal"/>
    <w:uiPriority w:val="99"/>
    <w:rsid w:val="004C1C4F"/>
    <w:pPr>
      <w:tabs>
        <w:tab w:val="num" w:pos="360"/>
      </w:tabs>
      <w:spacing w:after="0" w:line="240" w:lineRule="auto"/>
      <w:ind w:left="1440" w:hanging="720"/>
    </w:pPr>
    <w:rPr>
      <w:rFonts w:ascii="Times New Roman" w:eastAsia="MS Mincho" w:hAnsi="Times New Roman" w:cs="Times New Roman"/>
      <w:sz w:val="24"/>
      <w:szCs w:val="20"/>
      <w:lang w:val="en-US"/>
    </w:rPr>
  </w:style>
  <w:style w:type="paragraph" w:customStyle="1" w:styleId="CG-Numberl0">
    <w:name w:val="CG-Number l"/>
    <w:aliases w:val="n4"/>
    <w:basedOn w:val="Normal"/>
    <w:uiPriority w:val="99"/>
    <w:rsid w:val="004C1C4F"/>
    <w:pPr>
      <w:tabs>
        <w:tab w:val="num" w:pos="360"/>
      </w:tabs>
      <w:spacing w:after="0" w:line="240" w:lineRule="auto"/>
      <w:ind w:left="1440" w:hanging="720"/>
    </w:pPr>
    <w:rPr>
      <w:rFonts w:ascii="Times New Roman" w:eastAsia="MS Mincho" w:hAnsi="Times New Roman" w:cs="Times New Roman"/>
      <w:sz w:val="24"/>
      <w:szCs w:val="20"/>
      <w:lang w:val="en-US"/>
    </w:rPr>
  </w:style>
  <w:style w:type="paragraph" w:customStyle="1" w:styleId="CG-NumberR">
    <w:name w:val="CG-Number R"/>
    <w:aliases w:val="n3"/>
    <w:basedOn w:val="Normal"/>
    <w:uiPriority w:val="99"/>
    <w:rsid w:val="004C1C4F"/>
    <w:pPr>
      <w:tabs>
        <w:tab w:val="num" w:pos="720"/>
      </w:tabs>
      <w:spacing w:after="0" w:line="240" w:lineRule="auto"/>
      <w:ind w:left="1440" w:hanging="720"/>
    </w:pPr>
    <w:rPr>
      <w:rFonts w:ascii="Times New Roman" w:eastAsia="MS Mincho" w:hAnsi="Times New Roman" w:cs="Times New Roman"/>
      <w:sz w:val="24"/>
      <w:szCs w:val="20"/>
      <w:lang w:val="en-US"/>
    </w:rPr>
  </w:style>
  <w:style w:type="paragraph" w:customStyle="1" w:styleId="CG-Numberr0">
    <w:name w:val="CG-Number r"/>
    <w:aliases w:val="n5"/>
    <w:basedOn w:val="Normal"/>
    <w:uiPriority w:val="99"/>
    <w:rsid w:val="004C1C4F"/>
    <w:pPr>
      <w:spacing w:after="0" w:line="240" w:lineRule="auto"/>
      <w:ind w:left="1440" w:hanging="720"/>
    </w:pPr>
    <w:rPr>
      <w:rFonts w:ascii="Times New Roman" w:eastAsia="MS Mincho" w:hAnsi="Times New Roman" w:cs="Times New Roman"/>
      <w:sz w:val="24"/>
      <w:szCs w:val="20"/>
      <w:lang w:val="en-US"/>
    </w:rPr>
  </w:style>
  <w:style w:type="paragraph" w:customStyle="1" w:styleId="CG-SigLeft">
    <w:name w:val="CG-Sig Left"/>
    <w:aliases w:val="sg3"/>
    <w:basedOn w:val="Normal"/>
    <w:uiPriority w:val="99"/>
    <w:rsid w:val="004C1C4F"/>
    <w:pPr>
      <w:keepLines/>
      <w:tabs>
        <w:tab w:val="left" w:pos="360"/>
        <w:tab w:val="left" w:pos="4050"/>
      </w:tabs>
      <w:spacing w:after="480" w:line="240" w:lineRule="auto"/>
      <w:ind w:left="360" w:hanging="360"/>
    </w:pPr>
    <w:rPr>
      <w:rFonts w:ascii="Times New Roman" w:eastAsia="MS Mincho" w:hAnsi="Times New Roman" w:cs="Times New Roman"/>
      <w:sz w:val="24"/>
      <w:szCs w:val="20"/>
      <w:lang w:val="en-US"/>
    </w:rPr>
  </w:style>
  <w:style w:type="paragraph" w:customStyle="1" w:styleId="CG-SigLtr">
    <w:name w:val="CG-Sig Ltr"/>
    <w:aliases w:val="sg2"/>
    <w:basedOn w:val="Normal"/>
    <w:uiPriority w:val="99"/>
    <w:rsid w:val="004C1C4F"/>
    <w:pPr>
      <w:keepNext/>
      <w:spacing w:after="720" w:line="240" w:lineRule="auto"/>
      <w:ind w:left="5040"/>
    </w:pPr>
    <w:rPr>
      <w:rFonts w:ascii="Times New Roman" w:eastAsia="MS Mincho" w:hAnsi="Times New Roman" w:cs="Times New Roman"/>
      <w:sz w:val="24"/>
      <w:szCs w:val="20"/>
      <w:lang w:val="en-US"/>
    </w:rPr>
  </w:style>
  <w:style w:type="paragraph" w:customStyle="1" w:styleId="CG-Sig">
    <w:name w:val="CG-Sig"/>
    <w:aliases w:val="sg1"/>
    <w:basedOn w:val="Normal"/>
    <w:uiPriority w:val="99"/>
    <w:rsid w:val="004C1C4F"/>
    <w:pPr>
      <w:keepLines/>
      <w:tabs>
        <w:tab w:val="left" w:pos="5400"/>
        <w:tab w:val="left" w:pos="8640"/>
      </w:tabs>
      <w:spacing w:after="480" w:line="240" w:lineRule="auto"/>
      <w:ind w:left="5400" w:hanging="360"/>
    </w:pPr>
    <w:rPr>
      <w:rFonts w:ascii="Times New Roman" w:eastAsia="MS Mincho" w:hAnsi="Times New Roman" w:cs="Times New Roman"/>
      <w:sz w:val="24"/>
      <w:szCs w:val="20"/>
      <w:lang w:val="en-US"/>
    </w:rPr>
  </w:style>
  <w:style w:type="paragraph" w:customStyle="1" w:styleId="CG-SingleSp1">
    <w:name w:val="CG-Single Sp 1"/>
    <w:aliases w:val="!Body Text 1(J),CG-Single Sp 1t1,Second Heading 3,s3"/>
    <w:basedOn w:val="Normal"/>
    <w:uiPriority w:val="99"/>
    <w:rsid w:val="004C1C4F"/>
    <w:pPr>
      <w:spacing w:after="240" w:line="240" w:lineRule="auto"/>
      <w:ind w:firstLine="1440"/>
    </w:pPr>
    <w:rPr>
      <w:rFonts w:ascii="Times New Roman" w:eastAsia="MS Mincho" w:hAnsi="Times New Roman" w:cs="Times New Roman"/>
      <w:sz w:val="24"/>
      <w:szCs w:val="20"/>
      <w:lang w:val="en-US"/>
    </w:rPr>
  </w:style>
  <w:style w:type="paragraph" w:customStyle="1" w:styleId="CG-Title-Center-Bold">
    <w:name w:val="CG-Title-Center-Bold"/>
    <w:aliases w:val="t1"/>
    <w:basedOn w:val="Normal"/>
    <w:next w:val="CG-SingleSp1"/>
    <w:uiPriority w:val="99"/>
    <w:rsid w:val="004C1C4F"/>
    <w:pPr>
      <w:keepNext/>
      <w:spacing w:after="240" w:line="240" w:lineRule="auto"/>
      <w:jc w:val="center"/>
    </w:pPr>
    <w:rPr>
      <w:rFonts w:ascii="Times New Roman" w:eastAsia="MS Mincho" w:hAnsi="Times New Roman" w:cs="Times New Roman"/>
      <w:b/>
      <w:sz w:val="20"/>
      <w:szCs w:val="20"/>
      <w:lang w:val="en-US"/>
    </w:rPr>
  </w:style>
  <w:style w:type="paragraph" w:customStyle="1" w:styleId="CG-Title-Center-Underscore">
    <w:name w:val="CG-Title-Center-Underscore"/>
    <w:aliases w:val="t2"/>
    <w:basedOn w:val="Normal"/>
    <w:next w:val="CG-SingleSp1"/>
    <w:uiPriority w:val="99"/>
    <w:rsid w:val="004C1C4F"/>
    <w:pPr>
      <w:keepNext/>
      <w:spacing w:after="240" w:line="240" w:lineRule="auto"/>
      <w:jc w:val="center"/>
    </w:pPr>
    <w:rPr>
      <w:rFonts w:ascii="Times New Roman" w:eastAsia="MS Mincho" w:hAnsi="Times New Roman" w:cs="Times New Roman"/>
      <w:sz w:val="24"/>
      <w:szCs w:val="20"/>
      <w:u w:val="single"/>
      <w:lang w:val="en-US"/>
    </w:rPr>
  </w:style>
  <w:style w:type="paragraph" w:customStyle="1" w:styleId="CG-Title-Left-Underscore">
    <w:name w:val="CG-Title-Left-Underscore"/>
    <w:aliases w:val="t4"/>
    <w:basedOn w:val="Normal"/>
    <w:next w:val="CG-SingleSp1"/>
    <w:uiPriority w:val="99"/>
    <w:rsid w:val="004C1C4F"/>
    <w:pPr>
      <w:keepNext/>
      <w:spacing w:after="240" w:line="240" w:lineRule="auto"/>
    </w:pPr>
    <w:rPr>
      <w:rFonts w:ascii="Times New Roman" w:eastAsia="MS Mincho" w:hAnsi="Times New Roman" w:cs="Times New Roman"/>
      <w:sz w:val="24"/>
      <w:szCs w:val="20"/>
      <w:u w:val="single"/>
      <w:lang w:val="en-US"/>
    </w:rPr>
  </w:style>
  <w:style w:type="character" w:customStyle="1" w:styleId="FooterRightSideText">
    <w:name w:val="FooterRightSideText"/>
    <w:rsid w:val="004C1C4F"/>
  </w:style>
  <w:style w:type="character" w:customStyle="1" w:styleId="iManageFooter">
    <w:name w:val="iManage Footer"/>
    <w:rsid w:val="004C1C4F"/>
    <w:rPr>
      <w:noProof/>
      <w:sz w:val="16"/>
    </w:rPr>
  </w:style>
  <w:style w:type="paragraph" w:customStyle="1" w:styleId="CG-OneandOne-Half1">
    <w:name w:val="CG-One and One-Half 1"/>
    <w:aliases w:val="o1"/>
    <w:basedOn w:val="Normal"/>
    <w:uiPriority w:val="99"/>
    <w:rsid w:val="004C1C4F"/>
    <w:pPr>
      <w:spacing w:after="120" w:line="360" w:lineRule="auto"/>
      <w:ind w:firstLine="1440"/>
    </w:pPr>
    <w:rPr>
      <w:rFonts w:ascii="Times New Roman" w:eastAsia="MS Mincho" w:hAnsi="Times New Roman" w:cs="Times New Roman"/>
      <w:sz w:val="24"/>
      <w:szCs w:val="20"/>
      <w:lang w:val="en-US"/>
    </w:rPr>
  </w:style>
  <w:style w:type="paragraph" w:customStyle="1" w:styleId="CG-Title-Center">
    <w:name w:val="CG-Title-Center"/>
    <w:aliases w:val="t5"/>
    <w:basedOn w:val="Normal"/>
    <w:next w:val="Normal"/>
    <w:uiPriority w:val="99"/>
    <w:rsid w:val="004C1C4F"/>
    <w:pPr>
      <w:keepNext/>
      <w:spacing w:after="240" w:line="240" w:lineRule="auto"/>
      <w:jc w:val="center"/>
    </w:pPr>
    <w:rPr>
      <w:rFonts w:ascii="Times New Roman" w:eastAsia="MS Mincho" w:hAnsi="Times New Roman" w:cs="Times New Roman"/>
      <w:b/>
      <w:sz w:val="20"/>
      <w:szCs w:val="20"/>
      <w:lang w:val="en-US"/>
    </w:rPr>
  </w:style>
  <w:style w:type="paragraph" w:customStyle="1" w:styleId="CG-Title-Left-Italic">
    <w:name w:val="CG-Title-Left-Italic"/>
    <w:aliases w:val="t6,t8"/>
    <w:basedOn w:val="Normal"/>
    <w:next w:val="Normal"/>
    <w:uiPriority w:val="99"/>
    <w:rsid w:val="004C1C4F"/>
    <w:pPr>
      <w:keepNext/>
      <w:spacing w:after="240" w:line="240" w:lineRule="auto"/>
    </w:pPr>
    <w:rPr>
      <w:rFonts w:ascii="Times New Roman" w:eastAsia="MS Mincho" w:hAnsi="Times New Roman" w:cs="Times New Roman"/>
      <w:i/>
      <w:sz w:val="20"/>
      <w:szCs w:val="20"/>
      <w:lang w:val="en-US"/>
    </w:rPr>
  </w:style>
  <w:style w:type="paragraph" w:customStyle="1" w:styleId="Letter-RecipientInfo">
    <w:name w:val="Letter - Recipient Info"/>
    <w:basedOn w:val="Normal"/>
    <w:uiPriority w:val="99"/>
    <w:rsid w:val="004C1C4F"/>
    <w:pPr>
      <w:spacing w:after="0" w:line="240" w:lineRule="auto"/>
    </w:pPr>
    <w:rPr>
      <w:rFonts w:ascii="Times New Roman" w:eastAsia="MS Mincho" w:hAnsi="Times New Roman" w:cs="Times New Roman"/>
      <w:sz w:val="24"/>
      <w:szCs w:val="20"/>
      <w:lang w:val="en-US"/>
    </w:rPr>
  </w:style>
  <w:style w:type="paragraph" w:customStyle="1" w:styleId="BodyTextFlush">
    <w:name w:val="Body Text Flush"/>
    <w:aliases w:val="bth"/>
    <w:basedOn w:val="Normal"/>
    <w:uiPriority w:val="99"/>
    <w:rsid w:val="004C1C4F"/>
    <w:pPr>
      <w:spacing w:after="240" w:line="240" w:lineRule="auto"/>
    </w:pPr>
    <w:rPr>
      <w:rFonts w:ascii="Times New Roman" w:eastAsia="MS Mincho" w:hAnsi="Times New Roman" w:cs="Times New Roman"/>
      <w:sz w:val="20"/>
      <w:szCs w:val="20"/>
      <w:lang w:val="en-US"/>
    </w:rPr>
  </w:style>
  <w:style w:type="paragraph" w:customStyle="1" w:styleId="HeadingBody5">
    <w:name w:val="HeadingBody 5"/>
    <w:basedOn w:val="Textoindependiente"/>
    <w:next w:val="Textoindependiente"/>
    <w:uiPriority w:val="99"/>
    <w:rsid w:val="004C1C4F"/>
    <w:pPr>
      <w:ind w:left="3600" w:hanging="720"/>
    </w:pPr>
    <w:rPr>
      <w:rFonts w:eastAsia="MS Mincho"/>
    </w:rPr>
  </w:style>
  <w:style w:type="character" w:customStyle="1" w:styleId="NoNumber">
    <w:name w:val="NoNumber"/>
    <w:rsid w:val="004C1C4F"/>
    <w:rPr>
      <w:rFonts w:ascii="Arial" w:hAnsi="Arial"/>
      <w:sz w:val="17"/>
    </w:rPr>
  </w:style>
  <w:style w:type="paragraph" w:customStyle="1" w:styleId="TblFNLine">
    <w:name w:val="TblFNLine"/>
    <w:aliases w:val="table footnote line,tfl,Table: Footnote Line"/>
    <w:basedOn w:val="Normal"/>
    <w:uiPriority w:val="99"/>
    <w:rsid w:val="004C1C4F"/>
    <w:pPr>
      <w:keepNext/>
      <w:pBdr>
        <w:bottom w:val="single" w:sz="4" w:space="1" w:color="auto"/>
      </w:pBdr>
      <w:spacing w:after="60" w:line="240" w:lineRule="auto"/>
      <w:ind w:right="7200"/>
    </w:pPr>
    <w:rPr>
      <w:rFonts w:ascii="Times New Roman" w:eastAsia="MS Mincho" w:hAnsi="Times New Roman" w:cs="Times New Roman"/>
      <w:sz w:val="16"/>
      <w:szCs w:val="20"/>
      <w:lang w:val="en-US"/>
    </w:rPr>
  </w:style>
  <w:style w:type="paragraph" w:customStyle="1" w:styleId="TblFNNote">
    <w:name w:val="TblFN_Note"/>
    <w:aliases w:val="Table FN,tf,Table: Footnote"/>
    <w:basedOn w:val="Textoindependiente"/>
    <w:uiPriority w:val="99"/>
    <w:rsid w:val="004C1C4F"/>
    <w:pPr>
      <w:spacing w:after="0" w:line="480" w:lineRule="auto"/>
      <w:ind w:firstLine="0"/>
    </w:pPr>
    <w:rPr>
      <w:rFonts w:eastAsia="MS Mincho" w:cs="Arial"/>
      <w:sz w:val="16"/>
    </w:rPr>
  </w:style>
  <w:style w:type="paragraph" w:customStyle="1" w:styleId="BodyText3Italic">
    <w:name w:val="Body Text 3 Italic"/>
    <w:aliases w:val="bi3"/>
    <w:basedOn w:val="Textoindependiente3"/>
    <w:uiPriority w:val="99"/>
    <w:rsid w:val="004C1C4F"/>
    <w:pPr>
      <w:spacing w:after="120"/>
    </w:pPr>
    <w:rPr>
      <w:rFonts w:eastAsia="MS Mincho"/>
      <w:i/>
      <w:szCs w:val="20"/>
    </w:rPr>
  </w:style>
  <w:style w:type="paragraph" w:customStyle="1" w:styleId="footnotelast">
    <w:name w:val="footnotelast"/>
    <w:basedOn w:val="Normal"/>
    <w:uiPriority w:val="99"/>
    <w:rsid w:val="004C1C4F"/>
    <w:pPr>
      <w:widowControl w:val="0"/>
      <w:tabs>
        <w:tab w:val="left" w:pos="432"/>
        <w:tab w:val="left" w:pos="590"/>
      </w:tabs>
      <w:spacing w:after="360" w:line="240" w:lineRule="auto"/>
      <w:ind w:left="432" w:hanging="432"/>
    </w:pPr>
    <w:rPr>
      <w:rFonts w:ascii="Times New Roman" w:eastAsia="MS Mincho" w:hAnsi="Times New Roman" w:cs="Times New Roman"/>
      <w:sz w:val="16"/>
      <w:szCs w:val="20"/>
      <w:lang w:val="en-US"/>
    </w:rPr>
  </w:style>
  <w:style w:type="paragraph" w:customStyle="1" w:styleId="Tables10pt">
    <w:name w:val="Table#s10pt"/>
    <w:basedOn w:val="Normal"/>
    <w:uiPriority w:val="99"/>
    <w:rsid w:val="004C1C4F"/>
    <w:pPr>
      <w:keepNext/>
      <w:tabs>
        <w:tab w:val="decimal" w:pos="2250"/>
      </w:tabs>
      <w:spacing w:after="0" w:line="240" w:lineRule="auto"/>
    </w:pPr>
    <w:rPr>
      <w:rFonts w:ascii="Times New Roman" w:eastAsia="MS Mincho" w:hAnsi="Times New Roman" w:cs="Times New Roman"/>
      <w:sz w:val="24"/>
      <w:szCs w:val="20"/>
      <w:lang w:val="en-US"/>
    </w:rPr>
  </w:style>
  <w:style w:type="paragraph" w:customStyle="1" w:styleId="TableNote">
    <w:name w:val="TableNote"/>
    <w:basedOn w:val="Normal"/>
    <w:uiPriority w:val="99"/>
    <w:rsid w:val="004C1C4F"/>
    <w:pPr>
      <w:tabs>
        <w:tab w:val="left" w:pos="450"/>
      </w:tabs>
      <w:spacing w:after="0" w:line="240" w:lineRule="auto"/>
      <w:ind w:left="450" w:hanging="450"/>
    </w:pPr>
    <w:rPr>
      <w:rFonts w:ascii="Times New Roman" w:eastAsia="MS Mincho" w:hAnsi="Times New Roman" w:cs="Times New Roman"/>
      <w:sz w:val="16"/>
      <w:szCs w:val="20"/>
      <w:lang w:val="en-US"/>
    </w:rPr>
  </w:style>
  <w:style w:type="paragraph" w:customStyle="1" w:styleId="TitleIB5Sgl">
    <w:name w:val="Title IB .5 Sgl"/>
    <w:basedOn w:val="Normal"/>
    <w:next w:val="Normal"/>
    <w:uiPriority w:val="99"/>
    <w:rsid w:val="004C1C4F"/>
    <w:pPr>
      <w:keepNext/>
      <w:spacing w:after="240" w:line="240" w:lineRule="auto"/>
      <w:ind w:left="720"/>
    </w:pPr>
    <w:rPr>
      <w:rFonts w:ascii="Times New Roman" w:eastAsia="MS Mincho" w:hAnsi="Times New Roman" w:cs="Times New Roman"/>
      <w:b/>
      <w:i/>
      <w:sz w:val="20"/>
      <w:szCs w:val="20"/>
      <w:lang w:val="en-US"/>
    </w:rPr>
  </w:style>
  <w:style w:type="character" w:customStyle="1" w:styleId="CFEbodytextChar">
    <w:name w:val="CFE bodytext Char"/>
    <w:rsid w:val="004C1C4F"/>
    <w:rPr>
      <w:rFonts w:ascii="TimesNewRoman" w:hAnsi="TimesNewRoman"/>
      <w:szCs w:val="22"/>
      <w:lang w:val="en-US" w:eastAsia="en-US" w:bidi="ar-SA"/>
    </w:rPr>
  </w:style>
  <w:style w:type="character" w:customStyle="1" w:styleId="DocXref">
    <w:name w:val="DocXref"/>
    <w:rsid w:val="004C1C4F"/>
    <w:rPr>
      <w:color w:val="0000FF"/>
    </w:rPr>
  </w:style>
  <w:style w:type="paragraph" w:customStyle="1" w:styleId="TableFN">
    <w:name w:val="TableFN"/>
    <w:basedOn w:val="Normal"/>
    <w:uiPriority w:val="99"/>
    <w:rsid w:val="004C1C4F"/>
    <w:pPr>
      <w:keepNext/>
      <w:keepLines/>
      <w:tabs>
        <w:tab w:val="left" w:pos="432"/>
      </w:tabs>
      <w:spacing w:before="60" w:after="60" w:line="240" w:lineRule="auto"/>
      <w:ind w:left="432" w:hanging="432"/>
    </w:pPr>
    <w:rPr>
      <w:rFonts w:ascii="Times New Roman" w:eastAsia="Times New Roman" w:hAnsi="Times New Roman" w:cs="Times New Roman"/>
      <w:sz w:val="16"/>
      <w:szCs w:val="20"/>
      <w:lang w:val="en-US"/>
    </w:rPr>
  </w:style>
  <w:style w:type="paragraph" w:customStyle="1" w:styleId="Footnoteline">
    <w:name w:val="Footnote line"/>
    <w:basedOn w:val="CFEbodytext"/>
    <w:uiPriority w:val="99"/>
    <w:rsid w:val="004C1C4F"/>
    <w:pPr>
      <w:keepNext/>
      <w:keepLines/>
      <w:tabs>
        <w:tab w:val="left" w:pos="2160"/>
      </w:tabs>
      <w:spacing w:after="0"/>
    </w:pPr>
    <w:rPr>
      <w:sz w:val="16"/>
      <w:szCs w:val="16"/>
      <w:u w:val="single"/>
    </w:rPr>
  </w:style>
  <w:style w:type="paragraph" w:customStyle="1" w:styleId="Article1L1">
    <w:name w:val="Article1_L1"/>
    <w:basedOn w:val="Normal"/>
    <w:next w:val="CG-SingleSp05"/>
    <w:uiPriority w:val="99"/>
    <w:rsid w:val="004C1C4F"/>
    <w:pPr>
      <w:keepNext/>
      <w:keepLines/>
      <w:spacing w:after="240" w:line="240" w:lineRule="auto"/>
      <w:jc w:val="center"/>
      <w:outlineLvl w:val="0"/>
    </w:pPr>
    <w:rPr>
      <w:rFonts w:ascii="Times New Roman Bold" w:eastAsia="MS Mincho" w:hAnsi="Times New Roman Bold" w:cs="Times New Roman"/>
      <w:b/>
      <w:sz w:val="24"/>
      <w:szCs w:val="20"/>
      <w:lang w:val="en-US"/>
    </w:rPr>
  </w:style>
  <w:style w:type="paragraph" w:customStyle="1" w:styleId="Article1L2">
    <w:name w:val="Article1_L2"/>
    <w:basedOn w:val="Article1L1"/>
    <w:next w:val="CG-SingleSp05"/>
    <w:uiPriority w:val="99"/>
    <w:rsid w:val="004C1C4F"/>
    <w:pPr>
      <w:keepNext w:val="0"/>
      <w:keepLines w:val="0"/>
      <w:numPr>
        <w:ilvl w:val="1"/>
      </w:numPr>
      <w:tabs>
        <w:tab w:val="num" w:pos="360"/>
        <w:tab w:val="num" w:pos="1440"/>
      </w:tabs>
      <w:ind w:firstLine="1440"/>
      <w:jc w:val="left"/>
      <w:outlineLvl w:val="1"/>
    </w:pPr>
    <w:rPr>
      <w:rFonts w:ascii="Times New Roman" w:hAnsi="Times New Roman"/>
      <w:b w:val="0"/>
    </w:rPr>
  </w:style>
  <w:style w:type="paragraph" w:customStyle="1" w:styleId="Article1L3">
    <w:name w:val="Article1_L3"/>
    <w:basedOn w:val="Article1L2"/>
    <w:next w:val="CG-SingleSp05"/>
    <w:uiPriority w:val="99"/>
    <w:rsid w:val="004C1C4F"/>
    <w:pPr>
      <w:numPr>
        <w:ilvl w:val="2"/>
      </w:numPr>
      <w:tabs>
        <w:tab w:val="num" w:pos="360"/>
        <w:tab w:val="num" w:pos="2880"/>
      </w:tabs>
      <w:ind w:firstLine="2160"/>
      <w:outlineLvl w:val="2"/>
    </w:pPr>
  </w:style>
  <w:style w:type="paragraph" w:customStyle="1" w:styleId="Article1L4">
    <w:name w:val="Article1_L4"/>
    <w:basedOn w:val="Article1L3"/>
    <w:next w:val="CG-SingleSp05"/>
    <w:uiPriority w:val="99"/>
    <w:rsid w:val="004C1C4F"/>
    <w:pPr>
      <w:numPr>
        <w:ilvl w:val="3"/>
      </w:numPr>
      <w:tabs>
        <w:tab w:val="clear" w:pos="2880"/>
        <w:tab w:val="num" w:pos="360"/>
      </w:tabs>
      <w:ind w:left="1440" w:hanging="360"/>
      <w:outlineLvl w:val="3"/>
    </w:pPr>
  </w:style>
  <w:style w:type="paragraph" w:customStyle="1" w:styleId="Article1L5">
    <w:name w:val="Article1_L5"/>
    <w:basedOn w:val="Article1L4"/>
    <w:next w:val="CG-SingleSp05"/>
    <w:uiPriority w:val="99"/>
    <w:rsid w:val="004C1C4F"/>
    <w:pPr>
      <w:numPr>
        <w:ilvl w:val="4"/>
      </w:numPr>
      <w:tabs>
        <w:tab w:val="num" w:pos="360"/>
      </w:tabs>
      <w:ind w:left="1440" w:hanging="360"/>
      <w:outlineLvl w:val="4"/>
    </w:pPr>
  </w:style>
  <w:style w:type="paragraph" w:customStyle="1" w:styleId="Article1L6">
    <w:name w:val="Article1_L6"/>
    <w:basedOn w:val="Article1L5"/>
    <w:next w:val="CG-SingleSp05"/>
    <w:uiPriority w:val="99"/>
    <w:rsid w:val="004C1C4F"/>
    <w:pPr>
      <w:numPr>
        <w:ilvl w:val="5"/>
      </w:numPr>
      <w:tabs>
        <w:tab w:val="num" w:pos="360"/>
      </w:tabs>
      <w:ind w:left="1440" w:hanging="360"/>
      <w:outlineLvl w:val="5"/>
    </w:pPr>
  </w:style>
  <w:style w:type="paragraph" w:customStyle="1" w:styleId="SingleSpace">
    <w:name w:val="Single Space"/>
    <w:basedOn w:val="Normal"/>
    <w:uiPriority w:val="99"/>
    <w:rsid w:val="004C1C4F"/>
    <w:pPr>
      <w:autoSpaceDE w:val="0"/>
      <w:autoSpaceDN w:val="0"/>
      <w:spacing w:after="240" w:line="240" w:lineRule="auto"/>
      <w:ind w:firstLine="1440"/>
    </w:pPr>
    <w:rPr>
      <w:rFonts w:ascii="Times New Roman" w:eastAsia="MS Mincho" w:hAnsi="Times New Roman" w:cs="Times New Roman"/>
      <w:sz w:val="24"/>
      <w:szCs w:val="24"/>
      <w:lang w:val="en-US"/>
    </w:rPr>
  </w:style>
  <w:style w:type="paragraph" w:customStyle="1" w:styleId="a">
    <w:name w:val="(a)"/>
    <w:basedOn w:val="Normal"/>
    <w:uiPriority w:val="99"/>
    <w:rsid w:val="004C1C4F"/>
    <w:pPr>
      <w:spacing w:after="240" w:line="240" w:lineRule="auto"/>
      <w:ind w:left="720" w:firstLine="720"/>
    </w:pPr>
    <w:rPr>
      <w:rFonts w:ascii="Times New Roman" w:eastAsia="Times New Roman" w:hAnsi="Times New Roman" w:cs="Times New Roman"/>
      <w:sz w:val="24"/>
      <w:szCs w:val="20"/>
      <w:lang w:val="en-US"/>
    </w:rPr>
  </w:style>
  <w:style w:type="paragraph" w:customStyle="1" w:styleId="sing5marg">
    <w:name w:val="sing.5marg"/>
    <w:basedOn w:val="Normal"/>
    <w:uiPriority w:val="99"/>
    <w:rsid w:val="004C1C4F"/>
    <w:pPr>
      <w:spacing w:after="240" w:line="240" w:lineRule="auto"/>
      <w:ind w:left="720" w:firstLine="720"/>
    </w:pPr>
    <w:rPr>
      <w:rFonts w:ascii="Univers" w:eastAsia="Times New Roman" w:hAnsi="Univers" w:cs="Times New Roman"/>
      <w:sz w:val="20"/>
      <w:szCs w:val="20"/>
      <w:lang w:val="en-US"/>
    </w:rPr>
  </w:style>
  <w:style w:type="paragraph" w:customStyle="1" w:styleId="Tablas">
    <w:name w:val="Tablas"/>
    <w:basedOn w:val="Normal"/>
    <w:uiPriority w:val="99"/>
    <w:rsid w:val="004C1C4F"/>
    <w:pPr>
      <w:tabs>
        <w:tab w:val="left" w:pos="57"/>
        <w:tab w:val="decimal" w:pos="1361"/>
      </w:tabs>
      <w:spacing w:after="0" w:line="240" w:lineRule="atLeast"/>
      <w:ind w:left="57"/>
    </w:pPr>
    <w:rPr>
      <w:rFonts w:ascii="Arial" w:eastAsia="Times New Roman" w:hAnsi="Arial" w:cs="Times New Roman"/>
      <w:sz w:val="18"/>
      <w:szCs w:val="20"/>
      <w:lang w:val="es-MX"/>
    </w:rPr>
  </w:style>
  <w:style w:type="paragraph" w:customStyle="1" w:styleId="IEM-3A1">
    <w:name w:val="IEM-3A 1"/>
    <w:basedOn w:val="Normal"/>
    <w:next w:val="Ttulo1"/>
    <w:uiPriority w:val="99"/>
    <w:rsid w:val="004C1C4F"/>
    <w:pPr>
      <w:widowControl w:val="0"/>
      <w:tabs>
        <w:tab w:val="num" w:pos="567"/>
      </w:tabs>
      <w:autoSpaceDE w:val="0"/>
      <w:autoSpaceDN w:val="0"/>
      <w:adjustRightInd w:val="0"/>
      <w:spacing w:after="240" w:line="240" w:lineRule="auto"/>
      <w:ind w:left="567" w:hanging="567"/>
      <w:outlineLvl w:val="0"/>
    </w:pPr>
    <w:rPr>
      <w:rFonts w:ascii="Times New Roman" w:eastAsia="Times New Roman" w:hAnsi="Times New Roman" w:cs="Times New Roman"/>
      <w:sz w:val="20"/>
      <w:szCs w:val="20"/>
      <w:lang w:val="en-US"/>
    </w:rPr>
  </w:style>
  <w:style w:type="paragraph" w:customStyle="1" w:styleId="FlushRight">
    <w:name w:val="Flush Right"/>
    <w:aliases w:val="fr"/>
    <w:basedOn w:val="Normal"/>
    <w:uiPriority w:val="99"/>
    <w:rsid w:val="004C1C4F"/>
    <w:pPr>
      <w:spacing w:before="240" w:after="240" w:line="240" w:lineRule="auto"/>
      <w:jc w:val="right"/>
    </w:pPr>
    <w:rPr>
      <w:rFonts w:ascii="Times New Roman" w:eastAsia="Times New Roman" w:hAnsi="Times New Roman" w:cs="Times New Roman"/>
      <w:sz w:val="24"/>
      <w:szCs w:val="20"/>
      <w:lang w:val="en-US"/>
    </w:rPr>
  </w:style>
  <w:style w:type="paragraph" w:customStyle="1" w:styleId="Article3L1">
    <w:name w:val="Article3_L1"/>
    <w:basedOn w:val="Normal"/>
    <w:next w:val="Normal"/>
    <w:uiPriority w:val="99"/>
    <w:rsid w:val="004C1C4F"/>
    <w:pPr>
      <w:keepNext/>
      <w:spacing w:before="480" w:after="80" w:line="240" w:lineRule="auto"/>
      <w:jc w:val="center"/>
      <w:outlineLvl w:val="0"/>
    </w:pPr>
    <w:rPr>
      <w:rFonts w:ascii="Arial" w:eastAsia="Times New Roman" w:hAnsi="Arial" w:cs="Times New Roman"/>
      <w:sz w:val="24"/>
      <w:szCs w:val="20"/>
      <w:lang w:val="en-US"/>
    </w:rPr>
  </w:style>
  <w:style w:type="paragraph" w:customStyle="1" w:styleId="Article3L2">
    <w:name w:val="Article3_L2"/>
    <w:basedOn w:val="Article3L1"/>
    <w:next w:val="Normal"/>
    <w:uiPriority w:val="99"/>
    <w:rsid w:val="004C1C4F"/>
    <w:pPr>
      <w:keepNext w:val="0"/>
      <w:numPr>
        <w:ilvl w:val="1"/>
      </w:numPr>
      <w:tabs>
        <w:tab w:val="num" w:pos="360"/>
        <w:tab w:val="num" w:pos="1440"/>
      </w:tabs>
      <w:spacing w:before="160" w:after="0"/>
      <w:ind w:left="1440" w:hanging="360"/>
      <w:jc w:val="both"/>
      <w:outlineLvl w:val="1"/>
    </w:pPr>
  </w:style>
  <w:style w:type="paragraph" w:customStyle="1" w:styleId="Article3L3">
    <w:name w:val="Article3_L3"/>
    <w:basedOn w:val="Article3L2"/>
    <w:next w:val="Normal"/>
    <w:uiPriority w:val="99"/>
    <w:rsid w:val="004C1C4F"/>
    <w:pPr>
      <w:numPr>
        <w:ilvl w:val="2"/>
      </w:numPr>
      <w:tabs>
        <w:tab w:val="num" w:pos="360"/>
        <w:tab w:val="num" w:pos="2160"/>
      </w:tabs>
      <w:ind w:left="2160" w:hanging="180"/>
      <w:outlineLvl w:val="2"/>
    </w:pPr>
  </w:style>
  <w:style w:type="paragraph" w:customStyle="1" w:styleId="Article3L4">
    <w:name w:val="Article3_L4"/>
    <w:basedOn w:val="Article3L3"/>
    <w:next w:val="Normal"/>
    <w:uiPriority w:val="99"/>
    <w:rsid w:val="004C1C4F"/>
    <w:pPr>
      <w:numPr>
        <w:ilvl w:val="3"/>
      </w:numPr>
      <w:tabs>
        <w:tab w:val="clear" w:pos="1440"/>
        <w:tab w:val="num" w:pos="360"/>
        <w:tab w:val="num" w:pos="2880"/>
      </w:tabs>
      <w:ind w:left="2880" w:hanging="360"/>
      <w:outlineLvl w:val="3"/>
    </w:pPr>
  </w:style>
  <w:style w:type="paragraph" w:customStyle="1" w:styleId="Article3L5">
    <w:name w:val="Article3_L5"/>
    <w:basedOn w:val="Article3L4"/>
    <w:next w:val="Normal"/>
    <w:uiPriority w:val="99"/>
    <w:rsid w:val="004C1C4F"/>
    <w:pPr>
      <w:numPr>
        <w:ilvl w:val="4"/>
      </w:numPr>
      <w:tabs>
        <w:tab w:val="clear" w:pos="2160"/>
        <w:tab w:val="num" w:pos="360"/>
        <w:tab w:val="num" w:pos="3600"/>
      </w:tabs>
      <w:ind w:left="3600" w:hanging="360"/>
      <w:outlineLvl w:val="4"/>
    </w:pPr>
  </w:style>
  <w:style w:type="paragraph" w:customStyle="1" w:styleId="Article3L6">
    <w:name w:val="Article3_L6"/>
    <w:basedOn w:val="Article3L5"/>
    <w:next w:val="Normal"/>
    <w:uiPriority w:val="99"/>
    <w:rsid w:val="004C1C4F"/>
    <w:pPr>
      <w:numPr>
        <w:ilvl w:val="5"/>
      </w:numPr>
      <w:tabs>
        <w:tab w:val="num" w:pos="360"/>
        <w:tab w:val="num" w:pos="4320"/>
      </w:tabs>
      <w:ind w:left="4320" w:hanging="180"/>
      <w:outlineLvl w:val="5"/>
    </w:pPr>
  </w:style>
  <w:style w:type="paragraph" w:customStyle="1" w:styleId="Article3L7">
    <w:name w:val="Article3_L7"/>
    <w:basedOn w:val="Article3L6"/>
    <w:next w:val="Normal"/>
    <w:uiPriority w:val="99"/>
    <w:rsid w:val="004C1C4F"/>
    <w:pPr>
      <w:numPr>
        <w:ilvl w:val="6"/>
      </w:numPr>
      <w:tabs>
        <w:tab w:val="clear" w:pos="4320"/>
        <w:tab w:val="num" w:pos="360"/>
        <w:tab w:val="num" w:pos="5040"/>
      </w:tabs>
      <w:ind w:left="5040" w:hanging="360"/>
      <w:outlineLvl w:val="6"/>
    </w:pPr>
  </w:style>
  <w:style w:type="paragraph" w:customStyle="1" w:styleId="Article3L8">
    <w:name w:val="Article3_L8"/>
    <w:basedOn w:val="Article3L7"/>
    <w:next w:val="Normal"/>
    <w:uiPriority w:val="99"/>
    <w:rsid w:val="004C1C4F"/>
    <w:pPr>
      <w:numPr>
        <w:ilvl w:val="7"/>
      </w:numPr>
      <w:tabs>
        <w:tab w:val="clear" w:pos="5040"/>
        <w:tab w:val="num" w:pos="360"/>
        <w:tab w:val="num" w:pos="5760"/>
      </w:tabs>
      <w:ind w:left="5760" w:hanging="360"/>
      <w:outlineLvl w:val="7"/>
    </w:pPr>
  </w:style>
  <w:style w:type="paragraph" w:customStyle="1" w:styleId="Corporate2L1">
    <w:name w:val="Corporate2_L1"/>
    <w:basedOn w:val="Normal"/>
    <w:next w:val="CG-SingleSp05"/>
    <w:uiPriority w:val="99"/>
    <w:rsid w:val="004C1C4F"/>
    <w:pPr>
      <w:spacing w:after="240" w:line="240" w:lineRule="auto"/>
      <w:ind w:firstLine="720"/>
      <w:outlineLvl w:val="0"/>
    </w:pPr>
    <w:rPr>
      <w:rFonts w:ascii="Times New Roman" w:eastAsia="Times New Roman" w:hAnsi="Times New Roman" w:cs="Times New Roman"/>
      <w:sz w:val="24"/>
      <w:szCs w:val="20"/>
      <w:lang w:val="en-US"/>
    </w:rPr>
  </w:style>
  <w:style w:type="paragraph" w:customStyle="1" w:styleId="Corporate2L2">
    <w:name w:val="Corporate2_L2"/>
    <w:basedOn w:val="Corporate2L1"/>
    <w:next w:val="CG-SingleSp05"/>
    <w:uiPriority w:val="99"/>
    <w:rsid w:val="004C1C4F"/>
    <w:pPr>
      <w:numPr>
        <w:ilvl w:val="1"/>
      </w:numPr>
      <w:tabs>
        <w:tab w:val="num" w:pos="360"/>
        <w:tab w:val="num" w:pos="2520"/>
      </w:tabs>
      <w:ind w:left="2520" w:hanging="360"/>
      <w:outlineLvl w:val="1"/>
    </w:pPr>
  </w:style>
  <w:style w:type="paragraph" w:customStyle="1" w:styleId="Corporate2L3">
    <w:name w:val="Corporate2_L3"/>
    <w:basedOn w:val="Corporate2L2"/>
    <w:next w:val="CG-SingleSp05"/>
    <w:uiPriority w:val="99"/>
    <w:rsid w:val="004C1C4F"/>
    <w:pPr>
      <w:numPr>
        <w:ilvl w:val="2"/>
      </w:numPr>
      <w:tabs>
        <w:tab w:val="num" w:pos="360"/>
        <w:tab w:val="num" w:pos="3240"/>
      </w:tabs>
      <w:ind w:left="3240" w:hanging="180"/>
      <w:outlineLvl w:val="2"/>
    </w:pPr>
  </w:style>
  <w:style w:type="paragraph" w:customStyle="1" w:styleId="Corporate2L4">
    <w:name w:val="Corporate2_L4"/>
    <w:basedOn w:val="Corporate2L3"/>
    <w:next w:val="CG-SingleSp05"/>
    <w:uiPriority w:val="99"/>
    <w:rsid w:val="004C1C4F"/>
    <w:pPr>
      <w:numPr>
        <w:ilvl w:val="3"/>
      </w:numPr>
      <w:tabs>
        <w:tab w:val="num" w:pos="360"/>
        <w:tab w:val="num" w:pos="3960"/>
      </w:tabs>
      <w:ind w:left="3960" w:hanging="360"/>
      <w:outlineLvl w:val="3"/>
    </w:pPr>
  </w:style>
  <w:style w:type="paragraph" w:customStyle="1" w:styleId="Corporate2L5">
    <w:name w:val="Corporate2_L5"/>
    <w:basedOn w:val="Corporate2L4"/>
    <w:next w:val="CG-SingleSp05"/>
    <w:uiPriority w:val="99"/>
    <w:rsid w:val="004C1C4F"/>
    <w:pPr>
      <w:numPr>
        <w:ilvl w:val="4"/>
      </w:numPr>
      <w:tabs>
        <w:tab w:val="num" w:pos="360"/>
        <w:tab w:val="num" w:pos="4680"/>
      </w:tabs>
      <w:ind w:left="4680" w:hanging="360"/>
      <w:outlineLvl w:val="4"/>
    </w:pPr>
  </w:style>
  <w:style w:type="paragraph" w:customStyle="1" w:styleId="L2Hed">
    <w:name w:val="L2Hed"/>
    <w:basedOn w:val="Body-DTP"/>
    <w:next w:val="Body-DTP"/>
    <w:uiPriority w:val="99"/>
    <w:rsid w:val="004C1C4F"/>
    <w:pPr>
      <w:keepNext/>
      <w:tabs>
        <w:tab w:val="left" w:pos="432"/>
      </w:tabs>
      <w:spacing w:before="180" w:after="60"/>
      <w:ind w:firstLine="0"/>
    </w:pPr>
    <w:rPr>
      <w:b/>
    </w:rPr>
  </w:style>
  <w:style w:type="paragraph" w:customStyle="1" w:styleId="2Levelablock">
    <w:name w:val="2Level–(a)block"/>
    <w:basedOn w:val="Body-DTP"/>
    <w:uiPriority w:val="99"/>
    <w:rsid w:val="004C1C4F"/>
    <w:pPr>
      <w:tabs>
        <w:tab w:val="num" w:pos="864"/>
      </w:tabs>
      <w:ind w:left="864" w:hanging="432"/>
    </w:pPr>
  </w:style>
  <w:style w:type="character" w:customStyle="1" w:styleId="ParaNum">
    <w:name w:val="ParaNum"/>
    <w:rsid w:val="004C1C4F"/>
    <w:rPr>
      <w:rFonts w:ascii="Times New Roman" w:hAnsi="Times New Roman"/>
      <w:sz w:val="26"/>
    </w:rPr>
  </w:style>
  <w:style w:type="character" w:customStyle="1" w:styleId="consejeriasban2">
    <w:name w:val="consejeriasban2"/>
    <w:rsid w:val="004C1C4F"/>
  </w:style>
  <w:style w:type="paragraph" w:customStyle="1" w:styleId="TitleCenterBold">
    <w:name w:val="TitleCenterBold"/>
    <w:aliases w:val="tcb"/>
    <w:basedOn w:val="Normal"/>
    <w:next w:val="Normal"/>
    <w:uiPriority w:val="99"/>
    <w:rsid w:val="004C1C4F"/>
    <w:pPr>
      <w:keepNext/>
      <w:spacing w:before="360" w:after="0" w:line="280" w:lineRule="exact"/>
      <w:jc w:val="center"/>
    </w:pPr>
    <w:rPr>
      <w:rFonts w:ascii="Times" w:eastAsia="Times New Roman" w:hAnsi="Times" w:cs="Times New Roman"/>
      <w:b/>
      <w:smallCaps/>
      <w:sz w:val="24"/>
      <w:szCs w:val="20"/>
      <w:lang w:val="en-US"/>
    </w:rPr>
  </w:style>
  <w:style w:type="paragraph" w:customStyle="1" w:styleId="MacPacTrailer">
    <w:name w:val="MacPac Trailer"/>
    <w:uiPriority w:val="99"/>
    <w:rsid w:val="004C1C4F"/>
    <w:pPr>
      <w:widowControl w:val="0"/>
      <w:spacing w:after="0" w:line="200" w:lineRule="exact"/>
    </w:pPr>
    <w:rPr>
      <w:rFonts w:ascii="Times New Roman" w:eastAsia="Times New Roman" w:hAnsi="Times New Roman" w:cs="Times New Roman"/>
      <w:sz w:val="16"/>
      <w:lang w:val="en-US"/>
    </w:rPr>
  </w:style>
  <w:style w:type="paragraph" w:customStyle="1" w:styleId="SECText">
    <w:name w:val="SEC Text"/>
    <w:basedOn w:val="Normal"/>
    <w:next w:val="Normal"/>
    <w:uiPriority w:val="99"/>
    <w:rsid w:val="004C1C4F"/>
    <w:pPr>
      <w:spacing w:after="240" w:line="240" w:lineRule="auto"/>
    </w:pPr>
    <w:rPr>
      <w:rFonts w:ascii="Times New Roman" w:eastAsia="Times New Roman" w:hAnsi="Times New Roman" w:cs="Times New Roman"/>
      <w:sz w:val="20"/>
      <w:szCs w:val="20"/>
      <w:lang w:val="en-US"/>
    </w:rPr>
  </w:style>
  <w:style w:type="paragraph" w:customStyle="1" w:styleId="rrdsinglerule">
    <w:name w:val="rrdsinglerule"/>
    <w:basedOn w:val="Normal"/>
    <w:next w:val="Normal"/>
    <w:uiPriority w:val="99"/>
    <w:rsid w:val="004C1C4F"/>
    <w:pPr>
      <w:pBdr>
        <w:top w:val="single" w:sz="8" w:space="1" w:color="auto"/>
      </w:pBdr>
      <w:spacing w:before="20" w:after="0" w:line="20" w:lineRule="exact"/>
      <w:jc w:val="center"/>
    </w:pPr>
    <w:rPr>
      <w:rFonts w:ascii="Times New Roman" w:eastAsia="Times New Roman" w:hAnsi="Times New Roman" w:cs="Times New Roman"/>
      <w:sz w:val="8"/>
      <w:szCs w:val="8"/>
      <w:lang w:val="en-US"/>
    </w:rPr>
  </w:style>
  <w:style w:type="paragraph" w:customStyle="1" w:styleId="la2">
    <w:name w:val="la2"/>
    <w:basedOn w:val="Normal"/>
    <w:next w:val="Normal"/>
    <w:uiPriority w:val="99"/>
    <w:rsid w:val="004C1C4F"/>
    <w:pPr>
      <w:spacing w:after="0" w:line="40" w:lineRule="exact"/>
    </w:pPr>
    <w:rPr>
      <w:rFonts w:ascii="Times New Roman" w:eastAsia="Times New Roman" w:hAnsi="Times New Roman" w:cs="Times New Roman"/>
      <w:noProof/>
      <w:sz w:val="8"/>
      <w:szCs w:val="8"/>
      <w:lang w:val="en-US"/>
    </w:rPr>
  </w:style>
  <w:style w:type="paragraph" w:customStyle="1" w:styleId="rco">
    <w:name w:val="rco"/>
    <w:uiPriority w:val="99"/>
    <w:rsid w:val="004C1C4F"/>
    <w:pPr>
      <w:pBdr>
        <w:bottom w:val="single" w:sz="8" w:space="1" w:color="auto"/>
      </w:pBdr>
      <w:spacing w:after="0" w:line="80" w:lineRule="exact"/>
      <w:ind w:left="4320" w:right="4320"/>
      <w:jc w:val="center"/>
    </w:pPr>
    <w:rPr>
      <w:rFonts w:ascii="Times New Roman" w:eastAsia="Times New Roman" w:hAnsi="Times New Roman" w:cs="Times New Roman"/>
      <w:noProof/>
      <w:sz w:val="12"/>
      <w:szCs w:val="20"/>
      <w:lang w:val="en-US"/>
    </w:rPr>
  </w:style>
  <w:style w:type="paragraph" w:customStyle="1" w:styleId="FlushBoldItal">
    <w:name w:val="FlushBoldItal"/>
    <w:aliases w:val="fbi"/>
    <w:basedOn w:val="Normal"/>
    <w:next w:val="Textoindependiente"/>
    <w:uiPriority w:val="99"/>
    <w:rsid w:val="004C1C4F"/>
    <w:pPr>
      <w:spacing w:after="240" w:line="240" w:lineRule="auto"/>
    </w:pPr>
    <w:rPr>
      <w:rFonts w:ascii="Times New Roman" w:eastAsia="MS Mincho" w:hAnsi="Times New Roman" w:cs="Times New Roman"/>
      <w:b/>
      <w:i/>
      <w:sz w:val="20"/>
      <w:szCs w:val="20"/>
      <w:lang w:val="en-US"/>
    </w:rPr>
  </w:style>
  <w:style w:type="character" w:customStyle="1" w:styleId="CenteredBChar">
    <w:name w:val="Centered B Char"/>
    <w:rsid w:val="004C1C4F"/>
    <w:rPr>
      <w:rFonts w:cs="Vrinda"/>
      <w:b/>
      <w:szCs w:val="24"/>
      <w:lang w:val="en-US" w:eastAsia="en-US"/>
    </w:rPr>
  </w:style>
  <w:style w:type="paragraph" w:customStyle="1" w:styleId="Line">
    <w:name w:val="Line"/>
    <w:basedOn w:val="Normal"/>
    <w:uiPriority w:val="99"/>
    <w:rsid w:val="004C1C4F"/>
    <w:pPr>
      <w:pBdr>
        <w:bottom w:val="single" w:sz="4" w:space="1" w:color="auto"/>
      </w:pBdr>
      <w:autoSpaceDE w:val="0"/>
      <w:autoSpaceDN w:val="0"/>
      <w:spacing w:after="0" w:line="160" w:lineRule="exact"/>
      <w:ind w:left="3787" w:right="3427"/>
      <w:jc w:val="center"/>
    </w:pPr>
    <w:rPr>
      <w:rFonts w:ascii="Times New Roman" w:eastAsia="Times New Roman" w:hAnsi="Times New Roman" w:cs="Times New Roman"/>
      <w:sz w:val="16"/>
      <w:szCs w:val="20"/>
      <w:lang w:val="en-US"/>
    </w:rPr>
  </w:style>
  <w:style w:type="paragraph" w:customStyle="1" w:styleId="bullet50">
    <w:name w:val="bullet.5"/>
    <w:basedOn w:val="Normal"/>
    <w:uiPriority w:val="99"/>
    <w:rsid w:val="004C1C4F"/>
    <w:pPr>
      <w:tabs>
        <w:tab w:val="num" w:pos="1080"/>
      </w:tabs>
      <w:spacing w:after="240" w:line="240" w:lineRule="auto"/>
      <w:ind w:left="1080" w:hanging="360"/>
    </w:pPr>
    <w:rPr>
      <w:rFonts w:ascii="Times New Roman" w:eastAsia="MS Mincho" w:hAnsi="Times New Roman" w:cs="Times New Roman"/>
      <w:sz w:val="20"/>
      <w:szCs w:val="20"/>
      <w:lang w:val="en-US"/>
    </w:rPr>
  </w:style>
  <w:style w:type="paragraph" w:customStyle="1" w:styleId="5body">
    <w:name w:val=".5body"/>
    <w:basedOn w:val="Normal"/>
    <w:uiPriority w:val="99"/>
    <w:rsid w:val="004C1C4F"/>
    <w:pPr>
      <w:spacing w:after="240" w:line="240" w:lineRule="auto"/>
      <w:ind w:left="720"/>
    </w:pPr>
    <w:rPr>
      <w:rFonts w:ascii="Times New Roman" w:eastAsia="Times New Roman" w:hAnsi="Times New Roman" w:cs="Times New Roman"/>
      <w:sz w:val="20"/>
      <w:szCs w:val="24"/>
      <w:lang w:val="en-US"/>
    </w:rPr>
  </w:style>
  <w:style w:type="paragraph" w:customStyle="1" w:styleId="i75">
    <w:name w:val="(i).75"/>
    <w:basedOn w:val="Normal"/>
    <w:uiPriority w:val="99"/>
    <w:rsid w:val="004C1C4F"/>
    <w:pPr>
      <w:spacing w:after="240" w:line="240" w:lineRule="auto"/>
      <w:ind w:left="720" w:firstLine="360"/>
    </w:pPr>
    <w:rPr>
      <w:rFonts w:ascii="Times New Roman" w:eastAsia="Times New Roman" w:hAnsi="Times New Roman" w:cs="Times New Roman"/>
      <w:sz w:val="20"/>
      <w:szCs w:val="20"/>
      <w:lang w:val="en-US"/>
    </w:rPr>
  </w:style>
  <w:style w:type="paragraph" w:customStyle="1" w:styleId="Paraindent5">
    <w:name w:val="Para indent .5"/>
    <w:basedOn w:val="Normal"/>
    <w:uiPriority w:val="99"/>
    <w:rsid w:val="004C1C4F"/>
    <w:pPr>
      <w:autoSpaceDE w:val="0"/>
      <w:autoSpaceDN w:val="0"/>
      <w:adjustRightInd w:val="0"/>
      <w:spacing w:after="240" w:line="240" w:lineRule="auto"/>
      <w:ind w:firstLine="720"/>
    </w:pPr>
    <w:rPr>
      <w:rFonts w:ascii="Times New Roman" w:eastAsia="MS Mincho" w:hAnsi="Times New Roman" w:cs="Times New Roman"/>
      <w:sz w:val="20"/>
      <w:szCs w:val="20"/>
      <w:lang w:val="en-US"/>
    </w:rPr>
  </w:style>
  <w:style w:type="paragraph" w:customStyle="1" w:styleId="TOCHeader">
    <w:name w:val="TOC Header"/>
    <w:basedOn w:val="Normal"/>
    <w:uiPriority w:val="99"/>
    <w:rsid w:val="004C1C4F"/>
    <w:pPr>
      <w:spacing w:after="0" w:line="240" w:lineRule="auto"/>
      <w:ind w:left="115" w:right="115"/>
      <w:jc w:val="center"/>
    </w:pPr>
    <w:rPr>
      <w:rFonts w:ascii="Times New Roman" w:eastAsia="Times New Roman" w:hAnsi="Times New Roman" w:cs="Times New Roman"/>
      <w:sz w:val="24"/>
      <w:szCs w:val="20"/>
      <w:lang w:val="en-US"/>
    </w:rPr>
  </w:style>
  <w:style w:type="paragraph" w:customStyle="1" w:styleId="Leftital">
    <w:name w:val="Left ital"/>
    <w:basedOn w:val="Normal"/>
    <w:uiPriority w:val="99"/>
    <w:rsid w:val="004C1C4F"/>
    <w:pPr>
      <w:keepNext/>
      <w:autoSpaceDE w:val="0"/>
      <w:autoSpaceDN w:val="0"/>
      <w:adjustRightInd w:val="0"/>
      <w:spacing w:after="240" w:line="240" w:lineRule="auto"/>
    </w:pPr>
    <w:rPr>
      <w:rFonts w:ascii="Times New Roman" w:eastAsia="Times New Roman" w:hAnsi="Times New Roman" w:cs="Times New Roman"/>
      <w:i/>
      <w:sz w:val="20"/>
      <w:szCs w:val="20"/>
      <w:lang w:val="en-US"/>
    </w:rPr>
  </w:style>
  <w:style w:type="paragraph" w:customStyle="1" w:styleId="lefbold">
    <w:name w:val="lefbold"/>
    <w:basedOn w:val="Textoindependienteprimerasangra"/>
    <w:link w:val="lefboldChar"/>
    <w:uiPriority w:val="99"/>
    <w:qFormat/>
    <w:rsid w:val="004C1C4F"/>
    <w:pPr>
      <w:ind w:firstLine="0"/>
    </w:pPr>
    <w:rPr>
      <w:rFonts w:eastAsia="Times New Roman"/>
      <w:b/>
      <w:bCs/>
    </w:rPr>
  </w:style>
  <w:style w:type="character" w:customStyle="1" w:styleId="lefboldChar">
    <w:name w:val="lefbold Char"/>
    <w:link w:val="lefbold"/>
    <w:uiPriority w:val="99"/>
    <w:rsid w:val="004C1C4F"/>
    <w:rPr>
      <w:rFonts w:ascii="Times New Roman" w:eastAsia="Times New Roman" w:hAnsi="Times New Roman" w:cs="Times New Roman"/>
      <w:b/>
      <w:bCs/>
      <w:sz w:val="20"/>
      <w:szCs w:val="20"/>
      <w:lang w:val="x-none" w:eastAsia="x-none"/>
    </w:rPr>
  </w:style>
  <w:style w:type="paragraph" w:customStyle="1" w:styleId="Italic">
    <w:name w:val="Italic"/>
    <w:basedOn w:val="Textoindependienteprimerasangra"/>
    <w:link w:val="ItalicChar"/>
    <w:uiPriority w:val="99"/>
    <w:qFormat/>
    <w:rsid w:val="004C1C4F"/>
    <w:pPr>
      <w:ind w:firstLine="0"/>
    </w:pPr>
    <w:rPr>
      <w:rFonts w:eastAsia="Times New Roman"/>
      <w:i/>
      <w:iCs/>
    </w:rPr>
  </w:style>
  <w:style w:type="character" w:customStyle="1" w:styleId="ItalicChar">
    <w:name w:val="Italic Char"/>
    <w:link w:val="Italic"/>
    <w:uiPriority w:val="99"/>
    <w:rsid w:val="004C1C4F"/>
    <w:rPr>
      <w:rFonts w:ascii="Times New Roman" w:eastAsia="Times New Roman" w:hAnsi="Times New Roman" w:cs="Times New Roman"/>
      <w:i/>
      <w:iCs/>
      <w:sz w:val="20"/>
      <w:szCs w:val="20"/>
      <w:lang w:val="x-none" w:eastAsia="x-none"/>
    </w:rPr>
  </w:style>
  <w:style w:type="paragraph" w:customStyle="1" w:styleId="Level2">
    <w:name w:val="Level 2"/>
    <w:basedOn w:val="Normal"/>
    <w:uiPriority w:val="99"/>
    <w:rsid w:val="004C1C4F"/>
    <w:pPr>
      <w:tabs>
        <w:tab w:val="left" w:pos="720"/>
      </w:tabs>
      <w:spacing w:after="240" w:line="240" w:lineRule="auto"/>
      <w:ind w:left="720" w:hanging="360"/>
    </w:pPr>
    <w:rPr>
      <w:rFonts w:ascii="Times New Roman" w:eastAsia="Times New Roman" w:hAnsi="Times New Roman" w:cs="Times New Roman"/>
      <w:sz w:val="24"/>
      <w:lang w:val="en-US"/>
    </w:rPr>
  </w:style>
  <w:style w:type="paragraph" w:customStyle="1" w:styleId="Level2Cont">
    <w:name w:val="Level 2 Cont"/>
    <w:basedOn w:val="Normal"/>
    <w:uiPriority w:val="99"/>
    <w:rsid w:val="004C1C4F"/>
    <w:pPr>
      <w:spacing w:after="240" w:line="240" w:lineRule="auto"/>
      <w:ind w:left="720"/>
    </w:pPr>
    <w:rPr>
      <w:rFonts w:ascii="Times New Roman" w:eastAsia="Times New Roman" w:hAnsi="Times New Roman" w:cs="Times New Roman"/>
      <w:sz w:val="24"/>
      <w:lang w:val="en-US"/>
    </w:rPr>
  </w:style>
  <w:style w:type="paragraph" w:customStyle="1" w:styleId="Level1Cont">
    <w:name w:val="Level 1 Cont"/>
    <w:basedOn w:val="Normal"/>
    <w:uiPriority w:val="99"/>
    <w:rsid w:val="004C1C4F"/>
    <w:pPr>
      <w:spacing w:after="240" w:line="240" w:lineRule="auto"/>
      <w:ind w:left="360"/>
    </w:pPr>
    <w:rPr>
      <w:rFonts w:ascii="Times New Roman" w:eastAsia="Times New Roman" w:hAnsi="Times New Roman" w:cs="Times New Roman"/>
      <w:sz w:val="24"/>
      <w:lang w:val="en-US"/>
    </w:rPr>
  </w:style>
  <w:style w:type="paragraph" w:customStyle="1" w:styleId="SingleParaFlush05">
    <w:name w:val="Single Para Flush&gt; 0.5&quot;"/>
    <w:basedOn w:val="Normal"/>
    <w:uiPriority w:val="99"/>
    <w:rsid w:val="004C1C4F"/>
    <w:pPr>
      <w:spacing w:before="200" w:after="0" w:line="240" w:lineRule="auto"/>
      <w:ind w:left="720"/>
    </w:pPr>
    <w:rPr>
      <w:rFonts w:ascii="Times New Roman" w:eastAsia="Calibri" w:hAnsi="Times New Roman" w:cs="Times New Roman"/>
      <w:sz w:val="20"/>
      <w:szCs w:val="24"/>
      <w:lang w:val="en-US"/>
    </w:rPr>
  </w:style>
  <w:style w:type="paragraph" w:customStyle="1" w:styleId="TOC1">
    <w:name w:val="TOC1"/>
    <w:basedOn w:val="Normal"/>
    <w:uiPriority w:val="99"/>
    <w:rsid w:val="004C1C4F"/>
    <w:pPr>
      <w:spacing w:after="0" w:line="240" w:lineRule="auto"/>
    </w:pPr>
    <w:rPr>
      <w:rFonts w:ascii="Times New Roman" w:eastAsia="MS Mincho" w:hAnsi="Times New Roman" w:cs="Times New Roman"/>
      <w:sz w:val="24"/>
      <w:szCs w:val="20"/>
      <w:lang w:val="en-US"/>
    </w:rPr>
  </w:style>
  <w:style w:type="paragraph" w:customStyle="1" w:styleId="Head2">
    <w:name w:val="Head2"/>
    <w:basedOn w:val="Normal"/>
    <w:uiPriority w:val="99"/>
    <w:rsid w:val="004C1C4F"/>
    <w:pPr>
      <w:spacing w:after="0" w:line="240" w:lineRule="auto"/>
      <w:ind w:firstLine="360"/>
    </w:pPr>
    <w:rPr>
      <w:rFonts w:ascii="Times New Roman" w:eastAsia="Times New Roman" w:hAnsi="Times New Roman" w:cs="Times New Roman"/>
      <w:b/>
      <w:i/>
      <w:sz w:val="20"/>
      <w:szCs w:val="20"/>
      <w:lang w:val="en-US"/>
    </w:rPr>
  </w:style>
  <w:style w:type="paragraph" w:customStyle="1" w:styleId="FNLine">
    <w:name w:val="FN Line"/>
    <w:basedOn w:val="Normal"/>
    <w:uiPriority w:val="99"/>
    <w:rsid w:val="004C1C4F"/>
    <w:pPr>
      <w:keepNext/>
      <w:pBdr>
        <w:bottom w:val="single" w:sz="4" w:space="1" w:color="auto"/>
      </w:pBdr>
      <w:spacing w:after="60" w:line="240" w:lineRule="auto"/>
      <w:ind w:right="7200"/>
    </w:pPr>
    <w:rPr>
      <w:rFonts w:ascii="Times New Roman" w:eastAsia="MS Mincho" w:hAnsi="Times New Roman" w:cs="Times New Roman"/>
      <w:bCs/>
      <w:sz w:val="16"/>
      <w:szCs w:val="20"/>
      <w:lang w:val="en-US"/>
    </w:rPr>
  </w:style>
  <w:style w:type="paragraph" w:customStyle="1" w:styleId="footnote0">
    <w:name w:val="footnote"/>
    <w:basedOn w:val="Textonotapie"/>
    <w:uiPriority w:val="99"/>
    <w:rsid w:val="004C1C4F"/>
    <w:rPr>
      <w:rFonts w:cs="Arial"/>
      <w:sz w:val="16"/>
      <w:lang w:val="x-none" w:eastAsia="x-none"/>
    </w:rPr>
  </w:style>
  <w:style w:type="paragraph" w:customStyle="1" w:styleId="FNText">
    <w:name w:val="FN Text"/>
    <w:basedOn w:val="Normal"/>
    <w:uiPriority w:val="99"/>
    <w:rsid w:val="004C1C4F"/>
    <w:pPr>
      <w:spacing w:after="0" w:line="240" w:lineRule="auto"/>
      <w:ind w:left="432" w:hanging="432"/>
    </w:pPr>
    <w:rPr>
      <w:rFonts w:ascii="Times New Roman" w:eastAsia="MS Mincho" w:hAnsi="Times New Roman" w:cs="Times New Roman"/>
      <w:sz w:val="18"/>
      <w:szCs w:val="20"/>
      <w:lang w:val="en-US"/>
    </w:rPr>
  </w:style>
  <w:style w:type="paragraph" w:customStyle="1" w:styleId="leftital0">
    <w:name w:val="leftital"/>
    <w:basedOn w:val="Normal"/>
    <w:uiPriority w:val="99"/>
    <w:rsid w:val="004C1C4F"/>
    <w:pPr>
      <w:keepNext/>
      <w:widowControl w:val="0"/>
      <w:spacing w:after="240" w:line="240" w:lineRule="auto"/>
    </w:pPr>
    <w:rPr>
      <w:rFonts w:ascii="Times New Roman" w:eastAsia="MS Mincho" w:hAnsi="Times New Roman" w:cs="Times New Roman"/>
      <w:b/>
      <w:i/>
      <w:sz w:val="20"/>
      <w:szCs w:val="20"/>
      <w:lang w:val="en-US"/>
    </w:rPr>
  </w:style>
  <w:style w:type="paragraph" w:customStyle="1" w:styleId="TableHeadings">
    <w:name w:val="TableHeadings"/>
    <w:basedOn w:val="Normal"/>
    <w:uiPriority w:val="99"/>
    <w:rsid w:val="004C1C4F"/>
    <w:pPr>
      <w:keepNext/>
      <w:pBdr>
        <w:bottom w:val="single" w:sz="6" w:space="1" w:color="auto"/>
      </w:pBdr>
      <w:spacing w:after="120" w:line="240" w:lineRule="auto"/>
      <w:jc w:val="center"/>
    </w:pPr>
    <w:rPr>
      <w:rFonts w:ascii="Times New Roman" w:eastAsia="MS Mincho" w:hAnsi="Times New Roman" w:cs="Times New Roman"/>
      <w:sz w:val="24"/>
      <w:szCs w:val="20"/>
      <w:lang w:val="en-US"/>
    </w:rPr>
  </w:style>
  <w:style w:type="paragraph" w:customStyle="1" w:styleId="Tabletext0">
    <w:name w:val="Tabletext"/>
    <w:basedOn w:val="Normal"/>
    <w:uiPriority w:val="99"/>
    <w:rsid w:val="004C1C4F"/>
    <w:pPr>
      <w:keepNext/>
      <w:tabs>
        <w:tab w:val="left" w:pos="288"/>
        <w:tab w:val="left" w:pos="576"/>
        <w:tab w:val="right" w:leader="dot" w:pos="3150"/>
      </w:tabs>
      <w:spacing w:after="0" w:line="240" w:lineRule="auto"/>
      <w:ind w:left="288" w:right="288" w:hanging="288"/>
    </w:pPr>
    <w:rPr>
      <w:rFonts w:ascii="Times New Roman" w:eastAsia="MS Mincho" w:hAnsi="Times New Roman" w:cs="Times New Roman"/>
      <w:sz w:val="24"/>
      <w:szCs w:val="20"/>
      <w:lang w:val="en-US"/>
    </w:rPr>
  </w:style>
  <w:style w:type="paragraph" w:customStyle="1" w:styleId="Singleblock">
    <w:name w:val="Singleblock"/>
    <w:basedOn w:val="Normal"/>
    <w:uiPriority w:val="99"/>
    <w:rsid w:val="004C1C4F"/>
    <w:pPr>
      <w:spacing w:after="240" w:line="240" w:lineRule="auto"/>
    </w:pPr>
    <w:rPr>
      <w:rFonts w:ascii="Times New Roman" w:eastAsia="MS Mincho" w:hAnsi="Times New Roman" w:cs="Times New Roman"/>
      <w:sz w:val="24"/>
      <w:szCs w:val="20"/>
      <w:lang w:val="en-US"/>
    </w:rPr>
  </w:style>
  <w:style w:type="paragraph" w:customStyle="1" w:styleId="FNTextLast">
    <w:name w:val="FN Text Last"/>
    <w:basedOn w:val="Normal"/>
    <w:uiPriority w:val="99"/>
    <w:rsid w:val="004C1C4F"/>
    <w:pPr>
      <w:spacing w:after="240" w:line="240" w:lineRule="auto"/>
      <w:ind w:left="432" w:hanging="432"/>
    </w:pPr>
    <w:rPr>
      <w:rFonts w:ascii="Times New Roman" w:eastAsia="MS Mincho" w:hAnsi="Times New Roman" w:cs="Times New Roman"/>
      <w:sz w:val="20"/>
      <w:szCs w:val="20"/>
      <w:lang w:val="en-US"/>
    </w:rPr>
  </w:style>
  <w:style w:type="paragraph" w:customStyle="1" w:styleId="Exhibits">
    <w:name w:val="Exhibits"/>
    <w:basedOn w:val="Normal"/>
    <w:uiPriority w:val="99"/>
    <w:rsid w:val="004C1C4F"/>
    <w:pPr>
      <w:spacing w:after="120" w:line="240" w:lineRule="auto"/>
      <w:ind w:left="720" w:hanging="720"/>
    </w:pPr>
    <w:rPr>
      <w:rFonts w:ascii="Times New Roman" w:eastAsia="MS Mincho" w:hAnsi="Times New Roman" w:cs="Times New Roman"/>
      <w:sz w:val="20"/>
      <w:szCs w:val="20"/>
      <w:lang w:val="en-US"/>
    </w:rPr>
  </w:style>
  <w:style w:type="paragraph" w:customStyle="1" w:styleId="TablesLeft10pt">
    <w:name w:val="Table#sLeft10pt"/>
    <w:basedOn w:val="Normal"/>
    <w:uiPriority w:val="99"/>
    <w:rsid w:val="004C1C4F"/>
    <w:pPr>
      <w:keepNext/>
      <w:tabs>
        <w:tab w:val="left" w:pos="144"/>
        <w:tab w:val="decimal" w:pos="540"/>
      </w:tabs>
      <w:spacing w:after="0" w:line="240" w:lineRule="auto"/>
    </w:pPr>
    <w:rPr>
      <w:rFonts w:ascii="Times New Roman" w:eastAsia="MS Mincho" w:hAnsi="Times New Roman" w:cs="Times New Roman"/>
      <w:sz w:val="24"/>
      <w:szCs w:val="20"/>
      <w:lang w:val="en-US"/>
    </w:rPr>
  </w:style>
  <w:style w:type="paragraph" w:customStyle="1" w:styleId="DocX97Comment">
    <w:name w:val="DocX97Comment"/>
    <w:basedOn w:val="Normal"/>
    <w:uiPriority w:val="99"/>
    <w:rsid w:val="004C1C4F"/>
    <w:pPr>
      <w:spacing w:after="0" w:line="240" w:lineRule="auto"/>
    </w:pPr>
    <w:rPr>
      <w:rFonts w:ascii="Times New Roman" w:eastAsia="MS Mincho" w:hAnsi="Times New Roman" w:cs="Times New Roman"/>
      <w:b/>
      <w:i/>
      <w:color w:val="FF0000"/>
      <w:sz w:val="16"/>
      <w:szCs w:val="20"/>
      <w:lang w:val="en-US"/>
    </w:rPr>
  </w:style>
  <w:style w:type="paragraph" w:customStyle="1" w:styleId="TableFNs">
    <w:name w:val="TableFN + #s"/>
    <w:basedOn w:val="Normal"/>
    <w:uiPriority w:val="99"/>
    <w:rsid w:val="004C1C4F"/>
    <w:pPr>
      <w:tabs>
        <w:tab w:val="left" w:pos="540"/>
        <w:tab w:val="left" w:pos="10206"/>
        <w:tab w:val="left" w:pos="10348"/>
      </w:tabs>
      <w:spacing w:after="0" w:line="240" w:lineRule="auto"/>
      <w:ind w:right="446" w:hanging="547"/>
    </w:pPr>
    <w:rPr>
      <w:rFonts w:ascii="Times New Roman" w:eastAsia="MS Mincho" w:hAnsi="Times New Roman" w:cs="Times New Roman"/>
      <w:position w:val="8"/>
      <w:sz w:val="16"/>
      <w:szCs w:val="20"/>
      <w:lang w:val="en-US"/>
    </w:rPr>
  </w:style>
  <w:style w:type="paragraph" w:customStyle="1" w:styleId="footnotes8">
    <w:name w:val="footnotes#8"/>
    <w:basedOn w:val="Normal"/>
    <w:uiPriority w:val="99"/>
    <w:rsid w:val="004C1C4F"/>
    <w:pPr>
      <w:keepNext/>
      <w:spacing w:after="30" w:line="240" w:lineRule="auto"/>
      <w:ind w:left="432" w:hanging="432"/>
    </w:pPr>
    <w:rPr>
      <w:rFonts w:ascii="Arial" w:eastAsia="Times New Roman" w:hAnsi="Arial" w:cs="Times New Roman"/>
      <w:sz w:val="16"/>
      <w:szCs w:val="20"/>
      <w:lang w:val="en-US"/>
    </w:rPr>
  </w:style>
  <w:style w:type="paragraph" w:customStyle="1" w:styleId="TableBullets">
    <w:name w:val="Table Bullets"/>
    <w:aliases w:val="tb1"/>
    <w:basedOn w:val="Normal"/>
    <w:uiPriority w:val="99"/>
    <w:rsid w:val="004C1C4F"/>
    <w:pPr>
      <w:tabs>
        <w:tab w:val="num" w:pos="360"/>
      </w:tabs>
      <w:spacing w:before="60" w:after="60" w:line="240" w:lineRule="auto"/>
      <w:ind w:left="360" w:hanging="360"/>
    </w:pPr>
    <w:rPr>
      <w:rFonts w:ascii="Univers" w:eastAsia="Times New Roman" w:hAnsi="Univers" w:cs="Times New Roman"/>
      <w:sz w:val="24"/>
      <w:szCs w:val="20"/>
      <w:lang w:val="en-US"/>
    </w:rPr>
  </w:style>
  <w:style w:type="paragraph" w:customStyle="1" w:styleId="TCLevel1">
    <w:name w:val="T+C Level 1"/>
    <w:basedOn w:val="Normal"/>
    <w:next w:val="TCLevel2"/>
    <w:uiPriority w:val="99"/>
    <w:rsid w:val="004C1C4F"/>
    <w:pPr>
      <w:keepNext/>
      <w:tabs>
        <w:tab w:val="num" w:pos="567"/>
      </w:tabs>
      <w:spacing w:before="140" w:after="0" w:line="290" w:lineRule="auto"/>
      <w:ind w:left="567" w:hanging="567"/>
      <w:outlineLvl w:val="0"/>
    </w:pPr>
    <w:rPr>
      <w:rFonts w:ascii="Arial" w:eastAsia="Times New Roman" w:hAnsi="Arial" w:cs="Times New Roman"/>
      <w:b/>
      <w:kern w:val="20"/>
      <w:sz w:val="20"/>
      <w:szCs w:val="24"/>
      <w:lang w:val="en-US"/>
    </w:rPr>
  </w:style>
  <w:style w:type="paragraph" w:customStyle="1" w:styleId="TCLevel2">
    <w:name w:val="T+C Level 2"/>
    <w:basedOn w:val="Normal"/>
    <w:uiPriority w:val="99"/>
    <w:rsid w:val="004C1C4F"/>
    <w:pPr>
      <w:tabs>
        <w:tab w:val="num" w:pos="1247"/>
      </w:tabs>
      <w:spacing w:after="140" w:line="290" w:lineRule="auto"/>
      <w:ind w:left="1247" w:hanging="680"/>
      <w:outlineLvl w:val="1"/>
    </w:pPr>
    <w:rPr>
      <w:rFonts w:ascii="Arial" w:eastAsia="Times New Roman" w:hAnsi="Arial" w:cs="Times New Roman"/>
      <w:kern w:val="20"/>
      <w:sz w:val="20"/>
      <w:szCs w:val="24"/>
      <w:lang w:val="en-US"/>
    </w:rPr>
  </w:style>
  <w:style w:type="paragraph" w:customStyle="1" w:styleId="Level1">
    <w:name w:val="Level 1"/>
    <w:basedOn w:val="Normal"/>
    <w:next w:val="Normal"/>
    <w:uiPriority w:val="99"/>
    <w:rsid w:val="004C1C4F"/>
    <w:pPr>
      <w:keepNext/>
      <w:tabs>
        <w:tab w:val="num" w:pos="680"/>
      </w:tabs>
      <w:spacing w:before="280" w:after="140" w:line="290" w:lineRule="auto"/>
      <w:ind w:left="680" w:hanging="680"/>
      <w:outlineLvl w:val="0"/>
    </w:pPr>
    <w:rPr>
      <w:rFonts w:ascii="Arial" w:eastAsia="Times New Roman" w:hAnsi="Arial" w:cs="Times New Roman"/>
      <w:b/>
      <w:kern w:val="20"/>
      <w:szCs w:val="24"/>
      <w:lang w:val="es-ES_tradnl"/>
    </w:rPr>
  </w:style>
  <w:style w:type="paragraph" w:customStyle="1" w:styleId="Level3">
    <w:name w:val="Level 3"/>
    <w:basedOn w:val="Normal"/>
    <w:uiPriority w:val="99"/>
    <w:rsid w:val="004C1C4F"/>
    <w:pPr>
      <w:tabs>
        <w:tab w:val="num" w:pos="1361"/>
      </w:tabs>
      <w:spacing w:after="140" w:line="290" w:lineRule="auto"/>
      <w:ind w:left="1361" w:hanging="681"/>
      <w:outlineLvl w:val="2"/>
    </w:pPr>
    <w:rPr>
      <w:rFonts w:ascii="Arial" w:eastAsia="Times New Roman" w:hAnsi="Arial" w:cs="Times New Roman"/>
      <w:kern w:val="20"/>
      <w:sz w:val="20"/>
      <w:szCs w:val="24"/>
      <w:lang w:val="es-ES_tradnl"/>
    </w:rPr>
  </w:style>
  <w:style w:type="paragraph" w:customStyle="1" w:styleId="Parties">
    <w:name w:val="Parties"/>
    <w:basedOn w:val="Normal"/>
    <w:uiPriority w:val="4"/>
    <w:rsid w:val="004C1C4F"/>
    <w:pPr>
      <w:tabs>
        <w:tab w:val="num" w:pos="680"/>
      </w:tabs>
      <w:spacing w:after="140" w:line="290" w:lineRule="auto"/>
      <w:ind w:left="680" w:hanging="680"/>
    </w:pPr>
    <w:rPr>
      <w:rFonts w:ascii="Arial" w:eastAsia="Times New Roman" w:hAnsi="Arial" w:cs="Times New Roman"/>
      <w:kern w:val="20"/>
      <w:sz w:val="20"/>
      <w:szCs w:val="24"/>
      <w:lang w:val="es-ES_tradnl"/>
    </w:rPr>
  </w:style>
  <w:style w:type="paragraph" w:customStyle="1" w:styleId="Recitals">
    <w:name w:val="Recitals"/>
    <w:basedOn w:val="Normal"/>
    <w:uiPriority w:val="4"/>
    <w:rsid w:val="004C1C4F"/>
    <w:pPr>
      <w:tabs>
        <w:tab w:val="num" w:pos="680"/>
      </w:tabs>
      <w:spacing w:after="140" w:line="290" w:lineRule="auto"/>
      <w:ind w:left="680" w:hanging="680"/>
    </w:pPr>
    <w:rPr>
      <w:rFonts w:ascii="Arial" w:eastAsia="Times New Roman" w:hAnsi="Arial" w:cs="Times New Roman"/>
      <w:kern w:val="20"/>
      <w:sz w:val="20"/>
      <w:szCs w:val="24"/>
      <w:lang w:val="es-ES_tradnl"/>
    </w:rPr>
  </w:style>
  <w:style w:type="paragraph" w:customStyle="1" w:styleId="Schedule1">
    <w:name w:val="Schedule 1"/>
    <w:basedOn w:val="Normal"/>
    <w:uiPriority w:val="99"/>
    <w:rsid w:val="004C1C4F"/>
    <w:pPr>
      <w:tabs>
        <w:tab w:val="num" w:pos="680"/>
      </w:tabs>
      <w:spacing w:after="140" w:line="290" w:lineRule="auto"/>
      <w:ind w:left="680" w:hanging="680"/>
      <w:outlineLvl w:val="0"/>
    </w:pPr>
    <w:rPr>
      <w:rFonts w:ascii="Arial" w:eastAsia="Times New Roman" w:hAnsi="Arial" w:cs="Times New Roman"/>
      <w:kern w:val="20"/>
      <w:sz w:val="20"/>
      <w:szCs w:val="24"/>
      <w:lang w:val="es-ES_tradnl"/>
    </w:rPr>
  </w:style>
  <w:style w:type="paragraph" w:customStyle="1" w:styleId="Schedule2">
    <w:name w:val="Schedule 2"/>
    <w:basedOn w:val="Normal"/>
    <w:uiPriority w:val="99"/>
    <w:rsid w:val="004C1C4F"/>
    <w:pPr>
      <w:tabs>
        <w:tab w:val="num" w:pos="680"/>
      </w:tabs>
      <w:spacing w:after="140" w:line="290" w:lineRule="auto"/>
      <w:ind w:left="680" w:hanging="680"/>
      <w:outlineLvl w:val="1"/>
    </w:pPr>
    <w:rPr>
      <w:rFonts w:ascii="Arial" w:eastAsia="Times New Roman" w:hAnsi="Arial" w:cs="Times New Roman"/>
      <w:kern w:val="20"/>
      <w:sz w:val="20"/>
      <w:szCs w:val="24"/>
      <w:lang w:val="es-ES_tradnl"/>
    </w:rPr>
  </w:style>
  <w:style w:type="paragraph" w:customStyle="1" w:styleId="Level7">
    <w:name w:val="Level 7"/>
    <w:basedOn w:val="Normal"/>
    <w:uiPriority w:val="99"/>
    <w:rsid w:val="004C1C4F"/>
    <w:pPr>
      <w:tabs>
        <w:tab w:val="num" w:pos="3288"/>
      </w:tabs>
      <w:spacing w:after="140" w:line="290" w:lineRule="auto"/>
      <w:ind w:left="3288" w:hanging="680"/>
      <w:outlineLvl w:val="6"/>
    </w:pPr>
    <w:rPr>
      <w:rFonts w:ascii="Arial" w:eastAsia="Times New Roman" w:hAnsi="Arial" w:cs="Times New Roman"/>
      <w:kern w:val="20"/>
      <w:sz w:val="20"/>
      <w:szCs w:val="24"/>
      <w:lang w:val="es-ES_tradnl"/>
    </w:rPr>
  </w:style>
  <w:style w:type="paragraph" w:customStyle="1" w:styleId="Level8">
    <w:name w:val="Level 8"/>
    <w:basedOn w:val="Normal"/>
    <w:uiPriority w:val="99"/>
    <w:rsid w:val="004C1C4F"/>
    <w:pPr>
      <w:tabs>
        <w:tab w:val="num" w:pos="3288"/>
      </w:tabs>
      <w:spacing w:after="140" w:line="290" w:lineRule="auto"/>
      <w:ind w:left="3288" w:hanging="680"/>
      <w:outlineLvl w:val="7"/>
    </w:pPr>
    <w:rPr>
      <w:rFonts w:ascii="Arial" w:eastAsia="Times New Roman" w:hAnsi="Arial" w:cs="Times New Roman"/>
      <w:kern w:val="20"/>
      <w:sz w:val="20"/>
      <w:szCs w:val="24"/>
      <w:lang w:val="es-ES_tradnl"/>
    </w:rPr>
  </w:style>
  <w:style w:type="paragraph" w:customStyle="1" w:styleId="Table1">
    <w:name w:val="Table 1"/>
    <w:basedOn w:val="Normal"/>
    <w:uiPriority w:val="99"/>
    <w:rsid w:val="004C1C4F"/>
    <w:pPr>
      <w:tabs>
        <w:tab w:val="num" w:pos="680"/>
      </w:tabs>
      <w:spacing w:before="60" w:after="60" w:line="290" w:lineRule="auto"/>
      <w:ind w:left="680" w:hanging="680"/>
      <w:outlineLvl w:val="0"/>
    </w:pPr>
    <w:rPr>
      <w:rFonts w:ascii="Arial" w:eastAsia="Times New Roman" w:hAnsi="Arial" w:cs="Times New Roman"/>
      <w:kern w:val="20"/>
      <w:sz w:val="20"/>
      <w:szCs w:val="24"/>
      <w:lang w:val="es-ES_tradnl"/>
    </w:rPr>
  </w:style>
  <w:style w:type="paragraph" w:customStyle="1" w:styleId="Table2">
    <w:name w:val="Table 2"/>
    <w:basedOn w:val="Normal"/>
    <w:uiPriority w:val="99"/>
    <w:rsid w:val="004C1C4F"/>
    <w:pPr>
      <w:tabs>
        <w:tab w:val="num" w:pos="680"/>
      </w:tabs>
      <w:spacing w:before="60" w:after="60" w:line="290" w:lineRule="auto"/>
      <w:ind w:left="680" w:hanging="680"/>
      <w:outlineLvl w:val="1"/>
    </w:pPr>
    <w:rPr>
      <w:rFonts w:ascii="Arial" w:eastAsia="Times New Roman" w:hAnsi="Arial" w:cs="Times New Roman"/>
      <w:kern w:val="20"/>
      <w:sz w:val="20"/>
      <w:szCs w:val="24"/>
      <w:lang w:val="es-ES_tradnl"/>
    </w:rPr>
  </w:style>
  <w:style w:type="paragraph" w:customStyle="1" w:styleId="Tablealpha">
    <w:name w:val="Table alpha"/>
    <w:basedOn w:val="Normal"/>
    <w:uiPriority w:val="99"/>
    <w:rsid w:val="004C1C4F"/>
    <w:pPr>
      <w:tabs>
        <w:tab w:val="num" w:pos="680"/>
      </w:tabs>
      <w:spacing w:after="0" w:line="240" w:lineRule="auto"/>
      <w:ind w:left="680" w:hanging="680"/>
    </w:pPr>
    <w:rPr>
      <w:rFonts w:ascii="Times New Roman" w:eastAsia="MS Mincho" w:hAnsi="Times New Roman" w:cs="Times New Roman"/>
      <w:sz w:val="20"/>
      <w:szCs w:val="20"/>
      <w:lang w:val="en-US"/>
    </w:rPr>
  </w:style>
  <w:style w:type="paragraph" w:customStyle="1" w:styleId="doublealpha">
    <w:name w:val="double alpha"/>
    <w:basedOn w:val="Normal"/>
    <w:uiPriority w:val="99"/>
    <w:rsid w:val="004C1C4F"/>
    <w:pPr>
      <w:tabs>
        <w:tab w:val="num" w:pos="680"/>
      </w:tabs>
      <w:spacing w:after="140" w:line="290" w:lineRule="auto"/>
      <w:ind w:left="680" w:hanging="680"/>
    </w:pPr>
    <w:rPr>
      <w:rFonts w:ascii="Arial" w:eastAsia="Times New Roman" w:hAnsi="Arial" w:cs="Times New Roman"/>
      <w:kern w:val="20"/>
      <w:sz w:val="20"/>
      <w:szCs w:val="24"/>
      <w:lang w:val="es-ES_tradnl"/>
    </w:rPr>
  </w:style>
  <w:style w:type="paragraph" w:customStyle="1" w:styleId="single12">
    <w:name w:val="single1/2"/>
    <w:basedOn w:val="Normal"/>
    <w:uiPriority w:val="99"/>
    <w:rsid w:val="004C1C4F"/>
    <w:pPr>
      <w:spacing w:after="240" w:line="240" w:lineRule="auto"/>
      <w:ind w:firstLine="720"/>
    </w:pPr>
    <w:rPr>
      <w:rFonts w:ascii="Univers" w:eastAsia="Times New Roman" w:hAnsi="Univers" w:cs="Times New Roman"/>
      <w:sz w:val="20"/>
      <w:szCs w:val="20"/>
      <w:lang w:val="en-US"/>
    </w:rPr>
  </w:style>
  <w:style w:type="paragraph" w:customStyle="1" w:styleId="bulletind">
    <w:name w:val="bulletind"/>
    <w:basedOn w:val="Normal"/>
    <w:uiPriority w:val="99"/>
    <w:rsid w:val="004C1C4F"/>
    <w:pPr>
      <w:tabs>
        <w:tab w:val="num" w:pos="2786"/>
      </w:tabs>
      <w:spacing w:after="0" w:line="240" w:lineRule="auto"/>
      <w:ind w:left="2786" w:hanging="360"/>
    </w:pPr>
    <w:rPr>
      <w:rFonts w:ascii="Times New Roman" w:eastAsia="Times New Roman" w:hAnsi="Times New Roman" w:cs="Times New Roman"/>
      <w:sz w:val="24"/>
      <w:szCs w:val="24"/>
      <w:lang w:val="en-US"/>
    </w:rPr>
  </w:style>
  <w:style w:type="paragraph" w:customStyle="1" w:styleId="Outline3L3">
    <w:name w:val="Outline3_L3"/>
    <w:basedOn w:val="Outline3L2"/>
    <w:next w:val="CG-SingleSp05"/>
    <w:uiPriority w:val="99"/>
    <w:rsid w:val="004C1C4F"/>
    <w:pPr>
      <w:keepNext w:val="0"/>
      <w:tabs>
        <w:tab w:val="num" w:pos="720"/>
      </w:tabs>
      <w:jc w:val="both"/>
      <w:outlineLvl w:val="2"/>
    </w:pPr>
  </w:style>
  <w:style w:type="paragraph" w:customStyle="1" w:styleId="Outline3L2">
    <w:name w:val="Outline3_L2"/>
    <w:basedOn w:val="Outline3L1"/>
    <w:next w:val="CG-SingleSp05"/>
    <w:uiPriority w:val="99"/>
    <w:rsid w:val="004C1C4F"/>
    <w:pPr>
      <w:tabs>
        <w:tab w:val="num" w:pos="1800"/>
      </w:tabs>
      <w:ind w:left="1800" w:hanging="360"/>
      <w:outlineLvl w:val="1"/>
    </w:pPr>
  </w:style>
  <w:style w:type="paragraph" w:customStyle="1" w:styleId="Outline3L1">
    <w:name w:val="Outline3_L1"/>
    <w:basedOn w:val="Normal"/>
    <w:next w:val="CG-SingleSp05"/>
    <w:uiPriority w:val="99"/>
    <w:rsid w:val="004C1C4F"/>
    <w:pPr>
      <w:keepNext/>
      <w:tabs>
        <w:tab w:val="num" w:pos="360"/>
      </w:tabs>
      <w:spacing w:after="240" w:line="240" w:lineRule="auto"/>
      <w:outlineLvl w:val="0"/>
    </w:pPr>
    <w:rPr>
      <w:rFonts w:ascii="Times New Roman" w:eastAsia="Times New Roman" w:hAnsi="Times New Roman" w:cs="Times New Roman"/>
      <w:sz w:val="20"/>
      <w:szCs w:val="20"/>
      <w:lang w:val="en-US"/>
    </w:rPr>
  </w:style>
  <w:style w:type="paragraph" w:customStyle="1" w:styleId="Outline3L4">
    <w:name w:val="Outline3_L4"/>
    <w:basedOn w:val="Outline3L3"/>
    <w:next w:val="CG-SingleSp05"/>
    <w:uiPriority w:val="99"/>
    <w:rsid w:val="004C1C4F"/>
    <w:pPr>
      <w:outlineLvl w:val="3"/>
    </w:pPr>
    <w:rPr>
      <w:sz w:val="24"/>
    </w:rPr>
  </w:style>
  <w:style w:type="paragraph" w:customStyle="1" w:styleId="Outline3L5">
    <w:name w:val="Outline3_L5"/>
    <w:basedOn w:val="Outline3L4"/>
    <w:next w:val="CG-SingleSp05"/>
    <w:uiPriority w:val="99"/>
    <w:rsid w:val="004C1C4F"/>
  </w:style>
  <w:style w:type="paragraph" w:customStyle="1" w:styleId="TCLevel3">
    <w:name w:val="T+C Level 3"/>
    <w:basedOn w:val="Normal"/>
    <w:uiPriority w:val="99"/>
    <w:rsid w:val="004C1C4F"/>
    <w:pPr>
      <w:tabs>
        <w:tab w:val="num" w:pos="2041"/>
      </w:tabs>
      <w:spacing w:after="140" w:line="290" w:lineRule="auto"/>
      <w:ind w:left="2041" w:hanging="794"/>
      <w:outlineLvl w:val="2"/>
    </w:pPr>
    <w:rPr>
      <w:rFonts w:ascii="Arial" w:eastAsia="Times New Roman" w:hAnsi="Arial" w:cs="Times New Roman"/>
      <w:kern w:val="20"/>
      <w:sz w:val="20"/>
      <w:szCs w:val="24"/>
      <w:lang w:val="en-US"/>
    </w:rPr>
  </w:style>
  <w:style w:type="paragraph" w:customStyle="1" w:styleId="TCLevel4">
    <w:name w:val="T+C Level 4"/>
    <w:basedOn w:val="Normal"/>
    <w:uiPriority w:val="99"/>
    <w:rsid w:val="004C1C4F"/>
    <w:pPr>
      <w:tabs>
        <w:tab w:val="num" w:pos="2722"/>
      </w:tabs>
      <w:spacing w:after="140" w:line="290" w:lineRule="auto"/>
      <w:ind w:left="2722" w:hanging="681"/>
      <w:outlineLvl w:val="3"/>
    </w:pPr>
    <w:rPr>
      <w:rFonts w:ascii="Arial" w:eastAsia="Times New Roman" w:hAnsi="Arial" w:cs="Times New Roman"/>
      <w:kern w:val="20"/>
      <w:sz w:val="20"/>
      <w:szCs w:val="24"/>
      <w:lang w:val="en-US"/>
    </w:rPr>
  </w:style>
  <w:style w:type="paragraph" w:customStyle="1" w:styleId="Level4">
    <w:name w:val="Level 4"/>
    <w:basedOn w:val="Normal"/>
    <w:uiPriority w:val="99"/>
    <w:rsid w:val="004C1C4F"/>
    <w:pPr>
      <w:tabs>
        <w:tab w:val="num" w:pos="2041"/>
      </w:tabs>
      <w:spacing w:after="140" w:line="290" w:lineRule="auto"/>
      <w:ind w:left="2041" w:hanging="680"/>
      <w:outlineLvl w:val="3"/>
    </w:pPr>
    <w:rPr>
      <w:rFonts w:ascii="Arial" w:eastAsia="Times New Roman" w:hAnsi="Arial" w:cs="Times New Roman"/>
      <w:kern w:val="20"/>
      <w:sz w:val="20"/>
      <w:szCs w:val="24"/>
      <w:lang w:val="es-ES_tradnl"/>
    </w:rPr>
  </w:style>
  <w:style w:type="paragraph" w:customStyle="1" w:styleId="Level5">
    <w:name w:val="Level 5"/>
    <w:basedOn w:val="Normal"/>
    <w:uiPriority w:val="99"/>
    <w:rsid w:val="004C1C4F"/>
    <w:pPr>
      <w:tabs>
        <w:tab w:val="num" w:pos="2608"/>
      </w:tabs>
      <w:spacing w:after="140" w:line="290" w:lineRule="auto"/>
      <w:ind w:left="2608" w:hanging="567"/>
      <w:outlineLvl w:val="4"/>
    </w:pPr>
    <w:rPr>
      <w:rFonts w:ascii="Arial" w:eastAsia="Times New Roman" w:hAnsi="Arial" w:cs="Times New Roman"/>
      <w:kern w:val="20"/>
      <w:sz w:val="20"/>
      <w:szCs w:val="24"/>
      <w:lang w:val="es-ES_tradnl"/>
    </w:rPr>
  </w:style>
  <w:style w:type="paragraph" w:customStyle="1" w:styleId="Level6">
    <w:name w:val="Level 6"/>
    <w:basedOn w:val="Normal"/>
    <w:uiPriority w:val="99"/>
    <w:rsid w:val="004C1C4F"/>
    <w:pPr>
      <w:tabs>
        <w:tab w:val="num" w:pos="3288"/>
      </w:tabs>
      <w:spacing w:after="140" w:line="290" w:lineRule="auto"/>
      <w:ind w:left="3288" w:hanging="680"/>
      <w:outlineLvl w:val="5"/>
    </w:pPr>
    <w:rPr>
      <w:rFonts w:ascii="Arial" w:eastAsia="Times New Roman" w:hAnsi="Arial" w:cs="Times New Roman"/>
      <w:kern w:val="20"/>
      <w:sz w:val="20"/>
      <w:szCs w:val="24"/>
      <w:lang w:val="es-ES_tradnl"/>
    </w:rPr>
  </w:style>
  <w:style w:type="paragraph" w:customStyle="1" w:styleId="Schedule3">
    <w:name w:val="Schedule 3"/>
    <w:basedOn w:val="Normal"/>
    <w:uiPriority w:val="99"/>
    <w:rsid w:val="004C1C4F"/>
    <w:pPr>
      <w:tabs>
        <w:tab w:val="num" w:pos="1361"/>
      </w:tabs>
      <w:spacing w:after="140" w:line="290" w:lineRule="auto"/>
      <w:ind w:left="1361" w:hanging="681"/>
      <w:outlineLvl w:val="2"/>
    </w:pPr>
    <w:rPr>
      <w:rFonts w:ascii="Arial" w:eastAsia="Times New Roman" w:hAnsi="Arial" w:cs="Times New Roman"/>
      <w:kern w:val="20"/>
      <w:sz w:val="20"/>
      <w:szCs w:val="24"/>
      <w:lang w:val="es-ES_tradnl"/>
    </w:rPr>
  </w:style>
  <w:style w:type="paragraph" w:customStyle="1" w:styleId="Schedule4">
    <w:name w:val="Schedule 4"/>
    <w:basedOn w:val="Normal"/>
    <w:uiPriority w:val="99"/>
    <w:rsid w:val="004C1C4F"/>
    <w:pPr>
      <w:tabs>
        <w:tab w:val="num" w:pos="2041"/>
      </w:tabs>
      <w:spacing w:after="140" w:line="290" w:lineRule="auto"/>
      <w:ind w:left="2041" w:hanging="680"/>
      <w:outlineLvl w:val="3"/>
    </w:pPr>
    <w:rPr>
      <w:rFonts w:ascii="Arial" w:eastAsia="Times New Roman" w:hAnsi="Arial" w:cs="Times New Roman"/>
      <w:kern w:val="20"/>
      <w:sz w:val="20"/>
      <w:szCs w:val="24"/>
      <w:lang w:val="es-ES_tradnl"/>
    </w:rPr>
  </w:style>
  <w:style w:type="paragraph" w:customStyle="1" w:styleId="Schedule5">
    <w:name w:val="Schedule 5"/>
    <w:basedOn w:val="Normal"/>
    <w:uiPriority w:val="99"/>
    <w:rsid w:val="004C1C4F"/>
    <w:pPr>
      <w:tabs>
        <w:tab w:val="num" w:pos="2608"/>
      </w:tabs>
      <w:spacing w:after="140" w:line="290" w:lineRule="auto"/>
      <w:ind w:left="2608" w:hanging="567"/>
      <w:outlineLvl w:val="4"/>
    </w:pPr>
    <w:rPr>
      <w:rFonts w:ascii="Arial" w:eastAsia="Times New Roman" w:hAnsi="Arial" w:cs="Times New Roman"/>
      <w:kern w:val="20"/>
      <w:sz w:val="20"/>
      <w:szCs w:val="24"/>
      <w:lang w:val="es-ES_tradnl"/>
    </w:rPr>
  </w:style>
  <w:style w:type="paragraph" w:customStyle="1" w:styleId="Schedule6">
    <w:name w:val="Schedule 6"/>
    <w:basedOn w:val="Normal"/>
    <w:uiPriority w:val="99"/>
    <w:rsid w:val="004C1C4F"/>
    <w:pPr>
      <w:tabs>
        <w:tab w:val="num" w:pos="3288"/>
      </w:tabs>
      <w:spacing w:after="140" w:line="290" w:lineRule="auto"/>
      <w:ind w:left="3288" w:hanging="680"/>
      <w:outlineLvl w:val="5"/>
    </w:pPr>
    <w:rPr>
      <w:rFonts w:ascii="Arial" w:eastAsia="Times New Roman" w:hAnsi="Arial" w:cs="Times New Roman"/>
      <w:kern w:val="20"/>
      <w:sz w:val="20"/>
      <w:szCs w:val="24"/>
      <w:lang w:val="es-ES_tradnl"/>
    </w:rPr>
  </w:style>
  <w:style w:type="paragraph" w:customStyle="1" w:styleId="Level9">
    <w:name w:val="Level 9"/>
    <w:basedOn w:val="Normal"/>
    <w:uiPriority w:val="99"/>
    <w:rsid w:val="004C1C4F"/>
    <w:pPr>
      <w:tabs>
        <w:tab w:val="num" w:pos="3288"/>
      </w:tabs>
      <w:spacing w:after="140" w:line="290" w:lineRule="auto"/>
      <w:ind w:left="3288" w:hanging="680"/>
      <w:outlineLvl w:val="8"/>
    </w:pPr>
    <w:rPr>
      <w:rFonts w:ascii="Arial" w:eastAsia="Times New Roman" w:hAnsi="Arial" w:cs="Times New Roman"/>
      <w:kern w:val="20"/>
      <w:sz w:val="20"/>
      <w:szCs w:val="24"/>
      <w:lang w:val="es-ES_tradnl"/>
    </w:rPr>
  </w:style>
  <w:style w:type="paragraph" w:customStyle="1" w:styleId="Table3">
    <w:name w:val="Table 3"/>
    <w:basedOn w:val="Normal"/>
    <w:uiPriority w:val="99"/>
    <w:rsid w:val="004C1C4F"/>
    <w:pPr>
      <w:tabs>
        <w:tab w:val="num" w:pos="680"/>
      </w:tabs>
      <w:spacing w:before="60" w:after="60" w:line="290" w:lineRule="auto"/>
      <w:ind w:left="680" w:hanging="680"/>
      <w:outlineLvl w:val="2"/>
    </w:pPr>
    <w:rPr>
      <w:rFonts w:ascii="Arial" w:eastAsia="Times New Roman" w:hAnsi="Arial" w:cs="Times New Roman"/>
      <w:kern w:val="20"/>
      <w:sz w:val="20"/>
      <w:szCs w:val="24"/>
      <w:lang w:val="es-ES_tradnl"/>
    </w:rPr>
  </w:style>
  <w:style w:type="paragraph" w:customStyle="1" w:styleId="Table4">
    <w:name w:val="Table 4"/>
    <w:basedOn w:val="Normal"/>
    <w:uiPriority w:val="99"/>
    <w:rsid w:val="004C1C4F"/>
    <w:pPr>
      <w:tabs>
        <w:tab w:val="num" w:pos="680"/>
      </w:tabs>
      <w:spacing w:before="60" w:after="60" w:line="290" w:lineRule="auto"/>
      <w:ind w:left="680" w:hanging="680"/>
      <w:outlineLvl w:val="3"/>
    </w:pPr>
    <w:rPr>
      <w:rFonts w:ascii="Arial" w:eastAsia="Times New Roman" w:hAnsi="Arial" w:cs="Times New Roman"/>
      <w:kern w:val="20"/>
      <w:sz w:val="20"/>
      <w:szCs w:val="24"/>
      <w:lang w:val="es-ES_tradnl"/>
    </w:rPr>
  </w:style>
  <w:style w:type="paragraph" w:customStyle="1" w:styleId="Table5">
    <w:name w:val="Table 5"/>
    <w:basedOn w:val="Normal"/>
    <w:uiPriority w:val="99"/>
    <w:rsid w:val="004C1C4F"/>
    <w:pPr>
      <w:tabs>
        <w:tab w:val="num" w:pos="680"/>
      </w:tabs>
      <w:spacing w:before="60" w:after="60" w:line="290" w:lineRule="auto"/>
      <w:ind w:left="680" w:hanging="680"/>
      <w:outlineLvl w:val="4"/>
    </w:pPr>
    <w:rPr>
      <w:rFonts w:ascii="Arial" w:eastAsia="Times New Roman" w:hAnsi="Arial" w:cs="Times New Roman"/>
      <w:kern w:val="20"/>
      <w:sz w:val="20"/>
      <w:szCs w:val="24"/>
      <w:lang w:val="es-ES_tradnl"/>
    </w:rPr>
  </w:style>
  <w:style w:type="paragraph" w:customStyle="1" w:styleId="Table6">
    <w:name w:val="Table 6"/>
    <w:basedOn w:val="Normal"/>
    <w:uiPriority w:val="99"/>
    <w:rsid w:val="004C1C4F"/>
    <w:pPr>
      <w:tabs>
        <w:tab w:val="num" w:pos="680"/>
      </w:tabs>
      <w:spacing w:before="60" w:after="60" w:line="290" w:lineRule="auto"/>
      <w:ind w:left="680" w:hanging="680"/>
      <w:outlineLvl w:val="5"/>
    </w:pPr>
    <w:rPr>
      <w:rFonts w:ascii="Arial" w:eastAsia="Times New Roman" w:hAnsi="Arial" w:cs="Times New Roman"/>
      <w:kern w:val="20"/>
      <w:sz w:val="20"/>
      <w:szCs w:val="24"/>
      <w:lang w:val="es-ES_tradnl"/>
    </w:rPr>
  </w:style>
  <w:style w:type="paragraph" w:customStyle="1" w:styleId="tfn">
    <w:name w:val="tfn"/>
    <w:aliases w:val="Tablefootnote"/>
    <w:basedOn w:val="Normal"/>
    <w:uiPriority w:val="99"/>
    <w:rsid w:val="004C1C4F"/>
    <w:pPr>
      <w:spacing w:before="60" w:after="0" w:line="170" w:lineRule="exact"/>
      <w:ind w:left="900" w:hanging="547"/>
      <w:outlineLvl w:val="0"/>
    </w:pPr>
    <w:rPr>
      <w:rFonts w:ascii="Times New Roman" w:eastAsia="Times New Roman" w:hAnsi="Times New Roman" w:cs="Times New Roman"/>
      <w:sz w:val="16"/>
      <w:szCs w:val="20"/>
      <w:lang w:val="en-US"/>
    </w:rPr>
  </w:style>
  <w:style w:type="paragraph" w:customStyle="1" w:styleId="italfn">
    <w:name w:val="ital f/n"/>
    <w:aliases w:val="ifn"/>
    <w:basedOn w:val="Textonotapie"/>
    <w:uiPriority w:val="99"/>
    <w:rsid w:val="004C1C4F"/>
    <w:rPr>
      <w:rFonts w:cs="Arial"/>
      <w:sz w:val="16"/>
      <w:lang w:val="x-none" w:eastAsia="x-none"/>
    </w:rPr>
  </w:style>
  <w:style w:type="paragraph" w:customStyle="1" w:styleId="Tableheading">
    <w:name w:val="Tableheading"/>
    <w:basedOn w:val="Normal"/>
    <w:uiPriority w:val="99"/>
    <w:rsid w:val="004C1C4F"/>
    <w:pPr>
      <w:spacing w:after="0" w:line="240" w:lineRule="auto"/>
      <w:jc w:val="center"/>
    </w:pPr>
    <w:rPr>
      <w:rFonts w:ascii="Times New Roman" w:eastAsia="Times New Roman" w:hAnsi="Times New Roman" w:cs="Times New Roman"/>
      <w:b/>
      <w:sz w:val="24"/>
      <w:szCs w:val="20"/>
      <w:lang w:val="en-US"/>
    </w:rPr>
  </w:style>
  <w:style w:type="paragraph" w:customStyle="1" w:styleId="footnotes">
    <w:name w:val="footnotes#"/>
    <w:basedOn w:val="SingleSpace"/>
    <w:uiPriority w:val="99"/>
    <w:rsid w:val="004C1C4F"/>
    <w:pPr>
      <w:autoSpaceDE/>
      <w:autoSpaceDN/>
      <w:spacing w:after="0" w:line="180" w:lineRule="exact"/>
      <w:ind w:left="540" w:hanging="540"/>
      <w:jc w:val="both"/>
    </w:pPr>
    <w:rPr>
      <w:rFonts w:eastAsia="Times New Roman"/>
      <w:sz w:val="16"/>
      <w:szCs w:val="20"/>
    </w:rPr>
  </w:style>
  <w:style w:type="paragraph" w:customStyle="1" w:styleId="inciso">
    <w:name w:val="inciso"/>
    <w:basedOn w:val="Normal"/>
    <w:uiPriority w:val="99"/>
    <w:rsid w:val="004C1C4F"/>
    <w:pPr>
      <w:spacing w:after="101" w:line="216" w:lineRule="atLeast"/>
      <w:ind w:left="1080" w:hanging="360"/>
    </w:pPr>
    <w:rPr>
      <w:rFonts w:ascii="Arial" w:eastAsia="Times New Roman" w:hAnsi="Arial" w:cs="Arial"/>
      <w:sz w:val="18"/>
      <w:szCs w:val="18"/>
      <w:lang w:val="es-MX" w:eastAsia="es-MX"/>
    </w:rPr>
  </w:style>
  <w:style w:type="paragraph" w:customStyle="1" w:styleId="a0">
    <w:name w:val="a."/>
    <w:basedOn w:val="Normal"/>
    <w:uiPriority w:val="99"/>
    <w:rsid w:val="004C1C4F"/>
    <w:pPr>
      <w:keepNext/>
      <w:keepLines/>
      <w:tabs>
        <w:tab w:val="left" w:pos="360"/>
        <w:tab w:val="num" w:pos="1004"/>
      </w:tabs>
      <w:spacing w:after="240" w:line="240" w:lineRule="auto"/>
      <w:ind w:left="1004" w:hanging="720"/>
    </w:pPr>
    <w:rPr>
      <w:rFonts w:ascii="Times New Roman" w:eastAsia="MS Mincho" w:hAnsi="Times New Roman" w:cs="Times New Roman"/>
      <w:i/>
      <w:iCs/>
      <w:sz w:val="24"/>
      <w:szCs w:val="20"/>
      <w:lang w:val="en-US"/>
    </w:rPr>
  </w:style>
  <w:style w:type="paragraph" w:customStyle="1" w:styleId="LTNormal">
    <w:name w:val="LT Normal"/>
    <w:uiPriority w:val="99"/>
    <w:rsid w:val="004C1C4F"/>
    <w:pPr>
      <w:spacing w:line="240" w:lineRule="auto"/>
      <w:jc w:val="both"/>
    </w:pPr>
    <w:rPr>
      <w:rFonts w:ascii="Times New Roman" w:eastAsia="Times New Roman" w:hAnsi="Times New Roman" w:cs="Times New Roman"/>
      <w:szCs w:val="24"/>
      <w:lang w:val="en-US"/>
    </w:rPr>
  </w:style>
  <w:style w:type="paragraph" w:customStyle="1" w:styleId="LTSalutation">
    <w:name w:val="LT Salutation"/>
    <w:next w:val="LTNormal"/>
    <w:uiPriority w:val="99"/>
    <w:rsid w:val="004C1C4F"/>
    <w:pPr>
      <w:spacing w:after="360" w:line="240" w:lineRule="auto"/>
    </w:pPr>
    <w:rPr>
      <w:rFonts w:ascii="Times New Roman" w:eastAsia="Times New Roman" w:hAnsi="Times New Roman" w:cs="Times New Roman"/>
      <w:szCs w:val="24"/>
      <w:lang w:val="en-US"/>
    </w:rPr>
  </w:style>
  <w:style w:type="paragraph" w:customStyle="1" w:styleId="LTSalutation1">
    <w:name w:val="LT Salutation 1"/>
    <w:uiPriority w:val="99"/>
    <w:rsid w:val="004C1C4F"/>
    <w:pPr>
      <w:spacing w:after="0" w:line="240" w:lineRule="auto"/>
    </w:pPr>
    <w:rPr>
      <w:rFonts w:ascii="Times New Roman" w:eastAsia="Times New Roman" w:hAnsi="Times New Roman" w:cs="Times New Roman"/>
      <w:lang w:val="en-US"/>
    </w:rPr>
  </w:style>
  <w:style w:type="paragraph" w:customStyle="1" w:styleId="LTReportHeading">
    <w:name w:val="LT Report Heading"/>
    <w:basedOn w:val="Normal"/>
    <w:uiPriority w:val="99"/>
    <w:rsid w:val="004C1C4F"/>
    <w:pPr>
      <w:spacing w:after="0" w:line="240" w:lineRule="auto"/>
    </w:pPr>
    <w:rPr>
      <w:rFonts w:ascii="Times New Roman" w:eastAsia="Times New Roman" w:hAnsi="Times New Roman" w:cs="Times New Roman"/>
      <w:b/>
      <w:szCs w:val="24"/>
      <w:lang w:val="en-US"/>
    </w:rPr>
  </w:style>
  <w:style w:type="paragraph" w:customStyle="1" w:styleId="Corporate1L1">
    <w:name w:val="Corporate1_L1"/>
    <w:basedOn w:val="Normal"/>
    <w:next w:val="Normal"/>
    <w:uiPriority w:val="99"/>
    <w:rsid w:val="004C1C4F"/>
    <w:pPr>
      <w:keepNext/>
      <w:spacing w:after="240" w:line="240" w:lineRule="auto"/>
      <w:jc w:val="center"/>
      <w:outlineLvl w:val="0"/>
    </w:pPr>
    <w:rPr>
      <w:rFonts w:ascii="Times New Roman" w:eastAsia="Times New Roman" w:hAnsi="Times New Roman" w:cs="Times New Roman"/>
      <w:sz w:val="24"/>
      <w:szCs w:val="20"/>
      <w:lang w:val="en-US"/>
    </w:rPr>
  </w:style>
  <w:style w:type="paragraph" w:customStyle="1" w:styleId="Body1">
    <w:name w:val="Body 1"/>
    <w:uiPriority w:val="99"/>
    <w:rsid w:val="004C1C4F"/>
    <w:pPr>
      <w:spacing w:after="0" w:line="240" w:lineRule="auto"/>
      <w:outlineLvl w:val="0"/>
    </w:pPr>
    <w:rPr>
      <w:rFonts w:ascii="Arial" w:eastAsia="ヒラギノ角ゴ Pro W3" w:hAnsi="Arial" w:cs="Times New Roman"/>
      <w:color w:val="000000"/>
      <w:sz w:val="20"/>
      <w:szCs w:val="20"/>
      <w:lang w:val="en-US" w:eastAsia="es-MX"/>
    </w:rPr>
  </w:style>
  <w:style w:type="paragraph" w:customStyle="1" w:styleId="Titleb0">
    <w:name w:val="Titleb"/>
    <w:basedOn w:val="BodyText2Sgl"/>
    <w:uiPriority w:val="99"/>
    <w:qFormat/>
    <w:rsid w:val="004C1C4F"/>
    <w:rPr>
      <w:rFonts w:ascii="Times New Roman Bold" w:hAnsi="Times New Roman Bold" w:cs="Arial"/>
      <w:b/>
      <w:i/>
    </w:rPr>
  </w:style>
  <w:style w:type="paragraph" w:customStyle="1" w:styleId="BodyTextContinued">
    <w:name w:val="Body Text Continued"/>
    <w:basedOn w:val="Normal"/>
    <w:next w:val="Textoindependiente"/>
    <w:uiPriority w:val="1"/>
    <w:semiHidden/>
    <w:rsid w:val="004C1C4F"/>
    <w:pPr>
      <w:spacing w:after="240" w:line="240" w:lineRule="auto"/>
    </w:pPr>
    <w:rPr>
      <w:rFonts w:ascii="Times New Roman" w:eastAsia="Times New Roman" w:hAnsi="Times New Roman" w:cs="Times New Roman"/>
      <w:sz w:val="24"/>
      <w:szCs w:val="20"/>
      <w:lang w:val="en-US"/>
    </w:rPr>
  </w:style>
  <w:style w:type="paragraph" w:customStyle="1" w:styleId="BodyUSOC">
    <w:name w:val="Body_US_OC"/>
    <w:basedOn w:val="Normal"/>
    <w:link w:val="BodyUSOCChar"/>
    <w:rsid w:val="004C1C4F"/>
    <w:pPr>
      <w:spacing w:after="120" w:line="240" w:lineRule="exact"/>
      <w:ind w:firstLine="432"/>
    </w:pPr>
    <w:rPr>
      <w:rFonts w:ascii="Times New Roman" w:eastAsia="Times New Roman" w:hAnsi="Times New Roman" w:cs="Times New Roman"/>
      <w:sz w:val="21"/>
      <w:szCs w:val="20"/>
      <w:lang w:val="en-GB" w:eastAsia="x-none"/>
    </w:rPr>
  </w:style>
  <w:style w:type="character" w:customStyle="1" w:styleId="ItalStyle">
    <w:name w:val="Ital Style"/>
    <w:uiPriority w:val="1"/>
    <w:qFormat/>
    <w:rsid w:val="004C1C4F"/>
    <w:rPr>
      <w:rFonts w:ascii="Times New Roman" w:hAnsi="Times New Roman"/>
      <w:i/>
      <w:sz w:val="20"/>
      <w:lang w:val="es-MX"/>
    </w:rPr>
  </w:style>
  <w:style w:type="table" w:customStyle="1" w:styleId="TableGrid44">
    <w:name w:val="Table Grid44"/>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Sinlista"/>
    <w:uiPriority w:val="99"/>
    <w:semiHidden/>
    <w:unhideWhenUsed/>
    <w:rsid w:val="004C1C4F"/>
  </w:style>
  <w:style w:type="paragraph" w:customStyle="1" w:styleId="BTSJNSBodyTextSglJNoSpace">
    <w:name w:val="BTSJNS Body Text Sgl J No Space"/>
    <w:basedOn w:val="Normal"/>
    <w:uiPriority w:val="99"/>
    <w:qFormat/>
    <w:rsid w:val="004C1C4F"/>
    <w:pPr>
      <w:spacing w:after="0" w:line="240" w:lineRule="auto"/>
      <w:jc w:val="both"/>
    </w:pPr>
    <w:rPr>
      <w:rFonts w:ascii="Times New Roman" w:eastAsia="Calibri" w:hAnsi="Times New Roman" w:cs="Arial"/>
      <w:szCs w:val="24"/>
      <w:lang w:val="en-US"/>
    </w:rPr>
  </w:style>
  <w:style w:type="paragraph" w:customStyle="1" w:styleId="BTFLBodyTextFirstLine5SglJ">
    <w:name w:val="BTFL Body Text First Line .5 Sgl J"/>
    <w:basedOn w:val="BTSJNSBodyTextSglJNoSpace"/>
    <w:uiPriority w:val="99"/>
    <w:qFormat/>
    <w:rsid w:val="004C1C4F"/>
    <w:pPr>
      <w:spacing w:after="240"/>
      <w:ind w:firstLine="720"/>
    </w:pPr>
  </w:style>
  <w:style w:type="paragraph" w:customStyle="1" w:styleId="BTFLLBodyTextFirstLine5SglJLead">
    <w:name w:val="BTFLL Body Text First Line .5 Sgl J Lead"/>
    <w:basedOn w:val="BTFLBodyTextFirstLine5SglJ"/>
    <w:uiPriority w:val="99"/>
    <w:qFormat/>
    <w:rsid w:val="004C1C4F"/>
    <w:pPr>
      <w:spacing w:before="240"/>
    </w:pPr>
  </w:style>
  <w:style w:type="paragraph" w:customStyle="1" w:styleId="BTSJBodyTextSglJ">
    <w:name w:val="BTSJ Body Text Sgl J"/>
    <w:basedOn w:val="Normal"/>
    <w:uiPriority w:val="99"/>
    <w:qFormat/>
    <w:rsid w:val="004C1C4F"/>
    <w:pPr>
      <w:spacing w:after="240" w:line="240" w:lineRule="auto"/>
      <w:jc w:val="both"/>
    </w:pPr>
    <w:rPr>
      <w:rFonts w:ascii="Times New Roman" w:eastAsia="Calibri" w:hAnsi="Times New Roman" w:cs="Arial"/>
      <w:szCs w:val="24"/>
      <w:lang w:val="en-US"/>
    </w:rPr>
  </w:style>
  <w:style w:type="paragraph" w:customStyle="1" w:styleId="BTRJBodyTextSglRightJ">
    <w:name w:val="BTRJ Body Text Sgl Right J"/>
    <w:basedOn w:val="BTSJBodyTextSglJ"/>
    <w:uiPriority w:val="99"/>
    <w:qFormat/>
    <w:rsid w:val="004C1C4F"/>
    <w:pPr>
      <w:jc w:val="right"/>
    </w:pPr>
  </w:style>
  <w:style w:type="paragraph" w:customStyle="1" w:styleId="BTSJLBodyTextSglJLead">
    <w:name w:val="BTSJL Body Text Sgl J Lead"/>
    <w:basedOn w:val="BTSJBodyTextSglJ"/>
    <w:uiPriority w:val="99"/>
    <w:qFormat/>
    <w:rsid w:val="004C1C4F"/>
    <w:pPr>
      <w:spacing w:before="240"/>
    </w:pPr>
  </w:style>
  <w:style w:type="paragraph" w:customStyle="1" w:styleId="BTSJNSLBodyTextSglJNoSpaceLead">
    <w:name w:val="BTSJNSL Body Text Sgl J No Space Lead"/>
    <w:basedOn w:val="BTSJNSBodyTextSglJNoSpace"/>
    <w:uiPriority w:val="99"/>
    <w:qFormat/>
    <w:rsid w:val="004C1C4F"/>
    <w:pPr>
      <w:spacing w:before="240"/>
    </w:pPr>
  </w:style>
  <w:style w:type="numbering" w:customStyle="1" w:styleId="NoList112">
    <w:name w:val="No List112"/>
    <w:next w:val="Sinlista"/>
    <w:uiPriority w:val="99"/>
    <w:semiHidden/>
    <w:unhideWhenUsed/>
    <w:rsid w:val="004C1C4F"/>
  </w:style>
  <w:style w:type="table" w:customStyle="1" w:styleId="MediumList1-Accent21">
    <w:name w:val="Medium List 1 - Accent 21"/>
    <w:basedOn w:val="Tablanormal"/>
    <w:next w:val="Sombreadoclaro-nfasis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51">
    <w:name w:val="Medium List 1 - Accent 51"/>
    <w:basedOn w:val="Tablanormal"/>
    <w:next w:val="Sombreadoclaro-nfasis6"/>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anormal"/>
    <w:next w:val="nfasissutil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numbering" w:customStyle="1" w:styleId="NoList1111">
    <w:name w:val="No List1111"/>
    <w:next w:val="Sinlista"/>
    <w:semiHidden/>
    <w:rsid w:val="004C1C4F"/>
  </w:style>
  <w:style w:type="numbering" w:customStyle="1" w:styleId="NoList211">
    <w:name w:val="No List211"/>
    <w:next w:val="Sinlista"/>
    <w:semiHidden/>
    <w:rsid w:val="004C1C4F"/>
  </w:style>
  <w:style w:type="numbering" w:customStyle="1" w:styleId="Sinlista11">
    <w:name w:val="Sin lista11"/>
    <w:next w:val="Sinlista"/>
    <w:uiPriority w:val="99"/>
    <w:semiHidden/>
    <w:unhideWhenUsed/>
    <w:rsid w:val="004C1C4F"/>
  </w:style>
  <w:style w:type="numbering" w:customStyle="1" w:styleId="NoList311">
    <w:name w:val="No List311"/>
    <w:next w:val="Sinlista"/>
    <w:uiPriority w:val="99"/>
    <w:semiHidden/>
    <w:unhideWhenUsed/>
    <w:rsid w:val="004C1C4F"/>
  </w:style>
  <w:style w:type="numbering" w:customStyle="1" w:styleId="NoList51">
    <w:name w:val="No List51"/>
    <w:next w:val="Sinlista"/>
    <w:uiPriority w:val="99"/>
    <w:semiHidden/>
    <w:unhideWhenUsed/>
    <w:rsid w:val="004C1C4F"/>
  </w:style>
  <w:style w:type="numbering" w:customStyle="1" w:styleId="NoList121">
    <w:name w:val="No List121"/>
    <w:next w:val="Sinlista"/>
    <w:uiPriority w:val="99"/>
    <w:semiHidden/>
    <w:unhideWhenUsed/>
    <w:rsid w:val="004C1C4F"/>
  </w:style>
  <w:style w:type="table" w:customStyle="1" w:styleId="MediumList1-Accent22">
    <w:name w:val="Medium List 1 - Accent 22"/>
    <w:basedOn w:val="Tablanormal"/>
    <w:next w:val="Sombreadoclaro-nfasis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52">
    <w:name w:val="Medium List 1 - Accent 52"/>
    <w:basedOn w:val="Tablanormal"/>
    <w:next w:val="Sombreadoclaro-nfasis6"/>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anormal"/>
    <w:next w:val="nfasissutil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numbering" w:customStyle="1" w:styleId="NoList1121">
    <w:name w:val="No List1121"/>
    <w:next w:val="Sinlista"/>
    <w:semiHidden/>
    <w:rsid w:val="004C1C4F"/>
  </w:style>
  <w:style w:type="numbering" w:customStyle="1" w:styleId="NoList221">
    <w:name w:val="No List221"/>
    <w:next w:val="Sinlista"/>
    <w:semiHidden/>
    <w:rsid w:val="004C1C4F"/>
  </w:style>
  <w:style w:type="numbering" w:customStyle="1" w:styleId="Sinlista12">
    <w:name w:val="Sin lista12"/>
    <w:next w:val="Sinlista"/>
    <w:uiPriority w:val="99"/>
    <w:semiHidden/>
    <w:unhideWhenUsed/>
    <w:rsid w:val="004C1C4F"/>
  </w:style>
  <w:style w:type="numbering" w:customStyle="1" w:styleId="NoList32">
    <w:name w:val="No List32"/>
    <w:next w:val="Sinlista"/>
    <w:uiPriority w:val="99"/>
    <w:semiHidden/>
    <w:unhideWhenUsed/>
    <w:rsid w:val="004C1C4F"/>
  </w:style>
  <w:style w:type="character" w:customStyle="1" w:styleId="Table6pt">
    <w:name w:val="Table 6pt"/>
    <w:uiPriority w:val="1"/>
    <w:qFormat/>
    <w:rsid w:val="004C1C4F"/>
    <w:rPr>
      <w:rFonts w:ascii="Times New Roman" w:hAnsi="Times New Roman"/>
      <w:b w:val="0"/>
      <w:i w:val="0"/>
      <w:sz w:val="12"/>
    </w:rPr>
  </w:style>
  <w:style w:type="paragraph" w:customStyle="1" w:styleId="Bodyitalic">
    <w:name w:val="Body italic"/>
    <w:basedOn w:val="Normal"/>
    <w:uiPriority w:val="99"/>
    <w:qFormat/>
    <w:rsid w:val="004C1C4F"/>
    <w:pPr>
      <w:spacing w:after="240" w:line="240" w:lineRule="auto"/>
      <w:ind w:firstLine="720"/>
    </w:pPr>
    <w:rPr>
      <w:rFonts w:ascii="Times New Roman" w:eastAsia="Calibri" w:hAnsi="Times New Roman" w:cs="Times New Roman"/>
      <w:i/>
      <w:sz w:val="20"/>
      <w:szCs w:val="20"/>
      <w:lang w:val="en-US" w:eastAsia="en-GB" w:bidi="ar-AE"/>
    </w:rPr>
  </w:style>
  <w:style w:type="character" w:customStyle="1" w:styleId="table10">
    <w:name w:val="table 10"/>
    <w:uiPriority w:val="1"/>
    <w:qFormat/>
    <w:rsid w:val="004C1C4F"/>
    <w:rPr>
      <w:b w:val="0"/>
      <w:sz w:val="20"/>
    </w:rPr>
  </w:style>
  <w:style w:type="character" w:customStyle="1" w:styleId="apple-converted-space">
    <w:name w:val="apple-converted-space"/>
    <w:rsid w:val="004C1C4F"/>
  </w:style>
  <w:style w:type="paragraph" w:customStyle="1" w:styleId="BlockText75Sgl">
    <w:name w:val="Block Text .75 Sgl"/>
    <w:basedOn w:val="Normal"/>
    <w:uiPriority w:val="99"/>
    <w:qFormat/>
    <w:rsid w:val="004C1C4F"/>
    <w:pPr>
      <w:spacing w:after="240" w:line="240" w:lineRule="auto"/>
      <w:ind w:left="1080"/>
    </w:pPr>
    <w:rPr>
      <w:rFonts w:ascii="Times New Roman" w:eastAsia="Calibri" w:hAnsi="Times New Roman" w:cs="Times New Roman"/>
      <w:sz w:val="20"/>
      <w:szCs w:val="24"/>
      <w:lang w:val="en-US"/>
    </w:rPr>
  </w:style>
  <w:style w:type="paragraph" w:customStyle="1" w:styleId="TitleBI5Sgl">
    <w:name w:val="Title BI .5 Sgl"/>
    <w:basedOn w:val="Normal"/>
    <w:next w:val="Normal"/>
    <w:uiPriority w:val="99"/>
    <w:rsid w:val="004C1C4F"/>
    <w:pPr>
      <w:keepNext/>
      <w:spacing w:after="240" w:line="240" w:lineRule="auto"/>
      <w:ind w:left="720"/>
    </w:pPr>
    <w:rPr>
      <w:rFonts w:ascii="Times New Roman" w:eastAsia="MS Mincho" w:hAnsi="Times New Roman" w:cs="Times New Roman"/>
      <w:b/>
      <w:i/>
      <w:sz w:val="20"/>
      <w:szCs w:val="20"/>
      <w:lang w:val="en-US"/>
    </w:rPr>
  </w:style>
  <w:style w:type="paragraph" w:customStyle="1" w:styleId="TitleB5">
    <w:name w:val="Title B .5"/>
    <w:basedOn w:val="TitleB"/>
    <w:uiPriority w:val="99"/>
    <w:qFormat/>
    <w:rsid w:val="004C1C4F"/>
    <w:pPr>
      <w:ind w:left="720"/>
    </w:pPr>
  </w:style>
  <w:style w:type="paragraph" w:customStyle="1" w:styleId="Normalnormal">
    <w:name w:val="Normal normal"/>
    <w:basedOn w:val="Normal"/>
    <w:uiPriority w:val="99"/>
    <w:qFormat/>
    <w:rsid w:val="004C1C4F"/>
    <w:pPr>
      <w:spacing w:after="0" w:line="240" w:lineRule="auto"/>
    </w:pPr>
    <w:rPr>
      <w:rFonts w:ascii="Times New Roman" w:eastAsia="Calibri" w:hAnsi="Times New Roman" w:cs="Times New Roman"/>
      <w:w w:val="0"/>
      <w:sz w:val="20"/>
      <w:szCs w:val="24"/>
      <w:lang w:val="en-US"/>
    </w:rPr>
  </w:style>
  <w:style w:type="paragraph" w:customStyle="1" w:styleId="cI">
    <w:name w:val="cI"/>
    <w:uiPriority w:val="99"/>
    <w:rsid w:val="004C1C4F"/>
    <w:pPr>
      <w:tabs>
        <w:tab w:val="right" w:pos="567"/>
        <w:tab w:val="right" w:leader="dot" w:pos="8222"/>
        <w:tab w:val="decimal" w:pos="8789"/>
      </w:tabs>
      <w:overflowPunct w:val="0"/>
      <w:autoSpaceDE w:val="0"/>
      <w:autoSpaceDN w:val="0"/>
      <w:adjustRightInd w:val="0"/>
      <w:spacing w:after="120" w:line="240" w:lineRule="auto"/>
      <w:ind w:left="851" w:hanging="851"/>
      <w:textAlignment w:val="baseline"/>
    </w:pPr>
    <w:rPr>
      <w:rFonts w:ascii="Times New Roman" w:eastAsia="MS Mincho" w:hAnsi="Times New Roman" w:cs="Times New Roman"/>
      <w:caps/>
      <w:szCs w:val="24"/>
      <w:lang w:val="en-US" w:eastAsia="ja-JP"/>
    </w:rPr>
  </w:style>
  <w:style w:type="paragraph" w:customStyle="1" w:styleId="Bodyhang">
    <w:name w:val="Body hang"/>
    <w:basedOn w:val="Normal"/>
    <w:uiPriority w:val="99"/>
    <w:qFormat/>
    <w:rsid w:val="004C1C4F"/>
    <w:pPr>
      <w:tabs>
        <w:tab w:val="left" w:pos="1170"/>
      </w:tabs>
      <w:spacing w:after="0" w:line="240" w:lineRule="auto"/>
      <w:ind w:left="1166" w:hanging="446"/>
    </w:pPr>
    <w:rPr>
      <w:rFonts w:ascii="Times New Roman" w:eastAsia="Calibri" w:hAnsi="Times New Roman" w:cs="Times New Roman"/>
      <w:sz w:val="20"/>
      <w:szCs w:val="20"/>
      <w:lang w:val="en-US"/>
    </w:rPr>
  </w:style>
  <w:style w:type="paragraph" w:customStyle="1" w:styleId="TOCManual">
    <w:name w:val="TOCManual"/>
    <w:basedOn w:val="Normal"/>
    <w:uiPriority w:val="99"/>
    <w:qFormat/>
    <w:rsid w:val="004C1C4F"/>
    <w:pPr>
      <w:tabs>
        <w:tab w:val="right" w:leader="dot" w:pos="4140"/>
      </w:tabs>
      <w:spacing w:after="0" w:line="240" w:lineRule="auto"/>
    </w:pPr>
    <w:rPr>
      <w:rFonts w:ascii="Times New Roman" w:eastAsia="Calibri" w:hAnsi="Times New Roman" w:cs="Times New Roman"/>
      <w:noProof/>
      <w:sz w:val="20"/>
      <w:szCs w:val="24"/>
      <w:lang w:val="en-US"/>
    </w:rPr>
  </w:style>
  <w:style w:type="numbering" w:customStyle="1" w:styleId="NoList61">
    <w:name w:val="No List61"/>
    <w:next w:val="Sinlista"/>
    <w:uiPriority w:val="99"/>
    <w:semiHidden/>
    <w:unhideWhenUsed/>
    <w:rsid w:val="004C1C4F"/>
  </w:style>
  <w:style w:type="numbering" w:customStyle="1" w:styleId="NoList13">
    <w:name w:val="No List13"/>
    <w:next w:val="Sinlista"/>
    <w:semiHidden/>
    <w:rsid w:val="004C1C4F"/>
  </w:style>
  <w:style w:type="numbering" w:customStyle="1" w:styleId="NoList23">
    <w:name w:val="No List23"/>
    <w:next w:val="Sinlista"/>
    <w:semiHidden/>
    <w:rsid w:val="004C1C4F"/>
  </w:style>
  <w:style w:type="numbering" w:customStyle="1" w:styleId="Sinlista13">
    <w:name w:val="Sin lista13"/>
    <w:next w:val="Sinlista"/>
    <w:uiPriority w:val="99"/>
    <w:semiHidden/>
    <w:unhideWhenUsed/>
    <w:rsid w:val="004C1C4F"/>
  </w:style>
  <w:style w:type="numbering" w:customStyle="1" w:styleId="NoList33">
    <w:name w:val="No List33"/>
    <w:next w:val="Sinlista"/>
    <w:uiPriority w:val="99"/>
    <w:semiHidden/>
    <w:unhideWhenUsed/>
    <w:rsid w:val="004C1C4F"/>
  </w:style>
  <w:style w:type="numbering" w:customStyle="1" w:styleId="NoList411">
    <w:name w:val="No List411"/>
    <w:next w:val="Sinlista"/>
    <w:uiPriority w:val="99"/>
    <w:semiHidden/>
    <w:unhideWhenUsed/>
    <w:rsid w:val="004C1C4F"/>
  </w:style>
  <w:style w:type="numbering" w:customStyle="1" w:styleId="NoList113">
    <w:name w:val="No List113"/>
    <w:next w:val="Sinlista"/>
    <w:uiPriority w:val="99"/>
    <w:semiHidden/>
    <w:unhideWhenUsed/>
    <w:rsid w:val="004C1C4F"/>
  </w:style>
  <w:style w:type="numbering" w:customStyle="1" w:styleId="NoList11111">
    <w:name w:val="No List11111"/>
    <w:next w:val="Sinlista"/>
    <w:semiHidden/>
    <w:rsid w:val="004C1C4F"/>
  </w:style>
  <w:style w:type="numbering" w:customStyle="1" w:styleId="NoList2111">
    <w:name w:val="No List2111"/>
    <w:next w:val="Sinlista"/>
    <w:semiHidden/>
    <w:rsid w:val="004C1C4F"/>
  </w:style>
  <w:style w:type="numbering" w:customStyle="1" w:styleId="Sinlista111">
    <w:name w:val="Sin lista111"/>
    <w:next w:val="Sinlista"/>
    <w:uiPriority w:val="99"/>
    <w:semiHidden/>
    <w:unhideWhenUsed/>
    <w:rsid w:val="004C1C4F"/>
  </w:style>
  <w:style w:type="numbering" w:customStyle="1" w:styleId="NoList3111">
    <w:name w:val="No List3111"/>
    <w:next w:val="Sinlista"/>
    <w:uiPriority w:val="99"/>
    <w:semiHidden/>
    <w:unhideWhenUsed/>
    <w:rsid w:val="004C1C4F"/>
  </w:style>
  <w:style w:type="numbering" w:customStyle="1" w:styleId="NoList511">
    <w:name w:val="No List511"/>
    <w:next w:val="Sinlista"/>
    <w:uiPriority w:val="99"/>
    <w:semiHidden/>
    <w:unhideWhenUsed/>
    <w:rsid w:val="004C1C4F"/>
  </w:style>
  <w:style w:type="numbering" w:customStyle="1" w:styleId="NoList1211">
    <w:name w:val="No List1211"/>
    <w:next w:val="Sinlista"/>
    <w:uiPriority w:val="99"/>
    <w:semiHidden/>
    <w:unhideWhenUsed/>
    <w:rsid w:val="004C1C4F"/>
  </w:style>
  <w:style w:type="numbering" w:customStyle="1" w:styleId="NoList11211">
    <w:name w:val="No List11211"/>
    <w:next w:val="Sinlista"/>
    <w:semiHidden/>
    <w:rsid w:val="004C1C4F"/>
  </w:style>
  <w:style w:type="numbering" w:customStyle="1" w:styleId="NoList2211">
    <w:name w:val="No List2211"/>
    <w:next w:val="Sinlista"/>
    <w:semiHidden/>
    <w:rsid w:val="004C1C4F"/>
  </w:style>
  <w:style w:type="numbering" w:customStyle="1" w:styleId="Sinlista121">
    <w:name w:val="Sin lista121"/>
    <w:next w:val="Sinlista"/>
    <w:uiPriority w:val="99"/>
    <w:semiHidden/>
    <w:unhideWhenUsed/>
    <w:rsid w:val="004C1C4F"/>
  </w:style>
  <w:style w:type="numbering" w:customStyle="1" w:styleId="NoList321">
    <w:name w:val="No List321"/>
    <w:next w:val="Sinlista"/>
    <w:uiPriority w:val="99"/>
    <w:semiHidden/>
    <w:unhideWhenUsed/>
    <w:rsid w:val="004C1C4F"/>
  </w:style>
  <w:style w:type="table" w:customStyle="1" w:styleId="TableGrid53">
    <w:name w:val="Table Grid53"/>
    <w:basedOn w:val="Tablanormal"/>
    <w:next w:val="Tablaconcuadrcula"/>
    <w:uiPriority w:val="59"/>
    <w:rsid w:val="004C1C4F"/>
    <w:pPr>
      <w:spacing w:after="0" w:line="240" w:lineRule="auto"/>
    </w:pPr>
    <w:rPr>
      <w:rFonts w:ascii="Times New Roman" w:eastAsia="Calibri" w:hAnsi="Times New Roman" w:cs="Arial"/>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LOCKPARA">
    <w:name w:val="A BLOCK PARA"/>
    <w:basedOn w:val="Normal"/>
    <w:uiPriority w:val="99"/>
    <w:rsid w:val="004C1C4F"/>
    <w:pPr>
      <w:spacing w:after="0" w:line="240" w:lineRule="atLeast"/>
      <w:ind w:left="331"/>
    </w:pPr>
    <w:rPr>
      <w:rFonts w:ascii="Arial" w:eastAsia="Times New Roman" w:hAnsi="Arial" w:cs="Times New Roman"/>
      <w:sz w:val="18"/>
      <w:szCs w:val="20"/>
      <w:lang w:val="en-US"/>
    </w:rPr>
  </w:style>
  <w:style w:type="paragraph" w:customStyle="1" w:styleId="ParagraphNumbering">
    <w:name w:val="Paragraph Numbering"/>
    <w:basedOn w:val="Normal"/>
    <w:uiPriority w:val="99"/>
    <w:rsid w:val="004C1C4F"/>
    <w:pPr>
      <w:spacing w:after="0" w:line="240" w:lineRule="atLeast"/>
      <w:ind w:left="331"/>
    </w:pPr>
    <w:rPr>
      <w:rFonts w:ascii="Arial" w:eastAsia="Times New Roman" w:hAnsi="Arial" w:cs="Times New Roman"/>
      <w:sz w:val="18"/>
      <w:szCs w:val="20"/>
      <w:lang w:val="en-US"/>
    </w:rPr>
  </w:style>
  <w:style w:type="paragraph" w:customStyle="1" w:styleId="ACBLOCKPARA">
    <w:name w:val="AC BLOCK PARA"/>
    <w:basedOn w:val="Normal"/>
    <w:uiPriority w:val="99"/>
    <w:rsid w:val="004C1C4F"/>
    <w:pPr>
      <w:spacing w:after="0" w:line="240" w:lineRule="atLeast"/>
      <w:ind w:left="331"/>
    </w:pPr>
    <w:rPr>
      <w:rFonts w:ascii="Century Gothic" w:eastAsia="Times New Roman" w:hAnsi="Century Gothic" w:cs="Times New Roman"/>
      <w:sz w:val="18"/>
      <w:szCs w:val="20"/>
      <w:lang w:val="en-US"/>
    </w:rPr>
  </w:style>
  <w:style w:type="paragraph" w:customStyle="1" w:styleId="Encabezado2">
    <w:name w:val="Encabezado2"/>
    <w:basedOn w:val="Normal"/>
    <w:autoRedefine/>
    <w:uiPriority w:val="99"/>
    <w:rsid w:val="004C1C4F"/>
    <w:pPr>
      <w:tabs>
        <w:tab w:val="decimal" w:pos="1361"/>
      </w:tabs>
      <w:spacing w:after="0" w:line="190" w:lineRule="exact"/>
      <w:ind w:left="57"/>
      <w:jc w:val="both"/>
    </w:pPr>
    <w:rPr>
      <w:rFonts w:ascii="Arial" w:eastAsia="Times New Roman" w:hAnsi="Arial" w:cs="Times New Roman"/>
      <w:sz w:val="18"/>
      <w:szCs w:val="20"/>
      <w:lang w:val="en-US"/>
    </w:rPr>
  </w:style>
  <w:style w:type="paragraph" w:customStyle="1" w:styleId="Encabezado1">
    <w:name w:val="Encabezado1"/>
    <w:basedOn w:val="Normal"/>
    <w:autoRedefine/>
    <w:uiPriority w:val="99"/>
    <w:rsid w:val="004C1C4F"/>
    <w:pPr>
      <w:tabs>
        <w:tab w:val="left" w:pos="6"/>
        <w:tab w:val="left" w:pos="1508"/>
        <w:tab w:val="left" w:pos="9783"/>
      </w:tabs>
      <w:spacing w:after="0" w:line="200" w:lineRule="exact"/>
      <w:ind w:left="57" w:right="-57"/>
    </w:pPr>
    <w:rPr>
      <w:rFonts w:ascii="Times New Roman" w:eastAsia="Times New Roman" w:hAnsi="Times New Roman" w:cs="Times New Roman"/>
      <w:b/>
      <w:sz w:val="16"/>
      <w:szCs w:val="20"/>
      <w:u w:val="single"/>
      <w:lang w:val="en-US"/>
    </w:rPr>
  </w:style>
  <w:style w:type="paragraph" w:customStyle="1" w:styleId="tablas2">
    <w:name w:val="tablas2"/>
    <w:basedOn w:val="Normal"/>
    <w:autoRedefine/>
    <w:uiPriority w:val="99"/>
    <w:rsid w:val="004C1C4F"/>
    <w:pPr>
      <w:tabs>
        <w:tab w:val="left" w:pos="56"/>
        <w:tab w:val="right" w:pos="1485"/>
      </w:tabs>
      <w:spacing w:after="0" w:line="220" w:lineRule="exact"/>
      <w:ind w:left="57"/>
    </w:pPr>
    <w:rPr>
      <w:rFonts w:ascii="Times New Roman" w:eastAsia="Times New Roman" w:hAnsi="Times New Roman" w:cs="Times New Roman"/>
      <w:szCs w:val="20"/>
      <w:lang w:val="en-US"/>
    </w:rPr>
  </w:style>
  <w:style w:type="paragraph" w:customStyle="1" w:styleId="opinincn">
    <w:name w:val="opinión c/n"/>
    <w:basedOn w:val="Normal"/>
    <w:uiPriority w:val="99"/>
    <w:rsid w:val="004C1C4F"/>
    <w:pPr>
      <w:spacing w:after="240" w:line="240" w:lineRule="atLeast"/>
      <w:ind w:left="340" w:hanging="340"/>
      <w:jc w:val="both"/>
    </w:pPr>
    <w:rPr>
      <w:rFonts w:ascii="Book Antiqua" w:eastAsia="Times New Roman" w:hAnsi="Book Antiqua" w:cs="Times New Roman"/>
      <w:szCs w:val="20"/>
      <w:lang w:val="en-US"/>
    </w:rPr>
  </w:style>
  <w:style w:type="paragraph" w:customStyle="1" w:styleId="xl31">
    <w:name w:val="xl31"/>
    <w:basedOn w:val="Normal"/>
    <w:uiPriority w:val="99"/>
    <w:rsid w:val="004C1C4F"/>
    <w:pPr>
      <w:spacing w:before="100" w:beforeAutospacing="1" w:after="100" w:afterAutospacing="1" w:line="240" w:lineRule="atLeast"/>
      <w:ind w:left="331"/>
    </w:pPr>
    <w:rPr>
      <w:rFonts w:ascii="Book Antiqua" w:eastAsia="Arial Unicode MS" w:hAnsi="Book Antiqua" w:cs="Arial Unicode MS"/>
      <w:b/>
      <w:bCs/>
      <w:sz w:val="20"/>
      <w:szCs w:val="20"/>
      <w:lang w:val="en-US"/>
    </w:rPr>
  </w:style>
  <w:style w:type="character" w:customStyle="1" w:styleId="AAAddress">
    <w:name w:val="AA Address"/>
    <w:rsid w:val="004C1C4F"/>
    <w:rPr>
      <w:rFonts w:ascii="Arial" w:hAnsi="Arial"/>
      <w:color w:val="auto"/>
      <w:spacing w:val="0"/>
      <w:w w:val="100"/>
      <w:position w:val="0"/>
      <w:sz w:val="14"/>
      <w:u w:val="none"/>
      <w:vertAlign w:val="baseline"/>
      <w:lang w:val="en-US"/>
    </w:rPr>
  </w:style>
  <w:style w:type="character" w:customStyle="1" w:styleId="AAReference">
    <w:name w:val="AA Reference"/>
    <w:rsid w:val="004C1C4F"/>
    <w:rPr>
      <w:rFonts w:ascii="Arial" w:hAnsi="Arial"/>
      <w:color w:val="auto"/>
      <w:spacing w:val="0"/>
      <w:w w:val="100"/>
      <w:position w:val="0"/>
      <w:sz w:val="14"/>
      <w:vertAlign w:val="baseline"/>
      <w:lang w:val="en-US"/>
    </w:rPr>
  </w:style>
  <w:style w:type="paragraph" w:customStyle="1" w:styleId="xl24">
    <w:name w:val="xl24"/>
    <w:basedOn w:val="Normal"/>
    <w:uiPriority w:val="99"/>
    <w:rsid w:val="004C1C4F"/>
    <w:pPr>
      <w:spacing w:before="100" w:beforeAutospacing="1" w:after="100" w:afterAutospacing="1" w:line="240" w:lineRule="atLeast"/>
      <w:ind w:left="331" w:firstLineChars="100" w:firstLine="100"/>
    </w:pPr>
    <w:rPr>
      <w:rFonts w:ascii="Arial" w:eastAsia="Arial Unicode MS" w:hAnsi="Arial" w:cs="Arial"/>
      <w:color w:val="000000"/>
      <w:sz w:val="15"/>
      <w:szCs w:val="15"/>
      <w:lang w:val="en-US"/>
    </w:rPr>
  </w:style>
  <w:style w:type="paragraph" w:customStyle="1" w:styleId="xl25">
    <w:name w:val="xl25"/>
    <w:basedOn w:val="Normal"/>
    <w:uiPriority w:val="99"/>
    <w:rsid w:val="004C1C4F"/>
    <w:pPr>
      <w:spacing w:before="100" w:beforeAutospacing="1" w:after="100" w:afterAutospacing="1" w:line="240" w:lineRule="atLeast"/>
      <w:ind w:left="331"/>
      <w:jc w:val="right"/>
    </w:pPr>
    <w:rPr>
      <w:rFonts w:ascii="Arial" w:eastAsia="Arial Unicode MS" w:hAnsi="Arial" w:cs="Arial"/>
      <w:sz w:val="15"/>
      <w:szCs w:val="15"/>
      <w:lang w:val="en-US"/>
    </w:rPr>
  </w:style>
  <w:style w:type="paragraph" w:customStyle="1" w:styleId="xl26">
    <w:name w:val="xl26"/>
    <w:basedOn w:val="Normal"/>
    <w:uiPriority w:val="99"/>
    <w:rsid w:val="004C1C4F"/>
    <w:pPr>
      <w:spacing w:before="100" w:beforeAutospacing="1" w:after="100" w:afterAutospacing="1" w:line="240" w:lineRule="atLeast"/>
      <w:ind w:left="331" w:firstLineChars="400" w:firstLine="400"/>
    </w:pPr>
    <w:rPr>
      <w:rFonts w:ascii="Arial" w:eastAsia="Arial Unicode MS" w:hAnsi="Arial" w:cs="Arial"/>
      <w:sz w:val="15"/>
      <w:szCs w:val="15"/>
      <w:lang w:val="en-US"/>
    </w:rPr>
  </w:style>
  <w:style w:type="paragraph" w:customStyle="1" w:styleId="xl27">
    <w:name w:val="xl27"/>
    <w:basedOn w:val="Normal"/>
    <w:uiPriority w:val="99"/>
    <w:rsid w:val="004C1C4F"/>
    <w:pPr>
      <w:spacing w:before="100" w:beforeAutospacing="1" w:after="100" w:afterAutospacing="1" w:line="240" w:lineRule="atLeast"/>
      <w:ind w:left="331"/>
      <w:jc w:val="right"/>
      <w:textAlignment w:val="top"/>
    </w:pPr>
    <w:rPr>
      <w:rFonts w:ascii="Arial" w:eastAsia="Arial Unicode MS" w:hAnsi="Arial" w:cs="Arial"/>
      <w:sz w:val="15"/>
      <w:szCs w:val="15"/>
      <w:lang w:val="en-US"/>
    </w:rPr>
  </w:style>
  <w:style w:type="paragraph" w:customStyle="1" w:styleId="xl28">
    <w:name w:val="xl28"/>
    <w:basedOn w:val="Normal"/>
    <w:uiPriority w:val="99"/>
    <w:rsid w:val="004C1C4F"/>
    <w:pPr>
      <w:spacing w:before="100" w:beforeAutospacing="1" w:after="100" w:afterAutospacing="1" w:line="240" w:lineRule="atLeast"/>
      <w:ind w:left="331" w:firstLineChars="400" w:firstLine="400"/>
    </w:pPr>
    <w:rPr>
      <w:rFonts w:ascii="Arial" w:eastAsia="Arial Unicode MS" w:hAnsi="Arial" w:cs="Arial"/>
      <w:color w:val="000000"/>
      <w:sz w:val="15"/>
      <w:szCs w:val="15"/>
      <w:lang w:val="en-US"/>
    </w:rPr>
  </w:style>
  <w:style w:type="paragraph" w:customStyle="1" w:styleId="xl29">
    <w:name w:val="xl29"/>
    <w:basedOn w:val="Normal"/>
    <w:uiPriority w:val="99"/>
    <w:rsid w:val="004C1C4F"/>
    <w:pPr>
      <w:spacing w:before="100" w:beforeAutospacing="1" w:after="100" w:afterAutospacing="1" w:line="240" w:lineRule="atLeast"/>
      <w:ind w:left="331"/>
    </w:pPr>
    <w:rPr>
      <w:rFonts w:ascii="Arial" w:eastAsia="Arial Unicode MS" w:hAnsi="Arial" w:cs="Arial"/>
      <w:b/>
      <w:bCs/>
      <w:sz w:val="15"/>
      <w:szCs w:val="15"/>
      <w:lang w:val="en-US"/>
    </w:rPr>
  </w:style>
  <w:style w:type="paragraph" w:customStyle="1" w:styleId="body">
    <w:name w:val="body"/>
    <w:basedOn w:val="Normal"/>
    <w:next w:val="Normal"/>
    <w:uiPriority w:val="99"/>
    <w:rsid w:val="004C1C4F"/>
    <w:pPr>
      <w:spacing w:after="120" w:line="360" w:lineRule="auto"/>
      <w:ind w:left="331"/>
      <w:jc w:val="both"/>
    </w:pPr>
    <w:rPr>
      <w:rFonts w:ascii="Times New Roman" w:eastAsia="Times New Roman" w:hAnsi="Times New Roman" w:cs="Times New Roman"/>
      <w:sz w:val="24"/>
      <w:szCs w:val="20"/>
      <w:lang w:val="en-US"/>
    </w:rPr>
  </w:style>
  <w:style w:type="paragraph" w:customStyle="1" w:styleId="Carpeta">
    <w:name w:val="Carpeta"/>
    <w:basedOn w:val="Ttulo6"/>
    <w:uiPriority w:val="99"/>
    <w:rsid w:val="004C1C4F"/>
    <w:pPr>
      <w:keepNext w:val="0"/>
      <w:keepLines w:val="0"/>
      <w:widowControl w:val="0"/>
      <w:numPr>
        <w:ilvl w:val="5"/>
      </w:numPr>
      <w:tabs>
        <w:tab w:val="num" w:pos="4320"/>
      </w:tabs>
      <w:spacing w:after="120" w:line="240" w:lineRule="atLeast"/>
      <w:ind w:left="331" w:firstLine="3600"/>
    </w:pPr>
    <w:rPr>
      <w:rFonts w:eastAsia="Times New Roman"/>
      <w:b/>
      <w:sz w:val="40"/>
    </w:rPr>
  </w:style>
  <w:style w:type="paragraph" w:customStyle="1" w:styleId="CarpetaI">
    <w:name w:val="Carpeta I"/>
    <w:basedOn w:val="Ttulo6"/>
    <w:uiPriority w:val="99"/>
    <w:rsid w:val="004C1C4F"/>
    <w:pPr>
      <w:keepNext w:val="0"/>
      <w:keepLines w:val="0"/>
      <w:widowControl w:val="0"/>
      <w:numPr>
        <w:ilvl w:val="5"/>
      </w:numPr>
      <w:tabs>
        <w:tab w:val="num" w:pos="4320"/>
      </w:tabs>
      <w:spacing w:after="0" w:line="240" w:lineRule="atLeast"/>
      <w:ind w:left="331" w:firstLine="3600"/>
    </w:pPr>
    <w:rPr>
      <w:rFonts w:eastAsia="Times New Roman"/>
      <w:b/>
      <w:sz w:val="28"/>
    </w:rPr>
  </w:style>
  <w:style w:type="paragraph" w:customStyle="1" w:styleId="CarpetaII">
    <w:name w:val="Carpeta II"/>
    <w:basedOn w:val="CarpetaI"/>
    <w:uiPriority w:val="99"/>
    <w:rsid w:val="004C1C4F"/>
    <w:pPr>
      <w:spacing w:before="120" w:after="120"/>
    </w:pPr>
    <w:rPr>
      <w:b w:val="0"/>
      <w:sz w:val="20"/>
    </w:rPr>
  </w:style>
  <w:style w:type="paragraph" w:customStyle="1" w:styleId="INCISO0">
    <w:name w:val="INCISO"/>
    <w:basedOn w:val="Normal"/>
    <w:uiPriority w:val="99"/>
    <w:rsid w:val="004C1C4F"/>
    <w:pPr>
      <w:tabs>
        <w:tab w:val="left" w:pos="1080"/>
      </w:tabs>
      <w:spacing w:after="101" w:line="216" w:lineRule="exact"/>
      <w:ind w:left="1080" w:hanging="360"/>
      <w:jc w:val="both"/>
    </w:pPr>
    <w:rPr>
      <w:rFonts w:ascii="Arial" w:eastAsia="Times New Roman" w:hAnsi="Arial" w:cs="Arial"/>
      <w:sz w:val="18"/>
      <w:szCs w:val="20"/>
      <w:lang w:val="en-US"/>
    </w:rPr>
  </w:style>
  <w:style w:type="paragraph" w:customStyle="1" w:styleId="NXCS819">
    <w:name w:val="N__XCS819"/>
    <w:basedOn w:val="Normal"/>
    <w:uiPriority w:val="99"/>
    <w:rsid w:val="004C1C4F"/>
    <w:pPr>
      <w:spacing w:after="0" w:line="240" w:lineRule="atLeast"/>
      <w:ind w:left="331"/>
    </w:pPr>
    <w:rPr>
      <w:rFonts w:ascii="CG Times (W1)" w:eastAsia="Times New Roman" w:hAnsi="CG Times (W1)" w:cs="Times New Roman"/>
      <w:noProof/>
      <w:sz w:val="20"/>
      <w:szCs w:val="20"/>
      <w:lang w:val="en-US"/>
    </w:rPr>
  </w:style>
  <w:style w:type="paragraph" w:customStyle="1" w:styleId="t72">
    <w:name w:val="t72"/>
    <w:basedOn w:val="Normal"/>
    <w:uiPriority w:val="99"/>
    <w:rsid w:val="004C1C4F"/>
    <w:pPr>
      <w:spacing w:after="0" w:line="240" w:lineRule="atLeast"/>
      <w:ind w:left="331"/>
    </w:pPr>
    <w:rPr>
      <w:rFonts w:ascii="New York" w:eastAsia="Times New Roman" w:hAnsi="New York" w:cs="Times New Roman"/>
      <w:sz w:val="24"/>
      <w:szCs w:val="20"/>
      <w:lang w:val="en-US"/>
    </w:rPr>
  </w:style>
  <w:style w:type="paragraph" w:customStyle="1" w:styleId="t73">
    <w:name w:val="t73"/>
    <w:basedOn w:val="Normal"/>
    <w:uiPriority w:val="99"/>
    <w:rsid w:val="004C1C4F"/>
    <w:pPr>
      <w:spacing w:after="0" w:line="240" w:lineRule="atLeast"/>
      <w:ind w:left="331"/>
    </w:pPr>
    <w:rPr>
      <w:rFonts w:ascii="New York" w:eastAsia="Times New Roman" w:hAnsi="New York" w:cs="Times New Roman"/>
      <w:sz w:val="24"/>
      <w:szCs w:val="20"/>
      <w:lang w:val="en-US"/>
    </w:rPr>
  </w:style>
  <w:style w:type="paragraph" w:customStyle="1" w:styleId="NoteText">
    <w:name w:val="Note Text"/>
    <w:aliases w:val="Note text,nt"/>
    <w:basedOn w:val="Normal"/>
    <w:uiPriority w:val="99"/>
    <w:rsid w:val="004C1C4F"/>
    <w:pPr>
      <w:spacing w:after="200" w:line="240" w:lineRule="atLeast"/>
      <w:ind w:left="540"/>
      <w:jc w:val="both"/>
    </w:pPr>
    <w:rPr>
      <w:rFonts w:ascii="Times New Roman" w:eastAsia="Times New Roman" w:hAnsi="Times New Roman" w:cs="Times New Roman"/>
      <w:lang w:val="en-US"/>
    </w:rPr>
  </w:style>
  <w:style w:type="paragraph" w:customStyle="1" w:styleId="CarCarCarCarCarCarCarCarCarCar">
    <w:name w:val="Car Car Car Car Car Car Car Car Car Car"/>
    <w:basedOn w:val="Normal"/>
    <w:next w:val="Normal"/>
    <w:uiPriority w:val="99"/>
    <w:rsid w:val="004C1C4F"/>
    <w:pPr>
      <w:widowControl w:val="0"/>
      <w:tabs>
        <w:tab w:val="num" w:pos="1440"/>
      </w:tabs>
      <w:adjustRightInd w:val="0"/>
      <w:spacing w:before="80" w:after="80" w:line="240" w:lineRule="atLeast"/>
      <w:ind w:left="331"/>
      <w:jc w:val="both"/>
      <w:textAlignment w:val="baseline"/>
    </w:pPr>
    <w:rPr>
      <w:rFonts w:ascii="Arial" w:eastAsia="Times New Roman" w:hAnsi="Arial" w:cs="Arial"/>
      <w:sz w:val="28"/>
      <w:szCs w:val="28"/>
      <w:lang w:val="en-US"/>
    </w:rPr>
  </w:style>
  <w:style w:type="paragraph" w:customStyle="1" w:styleId="BulletText1">
    <w:name w:val="Bullet Text 1"/>
    <w:basedOn w:val="Normal"/>
    <w:uiPriority w:val="99"/>
    <w:rsid w:val="004C1C4F"/>
    <w:pPr>
      <w:numPr>
        <w:numId w:val="42"/>
      </w:numPr>
      <w:spacing w:after="0" w:line="240" w:lineRule="atLeast"/>
    </w:pPr>
    <w:rPr>
      <w:rFonts w:ascii="Arial" w:eastAsia="Times New Roman" w:hAnsi="Arial" w:cs="Times New Roman"/>
      <w:sz w:val="20"/>
      <w:szCs w:val="20"/>
      <w:lang w:val="en-US"/>
    </w:rPr>
  </w:style>
  <w:style w:type="paragraph" w:customStyle="1" w:styleId="CarCarCarCar">
    <w:name w:val="Car Car Car Car"/>
    <w:basedOn w:val="Normal"/>
    <w:autoRedefine/>
    <w:uiPriority w:val="99"/>
    <w:rsid w:val="004C1C4F"/>
    <w:pPr>
      <w:spacing w:line="240" w:lineRule="exact"/>
      <w:ind w:left="331"/>
    </w:pPr>
    <w:rPr>
      <w:rFonts w:ascii="Arial" w:eastAsia="Times New Roman" w:hAnsi="Arial" w:cs="Times New Roman"/>
      <w:sz w:val="20"/>
      <w:szCs w:val="20"/>
      <w:lang w:val="en-US"/>
    </w:rPr>
  </w:style>
  <w:style w:type="paragraph" w:customStyle="1" w:styleId="CoverSubtitle">
    <w:name w:val="Cover Subtitle"/>
    <w:basedOn w:val="Textoindependiente"/>
    <w:uiPriority w:val="99"/>
    <w:rsid w:val="004C1C4F"/>
    <w:pPr>
      <w:spacing w:after="0" w:line="320" w:lineRule="exact"/>
      <w:ind w:left="331" w:right="562" w:firstLine="0"/>
    </w:pPr>
    <w:rPr>
      <w:rFonts w:ascii="Arial" w:eastAsia="Times New Roman" w:hAnsi="Arial"/>
      <w:i/>
      <w:sz w:val="28"/>
    </w:rPr>
  </w:style>
  <w:style w:type="paragraph" w:customStyle="1" w:styleId="INCISOCar">
    <w:name w:val="INCISO Car"/>
    <w:basedOn w:val="Normal"/>
    <w:uiPriority w:val="99"/>
    <w:rsid w:val="004C1C4F"/>
    <w:pPr>
      <w:tabs>
        <w:tab w:val="left" w:pos="1080"/>
      </w:tabs>
      <w:spacing w:after="101" w:line="216" w:lineRule="exact"/>
      <w:ind w:left="1080" w:hanging="360"/>
      <w:jc w:val="both"/>
    </w:pPr>
    <w:rPr>
      <w:rFonts w:ascii="Arial" w:eastAsia="Times New Roman" w:hAnsi="Arial" w:cs="Arial"/>
      <w:sz w:val="18"/>
      <w:szCs w:val="18"/>
      <w:lang w:val="en-US"/>
    </w:rPr>
  </w:style>
  <w:style w:type="paragraph" w:customStyle="1" w:styleId="INTERLINEADO1">
    <w:name w:val="INTERLINEADO 1"/>
    <w:uiPriority w:val="99"/>
    <w:rsid w:val="004C1C4F"/>
    <w:pPr>
      <w:spacing w:after="0" w:line="240" w:lineRule="atLeast"/>
      <w:ind w:left="331"/>
    </w:pPr>
    <w:rPr>
      <w:rFonts w:ascii="Courier" w:eastAsia="Times New Roman" w:hAnsi="Courier" w:cs="Times New Roman"/>
      <w:sz w:val="24"/>
      <w:szCs w:val="20"/>
      <w:lang w:val="en-US"/>
    </w:rPr>
  </w:style>
  <w:style w:type="paragraph" w:customStyle="1" w:styleId="xl30">
    <w:name w:val="xl30"/>
    <w:basedOn w:val="Normal"/>
    <w:uiPriority w:val="99"/>
    <w:rsid w:val="004C1C4F"/>
    <w:pPr>
      <w:spacing w:before="100" w:beforeAutospacing="1" w:after="100" w:afterAutospacing="1" w:line="240" w:lineRule="atLeast"/>
      <w:ind w:left="331"/>
    </w:pPr>
    <w:rPr>
      <w:rFonts w:ascii="Times New Roman" w:eastAsia="Arial Unicode MS" w:hAnsi="Times New Roman" w:cs="Times New Roman"/>
      <w:sz w:val="24"/>
      <w:szCs w:val="24"/>
      <w:lang w:val="en-US"/>
    </w:rPr>
  </w:style>
  <w:style w:type="paragraph" w:customStyle="1" w:styleId="xl32">
    <w:name w:val="xl32"/>
    <w:basedOn w:val="Normal"/>
    <w:uiPriority w:val="99"/>
    <w:rsid w:val="004C1C4F"/>
    <w:pPr>
      <w:spacing w:before="100" w:beforeAutospacing="1" w:after="100" w:afterAutospacing="1" w:line="240" w:lineRule="atLeast"/>
      <w:ind w:left="331"/>
      <w:jc w:val="right"/>
    </w:pPr>
    <w:rPr>
      <w:rFonts w:ascii="Arial" w:eastAsia="Arial Unicode MS" w:hAnsi="Arial" w:cs="Arial"/>
      <w:sz w:val="18"/>
      <w:szCs w:val="18"/>
      <w:lang w:val="en-US"/>
    </w:rPr>
  </w:style>
  <w:style w:type="paragraph" w:customStyle="1" w:styleId="xl33">
    <w:name w:val="xl33"/>
    <w:basedOn w:val="Normal"/>
    <w:uiPriority w:val="99"/>
    <w:rsid w:val="004C1C4F"/>
    <w:pPr>
      <w:spacing w:before="100" w:beforeAutospacing="1" w:after="100" w:afterAutospacing="1" w:line="240" w:lineRule="atLeast"/>
      <w:ind w:left="331"/>
      <w:jc w:val="right"/>
    </w:pPr>
    <w:rPr>
      <w:rFonts w:ascii="Arial" w:eastAsia="Arial Unicode MS" w:hAnsi="Arial" w:cs="Arial"/>
      <w:sz w:val="18"/>
      <w:szCs w:val="18"/>
      <w:lang w:val="en-US"/>
    </w:rPr>
  </w:style>
  <w:style w:type="paragraph" w:customStyle="1" w:styleId="xl34">
    <w:name w:val="xl34"/>
    <w:basedOn w:val="Normal"/>
    <w:uiPriority w:val="99"/>
    <w:rsid w:val="004C1C4F"/>
    <w:pPr>
      <w:spacing w:before="100" w:beforeAutospacing="1" w:after="100" w:afterAutospacing="1" w:line="240" w:lineRule="atLeast"/>
      <w:ind w:left="331"/>
      <w:jc w:val="right"/>
    </w:pPr>
    <w:rPr>
      <w:rFonts w:ascii="Arial" w:eastAsia="Arial Unicode MS" w:hAnsi="Arial" w:cs="Arial"/>
      <w:sz w:val="18"/>
      <w:szCs w:val="18"/>
      <w:lang w:val="en-US"/>
    </w:rPr>
  </w:style>
  <w:style w:type="paragraph" w:customStyle="1" w:styleId="xl35">
    <w:name w:val="xl35"/>
    <w:basedOn w:val="Normal"/>
    <w:uiPriority w:val="99"/>
    <w:rsid w:val="004C1C4F"/>
    <w:pPr>
      <w:spacing w:before="100" w:beforeAutospacing="1" w:after="100" w:afterAutospacing="1" w:line="240" w:lineRule="atLeast"/>
      <w:ind w:left="331"/>
    </w:pPr>
    <w:rPr>
      <w:rFonts w:ascii="Arial" w:eastAsia="Arial Unicode MS" w:hAnsi="Arial" w:cs="Arial"/>
      <w:sz w:val="18"/>
      <w:szCs w:val="18"/>
      <w:lang w:val="en-US"/>
    </w:rPr>
  </w:style>
  <w:style w:type="paragraph" w:customStyle="1" w:styleId="DefaultText">
    <w:name w:val="Default Text"/>
    <w:basedOn w:val="Normal"/>
    <w:uiPriority w:val="99"/>
    <w:rsid w:val="004C1C4F"/>
    <w:pPr>
      <w:spacing w:after="0" w:line="240" w:lineRule="auto"/>
    </w:pPr>
    <w:rPr>
      <w:rFonts w:ascii="Times New Roman" w:eastAsia="Times New Roman" w:hAnsi="Times New Roman" w:cs="Times New Roman"/>
      <w:sz w:val="24"/>
      <w:szCs w:val="20"/>
      <w:lang w:val="en-US"/>
    </w:rPr>
  </w:style>
  <w:style w:type="paragraph" w:customStyle="1" w:styleId="5TEXTO">
    <w:name w:val="5.TEXTO"/>
    <w:basedOn w:val="Normal"/>
    <w:uiPriority w:val="99"/>
    <w:rsid w:val="004C1C4F"/>
    <w:pPr>
      <w:autoSpaceDE w:val="0"/>
      <w:autoSpaceDN w:val="0"/>
      <w:spacing w:after="240" w:line="360" w:lineRule="atLeast"/>
      <w:ind w:right="176"/>
      <w:jc w:val="both"/>
    </w:pPr>
    <w:rPr>
      <w:rFonts w:ascii="Arial" w:eastAsia="Times New Roman" w:hAnsi="Arial" w:cs="Arial"/>
      <w:sz w:val="24"/>
      <w:szCs w:val="24"/>
      <w:lang w:val="en-US"/>
    </w:rPr>
  </w:style>
  <w:style w:type="numbering" w:customStyle="1" w:styleId="Estilo4">
    <w:name w:val="Estilo4"/>
    <w:uiPriority w:val="99"/>
    <w:rsid w:val="004C1C4F"/>
  </w:style>
  <w:style w:type="numbering" w:customStyle="1" w:styleId="Estilo5">
    <w:name w:val="Estilo5"/>
    <w:uiPriority w:val="99"/>
    <w:rsid w:val="004C1C4F"/>
  </w:style>
  <w:style w:type="numbering" w:customStyle="1" w:styleId="Estilo3">
    <w:name w:val="Estilo3"/>
    <w:uiPriority w:val="99"/>
    <w:rsid w:val="004C1C4F"/>
  </w:style>
  <w:style w:type="numbering" w:customStyle="1" w:styleId="Estilo7">
    <w:name w:val="Estilo7"/>
    <w:uiPriority w:val="99"/>
    <w:rsid w:val="004C1C4F"/>
  </w:style>
  <w:style w:type="numbering" w:customStyle="1" w:styleId="Estilo6">
    <w:name w:val="Estilo6"/>
    <w:uiPriority w:val="99"/>
    <w:rsid w:val="004C1C4F"/>
  </w:style>
  <w:style w:type="numbering" w:customStyle="1" w:styleId="Estilo1">
    <w:name w:val="Estilo1"/>
    <w:uiPriority w:val="99"/>
    <w:rsid w:val="004C1C4F"/>
  </w:style>
  <w:style w:type="numbering" w:customStyle="1" w:styleId="Estilo2">
    <w:name w:val="Estilo2"/>
    <w:uiPriority w:val="99"/>
    <w:rsid w:val="004C1C4F"/>
  </w:style>
  <w:style w:type="numbering" w:customStyle="1" w:styleId="Estilo8">
    <w:name w:val="Estilo8"/>
    <w:uiPriority w:val="99"/>
    <w:rsid w:val="004C1C4F"/>
  </w:style>
  <w:style w:type="character" w:customStyle="1" w:styleId="BodyTextIndentChar1">
    <w:name w:val="Body Text Indent Char1"/>
    <w:aliases w:val="Sangría de t. independiente Char1"/>
    <w:semiHidden/>
    <w:rsid w:val="004C1C4F"/>
    <w:rPr>
      <w:rFonts w:ascii="Times New Roman" w:eastAsia="Times New Roman" w:hAnsi="Times New Roman" w:cs="Times New Roman"/>
      <w:sz w:val="24"/>
      <w:szCs w:val="24"/>
      <w:lang w:bidi="en-US"/>
    </w:rPr>
  </w:style>
  <w:style w:type="character" w:customStyle="1" w:styleId="CommentTextChar1">
    <w:name w:val="Comment Text Char1"/>
    <w:semiHidden/>
    <w:locked/>
    <w:rsid w:val="004C1C4F"/>
    <w:rPr>
      <w:rFonts w:ascii="Book Antiqua" w:eastAsia="Times New Roman" w:hAnsi="Book Antiqua" w:cs="Times New Roman"/>
      <w:szCs w:val="20"/>
      <w:lang w:bidi="en-US"/>
    </w:rPr>
  </w:style>
  <w:style w:type="character" w:customStyle="1" w:styleId="EndnoteTextChar1">
    <w:name w:val="Endnote Text Char1"/>
    <w:semiHidden/>
    <w:locked/>
    <w:rsid w:val="004C1C4F"/>
    <w:rPr>
      <w:rFonts w:ascii="Times New Roman" w:eastAsia="Times New Roman" w:hAnsi="Times New Roman" w:cs="Times New Roman"/>
      <w:sz w:val="20"/>
      <w:szCs w:val="20"/>
      <w:lang w:bidi="en-US"/>
    </w:rPr>
  </w:style>
  <w:style w:type="character" w:customStyle="1" w:styleId="FootnoteTextChar1">
    <w:name w:val="Footnote Text Char1"/>
    <w:semiHidden/>
    <w:locked/>
    <w:rsid w:val="004C1C4F"/>
    <w:rPr>
      <w:rFonts w:ascii="Times New Roman" w:eastAsia="Times New Roman" w:hAnsi="Times New Roman" w:cs="Times New Roman"/>
      <w:sz w:val="20"/>
      <w:szCs w:val="20"/>
      <w:lang w:bidi="en-US"/>
    </w:rPr>
  </w:style>
  <w:style w:type="character" w:customStyle="1" w:styleId="SUBRAYADO">
    <w:name w:val="SUBRAYADO"/>
    <w:rsid w:val="004C1C4F"/>
    <w:rPr>
      <w:u w:val="single"/>
    </w:rPr>
  </w:style>
  <w:style w:type="paragraph" w:customStyle="1" w:styleId="Caratula">
    <w:name w:val="Caratula"/>
    <w:basedOn w:val="Textoindependiente"/>
    <w:uiPriority w:val="99"/>
    <w:rsid w:val="004C1C4F"/>
    <w:pPr>
      <w:spacing w:after="0" w:line="240" w:lineRule="atLeast"/>
      <w:ind w:firstLine="0"/>
    </w:pPr>
    <w:rPr>
      <w:rFonts w:ascii="Georgia" w:eastAsia="Times New Roman" w:hAnsi="Georgia"/>
      <w:b/>
      <w:i/>
      <w:snapToGrid w:val="0"/>
      <w:sz w:val="32"/>
      <w:szCs w:val="32"/>
      <w:lang w:bidi="en-US"/>
    </w:rPr>
  </w:style>
  <w:style w:type="character" w:customStyle="1" w:styleId="left">
    <w:name w:val="left"/>
    <w:rsid w:val="004C1C4F"/>
  </w:style>
  <w:style w:type="paragraph" w:customStyle="1" w:styleId="05List">
    <w:name w:val="0.5 List"/>
    <w:basedOn w:val="Normal"/>
    <w:uiPriority w:val="99"/>
    <w:rsid w:val="004C1C4F"/>
    <w:pPr>
      <w:tabs>
        <w:tab w:val="left" w:pos="1260"/>
      </w:tabs>
      <w:spacing w:after="200" w:line="240" w:lineRule="auto"/>
      <w:ind w:left="1267" w:hanging="547"/>
    </w:pPr>
    <w:rPr>
      <w:rFonts w:ascii="Times New Roman" w:eastAsia="Calibri" w:hAnsi="Times New Roman" w:cs="Arial"/>
      <w:sz w:val="20"/>
      <w:szCs w:val="24"/>
      <w:lang w:val="en-US"/>
    </w:rPr>
  </w:style>
  <w:style w:type="paragraph" w:customStyle="1" w:styleId="Blocktextsingle">
    <w:name w:val="Block text single"/>
    <w:basedOn w:val="Normal"/>
    <w:uiPriority w:val="99"/>
    <w:qFormat/>
    <w:rsid w:val="004C1C4F"/>
    <w:pPr>
      <w:spacing w:after="240" w:line="240" w:lineRule="auto"/>
    </w:pPr>
    <w:rPr>
      <w:rFonts w:ascii="Times New Roman" w:eastAsia="Calibri" w:hAnsi="Times New Roman" w:cs="Times New Roman"/>
      <w:sz w:val="20"/>
      <w:szCs w:val="20"/>
      <w:lang w:val="en-US"/>
    </w:rPr>
  </w:style>
  <w:style w:type="character" w:customStyle="1" w:styleId="Table5pt">
    <w:name w:val="Table 5pt"/>
    <w:uiPriority w:val="1"/>
    <w:qFormat/>
    <w:rsid w:val="004C1C4F"/>
    <w:rPr>
      <w:rFonts w:ascii="Times New Roman" w:hAnsi="Times New Roman"/>
      <w:w w:val="0"/>
      <w:sz w:val="10"/>
    </w:rPr>
  </w:style>
  <w:style w:type="paragraph" w:customStyle="1" w:styleId="ListBullet3SglNew">
    <w:name w:val="List Bullet 3 Sgl New"/>
    <w:basedOn w:val="Normal"/>
    <w:uiPriority w:val="99"/>
    <w:qFormat/>
    <w:rsid w:val="004C1C4F"/>
    <w:pPr>
      <w:numPr>
        <w:numId w:val="51"/>
      </w:numPr>
      <w:spacing w:after="240" w:line="240" w:lineRule="auto"/>
      <w:ind w:left="1080"/>
    </w:pPr>
    <w:rPr>
      <w:rFonts w:ascii="Times New Roman" w:eastAsia="SimSun" w:hAnsi="Times New Roman" w:cs="Times New Roman"/>
      <w:sz w:val="20"/>
      <w:szCs w:val="24"/>
      <w:lang w:val="en-US" w:eastAsia="zh-CN" w:bidi="he-IL"/>
    </w:rPr>
  </w:style>
  <w:style w:type="paragraph" w:customStyle="1" w:styleId="Tablenote0">
    <w:name w:val="Table note"/>
    <w:basedOn w:val="Normal"/>
    <w:uiPriority w:val="99"/>
    <w:qFormat/>
    <w:rsid w:val="004C1C4F"/>
    <w:pPr>
      <w:spacing w:after="0" w:line="240" w:lineRule="auto"/>
      <w:ind w:left="360" w:hanging="360"/>
    </w:pPr>
    <w:rPr>
      <w:rFonts w:ascii="Times New Roman" w:eastAsia="SimSun" w:hAnsi="Times New Roman" w:cs="Times New Roman"/>
      <w:sz w:val="17"/>
      <w:szCs w:val="17"/>
      <w:lang w:val="en-US"/>
    </w:rPr>
  </w:style>
  <w:style w:type="paragraph" w:customStyle="1" w:styleId="NUM1">
    <w:name w:val="NUM1"/>
    <w:basedOn w:val="Normal"/>
    <w:next w:val="Normal"/>
    <w:autoRedefine/>
    <w:uiPriority w:val="99"/>
    <w:rsid w:val="004C1C4F"/>
    <w:pPr>
      <w:numPr>
        <w:numId w:val="52"/>
      </w:numPr>
      <w:spacing w:before="240" w:after="240" w:line="240" w:lineRule="auto"/>
      <w:jc w:val="both"/>
    </w:pPr>
    <w:rPr>
      <w:rFonts w:ascii="Arial" w:eastAsia="Times New Roman" w:hAnsi="Arial" w:cs="Times New Roman"/>
      <w:b/>
      <w:caps/>
      <w:snapToGrid w:val="0"/>
      <w:szCs w:val="20"/>
      <w:u w:val="single"/>
      <w:lang w:val="es-ES_tradnl" w:eastAsia="es-ES"/>
    </w:rPr>
  </w:style>
  <w:style w:type="paragraph" w:customStyle="1" w:styleId="NUM2">
    <w:name w:val="NUM2"/>
    <w:basedOn w:val="Normal"/>
    <w:uiPriority w:val="99"/>
    <w:rsid w:val="004C1C4F"/>
    <w:pPr>
      <w:numPr>
        <w:ilvl w:val="1"/>
        <w:numId w:val="52"/>
      </w:numPr>
      <w:spacing w:after="240" w:line="240" w:lineRule="auto"/>
      <w:jc w:val="both"/>
    </w:pPr>
    <w:rPr>
      <w:rFonts w:ascii="Arial" w:eastAsia="Times New Roman" w:hAnsi="Arial" w:cs="Times New Roman"/>
      <w:snapToGrid w:val="0"/>
      <w:szCs w:val="20"/>
      <w:lang w:val="es-ES_tradnl" w:eastAsia="es-ES"/>
    </w:rPr>
  </w:style>
  <w:style w:type="paragraph" w:customStyle="1" w:styleId="NUM3">
    <w:name w:val="NUM3"/>
    <w:basedOn w:val="NUM2"/>
    <w:uiPriority w:val="99"/>
    <w:rsid w:val="004C1C4F"/>
    <w:pPr>
      <w:numPr>
        <w:ilvl w:val="2"/>
      </w:numPr>
    </w:pPr>
  </w:style>
  <w:style w:type="paragraph" w:customStyle="1" w:styleId="NUM4">
    <w:name w:val="NUM4"/>
    <w:basedOn w:val="NUM3"/>
    <w:uiPriority w:val="99"/>
    <w:rsid w:val="004C1C4F"/>
    <w:pPr>
      <w:numPr>
        <w:ilvl w:val="3"/>
      </w:numPr>
    </w:pPr>
  </w:style>
  <w:style w:type="paragraph" w:customStyle="1" w:styleId="Num5">
    <w:name w:val="Num5"/>
    <w:basedOn w:val="Normal"/>
    <w:uiPriority w:val="99"/>
    <w:rsid w:val="004C1C4F"/>
    <w:pPr>
      <w:widowControl w:val="0"/>
      <w:numPr>
        <w:ilvl w:val="4"/>
        <w:numId w:val="52"/>
      </w:numPr>
      <w:spacing w:after="0" w:line="240" w:lineRule="auto"/>
      <w:jc w:val="both"/>
    </w:pPr>
    <w:rPr>
      <w:rFonts w:ascii="Arial" w:eastAsia="Times New Roman" w:hAnsi="Arial" w:cs="Times New Roman"/>
      <w:snapToGrid w:val="0"/>
      <w:szCs w:val="20"/>
      <w:lang w:val="es-ES_tradnl" w:eastAsia="es-ES"/>
    </w:rPr>
  </w:style>
  <w:style w:type="paragraph" w:customStyle="1" w:styleId="Notaalpie">
    <w:name w:val="Nota al pie"/>
    <w:basedOn w:val="Normal"/>
    <w:link w:val="Notaalpie0"/>
    <w:uiPriority w:val="99"/>
    <w:rsid w:val="004C1C4F"/>
    <w:pPr>
      <w:numPr>
        <w:numId w:val="53"/>
      </w:numPr>
      <w:spacing w:after="0" w:line="240" w:lineRule="auto"/>
      <w:jc w:val="both"/>
    </w:pPr>
    <w:rPr>
      <w:rFonts w:ascii="Arial" w:eastAsia="Times New Roman" w:hAnsi="Arial" w:cs="Times New Roman"/>
      <w:sz w:val="16"/>
      <w:szCs w:val="20"/>
      <w:lang w:val="es-AR" w:eastAsia="es-ES"/>
    </w:rPr>
  </w:style>
  <w:style w:type="paragraph" w:customStyle="1" w:styleId="Vietas">
    <w:name w:val="Viñetas"/>
    <w:basedOn w:val="Normal"/>
    <w:uiPriority w:val="99"/>
    <w:rsid w:val="004C1C4F"/>
    <w:pPr>
      <w:numPr>
        <w:ilvl w:val="4"/>
        <w:numId w:val="54"/>
      </w:numPr>
      <w:spacing w:after="120" w:line="240" w:lineRule="auto"/>
      <w:jc w:val="both"/>
    </w:pPr>
    <w:rPr>
      <w:rFonts w:ascii="Arial" w:eastAsia="Times New Roman" w:hAnsi="Arial" w:cs="Times New Roman"/>
      <w:szCs w:val="20"/>
      <w:lang w:val="es-ES_tradnl" w:eastAsia="es-ES"/>
    </w:rPr>
  </w:style>
  <w:style w:type="paragraph" w:customStyle="1" w:styleId="Romanitos">
    <w:name w:val="Romanitos"/>
    <w:basedOn w:val="Normal"/>
    <w:autoRedefine/>
    <w:uiPriority w:val="99"/>
    <w:rsid w:val="004C1C4F"/>
    <w:pPr>
      <w:numPr>
        <w:ilvl w:val="3"/>
        <w:numId w:val="54"/>
      </w:numPr>
      <w:spacing w:after="240" w:line="240" w:lineRule="auto"/>
      <w:jc w:val="both"/>
    </w:pPr>
    <w:rPr>
      <w:rFonts w:ascii="Arial" w:eastAsia="Times New Roman" w:hAnsi="Arial" w:cs="Times New Roman"/>
      <w:szCs w:val="20"/>
      <w:lang w:val="es-ES_tradnl" w:eastAsia="es-ES"/>
    </w:rPr>
  </w:style>
  <w:style w:type="paragraph" w:customStyle="1" w:styleId="CarCar4CharCharCarCar1">
    <w:name w:val="Car Car4 Char Char Car Car1"/>
    <w:basedOn w:val="Normal"/>
    <w:uiPriority w:val="99"/>
    <w:rsid w:val="004C1C4F"/>
    <w:pPr>
      <w:tabs>
        <w:tab w:val="left" w:pos="720"/>
      </w:tabs>
      <w:spacing w:line="240" w:lineRule="exact"/>
    </w:pPr>
    <w:rPr>
      <w:rFonts w:ascii="Verdana" w:hAnsi="Verdana" w:cs="Times New Roman"/>
      <w:sz w:val="20"/>
      <w:szCs w:val="20"/>
      <w:lang w:val="en-US"/>
    </w:rPr>
  </w:style>
  <w:style w:type="character" w:customStyle="1" w:styleId="BlockTextSglChar">
    <w:name w:val="Block Text Sgl Char"/>
    <w:link w:val="BlockTextSgl"/>
    <w:rsid w:val="004C1C4F"/>
    <w:rPr>
      <w:rFonts w:ascii="Times New Roman" w:eastAsia="Calibri" w:hAnsi="Times New Roman" w:cs="Times New Roman"/>
      <w:sz w:val="20"/>
      <w:szCs w:val="20"/>
      <w:lang w:val="x-none" w:eastAsia="x-none"/>
    </w:rPr>
  </w:style>
  <w:style w:type="character" w:customStyle="1" w:styleId="TitleBCChar">
    <w:name w:val="Title BC Char"/>
    <w:link w:val="TitleBC"/>
    <w:rsid w:val="004C1C4F"/>
    <w:rPr>
      <w:rFonts w:ascii="Times New Roman Bold" w:eastAsia="Calibri" w:hAnsi="Times New Roman Bold" w:cs="Times New Roman"/>
      <w:b/>
      <w:caps/>
      <w:sz w:val="20"/>
      <w:szCs w:val="20"/>
      <w:lang w:val="x-none" w:eastAsia="x-none"/>
    </w:rPr>
  </w:style>
  <w:style w:type="paragraph" w:customStyle="1" w:styleId="TableText6pts">
    <w:name w:val="Table Text*6pts"/>
    <w:basedOn w:val="Normal"/>
    <w:uiPriority w:val="99"/>
    <w:rsid w:val="004C1C4F"/>
    <w:pPr>
      <w:spacing w:after="120" w:line="240" w:lineRule="auto"/>
    </w:pPr>
    <w:rPr>
      <w:rFonts w:ascii="Times New Roman" w:eastAsia="Times New Roman" w:hAnsi="Times New Roman" w:cs="Times"/>
      <w:sz w:val="20"/>
      <w:szCs w:val="24"/>
      <w:lang w:val="en-US"/>
    </w:rPr>
  </w:style>
  <w:style w:type="paragraph" w:customStyle="1" w:styleId="TableBefore">
    <w:name w:val="Table Before"/>
    <w:basedOn w:val="Normal"/>
    <w:uiPriority w:val="99"/>
    <w:rsid w:val="004C1C4F"/>
    <w:pPr>
      <w:spacing w:after="0" w:line="240" w:lineRule="auto"/>
    </w:pPr>
    <w:rPr>
      <w:rFonts w:ascii="Times New Roman" w:eastAsia="Times New Roman" w:hAnsi="Times New Roman" w:cs="Times New Roman"/>
      <w:color w:val="FF9900"/>
      <w:sz w:val="16"/>
      <w:szCs w:val="20"/>
      <w:lang w:val="en-US"/>
    </w:rPr>
  </w:style>
  <w:style w:type="paragraph" w:customStyle="1" w:styleId="BodyText5FirstLineIndent">
    <w:name w:val="Body Text .5 First Line Indent"/>
    <w:basedOn w:val="Normal"/>
    <w:uiPriority w:val="99"/>
    <w:rsid w:val="004C1C4F"/>
    <w:pPr>
      <w:spacing w:after="200" w:line="240" w:lineRule="auto"/>
      <w:ind w:firstLine="720"/>
    </w:pPr>
    <w:rPr>
      <w:rFonts w:ascii="Times New Roman" w:eastAsia="Times New Roman" w:hAnsi="Times New Roman" w:cs="Times New Roman"/>
      <w:sz w:val="20"/>
      <w:szCs w:val="20"/>
      <w:lang w:val="en-US"/>
    </w:rPr>
  </w:style>
  <w:style w:type="paragraph" w:customStyle="1" w:styleId="TableAfter">
    <w:name w:val="Table After"/>
    <w:basedOn w:val="TableBefore"/>
    <w:uiPriority w:val="99"/>
    <w:rsid w:val="004C1C4F"/>
    <w:pPr>
      <w:spacing w:after="160"/>
    </w:pPr>
    <w:rPr>
      <w:sz w:val="20"/>
    </w:rPr>
  </w:style>
  <w:style w:type="paragraph" w:customStyle="1" w:styleId="FTNormal">
    <w:name w:val="FT Normal"/>
    <w:basedOn w:val="Normal"/>
    <w:uiPriority w:val="99"/>
    <w:rsid w:val="004C1C4F"/>
    <w:pPr>
      <w:spacing w:after="0" w:line="240" w:lineRule="auto"/>
    </w:pPr>
    <w:rPr>
      <w:rFonts w:ascii="Times New Roman" w:eastAsia="Times New Roman" w:hAnsi="Times New Roman" w:cs="Times New Roman"/>
      <w:sz w:val="20"/>
      <w:szCs w:val="24"/>
      <w:lang w:val="en-US"/>
    </w:rPr>
  </w:style>
  <w:style w:type="paragraph" w:customStyle="1" w:styleId="FTHeadBorder1">
    <w:name w:val="FT Head Border 1"/>
    <w:basedOn w:val="FTNormal"/>
    <w:uiPriority w:val="99"/>
    <w:rsid w:val="004C1C4F"/>
    <w:pPr>
      <w:keepNext/>
      <w:pBdr>
        <w:bottom w:val="single" w:sz="4" w:space="0" w:color="auto"/>
      </w:pBdr>
      <w:spacing w:after="20"/>
      <w:jc w:val="center"/>
    </w:pPr>
    <w:rPr>
      <w:rFonts w:ascii="Times New Roman Bold" w:hAnsi="Times New Roman Bold"/>
      <w:b/>
      <w:szCs w:val="20"/>
    </w:rPr>
  </w:style>
  <w:style w:type="paragraph" w:customStyle="1" w:styleId="RedHerring">
    <w:name w:val="Red Herring"/>
    <w:basedOn w:val="Normal"/>
    <w:uiPriority w:val="99"/>
    <w:rsid w:val="004C1C4F"/>
    <w:pPr>
      <w:spacing w:after="0" w:line="240" w:lineRule="auto"/>
    </w:pPr>
    <w:rPr>
      <w:rFonts w:ascii="Arial" w:eastAsia="Times New Roman" w:hAnsi="Arial" w:cs="Arial"/>
      <w:color w:val="FF0000"/>
      <w:sz w:val="18"/>
      <w:szCs w:val="20"/>
      <w:lang w:val="en-US"/>
    </w:rPr>
  </w:style>
  <w:style w:type="paragraph" w:customStyle="1" w:styleId="TextSeparator">
    <w:name w:val="Text Separator"/>
    <w:basedOn w:val="Normal"/>
    <w:next w:val="Normal"/>
    <w:uiPriority w:val="99"/>
    <w:rsid w:val="004C1C4F"/>
    <w:pPr>
      <w:spacing w:after="200" w:line="240" w:lineRule="auto"/>
      <w:jc w:val="center"/>
    </w:pPr>
    <w:rPr>
      <w:rFonts w:ascii="Times New Roman" w:eastAsia="Times New Roman" w:hAnsi="Times New Roman" w:cs="Times New Roman"/>
      <w:sz w:val="20"/>
      <w:szCs w:val="24"/>
      <w:lang w:val="en-US"/>
    </w:rPr>
  </w:style>
  <w:style w:type="paragraph" w:customStyle="1" w:styleId="TitleBIInd25">
    <w:name w:val="Title BI Ind .25&quot;"/>
    <w:basedOn w:val="Normal"/>
    <w:uiPriority w:val="99"/>
    <w:rsid w:val="004C1C4F"/>
    <w:pPr>
      <w:keepNext/>
      <w:spacing w:after="200" w:line="240" w:lineRule="auto"/>
      <w:ind w:left="360"/>
    </w:pPr>
    <w:rPr>
      <w:rFonts w:ascii="Times New Roman" w:eastAsia="Times New Roman" w:hAnsi="Times New Roman" w:cs="Times"/>
      <w:b/>
      <w:i/>
      <w:sz w:val="20"/>
      <w:szCs w:val="24"/>
      <w:lang w:val="en-US"/>
    </w:rPr>
  </w:style>
  <w:style w:type="paragraph" w:customStyle="1" w:styleId="CM12">
    <w:name w:val="CM12"/>
    <w:basedOn w:val="Default"/>
    <w:next w:val="Default"/>
    <w:uiPriority w:val="99"/>
    <w:rsid w:val="004C1C4F"/>
    <w:pPr>
      <w:widowControl w:val="0"/>
      <w:spacing w:line="260" w:lineRule="atLeast"/>
    </w:pPr>
    <w:rPr>
      <w:rFonts w:ascii="Times" w:eastAsia="Times New Roman" w:hAnsi="Times" w:cs="Times"/>
      <w:snapToGrid w:val="0"/>
      <w:color w:val="auto"/>
      <w:lang w:val="en-US"/>
    </w:rPr>
  </w:style>
  <w:style w:type="paragraph" w:customStyle="1" w:styleId="TitleIInd5">
    <w:name w:val="Title I Ind .5"/>
    <w:basedOn w:val="Normal"/>
    <w:next w:val="BodyText2Sgl"/>
    <w:uiPriority w:val="99"/>
    <w:rsid w:val="004C1C4F"/>
    <w:pPr>
      <w:keepNext/>
      <w:spacing w:after="240" w:line="240" w:lineRule="auto"/>
      <w:ind w:left="720"/>
    </w:pPr>
    <w:rPr>
      <w:rFonts w:ascii="Times New Roman" w:eastAsia="Times New Roman" w:hAnsi="Times New Roman" w:cs="Times"/>
      <w:i/>
      <w:sz w:val="20"/>
      <w:szCs w:val="24"/>
      <w:lang w:val="en-US"/>
    </w:rPr>
  </w:style>
  <w:style w:type="paragraph" w:customStyle="1" w:styleId="Title3">
    <w:name w:val="Title3"/>
    <w:basedOn w:val="Normal"/>
    <w:next w:val="BodyText5FirstLineIndent"/>
    <w:uiPriority w:val="99"/>
    <w:rsid w:val="004C1C4F"/>
    <w:pPr>
      <w:keepNext/>
      <w:keepLines/>
      <w:numPr>
        <w:numId w:val="56"/>
      </w:numPr>
      <w:tabs>
        <w:tab w:val="clear" w:pos="864"/>
      </w:tabs>
      <w:spacing w:after="200" w:line="240" w:lineRule="auto"/>
      <w:ind w:left="720" w:firstLine="0"/>
    </w:pPr>
    <w:rPr>
      <w:rFonts w:ascii="Times New Roman" w:eastAsia="Times New Roman" w:hAnsi="Times New Roman" w:cs="Times New Roman"/>
      <w:i/>
      <w:sz w:val="20"/>
      <w:szCs w:val="20"/>
      <w:lang w:val="en-US"/>
    </w:rPr>
  </w:style>
  <w:style w:type="paragraph" w:customStyle="1" w:styleId="BLOCKBOLDSGL">
    <w:name w:val="BLOCK BOLD SGL"/>
    <w:basedOn w:val="Normal"/>
    <w:uiPriority w:val="99"/>
    <w:rsid w:val="004C1C4F"/>
    <w:pPr>
      <w:keepNext/>
      <w:spacing w:after="240" w:line="240" w:lineRule="auto"/>
    </w:pPr>
    <w:rPr>
      <w:rFonts w:ascii="Times New Roman" w:eastAsia="Times New Roman" w:hAnsi="Times New Roman" w:cs="Times New Roman"/>
      <w:b/>
      <w:sz w:val="20"/>
      <w:szCs w:val="24"/>
      <w:lang w:val="en-US"/>
    </w:rPr>
  </w:style>
  <w:style w:type="paragraph" w:customStyle="1" w:styleId="Arrowbullet">
    <w:name w:val="Arrow bullet"/>
    <w:basedOn w:val="Normal"/>
    <w:uiPriority w:val="99"/>
    <w:rsid w:val="004C1C4F"/>
    <w:pPr>
      <w:spacing w:after="240" w:line="240" w:lineRule="auto"/>
      <w:ind w:left="1080" w:hanging="360"/>
    </w:pPr>
    <w:rPr>
      <w:rFonts w:ascii="Times New Roman" w:eastAsia="Times New Roman" w:hAnsi="Times New Roman" w:cs="Times New Roman"/>
      <w:sz w:val="20"/>
      <w:szCs w:val="24"/>
      <w:lang w:val="en-US"/>
    </w:rPr>
  </w:style>
  <w:style w:type="paragraph" w:customStyle="1" w:styleId="ItalicsBlock">
    <w:name w:val="Italics/Block"/>
    <w:basedOn w:val="Normal"/>
    <w:uiPriority w:val="99"/>
    <w:rsid w:val="004C1C4F"/>
    <w:pPr>
      <w:spacing w:after="240" w:line="240" w:lineRule="auto"/>
    </w:pPr>
    <w:rPr>
      <w:rFonts w:ascii="Times New Roman" w:eastAsia="Times New Roman" w:hAnsi="Times New Roman" w:cs="Times New Roman"/>
      <w:i/>
      <w:sz w:val="20"/>
      <w:szCs w:val="24"/>
      <w:lang w:val="en-US"/>
    </w:rPr>
  </w:style>
  <w:style w:type="paragraph" w:customStyle="1" w:styleId="TitleItalics">
    <w:name w:val="Title/Italics"/>
    <w:basedOn w:val="Normal"/>
    <w:uiPriority w:val="99"/>
    <w:rsid w:val="004C1C4F"/>
    <w:pPr>
      <w:keepNext/>
      <w:spacing w:after="240" w:line="240" w:lineRule="auto"/>
      <w:ind w:firstLine="720"/>
    </w:pPr>
    <w:rPr>
      <w:rFonts w:ascii="Times New Roman" w:eastAsia="Times New Roman" w:hAnsi="Times New Roman" w:cs="Times"/>
      <w:i/>
      <w:sz w:val="20"/>
      <w:szCs w:val="20"/>
      <w:lang w:val="en-US"/>
    </w:rPr>
  </w:style>
  <w:style w:type="paragraph" w:customStyle="1" w:styleId="NoteLine">
    <w:name w:val="Note Line"/>
    <w:basedOn w:val="Normal"/>
    <w:uiPriority w:val="99"/>
    <w:rsid w:val="004C1C4F"/>
    <w:pPr>
      <w:pBdr>
        <w:bottom w:val="single" w:sz="4" w:space="1" w:color="auto"/>
      </w:pBdr>
      <w:spacing w:after="60" w:line="240" w:lineRule="auto"/>
      <w:ind w:right="7920"/>
    </w:pPr>
    <w:rPr>
      <w:rFonts w:ascii="Times New Roman" w:eastAsia="Times New Roman" w:hAnsi="Times New Roman" w:cs="Times"/>
      <w:sz w:val="20"/>
      <w:szCs w:val="24"/>
      <w:lang w:val="en-US"/>
    </w:rPr>
  </w:style>
  <w:style w:type="paragraph" w:customStyle="1" w:styleId="Notes">
    <w:name w:val="Notes"/>
    <w:basedOn w:val="Normal"/>
    <w:uiPriority w:val="99"/>
    <w:rsid w:val="004C1C4F"/>
    <w:pPr>
      <w:spacing w:after="0" w:line="240" w:lineRule="auto"/>
      <w:ind w:left="360" w:hanging="360"/>
    </w:pPr>
    <w:rPr>
      <w:rFonts w:ascii="Times New Roman" w:eastAsia="Times New Roman" w:hAnsi="Times New Roman" w:cs="Times"/>
      <w:sz w:val="16"/>
      <w:szCs w:val="20"/>
      <w:lang w:val="en-US"/>
    </w:rPr>
  </w:style>
  <w:style w:type="character" w:customStyle="1" w:styleId="texto1">
    <w:name w:val="texto1"/>
    <w:rsid w:val="004C1C4F"/>
    <w:rPr>
      <w:rFonts w:ascii="Tahoma" w:hAnsi="Tahoma" w:cs="Tahoma" w:hint="default"/>
      <w:strike w:val="0"/>
      <w:dstrike w:val="0"/>
      <w:color w:val="000000"/>
      <w:sz w:val="21"/>
      <w:szCs w:val="21"/>
      <w:u w:val="none"/>
      <w:effect w:val="none"/>
    </w:rPr>
  </w:style>
  <w:style w:type="paragraph" w:customStyle="1" w:styleId="Leftitalicboldcaption">
    <w:name w:val="Left italic bold caption"/>
    <w:basedOn w:val="Normal"/>
    <w:uiPriority w:val="99"/>
    <w:rsid w:val="004C1C4F"/>
    <w:pPr>
      <w:keepNext/>
      <w:keepLines/>
      <w:numPr>
        <w:numId w:val="57"/>
      </w:numPr>
      <w:tabs>
        <w:tab w:val="clear" w:pos="360"/>
      </w:tabs>
      <w:spacing w:after="240" w:line="240" w:lineRule="auto"/>
      <w:ind w:left="0" w:firstLine="0"/>
    </w:pPr>
    <w:rPr>
      <w:rFonts w:ascii="Arial" w:eastAsia="Times New Roman" w:hAnsi="Arial" w:cs="Times New Roman"/>
      <w:b/>
      <w:i/>
      <w:sz w:val="18"/>
      <w:szCs w:val="20"/>
      <w:lang w:val="en-US"/>
    </w:rPr>
  </w:style>
  <w:style w:type="paragraph" w:customStyle="1" w:styleId="CommentSubject1">
    <w:name w:val="Comment Subject1"/>
    <w:basedOn w:val="Textocomentario"/>
    <w:next w:val="Textocomentario"/>
    <w:uiPriority w:val="99"/>
    <w:rsid w:val="004C1C4F"/>
    <w:pPr>
      <w:autoSpaceDE w:val="0"/>
      <w:autoSpaceDN w:val="0"/>
      <w:adjustRightInd w:val="0"/>
    </w:pPr>
    <w:rPr>
      <w:rFonts w:eastAsia="SimSun"/>
      <w:b/>
      <w:bCs/>
      <w:lang w:eastAsia="zh-CN"/>
    </w:rPr>
  </w:style>
  <w:style w:type="paragraph" w:customStyle="1" w:styleId="TitleItalics0">
    <w:name w:val="Title Italics"/>
    <w:basedOn w:val="Normal"/>
    <w:uiPriority w:val="99"/>
    <w:rsid w:val="004C1C4F"/>
    <w:pPr>
      <w:keepNext/>
      <w:widowControl w:val="0"/>
      <w:autoSpaceDE w:val="0"/>
      <w:autoSpaceDN w:val="0"/>
      <w:spacing w:after="200" w:line="240" w:lineRule="auto"/>
    </w:pPr>
    <w:rPr>
      <w:rFonts w:ascii="Times New Roman" w:eastAsia="Times New Roman" w:hAnsi="Times New Roman" w:cs="Times New Roman"/>
      <w:i/>
      <w:iCs/>
      <w:sz w:val="20"/>
      <w:szCs w:val="24"/>
      <w:lang w:val="en-US"/>
    </w:rPr>
  </w:style>
  <w:style w:type="paragraph" w:customStyle="1" w:styleId="TitleBItalics">
    <w:name w:val="Title BItalics"/>
    <w:basedOn w:val="TitleItalics0"/>
    <w:uiPriority w:val="99"/>
    <w:rsid w:val="004C1C4F"/>
    <w:rPr>
      <w:b/>
    </w:rPr>
  </w:style>
  <w:style w:type="paragraph" w:customStyle="1" w:styleId="TitleItalics25">
    <w:name w:val="Title Italics .25"/>
    <w:basedOn w:val="TitleItalics0"/>
    <w:uiPriority w:val="99"/>
    <w:rsid w:val="004C1C4F"/>
    <w:pPr>
      <w:ind w:left="360"/>
    </w:pPr>
  </w:style>
  <w:style w:type="paragraph" w:customStyle="1" w:styleId="TitleBI5">
    <w:name w:val="Title BI .5"/>
    <w:basedOn w:val="TitleBItalics"/>
    <w:uiPriority w:val="99"/>
    <w:rsid w:val="004C1C4F"/>
    <w:pPr>
      <w:widowControl/>
      <w:spacing w:after="240"/>
      <w:ind w:left="720"/>
    </w:pPr>
  </w:style>
  <w:style w:type="paragraph" w:customStyle="1" w:styleId="TitleItalics5">
    <w:name w:val="Title Italics .5"/>
    <w:basedOn w:val="TitleItalics25"/>
    <w:uiPriority w:val="99"/>
    <w:rsid w:val="004C1C4F"/>
    <w:pPr>
      <w:widowControl/>
      <w:ind w:left="720"/>
    </w:pPr>
  </w:style>
  <w:style w:type="paragraph" w:customStyle="1" w:styleId="S2Heading1">
    <w:name w:val="S2.Heading 1"/>
    <w:basedOn w:val="Normal"/>
    <w:uiPriority w:val="99"/>
    <w:rsid w:val="004C1C4F"/>
    <w:pPr>
      <w:numPr>
        <w:numId w:val="55"/>
      </w:numPr>
      <w:spacing w:after="0" w:line="240" w:lineRule="auto"/>
    </w:pPr>
    <w:rPr>
      <w:rFonts w:ascii="Times New Roman" w:eastAsia="Times New Roman" w:hAnsi="Times New Roman" w:cs="Times New Roman"/>
      <w:sz w:val="20"/>
      <w:szCs w:val="24"/>
      <w:lang w:val="en-US"/>
    </w:rPr>
  </w:style>
  <w:style w:type="paragraph" w:customStyle="1" w:styleId="S2Heading2">
    <w:name w:val="S2.Heading 2"/>
    <w:basedOn w:val="Normal"/>
    <w:uiPriority w:val="99"/>
    <w:rsid w:val="004C1C4F"/>
    <w:pPr>
      <w:numPr>
        <w:ilvl w:val="1"/>
        <w:numId w:val="55"/>
      </w:numPr>
      <w:spacing w:after="0" w:line="240" w:lineRule="auto"/>
    </w:pPr>
    <w:rPr>
      <w:rFonts w:ascii="Times New Roman" w:eastAsia="Times New Roman" w:hAnsi="Times New Roman" w:cs="Times New Roman"/>
      <w:sz w:val="20"/>
      <w:szCs w:val="24"/>
      <w:lang w:val="en-US"/>
    </w:rPr>
  </w:style>
  <w:style w:type="paragraph" w:customStyle="1" w:styleId="S2Heading4">
    <w:name w:val="S2.Heading 4"/>
    <w:basedOn w:val="Normal"/>
    <w:uiPriority w:val="99"/>
    <w:rsid w:val="004C1C4F"/>
    <w:pPr>
      <w:tabs>
        <w:tab w:val="num" w:pos="1440"/>
      </w:tabs>
      <w:spacing w:after="0" w:line="240" w:lineRule="auto"/>
      <w:ind w:firstLine="720"/>
    </w:pPr>
    <w:rPr>
      <w:rFonts w:ascii="Times New Roman" w:eastAsia="Times New Roman" w:hAnsi="Times New Roman" w:cs="Times New Roman"/>
      <w:sz w:val="20"/>
      <w:szCs w:val="24"/>
      <w:lang w:val="en-US"/>
    </w:rPr>
  </w:style>
  <w:style w:type="paragraph" w:customStyle="1" w:styleId="S2Heading5">
    <w:name w:val="S2.Heading 5"/>
    <w:basedOn w:val="Normal"/>
    <w:uiPriority w:val="99"/>
    <w:rsid w:val="004C1C4F"/>
    <w:pPr>
      <w:tabs>
        <w:tab w:val="num" w:pos="2880"/>
      </w:tabs>
      <w:spacing w:after="0" w:line="240" w:lineRule="auto"/>
      <w:ind w:left="1440" w:firstLine="720"/>
    </w:pPr>
    <w:rPr>
      <w:rFonts w:ascii="Times New Roman" w:eastAsia="Times New Roman" w:hAnsi="Times New Roman" w:cs="Times New Roman"/>
      <w:sz w:val="20"/>
      <w:szCs w:val="24"/>
      <w:lang w:val="en-US"/>
    </w:rPr>
  </w:style>
  <w:style w:type="paragraph" w:customStyle="1" w:styleId="S2Heading6">
    <w:name w:val="S2.Heading 6"/>
    <w:basedOn w:val="Normal"/>
    <w:uiPriority w:val="99"/>
    <w:rsid w:val="004C1C4F"/>
    <w:pPr>
      <w:tabs>
        <w:tab w:val="num" w:pos="4320"/>
      </w:tabs>
      <w:spacing w:after="0" w:line="240" w:lineRule="auto"/>
      <w:ind w:left="4320" w:hanging="720"/>
    </w:pPr>
    <w:rPr>
      <w:rFonts w:ascii="Times New Roman" w:eastAsia="Times New Roman" w:hAnsi="Times New Roman" w:cs="Times New Roman"/>
      <w:sz w:val="20"/>
      <w:szCs w:val="24"/>
      <w:lang w:val="en-US"/>
    </w:rPr>
  </w:style>
  <w:style w:type="paragraph" w:customStyle="1" w:styleId="S2Heading7">
    <w:name w:val="S2.Heading 7"/>
    <w:basedOn w:val="Normal"/>
    <w:uiPriority w:val="99"/>
    <w:rsid w:val="004C1C4F"/>
    <w:pPr>
      <w:tabs>
        <w:tab w:val="num" w:pos="5040"/>
      </w:tabs>
      <w:spacing w:after="0" w:line="240" w:lineRule="auto"/>
      <w:ind w:left="5040" w:hanging="720"/>
    </w:pPr>
    <w:rPr>
      <w:rFonts w:ascii="Times New Roman" w:eastAsia="Times New Roman" w:hAnsi="Times New Roman" w:cs="Times New Roman"/>
      <w:sz w:val="20"/>
      <w:szCs w:val="24"/>
      <w:lang w:val="en-US"/>
    </w:rPr>
  </w:style>
  <w:style w:type="paragraph" w:customStyle="1" w:styleId="S2Heading8">
    <w:name w:val="S2.Heading 8"/>
    <w:basedOn w:val="Normal"/>
    <w:uiPriority w:val="99"/>
    <w:rsid w:val="004C1C4F"/>
    <w:pPr>
      <w:tabs>
        <w:tab w:val="num" w:pos="5760"/>
      </w:tabs>
      <w:spacing w:after="0" w:line="240" w:lineRule="auto"/>
      <w:ind w:left="5760" w:hanging="720"/>
    </w:pPr>
    <w:rPr>
      <w:rFonts w:ascii="Times New Roman" w:eastAsia="Times New Roman" w:hAnsi="Times New Roman" w:cs="Times New Roman"/>
      <w:sz w:val="20"/>
      <w:szCs w:val="24"/>
      <w:lang w:val="en-US"/>
    </w:rPr>
  </w:style>
  <w:style w:type="paragraph" w:customStyle="1" w:styleId="S2Heading9">
    <w:name w:val="S2.Heading 9"/>
    <w:basedOn w:val="Normal"/>
    <w:uiPriority w:val="99"/>
    <w:rsid w:val="004C1C4F"/>
    <w:pPr>
      <w:tabs>
        <w:tab w:val="num" w:pos="2304"/>
      </w:tabs>
      <w:spacing w:after="0" w:line="240" w:lineRule="auto"/>
      <w:ind w:left="2304" w:hanging="1584"/>
    </w:pPr>
    <w:rPr>
      <w:rFonts w:ascii="Times New Roman" w:eastAsia="Times New Roman" w:hAnsi="Times New Roman" w:cs="Times New Roman"/>
      <w:sz w:val="20"/>
      <w:szCs w:val="24"/>
      <w:lang w:val="en-US"/>
    </w:rPr>
  </w:style>
  <w:style w:type="paragraph" w:customStyle="1" w:styleId="Timesnewroman">
    <w:name w:val="Times new roman"/>
    <w:basedOn w:val="Normal"/>
    <w:uiPriority w:val="99"/>
    <w:rsid w:val="004C1C4F"/>
    <w:pPr>
      <w:widowControl w:val="0"/>
      <w:tabs>
        <w:tab w:val="left" w:pos="-720"/>
        <w:tab w:val="center" w:pos="4703"/>
      </w:tabs>
      <w:suppressAutoHyphens/>
      <w:spacing w:after="0" w:line="240" w:lineRule="auto"/>
      <w:ind w:firstLine="720"/>
      <w:jc w:val="both"/>
    </w:pPr>
    <w:rPr>
      <w:rFonts w:ascii="CG Times" w:eastAsia="Times New Roman" w:hAnsi="CG Times" w:cs="Times New Roman"/>
      <w:snapToGrid w:val="0"/>
      <w:sz w:val="20"/>
      <w:szCs w:val="20"/>
      <w:lang w:val="es-AR" w:eastAsia="es-ES"/>
    </w:rPr>
  </w:style>
  <w:style w:type="character" w:customStyle="1" w:styleId="table9pt0">
    <w:name w:val="table9pt"/>
    <w:basedOn w:val="Fuentedeprrafopredeter"/>
    <w:rsid w:val="004C1C4F"/>
  </w:style>
  <w:style w:type="paragraph" w:customStyle="1" w:styleId="Style10">
    <w:name w:val="Style 1"/>
    <w:basedOn w:val="Normal"/>
    <w:uiPriority w:val="99"/>
    <w:rsid w:val="004C1C4F"/>
    <w:pPr>
      <w:widowControl w:val="0"/>
      <w:autoSpaceDE w:val="0"/>
      <w:autoSpaceDN w:val="0"/>
      <w:adjustRightInd w:val="0"/>
      <w:spacing w:after="0" w:line="240" w:lineRule="auto"/>
    </w:pPr>
    <w:rPr>
      <w:rFonts w:ascii="Times New Roman" w:eastAsia="Times New Roman" w:hAnsi="Times New Roman" w:cs="Times New Roman"/>
      <w:sz w:val="20"/>
      <w:szCs w:val="24"/>
      <w:lang w:val="en-US"/>
    </w:rPr>
  </w:style>
  <w:style w:type="paragraph" w:customStyle="1" w:styleId="Style20">
    <w:name w:val="Style 2"/>
    <w:basedOn w:val="Normal"/>
    <w:uiPriority w:val="99"/>
    <w:rsid w:val="004C1C4F"/>
    <w:pPr>
      <w:widowControl w:val="0"/>
      <w:autoSpaceDE w:val="0"/>
      <w:autoSpaceDN w:val="0"/>
      <w:spacing w:after="0" w:line="504" w:lineRule="atLeast"/>
    </w:pPr>
    <w:rPr>
      <w:rFonts w:ascii="Times New Roman" w:eastAsia="Times New Roman" w:hAnsi="Times New Roman" w:cs="Times New Roman"/>
      <w:sz w:val="20"/>
      <w:szCs w:val="24"/>
      <w:lang w:val="en-US"/>
    </w:rPr>
  </w:style>
  <w:style w:type="character" w:customStyle="1" w:styleId="ital-inline1">
    <w:name w:val="ital-inline1"/>
    <w:rsid w:val="004C1C4F"/>
    <w:rPr>
      <w:i/>
      <w:iCs/>
      <w:vanish w:val="0"/>
      <w:specVanish w:val="0"/>
    </w:rPr>
  </w:style>
  <w:style w:type="character" w:customStyle="1" w:styleId="TitleBCCar">
    <w:name w:val="Title BC Car"/>
    <w:rsid w:val="004C1C4F"/>
    <w:rPr>
      <w:b/>
    </w:rPr>
  </w:style>
  <w:style w:type="paragraph" w:customStyle="1" w:styleId="xl37">
    <w:name w:val="xl37"/>
    <w:basedOn w:val="Normal"/>
    <w:uiPriority w:val="99"/>
    <w:locked/>
    <w:rsid w:val="004C1C4F"/>
    <w:pPr>
      <w:spacing w:before="100" w:beforeAutospacing="1" w:after="100" w:afterAutospacing="1" w:line="240" w:lineRule="auto"/>
      <w:jc w:val="center"/>
      <w:textAlignment w:val="center"/>
    </w:pPr>
    <w:rPr>
      <w:rFonts w:ascii="CG Omega" w:eastAsia="Arial Unicode MS" w:hAnsi="CG Omega" w:cs="Arial Unicode MS"/>
      <w:sz w:val="20"/>
      <w:szCs w:val="20"/>
      <w:lang w:eastAsia="es-ES"/>
    </w:rPr>
  </w:style>
  <w:style w:type="paragraph" w:customStyle="1" w:styleId="Tableline0">
    <w:name w:val="Table line"/>
    <w:basedOn w:val="Normal"/>
    <w:uiPriority w:val="99"/>
    <w:qFormat/>
    <w:rsid w:val="004C1C4F"/>
    <w:pPr>
      <w:widowControl w:val="0"/>
      <w:pBdr>
        <w:bottom w:val="single" w:sz="6" w:space="0" w:color="auto"/>
      </w:pBdr>
      <w:shd w:val="clear" w:color="auto" w:fill="FFFFFF"/>
      <w:autoSpaceDE w:val="0"/>
      <w:autoSpaceDN w:val="0"/>
      <w:adjustRightInd w:val="0"/>
      <w:spacing w:after="120" w:line="240" w:lineRule="auto"/>
      <w:ind w:right="7920"/>
    </w:pPr>
    <w:rPr>
      <w:rFonts w:ascii="Times New Roman" w:eastAsia="Arial" w:hAnsi="Times New Roman" w:cs="Arial"/>
      <w:lang w:val="en-US"/>
    </w:rPr>
  </w:style>
  <w:style w:type="character" w:customStyle="1" w:styleId="TitleBIChar">
    <w:name w:val="Title BI Char"/>
    <w:link w:val="TitleBI"/>
    <w:rsid w:val="004C1C4F"/>
    <w:rPr>
      <w:rFonts w:ascii="Times New Roman" w:eastAsia="Calibri" w:hAnsi="Times New Roman" w:cs="Times New Roman"/>
      <w:b/>
      <w:i/>
      <w:sz w:val="20"/>
      <w:szCs w:val="20"/>
      <w:lang w:val="x-none" w:eastAsia="x-none"/>
    </w:rPr>
  </w:style>
  <w:style w:type="character" w:customStyle="1" w:styleId="normalchar">
    <w:name w:val="normal__char"/>
    <w:basedOn w:val="Fuentedeprrafopredeter"/>
    <w:rsid w:val="004C1C4F"/>
  </w:style>
  <w:style w:type="character" w:customStyle="1" w:styleId="A6">
    <w:name w:val="A6"/>
    <w:uiPriority w:val="99"/>
    <w:rsid w:val="004C1C4F"/>
    <w:rPr>
      <w:rFonts w:cs="Myriad Pro"/>
      <w:color w:val="000000"/>
    </w:rPr>
  </w:style>
  <w:style w:type="paragraph" w:customStyle="1" w:styleId="L1Hed-TopPage">
    <w:name w:val="L1Hed-TopPage"/>
    <w:basedOn w:val="BodyUSOC"/>
    <w:next w:val="BodyUSOC"/>
    <w:uiPriority w:val="99"/>
    <w:rsid w:val="004C1C4F"/>
    <w:pPr>
      <w:pageBreakBefore/>
      <w:spacing w:after="240" w:line="260" w:lineRule="exact"/>
      <w:ind w:firstLine="0"/>
      <w:jc w:val="center"/>
    </w:pPr>
    <w:rPr>
      <w:b/>
      <w:caps/>
      <w:lang w:val="en-US"/>
    </w:rPr>
  </w:style>
  <w:style w:type="paragraph" w:customStyle="1" w:styleId="4Level-1block">
    <w:name w:val="4Level-(1)block"/>
    <w:basedOn w:val="BodyUSOC"/>
    <w:uiPriority w:val="99"/>
    <w:rsid w:val="004C1C4F"/>
    <w:pPr>
      <w:numPr>
        <w:ilvl w:val="3"/>
        <w:numId w:val="58"/>
      </w:numPr>
      <w:tabs>
        <w:tab w:val="clear" w:pos="1728"/>
        <w:tab w:val="num" w:pos="360"/>
      </w:tabs>
      <w:ind w:left="0" w:firstLine="0"/>
      <w:jc w:val="both"/>
      <w:outlineLvl w:val="3"/>
    </w:pPr>
    <w:rPr>
      <w:lang w:val="en-US"/>
    </w:rPr>
  </w:style>
  <w:style w:type="paragraph" w:customStyle="1" w:styleId="Bullet20">
    <w:name w:val="Bullet2"/>
    <w:basedOn w:val="Normal"/>
    <w:uiPriority w:val="99"/>
    <w:rsid w:val="004C1C4F"/>
    <w:pPr>
      <w:tabs>
        <w:tab w:val="num" w:pos="1296"/>
      </w:tabs>
      <w:spacing w:after="120" w:line="240" w:lineRule="exact"/>
      <w:ind w:left="1296" w:hanging="432"/>
      <w:jc w:val="both"/>
    </w:pPr>
    <w:rPr>
      <w:rFonts w:ascii="Times New Roman" w:eastAsia="Times New Roman" w:hAnsi="Times New Roman" w:cs="Times New Roman"/>
      <w:sz w:val="21"/>
      <w:szCs w:val="20"/>
      <w:lang w:val="en-US"/>
    </w:rPr>
  </w:style>
  <w:style w:type="paragraph" w:customStyle="1" w:styleId="Bullet30">
    <w:name w:val="Bullet3"/>
    <w:basedOn w:val="Normal"/>
    <w:uiPriority w:val="99"/>
    <w:rsid w:val="004C1C4F"/>
    <w:pPr>
      <w:tabs>
        <w:tab w:val="num" w:pos="1728"/>
      </w:tabs>
      <w:spacing w:after="120" w:line="240" w:lineRule="exact"/>
      <w:ind w:left="1728" w:hanging="432"/>
      <w:jc w:val="both"/>
    </w:pPr>
    <w:rPr>
      <w:rFonts w:ascii="Times New Roman" w:eastAsia="Times New Roman" w:hAnsi="Times New Roman" w:cs="Times New Roman"/>
      <w:sz w:val="21"/>
      <w:szCs w:val="20"/>
      <w:lang w:val="en-US"/>
    </w:rPr>
  </w:style>
  <w:style w:type="character" w:customStyle="1" w:styleId="BodyUSOCChar">
    <w:name w:val="Body_US_OC Char"/>
    <w:link w:val="BodyUSOC"/>
    <w:rsid w:val="004C1C4F"/>
    <w:rPr>
      <w:rFonts w:ascii="Times New Roman" w:eastAsia="Times New Roman" w:hAnsi="Times New Roman" w:cs="Times New Roman"/>
      <w:sz w:val="21"/>
      <w:szCs w:val="20"/>
      <w:lang w:val="en-GB" w:eastAsia="x-none"/>
    </w:rPr>
  </w:style>
  <w:style w:type="paragraph" w:styleId="Citadestacada">
    <w:name w:val="Intense Quote"/>
    <w:basedOn w:val="Normal"/>
    <w:next w:val="Normal"/>
    <w:link w:val="CitadestacadaCar"/>
    <w:uiPriority w:val="30"/>
    <w:qFormat/>
    <w:rsid w:val="004C1C4F"/>
    <w:pPr>
      <w:pBdr>
        <w:bottom w:val="single" w:sz="4" w:space="4" w:color="4F81BD"/>
      </w:pBdr>
      <w:spacing w:before="200" w:after="280" w:line="240" w:lineRule="auto"/>
      <w:ind w:left="936" w:right="936"/>
    </w:pPr>
    <w:rPr>
      <w:rFonts w:ascii="Times New Roman" w:eastAsia="Calibri" w:hAnsi="Times New Roman" w:cs="Times New Roman"/>
      <w:b/>
      <w:bCs/>
      <w:i/>
      <w:iCs/>
      <w:color w:val="4F81BD"/>
      <w:sz w:val="20"/>
      <w:szCs w:val="24"/>
      <w:lang w:val="x-none" w:eastAsia="x-none"/>
    </w:rPr>
  </w:style>
  <w:style w:type="character" w:customStyle="1" w:styleId="CitadestacadaCar">
    <w:name w:val="Cita destacada Car"/>
    <w:basedOn w:val="Fuentedeprrafopredeter"/>
    <w:link w:val="Citadestacada"/>
    <w:uiPriority w:val="30"/>
    <w:rsid w:val="004C1C4F"/>
    <w:rPr>
      <w:rFonts w:ascii="Times New Roman" w:eastAsia="Calibri" w:hAnsi="Times New Roman" w:cs="Times New Roman"/>
      <w:b/>
      <w:bCs/>
      <w:i/>
      <w:iCs/>
      <w:color w:val="4F81BD"/>
      <w:sz w:val="20"/>
      <w:szCs w:val="24"/>
      <w:lang w:val="x-none" w:eastAsia="x-none"/>
    </w:rPr>
  </w:style>
  <w:style w:type="paragraph" w:styleId="Sinespaciado">
    <w:name w:val="No Spacing"/>
    <w:uiPriority w:val="1"/>
    <w:qFormat/>
    <w:rsid w:val="004C1C4F"/>
    <w:pPr>
      <w:spacing w:after="0" w:line="240" w:lineRule="auto"/>
    </w:pPr>
    <w:rPr>
      <w:rFonts w:ascii="Times New Roman" w:eastAsia="Calibri" w:hAnsi="Times New Roman" w:cs="Arial"/>
      <w:sz w:val="24"/>
      <w:szCs w:val="24"/>
      <w:lang w:val="en-US"/>
    </w:rPr>
  </w:style>
  <w:style w:type="paragraph" w:styleId="Cita">
    <w:name w:val="Quote"/>
    <w:basedOn w:val="Normal"/>
    <w:next w:val="Normal"/>
    <w:link w:val="CitaCar"/>
    <w:uiPriority w:val="29"/>
    <w:qFormat/>
    <w:rsid w:val="004C1C4F"/>
    <w:pPr>
      <w:spacing w:after="0" w:line="240" w:lineRule="auto"/>
    </w:pPr>
    <w:rPr>
      <w:rFonts w:ascii="Times New Roman" w:eastAsia="Calibri" w:hAnsi="Times New Roman" w:cs="Times New Roman"/>
      <w:i/>
      <w:iCs/>
      <w:color w:val="000000"/>
      <w:sz w:val="20"/>
      <w:szCs w:val="24"/>
      <w:lang w:val="x-none" w:eastAsia="x-none"/>
    </w:rPr>
  </w:style>
  <w:style w:type="character" w:customStyle="1" w:styleId="CitaCar">
    <w:name w:val="Cita Car"/>
    <w:basedOn w:val="Fuentedeprrafopredeter"/>
    <w:link w:val="Cita"/>
    <w:uiPriority w:val="29"/>
    <w:rsid w:val="004C1C4F"/>
    <w:rPr>
      <w:rFonts w:ascii="Times New Roman" w:eastAsia="Calibri" w:hAnsi="Times New Roman" w:cs="Times New Roman"/>
      <w:i/>
      <w:iCs/>
      <w:color w:val="000000"/>
      <w:sz w:val="20"/>
      <w:szCs w:val="24"/>
      <w:lang w:val="x-none" w:eastAsia="x-none"/>
    </w:rPr>
  </w:style>
  <w:style w:type="character" w:styleId="Textodelmarcadordeposicin">
    <w:name w:val="Placeholder Text"/>
    <w:uiPriority w:val="99"/>
    <w:semiHidden/>
    <w:rsid w:val="004C1C4F"/>
    <w:rPr>
      <w:color w:val="808080"/>
    </w:rPr>
  </w:style>
  <w:style w:type="character" w:customStyle="1" w:styleId="BalloonTextChar1">
    <w:name w:val="Balloon Text Char1"/>
    <w:uiPriority w:val="99"/>
    <w:semiHidden/>
    <w:rsid w:val="004C1C4F"/>
    <w:rPr>
      <w:rFonts w:ascii="Tahoma" w:hAnsi="Tahoma" w:cs="Tahoma"/>
      <w:sz w:val="16"/>
      <w:szCs w:val="16"/>
    </w:rPr>
  </w:style>
  <w:style w:type="paragraph" w:customStyle="1" w:styleId="TitleB25">
    <w:name w:val="Title B .25"/>
    <w:basedOn w:val="Normal"/>
    <w:uiPriority w:val="99"/>
    <w:qFormat/>
    <w:rsid w:val="004C1C4F"/>
    <w:pPr>
      <w:keepNext/>
      <w:spacing w:after="240" w:line="240" w:lineRule="auto"/>
      <w:ind w:left="360"/>
    </w:pPr>
    <w:rPr>
      <w:rFonts w:ascii="Times New Roman Bold" w:eastAsia="Calibri" w:hAnsi="Times New Roman Bold" w:cs="Arial"/>
      <w:b/>
      <w:sz w:val="20"/>
      <w:szCs w:val="24"/>
      <w:lang w:val="en-US"/>
    </w:rPr>
  </w:style>
  <w:style w:type="paragraph" w:customStyle="1" w:styleId="Prrafodelista1">
    <w:name w:val="Párrafo de lista1"/>
    <w:basedOn w:val="Normal"/>
    <w:uiPriority w:val="99"/>
    <w:rsid w:val="004C1C4F"/>
    <w:pPr>
      <w:spacing w:after="200" w:line="276" w:lineRule="auto"/>
      <w:ind w:left="720"/>
    </w:pPr>
    <w:rPr>
      <w:rFonts w:ascii="Calibri" w:eastAsia="Times New Roman" w:hAnsi="Calibri" w:cs="Calibri"/>
    </w:rPr>
  </w:style>
  <w:style w:type="character" w:customStyle="1" w:styleId="Table11pt">
    <w:name w:val="Table 11pt"/>
    <w:uiPriority w:val="1"/>
    <w:qFormat/>
    <w:rsid w:val="004C1C4F"/>
    <w:rPr>
      <w:rFonts w:ascii="Times New Roman" w:hAnsi="Times New Roman"/>
      <w:sz w:val="22"/>
    </w:rPr>
  </w:style>
  <w:style w:type="numbering" w:customStyle="1" w:styleId="Estilo41">
    <w:name w:val="Estilo41"/>
    <w:rsid w:val="004C1C4F"/>
  </w:style>
  <w:style w:type="numbering" w:customStyle="1" w:styleId="Estilo51">
    <w:name w:val="Estilo51"/>
    <w:rsid w:val="004C1C4F"/>
  </w:style>
  <w:style w:type="numbering" w:customStyle="1" w:styleId="Estilo31">
    <w:name w:val="Estilo31"/>
    <w:rsid w:val="004C1C4F"/>
  </w:style>
  <w:style w:type="numbering" w:customStyle="1" w:styleId="Estilo71">
    <w:name w:val="Estilo71"/>
    <w:rsid w:val="004C1C4F"/>
  </w:style>
  <w:style w:type="numbering" w:customStyle="1" w:styleId="Estilo61">
    <w:name w:val="Estilo61"/>
    <w:rsid w:val="004C1C4F"/>
  </w:style>
  <w:style w:type="numbering" w:customStyle="1" w:styleId="Estilo11">
    <w:name w:val="Estilo11"/>
    <w:rsid w:val="004C1C4F"/>
  </w:style>
  <w:style w:type="numbering" w:customStyle="1" w:styleId="Estilo21">
    <w:name w:val="Estilo21"/>
    <w:rsid w:val="004C1C4F"/>
  </w:style>
  <w:style w:type="numbering" w:customStyle="1" w:styleId="Estilo81">
    <w:name w:val="Estilo81"/>
    <w:rsid w:val="004C1C4F"/>
  </w:style>
  <w:style w:type="character" w:customStyle="1" w:styleId="Table12pt">
    <w:name w:val="Table 12pt"/>
    <w:uiPriority w:val="1"/>
    <w:qFormat/>
    <w:rsid w:val="004C1C4F"/>
    <w:rPr>
      <w:rFonts w:ascii="Times New Roman" w:hAnsi="Times New Roman"/>
      <w:sz w:val="24"/>
    </w:rPr>
  </w:style>
  <w:style w:type="table" w:customStyle="1" w:styleId="TableGrid9">
    <w:name w:val="Table Grid9"/>
    <w:basedOn w:val="Tablanormal"/>
    <w:next w:val="Tablaconcuadrcula"/>
    <w:uiPriority w:val="59"/>
    <w:rsid w:val="004C1C4F"/>
    <w:pPr>
      <w:spacing w:after="0" w:line="240" w:lineRule="auto"/>
    </w:pPr>
    <w:rPr>
      <w:rFonts w:ascii="Times New Roman" w:eastAsia="Calibri" w:hAnsi="Times New Roman" w:cs="Arial"/>
      <w:sz w:val="24"/>
      <w:szCs w:val="24"/>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a1">
    <w:name w:val="Bibliografía1"/>
    <w:basedOn w:val="Normal"/>
    <w:next w:val="Normal"/>
    <w:uiPriority w:val="37"/>
    <w:unhideWhenUsed/>
    <w:rsid w:val="004C1C4F"/>
    <w:pPr>
      <w:spacing w:after="0" w:line="240" w:lineRule="auto"/>
    </w:pPr>
    <w:rPr>
      <w:rFonts w:ascii="Times New Roman" w:eastAsia="Calibri" w:hAnsi="Times New Roman" w:cs="Arial"/>
      <w:sz w:val="20"/>
      <w:szCs w:val="24"/>
      <w:lang w:val="en-US"/>
    </w:rPr>
  </w:style>
  <w:style w:type="paragraph" w:customStyle="1" w:styleId="LightShading-Accent21">
    <w:name w:val="Light Shading - Accent 21"/>
    <w:basedOn w:val="Normal"/>
    <w:next w:val="Normal"/>
    <w:uiPriority w:val="30"/>
    <w:qFormat/>
    <w:rsid w:val="004C1C4F"/>
    <w:pPr>
      <w:pBdr>
        <w:bottom w:val="single" w:sz="4" w:space="4" w:color="4F81BD"/>
      </w:pBdr>
      <w:spacing w:before="200" w:after="280" w:line="240" w:lineRule="auto"/>
      <w:ind w:left="936" w:right="936"/>
    </w:pPr>
    <w:rPr>
      <w:rFonts w:ascii="Times New Roman" w:eastAsia="Calibri" w:hAnsi="Times New Roman" w:cs="Arial"/>
      <w:b/>
      <w:bCs/>
      <w:i/>
      <w:iCs/>
      <w:color w:val="4F81BD"/>
      <w:sz w:val="20"/>
      <w:szCs w:val="24"/>
      <w:lang w:val="en-US"/>
    </w:rPr>
  </w:style>
  <w:style w:type="paragraph" w:customStyle="1" w:styleId="MediumGrid22">
    <w:name w:val="Medium Grid 22"/>
    <w:uiPriority w:val="1"/>
    <w:qFormat/>
    <w:rsid w:val="004C1C4F"/>
    <w:pPr>
      <w:spacing w:after="0" w:line="240" w:lineRule="auto"/>
      <w:ind w:left="360" w:hanging="360"/>
    </w:pPr>
    <w:rPr>
      <w:rFonts w:ascii="Times New Roman" w:eastAsia="Calibri" w:hAnsi="Times New Roman" w:cs="Arial"/>
      <w:sz w:val="24"/>
      <w:szCs w:val="24"/>
      <w:lang w:val="en-US"/>
    </w:rPr>
  </w:style>
  <w:style w:type="paragraph" w:customStyle="1" w:styleId="ColorfulGrid-Accent11">
    <w:name w:val="Colorful Grid - Accent 11"/>
    <w:basedOn w:val="Normal"/>
    <w:next w:val="Normal"/>
    <w:uiPriority w:val="29"/>
    <w:qFormat/>
    <w:rsid w:val="004C1C4F"/>
    <w:pPr>
      <w:spacing w:after="0" w:line="240" w:lineRule="auto"/>
    </w:pPr>
    <w:rPr>
      <w:rFonts w:ascii="Times New Roman" w:eastAsia="Calibri" w:hAnsi="Times New Roman" w:cs="Arial"/>
      <w:i/>
      <w:iCs/>
      <w:color w:val="000000"/>
      <w:sz w:val="20"/>
      <w:szCs w:val="24"/>
      <w:lang w:val="en-US"/>
    </w:rPr>
  </w:style>
  <w:style w:type="paragraph" w:customStyle="1" w:styleId="TtulodeTDC1">
    <w:name w:val="Título de TDC1"/>
    <w:basedOn w:val="TitleBC"/>
    <w:next w:val="Normal"/>
    <w:uiPriority w:val="39"/>
    <w:unhideWhenUsed/>
    <w:qFormat/>
    <w:rsid w:val="004C1C4F"/>
    <w:rPr>
      <w:lang w:val="es-ES"/>
    </w:rPr>
  </w:style>
  <w:style w:type="character" w:customStyle="1" w:styleId="Ttulodellibro1">
    <w:name w:val="Título del libro1"/>
    <w:uiPriority w:val="33"/>
    <w:qFormat/>
    <w:rsid w:val="004C1C4F"/>
    <w:rPr>
      <w:b/>
      <w:bCs/>
      <w:smallCaps/>
      <w:spacing w:val="5"/>
    </w:rPr>
  </w:style>
  <w:style w:type="character" w:customStyle="1" w:styleId="nfasisintenso1">
    <w:name w:val="Énfasis intenso1"/>
    <w:uiPriority w:val="21"/>
    <w:qFormat/>
    <w:rsid w:val="004C1C4F"/>
    <w:rPr>
      <w:b/>
      <w:bCs/>
      <w:i/>
      <w:iCs/>
      <w:color w:val="4F81BD"/>
    </w:rPr>
  </w:style>
  <w:style w:type="character" w:customStyle="1" w:styleId="Referenciaintensa1">
    <w:name w:val="Referencia intensa1"/>
    <w:uiPriority w:val="32"/>
    <w:qFormat/>
    <w:rsid w:val="004C1C4F"/>
    <w:rPr>
      <w:b/>
      <w:bCs/>
      <w:smallCaps/>
      <w:color w:val="C0504D"/>
      <w:spacing w:val="5"/>
      <w:u w:val="single"/>
    </w:rPr>
  </w:style>
  <w:style w:type="character" w:customStyle="1" w:styleId="MediumGrid12">
    <w:name w:val="Medium Grid 12"/>
    <w:uiPriority w:val="99"/>
    <w:rsid w:val="004C1C4F"/>
    <w:rPr>
      <w:color w:val="808080"/>
    </w:rPr>
  </w:style>
  <w:style w:type="character" w:customStyle="1" w:styleId="nfasissutil1">
    <w:name w:val="Énfasis sutil1"/>
    <w:uiPriority w:val="19"/>
    <w:qFormat/>
    <w:rsid w:val="004C1C4F"/>
    <w:rPr>
      <w:i/>
      <w:iCs/>
      <w:color w:val="808080"/>
    </w:rPr>
  </w:style>
  <w:style w:type="character" w:customStyle="1" w:styleId="Referenciasutil1">
    <w:name w:val="Referencia sutil1"/>
    <w:uiPriority w:val="31"/>
    <w:qFormat/>
    <w:rsid w:val="004C1C4F"/>
    <w:rPr>
      <w:smallCaps/>
      <w:color w:val="C0504D"/>
      <w:u w:val="single"/>
    </w:rPr>
  </w:style>
  <w:style w:type="paragraph" w:customStyle="1" w:styleId="ColorfulShading-Accent11">
    <w:name w:val="Colorful Shading - Accent 11"/>
    <w:hidden/>
    <w:uiPriority w:val="99"/>
    <w:rsid w:val="004C1C4F"/>
    <w:pPr>
      <w:spacing w:after="0" w:line="240" w:lineRule="auto"/>
    </w:pPr>
    <w:rPr>
      <w:rFonts w:ascii="Times New Roman" w:eastAsia="Calibri" w:hAnsi="Times New Roman" w:cs="Arial"/>
      <w:sz w:val="20"/>
      <w:szCs w:val="24"/>
      <w:lang w:val="en-US"/>
    </w:rPr>
  </w:style>
  <w:style w:type="table" w:customStyle="1" w:styleId="SubtleEmphasis2">
    <w:name w:val="Subtle Emphasis2"/>
    <w:basedOn w:val="Tablanormal"/>
    <w:uiPriority w:val="19"/>
    <w:qFormat/>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Cuadrculavistosa-nfasis61">
    <w:name w:val="Cuadrícula vistosa - Énfasis 6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stavistosa-nfasis61">
    <w:name w:val="Lista vistosa - Énfasis 6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9D9"/>
      </w:tcPr>
    </w:tblStylePr>
  </w:style>
  <w:style w:type="table" w:customStyle="1" w:styleId="TOCHeading1">
    <w:name w:val="TOC Heading1"/>
    <w:basedOn w:val="Tablanormal"/>
    <w:uiPriority w:val="39"/>
    <w:qFormat/>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bottom w:val="single" w:sz="24" w:space="0" w:color="4BACC6"/>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insideH w:val="single" w:sz="4" w:space="0" w:color="B65608"/>
        </w:tcBorders>
        <w:shd w:val="clear" w:color="auto" w:fill="B65608"/>
      </w:tcPr>
    </w:tblStylePr>
    <w:tblStylePr w:type="lastCol">
      <w:rPr>
        <w:color w:val="FFFFFF"/>
      </w:rPr>
      <w:tblPr/>
      <w:tcPr>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Bibliography1">
    <w:name w:val="Bibliography1"/>
    <w:basedOn w:val="Tablanormal"/>
    <w:uiPriority w:val="37"/>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F7964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974706"/>
      </w:tcPr>
    </w:tblStylePr>
    <w:tblStylePr w:type="firstCol">
      <w:tblPr/>
      <w:tcPr>
        <w:tcBorders>
          <w:right w:val="single" w:sz="18" w:space="0" w:color="FFFFFF"/>
        </w:tcBorders>
        <w:shd w:val="clear" w:color="auto" w:fill="E36C0A"/>
      </w:tcPr>
    </w:tblStylePr>
    <w:tblStylePr w:type="lastCol">
      <w:tblPr/>
      <w:tcPr>
        <w:tcBorders>
          <w:left w:val="single" w:sz="18" w:space="0" w:color="FFFFFF"/>
        </w:tcBorders>
        <w:shd w:val="clear" w:color="auto" w:fill="E36C0A"/>
      </w:tcPr>
    </w:tblStylePr>
    <w:tblStylePr w:type="band1Vert">
      <w:tblPr/>
      <w:tcPr>
        <w:shd w:val="clear" w:color="auto" w:fill="E36C0A"/>
      </w:tcPr>
    </w:tblStylePr>
    <w:tblStylePr w:type="band1Horz">
      <w:tblPr/>
      <w:tcPr>
        <w:shd w:val="clear" w:color="auto" w:fill="E36C0A"/>
      </w:tcPr>
    </w:tblStylePr>
  </w:style>
  <w:style w:type="table" w:customStyle="1" w:styleId="SubtleReference2">
    <w:name w:val="Subtle Reference2"/>
    <w:basedOn w:val="Tablanormal"/>
    <w:uiPriority w:val="31"/>
    <w:qFormat/>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IntenseReference2">
    <w:name w:val="Intense Reference2"/>
    <w:basedOn w:val="Tablanormal"/>
    <w:uiPriority w:val="32"/>
    <w:qFormat/>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BookTitle1">
    <w:name w:val="Book Title1"/>
    <w:basedOn w:val="Tablanormal"/>
    <w:uiPriority w:val="33"/>
    <w:qFormat/>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IntenseEmphasis2">
    <w:name w:val="Intense Emphasis2"/>
    <w:basedOn w:val="Tablanormal"/>
    <w:uiPriority w:val="21"/>
    <w:qFormat/>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bottom w:val="single" w:sz="24" w:space="0" w:color="F79646"/>
        </w:tcBorders>
        <w:shd w:val="clear" w:color="auto" w:fill="FFFFFF"/>
      </w:tcPr>
    </w:tblStylePr>
    <w:tblStylePr w:type="lastRow">
      <w:tblPr/>
      <w:tcPr>
        <w:tcBorders>
          <w:top w:val="single" w:sz="8" w:space="0" w:color="F79646"/>
        </w:tcBorders>
        <w:shd w:val="clear" w:color="auto" w:fill="FFFFFF"/>
      </w:tcPr>
    </w:tblStylePr>
    <w:tblStylePr w:type="firstCol">
      <w:tblPr/>
      <w:tcPr>
        <w:tcBorders>
          <w:right w:val="single" w:sz="8" w:space="0" w:color="F79646"/>
        </w:tcBorders>
        <w:shd w:val="clear" w:color="auto" w:fill="FFFFFF"/>
      </w:tcPr>
    </w:tblStylePr>
    <w:tblStylePr w:type="lastCol">
      <w:tblPr/>
      <w:tcPr>
        <w:tcBorders>
          <w:left w:val="single" w:sz="8" w:space="0" w:color="F79646"/>
        </w:tcBorders>
        <w:shd w:val="clear" w:color="auto" w:fill="FFFFFF"/>
      </w:tcPr>
    </w:tblStylePr>
    <w:tblStylePr w:type="band1Vert">
      <w:tblPr/>
      <w:tcPr>
        <w:shd w:val="clear" w:color="auto" w:fill="FDE4D0"/>
      </w:tcPr>
    </w:tblStylePr>
    <w:tblStylePr w:type="band1Horz">
      <w:tblPr/>
      <w:tcPr>
        <w:shd w:val="clear" w:color="auto" w:fill="FDE4D0"/>
      </w:tcPr>
    </w:tblStylePr>
    <w:tblStylePr w:type="nwCell">
      <w:tblPr/>
      <w:tcPr>
        <w:shd w:val="clear" w:color="auto" w:fill="FFFFFF"/>
      </w:tcPr>
    </w:tblStylePr>
  </w:style>
  <w:style w:type="paragraph" w:styleId="Revisin">
    <w:name w:val="Revision"/>
    <w:hidden/>
    <w:uiPriority w:val="99"/>
    <w:semiHidden/>
    <w:rsid w:val="004C1C4F"/>
    <w:pPr>
      <w:spacing w:after="0" w:line="240" w:lineRule="auto"/>
    </w:pPr>
    <w:rPr>
      <w:rFonts w:ascii="Times New Roman" w:eastAsia="Calibri" w:hAnsi="Times New Roman" w:cs="Arial"/>
      <w:sz w:val="20"/>
      <w:szCs w:val="24"/>
      <w:lang w:val="en-US"/>
    </w:rPr>
  </w:style>
  <w:style w:type="table" w:customStyle="1" w:styleId="TableGrid110">
    <w:name w:val="Table Grid110"/>
    <w:basedOn w:val="Tablanormal"/>
    <w:next w:val="Tablaconcuadrcula"/>
    <w:uiPriority w:val="59"/>
    <w:rsid w:val="004C1C4F"/>
    <w:pPr>
      <w:spacing w:after="0" w:line="240" w:lineRule="auto"/>
    </w:pPr>
    <w:rPr>
      <w:rFonts w:ascii="Calibri" w:eastAsia="Calibri" w:hAnsi="Calibri" w:cs="Times New Roman"/>
      <w:lang w:val="es-AR" w:eastAsia="es-AR"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
    <w:name w:val="Light Shading - Accent 31"/>
    <w:basedOn w:val="Tablanormal"/>
    <w:next w:val="Sombreadoclaro-nfasis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Shading-Accent61">
    <w:name w:val="Light Shading - Accent 61"/>
    <w:basedOn w:val="Tablanormal"/>
    <w:next w:val="Sombreadoclaro-nfasis6"/>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olorfulList11">
    <w:name w:val="Colorful List1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CCCCC"/>
      </w:tcPr>
    </w:tblStylePr>
  </w:style>
  <w:style w:type="table" w:customStyle="1" w:styleId="MediumGrid1-Accent21">
    <w:name w:val="Medium Grid 1 - Accent 21"/>
    <w:basedOn w:val="Tablanormal"/>
    <w:next w:val="Cuadrculamedia1-nfasis2"/>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BE5F1"/>
      </w:tcPr>
    </w:tblStylePr>
  </w:style>
  <w:style w:type="table" w:customStyle="1" w:styleId="MediumGrid1-Accent31">
    <w:name w:val="Medium Grid 1 - Accent 31"/>
    <w:basedOn w:val="Tablanormal"/>
    <w:next w:val="Cuadrculamedia1-nfasis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F2DBDB"/>
      </w:tcPr>
    </w:tblStylePr>
  </w:style>
  <w:style w:type="table" w:customStyle="1" w:styleId="MediumGrid1-Accent41">
    <w:name w:val="Medium Grid 1 - Accent 41"/>
    <w:basedOn w:val="Tablanormal"/>
    <w:next w:val="Cuadrculamedia1-nfasis4"/>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AF1DD"/>
      </w:tcPr>
    </w:tblStylePr>
  </w:style>
  <w:style w:type="table" w:customStyle="1" w:styleId="MediumGrid1-Accent51">
    <w:name w:val="Medium Grid 1 - Accent 51"/>
    <w:basedOn w:val="Tablanormal"/>
    <w:next w:val="Cuadrculamedia1-nfasis5"/>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E5DFEC"/>
      </w:tcPr>
    </w:tblStylePr>
  </w:style>
  <w:style w:type="table" w:customStyle="1" w:styleId="MediumGrid1-Accent61">
    <w:name w:val="Medium Grid 1 - Accent 61"/>
    <w:basedOn w:val="Tablanormal"/>
    <w:next w:val="Cuadrculamedia1-nfasis6"/>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AEEF3"/>
      </w:tcPr>
    </w:tblStylePr>
  </w:style>
  <w:style w:type="table" w:customStyle="1" w:styleId="ColorfulShading11">
    <w:name w:val="Colorful Shading1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insideH w:val="single" w:sz="4" w:space="0" w:color="000000"/>
        </w:tcBorders>
        <w:shd w:val="clear" w:color="auto" w:fill="000000"/>
      </w:tcPr>
    </w:tblStylePr>
    <w:tblStylePr w:type="lastCol">
      <w:rPr>
        <w:color w:val="FFFFFF"/>
      </w:rPr>
      <w:tblPr/>
      <w:tcPr>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List2-Accent21">
    <w:name w:val="Medium List 2 - Accent 21"/>
    <w:basedOn w:val="Tablanormal"/>
    <w:next w:val="Listamedia2-nfasis2"/>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insideH w:val="single" w:sz="4" w:space="0" w:color="2C4C74"/>
        </w:tcBorders>
        <w:shd w:val="clear" w:color="auto" w:fill="2C4C74"/>
      </w:tcPr>
    </w:tblStylePr>
    <w:tblStylePr w:type="lastCol">
      <w:rPr>
        <w:color w:val="FFFFFF"/>
      </w:rPr>
      <w:tblPr/>
      <w:tcPr>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MediumList2-Accent31">
    <w:name w:val="Medium List 2 - Accent 31"/>
    <w:basedOn w:val="Tablanormal"/>
    <w:next w:val="Listamedia2-nfasis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insideH w:val="single" w:sz="4" w:space="0" w:color="772C2A"/>
        </w:tcBorders>
        <w:shd w:val="clear" w:color="auto" w:fill="772C2A"/>
      </w:tcPr>
    </w:tblStylePr>
    <w:tblStylePr w:type="lastCol">
      <w:rPr>
        <w:color w:val="FFFFFF"/>
      </w:rPr>
      <w:tblPr/>
      <w:tcPr>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MediumList2-Accent41">
    <w:name w:val="Medium List 2 - Accent 41"/>
    <w:basedOn w:val="Tablanormal"/>
    <w:next w:val="Listamedia2-nfasis4"/>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bottom w:val="single" w:sz="24" w:space="0" w:color="8064A2"/>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insideH w:val="single" w:sz="4" w:space="0" w:color="5E7530"/>
        </w:tcBorders>
        <w:shd w:val="clear" w:color="auto" w:fill="5E7530"/>
      </w:tcPr>
    </w:tblStylePr>
    <w:tblStylePr w:type="lastCol">
      <w:rPr>
        <w:color w:val="FFFFFF"/>
      </w:rPr>
      <w:tblPr/>
      <w:tcPr>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List2-Accent51">
    <w:name w:val="Medium List 2 - Accent 51"/>
    <w:basedOn w:val="Tablanormal"/>
    <w:next w:val="Listamedia2-nfasis5"/>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bottom w:val="single" w:sz="24" w:space="0" w:color="9BBB59"/>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insideH w:val="single" w:sz="4" w:space="0" w:color="4C3B62"/>
        </w:tcBorders>
        <w:shd w:val="clear" w:color="auto" w:fill="4C3B62"/>
      </w:tcPr>
    </w:tblStylePr>
    <w:tblStylePr w:type="lastCol">
      <w:rPr>
        <w:color w:val="FFFFFF"/>
      </w:rPr>
      <w:tblPr/>
      <w:tcPr>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MediumList2-Accent61">
    <w:name w:val="Medium List 2 - Accent 61"/>
    <w:basedOn w:val="Tablanormal"/>
    <w:next w:val="Listamedia2-nfasis6"/>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bottom w:val="single" w:sz="24" w:space="0" w:color="F79646"/>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insideH w:val="single" w:sz="4" w:space="0" w:color="276A7C"/>
        </w:tcBorders>
        <w:shd w:val="clear" w:color="auto" w:fill="276A7C"/>
      </w:tcPr>
    </w:tblStylePr>
    <w:tblStylePr w:type="lastCol">
      <w:rPr>
        <w:color w:val="FFFFFF"/>
      </w:rPr>
      <w:tblPr/>
      <w:tcPr>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DarkList11">
    <w:name w:val="Dark List11"/>
    <w:basedOn w:val="Tablanormal"/>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000000"/>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000000"/>
      </w:tcPr>
    </w:tblStylePr>
    <w:tblStylePr w:type="firstCol">
      <w:tblPr/>
      <w:tcPr>
        <w:tcBorders>
          <w:right w:val="single" w:sz="18" w:space="0" w:color="FFFFFF"/>
        </w:tcBorders>
        <w:shd w:val="clear" w:color="auto" w:fill="000000"/>
      </w:tcPr>
    </w:tblStylePr>
    <w:tblStylePr w:type="lastCol">
      <w:tblPr/>
      <w:tcPr>
        <w:tcBorders>
          <w:left w:val="single" w:sz="18" w:space="0" w:color="FFFFFF"/>
        </w:tcBorders>
        <w:shd w:val="clear" w:color="auto" w:fill="000000"/>
      </w:tcPr>
    </w:tblStylePr>
    <w:tblStylePr w:type="band1Vert">
      <w:tblPr/>
      <w:tcPr>
        <w:shd w:val="clear" w:color="auto" w:fill="000000"/>
      </w:tcPr>
    </w:tblStylePr>
    <w:tblStylePr w:type="band1Horz">
      <w:tblPr/>
      <w:tcPr>
        <w:shd w:val="clear" w:color="auto" w:fill="000000"/>
      </w:tcPr>
    </w:tblStylePr>
  </w:style>
  <w:style w:type="table" w:customStyle="1" w:styleId="MediumList1-Accent23">
    <w:name w:val="Medium List 1 - Accent 23"/>
    <w:basedOn w:val="Tablanormal"/>
    <w:next w:val="Listamedia1-nfasis2"/>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4F81BD"/>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43F60"/>
      </w:tcPr>
    </w:tblStylePr>
    <w:tblStylePr w:type="firstCol">
      <w:tblPr/>
      <w:tcPr>
        <w:tcBorders>
          <w:right w:val="single" w:sz="18" w:space="0" w:color="FFFFFF"/>
        </w:tcBorders>
        <w:shd w:val="clear" w:color="auto" w:fill="365F91"/>
      </w:tcPr>
    </w:tblStylePr>
    <w:tblStylePr w:type="lastCol">
      <w:tblPr/>
      <w:tcPr>
        <w:tcBorders>
          <w:left w:val="single" w:sz="18" w:space="0" w:color="FFFFFF"/>
        </w:tcBorders>
        <w:shd w:val="clear" w:color="auto" w:fill="365F91"/>
      </w:tcPr>
    </w:tblStylePr>
    <w:tblStylePr w:type="band1Vert">
      <w:tblPr/>
      <w:tcPr>
        <w:shd w:val="clear" w:color="auto" w:fill="365F91"/>
      </w:tcPr>
    </w:tblStylePr>
    <w:tblStylePr w:type="band1Horz">
      <w:tblPr/>
      <w:tcPr>
        <w:shd w:val="clear" w:color="auto" w:fill="365F91"/>
      </w:tcPr>
    </w:tblStylePr>
  </w:style>
  <w:style w:type="table" w:customStyle="1" w:styleId="MediumList1-Accent31">
    <w:name w:val="Medium List 1 - Accent 31"/>
    <w:basedOn w:val="Tablanormal"/>
    <w:next w:val="Listamedia1-nfasis3"/>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C0504D"/>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622423"/>
      </w:tcPr>
    </w:tblStylePr>
    <w:tblStylePr w:type="firstCol">
      <w:tblPr/>
      <w:tcPr>
        <w:tcBorders>
          <w:right w:val="single" w:sz="18" w:space="0" w:color="FFFFFF"/>
        </w:tcBorders>
        <w:shd w:val="clear" w:color="auto" w:fill="943634"/>
      </w:tcPr>
    </w:tblStylePr>
    <w:tblStylePr w:type="lastCol">
      <w:tblPr/>
      <w:tcPr>
        <w:tcBorders>
          <w:left w:val="single" w:sz="18" w:space="0" w:color="FFFFFF"/>
        </w:tcBorders>
        <w:shd w:val="clear" w:color="auto" w:fill="943634"/>
      </w:tcPr>
    </w:tblStylePr>
    <w:tblStylePr w:type="band1Vert">
      <w:tblPr/>
      <w:tcPr>
        <w:shd w:val="clear" w:color="auto" w:fill="943634"/>
      </w:tcPr>
    </w:tblStylePr>
    <w:tblStylePr w:type="band1Horz">
      <w:tblPr/>
      <w:tcPr>
        <w:shd w:val="clear" w:color="auto" w:fill="943634"/>
      </w:tcPr>
    </w:tblStylePr>
  </w:style>
  <w:style w:type="table" w:customStyle="1" w:styleId="MediumList1-Accent41">
    <w:name w:val="Medium List 1 - Accent 41"/>
    <w:basedOn w:val="Tablanormal"/>
    <w:next w:val="Listamedia1-nfasis4"/>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MediumList1-Accent53">
    <w:name w:val="Medium List 1 - Accent 53"/>
    <w:basedOn w:val="Tablanormal"/>
    <w:next w:val="Listamedia1-nfasis5"/>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8064A2"/>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3F3151"/>
      </w:tcPr>
    </w:tblStylePr>
    <w:tblStylePr w:type="firstCol">
      <w:tblPr/>
      <w:tcPr>
        <w:tcBorders>
          <w:right w:val="single" w:sz="18" w:space="0" w:color="FFFFFF"/>
        </w:tcBorders>
        <w:shd w:val="clear" w:color="auto" w:fill="5F497A"/>
      </w:tcPr>
    </w:tblStylePr>
    <w:tblStylePr w:type="lastCol">
      <w:tblPr/>
      <w:tcPr>
        <w:tcBorders>
          <w:left w:val="single" w:sz="18" w:space="0" w:color="FFFFFF"/>
        </w:tcBorders>
        <w:shd w:val="clear" w:color="auto" w:fill="5F497A"/>
      </w:tcPr>
    </w:tblStylePr>
    <w:tblStylePr w:type="band1Vert">
      <w:tblPr/>
      <w:tcPr>
        <w:shd w:val="clear" w:color="auto" w:fill="5F497A"/>
      </w:tcPr>
    </w:tblStylePr>
    <w:tblStylePr w:type="band1Horz">
      <w:tblPr/>
      <w:tcPr>
        <w:shd w:val="clear" w:color="auto" w:fill="5F497A"/>
      </w:tcPr>
    </w:tblStylePr>
  </w:style>
  <w:style w:type="table" w:customStyle="1" w:styleId="MediumList1-Accent63">
    <w:name w:val="Medium List 1 - Accent 63"/>
    <w:basedOn w:val="Tablanormal"/>
    <w:next w:val="Listamedia1-nfasis6"/>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table" w:customStyle="1" w:styleId="LightGrid11">
    <w:name w:val="Light Grid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Mincho"/>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SimSun" w:hAnsi="Times New Roman" w:cs="Mincho"/>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
    <w:name w:val="Light Grid - Accent 1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Mincho"/>
        <w:b/>
        <w:bCs/>
      </w:rPr>
      <w:tblPr/>
      <w:tcPr>
        <w:tcBorders>
          <w:top w:val="single" w:sz="8" w:space="0" w:color="4F81BD"/>
          <w:left w:val="single" w:sz="8" w:space="0" w:color="4F81BD"/>
          <w:bottom w:val="single" w:sz="18" w:space="0" w:color="4F81BD"/>
          <w:right w:val="single" w:sz="8" w:space="0" w:color="4F81BD"/>
          <w:insideV w:val="single" w:sz="8" w:space="0" w:color="4F81BD"/>
        </w:tcBorders>
      </w:tcPr>
    </w:tblStylePr>
    <w:tblStylePr w:type="lastRow">
      <w:pPr>
        <w:spacing w:before="0" w:after="0" w:line="240" w:lineRule="auto"/>
      </w:pPr>
      <w:rPr>
        <w:rFonts w:ascii="Times New Roman" w:eastAsia="SimSun" w:hAnsi="Times New Roman" w:cs="Mincho"/>
        <w:b/>
        <w:bCs/>
      </w:rPr>
      <w:tblPr/>
      <w:tcPr>
        <w:tcBorders>
          <w:top w:val="double" w:sz="6" w:space="0" w:color="4F81BD"/>
          <w:left w:val="single" w:sz="8" w:space="0" w:color="4F81BD"/>
          <w:bottom w:val="single" w:sz="8" w:space="0" w:color="4F81BD"/>
          <w:right w:val="single" w:sz="8" w:space="0" w:color="4F81BD"/>
          <w:insideV w:val="single" w:sz="8" w:space="0" w:color="4F81BD"/>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olorfulShading-Accent21">
    <w:name w:val="Colorful Shading - Accent 21"/>
    <w:basedOn w:val="Tablanormal"/>
    <w:next w:val="Sombreadovistoso-nfasis2"/>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Mincho"/>
        <w:b/>
        <w:bCs/>
      </w:rPr>
      <w:tblPr/>
      <w:tcPr>
        <w:tcBorders>
          <w:top w:val="single" w:sz="8" w:space="0" w:color="C0504D"/>
          <w:left w:val="single" w:sz="8" w:space="0" w:color="C0504D"/>
          <w:bottom w:val="single" w:sz="18" w:space="0" w:color="C0504D"/>
          <w:right w:val="single" w:sz="8" w:space="0" w:color="C0504D"/>
          <w:insideV w:val="single" w:sz="8" w:space="0" w:color="C0504D"/>
        </w:tcBorders>
      </w:tcPr>
    </w:tblStylePr>
    <w:tblStylePr w:type="lastRow">
      <w:pPr>
        <w:spacing w:before="0" w:after="0" w:line="240" w:lineRule="auto"/>
      </w:pPr>
      <w:rPr>
        <w:rFonts w:ascii="Times New Roman" w:eastAsia="SimSun" w:hAnsi="Times New Roman" w:cs="Mincho"/>
        <w:b/>
        <w:bCs/>
      </w:rPr>
      <w:tblPr/>
      <w:tcPr>
        <w:tcBorders>
          <w:top w:val="double" w:sz="6" w:space="0" w:color="C0504D"/>
          <w:left w:val="single" w:sz="8" w:space="0" w:color="C0504D"/>
          <w:bottom w:val="single" w:sz="8" w:space="0" w:color="C0504D"/>
          <w:right w:val="single" w:sz="8" w:space="0" w:color="C0504D"/>
          <w:insideV w:val="single" w:sz="8" w:space="0" w:color="C0504D"/>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Shading-Accent31">
    <w:name w:val="Colorful Shading - Accent 31"/>
    <w:basedOn w:val="Tablanormal"/>
    <w:next w:val="Sombreadovistoso-nfasis3"/>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Mincho"/>
        <w:b/>
        <w:bCs/>
      </w:rPr>
      <w:tblPr/>
      <w:tcPr>
        <w:tcBorders>
          <w:top w:val="single" w:sz="8" w:space="0" w:color="9BBB59"/>
          <w:left w:val="single" w:sz="8" w:space="0" w:color="9BBB59"/>
          <w:bottom w:val="single" w:sz="18" w:space="0" w:color="9BBB59"/>
          <w:right w:val="single" w:sz="8" w:space="0" w:color="9BBB59"/>
          <w:insideV w:val="single" w:sz="8" w:space="0" w:color="9BBB59"/>
        </w:tcBorders>
      </w:tcPr>
    </w:tblStylePr>
    <w:tblStylePr w:type="lastRow">
      <w:pPr>
        <w:spacing w:before="0" w:after="0" w:line="240" w:lineRule="auto"/>
      </w:pPr>
      <w:rPr>
        <w:rFonts w:ascii="Times New Roman" w:eastAsia="SimSun" w:hAnsi="Times New Roman" w:cs="Mincho"/>
        <w:b/>
        <w:bCs/>
      </w:rPr>
      <w:tblPr/>
      <w:tcPr>
        <w:tcBorders>
          <w:top w:val="double" w:sz="6" w:space="0" w:color="9BBB59"/>
          <w:left w:val="single" w:sz="8" w:space="0" w:color="9BBB59"/>
          <w:bottom w:val="single" w:sz="8" w:space="0" w:color="9BBB59"/>
          <w:right w:val="single" w:sz="8" w:space="0" w:color="9BBB59"/>
          <w:insideV w:val="single" w:sz="8" w:space="0" w:color="9BBB59"/>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1">
    <w:name w:val="Colorful Shading - Accent 41"/>
    <w:basedOn w:val="Tablanormal"/>
    <w:next w:val="Sombreadovistoso-nfasis4"/>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Mincho"/>
        <w:b/>
        <w:bCs/>
      </w:rPr>
      <w:tblPr/>
      <w:tcPr>
        <w:tcBorders>
          <w:top w:val="single" w:sz="8" w:space="0" w:color="8064A2"/>
          <w:left w:val="single" w:sz="8" w:space="0" w:color="8064A2"/>
          <w:bottom w:val="single" w:sz="18" w:space="0" w:color="8064A2"/>
          <w:right w:val="single" w:sz="8" w:space="0" w:color="8064A2"/>
          <w:insideV w:val="single" w:sz="8" w:space="0" w:color="8064A2"/>
        </w:tcBorders>
      </w:tcPr>
    </w:tblStylePr>
    <w:tblStylePr w:type="lastRow">
      <w:pPr>
        <w:spacing w:before="0" w:after="0" w:line="240" w:lineRule="auto"/>
      </w:pPr>
      <w:rPr>
        <w:rFonts w:ascii="Times New Roman" w:eastAsia="SimSun" w:hAnsi="Times New Roman" w:cs="Mincho"/>
        <w:b/>
        <w:bCs/>
      </w:rPr>
      <w:tblPr/>
      <w:tcPr>
        <w:tcBorders>
          <w:top w:val="double" w:sz="6" w:space="0" w:color="8064A2"/>
          <w:left w:val="single" w:sz="8" w:space="0" w:color="8064A2"/>
          <w:bottom w:val="single" w:sz="8" w:space="0" w:color="8064A2"/>
          <w:right w:val="single" w:sz="8" w:space="0" w:color="8064A2"/>
          <w:insideV w:val="single" w:sz="8" w:space="0" w:color="8064A2"/>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olorfulShading-Accent51">
    <w:name w:val="Colorful Shading - Accent 51"/>
    <w:basedOn w:val="Tablanormal"/>
    <w:next w:val="Sombreadovistoso-nfasis5"/>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Mincho"/>
        <w:b/>
        <w:bCs/>
      </w:rPr>
      <w:tblPr/>
      <w:tcPr>
        <w:tcBorders>
          <w:top w:val="single" w:sz="8" w:space="0" w:color="4BACC6"/>
          <w:left w:val="single" w:sz="8" w:space="0" w:color="4BACC6"/>
          <w:bottom w:val="single" w:sz="18" w:space="0" w:color="4BACC6"/>
          <w:right w:val="single" w:sz="8" w:space="0" w:color="4BACC6"/>
          <w:insideV w:val="single" w:sz="8" w:space="0" w:color="4BACC6"/>
        </w:tcBorders>
      </w:tcPr>
    </w:tblStylePr>
    <w:tblStylePr w:type="lastRow">
      <w:pPr>
        <w:spacing w:before="0" w:after="0" w:line="240" w:lineRule="auto"/>
      </w:pPr>
      <w:rPr>
        <w:rFonts w:ascii="Times New Roman" w:eastAsia="SimSun" w:hAnsi="Times New Roman" w:cs="Mincho"/>
        <w:b/>
        <w:bCs/>
      </w:rPr>
      <w:tblPr/>
      <w:tcPr>
        <w:tcBorders>
          <w:top w:val="double" w:sz="6" w:space="0" w:color="4BACC6"/>
          <w:left w:val="single" w:sz="8" w:space="0" w:color="4BACC6"/>
          <w:bottom w:val="single" w:sz="8" w:space="0" w:color="4BACC6"/>
          <w:right w:val="single" w:sz="8" w:space="0" w:color="4BACC6"/>
          <w:insideV w:val="single" w:sz="8" w:space="0" w:color="4BACC6"/>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Shading-Accent61">
    <w:name w:val="Colorful Shading - Accent 61"/>
    <w:basedOn w:val="Tablanormal"/>
    <w:next w:val="Sombreadovistoso-nfasis6"/>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Mincho"/>
        <w:b/>
        <w:bCs/>
      </w:rPr>
      <w:tblPr/>
      <w:tcPr>
        <w:tcBorders>
          <w:top w:val="single" w:sz="8" w:space="0" w:color="F79646"/>
          <w:left w:val="single" w:sz="8" w:space="0" w:color="F79646"/>
          <w:bottom w:val="single" w:sz="18" w:space="0" w:color="F79646"/>
          <w:right w:val="single" w:sz="8" w:space="0" w:color="F79646"/>
          <w:insideV w:val="single" w:sz="8" w:space="0" w:color="F79646"/>
        </w:tcBorders>
      </w:tcPr>
    </w:tblStylePr>
    <w:tblStylePr w:type="lastRow">
      <w:pPr>
        <w:spacing w:before="0" w:after="0" w:line="240" w:lineRule="auto"/>
      </w:pPr>
      <w:rPr>
        <w:rFonts w:ascii="Times New Roman" w:eastAsia="SimSun" w:hAnsi="Times New Roman" w:cs="Mincho"/>
        <w:b/>
        <w:bCs/>
      </w:rPr>
      <w:tblPr/>
      <w:tcPr>
        <w:tcBorders>
          <w:top w:val="double" w:sz="6" w:space="0" w:color="F79646"/>
          <w:left w:val="single" w:sz="8" w:space="0" w:color="F79646"/>
          <w:bottom w:val="single" w:sz="8" w:space="0" w:color="F79646"/>
          <w:right w:val="single" w:sz="8" w:space="0" w:color="F79646"/>
          <w:insideV w:val="single" w:sz="8" w:space="0" w:color="F79646"/>
        </w:tcBorders>
      </w:tcPr>
    </w:tblStylePr>
    <w:tblStylePr w:type="firstCol">
      <w:rPr>
        <w:rFonts w:ascii="Times New Roman" w:eastAsia="SimSun" w:hAnsi="Times New Roman" w:cs="Mincho"/>
        <w:b/>
        <w:bCs/>
      </w:rPr>
    </w:tblStylePr>
    <w:tblStylePr w:type="lastCol">
      <w:rPr>
        <w:rFonts w:ascii="Times New Roman" w:eastAsia="SimSun" w:hAnsi="Times New Roman" w:cs="Mincho"/>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11">
    <w:name w:val="Light Shading1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LightShading-Accent111">
    <w:name w:val="Light Shading - Accent 111"/>
    <w:basedOn w:val="Tablanormal"/>
    <w:rsid w:val="004C1C4F"/>
    <w:pPr>
      <w:spacing w:after="0" w:line="240" w:lineRule="auto"/>
    </w:pPr>
    <w:rPr>
      <w:rFonts w:ascii="Times New Roman" w:eastAsia="SimSun" w:hAnsi="Times New Roman" w:cs="Times New Roman"/>
      <w:color w:val="365F91"/>
      <w:sz w:val="20"/>
      <w:szCs w:val="20"/>
      <w:lang w:val="es-AR" w:eastAsia="es-A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bottom w:val="single" w:sz="8" w:space="0" w:color="4F81BD"/>
        </w:tcBorders>
      </w:tcPr>
    </w:tblStylePr>
    <w:tblStylePr w:type="lastRow">
      <w:pPr>
        <w:spacing w:before="0" w:after="0" w:line="240" w:lineRule="auto"/>
      </w:pPr>
      <w:rPr>
        <w:b/>
        <w:bCs/>
      </w:rPr>
      <w:tblPr/>
      <w:tcPr>
        <w:tcBorders>
          <w:top w:val="single" w:sz="8" w:space="0" w:color="4F81BD"/>
          <w:bottom w:val="single" w:sz="8" w:space="0" w:color="4F81B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MediumGrid3-Accent21">
    <w:name w:val="Medium Grid 3 - Accent 21"/>
    <w:basedOn w:val="Tablanormal"/>
    <w:next w:val="Cuadrculamedia3-nfasis2"/>
    <w:rsid w:val="004C1C4F"/>
    <w:pPr>
      <w:spacing w:after="0" w:line="240" w:lineRule="auto"/>
    </w:pPr>
    <w:rPr>
      <w:rFonts w:ascii="Times New Roman" w:eastAsia="SimSun" w:hAnsi="Times New Roman" w:cs="Times New Roman"/>
      <w:color w:val="943634"/>
      <w:sz w:val="20"/>
      <w:szCs w:val="20"/>
      <w:lang w:val="es-AR" w:eastAsia="es-A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bottom w:val="single" w:sz="8" w:space="0" w:color="C0504D"/>
        </w:tcBorders>
      </w:tcPr>
    </w:tblStylePr>
    <w:tblStylePr w:type="lastRow">
      <w:pPr>
        <w:spacing w:before="0" w:after="0" w:line="240" w:lineRule="auto"/>
      </w:pPr>
      <w:rPr>
        <w:b/>
        <w:bCs/>
      </w:rPr>
      <w:tblPr/>
      <w:tcPr>
        <w:tcBorders>
          <w:top w:val="single" w:sz="8" w:space="0" w:color="C0504D"/>
          <w:bottom w:val="single" w:sz="8" w:space="0" w:color="C0504D"/>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customStyle="1" w:styleId="MediumGrid3-Accent31">
    <w:name w:val="Medium Grid 3 - Accent 31"/>
    <w:basedOn w:val="Tablanormal"/>
    <w:next w:val="Cuadrculamedia3-nfasis3"/>
    <w:rsid w:val="004C1C4F"/>
    <w:pPr>
      <w:spacing w:after="0" w:line="240" w:lineRule="auto"/>
    </w:pPr>
    <w:rPr>
      <w:rFonts w:ascii="Times New Roman" w:eastAsia="SimSun" w:hAnsi="Times New Roman" w:cs="Times New Roman"/>
      <w:color w:val="76923C"/>
      <w:sz w:val="20"/>
      <w:szCs w:val="20"/>
      <w:lang w:val="es-AR" w:eastAsia="es-A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bottom w:val="single" w:sz="8" w:space="0" w:color="9BBB59"/>
        </w:tcBorders>
      </w:tcPr>
    </w:tblStylePr>
    <w:tblStylePr w:type="lastRow">
      <w:pPr>
        <w:spacing w:before="0" w:after="0" w:line="240" w:lineRule="auto"/>
      </w:pPr>
      <w:rPr>
        <w:b/>
        <w:bCs/>
      </w:rPr>
      <w:tblPr/>
      <w:tcPr>
        <w:tcBorders>
          <w:top w:val="single" w:sz="8" w:space="0" w:color="9BBB59"/>
          <w:bottom w:val="single" w:sz="8" w:space="0" w:color="9BBB59"/>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customStyle="1" w:styleId="MediumGrid3-Accent41">
    <w:name w:val="Medium Grid 3 - Accent 41"/>
    <w:basedOn w:val="Tablanormal"/>
    <w:next w:val="Cuadrculamedia3-nfasis4"/>
    <w:rsid w:val="004C1C4F"/>
    <w:pPr>
      <w:spacing w:after="0" w:line="240" w:lineRule="auto"/>
    </w:pPr>
    <w:rPr>
      <w:rFonts w:ascii="Times New Roman" w:eastAsia="SimSun" w:hAnsi="Times New Roman" w:cs="Times New Roman"/>
      <w:color w:val="5F497A"/>
      <w:sz w:val="20"/>
      <w:szCs w:val="20"/>
      <w:lang w:val="es-AR" w:eastAsia="es-A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bottom w:val="single" w:sz="8" w:space="0" w:color="8064A2"/>
        </w:tcBorders>
      </w:tcPr>
    </w:tblStylePr>
    <w:tblStylePr w:type="lastRow">
      <w:pPr>
        <w:spacing w:before="0" w:after="0" w:line="240" w:lineRule="auto"/>
      </w:pPr>
      <w:rPr>
        <w:b/>
        <w:bCs/>
      </w:rPr>
      <w:tblPr/>
      <w:tcPr>
        <w:tcBorders>
          <w:top w:val="single" w:sz="8" w:space="0" w:color="8064A2"/>
          <w:bottom w:val="single" w:sz="8" w:space="0" w:color="8064A2"/>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customStyle="1" w:styleId="MediumGrid3-Accent51">
    <w:name w:val="Medium Grid 3 - Accent 51"/>
    <w:basedOn w:val="Tablanormal"/>
    <w:next w:val="Cuadrculamedia3-nfasis5"/>
    <w:rsid w:val="004C1C4F"/>
    <w:pPr>
      <w:spacing w:after="0" w:line="240" w:lineRule="auto"/>
    </w:pPr>
    <w:rPr>
      <w:rFonts w:ascii="Times New Roman" w:eastAsia="SimSun" w:hAnsi="Times New Roman" w:cs="Times New Roman"/>
      <w:color w:val="31849B"/>
      <w:sz w:val="20"/>
      <w:szCs w:val="20"/>
      <w:lang w:val="es-AR" w:eastAsia="es-A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bottom w:val="single" w:sz="8" w:space="0" w:color="4BACC6"/>
        </w:tcBorders>
      </w:tcPr>
    </w:tblStylePr>
    <w:tblStylePr w:type="lastRow">
      <w:pPr>
        <w:spacing w:before="0" w:after="0" w:line="240" w:lineRule="auto"/>
      </w:pPr>
      <w:rPr>
        <w:b/>
        <w:bCs/>
      </w:rPr>
      <w:tblPr/>
      <w:tcPr>
        <w:tcBorders>
          <w:top w:val="single" w:sz="8" w:space="0" w:color="4BACC6"/>
          <w:bottom w:val="single" w:sz="8" w:space="0" w:color="4BACC6"/>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customStyle="1" w:styleId="MediumGrid3-Accent61">
    <w:name w:val="Medium Grid 3 - Accent 61"/>
    <w:basedOn w:val="Tablanormal"/>
    <w:next w:val="Cuadrculamedia3-nfasis6"/>
    <w:rsid w:val="004C1C4F"/>
    <w:pPr>
      <w:spacing w:after="0" w:line="240" w:lineRule="auto"/>
    </w:pPr>
    <w:rPr>
      <w:rFonts w:ascii="Times New Roman" w:eastAsia="SimSun" w:hAnsi="Times New Roman" w:cs="Times New Roman"/>
      <w:color w:val="E36C0A"/>
      <w:sz w:val="20"/>
      <w:szCs w:val="20"/>
      <w:lang w:val="es-AR" w:eastAsia="es-A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bottom w:val="single" w:sz="8" w:space="0" w:color="F79646"/>
        </w:tcBorders>
      </w:tcPr>
    </w:tblStylePr>
    <w:tblStylePr w:type="lastRow">
      <w:pPr>
        <w:spacing w:before="0" w:after="0" w:line="240" w:lineRule="auto"/>
      </w:pPr>
      <w:rPr>
        <w:b/>
        <w:bCs/>
      </w:rPr>
      <w:tblPr/>
      <w:tcPr>
        <w:tcBorders>
          <w:top w:val="single" w:sz="8" w:space="0" w:color="F79646"/>
          <w:bottom w:val="single" w:sz="8" w:space="0" w:color="F79646"/>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customStyle="1" w:styleId="MediumGrid211">
    <w:name w:val="Medium Grid 21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Shading1-Accent21">
    <w:name w:val="Medium Shading 1 - Accent 21"/>
    <w:basedOn w:val="Tablanormal"/>
    <w:next w:val="Sombreadomedio1-nfasis2"/>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Shading1-Accent31">
    <w:name w:val="Medium Shading 1 - Accent 31"/>
    <w:basedOn w:val="Tablanormal"/>
    <w:next w:val="Sombreadomedio1-nfasis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Shading1-Accent41">
    <w:name w:val="Medium Shading 1 - Accent 41"/>
    <w:basedOn w:val="Tablanormal"/>
    <w:next w:val="Sombreadomedio1-nfasis4"/>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Shading1-Accent51">
    <w:name w:val="Medium Shading 1 - Accent 51"/>
    <w:basedOn w:val="Tablanormal"/>
    <w:next w:val="Sombreadomedio1-nfasis5"/>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Shading1-Accent61">
    <w:name w:val="Medium Shading 1 - Accent 61"/>
    <w:basedOn w:val="Tablanormal"/>
    <w:next w:val="Sombreadomedio1-nfasis6"/>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11">
    <w:name w:val="Medium Grid 3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tcBorders>
        <w:shd w:val="clear" w:color="auto" w:fill="000000"/>
      </w:tcPr>
    </w:tblStylePr>
    <w:tblStylePr w:type="lastCol">
      <w:rPr>
        <w:b/>
        <w:bCs/>
        <w:i w:val="0"/>
        <w:iCs w:val="0"/>
        <w:color w:val="FFFFFF"/>
      </w:rPr>
      <w:tblPr/>
      <w:tcPr>
        <w:tcBorders>
          <w:left w:val="single" w:sz="24" w:space="0" w:color="FFFFFF"/>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Shading2-Accent21">
    <w:name w:val="Medium Shading 2 - Accent 21"/>
    <w:basedOn w:val="Tablanormal"/>
    <w:next w:val="Sombreadomedio2-nfasis2"/>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tcBorders>
        <w:shd w:val="clear" w:color="auto" w:fill="4F81BD"/>
      </w:tcPr>
    </w:tblStylePr>
    <w:tblStylePr w:type="lastCol">
      <w:rPr>
        <w:b/>
        <w:bCs/>
        <w:i w:val="0"/>
        <w:iCs w:val="0"/>
        <w:color w:val="FFFFFF"/>
      </w:rPr>
      <w:tblPr/>
      <w:tcPr>
        <w:tcBorders>
          <w:left w:val="single" w:sz="24" w:space="0" w:color="FFFFFF"/>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31">
    <w:name w:val="Medium Shading 2 - Accent 31"/>
    <w:basedOn w:val="Tablanormal"/>
    <w:next w:val="Sombreadomedio2-nfasis3"/>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tcBorders>
        <w:shd w:val="clear" w:color="auto" w:fill="C0504D"/>
      </w:tcPr>
    </w:tblStylePr>
    <w:tblStylePr w:type="lastCol">
      <w:rPr>
        <w:b/>
        <w:bCs/>
        <w:i w:val="0"/>
        <w:iCs w:val="0"/>
        <w:color w:val="FFFFFF"/>
      </w:rPr>
      <w:tblPr/>
      <w:tcPr>
        <w:tcBorders>
          <w:left w:val="single" w:sz="24" w:space="0" w:color="FFFFFF"/>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Shading2-Accent41">
    <w:name w:val="Medium Shading 2 - Accent 41"/>
    <w:basedOn w:val="Tablanormal"/>
    <w:next w:val="Sombreadomedio2-nfasis4"/>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Shading2-Accent51">
    <w:name w:val="Medium Shading 2 - Accent 51"/>
    <w:basedOn w:val="Tablanormal"/>
    <w:next w:val="Sombreadomedio2-nfasis5"/>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tcBorders>
        <w:shd w:val="clear" w:color="auto" w:fill="8064A2"/>
      </w:tcPr>
    </w:tblStylePr>
    <w:tblStylePr w:type="lastCol">
      <w:rPr>
        <w:b/>
        <w:bCs/>
        <w:i w:val="0"/>
        <w:iCs w:val="0"/>
        <w:color w:val="FFFFFF"/>
      </w:rPr>
      <w:tblPr/>
      <w:tcPr>
        <w:tcBorders>
          <w:left w:val="single" w:sz="24" w:space="0" w:color="FFFFFF"/>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Shading2-Accent61">
    <w:name w:val="Medium Shading 2 - Accent 61"/>
    <w:basedOn w:val="Tablanormal"/>
    <w:next w:val="Sombreadomedio2-nfasis6"/>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List111">
    <w:name w:val="Medium List 11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Mincho"/>
      </w:rPr>
      <w:tblPr/>
      <w:tcPr>
        <w:tcBorders>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
    <w:name w:val="Medium List 1 - Accent 11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Mincho"/>
      </w:rPr>
      <w:tblPr/>
      <w:tcPr>
        <w:tcBorders>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41">
    <w:name w:val="Light Shading - Accent 41"/>
    <w:basedOn w:val="Tablanormal"/>
    <w:next w:val="Sombreadoclaro-nfasis4"/>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Mincho"/>
      </w:rPr>
      <w:tblPr/>
      <w:tcPr>
        <w:tcBorders>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Accent51">
    <w:name w:val="Light Shading - Accent 51"/>
    <w:basedOn w:val="Tablanormal"/>
    <w:next w:val="Sombreadoclaro-nfasis5"/>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Mincho"/>
      </w:rPr>
      <w:tblPr/>
      <w:tcPr>
        <w:tcBorders>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11">
    <w:name w:val="Medium List 21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bottom w:val="single" w:sz="24" w:space="0" w:color="000000"/>
        </w:tcBorders>
        <w:shd w:val="clear" w:color="auto" w:fill="FFFFFF"/>
      </w:tcPr>
    </w:tblStylePr>
    <w:tblStylePr w:type="lastRow">
      <w:tblPr/>
      <w:tcPr>
        <w:tcBorders>
          <w:top w:val="single" w:sz="8" w:space="0" w:color="000000"/>
        </w:tcBorders>
        <w:shd w:val="clear" w:color="auto" w:fill="FFFFFF"/>
      </w:tcPr>
    </w:tblStylePr>
    <w:tblStylePr w:type="firstCol">
      <w:tblPr/>
      <w:tcPr>
        <w:tcBorders>
          <w:right w:val="single" w:sz="8" w:space="0" w:color="000000"/>
        </w:tcBorders>
        <w:shd w:val="clear" w:color="auto" w:fill="FFFFFF"/>
      </w:tcPr>
    </w:tblStylePr>
    <w:tblStylePr w:type="lastCol">
      <w:tblPr/>
      <w:tcPr>
        <w:tcBorders>
          <w:left w:val="single" w:sz="8" w:space="0" w:color="000000"/>
        </w:tcBorders>
        <w:shd w:val="clear" w:color="auto" w:fill="FFFFFF"/>
      </w:tcPr>
    </w:tblStylePr>
    <w:tblStylePr w:type="band1Vert">
      <w:tblPr/>
      <w:tcPr>
        <w:shd w:val="clear" w:color="auto" w:fill="C0C0C0"/>
      </w:tcPr>
    </w:tblStylePr>
    <w:tblStylePr w:type="band1Horz">
      <w:tblPr/>
      <w:tcPr>
        <w:shd w:val="clear" w:color="auto" w:fill="C0C0C0"/>
      </w:tcPr>
    </w:tblStylePr>
    <w:tblStylePr w:type="nwCell">
      <w:tblPr/>
      <w:tcPr>
        <w:shd w:val="clear" w:color="auto" w:fill="FFFFFF"/>
      </w:tcPr>
    </w:tblStylePr>
  </w:style>
  <w:style w:type="table" w:customStyle="1" w:styleId="LightList-Accent21">
    <w:name w:val="Light List - Accent 21"/>
    <w:basedOn w:val="Tablanormal"/>
    <w:next w:val="Listaclara-nfasis2"/>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bottom w:val="single" w:sz="24" w:space="0" w:color="4F81BD"/>
        </w:tcBorders>
        <w:shd w:val="clear" w:color="auto" w:fill="FFFFFF"/>
      </w:tcPr>
    </w:tblStylePr>
    <w:tblStylePr w:type="lastRow">
      <w:tblPr/>
      <w:tcPr>
        <w:tcBorders>
          <w:top w:val="single" w:sz="8" w:space="0" w:color="4F81BD"/>
        </w:tcBorders>
        <w:shd w:val="clear" w:color="auto" w:fill="FFFFFF"/>
      </w:tcPr>
    </w:tblStylePr>
    <w:tblStylePr w:type="firstCol">
      <w:tblPr/>
      <w:tcPr>
        <w:tcBorders>
          <w:right w:val="single" w:sz="8" w:space="0" w:color="4F81BD"/>
        </w:tcBorders>
        <w:shd w:val="clear" w:color="auto" w:fill="FFFFFF"/>
      </w:tcPr>
    </w:tblStylePr>
    <w:tblStylePr w:type="lastCol">
      <w:tblPr/>
      <w:tcPr>
        <w:tcBorders>
          <w:left w:val="single" w:sz="8" w:space="0" w:color="4F81BD"/>
        </w:tcBorders>
        <w:shd w:val="clear" w:color="auto" w:fill="FFFFFF"/>
      </w:tcPr>
    </w:tblStylePr>
    <w:tblStylePr w:type="band1Vert">
      <w:tblPr/>
      <w:tcPr>
        <w:shd w:val="clear" w:color="auto" w:fill="D3DFEE"/>
      </w:tcPr>
    </w:tblStylePr>
    <w:tblStylePr w:type="band1Horz">
      <w:tblPr/>
      <w:tcPr>
        <w:shd w:val="clear" w:color="auto" w:fill="D3DFEE"/>
      </w:tcPr>
    </w:tblStylePr>
    <w:tblStylePr w:type="nwCell">
      <w:tblPr/>
      <w:tcPr>
        <w:shd w:val="clear" w:color="auto" w:fill="FFFFFF"/>
      </w:tcPr>
    </w:tblStylePr>
  </w:style>
  <w:style w:type="table" w:customStyle="1" w:styleId="LightList-Accent31">
    <w:name w:val="Light List - Accent 31"/>
    <w:basedOn w:val="Tablanormal"/>
    <w:next w:val="Listaclara-nfasis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bottom w:val="single" w:sz="24" w:space="0" w:color="C0504D"/>
        </w:tcBorders>
        <w:shd w:val="clear" w:color="auto" w:fill="FFFFFF"/>
      </w:tcPr>
    </w:tblStylePr>
    <w:tblStylePr w:type="lastRow">
      <w:tblPr/>
      <w:tcPr>
        <w:tcBorders>
          <w:top w:val="single" w:sz="8" w:space="0" w:color="C0504D"/>
        </w:tcBorders>
        <w:shd w:val="clear" w:color="auto" w:fill="FFFFFF"/>
      </w:tcPr>
    </w:tblStylePr>
    <w:tblStylePr w:type="firstCol">
      <w:tblPr/>
      <w:tcPr>
        <w:tcBorders>
          <w:right w:val="single" w:sz="8" w:space="0" w:color="C0504D"/>
        </w:tcBorders>
        <w:shd w:val="clear" w:color="auto" w:fill="FFFFFF"/>
      </w:tcPr>
    </w:tblStylePr>
    <w:tblStylePr w:type="lastCol">
      <w:tblPr/>
      <w:tcPr>
        <w:tcBorders>
          <w:left w:val="single" w:sz="8" w:space="0" w:color="C0504D"/>
        </w:tcBorders>
        <w:shd w:val="clear" w:color="auto" w:fill="FFFFFF"/>
      </w:tcPr>
    </w:tblStylePr>
    <w:tblStylePr w:type="band1Vert">
      <w:tblPr/>
      <w:tcPr>
        <w:shd w:val="clear" w:color="auto" w:fill="EFD3D2"/>
      </w:tcPr>
    </w:tblStylePr>
    <w:tblStylePr w:type="band1Horz">
      <w:tblPr/>
      <w:tcPr>
        <w:shd w:val="clear" w:color="auto" w:fill="EFD3D2"/>
      </w:tcPr>
    </w:tblStylePr>
    <w:tblStylePr w:type="nwCell">
      <w:tblPr/>
      <w:tcPr>
        <w:shd w:val="clear" w:color="auto" w:fill="FFFFFF"/>
      </w:tcPr>
    </w:tblStylePr>
  </w:style>
  <w:style w:type="table" w:customStyle="1" w:styleId="LightList-Accent41">
    <w:name w:val="Light List - Accent 41"/>
    <w:basedOn w:val="Tablanormal"/>
    <w:next w:val="Listaclara-nfasis4"/>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bottom w:val="single" w:sz="24" w:space="0" w:color="9BBB59"/>
        </w:tcBorders>
        <w:shd w:val="clear" w:color="auto" w:fill="FFFFFF"/>
      </w:tcPr>
    </w:tblStylePr>
    <w:tblStylePr w:type="lastRow">
      <w:tblPr/>
      <w:tcPr>
        <w:tcBorders>
          <w:top w:val="single" w:sz="8" w:space="0" w:color="9BBB59"/>
        </w:tcBorders>
        <w:shd w:val="clear" w:color="auto" w:fill="FFFFFF"/>
      </w:tcPr>
    </w:tblStylePr>
    <w:tblStylePr w:type="firstCol">
      <w:tblPr/>
      <w:tcPr>
        <w:tcBorders>
          <w:right w:val="single" w:sz="8" w:space="0" w:color="9BBB59"/>
        </w:tcBorders>
        <w:shd w:val="clear" w:color="auto" w:fill="FFFFFF"/>
      </w:tcPr>
    </w:tblStylePr>
    <w:tblStylePr w:type="lastCol">
      <w:tblPr/>
      <w:tcPr>
        <w:tcBorders>
          <w:left w:val="single" w:sz="8" w:space="0" w:color="9BBB59"/>
        </w:tcBorders>
        <w:shd w:val="clear" w:color="auto" w:fill="FFFFFF"/>
      </w:tcPr>
    </w:tblStylePr>
    <w:tblStylePr w:type="band1Vert">
      <w:tblPr/>
      <w:tcPr>
        <w:shd w:val="clear" w:color="auto" w:fill="E6EED5"/>
      </w:tcPr>
    </w:tblStylePr>
    <w:tblStylePr w:type="band1Horz">
      <w:tblPr/>
      <w:tcPr>
        <w:shd w:val="clear" w:color="auto" w:fill="E6EED5"/>
      </w:tcPr>
    </w:tblStylePr>
    <w:tblStylePr w:type="nwCell">
      <w:tblPr/>
      <w:tcPr>
        <w:shd w:val="clear" w:color="auto" w:fill="FFFFFF"/>
      </w:tcPr>
    </w:tblStylePr>
  </w:style>
  <w:style w:type="table" w:customStyle="1" w:styleId="LightList-Accent51">
    <w:name w:val="Light List - Accent 51"/>
    <w:basedOn w:val="Tablanormal"/>
    <w:next w:val="Listaclara-nfasis5"/>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bottom w:val="single" w:sz="24" w:space="0" w:color="8064A2"/>
        </w:tcBorders>
        <w:shd w:val="clear" w:color="auto" w:fill="FFFFFF"/>
      </w:tcPr>
    </w:tblStylePr>
    <w:tblStylePr w:type="lastRow">
      <w:tblPr/>
      <w:tcPr>
        <w:tcBorders>
          <w:top w:val="single" w:sz="8" w:space="0" w:color="8064A2"/>
        </w:tcBorders>
        <w:shd w:val="clear" w:color="auto" w:fill="FFFFFF"/>
      </w:tcPr>
    </w:tblStylePr>
    <w:tblStylePr w:type="firstCol">
      <w:tblPr/>
      <w:tcPr>
        <w:tcBorders>
          <w:right w:val="single" w:sz="8" w:space="0" w:color="8064A2"/>
        </w:tcBorders>
        <w:shd w:val="clear" w:color="auto" w:fill="FFFFFF"/>
      </w:tcPr>
    </w:tblStylePr>
    <w:tblStylePr w:type="lastCol">
      <w:tblPr/>
      <w:tcPr>
        <w:tcBorders>
          <w:left w:val="single" w:sz="8" w:space="0" w:color="8064A2"/>
        </w:tcBorders>
        <w:shd w:val="clear" w:color="auto" w:fill="FFFFFF"/>
      </w:tcPr>
    </w:tblStylePr>
    <w:tblStylePr w:type="band1Vert">
      <w:tblPr/>
      <w:tcPr>
        <w:shd w:val="clear" w:color="auto" w:fill="DFD8E8"/>
      </w:tcPr>
    </w:tblStylePr>
    <w:tblStylePr w:type="band1Horz">
      <w:tblPr/>
      <w:tcPr>
        <w:shd w:val="clear" w:color="auto" w:fill="DFD8E8"/>
      </w:tcPr>
    </w:tblStylePr>
    <w:tblStylePr w:type="nwCell">
      <w:tblPr/>
      <w:tcPr>
        <w:shd w:val="clear" w:color="auto" w:fill="FFFFFF"/>
      </w:tcPr>
    </w:tblStylePr>
  </w:style>
  <w:style w:type="table" w:customStyle="1" w:styleId="LightList-Accent61">
    <w:name w:val="Light List - Accent 61"/>
    <w:basedOn w:val="Tablanormal"/>
    <w:next w:val="Listaclara-nfasis6"/>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bottom w:val="single" w:sz="24" w:space="0" w:color="4BACC6"/>
        </w:tcBorders>
        <w:shd w:val="clear" w:color="auto" w:fill="FFFFFF"/>
      </w:tcPr>
    </w:tblStylePr>
    <w:tblStylePr w:type="lastRow">
      <w:tblPr/>
      <w:tcPr>
        <w:tcBorders>
          <w:top w:val="single" w:sz="8" w:space="0" w:color="4BACC6"/>
        </w:tcBorders>
        <w:shd w:val="clear" w:color="auto" w:fill="FFFFFF"/>
      </w:tcPr>
    </w:tblStylePr>
    <w:tblStylePr w:type="firstCol">
      <w:tblPr/>
      <w:tcPr>
        <w:tcBorders>
          <w:right w:val="single" w:sz="8" w:space="0" w:color="4BACC6"/>
        </w:tcBorders>
        <w:shd w:val="clear" w:color="auto" w:fill="FFFFFF"/>
      </w:tcPr>
    </w:tblStylePr>
    <w:tblStylePr w:type="lastCol">
      <w:tblPr/>
      <w:tcPr>
        <w:tcBorders>
          <w:left w:val="single" w:sz="8" w:space="0" w:color="4BACC6"/>
        </w:tcBorders>
        <w:shd w:val="clear" w:color="auto" w:fill="FFFFFF"/>
      </w:tcPr>
    </w:tblStylePr>
    <w:tblStylePr w:type="band1Vert">
      <w:tblPr/>
      <w:tcPr>
        <w:shd w:val="clear" w:color="auto" w:fill="D2EAF1"/>
      </w:tcPr>
    </w:tblStylePr>
    <w:tblStylePr w:type="band1Horz">
      <w:tblPr/>
      <w:tcPr>
        <w:shd w:val="clear" w:color="auto" w:fill="D2EAF1"/>
      </w:tcPr>
    </w:tblStylePr>
    <w:tblStylePr w:type="nwCell">
      <w:tblPr/>
      <w:tcPr>
        <w:shd w:val="clear" w:color="auto" w:fill="FFFFFF"/>
      </w:tcPr>
    </w:tblStylePr>
  </w:style>
  <w:style w:type="table" w:customStyle="1" w:styleId="IntenseEmphasis21">
    <w:name w:val="Intense Emphasis21"/>
    <w:basedOn w:val="Tablanormal"/>
    <w:qFormat/>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bottom w:val="single" w:sz="24" w:space="0" w:color="F79646"/>
        </w:tcBorders>
        <w:shd w:val="clear" w:color="auto" w:fill="FFFFFF"/>
      </w:tcPr>
    </w:tblStylePr>
    <w:tblStylePr w:type="lastRow">
      <w:tblPr/>
      <w:tcPr>
        <w:tcBorders>
          <w:top w:val="single" w:sz="8" w:space="0" w:color="F79646"/>
        </w:tcBorders>
        <w:shd w:val="clear" w:color="auto" w:fill="FFFFFF"/>
      </w:tcPr>
    </w:tblStylePr>
    <w:tblStylePr w:type="firstCol">
      <w:tblPr/>
      <w:tcPr>
        <w:tcBorders>
          <w:right w:val="single" w:sz="8" w:space="0" w:color="F79646"/>
        </w:tcBorders>
        <w:shd w:val="clear" w:color="auto" w:fill="FFFFFF"/>
      </w:tcPr>
    </w:tblStylePr>
    <w:tblStylePr w:type="lastCol">
      <w:tblPr/>
      <w:tcPr>
        <w:tcBorders>
          <w:left w:val="single" w:sz="8" w:space="0" w:color="F79646"/>
        </w:tcBorders>
        <w:shd w:val="clear" w:color="auto" w:fill="FFFFFF"/>
      </w:tcPr>
    </w:tblStylePr>
    <w:tblStylePr w:type="band1Vert">
      <w:tblPr/>
      <w:tcPr>
        <w:shd w:val="clear" w:color="auto" w:fill="FDE4D0"/>
      </w:tcPr>
    </w:tblStylePr>
    <w:tblStylePr w:type="band1Horz">
      <w:tblPr/>
      <w:tcPr>
        <w:shd w:val="clear" w:color="auto" w:fill="FDE4D0"/>
      </w:tcPr>
    </w:tblStylePr>
    <w:tblStylePr w:type="nwCell">
      <w:tblPr/>
      <w:tcPr>
        <w:shd w:val="clear" w:color="auto" w:fill="FFFFFF"/>
      </w:tcPr>
    </w:tblStylePr>
  </w:style>
  <w:style w:type="table" w:customStyle="1" w:styleId="MediumShading111">
    <w:name w:val="Medium Shading 1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MediumShading1-Accent111">
    <w:name w:val="Medium Shading 1 - Accent 1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ColorfulList-Accent21">
    <w:name w:val="Colorful List - Accent 21"/>
    <w:basedOn w:val="Tablanormal"/>
    <w:next w:val="Listavistosa-nfasis2"/>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customStyle="1" w:styleId="ColorfulList-Accent31">
    <w:name w:val="Colorful List - Accent 31"/>
    <w:basedOn w:val="Tablanormal"/>
    <w:next w:val="Listavistosa-nfasis3"/>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customStyle="1" w:styleId="ColorfulList-Accent41">
    <w:name w:val="Colorful List - Accent 41"/>
    <w:basedOn w:val="Tablanormal"/>
    <w:next w:val="Listavistosa-nfasis4"/>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customStyle="1" w:styleId="ColorfulList-Accent51">
    <w:name w:val="Colorful List - Accent 51"/>
    <w:basedOn w:val="Tablanormal"/>
    <w:next w:val="Listavistosa-nfasis5"/>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customStyle="1" w:styleId="ColorfulList-Accent61">
    <w:name w:val="Colorful List - Accent 61"/>
    <w:basedOn w:val="Tablanormal"/>
    <w:next w:val="Listavistosa-nfasis6"/>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customStyle="1" w:styleId="MediumShading211">
    <w:name w:val="Medium Shading 2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000000"/>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000000"/>
      </w:tcPr>
    </w:tblStylePr>
    <w:tblStylePr w:type="lastCol">
      <w:rPr>
        <w:b/>
        <w:bCs/>
        <w:color w:val="FFFFFF"/>
      </w:rPr>
      <w:tblPr/>
      <w:tcPr>
        <w:shd w:val="clear" w:color="auto" w:fill="000000"/>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MediumShading2-Accent111">
    <w:name w:val="Medium Shading 2 - Accent 111"/>
    <w:basedOn w:val="Tablanormal"/>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ColorfulGrid-Accent21">
    <w:name w:val="Colorful Grid - Accent 21"/>
    <w:basedOn w:val="Tablanormal"/>
    <w:next w:val="Cuadrculavistosa-nfasis2"/>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C0504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C0504D"/>
      </w:tcPr>
    </w:tblStylePr>
    <w:tblStylePr w:type="lastCol">
      <w:rPr>
        <w:b/>
        <w:bCs/>
        <w:color w:val="FFFFFF"/>
      </w:rPr>
      <w:tblPr/>
      <w:tcPr>
        <w:shd w:val="clear" w:color="auto" w:fill="C0504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ColorfulGrid-Accent31">
    <w:name w:val="Colorful Grid - Accent 31"/>
    <w:basedOn w:val="Tablanormal"/>
    <w:next w:val="Cuadrculavistosa-nfasis3"/>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ColorfulGrid-Accent41">
    <w:name w:val="Colorful Grid - Accent 41"/>
    <w:basedOn w:val="Tablanormal"/>
    <w:next w:val="Cuadrculavistosa-nfasis4"/>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8064A2"/>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8064A2"/>
      </w:tcPr>
    </w:tblStylePr>
    <w:tblStylePr w:type="lastCol">
      <w:rPr>
        <w:b/>
        <w:bCs/>
        <w:color w:val="FFFFFF"/>
      </w:rPr>
      <w:tblPr/>
      <w:tcPr>
        <w:shd w:val="clear" w:color="auto" w:fill="8064A2"/>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ColorfulGrid-Accent51">
    <w:name w:val="Colorful Grid - Accent 51"/>
    <w:basedOn w:val="Tablanormal"/>
    <w:next w:val="Cuadrculavistosa-nfasis5"/>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ColorfulGrid-Accent61">
    <w:name w:val="Colorful Grid - Accent 61"/>
    <w:basedOn w:val="Tablanormal"/>
    <w:next w:val="Cuadrculavistosa-nfasis6"/>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TableWeb11">
    <w:name w:val="Table Web 11"/>
    <w:basedOn w:val="Tablanormal"/>
    <w:next w:val="Tablaweb1"/>
    <w:rsid w:val="004C1C4F"/>
    <w:pPr>
      <w:spacing w:after="240" w:line="240" w:lineRule="auto"/>
      <w:jc w:val="both"/>
    </w:pPr>
    <w:rPr>
      <w:rFonts w:ascii="Times New Roman" w:eastAsia="SimSun" w:hAnsi="Times New Roman" w:cs="Times New Roman"/>
      <w:sz w:val="20"/>
      <w:szCs w:val="20"/>
      <w:lang w:val="es-AR" w:eastAsia="es-A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anormal"/>
    <w:next w:val="Tablaweb2"/>
    <w:rsid w:val="004C1C4F"/>
    <w:pPr>
      <w:spacing w:after="240" w:line="240" w:lineRule="auto"/>
      <w:jc w:val="both"/>
    </w:pPr>
    <w:rPr>
      <w:rFonts w:ascii="Times New Roman" w:eastAsia="SimSun" w:hAnsi="Times New Roman" w:cs="Times New Roman"/>
      <w:sz w:val="20"/>
      <w:szCs w:val="20"/>
      <w:lang w:val="es-AR" w:eastAsia="es-A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anormal"/>
    <w:next w:val="Tablaweb3"/>
    <w:rsid w:val="004C1C4F"/>
    <w:pPr>
      <w:spacing w:after="240" w:line="240" w:lineRule="auto"/>
      <w:jc w:val="both"/>
    </w:pPr>
    <w:rPr>
      <w:rFonts w:ascii="Times New Roman" w:eastAsia="SimSun" w:hAnsi="Times New Roman" w:cs="Times New Roman"/>
      <w:sz w:val="20"/>
      <w:szCs w:val="20"/>
      <w:lang w:val="es-AR" w:eastAsia="es-A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List1-Accent211">
    <w:name w:val="Medium List 1 - Accent 211"/>
    <w:basedOn w:val="Tablanormal"/>
    <w:next w:val="Sombreadoclaro-nfasis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511">
    <w:name w:val="Medium List 1 - Accent 511"/>
    <w:basedOn w:val="Tablanormal"/>
    <w:next w:val="Sombreadoclaro-nfasis6"/>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1">
    <w:name w:val="Medium List 1 - Accent 611"/>
    <w:basedOn w:val="Tablanormal"/>
    <w:next w:val="SubtleEmphasis2"/>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Accent221">
    <w:name w:val="Medium List 1 - Accent 221"/>
    <w:basedOn w:val="Tablanormal"/>
    <w:next w:val="Sombreadoclaro-nfasis3"/>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521">
    <w:name w:val="Medium List 1 - Accent 521"/>
    <w:basedOn w:val="Tablanormal"/>
    <w:next w:val="Sombreadoclaro-nfasis6"/>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1">
    <w:name w:val="Medium List 1 - Accent 621"/>
    <w:basedOn w:val="Tablanormal"/>
    <w:next w:val="SubtleEmphasis2"/>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customStyle="1" w:styleId="Encabezadodenota1">
    <w:name w:val="Encabezado de nota1"/>
    <w:basedOn w:val="Normal"/>
    <w:next w:val="Normal"/>
    <w:uiPriority w:val="99"/>
    <w:unhideWhenUsed/>
    <w:rsid w:val="004C1C4F"/>
    <w:pPr>
      <w:spacing w:after="0" w:line="240" w:lineRule="auto"/>
    </w:pPr>
    <w:rPr>
      <w:rFonts w:ascii="Times New Roman" w:eastAsia="Calibri" w:hAnsi="Times New Roman" w:cs="Arial"/>
      <w:sz w:val="20"/>
      <w:szCs w:val="24"/>
      <w:lang w:val="en-US"/>
    </w:rPr>
  </w:style>
  <w:style w:type="table" w:customStyle="1" w:styleId="TableSimple11">
    <w:name w:val="Table Simple 11"/>
    <w:basedOn w:val="Tablanormal"/>
    <w:next w:val="Tablabsica1"/>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Listavistosa-nfasis611">
    <w:name w:val="Lista vistosa - Énfasis 611"/>
    <w:basedOn w:val="Tablanormal"/>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9D9"/>
      </w:tcPr>
    </w:tblStylePr>
  </w:style>
  <w:style w:type="table" w:customStyle="1" w:styleId="Table3Deffects11">
    <w:name w:val="Table 3D effects 11"/>
    <w:basedOn w:val="Tablanormal"/>
    <w:next w:val="Tablaconefectos3D1"/>
    <w:rsid w:val="004C1C4F"/>
    <w:pPr>
      <w:spacing w:after="240" w:line="240" w:lineRule="auto"/>
      <w:jc w:val="both"/>
    </w:pPr>
    <w:rPr>
      <w:rFonts w:ascii="Times New Roman" w:eastAsia="SimSun" w:hAnsi="Times New Roman" w:cs="Times New Roman"/>
      <w:sz w:val="20"/>
      <w:szCs w:val="20"/>
      <w:lang w:val="es-AR" w:eastAsia="es-AR"/>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customStyle="1" w:styleId="Table3Deffects21">
    <w:name w:val="Table 3D effects 21"/>
    <w:basedOn w:val="Tablanormal"/>
    <w:next w:val="Tablaconefectos3D2"/>
    <w:rsid w:val="004C1C4F"/>
    <w:pPr>
      <w:spacing w:after="240" w:line="240" w:lineRule="auto"/>
      <w:jc w:val="both"/>
    </w:pPr>
    <w:rPr>
      <w:rFonts w:ascii="Times New Roman" w:eastAsia="SimSun" w:hAnsi="Times New Roman" w:cs="Times New Roman"/>
      <w:sz w:val="20"/>
      <w:szCs w:val="20"/>
      <w:lang w:val="es-AR" w:eastAsia="es-AR"/>
    </w:r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Table3Deffects31">
    <w:name w:val="Table 3D effects 31"/>
    <w:basedOn w:val="Tablanormal"/>
    <w:next w:val="Tablaconefectos3D3"/>
    <w:rsid w:val="004C1C4F"/>
    <w:pPr>
      <w:spacing w:after="240" w:line="240" w:lineRule="auto"/>
      <w:jc w:val="both"/>
    </w:pPr>
    <w:rPr>
      <w:rFonts w:ascii="Times New Roman" w:eastAsia="SimSun" w:hAnsi="Times New Roman" w:cs="Times New Roman"/>
      <w:sz w:val="20"/>
      <w:szCs w:val="20"/>
      <w:lang w:val="es-AR" w:eastAsia="es-AR"/>
    </w:r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TableClassic11">
    <w:name w:val="Table Classic 11"/>
    <w:basedOn w:val="Tablanormal"/>
    <w:next w:val="Tablaclsica1"/>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TableClassic21">
    <w:name w:val="Table Classic 21"/>
    <w:basedOn w:val="Tablanormal"/>
    <w:next w:val="Tablaclsica2"/>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TableClassic31">
    <w:name w:val="Table Classic 31"/>
    <w:basedOn w:val="Tablanormal"/>
    <w:next w:val="Tablaclsica3"/>
    <w:rsid w:val="004C1C4F"/>
    <w:pPr>
      <w:spacing w:after="240" w:line="240" w:lineRule="auto"/>
      <w:jc w:val="both"/>
    </w:pPr>
    <w:rPr>
      <w:rFonts w:ascii="Times New Roman" w:eastAsia="SimSun" w:hAnsi="Times New Roman" w:cs="Times New Roman"/>
      <w:color w:val="000080"/>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customStyle="1" w:styleId="TableClassic41">
    <w:name w:val="Table Classic 41"/>
    <w:basedOn w:val="Tablanormal"/>
    <w:next w:val="Tablaclsica4"/>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customStyle="1" w:styleId="TableColorful11">
    <w:name w:val="Table Colorful 11"/>
    <w:basedOn w:val="Tablanormal"/>
    <w:next w:val="Tablavistosa1"/>
    <w:rsid w:val="004C1C4F"/>
    <w:pPr>
      <w:spacing w:after="240" w:line="240" w:lineRule="auto"/>
      <w:jc w:val="both"/>
    </w:pPr>
    <w:rPr>
      <w:rFonts w:ascii="Times New Roman" w:eastAsia="SimSun" w:hAnsi="Times New Roman" w:cs="Times New Roman"/>
      <w:color w:val="FFFFFF"/>
      <w:sz w:val="20"/>
      <w:szCs w:val="20"/>
      <w:lang w:val="es-AR" w:eastAsia="es-A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TableColorful21">
    <w:name w:val="Table Colorful 21"/>
    <w:basedOn w:val="Tablanormal"/>
    <w:next w:val="Tablavistosa2"/>
    <w:rsid w:val="004C1C4F"/>
    <w:pPr>
      <w:spacing w:after="240" w:line="240" w:lineRule="auto"/>
      <w:jc w:val="both"/>
    </w:pPr>
    <w:rPr>
      <w:rFonts w:ascii="Times New Roman" w:eastAsia="SimSun" w:hAnsi="Times New Roman" w:cs="Times New Roman"/>
      <w:sz w:val="20"/>
      <w:szCs w:val="20"/>
      <w:lang w:val="es-AR" w:eastAsia="es-A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TableColorful31">
    <w:name w:val="Table Colorful 31"/>
    <w:basedOn w:val="Tablanormal"/>
    <w:next w:val="Tablavistosa3"/>
    <w:rsid w:val="004C1C4F"/>
    <w:pPr>
      <w:spacing w:after="240" w:line="240" w:lineRule="auto"/>
      <w:jc w:val="both"/>
    </w:pPr>
    <w:rPr>
      <w:rFonts w:ascii="Times New Roman" w:eastAsia="SimSun" w:hAnsi="Times New Roman" w:cs="Times New Roman"/>
      <w:sz w:val="20"/>
      <w:szCs w:val="20"/>
      <w:lang w:val="es-AR" w:eastAsia="es-A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TableColumns11">
    <w:name w:val="Table Columns 11"/>
    <w:basedOn w:val="Tablanormal"/>
    <w:next w:val="Tablaconcolumnas1"/>
    <w:rsid w:val="004C1C4F"/>
    <w:pPr>
      <w:spacing w:after="240" w:line="240" w:lineRule="auto"/>
      <w:jc w:val="both"/>
    </w:pPr>
    <w:rPr>
      <w:rFonts w:ascii="Times New Roman" w:eastAsia="SimSun" w:hAnsi="Times New Roman" w:cs="Times New Roman"/>
      <w:b/>
      <w:bCs/>
      <w:sz w:val="20"/>
      <w:szCs w:val="20"/>
      <w:lang w:val="es-AR" w:eastAsia="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TableColumns21">
    <w:name w:val="Table Columns 21"/>
    <w:basedOn w:val="Tablanormal"/>
    <w:next w:val="Tablaconcolumnas2"/>
    <w:rsid w:val="004C1C4F"/>
    <w:pPr>
      <w:spacing w:after="240" w:line="240" w:lineRule="auto"/>
      <w:jc w:val="both"/>
    </w:pPr>
    <w:rPr>
      <w:rFonts w:ascii="Times New Roman" w:eastAsia="SimSun" w:hAnsi="Times New Roman" w:cs="Times New Roman"/>
      <w:b/>
      <w:bCs/>
      <w:sz w:val="20"/>
      <w:szCs w:val="20"/>
      <w:lang w:val="es-AR" w:eastAsia="es-AR"/>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TableColumns31">
    <w:name w:val="Table Columns 31"/>
    <w:basedOn w:val="Tablanormal"/>
    <w:next w:val="Tablaconcolumnas3"/>
    <w:rsid w:val="004C1C4F"/>
    <w:pPr>
      <w:spacing w:after="240" w:line="240" w:lineRule="auto"/>
      <w:jc w:val="both"/>
    </w:pPr>
    <w:rPr>
      <w:rFonts w:ascii="Times New Roman" w:eastAsia="SimSun" w:hAnsi="Times New Roman" w:cs="Times New Roman"/>
      <w:b/>
      <w:bCs/>
      <w:sz w:val="20"/>
      <w:szCs w:val="20"/>
      <w:lang w:val="es-AR" w:eastAsia="es-A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TableColumns41">
    <w:name w:val="Table Columns 41"/>
    <w:basedOn w:val="Tablanormal"/>
    <w:next w:val="Tablaconcolumnas4"/>
    <w:rsid w:val="004C1C4F"/>
    <w:pPr>
      <w:spacing w:after="240" w:line="240" w:lineRule="auto"/>
      <w:jc w:val="both"/>
    </w:pPr>
    <w:rPr>
      <w:rFonts w:ascii="Times New Roman" w:eastAsia="SimSun" w:hAnsi="Times New Roman" w:cs="Times New Roman"/>
      <w:sz w:val="20"/>
      <w:szCs w:val="20"/>
      <w:lang w:val="es-AR" w:eastAsia="es-AR"/>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anormal"/>
    <w:next w:val="Tablaconcolumnas5"/>
    <w:rsid w:val="004C1C4F"/>
    <w:pPr>
      <w:spacing w:after="240" w:line="240" w:lineRule="auto"/>
      <w:jc w:val="both"/>
    </w:pPr>
    <w:rPr>
      <w:rFonts w:ascii="Times New Roman" w:eastAsia="SimSun" w:hAnsi="Times New Roman" w:cs="Times New Roman"/>
      <w:sz w:val="20"/>
      <w:szCs w:val="20"/>
      <w:lang w:val="es-AR" w:eastAsia="es-A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anormal"/>
    <w:next w:val="Tablamoderna"/>
    <w:rsid w:val="004C1C4F"/>
    <w:pPr>
      <w:spacing w:after="240" w:line="240" w:lineRule="auto"/>
      <w:jc w:val="both"/>
    </w:pPr>
    <w:rPr>
      <w:rFonts w:ascii="Times New Roman" w:eastAsia="SimSun" w:hAnsi="Times New Roman" w:cs="Times New Roman"/>
      <w:sz w:val="20"/>
      <w:szCs w:val="20"/>
      <w:lang w:val="es-AR" w:eastAsia="es-AR"/>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TableElegant1">
    <w:name w:val="Table Elegant1"/>
    <w:basedOn w:val="Tablanormal"/>
    <w:next w:val="Tablaelegante"/>
    <w:rsid w:val="004C1C4F"/>
    <w:pPr>
      <w:spacing w:after="240" w:line="240" w:lineRule="auto"/>
      <w:jc w:val="both"/>
    </w:pPr>
    <w:rPr>
      <w:rFonts w:ascii="Times New Roman" w:eastAsia="SimSun" w:hAnsi="Times New Roman" w:cs="Times New Roman"/>
      <w:sz w:val="20"/>
      <w:szCs w:val="20"/>
      <w:lang w:val="es-AR" w:eastAsia="es-A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customStyle="1" w:styleId="TableGrid114">
    <w:name w:val="Table Grid 11"/>
    <w:basedOn w:val="Tablanormal"/>
    <w:next w:val="Tablaconcuadrcula10"/>
    <w:rsid w:val="004C1C4F"/>
    <w:pPr>
      <w:spacing w:after="240" w:line="240" w:lineRule="auto"/>
      <w:jc w:val="both"/>
    </w:pPr>
    <w:rPr>
      <w:rFonts w:ascii="Times New Roman" w:eastAsia="SimSun" w:hAnsi="Times New Roman" w:cs="Times New Roman"/>
      <w:sz w:val="20"/>
      <w:szCs w:val="20"/>
      <w:lang w:val="es-AR" w:eastAsia="es-A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210">
    <w:name w:val="Table Grid 21"/>
    <w:basedOn w:val="Tablanormal"/>
    <w:next w:val="Tablaconcuadrcula20"/>
    <w:rsid w:val="004C1C4F"/>
    <w:pPr>
      <w:spacing w:after="240" w:line="240" w:lineRule="auto"/>
      <w:jc w:val="both"/>
    </w:pPr>
    <w:rPr>
      <w:rFonts w:ascii="Times New Roman" w:eastAsia="SimSun" w:hAnsi="Times New Roman" w:cs="Times New Roman"/>
      <w:sz w:val="20"/>
      <w:szCs w:val="20"/>
      <w:lang w:val="es-AR" w:eastAsia="es-AR"/>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TableGrid310">
    <w:name w:val="Table Grid 31"/>
    <w:basedOn w:val="Tablanormal"/>
    <w:next w:val="Tablaconcuadrcula3"/>
    <w:rsid w:val="004C1C4F"/>
    <w:pPr>
      <w:spacing w:after="240" w:line="240" w:lineRule="auto"/>
      <w:jc w:val="both"/>
    </w:pPr>
    <w:rPr>
      <w:rFonts w:ascii="Times New Roman" w:eastAsia="SimSun" w:hAnsi="Times New Roman" w:cs="Times New Roman"/>
      <w:sz w:val="20"/>
      <w:szCs w:val="20"/>
      <w:lang w:val="es-AR" w:eastAsia="es-A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customStyle="1" w:styleId="TableGrid410">
    <w:name w:val="Table Grid 41"/>
    <w:basedOn w:val="Tablanormal"/>
    <w:next w:val="Tablaconcuadrcula40"/>
    <w:rsid w:val="004C1C4F"/>
    <w:pPr>
      <w:spacing w:after="240" w:line="240" w:lineRule="auto"/>
      <w:jc w:val="both"/>
    </w:pPr>
    <w:rPr>
      <w:rFonts w:ascii="Times New Roman" w:eastAsia="SimSun" w:hAnsi="Times New Roman" w:cs="Times New Roman"/>
      <w:sz w:val="20"/>
      <w:szCs w:val="20"/>
      <w:lang w:val="es-AR" w:eastAsia="es-A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customStyle="1" w:styleId="TableGrid510">
    <w:name w:val="Table Grid 51"/>
    <w:basedOn w:val="Tablanormal"/>
    <w:next w:val="Tablaconcuadrcula50"/>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r2bl w:val="single" w:sz="6" w:space="0" w:color="000000"/>
        </w:tcBorders>
      </w:tcPr>
    </w:tblStylePr>
  </w:style>
  <w:style w:type="table" w:customStyle="1" w:styleId="TableGrid61">
    <w:name w:val="Table Grid 61"/>
    <w:basedOn w:val="Tablanormal"/>
    <w:next w:val="Tablaconcuadrcula6"/>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r2bl w:val="single" w:sz="6" w:space="0" w:color="000000"/>
        </w:tcBorders>
      </w:tcPr>
    </w:tblStylePr>
  </w:style>
  <w:style w:type="table" w:customStyle="1" w:styleId="TableGrid71">
    <w:name w:val="Table Grid 71"/>
    <w:basedOn w:val="Tablanormal"/>
    <w:next w:val="Tablaconcuadrcula7"/>
    <w:rsid w:val="004C1C4F"/>
    <w:pPr>
      <w:spacing w:after="240" w:line="240" w:lineRule="auto"/>
      <w:jc w:val="both"/>
    </w:pPr>
    <w:rPr>
      <w:rFonts w:ascii="Times New Roman" w:eastAsia="SimSun" w:hAnsi="Times New Roman" w:cs="Times New Roman"/>
      <w:b/>
      <w:bCs/>
      <w:sz w:val="20"/>
      <w:szCs w:val="20"/>
      <w:lang w:val="es-AR" w:eastAsia="es-A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r2bl w:val="single" w:sz="6" w:space="0" w:color="000000"/>
        </w:tcBorders>
      </w:tcPr>
    </w:tblStylePr>
  </w:style>
  <w:style w:type="table" w:customStyle="1" w:styleId="TableGrid81">
    <w:name w:val="Table Grid 81"/>
    <w:basedOn w:val="Tablanormal"/>
    <w:next w:val="Tablaconcuadrcula8"/>
    <w:rsid w:val="004C1C4F"/>
    <w:pPr>
      <w:spacing w:after="240" w:line="240" w:lineRule="auto"/>
      <w:jc w:val="both"/>
    </w:pPr>
    <w:rPr>
      <w:rFonts w:ascii="Times New Roman" w:eastAsia="SimSun" w:hAnsi="Times New Roman" w:cs="Times New Roman"/>
      <w:sz w:val="20"/>
      <w:szCs w:val="20"/>
      <w:lang w:val="es-AR" w:eastAsia="es-A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TableList11">
    <w:name w:val="Table List 11"/>
    <w:basedOn w:val="Tablanormal"/>
    <w:next w:val="Tablaconlista1"/>
    <w:rsid w:val="004C1C4F"/>
    <w:pPr>
      <w:spacing w:after="240" w:line="240" w:lineRule="auto"/>
      <w:jc w:val="both"/>
    </w:pPr>
    <w:rPr>
      <w:rFonts w:ascii="Times New Roman" w:eastAsia="SimSun" w:hAnsi="Times New Roman" w:cs="Times New Roman"/>
      <w:sz w:val="20"/>
      <w:szCs w:val="20"/>
      <w:lang w:val="es-AR" w:eastAsia="es-A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TableList21">
    <w:name w:val="Table List 21"/>
    <w:basedOn w:val="Tablanormal"/>
    <w:next w:val="Tablaconlista2"/>
    <w:rsid w:val="004C1C4F"/>
    <w:pPr>
      <w:spacing w:after="240" w:line="240" w:lineRule="auto"/>
      <w:jc w:val="both"/>
    </w:pPr>
    <w:rPr>
      <w:rFonts w:ascii="Times New Roman" w:eastAsia="SimSun" w:hAnsi="Times New Roman" w:cs="Times New Roman"/>
      <w:sz w:val="20"/>
      <w:szCs w:val="20"/>
      <w:lang w:val="es-AR" w:eastAsia="es-AR"/>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TableList31">
    <w:name w:val="Table List 31"/>
    <w:basedOn w:val="Tablanormal"/>
    <w:next w:val="Tablaconlista3"/>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TableList41">
    <w:name w:val="Table List 41"/>
    <w:basedOn w:val="Tablanormal"/>
    <w:next w:val="Tablaconlista4"/>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TableList51">
    <w:name w:val="Table List 51"/>
    <w:basedOn w:val="Tablanormal"/>
    <w:next w:val="Tablaconlista5"/>
    <w:rsid w:val="004C1C4F"/>
    <w:pPr>
      <w:spacing w:after="240" w:line="240" w:lineRule="auto"/>
      <w:jc w:val="both"/>
    </w:pPr>
    <w:rPr>
      <w:rFonts w:ascii="Times New Roman" w:eastAsia="SimSun" w:hAnsi="Times New Roman" w:cs="Times New Roman"/>
      <w:sz w:val="20"/>
      <w:szCs w:val="20"/>
      <w:lang w:val="es-AR" w:eastAsia="es-A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TableList61">
    <w:name w:val="Table List 61"/>
    <w:basedOn w:val="Tablanormal"/>
    <w:next w:val="Tablaconlista6"/>
    <w:rsid w:val="004C1C4F"/>
    <w:pPr>
      <w:spacing w:after="240" w:line="240" w:lineRule="auto"/>
      <w:jc w:val="both"/>
    </w:pPr>
    <w:rPr>
      <w:rFonts w:ascii="Times New Roman" w:eastAsia="SimSun" w:hAnsi="Times New Roman" w:cs="Times New Roman"/>
      <w:sz w:val="20"/>
      <w:szCs w:val="20"/>
      <w:lang w:val="es-AR" w:eastAsia="es-A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TableList71">
    <w:name w:val="Table List 71"/>
    <w:basedOn w:val="Tablanormal"/>
    <w:next w:val="Tablaconlista7"/>
    <w:rsid w:val="004C1C4F"/>
    <w:pPr>
      <w:spacing w:after="240" w:line="240" w:lineRule="auto"/>
      <w:jc w:val="both"/>
    </w:pPr>
    <w:rPr>
      <w:rFonts w:ascii="Times New Roman" w:eastAsia="SimSun" w:hAnsi="Times New Roman" w:cs="Times New Roman"/>
      <w:sz w:val="20"/>
      <w:szCs w:val="20"/>
      <w:lang w:val="es-AR" w:eastAsia="es-A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TableList81">
    <w:name w:val="Table List 81"/>
    <w:basedOn w:val="Tablanormal"/>
    <w:next w:val="Tablaconlista8"/>
    <w:rsid w:val="004C1C4F"/>
    <w:pPr>
      <w:spacing w:after="240" w:line="240" w:lineRule="auto"/>
      <w:jc w:val="both"/>
    </w:pPr>
    <w:rPr>
      <w:rFonts w:ascii="Times New Roman" w:eastAsia="SimSun" w:hAnsi="Times New Roman" w:cs="Times New Roman"/>
      <w:sz w:val="20"/>
      <w:szCs w:val="20"/>
      <w:lang w:val="es-AR" w:eastAsia="es-A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TableProfessional1">
    <w:name w:val="Table Professional1"/>
    <w:basedOn w:val="Tablanormal"/>
    <w:next w:val="Tablaprofesional"/>
    <w:rsid w:val="004C1C4F"/>
    <w:pPr>
      <w:spacing w:after="240" w:line="240" w:lineRule="auto"/>
      <w:jc w:val="both"/>
    </w:pPr>
    <w:rPr>
      <w:rFonts w:ascii="Times New Roman" w:eastAsia="SimSun" w:hAnsi="Times New Roman" w:cs="Times New Roman"/>
      <w:sz w:val="20"/>
      <w:szCs w:val="20"/>
      <w:lang w:val="es-AR" w:eastAsia="es-A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TableSimple21">
    <w:name w:val="Table Simple 21"/>
    <w:basedOn w:val="Tablanormal"/>
    <w:next w:val="Tablabsica2"/>
    <w:rsid w:val="004C1C4F"/>
    <w:pPr>
      <w:spacing w:after="240" w:line="240" w:lineRule="auto"/>
      <w:jc w:val="both"/>
    </w:pPr>
    <w:rPr>
      <w:rFonts w:ascii="Times New Roman" w:eastAsia="SimSun" w:hAnsi="Times New Roman" w:cs="Times New Roman"/>
      <w:sz w:val="20"/>
      <w:szCs w:val="20"/>
      <w:lang w:val="es-AR" w:eastAsia="es-AR"/>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customStyle="1" w:styleId="TableSimple31">
    <w:name w:val="Table Simple 31"/>
    <w:basedOn w:val="Tablanormal"/>
    <w:next w:val="Tablabsica3"/>
    <w:rsid w:val="004C1C4F"/>
    <w:pPr>
      <w:spacing w:after="240" w:line="240" w:lineRule="auto"/>
      <w:jc w:val="both"/>
    </w:pPr>
    <w:rPr>
      <w:rFonts w:ascii="Times New Roman" w:eastAsia="SimSun" w:hAnsi="Times New Roman" w:cs="Times New Roman"/>
      <w:sz w:val="20"/>
      <w:szCs w:val="20"/>
      <w:lang w:val="es-AR" w:eastAsia="es-A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customStyle="1" w:styleId="TableSubtle11">
    <w:name w:val="Table Subtle 11"/>
    <w:basedOn w:val="Tablanormal"/>
    <w:next w:val="Tablasutil1"/>
    <w:rsid w:val="004C1C4F"/>
    <w:pPr>
      <w:spacing w:after="240" w:line="240" w:lineRule="auto"/>
      <w:jc w:val="both"/>
    </w:pPr>
    <w:rPr>
      <w:rFonts w:ascii="Times New Roman" w:eastAsia="SimSun" w:hAnsi="Times New Roman" w:cs="Times New Roman"/>
      <w:sz w:val="20"/>
      <w:szCs w:val="20"/>
      <w:lang w:val="es-AR" w:eastAsia="es-AR"/>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TableSubtle21">
    <w:name w:val="Table Subtle 21"/>
    <w:basedOn w:val="Tablanormal"/>
    <w:next w:val="Tablasutil2"/>
    <w:rsid w:val="004C1C4F"/>
    <w:pPr>
      <w:spacing w:after="240" w:line="240" w:lineRule="auto"/>
      <w:jc w:val="both"/>
    </w:pPr>
    <w:rPr>
      <w:rFonts w:ascii="Times New Roman" w:eastAsia="SimSun" w:hAnsi="Times New Roman" w:cs="Times New Roman"/>
      <w:sz w:val="20"/>
      <w:szCs w:val="20"/>
      <w:lang w:val="es-AR" w:eastAsia="es-AR"/>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TableWeb12">
    <w:name w:val="Table Web 12"/>
    <w:basedOn w:val="Tablanormal"/>
    <w:next w:val="Tablaweb1"/>
    <w:rsid w:val="004C1C4F"/>
    <w:pPr>
      <w:spacing w:after="240" w:line="240" w:lineRule="auto"/>
      <w:jc w:val="both"/>
    </w:pPr>
    <w:rPr>
      <w:rFonts w:ascii="Times New Roman" w:eastAsia="SimSun" w:hAnsi="Times New Roman" w:cs="Times New Roman"/>
      <w:sz w:val="20"/>
      <w:szCs w:val="20"/>
      <w:lang w:val="es-AR" w:eastAsia="es-A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StylePr>
  </w:style>
  <w:style w:type="table" w:customStyle="1" w:styleId="TableWeb22">
    <w:name w:val="Table Web 22"/>
    <w:basedOn w:val="Tablanormal"/>
    <w:next w:val="Tablaweb2"/>
    <w:rsid w:val="004C1C4F"/>
    <w:pPr>
      <w:spacing w:after="240" w:line="240" w:lineRule="auto"/>
      <w:jc w:val="both"/>
    </w:pPr>
    <w:rPr>
      <w:rFonts w:ascii="Times New Roman" w:eastAsia="SimSun" w:hAnsi="Times New Roman" w:cs="Times New Roman"/>
      <w:sz w:val="20"/>
      <w:szCs w:val="20"/>
      <w:lang w:val="es-AR" w:eastAsia="es-A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StylePr>
  </w:style>
  <w:style w:type="table" w:customStyle="1" w:styleId="TableWeb32">
    <w:name w:val="Table Web 32"/>
    <w:basedOn w:val="Tablanormal"/>
    <w:next w:val="Tablaweb3"/>
    <w:rsid w:val="004C1C4F"/>
    <w:pPr>
      <w:spacing w:after="240" w:line="240" w:lineRule="auto"/>
      <w:jc w:val="both"/>
    </w:pPr>
    <w:rPr>
      <w:rFonts w:ascii="Times New Roman" w:eastAsia="SimSun" w:hAnsi="Times New Roman" w:cs="Times New Roman"/>
      <w:sz w:val="20"/>
      <w:szCs w:val="20"/>
      <w:lang w:val="es-AR" w:eastAsia="es-A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StylePr>
  </w:style>
  <w:style w:type="numbering" w:customStyle="1" w:styleId="Estilo42">
    <w:name w:val="Estilo42"/>
    <w:uiPriority w:val="99"/>
    <w:rsid w:val="004C1C4F"/>
    <w:pPr>
      <w:numPr>
        <w:numId w:val="45"/>
      </w:numPr>
    </w:pPr>
  </w:style>
  <w:style w:type="numbering" w:customStyle="1" w:styleId="Estilo52">
    <w:name w:val="Estilo52"/>
    <w:uiPriority w:val="99"/>
    <w:rsid w:val="004C1C4F"/>
    <w:pPr>
      <w:numPr>
        <w:numId w:val="46"/>
      </w:numPr>
    </w:pPr>
  </w:style>
  <w:style w:type="numbering" w:customStyle="1" w:styleId="Estilo32">
    <w:name w:val="Estilo32"/>
    <w:uiPriority w:val="99"/>
    <w:rsid w:val="004C1C4F"/>
    <w:pPr>
      <w:numPr>
        <w:numId w:val="44"/>
      </w:numPr>
    </w:pPr>
  </w:style>
  <w:style w:type="numbering" w:customStyle="1" w:styleId="Estilo72">
    <w:name w:val="Estilo72"/>
    <w:uiPriority w:val="99"/>
    <w:rsid w:val="004C1C4F"/>
    <w:pPr>
      <w:numPr>
        <w:numId w:val="48"/>
      </w:numPr>
    </w:pPr>
  </w:style>
  <w:style w:type="numbering" w:customStyle="1" w:styleId="Estilo62">
    <w:name w:val="Estilo62"/>
    <w:uiPriority w:val="99"/>
    <w:rsid w:val="004C1C4F"/>
    <w:pPr>
      <w:numPr>
        <w:numId w:val="47"/>
      </w:numPr>
    </w:pPr>
  </w:style>
  <w:style w:type="numbering" w:customStyle="1" w:styleId="Estilo12">
    <w:name w:val="Estilo12"/>
    <w:uiPriority w:val="99"/>
    <w:rsid w:val="004C1C4F"/>
    <w:pPr>
      <w:numPr>
        <w:numId w:val="42"/>
      </w:numPr>
    </w:pPr>
  </w:style>
  <w:style w:type="numbering" w:customStyle="1" w:styleId="Estilo22">
    <w:name w:val="Estilo22"/>
    <w:uiPriority w:val="99"/>
    <w:rsid w:val="004C1C4F"/>
    <w:pPr>
      <w:numPr>
        <w:numId w:val="43"/>
      </w:numPr>
    </w:pPr>
  </w:style>
  <w:style w:type="numbering" w:customStyle="1" w:styleId="Estilo82">
    <w:name w:val="Estilo82"/>
    <w:uiPriority w:val="99"/>
    <w:rsid w:val="004C1C4F"/>
    <w:pPr>
      <w:numPr>
        <w:numId w:val="49"/>
      </w:numPr>
    </w:pPr>
  </w:style>
  <w:style w:type="table" w:customStyle="1" w:styleId="LightShading-Accent22">
    <w:name w:val="Light Shading - Accent 22"/>
    <w:basedOn w:val="Tablanormal"/>
    <w:uiPriority w:val="30"/>
    <w:rsid w:val="004C1C4F"/>
    <w:pPr>
      <w:spacing w:after="0" w:line="240" w:lineRule="auto"/>
    </w:pPr>
    <w:rPr>
      <w:rFonts w:ascii="Times New Roman" w:eastAsia="Calibri" w:hAnsi="Times New Roman" w:cs="Arial"/>
      <w:b/>
      <w:bCs/>
      <w:i/>
      <w:iCs/>
      <w:color w:val="4F81BD"/>
      <w:sz w:val="24"/>
      <w:szCs w:val="24"/>
      <w:lang w:val="es-AR" w:eastAsia="es-AR"/>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bottom w:val="single" w:sz="8" w:space="0" w:color="C0504D"/>
        </w:tcBorders>
      </w:tcPr>
    </w:tblStylePr>
    <w:tblStylePr w:type="lastRow">
      <w:pPr>
        <w:spacing w:before="0" w:after="0" w:line="240" w:lineRule="auto"/>
      </w:p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ColorfulGrid-Accent12">
    <w:name w:val="Colorful Grid - Accent 12"/>
    <w:basedOn w:val="Tablanormal"/>
    <w:uiPriority w:val="29"/>
    <w:rsid w:val="004C1C4F"/>
    <w:pPr>
      <w:spacing w:after="0" w:line="240" w:lineRule="auto"/>
    </w:pPr>
    <w:rPr>
      <w:rFonts w:ascii="Times New Roman" w:eastAsia="Calibri" w:hAnsi="Times New Roman" w:cs="Arial"/>
      <w:i/>
      <w:iCs/>
      <w:color w:val="000000"/>
      <w:sz w:val="24"/>
      <w:szCs w:val="24"/>
      <w:lang w:val="es-AR" w:eastAsia="es-AR"/>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Cuadrculamedia22">
    <w:name w:val="Cuadrícula media 22"/>
    <w:uiPriority w:val="1"/>
    <w:qFormat/>
    <w:rsid w:val="004C1C4F"/>
    <w:pPr>
      <w:spacing w:after="0" w:line="240" w:lineRule="auto"/>
      <w:ind w:left="360" w:hanging="360"/>
    </w:pPr>
    <w:rPr>
      <w:rFonts w:ascii="Times New Roman" w:eastAsia="Calibri" w:hAnsi="Times New Roman" w:cs="Arial"/>
      <w:sz w:val="24"/>
      <w:szCs w:val="24"/>
      <w:lang w:val="en-US"/>
    </w:rPr>
  </w:style>
  <w:style w:type="character" w:customStyle="1" w:styleId="Cuadrculamedia12">
    <w:name w:val="Cuadrícula media 12"/>
    <w:uiPriority w:val="99"/>
    <w:rsid w:val="004C1C4F"/>
    <w:rPr>
      <w:color w:val="808080"/>
    </w:rPr>
  </w:style>
  <w:style w:type="paragraph" w:customStyle="1" w:styleId="2">
    <w:name w:val="2"/>
    <w:basedOn w:val="Normal"/>
    <w:uiPriority w:val="99"/>
    <w:rsid w:val="004C1C4F"/>
    <w:pPr>
      <w:spacing w:after="240" w:line="240" w:lineRule="auto"/>
      <w:jc w:val="both"/>
    </w:pPr>
    <w:rPr>
      <w:rFonts w:ascii="Times New Roman" w:eastAsia="SimSun" w:hAnsi="Times New Roman" w:cs="Times New Roman"/>
      <w:sz w:val="20"/>
      <w:szCs w:val="24"/>
      <w:lang w:val="en-US"/>
    </w:rPr>
  </w:style>
  <w:style w:type="paragraph" w:customStyle="1" w:styleId="Cuadrculamedia23">
    <w:name w:val="Cuadrícula media 23"/>
    <w:uiPriority w:val="1"/>
    <w:qFormat/>
    <w:rsid w:val="004C1C4F"/>
    <w:pPr>
      <w:spacing w:after="0" w:line="240" w:lineRule="auto"/>
      <w:ind w:left="360" w:hanging="360"/>
    </w:pPr>
    <w:rPr>
      <w:rFonts w:ascii="Times New Roman" w:eastAsia="Calibri" w:hAnsi="Times New Roman" w:cs="Arial"/>
      <w:sz w:val="24"/>
      <w:szCs w:val="24"/>
      <w:lang w:val="en-US"/>
    </w:rPr>
  </w:style>
  <w:style w:type="character" w:customStyle="1" w:styleId="Cuadrculamedia13">
    <w:name w:val="Cuadrícula media 13"/>
    <w:uiPriority w:val="99"/>
    <w:rsid w:val="004C1C4F"/>
    <w:rPr>
      <w:color w:val="808080"/>
    </w:rPr>
  </w:style>
  <w:style w:type="character" w:customStyle="1" w:styleId="FooterChar">
    <w:name w:val="Footer Char"/>
    <w:aliases w:val="f Char,footer Char"/>
    <w:locked/>
    <w:rsid w:val="004C1C4F"/>
    <w:rPr>
      <w:rFonts w:cs="Times New Roman"/>
    </w:rPr>
  </w:style>
  <w:style w:type="character" w:customStyle="1" w:styleId="FootnoteTextChar">
    <w:name w:val="Footnote Text Char"/>
    <w:locked/>
    <w:rsid w:val="004C1C4F"/>
    <w:rPr>
      <w:sz w:val="17"/>
      <w:lang w:val="en-US" w:eastAsia="en-US"/>
    </w:rPr>
  </w:style>
  <w:style w:type="character" w:customStyle="1" w:styleId="HeaderChar">
    <w:name w:val="Header Char"/>
    <w:aliases w:val="Guideline Char"/>
    <w:locked/>
    <w:rsid w:val="004C1C4F"/>
    <w:rPr>
      <w:rFonts w:cs="Times New Roman"/>
    </w:rPr>
  </w:style>
  <w:style w:type="character" w:customStyle="1" w:styleId="TtuloCar">
    <w:name w:val="Título Car"/>
    <w:link w:val="Ttulo11"/>
    <w:uiPriority w:val="10"/>
    <w:rsid w:val="004C1C4F"/>
    <w:rPr>
      <w:rFonts w:eastAsia="SimSun" w:cs="Times New Roman"/>
      <w:b/>
      <w:szCs w:val="52"/>
    </w:rPr>
  </w:style>
  <w:style w:type="paragraph" w:customStyle="1" w:styleId="MediumGrid23">
    <w:name w:val="Medium Grid 23"/>
    <w:uiPriority w:val="1"/>
    <w:qFormat/>
    <w:rsid w:val="004C1C4F"/>
    <w:pPr>
      <w:spacing w:after="0" w:line="240" w:lineRule="auto"/>
      <w:ind w:left="360" w:hanging="360"/>
    </w:pPr>
    <w:rPr>
      <w:rFonts w:ascii="Times New Roman" w:eastAsia="Calibri" w:hAnsi="Times New Roman" w:cs="Arial"/>
      <w:sz w:val="24"/>
      <w:szCs w:val="24"/>
      <w:lang w:val="en-US"/>
    </w:rPr>
  </w:style>
  <w:style w:type="character" w:customStyle="1" w:styleId="MediumGrid13">
    <w:name w:val="Medium Grid 13"/>
    <w:uiPriority w:val="99"/>
    <w:rsid w:val="004C1C4F"/>
    <w:rPr>
      <w:color w:val="808080"/>
    </w:rPr>
  </w:style>
  <w:style w:type="character" w:customStyle="1" w:styleId="LightShading-Accent2Char1">
    <w:name w:val="Light Shading - Accent 2 Char1"/>
    <w:link w:val="Sombreadoclaro-nfasis2"/>
    <w:uiPriority w:val="30"/>
    <w:rsid w:val="004C1C4F"/>
    <w:rPr>
      <w:b/>
      <w:bCs/>
      <w:i/>
      <w:iCs/>
      <w:color w:val="4F81BD"/>
    </w:rPr>
  </w:style>
  <w:style w:type="character" w:customStyle="1" w:styleId="ColorfulGrid-Accent1Char1">
    <w:name w:val="Colorful Grid - Accent 1 Char1"/>
    <w:link w:val="Cuadrculavistosa-nfasis1"/>
    <w:uiPriority w:val="29"/>
    <w:rsid w:val="004C1C4F"/>
    <w:rPr>
      <w:i/>
      <w:iCs/>
      <w:color w:val="000000"/>
    </w:rPr>
  </w:style>
  <w:style w:type="table" w:styleId="Sombreadoclaro-nfasis2">
    <w:name w:val="Light Shading Accent 2"/>
    <w:basedOn w:val="Tablanormal"/>
    <w:link w:val="LightShading-Accent2Char1"/>
    <w:uiPriority w:val="30"/>
    <w:rsid w:val="004C1C4F"/>
    <w:pPr>
      <w:spacing w:after="0" w:line="240" w:lineRule="auto"/>
    </w:pPr>
    <w:rPr>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uadrculavistosa-nfasis1">
    <w:name w:val="Colorful Grid Accent 1"/>
    <w:basedOn w:val="Tablanormal"/>
    <w:link w:val="ColorfulGrid-Accent1Char1"/>
    <w:uiPriority w:val="29"/>
    <w:rsid w:val="004C1C4F"/>
    <w:pPr>
      <w:spacing w:after="0" w:line="240" w:lineRule="auto"/>
    </w:pPr>
    <w:rPr>
      <w:i/>
      <w:iCs/>
      <w:color w:val="00000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ColorfulShading-Accent12">
    <w:name w:val="Colorful Shading - Accent 12"/>
    <w:hidden/>
    <w:uiPriority w:val="99"/>
    <w:rsid w:val="004C1C4F"/>
    <w:pPr>
      <w:spacing w:after="0" w:line="240" w:lineRule="auto"/>
    </w:pPr>
    <w:rPr>
      <w:rFonts w:ascii="Times New Roman" w:eastAsia="Calibri" w:hAnsi="Times New Roman" w:cs="Arial"/>
      <w:sz w:val="20"/>
      <w:szCs w:val="24"/>
      <w:lang w:val="en-US"/>
    </w:rPr>
  </w:style>
  <w:style w:type="table" w:customStyle="1" w:styleId="TOCHeading2">
    <w:name w:val="TOC Heading2"/>
    <w:basedOn w:val="Tablanormal"/>
    <w:uiPriority w:val="39"/>
    <w:qFormat/>
    <w:rsid w:val="004C1C4F"/>
    <w:pPr>
      <w:spacing w:after="0" w:line="240" w:lineRule="auto"/>
    </w:pPr>
    <w:rPr>
      <w:rFonts w:ascii="Times New Roman" w:eastAsia="SimSun" w:hAnsi="Times New Roman" w:cs="Times New Roman"/>
      <w:color w:val="000000"/>
      <w:sz w:val="20"/>
      <w:szCs w:val="20"/>
      <w:lang w:val="es-AR" w:eastAsia="es-AR"/>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bottom w:val="single" w:sz="24" w:space="0" w:color="4BACC6"/>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insideH w:val="single" w:sz="4" w:space="0" w:color="B65608"/>
        </w:tcBorders>
        <w:shd w:val="clear" w:color="auto" w:fill="B65608"/>
      </w:tcPr>
    </w:tblStylePr>
    <w:tblStylePr w:type="lastCol">
      <w:rPr>
        <w:color w:val="FFFFFF"/>
      </w:rPr>
      <w:tblPr/>
      <w:tcPr>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Bibliography2">
    <w:name w:val="Bibliography2"/>
    <w:basedOn w:val="Tablanormal"/>
    <w:uiPriority w:val="37"/>
    <w:rsid w:val="004C1C4F"/>
    <w:pPr>
      <w:spacing w:after="0" w:line="240" w:lineRule="auto"/>
    </w:pPr>
    <w:rPr>
      <w:rFonts w:ascii="Times New Roman" w:eastAsia="SimSun" w:hAnsi="Times New Roman" w:cs="Times New Roman"/>
      <w:color w:val="FFFFFF"/>
      <w:sz w:val="20"/>
      <w:szCs w:val="20"/>
      <w:lang w:val="es-AR" w:eastAsia="es-AR"/>
    </w:rPr>
    <w:tblPr>
      <w:tblStyleRowBandSize w:val="1"/>
      <w:tblStyleColBandSize w:val="1"/>
    </w:tblPr>
    <w:tcPr>
      <w:shd w:val="clear" w:color="auto" w:fill="F7964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974706"/>
      </w:tcPr>
    </w:tblStylePr>
    <w:tblStylePr w:type="firstCol">
      <w:tblPr/>
      <w:tcPr>
        <w:tcBorders>
          <w:right w:val="single" w:sz="18" w:space="0" w:color="FFFFFF"/>
        </w:tcBorders>
        <w:shd w:val="clear" w:color="auto" w:fill="E36C0A"/>
      </w:tcPr>
    </w:tblStylePr>
    <w:tblStylePr w:type="lastCol">
      <w:tblPr/>
      <w:tcPr>
        <w:tcBorders>
          <w:left w:val="single" w:sz="18" w:space="0" w:color="FFFFFF"/>
        </w:tcBorders>
        <w:shd w:val="clear" w:color="auto" w:fill="E36C0A"/>
      </w:tcPr>
    </w:tblStylePr>
    <w:tblStylePr w:type="band1Vert">
      <w:tblPr/>
      <w:tcPr>
        <w:shd w:val="clear" w:color="auto" w:fill="E36C0A"/>
      </w:tcPr>
    </w:tblStylePr>
    <w:tblStylePr w:type="band1Horz">
      <w:tblPr/>
      <w:tcPr>
        <w:shd w:val="clear" w:color="auto" w:fill="E36C0A"/>
      </w:tcPr>
    </w:tblStylePr>
  </w:style>
  <w:style w:type="table" w:customStyle="1" w:styleId="BookTitle2">
    <w:name w:val="Book Title2"/>
    <w:basedOn w:val="Tablanormal"/>
    <w:uiPriority w:val="33"/>
    <w:qFormat/>
    <w:rsid w:val="004C1C4F"/>
    <w:pPr>
      <w:spacing w:after="0" w:line="240" w:lineRule="auto"/>
    </w:pPr>
    <w:rPr>
      <w:rFonts w:ascii="Times New Roman" w:eastAsia="SimSun" w:hAnsi="Times New Roman" w:cs="Times New Roman"/>
      <w:sz w:val="20"/>
      <w:szCs w:val="20"/>
      <w:lang w:val="es-AR"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TtulodeTDC">
    <w:name w:val="TOC Heading"/>
    <w:basedOn w:val="Ttulo1"/>
    <w:next w:val="Normal"/>
    <w:uiPriority w:val="39"/>
    <w:unhideWhenUsed/>
    <w:qFormat/>
    <w:rsid w:val="004C1C4F"/>
    <w:pPr>
      <w:keepNext/>
      <w:keepLines/>
      <w:spacing w:before="480" w:line="276" w:lineRule="auto"/>
      <w:jc w:val="left"/>
      <w:outlineLvl w:val="9"/>
    </w:pPr>
    <w:rPr>
      <w:rFonts w:ascii="Calibri Light" w:eastAsia="Times New Roman" w:hAnsi="Calibri Light"/>
      <w:bCs/>
      <w:color w:val="2E74B5"/>
      <w:sz w:val="28"/>
      <w:szCs w:val="28"/>
      <w:lang w:val="es-AR" w:eastAsia="es-AR"/>
    </w:rPr>
  </w:style>
  <w:style w:type="paragraph" w:customStyle="1" w:styleId="atiiitulo">
    <w:name w:val="atiiitulo"/>
    <w:basedOn w:val="Ttulo1"/>
    <w:link w:val="atiiituloCar"/>
    <w:rsid w:val="004C1C4F"/>
    <w:pPr>
      <w:widowControl w:val="0"/>
      <w:autoSpaceDE w:val="0"/>
      <w:autoSpaceDN w:val="0"/>
      <w:adjustRightInd w:val="0"/>
    </w:pPr>
    <w:rPr>
      <w:rFonts w:eastAsia="Times New Roman"/>
      <w:bCs/>
      <w:sz w:val="18"/>
      <w:lang w:eastAsia="en-US"/>
    </w:rPr>
  </w:style>
  <w:style w:type="character" w:customStyle="1" w:styleId="atiiituloCar">
    <w:name w:val="atiiitulo Car"/>
    <w:link w:val="atiiitulo"/>
    <w:locked/>
    <w:rsid w:val="004C1C4F"/>
    <w:rPr>
      <w:rFonts w:ascii="Garamond" w:eastAsia="Times New Roman" w:hAnsi="Garamond" w:cs="Times New Roman"/>
      <w:b/>
      <w:bCs/>
      <w:sz w:val="18"/>
      <w:szCs w:val="18"/>
      <w:lang w:val="es-ES_tradnl"/>
    </w:rPr>
  </w:style>
  <w:style w:type="paragraph" w:customStyle="1" w:styleId="PrrafoFecha">
    <w:name w:val="Párrafo Fecha"/>
    <w:basedOn w:val="Normal"/>
    <w:next w:val="Normal"/>
    <w:uiPriority w:val="99"/>
    <w:rsid w:val="004C1C4F"/>
    <w:pPr>
      <w:spacing w:after="720" w:line="240" w:lineRule="auto"/>
      <w:jc w:val="right"/>
    </w:pPr>
    <w:rPr>
      <w:rFonts w:ascii="Courier New" w:eastAsia="MS Mincho" w:hAnsi="Courier New" w:cs="Times New Roman"/>
      <w:sz w:val="24"/>
      <w:szCs w:val="20"/>
      <w:lang w:val="es-ES_tradnl" w:eastAsia="es-ES"/>
    </w:rPr>
  </w:style>
  <w:style w:type="paragraph" w:customStyle="1" w:styleId="Prrafo1lnea">
    <w:name w:val="Párrafo 1 línea"/>
    <w:basedOn w:val="Normal"/>
    <w:uiPriority w:val="99"/>
    <w:rsid w:val="004C1C4F"/>
    <w:pPr>
      <w:spacing w:after="0" w:line="240" w:lineRule="auto"/>
      <w:jc w:val="both"/>
    </w:pPr>
    <w:rPr>
      <w:rFonts w:ascii="Courier New" w:eastAsia="MS Mincho" w:hAnsi="Courier New" w:cs="Times New Roman"/>
      <w:sz w:val="24"/>
      <w:szCs w:val="20"/>
      <w:lang w:val="es-ES_tradnl" w:eastAsia="es-ES"/>
    </w:rPr>
  </w:style>
  <w:style w:type="paragraph" w:customStyle="1" w:styleId="PrrafoDireccion">
    <w:name w:val="Párrafo Direccion"/>
    <w:basedOn w:val="Normal"/>
    <w:uiPriority w:val="99"/>
    <w:rsid w:val="004C1C4F"/>
    <w:pPr>
      <w:spacing w:after="0" w:line="240" w:lineRule="auto"/>
    </w:pPr>
    <w:rPr>
      <w:rFonts w:ascii="Courier New" w:eastAsia="MS Mincho" w:hAnsi="Courier New" w:cs="Times New Roman"/>
      <w:sz w:val="24"/>
      <w:szCs w:val="20"/>
      <w:lang w:val="es-ES_tradnl" w:eastAsia="es-ES"/>
    </w:rPr>
  </w:style>
  <w:style w:type="paragraph" w:customStyle="1" w:styleId="PrrafoIndentado">
    <w:name w:val="Párrafo Indentado"/>
    <w:basedOn w:val="PrrafoFecha"/>
    <w:uiPriority w:val="99"/>
    <w:rsid w:val="004C1C4F"/>
    <w:pPr>
      <w:spacing w:before="240" w:after="0"/>
      <w:ind w:left="851"/>
      <w:jc w:val="both"/>
    </w:pPr>
  </w:style>
  <w:style w:type="paragraph" w:customStyle="1" w:styleId="PrrafoNormal">
    <w:name w:val="Párrafo Normal"/>
    <w:basedOn w:val="PrrafoFecha"/>
    <w:uiPriority w:val="99"/>
    <w:rsid w:val="004C1C4F"/>
    <w:pPr>
      <w:spacing w:after="240" w:line="360" w:lineRule="exact"/>
      <w:jc w:val="both"/>
    </w:pPr>
  </w:style>
  <w:style w:type="paragraph" w:customStyle="1" w:styleId="PrrafoRoman">
    <w:name w:val="Párrafo Romaní"/>
    <w:basedOn w:val="PrrafoFecha"/>
    <w:uiPriority w:val="99"/>
    <w:rsid w:val="004C1C4F"/>
    <w:pPr>
      <w:spacing w:after="0" w:line="480" w:lineRule="exact"/>
      <w:ind w:left="1418"/>
      <w:jc w:val="both"/>
    </w:pPr>
  </w:style>
  <w:style w:type="paragraph" w:customStyle="1" w:styleId="TtuloPrincipal">
    <w:name w:val="Título Principal"/>
    <w:basedOn w:val="PrrafoFecha"/>
    <w:next w:val="Normal"/>
    <w:uiPriority w:val="99"/>
    <w:rsid w:val="004C1C4F"/>
    <w:pPr>
      <w:spacing w:before="480" w:after="0"/>
      <w:jc w:val="center"/>
    </w:pPr>
    <w:rPr>
      <w:b/>
      <w:u w:val="single"/>
    </w:rPr>
  </w:style>
  <w:style w:type="paragraph" w:customStyle="1" w:styleId="TtuloSecundario">
    <w:name w:val="Título Secundario"/>
    <w:basedOn w:val="Normal"/>
    <w:uiPriority w:val="99"/>
    <w:rsid w:val="004C1C4F"/>
    <w:pPr>
      <w:spacing w:after="0" w:line="240" w:lineRule="auto"/>
      <w:jc w:val="center"/>
    </w:pPr>
    <w:rPr>
      <w:rFonts w:ascii="Courier New" w:eastAsia="MS Mincho" w:hAnsi="Courier New" w:cs="Times New Roman"/>
      <w:sz w:val="24"/>
      <w:szCs w:val="20"/>
      <w:u w:val="single"/>
      <w:lang w:val="es-ES_tradnl" w:eastAsia="es-ES"/>
    </w:rPr>
  </w:style>
  <w:style w:type="paragraph" w:customStyle="1" w:styleId="Fax">
    <w:name w:val="Fax"/>
    <w:basedOn w:val="Normal"/>
    <w:uiPriority w:val="99"/>
    <w:rsid w:val="004C1C4F"/>
    <w:pPr>
      <w:spacing w:after="120" w:line="240" w:lineRule="auto"/>
    </w:pPr>
    <w:rPr>
      <w:rFonts w:ascii="Times New Roman" w:eastAsia="MS Mincho" w:hAnsi="Times New Roman" w:cs="Times New Roman"/>
      <w:sz w:val="24"/>
      <w:szCs w:val="20"/>
      <w:lang w:val="en-US" w:eastAsia="es-ES"/>
    </w:rPr>
  </w:style>
  <w:style w:type="paragraph" w:customStyle="1" w:styleId="To">
    <w:name w:val="To"/>
    <w:basedOn w:val="Normal"/>
    <w:uiPriority w:val="99"/>
    <w:rsid w:val="004C1C4F"/>
    <w:pPr>
      <w:spacing w:after="120" w:line="240" w:lineRule="auto"/>
    </w:pPr>
    <w:rPr>
      <w:rFonts w:ascii="Times New Roman" w:eastAsia="MS Mincho" w:hAnsi="Times New Roman" w:cs="Times New Roman"/>
      <w:sz w:val="24"/>
      <w:szCs w:val="20"/>
      <w:lang w:val="en-US" w:eastAsia="es-ES"/>
    </w:rPr>
  </w:style>
  <w:style w:type="paragraph" w:customStyle="1" w:styleId="Epgrafe1">
    <w:name w:val="Epígrafe1"/>
    <w:basedOn w:val="Normal"/>
    <w:next w:val="Normal"/>
    <w:uiPriority w:val="99"/>
    <w:qFormat/>
    <w:rsid w:val="004C1C4F"/>
    <w:pPr>
      <w:tabs>
        <w:tab w:val="left" w:pos="-720"/>
        <w:tab w:val="left" w:pos="0"/>
        <w:tab w:val="left" w:pos="320"/>
        <w:tab w:val="left" w:pos="720"/>
      </w:tabs>
      <w:suppressAutoHyphens/>
      <w:spacing w:before="120" w:after="120" w:line="216" w:lineRule="atLeast"/>
      <w:jc w:val="both"/>
    </w:pPr>
    <w:rPr>
      <w:rFonts w:ascii="Times New Roman" w:eastAsia="MS Mincho" w:hAnsi="Times New Roman" w:cs="Times New Roman"/>
      <w:b/>
      <w:bCs/>
      <w:spacing w:val="-2"/>
      <w:sz w:val="20"/>
      <w:szCs w:val="20"/>
      <w:lang w:val="es-ES_tradnl" w:eastAsia="es-ES"/>
    </w:rPr>
  </w:style>
  <w:style w:type="paragraph" w:customStyle="1" w:styleId="Textodenotaalfinal">
    <w:name w:val="Texto de nota al final"/>
    <w:basedOn w:val="Normal"/>
    <w:uiPriority w:val="99"/>
    <w:rsid w:val="004C1C4F"/>
    <w:pPr>
      <w:widowControl w:val="0"/>
      <w:autoSpaceDE w:val="0"/>
      <w:autoSpaceDN w:val="0"/>
      <w:adjustRightInd w:val="0"/>
      <w:spacing w:after="0" w:line="240" w:lineRule="auto"/>
    </w:pPr>
    <w:rPr>
      <w:rFonts w:ascii="Courier" w:eastAsia="MS Mincho" w:hAnsi="Courier" w:cs="Times New Roman"/>
      <w:sz w:val="20"/>
      <w:szCs w:val="24"/>
      <w:lang w:eastAsia="es-ES"/>
    </w:rPr>
  </w:style>
  <w:style w:type="paragraph" w:customStyle="1" w:styleId="Textodenotaalpie">
    <w:name w:val="Texto de nota al pie"/>
    <w:basedOn w:val="Normal"/>
    <w:uiPriority w:val="99"/>
    <w:rsid w:val="004C1C4F"/>
    <w:pPr>
      <w:widowControl w:val="0"/>
      <w:autoSpaceDE w:val="0"/>
      <w:autoSpaceDN w:val="0"/>
      <w:adjustRightInd w:val="0"/>
      <w:spacing w:after="0" w:line="240" w:lineRule="auto"/>
    </w:pPr>
    <w:rPr>
      <w:rFonts w:ascii="Courier" w:eastAsia="MS Mincho" w:hAnsi="Courier" w:cs="Times New Roman"/>
      <w:sz w:val="20"/>
      <w:szCs w:val="24"/>
      <w:lang w:eastAsia="es-ES"/>
    </w:rPr>
  </w:style>
  <w:style w:type="paragraph" w:customStyle="1" w:styleId="Document1">
    <w:name w:val="Document 1"/>
    <w:uiPriority w:val="99"/>
    <w:rsid w:val="004C1C4F"/>
    <w:pPr>
      <w:keepNext/>
      <w:keepLines/>
      <w:widowControl w:val="0"/>
      <w:tabs>
        <w:tab w:val="left" w:pos="-720"/>
      </w:tabs>
      <w:suppressAutoHyphens/>
      <w:autoSpaceDE w:val="0"/>
      <w:autoSpaceDN w:val="0"/>
      <w:adjustRightInd w:val="0"/>
      <w:spacing w:after="0" w:line="240" w:lineRule="atLeast"/>
    </w:pPr>
    <w:rPr>
      <w:rFonts w:ascii="Courier" w:eastAsia="MS Mincho" w:hAnsi="Courier" w:cs="Times New Roman"/>
      <w:sz w:val="24"/>
      <w:szCs w:val="24"/>
      <w:lang w:val="en-US" w:eastAsia="es-ES"/>
    </w:rPr>
  </w:style>
  <w:style w:type="paragraph" w:customStyle="1" w:styleId="Tdc10">
    <w:name w:val="Tdc 1"/>
    <w:basedOn w:val="Normal"/>
    <w:uiPriority w:val="99"/>
    <w:rsid w:val="004C1C4F"/>
    <w:pPr>
      <w:widowControl w:val="0"/>
      <w:tabs>
        <w:tab w:val="right" w:leader="dot" w:pos="9360"/>
      </w:tabs>
      <w:suppressAutoHyphens/>
      <w:autoSpaceDE w:val="0"/>
      <w:autoSpaceDN w:val="0"/>
      <w:adjustRightInd w:val="0"/>
      <w:spacing w:before="480" w:after="0" w:line="240" w:lineRule="atLeast"/>
      <w:ind w:left="720" w:right="720" w:hanging="720"/>
    </w:pPr>
    <w:rPr>
      <w:rFonts w:ascii="Courier" w:eastAsia="MS Mincho" w:hAnsi="Courier" w:cs="Times New Roman"/>
      <w:sz w:val="24"/>
      <w:szCs w:val="24"/>
      <w:lang w:val="en-US" w:eastAsia="es-ES"/>
    </w:rPr>
  </w:style>
  <w:style w:type="paragraph" w:customStyle="1" w:styleId="Tdc20">
    <w:name w:val="Tdc 2"/>
    <w:basedOn w:val="Normal"/>
    <w:uiPriority w:val="99"/>
    <w:rsid w:val="004C1C4F"/>
    <w:pPr>
      <w:widowControl w:val="0"/>
      <w:tabs>
        <w:tab w:val="right" w:leader="dot" w:pos="9360"/>
      </w:tabs>
      <w:suppressAutoHyphens/>
      <w:autoSpaceDE w:val="0"/>
      <w:autoSpaceDN w:val="0"/>
      <w:adjustRightInd w:val="0"/>
      <w:spacing w:after="0" w:line="240" w:lineRule="atLeast"/>
      <w:ind w:left="1440" w:right="720" w:hanging="720"/>
    </w:pPr>
    <w:rPr>
      <w:rFonts w:ascii="Courier" w:eastAsia="MS Mincho" w:hAnsi="Courier" w:cs="Times New Roman"/>
      <w:sz w:val="24"/>
      <w:szCs w:val="24"/>
      <w:lang w:val="en-US" w:eastAsia="es-ES"/>
    </w:rPr>
  </w:style>
  <w:style w:type="paragraph" w:customStyle="1" w:styleId="Tdc30">
    <w:name w:val="Tdc 3"/>
    <w:basedOn w:val="Normal"/>
    <w:uiPriority w:val="99"/>
    <w:rsid w:val="004C1C4F"/>
    <w:pPr>
      <w:widowControl w:val="0"/>
      <w:tabs>
        <w:tab w:val="right" w:leader="dot" w:pos="9360"/>
      </w:tabs>
      <w:suppressAutoHyphens/>
      <w:autoSpaceDE w:val="0"/>
      <w:autoSpaceDN w:val="0"/>
      <w:adjustRightInd w:val="0"/>
      <w:spacing w:after="0" w:line="240" w:lineRule="atLeast"/>
      <w:ind w:left="2160" w:right="720" w:hanging="720"/>
    </w:pPr>
    <w:rPr>
      <w:rFonts w:ascii="Courier" w:eastAsia="MS Mincho" w:hAnsi="Courier" w:cs="Times New Roman"/>
      <w:sz w:val="24"/>
      <w:szCs w:val="24"/>
      <w:lang w:val="en-US" w:eastAsia="es-ES"/>
    </w:rPr>
  </w:style>
  <w:style w:type="paragraph" w:customStyle="1" w:styleId="Tdc40">
    <w:name w:val="Tdc 4"/>
    <w:basedOn w:val="Normal"/>
    <w:uiPriority w:val="99"/>
    <w:rsid w:val="004C1C4F"/>
    <w:pPr>
      <w:widowControl w:val="0"/>
      <w:tabs>
        <w:tab w:val="right" w:leader="dot" w:pos="9360"/>
      </w:tabs>
      <w:suppressAutoHyphens/>
      <w:autoSpaceDE w:val="0"/>
      <w:autoSpaceDN w:val="0"/>
      <w:adjustRightInd w:val="0"/>
      <w:spacing w:after="0" w:line="240" w:lineRule="atLeast"/>
      <w:ind w:left="2880" w:right="720" w:hanging="720"/>
    </w:pPr>
    <w:rPr>
      <w:rFonts w:ascii="Courier" w:eastAsia="MS Mincho" w:hAnsi="Courier" w:cs="Times New Roman"/>
      <w:sz w:val="24"/>
      <w:szCs w:val="24"/>
      <w:lang w:val="en-US" w:eastAsia="es-ES"/>
    </w:rPr>
  </w:style>
  <w:style w:type="paragraph" w:customStyle="1" w:styleId="Tdc50">
    <w:name w:val="Tdc 5"/>
    <w:basedOn w:val="Normal"/>
    <w:uiPriority w:val="99"/>
    <w:rsid w:val="004C1C4F"/>
    <w:pPr>
      <w:widowControl w:val="0"/>
      <w:tabs>
        <w:tab w:val="right" w:leader="dot" w:pos="9360"/>
      </w:tabs>
      <w:suppressAutoHyphens/>
      <w:autoSpaceDE w:val="0"/>
      <w:autoSpaceDN w:val="0"/>
      <w:adjustRightInd w:val="0"/>
      <w:spacing w:after="0" w:line="240" w:lineRule="atLeast"/>
      <w:ind w:left="3600" w:right="720" w:hanging="720"/>
    </w:pPr>
    <w:rPr>
      <w:rFonts w:ascii="Courier" w:eastAsia="MS Mincho" w:hAnsi="Courier" w:cs="Times New Roman"/>
      <w:sz w:val="24"/>
      <w:szCs w:val="24"/>
      <w:lang w:val="en-US" w:eastAsia="es-ES"/>
    </w:rPr>
  </w:style>
  <w:style w:type="paragraph" w:customStyle="1" w:styleId="Tdc60">
    <w:name w:val="Tdc 6"/>
    <w:basedOn w:val="Normal"/>
    <w:uiPriority w:val="99"/>
    <w:rsid w:val="004C1C4F"/>
    <w:pPr>
      <w:widowControl w:val="0"/>
      <w:tabs>
        <w:tab w:val="right" w:pos="9360"/>
      </w:tabs>
      <w:suppressAutoHyphens/>
      <w:autoSpaceDE w:val="0"/>
      <w:autoSpaceDN w:val="0"/>
      <w:adjustRightInd w:val="0"/>
      <w:spacing w:after="0" w:line="240" w:lineRule="atLeast"/>
      <w:ind w:left="720" w:hanging="720"/>
    </w:pPr>
    <w:rPr>
      <w:rFonts w:ascii="Courier" w:eastAsia="MS Mincho" w:hAnsi="Courier" w:cs="Times New Roman"/>
      <w:sz w:val="24"/>
      <w:szCs w:val="24"/>
      <w:lang w:val="en-US" w:eastAsia="es-ES"/>
    </w:rPr>
  </w:style>
  <w:style w:type="paragraph" w:customStyle="1" w:styleId="Tdc70">
    <w:name w:val="Tdc 7"/>
    <w:basedOn w:val="Normal"/>
    <w:uiPriority w:val="99"/>
    <w:rsid w:val="004C1C4F"/>
    <w:pPr>
      <w:widowControl w:val="0"/>
      <w:suppressAutoHyphens/>
      <w:autoSpaceDE w:val="0"/>
      <w:autoSpaceDN w:val="0"/>
      <w:adjustRightInd w:val="0"/>
      <w:spacing w:after="0" w:line="240" w:lineRule="atLeast"/>
      <w:ind w:left="720" w:hanging="720"/>
    </w:pPr>
    <w:rPr>
      <w:rFonts w:ascii="Courier" w:eastAsia="MS Mincho" w:hAnsi="Courier" w:cs="Times New Roman"/>
      <w:sz w:val="24"/>
      <w:szCs w:val="24"/>
      <w:lang w:val="en-US" w:eastAsia="es-ES"/>
    </w:rPr>
  </w:style>
  <w:style w:type="paragraph" w:customStyle="1" w:styleId="Tdc80">
    <w:name w:val="Tdc 8"/>
    <w:basedOn w:val="Normal"/>
    <w:uiPriority w:val="99"/>
    <w:rsid w:val="004C1C4F"/>
    <w:pPr>
      <w:widowControl w:val="0"/>
      <w:tabs>
        <w:tab w:val="right" w:pos="9360"/>
      </w:tabs>
      <w:suppressAutoHyphens/>
      <w:autoSpaceDE w:val="0"/>
      <w:autoSpaceDN w:val="0"/>
      <w:adjustRightInd w:val="0"/>
      <w:spacing w:after="0" w:line="240" w:lineRule="atLeast"/>
      <w:ind w:left="720" w:hanging="720"/>
    </w:pPr>
    <w:rPr>
      <w:rFonts w:ascii="Courier" w:eastAsia="MS Mincho" w:hAnsi="Courier" w:cs="Times New Roman"/>
      <w:sz w:val="24"/>
      <w:szCs w:val="24"/>
      <w:lang w:val="en-US" w:eastAsia="es-ES"/>
    </w:rPr>
  </w:style>
  <w:style w:type="paragraph" w:customStyle="1" w:styleId="Tdc90">
    <w:name w:val="Tdc 9"/>
    <w:basedOn w:val="Normal"/>
    <w:uiPriority w:val="99"/>
    <w:rsid w:val="004C1C4F"/>
    <w:pPr>
      <w:widowControl w:val="0"/>
      <w:tabs>
        <w:tab w:val="right" w:leader="dot" w:pos="9360"/>
      </w:tabs>
      <w:suppressAutoHyphens/>
      <w:autoSpaceDE w:val="0"/>
      <w:autoSpaceDN w:val="0"/>
      <w:adjustRightInd w:val="0"/>
      <w:spacing w:after="0" w:line="240" w:lineRule="atLeast"/>
      <w:ind w:left="720" w:hanging="720"/>
    </w:pPr>
    <w:rPr>
      <w:rFonts w:ascii="Courier" w:eastAsia="MS Mincho" w:hAnsi="Courier" w:cs="Times New Roman"/>
      <w:sz w:val="24"/>
      <w:szCs w:val="24"/>
      <w:lang w:val="en-US" w:eastAsia="es-ES"/>
    </w:rPr>
  </w:style>
  <w:style w:type="paragraph" w:customStyle="1" w:styleId="Encabezadodetda">
    <w:name w:val="Encabezado de tda"/>
    <w:basedOn w:val="Normal"/>
    <w:uiPriority w:val="99"/>
    <w:rsid w:val="004C1C4F"/>
    <w:pPr>
      <w:widowControl w:val="0"/>
      <w:tabs>
        <w:tab w:val="right" w:pos="9360"/>
      </w:tabs>
      <w:suppressAutoHyphens/>
      <w:autoSpaceDE w:val="0"/>
      <w:autoSpaceDN w:val="0"/>
      <w:adjustRightInd w:val="0"/>
      <w:spacing w:after="0" w:line="240" w:lineRule="atLeast"/>
    </w:pPr>
    <w:rPr>
      <w:rFonts w:ascii="Courier" w:eastAsia="MS Mincho" w:hAnsi="Courier" w:cs="Times New Roman"/>
      <w:sz w:val="24"/>
      <w:szCs w:val="24"/>
      <w:lang w:val="en-US" w:eastAsia="es-ES"/>
    </w:rPr>
  </w:style>
  <w:style w:type="paragraph" w:customStyle="1" w:styleId="Ttulo11">
    <w:name w:val="Título11"/>
    <w:basedOn w:val="Normal"/>
    <w:link w:val="TtuloCar"/>
    <w:uiPriority w:val="10"/>
    <w:qFormat/>
    <w:rsid w:val="004C1C4F"/>
    <w:pPr>
      <w:widowControl w:val="0"/>
      <w:autoSpaceDE w:val="0"/>
      <w:autoSpaceDN w:val="0"/>
      <w:adjustRightInd w:val="0"/>
      <w:spacing w:after="0" w:line="240" w:lineRule="auto"/>
    </w:pPr>
    <w:rPr>
      <w:rFonts w:eastAsia="SimSun" w:cs="Times New Roman"/>
      <w:b/>
      <w:szCs w:val="52"/>
    </w:rPr>
  </w:style>
  <w:style w:type="paragraph" w:customStyle="1" w:styleId="p0">
    <w:name w:val="p0"/>
    <w:basedOn w:val="Normal"/>
    <w:uiPriority w:val="99"/>
    <w:rsid w:val="004C1C4F"/>
    <w:pPr>
      <w:widowControl w:val="0"/>
      <w:tabs>
        <w:tab w:val="left" w:pos="720"/>
      </w:tabs>
      <w:spacing w:after="0" w:line="240" w:lineRule="atLeast"/>
      <w:jc w:val="both"/>
    </w:pPr>
    <w:rPr>
      <w:rFonts w:ascii="Times New Roman" w:eastAsia="MS Mincho" w:hAnsi="Times New Roman" w:cs="Times New Roman"/>
      <w:sz w:val="24"/>
      <w:szCs w:val="20"/>
      <w:lang w:eastAsia="es-ES"/>
    </w:rPr>
  </w:style>
  <w:style w:type="paragraph" w:customStyle="1" w:styleId="AODocTxt">
    <w:name w:val="AODocTxt"/>
    <w:basedOn w:val="Normal"/>
    <w:uiPriority w:val="99"/>
    <w:rsid w:val="004C1C4F"/>
    <w:pPr>
      <w:spacing w:before="200" w:after="0" w:line="240" w:lineRule="auto"/>
      <w:jc w:val="both"/>
    </w:pPr>
    <w:rPr>
      <w:rFonts w:ascii="Times New Roman" w:eastAsia="MS Mincho" w:hAnsi="Times New Roman" w:cs="Times New Roman"/>
      <w:sz w:val="20"/>
      <w:szCs w:val="20"/>
      <w:lang w:val="en-US"/>
    </w:rPr>
  </w:style>
  <w:style w:type="paragraph" w:customStyle="1" w:styleId="AODocTxtL1">
    <w:name w:val="AODocTxtL1"/>
    <w:basedOn w:val="AODocTxt"/>
    <w:uiPriority w:val="99"/>
    <w:rsid w:val="004C1C4F"/>
    <w:pPr>
      <w:numPr>
        <w:ilvl w:val="1"/>
      </w:numPr>
      <w:tabs>
        <w:tab w:val="num" w:pos="360"/>
        <w:tab w:val="num" w:pos="1440"/>
      </w:tabs>
      <w:ind w:left="1440" w:hanging="360"/>
    </w:pPr>
  </w:style>
  <w:style w:type="paragraph" w:customStyle="1" w:styleId="AODocTxtL2">
    <w:name w:val="AODocTxtL2"/>
    <w:basedOn w:val="AODocTxt"/>
    <w:uiPriority w:val="99"/>
    <w:rsid w:val="004C1C4F"/>
    <w:pPr>
      <w:numPr>
        <w:ilvl w:val="2"/>
      </w:numPr>
      <w:tabs>
        <w:tab w:val="num" w:pos="360"/>
        <w:tab w:val="num" w:pos="2160"/>
      </w:tabs>
      <w:ind w:left="2160" w:hanging="180"/>
    </w:pPr>
  </w:style>
  <w:style w:type="paragraph" w:customStyle="1" w:styleId="AODocTxtL3">
    <w:name w:val="AODocTxtL3"/>
    <w:basedOn w:val="AODocTxt"/>
    <w:uiPriority w:val="99"/>
    <w:rsid w:val="004C1C4F"/>
    <w:pPr>
      <w:numPr>
        <w:ilvl w:val="3"/>
      </w:numPr>
      <w:tabs>
        <w:tab w:val="num" w:pos="360"/>
        <w:tab w:val="num" w:pos="2880"/>
      </w:tabs>
      <w:ind w:left="2880" w:hanging="360"/>
    </w:pPr>
  </w:style>
  <w:style w:type="paragraph" w:customStyle="1" w:styleId="AODocTxtL4">
    <w:name w:val="AODocTxtL4"/>
    <w:basedOn w:val="AODocTxt"/>
    <w:uiPriority w:val="99"/>
    <w:rsid w:val="004C1C4F"/>
    <w:pPr>
      <w:numPr>
        <w:ilvl w:val="4"/>
      </w:numPr>
      <w:tabs>
        <w:tab w:val="num" w:pos="360"/>
        <w:tab w:val="num" w:pos="3600"/>
      </w:tabs>
      <w:ind w:left="3600" w:hanging="360"/>
    </w:pPr>
  </w:style>
  <w:style w:type="paragraph" w:customStyle="1" w:styleId="AODocTxtL5">
    <w:name w:val="AODocTxtL5"/>
    <w:basedOn w:val="AODocTxt"/>
    <w:uiPriority w:val="99"/>
    <w:rsid w:val="004C1C4F"/>
    <w:pPr>
      <w:numPr>
        <w:ilvl w:val="5"/>
      </w:numPr>
      <w:tabs>
        <w:tab w:val="num" w:pos="360"/>
        <w:tab w:val="num" w:pos="4320"/>
      </w:tabs>
      <w:ind w:left="4320" w:hanging="180"/>
    </w:pPr>
  </w:style>
  <w:style w:type="paragraph" w:customStyle="1" w:styleId="AODocTxtL6">
    <w:name w:val="AODocTxtL6"/>
    <w:basedOn w:val="AODocTxt"/>
    <w:uiPriority w:val="99"/>
    <w:rsid w:val="004C1C4F"/>
    <w:pPr>
      <w:numPr>
        <w:ilvl w:val="6"/>
      </w:numPr>
      <w:tabs>
        <w:tab w:val="num" w:pos="360"/>
        <w:tab w:val="num" w:pos="5040"/>
      </w:tabs>
      <w:ind w:left="5040" w:hanging="360"/>
    </w:pPr>
  </w:style>
  <w:style w:type="paragraph" w:customStyle="1" w:styleId="AODocTxtL7">
    <w:name w:val="AODocTxtL7"/>
    <w:basedOn w:val="AODocTxt"/>
    <w:uiPriority w:val="99"/>
    <w:rsid w:val="004C1C4F"/>
    <w:pPr>
      <w:numPr>
        <w:ilvl w:val="7"/>
      </w:numPr>
      <w:tabs>
        <w:tab w:val="num" w:pos="360"/>
        <w:tab w:val="num" w:pos="5760"/>
      </w:tabs>
      <w:ind w:left="5760" w:hanging="360"/>
    </w:pPr>
  </w:style>
  <w:style w:type="paragraph" w:customStyle="1" w:styleId="AODocTxtL8">
    <w:name w:val="AODocTxtL8"/>
    <w:basedOn w:val="AODocTxt"/>
    <w:uiPriority w:val="99"/>
    <w:rsid w:val="004C1C4F"/>
    <w:pPr>
      <w:numPr>
        <w:ilvl w:val="8"/>
      </w:numPr>
      <w:tabs>
        <w:tab w:val="num" w:pos="360"/>
        <w:tab w:val="num" w:pos="6480"/>
      </w:tabs>
      <w:ind w:left="6480" w:hanging="180"/>
    </w:pPr>
  </w:style>
  <w:style w:type="paragraph" w:customStyle="1" w:styleId="AOGenNum1List">
    <w:name w:val="AOGenNum1List"/>
    <w:basedOn w:val="Normal"/>
    <w:uiPriority w:val="99"/>
    <w:rsid w:val="004C1C4F"/>
    <w:pPr>
      <w:tabs>
        <w:tab w:val="num" w:pos="2160"/>
      </w:tabs>
      <w:spacing w:before="200" w:after="0" w:line="240" w:lineRule="auto"/>
      <w:ind w:left="2160" w:hanging="180"/>
      <w:jc w:val="both"/>
    </w:pPr>
    <w:rPr>
      <w:rFonts w:ascii="Times New Roman" w:eastAsia="MS Mincho" w:hAnsi="Times New Roman" w:cs="Times New Roman"/>
      <w:sz w:val="20"/>
      <w:szCs w:val="20"/>
      <w:lang w:val="en-US"/>
    </w:rPr>
  </w:style>
  <w:style w:type="character" w:customStyle="1" w:styleId="msoins0">
    <w:name w:val="msoins"/>
    <w:rsid w:val="004C1C4F"/>
  </w:style>
  <w:style w:type="paragraph" w:customStyle="1" w:styleId="CharChar">
    <w:name w:val="Char Char"/>
    <w:basedOn w:val="Normal"/>
    <w:uiPriority w:val="99"/>
    <w:rsid w:val="004C1C4F"/>
    <w:pPr>
      <w:spacing w:line="240" w:lineRule="exact"/>
    </w:pPr>
    <w:rPr>
      <w:rFonts w:ascii="Verdana" w:eastAsia="PMingLiU" w:hAnsi="Verdana" w:cs="Times New Roman"/>
      <w:sz w:val="20"/>
      <w:szCs w:val="20"/>
      <w:lang w:val="en-US"/>
    </w:rPr>
  </w:style>
  <w:style w:type="paragraph" w:customStyle="1" w:styleId="CPNNormal">
    <w:name w:val="CPNNormal"/>
    <w:uiPriority w:val="99"/>
    <w:rsid w:val="004C1C4F"/>
    <w:pPr>
      <w:widowControl w:val="0"/>
      <w:tabs>
        <w:tab w:val="left" w:pos="-720"/>
      </w:tabs>
      <w:spacing w:after="240" w:line="260" w:lineRule="exact"/>
      <w:ind w:firstLine="539"/>
      <w:jc w:val="both"/>
    </w:pPr>
    <w:rPr>
      <w:rFonts w:ascii="Times New Roman" w:eastAsia="MS Mincho" w:hAnsi="Times New Roman" w:cs="Times New Roman"/>
      <w:color w:val="000000"/>
      <w:sz w:val="20"/>
      <w:szCs w:val="20"/>
      <w:lang w:val="es-AR" w:eastAsia="es-ES"/>
    </w:rPr>
  </w:style>
  <w:style w:type="paragraph" w:customStyle="1" w:styleId="Car">
    <w:name w:val="Car"/>
    <w:basedOn w:val="Normal"/>
    <w:uiPriority w:val="99"/>
    <w:rsid w:val="004C1C4F"/>
    <w:pPr>
      <w:spacing w:line="240" w:lineRule="exact"/>
    </w:pPr>
    <w:rPr>
      <w:rFonts w:ascii="Verdana" w:eastAsia="PMingLiU" w:hAnsi="Verdana" w:cs="Times New Roman"/>
      <w:sz w:val="20"/>
      <w:szCs w:val="20"/>
      <w:lang w:val="en-US"/>
    </w:rPr>
  </w:style>
  <w:style w:type="character" w:customStyle="1" w:styleId="TABLES10PT0">
    <w:name w:val="TABLES10PT"/>
    <w:rsid w:val="004C1C4F"/>
    <w:rPr>
      <w:rFonts w:ascii="Times New Roman" w:hAnsi="Times New Roman"/>
      <w:sz w:val="20"/>
    </w:rPr>
  </w:style>
  <w:style w:type="paragraph" w:customStyle="1" w:styleId="CPNormalLeft">
    <w:name w:val="CPNormalLeft"/>
    <w:basedOn w:val="Normal"/>
    <w:uiPriority w:val="99"/>
    <w:rsid w:val="004C1C4F"/>
    <w:pPr>
      <w:widowControl w:val="0"/>
      <w:spacing w:after="240" w:line="240" w:lineRule="auto"/>
    </w:pPr>
    <w:rPr>
      <w:rFonts w:ascii="Times New Roman" w:eastAsia="MS Mincho" w:hAnsi="Times New Roman" w:cs="Times New Roman"/>
      <w:sz w:val="21"/>
      <w:szCs w:val="21"/>
      <w:lang w:val="en-US" w:eastAsia="es-ES"/>
    </w:rPr>
  </w:style>
  <w:style w:type="paragraph" w:customStyle="1" w:styleId="CarCarCarCarCarCar1CarCarCarCarCarCarCarCarCarCarCarCar">
    <w:name w:val="Car Car Car Car Car Car1 Car Car Car Car Car Car Car Car Car Car Car Car"/>
    <w:basedOn w:val="Normal"/>
    <w:uiPriority w:val="99"/>
    <w:rsid w:val="004C1C4F"/>
    <w:pPr>
      <w:spacing w:line="240" w:lineRule="exact"/>
    </w:pPr>
    <w:rPr>
      <w:rFonts w:ascii="Verdana" w:eastAsia="PMingLiU" w:hAnsi="Verdana" w:cs="Times New Roman"/>
      <w:sz w:val="20"/>
      <w:szCs w:val="20"/>
      <w:lang w:val="en-US"/>
    </w:rPr>
  </w:style>
  <w:style w:type="paragraph" w:customStyle="1" w:styleId="CPNormal">
    <w:name w:val="CPNormal"/>
    <w:basedOn w:val="Normal"/>
    <w:uiPriority w:val="99"/>
    <w:rsid w:val="004C1C4F"/>
    <w:pPr>
      <w:widowControl w:val="0"/>
      <w:spacing w:after="240" w:line="240" w:lineRule="auto"/>
      <w:ind w:firstLine="540"/>
    </w:pPr>
    <w:rPr>
      <w:rFonts w:ascii="Times New Roman" w:eastAsia="MS Mincho" w:hAnsi="Times New Roman" w:cs="Times New Roman"/>
      <w:sz w:val="21"/>
      <w:szCs w:val="20"/>
      <w:lang w:val="en-US" w:eastAsia="es-ES"/>
    </w:rPr>
  </w:style>
  <w:style w:type="paragraph" w:customStyle="1" w:styleId="CPN-Leftbold">
    <w:name w:val="CPN-Left/bold"/>
    <w:basedOn w:val="CPNNormal"/>
    <w:uiPriority w:val="99"/>
    <w:rsid w:val="004C1C4F"/>
    <w:pPr>
      <w:keepNext/>
      <w:keepLines/>
      <w:tabs>
        <w:tab w:val="clear" w:pos="-720"/>
      </w:tabs>
      <w:ind w:firstLine="0"/>
    </w:pPr>
    <w:rPr>
      <w:b/>
      <w:bCs/>
    </w:rPr>
  </w:style>
  <w:style w:type="paragraph" w:customStyle="1" w:styleId="BodyText2Sgl11pt">
    <w:name w:val="Body Text 2 Sgl 11pt"/>
    <w:basedOn w:val="Normal"/>
    <w:uiPriority w:val="99"/>
    <w:rsid w:val="004C1C4F"/>
    <w:pPr>
      <w:tabs>
        <w:tab w:val="left" w:pos="567"/>
      </w:tabs>
      <w:spacing w:after="240" w:line="240" w:lineRule="exact"/>
      <w:ind w:firstLine="720"/>
    </w:pPr>
    <w:rPr>
      <w:rFonts w:ascii="Times New Roman" w:eastAsia="MS Mincho" w:hAnsi="Times New Roman" w:cs="Times New Roman"/>
      <w:szCs w:val="20"/>
      <w:lang w:val="en-US" w:eastAsia="es-ES"/>
    </w:rPr>
  </w:style>
  <w:style w:type="paragraph" w:customStyle="1" w:styleId="ListB">
    <w:name w:val="ListB"/>
    <w:basedOn w:val="Normal"/>
    <w:uiPriority w:val="99"/>
    <w:rsid w:val="004C1C4F"/>
    <w:pPr>
      <w:keepNext/>
      <w:tabs>
        <w:tab w:val="left" w:pos="567"/>
      </w:tabs>
      <w:spacing w:after="240" w:line="240" w:lineRule="exact"/>
    </w:pPr>
    <w:rPr>
      <w:rFonts w:ascii="Times New Roman" w:eastAsia="MS Mincho" w:hAnsi="Times New Roman" w:cs="Times New Roman"/>
      <w:b/>
      <w:szCs w:val="20"/>
      <w:lang w:eastAsia="es-ES"/>
    </w:rPr>
  </w:style>
  <w:style w:type="paragraph" w:customStyle="1" w:styleId="CPTableText">
    <w:name w:val="CPTableText"/>
    <w:basedOn w:val="CPNormal"/>
    <w:uiPriority w:val="99"/>
    <w:rsid w:val="004C1C4F"/>
    <w:pPr>
      <w:widowControl/>
      <w:tabs>
        <w:tab w:val="left" w:pos="567"/>
      </w:tabs>
      <w:spacing w:line="240" w:lineRule="exact"/>
      <w:ind w:firstLine="0"/>
      <w:jc w:val="both"/>
    </w:pPr>
    <w:rPr>
      <w:sz w:val="22"/>
    </w:rPr>
  </w:style>
  <w:style w:type="paragraph" w:customStyle="1" w:styleId="BodyText2SglCarCar">
    <w:name w:val="Body Text 2 Sgl Car Car"/>
    <w:basedOn w:val="Normal"/>
    <w:link w:val="BodyText2SglCarCarCar"/>
    <w:rsid w:val="004C1C4F"/>
    <w:pPr>
      <w:spacing w:after="240" w:line="240" w:lineRule="auto"/>
      <w:ind w:firstLine="562"/>
    </w:pPr>
    <w:rPr>
      <w:rFonts w:ascii="Times New Roman" w:eastAsia="MS Mincho" w:hAnsi="Times New Roman" w:cs="Times New Roman"/>
      <w:szCs w:val="20"/>
      <w:lang w:val="en-US" w:eastAsia="es-ES"/>
    </w:rPr>
  </w:style>
  <w:style w:type="character" w:customStyle="1" w:styleId="BodyText2SglCarCarCar">
    <w:name w:val="Body Text 2 Sgl Car Car Car"/>
    <w:link w:val="BodyText2SglCarCar"/>
    <w:locked/>
    <w:rsid w:val="004C1C4F"/>
    <w:rPr>
      <w:rFonts w:ascii="Times New Roman" w:eastAsia="MS Mincho" w:hAnsi="Times New Roman" w:cs="Times New Roman"/>
      <w:szCs w:val="20"/>
      <w:lang w:val="en-US" w:eastAsia="es-ES"/>
    </w:rPr>
  </w:style>
  <w:style w:type="paragraph" w:customStyle="1" w:styleId="TitleLItalics">
    <w:name w:val="Title L Italics"/>
    <w:basedOn w:val="Normal"/>
    <w:uiPriority w:val="99"/>
    <w:rsid w:val="004C1C4F"/>
    <w:pPr>
      <w:keepNext/>
      <w:spacing w:after="240" w:line="240" w:lineRule="auto"/>
    </w:pPr>
    <w:rPr>
      <w:rFonts w:ascii="Times New Roman" w:eastAsia="MS Mincho" w:hAnsi="Times New Roman" w:cs="Times New Roman"/>
      <w:i/>
      <w:sz w:val="20"/>
      <w:szCs w:val="20"/>
      <w:lang w:val="en-US" w:eastAsia="es-ES"/>
    </w:rPr>
  </w:style>
  <w:style w:type="character" w:customStyle="1" w:styleId="a1">
    <w:name w:val="a1"/>
    <w:rsid w:val="004C1C4F"/>
  </w:style>
  <w:style w:type="paragraph" w:customStyle="1" w:styleId="OmniPage2">
    <w:name w:val="OmniPage #2"/>
    <w:uiPriority w:val="99"/>
    <w:rsid w:val="004C1C4F"/>
    <w:pPr>
      <w:tabs>
        <w:tab w:val="left" w:pos="100"/>
        <w:tab w:val="right" w:pos="10626"/>
      </w:tabs>
      <w:spacing w:after="0" w:line="240" w:lineRule="auto"/>
    </w:pPr>
    <w:rPr>
      <w:rFonts w:ascii="Times New Roman" w:eastAsia="MS Mincho" w:hAnsi="Times New Roman" w:cs="Times New Roman"/>
      <w:sz w:val="20"/>
      <w:szCs w:val="20"/>
      <w:lang w:val="en-US" w:eastAsia="es-ES"/>
    </w:rPr>
  </w:style>
  <w:style w:type="paragraph" w:customStyle="1" w:styleId="Bull1">
    <w:name w:val="Bull1"/>
    <w:basedOn w:val="Normal"/>
    <w:uiPriority w:val="99"/>
    <w:rsid w:val="004C1C4F"/>
    <w:pPr>
      <w:numPr>
        <w:numId w:val="60"/>
      </w:numPr>
      <w:spacing w:after="200" w:line="240" w:lineRule="auto"/>
    </w:pPr>
    <w:rPr>
      <w:rFonts w:ascii="Times New Roman" w:eastAsia="MS Mincho" w:hAnsi="Times New Roman" w:cs="Times New Roman"/>
      <w:sz w:val="20"/>
      <w:szCs w:val="24"/>
      <w:lang w:val="en-US"/>
    </w:rPr>
  </w:style>
  <w:style w:type="paragraph" w:customStyle="1" w:styleId="omnipage20">
    <w:name w:val="omnipage2"/>
    <w:basedOn w:val="Normal"/>
    <w:uiPriority w:val="99"/>
    <w:rsid w:val="004C1C4F"/>
    <w:pPr>
      <w:spacing w:before="100" w:beforeAutospacing="1" w:after="100" w:afterAutospacing="1" w:line="240" w:lineRule="auto"/>
    </w:pPr>
    <w:rPr>
      <w:rFonts w:ascii="Times New Roman" w:eastAsia="MS Mincho" w:hAnsi="Times New Roman" w:cs="Times New Roman"/>
      <w:sz w:val="24"/>
      <w:szCs w:val="24"/>
      <w:lang w:val="en-US"/>
    </w:rPr>
  </w:style>
  <w:style w:type="paragraph" w:customStyle="1" w:styleId="Estndar">
    <w:name w:val="Estándar"/>
    <w:basedOn w:val="Normal"/>
    <w:uiPriority w:val="99"/>
    <w:rsid w:val="004C1C4F"/>
    <w:pPr>
      <w:spacing w:after="0" w:line="240" w:lineRule="auto"/>
    </w:pPr>
    <w:rPr>
      <w:rFonts w:ascii="Times New Roman" w:eastAsia="MS Mincho" w:hAnsi="Times New Roman" w:cs="Times New Roman"/>
      <w:sz w:val="24"/>
      <w:szCs w:val="20"/>
      <w:lang w:val="en-US" w:eastAsia="es-ES"/>
    </w:rPr>
  </w:style>
  <w:style w:type="paragraph" w:customStyle="1" w:styleId="footnotetex">
    <w:name w:val="footnote tex"/>
    <w:uiPriority w:val="99"/>
    <w:rsid w:val="004C1C4F"/>
    <w:pPr>
      <w:widowControl w:val="0"/>
      <w:tabs>
        <w:tab w:val="left" w:pos="-720"/>
      </w:tabs>
      <w:suppressAutoHyphens/>
      <w:autoSpaceDE w:val="0"/>
      <w:autoSpaceDN w:val="0"/>
      <w:adjustRightInd w:val="0"/>
      <w:spacing w:after="0" w:line="240" w:lineRule="atLeast"/>
    </w:pPr>
    <w:rPr>
      <w:rFonts w:ascii="Times New Roman" w:eastAsia="MS Mincho" w:hAnsi="Times New Roman" w:cs="Times New Roman"/>
      <w:b/>
      <w:bCs/>
      <w:sz w:val="20"/>
      <w:szCs w:val="20"/>
      <w:lang w:val="es-ES_tradnl" w:eastAsia="es-ES"/>
    </w:rPr>
  </w:style>
  <w:style w:type="paragraph" w:customStyle="1" w:styleId="s4">
    <w:name w:val="s4"/>
    <w:basedOn w:val="Normal"/>
    <w:uiPriority w:val="99"/>
    <w:rsid w:val="004C1C4F"/>
    <w:pPr>
      <w:spacing w:after="0" w:line="240" w:lineRule="auto"/>
      <w:ind w:left="57" w:firstLine="284"/>
      <w:jc w:val="both"/>
    </w:pPr>
    <w:rPr>
      <w:rFonts w:ascii="Arial" w:eastAsia="MS Mincho" w:hAnsi="Arial" w:cs="Arial"/>
      <w:sz w:val="20"/>
      <w:szCs w:val="20"/>
      <w:lang w:val="en-US"/>
    </w:rPr>
  </w:style>
  <w:style w:type="paragraph" w:customStyle="1" w:styleId="PredeterminadoLTGliederung5">
    <w:name w:val="Predeterminado~LT~Gliederung 5"/>
    <w:basedOn w:val="Normal"/>
    <w:uiPriority w:val="99"/>
    <w:rsid w:val="004C1C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uppressAutoHyphens/>
      <w:autoSpaceDE w:val="0"/>
      <w:spacing w:before="70" w:after="0" w:line="240" w:lineRule="auto"/>
      <w:ind w:left="1080"/>
    </w:pPr>
    <w:rPr>
      <w:rFonts w:ascii="Tahoma" w:eastAsia="MS Mincho" w:hAnsi="Tahoma" w:cs="Times New Roman"/>
      <w:color w:val="000000"/>
      <w:sz w:val="28"/>
      <w:szCs w:val="28"/>
      <w:lang w:val="es-AR" w:eastAsia="es-ES"/>
    </w:rPr>
  </w:style>
  <w:style w:type="paragraph" w:customStyle="1" w:styleId="TITULO1">
    <w:name w:val="TITULO 1"/>
    <w:basedOn w:val="Normal"/>
    <w:uiPriority w:val="99"/>
    <w:rsid w:val="004C1C4F"/>
    <w:pPr>
      <w:spacing w:after="0" w:line="240" w:lineRule="auto"/>
      <w:jc w:val="center"/>
    </w:pPr>
    <w:rPr>
      <w:rFonts w:ascii="Times New Roman" w:eastAsia="MS Mincho" w:hAnsi="Times New Roman" w:cs="Times New Roman"/>
      <w:b/>
      <w:bCs/>
      <w:sz w:val="20"/>
      <w:szCs w:val="24"/>
      <w:lang w:val="es-AR" w:eastAsia="es-ES"/>
    </w:rPr>
  </w:style>
  <w:style w:type="paragraph" w:customStyle="1" w:styleId="TitleBoldItal">
    <w:name w:val="Title Bold/Ital"/>
    <w:basedOn w:val="Normal"/>
    <w:uiPriority w:val="99"/>
    <w:rsid w:val="004C1C4F"/>
    <w:pPr>
      <w:keepNext/>
      <w:spacing w:after="240" w:line="240" w:lineRule="auto"/>
    </w:pPr>
    <w:rPr>
      <w:rFonts w:ascii="Times New Roman" w:eastAsia="MS Mincho" w:hAnsi="Times New Roman" w:cs="Times New Roman"/>
      <w:b/>
      <w:i/>
      <w:sz w:val="20"/>
      <w:szCs w:val="24"/>
      <w:lang w:val="en-US"/>
    </w:rPr>
  </w:style>
  <w:style w:type="paragraph" w:customStyle="1" w:styleId="BoldItalic">
    <w:name w:val="BoldItalic"/>
    <w:basedOn w:val="Normal"/>
    <w:uiPriority w:val="99"/>
    <w:rsid w:val="004C1C4F"/>
    <w:pPr>
      <w:keepNext/>
      <w:spacing w:line="260" w:lineRule="exact"/>
    </w:pPr>
    <w:rPr>
      <w:rFonts w:ascii="Frutiger 45 Light" w:eastAsia="MS Mincho" w:hAnsi="Frutiger 45 Light" w:cs="Times New Roman"/>
      <w:b/>
      <w:i/>
      <w:sz w:val="20"/>
      <w:szCs w:val="20"/>
    </w:rPr>
  </w:style>
  <w:style w:type="paragraph" w:customStyle="1" w:styleId="CarCarCarCarCarCar1CarCarCarCarCarCarCarCarCarCarCarCarCharCharCarCarCarCar">
    <w:name w:val="Car Car Car Car Car Car1 Car Car Car Car Car Car Car Car Car Car Car Car Char Char Car Car Car Car"/>
    <w:basedOn w:val="Normal"/>
    <w:uiPriority w:val="99"/>
    <w:rsid w:val="004C1C4F"/>
    <w:pPr>
      <w:spacing w:line="240" w:lineRule="exact"/>
    </w:pPr>
    <w:rPr>
      <w:rFonts w:ascii="Verdana" w:eastAsia="PMingLiU" w:hAnsi="Verdana" w:cs="Times New Roman"/>
      <w:sz w:val="20"/>
      <w:szCs w:val="20"/>
      <w:lang w:val="en-US"/>
    </w:rPr>
  </w:style>
  <w:style w:type="paragraph" w:customStyle="1" w:styleId="SimpleListsStyle2">
    <w:name w:val="SimpleListsStyle2"/>
    <w:basedOn w:val="Normal"/>
    <w:uiPriority w:val="99"/>
    <w:rsid w:val="004C1C4F"/>
    <w:pPr>
      <w:keepNext/>
      <w:keepLines/>
      <w:tabs>
        <w:tab w:val="num" w:pos="360"/>
      </w:tabs>
      <w:spacing w:after="200" w:line="240" w:lineRule="auto"/>
      <w:jc w:val="both"/>
      <w:outlineLvl w:val="1"/>
    </w:pPr>
    <w:rPr>
      <w:rFonts w:ascii="Times New Roman" w:eastAsia="SimSun" w:hAnsi="Times New Roman" w:cs="Times New Roman"/>
      <w:b/>
      <w:bCs/>
      <w:color w:val="000000"/>
      <w:sz w:val="20"/>
      <w:szCs w:val="24"/>
      <w:lang w:val="en-US" w:eastAsia="zh-CN"/>
    </w:rPr>
  </w:style>
  <w:style w:type="paragraph" w:customStyle="1" w:styleId="BodyFirstLine5">
    <w:name w:val="Body First Line .5&quot;"/>
    <w:basedOn w:val="Normal"/>
    <w:uiPriority w:val="99"/>
    <w:rsid w:val="004C1C4F"/>
    <w:pPr>
      <w:spacing w:after="240" w:line="240" w:lineRule="auto"/>
      <w:ind w:firstLine="720"/>
      <w:jc w:val="both"/>
    </w:pPr>
    <w:rPr>
      <w:rFonts w:ascii="Times New Roman" w:eastAsia="MS Mincho" w:hAnsi="Times New Roman" w:cs="Times New Roman"/>
      <w:sz w:val="20"/>
      <w:szCs w:val="24"/>
      <w:lang w:val="en-US" w:eastAsia="ja-JP"/>
    </w:rPr>
  </w:style>
  <w:style w:type="paragraph" w:customStyle="1" w:styleId="Nt">
    <w:name w:val="Nt"/>
    <w:basedOn w:val="Normal"/>
    <w:uiPriority w:val="99"/>
    <w:rsid w:val="004C1C4F"/>
    <w:pPr>
      <w:autoSpaceDE w:val="0"/>
      <w:autoSpaceDN w:val="0"/>
      <w:adjustRightInd w:val="0"/>
      <w:spacing w:after="240" w:line="240" w:lineRule="auto"/>
      <w:jc w:val="both"/>
    </w:pPr>
    <w:rPr>
      <w:rFonts w:ascii="Times New Roman" w:eastAsia="MS Mincho" w:hAnsi="Times New Roman" w:cs="Times New Roman"/>
      <w:noProof/>
      <w:sz w:val="20"/>
      <w:szCs w:val="20"/>
    </w:rPr>
  </w:style>
  <w:style w:type="paragraph" w:customStyle="1" w:styleId="arcor">
    <w:name w:val="arcor"/>
    <w:basedOn w:val="Normal"/>
    <w:uiPriority w:val="99"/>
    <w:rsid w:val="004C1C4F"/>
    <w:pPr>
      <w:spacing w:line="240" w:lineRule="exact"/>
      <w:jc w:val="center"/>
    </w:pPr>
    <w:rPr>
      <w:rFonts w:ascii="Times New Roman" w:eastAsia="MS Mincho" w:hAnsi="Times New Roman" w:cs="Times New Roman"/>
      <w:b/>
      <w:bCs/>
      <w:noProof/>
      <w:sz w:val="18"/>
      <w:szCs w:val="18"/>
      <w:lang w:val="es-AR" w:eastAsia="es-AR"/>
    </w:rPr>
  </w:style>
  <w:style w:type="paragraph" w:customStyle="1" w:styleId="Prrafodelista2">
    <w:name w:val="Párrafo de lista2"/>
    <w:basedOn w:val="Normal"/>
    <w:uiPriority w:val="99"/>
    <w:rsid w:val="004C1C4F"/>
    <w:pPr>
      <w:spacing w:after="0" w:line="240" w:lineRule="auto"/>
      <w:ind w:left="720"/>
      <w:contextualSpacing/>
    </w:pPr>
    <w:rPr>
      <w:rFonts w:ascii="Times New Roman" w:eastAsia="MS Mincho" w:hAnsi="Times New Roman" w:cs="Times New Roman"/>
      <w:sz w:val="24"/>
      <w:szCs w:val="20"/>
      <w:lang w:val="es-AR" w:eastAsia="es-ES"/>
    </w:rPr>
  </w:style>
  <w:style w:type="paragraph" w:customStyle="1" w:styleId="ListParagraph2">
    <w:name w:val="List Paragraph2"/>
    <w:basedOn w:val="Normal"/>
    <w:uiPriority w:val="99"/>
    <w:rsid w:val="004C1C4F"/>
    <w:pPr>
      <w:spacing w:after="0" w:line="240" w:lineRule="auto"/>
      <w:ind w:left="720"/>
      <w:contextualSpacing/>
    </w:pPr>
    <w:rPr>
      <w:rFonts w:ascii="Times New Roman" w:eastAsia="MS Mincho" w:hAnsi="Times New Roman" w:cs="Times New Roman"/>
      <w:sz w:val="24"/>
      <w:szCs w:val="20"/>
      <w:lang w:val="es-AR" w:eastAsia="es-ES"/>
    </w:rPr>
  </w:style>
  <w:style w:type="paragraph" w:customStyle="1" w:styleId="Epgrafe2">
    <w:name w:val="Epígrafe2"/>
    <w:basedOn w:val="Normal"/>
    <w:next w:val="Normal"/>
    <w:uiPriority w:val="99"/>
    <w:qFormat/>
    <w:rsid w:val="004C1C4F"/>
    <w:pPr>
      <w:tabs>
        <w:tab w:val="left" w:pos="-720"/>
        <w:tab w:val="left" w:pos="0"/>
        <w:tab w:val="left" w:pos="320"/>
        <w:tab w:val="left" w:pos="720"/>
      </w:tabs>
      <w:suppressAutoHyphens/>
      <w:spacing w:before="120" w:after="120" w:line="216" w:lineRule="atLeast"/>
      <w:jc w:val="both"/>
    </w:pPr>
    <w:rPr>
      <w:rFonts w:ascii="Times New Roman" w:eastAsia="MS Mincho" w:hAnsi="Times New Roman" w:cs="Times New Roman"/>
      <w:b/>
      <w:bCs/>
      <w:spacing w:val="-2"/>
      <w:sz w:val="20"/>
      <w:szCs w:val="20"/>
      <w:lang w:val="es-ES_tradnl" w:eastAsia="es-ES"/>
    </w:rPr>
  </w:style>
  <w:style w:type="paragraph" w:customStyle="1" w:styleId="Ttulo20">
    <w:name w:val="Título2"/>
    <w:basedOn w:val="Normal"/>
    <w:uiPriority w:val="99"/>
    <w:qFormat/>
    <w:rsid w:val="004C1C4F"/>
    <w:pPr>
      <w:widowControl w:val="0"/>
      <w:autoSpaceDE w:val="0"/>
      <w:autoSpaceDN w:val="0"/>
      <w:adjustRightInd w:val="0"/>
      <w:spacing w:after="0" w:line="240" w:lineRule="auto"/>
    </w:pPr>
    <w:rPr>
      <w:rFonts w:ascii="Cambria" w:eastAsia="MS Mincho" w:hAnsi="Cambria" w:cs="Times New Roman"/>
      <w:b/>
      <w:kern w:val="28"/>
      <w:sz w:val="32"/>
      <w:szCs w:val="20"/>
      <w:lang w:val="es-AR" w:eastAsia="es-ES"/>
    </w:rPr>
  </w:style>
  <w:style w:type="paragraph" w:customStyle="1" w:styleId="ShortOutline1">
    <w:name w:val="ShortOutline1"/>
    <w:basedOn w:val="Normal"/>
    <w:link w:val="ShortOutline1Char"/>
    <w:uiPriority w:val="99"/>
    <w:rsid w:val="004C1C4F"/>
    <w:pPr>
      <w:numPr>
        <w:numId w:val="61"/>
      </w:numPr>
      <w:spacing w:before="200" w:after="200" w:line="240" w:lineRule="auto"/>
      <w:outlineLvl w:val="0"/>
    </w:pPr>
    <w:rPr>
      <w:rFonts w:ascii="Times New Roman" w:eastAsia="Times New Roman" w:hAnsi="Times New Roman" w:cs="Times New Roman"/>
      <w:sz w:val="20"/>
      <w:szCs w:val="24"/>
      <w:lang w:val="en-US" w:eastAsia="zh-CN"/>
    </w:rPr>
  </w:style>
  <w:style w:type="character" w:customStyle="1" w:styleId="ShortOutline1Char">
    <w:name w:val="ShortOutline1 Char"/>
    <w:link w:val="ShortOutline1"/>
    <w:uiPriority w:val="99"/>
    <w:rsid w:val="004C1C4F"/>
    <w:rPr>
      <w:rFonts w:ascii="Times New Roman" w:eastAsia="Times New Roman" w:hAnsi="Times New Roman" w:cs="Times New Roman"/>
      <w:sz w:val="20"/>
      <w:szCs w:val="24"/>
      <w:lang w:val="en-US" w:eastAsia="zh-CN"/>
    </w:rPr>
  </w:style>
  <w:style w:type="paragraph" w:customStyle="1" w:styleId="ShortOutline2">
    <w:name w:val="ShortOutline2"/>
    <w:basedOn w:val="Normal"/>
    <w:link w:val="ShortOutline2Char"/>
    <w:uiPriority w:val="99"/>
    <w:rsid w:val="004C1C4F"/>
    <w:pPr>
      <w:numPr>
        <w:ilvl w:val="1"/>
        <w:numId w:val="61"/>
      </w:numPr>
      <w:spacing w:before="200" w:after="200" w:line="240" w:lineRule="auto"/>
      <w:outlineLvl w:val="1"/>
    </w:pPr>
    <w:rPr>
      <w:rFonts w:ascii="Times New Roman" w:eastAsia="Times New Roman" w:hAnsi="Times New Roman" w:cs="Times New Roman"/>
      <w:color w:val="000000"/>
      <w:sz w:val="20"/>
      <w:szCs w:val="24"/>
      <w:lang w:val="en-US" w:eastAsia="zh-CN"/>
    </w:rPr>
  </w:style>
  <w:style w:type="character" w:customStyle="1" w:styleId="ShortOutline2Char">
    <w:name w:val="ShortOutline2 Char"/>
    <w:link w:val="ShortOutline2"/>
    <w:uiPriority w:val="99"/>
    <w:rsid w:val="004C1C4F"/>
    <w:rPr>
      <w:rFonts w:ascii="Times New Roman" w:eastAsia="Times New Roman" w:hAnsi="Times New Roman" w:cs="Times New Roman"/>
      <w:color w:val="000000"/>
      <w:sz w:val="20"/>
      <w:szCs w:val="24"/>
      <w:lang w:val="en-US" w:eastAsia="zh-CN"/>
    </w:rPr>
  </w:style>
  <w:style w:type="paragraph" w:customStyle="1" w:styleId="ShortOutline3">
    <w:name w:val="ShortOutline3"/>
    <w:basedOn w:val="Normal"/>
    <w:link w:val="ShortOutline3Char"/>
    <w:uiPriority w:val="99"/>
    <w:rsid w:val="004C1C4F"/>
    <w:pPr>
      <w:numPr>
        <w:ilvl w:val="2"/>
        <w:numId w:val="61"/>
      </w:numPr>
      <w:spacing w:before="200" w:after="200" w:line="240" w:lineRule="auto"/>
      <w:outlineLvl w:val="2"/>
    </w:pPr>
    <w:rPr>
      <w:rFonts w:ascii="Times New Roman" w:eastAsia="Times New Roman" w:hAnsi="Times New Roman" w:cs="Times New Roman"/>
      <w:color w:val="000000"/>
      <w:sz w:val="20"/>
      <w:szCs w:val="24"/>
      <w:lang w:val="en-US" w:eastAsia="zh-CN"/>
    </w:rPr>
  </w:style>
  <w:style w:type="character" w:customStyle="1" w:styleId="ShortOutline3Char">
    <w:name w:val="ShortOutline3 Char"/>
    <w:link w:val="ShortOutline3"/>
    <w:uiPriority w:val="99"/>
    <w:rsid w:val="004C1C4F"/>
    <w:rPr>
      <w:rFonts w:ascii="Times New Roman" w:eastAsia="Times New Roman" w:hAnsi="Times New Roman" w:cs="Times New Roman"/>
      <w:color w:val="000000"/>
      <w:sz w:val="20"/>
      <w:szCs w:val="24"/>
      <w:lang w:val="en-US" w:eastAsia="zh-CN"/>
    </w:rPr>
  </w:style>
  <w:style w:type="paragraph" w:customStyle="1" w:styleId="ShortOutline4">
    <w:name w:val="ShortOutline4"/>
    <w:basedOn w:val="Normal"/>
    <w:link w:val="ShortOutline4Char"/>
    <w:uiPriority w:val="99"/>
    <w:rsid w:val="004C1C4F"/>
    <w:pPr>
      <w:numPr>
        <w:ilvl w:val="3"/>
        <w:numId w:val="61"/>
      </w:numPr>
      <w:spacing w:before="200" w:after="200" w:line="240" w:lineRule="auto"/>
      <w:outlineLvl w:val="3"/>
    </w:pPr>
    <w:rPr>
      <w:rFonts w:ascii="Times New Roman" w:eastAsia="Times New Roman" w:hAnsi="Times New Roman" w:cs="Times New Roman"/>
      <w:color w:val="000000"/>
      <w:sz w:val="20"/>
      <w:szCs w:val="24"/>
      <w:lang w:val="en-US" w:eastAsia="zh-CN"/>
    </w:rPr>
  </w:style>
  <w:style w:type="character" w:customStyle="1" w:styleId="ShortOutline4Char">
    <w:name w:val="ShortOutline4 Char"/>
    <w:link w:val="ShortOutline4"/>
    <w:uiPriority w:val="99"/>
    <w:rsid w:val="004C1C4F"/>
    <w:rPr>
      <w:rFonts w:ascii="Times New Roman" w:eastAsia="Times New Roman" w:hAnsi="Times New Roman" w:cs="Times New Roman"/>
      <w:color w:val="000000"/>
      <w:sz w:val="20"/>
      <w:szCs w:val="24"/>
      <w:lang w:val="en-US" w:eastAsia="zh-CN"/>
    </w:rPr>
  </w:style>
  <w:style w:type="paragraph" w:customStyle="1" w:styleId="ShortOutline5">
    <w:name w:val="ShortOutline5"/>
    <w:basedOn w:val="Normal"/>
    <w:link w:val="ShortOutline5Char"/>
    <w:uiPriority w:val="99"/>
    <w:rsid w:val="004C1C4F"/>
    <w:pPr>
      <w:numPr>
        <w:ilvl w:val="4"/>
        <w:numId w:val="61"/>
      </w:numPr>
      <w:spacing w:before="200" w:after="200" w:line="240" w:lineRule="auto"/>
      <w:outlineLvl w:val="4"/>
    </w:pPr>
    <w:rPr>
      <w:rFonts w:ascii="Times New Roman" w:eastAsia="Times New Roman" w:hAnsi="Times New Roman" w:cs="Times New Roman"/>
      <w:color w:val="000000"/>
      <w:sz w:val="20"/>
      <w:szCs w:val="24"/>
      <w:lang w:val="en-US" w:eastAsia="zh-CN"/>
    </w:rPr>
  </w:style>
  <w:style w:type="character" w:customStyle="1" w:styleId="ShortOutline5Char">
    <w:name w:val="ShortOutline5 Char"/>
    <w:link w:val="ShortOutline5"/>
    <w:uiPriority w:val="99"/>
    <w:rsid w:val="004C1C4F"/>
    <w:rPr>
      <w:rFonts w:ascii="Times New Roman" w:eastAsia="Times New Roman" w:hAnsi="Times New Roman" w:cs="Times New Roman"/>
      <w:color w:val="000000"/>
      <w:sz w:val="20"/>
      <w:szCs w:val="24"/>
      <w:lang w:val="en-US" w:eastAsia="zh-CN"/>
    </w:rPr>
  </w:style>
  <w:style w:type="numbering" w:customStyle="1" w:styleId="ShortOutlineList">
    <w:name w:val="ShortOutlineList"/>
    <w:basedOn w:val="Sinlista"/>
    <w:rsid w:val="004C1C4F"/>
    <w:pPr>
      <w:numPr>
        <w:numId w:val="61"/>
      </w:numPr>
    </w:pPr>
  </w:style>
  <w:style w:type="paragraph" w:customStyle="1" w:styleId="abc">
    <w:name w:val="(a)(b)(c)"/>
    <w:basedOn w:val="Normal"/>
    <w:uiPriority w:val="4"/>
    <w:rsid w:val="004C1C4F"/>
    <w:pPr>
      <w:spacing w:before="200" w:after="200" w:line="240" w:lineRule="auto"/>
      <w:ind w:firstLine="720"/>
    </w:pPr>
    <w:rPr>
      <w:rFonts w:ascii="Times New Roman" w:eastAsia="Times New Roman" w:hAnsi="Times New Roman" w:cs="Times New Roman"/>
      <w:sz w:val="20"/>
      <w:szCs w:val="24"/>
      <w:lang w:val="en-US" w:eastAsia="zh-CN"/>
    </w:rPr>
  </w:style>
  <w:style w:type="paragraph" w:customStyle="1" w:styleId="iiiiii">
    <w:name w:val="(i)(ii)(iii)"/>
    <w:basedOn w:val="Normal"/>
    <w:uiPriority w:val="4"/>
    <w:rsid w:val="004C1C4F"/>
    <w:pPr>
      <w:spacing w:before="200" w:after="200" w:line="240" w:lineRule="auto"/>
      <w:ind w:firstLine="720"/>
    </w:pPr>
    <w:rPr>
      <w:rFonts w:ascii="Times New Roman" w:eastAsia="Times New Roman" w:hAnsi="Times New Roman" w:cs="Times New Roman"/>
      <w:sz w:val="20"/>
      <w:szCs w:val="24"/>
      <w:lang w:val="en-US" w:eastAsia="zh-CN"/>
    </w:rPr>
  </w:style>
  <w:style w:type="paragraph" w:customStyle="1" w:styleId="Question">
    <w:name w:val="Question"/>
    <w:aliases w:val="qt"/>
    <w:basedOn w:val="Normal"/>
    <w:next w:val="Answer"/>
    <w:uiPriority w:val="4"/>
    <w:rsid w:val="004C1C4F"/>
    <w:pPr>
      <w:spacing w:before="200" w:after="0" w:line="240" w:lineRule="auto"/>
      <w:ind w:left="1440" w:hanging="720"/>
    </w:pPr>
    <w:rPr>
      <w:rFonts w:ascii="Times New Roman" w:eastAsia="Times New Roman" w:hAnsi="Times New Roman" w:cs="Times New Roman"/>
      <w:sz w:val="20"/>
      <w:szCs w:val="24"/>
      <w:lang w:val="en-US" w:eastAsia="zh-CN" w:bidi="he-IL"/>
    </w:rPr>
  </w:style>
  <w:style w:type="paragraph" w:customStyle="1" w:styleId="Answer">
    <w:name w:val="Answer"/>
    <w:aliases w:val="an"/>
    <w:basedOn w:val="Normal"/>
    <w:next w:val="Question"/>
    <w:uiPriority w:val="4"/>
    <w:rsid w:val="004C1C4F"/>
    <w:pPr>
      <w:spacing w:before="200" w:after="0" w:line="240" w:lineRule="auto"/>
      <w:ind w:left="1440" w:hanging="720"/>
    </w:pPr>
    <w:rPr>
      <w:rFonts w:ascii="Times New Roman" w:eastAsia="Times New Roman" w:hAnsi="Times New Roman" w:cs="Times New Roman"/>
      <w:sz w:val="20"/>
      <w:szCs w:val="24"/>
      <w:lang w:val="en-US" w:eastAsia="zh-CN" w:bidi="he-IL"/>
    </w:rPr>
  </w:style>
  <w:style w:type="table" w:customStyle="1" w:styleId="BandedTable">
    <w:name w:val="Banded Table"/>
    <w:basedOn w:val="Tablanormal"/>
    <w:uiPriority w:val="99"/>
    <w:rsid w:val="004C1C4F"/>
    <w:pPr>
      <w:spacing w:after="0" w:line="240" w:lineRule="auto"/>
    </w:pPr>
    <w:rPr>
      <w:rFonts w:ascii="Times New Roman" w:eastAsia="Times New Roman" w:hAnsi="Times New Roman" w:cs="Times New Roman"/>
      <w:sz w:val="24"/>
      <w:szCs w:val="24"/>
      <w:lang w:val="es-AR" w:eastAsia="zh-C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86" w:type="dxa"/>
        <w:bottom w:w="29" w:type="dxa"/>
        <w:right w:w="86" w:type="dxa"/>
      </w:tblCellMar>
    </w:tblPr>
    <w:trPr>
      <w:cantSplit/>
    </w:trPr>
    <w:tcPr>
      <w:vAlign w:val="bottom"/>
    </w:tcPr>
    <w:tblStylePr w:type="firstRow">
      <w:pPr>
        <w:jc w:val="center"/>
      </w:pPr>
      <w:rPr>
        <w:b/>
        <w:color w:val="auto"/>
      </w:rPr>
      <w:tblPr/>
      <w:tcPr>
        <w:shd w:val="clear" w:color="auto" w:fill="D9D9D9"/>
      </w:tcPr>
    </w:tblStylePr>
    <w:tblStylePr w:type="band2Horz">
      <w:tblPr/>
      <w:tcPr>
        <w:shd w:val="clear" w:color="auto" w:fill="F2F2F2"/>
      </w:tcPr>
    </w:tblStylePr>
  </w:style>
  <w:style w:type="character" w:customStyle="1" w:styleId="BracketedComment">
    <w:name w:val="Bracketed Comment"/>
    <w:aliases w:val="br"/>
    <w:uiPriority w:val="9"/>
    <w:rsid w:val="004C1C4F"/>
    <w:rPr>
      <w:b/>
    </w:rPr>
  </w:style>
  <w:style w:type="paragraph" w:customStyle="1" w:styleId="BulletPara">
    <w:name w:val="Bullet Para"/>
    <w:aliases w:val="bp"/>
    <w:basedOn w:val="Normal"/>
    <w:uiPriority w:val="4"/>
    <w:qFormat/>
    <w:rsid w:val="004C1C4F"/>
    <w:pPr>
      <w:numPr>
        <w:numId w:val="63"/>
      </w:numPr>
      <w:spacing w:after="0" w:line="240" w:lineRule="auto"/>
    </w:pPr>
    <w:rPr>
      <w:rFonts w:ascii="Times New Roman" w:eastAsia="Times New Roman" w:hAnsi="Times New Roman" w:cs="Times New Roman"/>
      <w:sz w:val="20"/>
      <w:szCs w:val="24"/>
      <w:lang w:val="en-US" w:eastAsia="zh-CN"/>
    </w:rPr>
  </w:style>
  <w:style w:type="paragraph" w:customStyle="1" w:styleId="BulletParaAlt">
    <w:name w:val="Bullet Para Alt"/>
    <w:aliases w:val="bpa"/>
    <w:basedOn w:val="Normal"/>
    <w:uiPriority w:val="4"/>
    <w:rsid w:val="004C1C4F"/>
    <w:pPr>
      <w:numPr>
        <w:ilvl w:val="2"/>
        <w:numId w:val="63"/>
      </w:numPr>
      <w:spacing w:after="0" w:line="240" w:lineRule="auto"/>
    </w:pPr>
    <w:rPr>
      <w:rFonts w:ascii="Times New Roman" w:eastAsia="Times New Roman" w:hAnsi="Times New Roman" w:cs="Times New Roman"/>
      <w:sz w:val="20"/>
      <w:szCs w:val="24"/>
      <w:lang w:val="en-US" w:eastAsia="zh-CN"/>
    </w:rPr>
  </w:style>
  <w:style w:type="paragraph" w:customStyle="1" w:styleId="BulletPara2">
    <w:name w:val="Bullet Para2"/>
    <w:aliases w:val="bp2"/>
    <w:basedOn w:val="Normal"/>
    <w:uiPriority w:val="4"/>
    <w:rsid w:val="004C1C4F"/>
    <w:pPr>
      <w:numPr>
        <w:ilvl w:val="1"/>
        <w:numId w:val="63"/>
      </w:numPr>
      <w:spacing w:after="0" w:line="240" w:lineRule="auto"/>
    </w:pPr>
    <w:rPr>
      <w:rFonts w:ascii="Times New Roman" w:eastAsia="Times New Roman" w:hAnsi="Times New Roman" w:cs="Times New Roman"/>
      <w:sz w:val="20"/>
      <w:szCs w:val="24"/>
      <w:lang w:val="en-US" w:eastAsia="zh-CN"/>
    </w:rPr>
  </w:style>
  <w:style w:type="character" w:customStyle="1" w:styleId="Citation">
    <w:name w:val="Citation"/>
    <w:uiPriority w:val="9"/>
    <w:rsid w:val="004C1C4F"/>
    <w:rPr>
      <w:u w:val="single"/>
    </w:rPr>
  </w:style>
  <w:style w:type="paragraph" w:customStyle="1" w:styleId="CoverPara">
    <w:name w:val="Cover: Para"/>
    <w:aliases w:val="cp"/>
    <w:basedOn w:val="Normal"/>
    <w:uiPriority w:val="99"/>
    <w:rsid w:val="004C1C4F"/>
    <w:pPr>
      <w:spacing w:before="120" w:after="0" w:line="240" w:lineRule="auto"/>
      <w:jc w:val="both"/>
    </w:pPr>
    <w:rPr>
      <w:rFonts w:ascii="Times New Roman" w:eastAsia="Times New Roman" w:hAnsi="Times New Roman" w:cs="Times New Roman"/>
      <w:sz w:val="20"/>
      <w:szCs w:val="24"/>
      <w:lang w:val="en-US" w:eastAsia="zh-CN" w:bidi="he-IL"/>
    </w:rPr>
  </w:style>
  <w:style w:type="paragraph" w:customStyle="1" w:styleId="CoverCenter">
    <w:name w:val="Cover: Center"/>
    <w:aliases w:val="cc"/>
    <w:basedOn w:val="CoverPara"/>
    <w:uiPriority w:val="99"/>
    <w:rsid w:val="004C1C4F"/>
    <w:pPr>
      <w:keepLines/>
      <w:jc w:val="center"/>
    </w:pPr>
    <w:rPr>
      <w:b/>
      <w:sz w:val="24"/>
    </w:rPr>
  </w:style>
  <w:style w:type="paragraph" w:customStyle="1" w:styleId="CoverCenterLarge">
    <w:name w:val="Cover: CenterLarge"/>
    <w:aliases w:val="ccl"/>
    <w:basedOn w:val="CoverPara"/>
    <w:uiPriority w:val="99"/>
    <w:rsid w:val="004C1C4F"/>
    <w:pPr>
      <w:keepLines/>
      <w:spacing w:before="200" w:after="120"/>
      <w:jc w:val="center"/>
    </w:pPr>
    <w:rPr>
      <w:b/>
      <w:bCs/>
      <w:sz w:val="32"/>
      <w:szCs w:val="32"/>
    </w:rPr>
  </w:style>
  <w:style w:type="paragraph" w:customStyle="1" w:styleId="CoverDivider">
    <w:name w:val="Cover: Divider"/>
    <w:aliases w:val="cd"/>
    <w:basedOn w:val="Normal"/>
    <w:next w:val="CoverPara"/>
    <w:uiPriority w:val="99"/>
    <w:rsid w:val="004C1C4F"/>
    <w:pPr>
      <w:spacing w:after="0" w:line="240" w:lineRule="auto"/>
      <w:jc w:val="center"/>
    </w:pPr>
    <w:rPr>
      <w:rFonts w:ascii="Times New Roman" w:eastAsia="Times New Roman" w:hAnsi="Times New Roman" w:cs="Times New Roman"/>
      <w:sz w:val="16"/>
      <w:szCs w:val="24"/>
      <w:u w:val="single"/>
      <w:lang w:val="en-US" w:eastAsia="zh-CN" w:bidi="he-IL"/>
    </w:rPr>
  </w:style>
  <w:style w:type="table" w:customStyle="1" w:styleId="Listaoscura1">
    <w:name w:val="Lista oscura1"/>
    <w:basedOn w:val="Tablanormal"/>
    <w:uiPriority w:val="70"/>
    <w:rsid w:val="004C1C4F"/>
    <w:pPr>
      <w:spacing w:after="0" w:line="240" w:lineRule="auto"/>
    </w:pPr>
    <w:rPr>
      <w:rFonts w:ascii="Times New Roman" w:eastAsia="Times New Roman" w:hAnsi="Times New Roman" w:cs="Times New Roman"/>
      <w:color w:val="FFFFFF"/>
      <w:sz w:val="24"/>
      <w:szCs w:val="24"/>
      <w:lang w:val="es-AR"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character" w:customStyle="1" w:styleId="DefinedTerm">
    <w:name w:val="Defined Term"/>
    <w:aliases w:val="dt"/>
    <w:uiPriority w:val="9"/>
    <w:rsid w:val="004C1C4F"/>
    <w:rPr>
      <w:b/>
      <w:bCs/>
    </w:rPr>
  </w:style>
  <w:style w:type="paragraph" w:customStyle="1" w:styleId="DoublePara">
    <w:name w:val="Double Para"/>
    <w:aliases w:val="dp"/>
    <w:basedOn w:val="Normal"/>
    <w:uiPriority w:val="99"/>
    <w:qFormat/>
    <w:rsid w:val="004C1C4F"/>
    <w:pPr>
      <w:spacing w:after="0" w:line="480" w:lineRule="auto"/>
      <w:ind w:firstLine="1440"/>
    </w:pPr>
    <w:rPr>
      <w:rFonts w:ascii="Times New Roman" w:eastAsia="Times New Roman" w:hAnsi="Times New Roman" w:cs="Times New Roman"/>
      <w:sz w:val="20"/>
      <w:szCs w:val="24"/>
      <w:lang w:val="en-US" w:eastAsia="zh-CN" w:bidi="he-IL"/>
    </w:rPr>
  </w:style>
  <w:style w:type="paragraph" w:customStyle="1" w:styleId="DoubleParaFlush">
    <w:name w:val="Double Para Flush"/>
    <w:aliases w:val="dpf"/>
    <w:basedOn w:val="DoublePara"/>
    <w:next w:val="DoublePara"/>
    <w:uiPriority w:val="99"/>
    <w:rsid w:val="004C1C4F"/>
    <w:pPr>
      <w:ind w:firstLine="0"/>
    </w:pPr>
  </w:style>
  <w:style w:type="character" w:customStyle="1" w:styleId="Draftline">
    <w:name w:val="Draftline"/>
    <w:semiHidden/>
    <w:rsid w:val="004C1C4F"/>
    <w:rPr>
      <w:rFonts w:ascii="Times New Roman" w:hAnsi="Times New Roman" w:cs="Times New Roman"/>
      <w:dstrike w:val="0"/>
      <w:vanish/>
      <w:color w:val="FF0000"/>
      <w:sz w:val="15"/>
      <w:szCs w:val="15"/>
      <w:u w:val="none"/>
      <w:vertAlign w:val="baseline"/>
    </w:rPr>
  </w:style>
  <w:style w:type="table" w:customStyle="1" w:styleId="FinancialTable">
    <w:name w:val="Financial Table"/>
    <w:basedOn w:val="Tablanormal"/>
    <w:uiPriority w:val="99"/>
    <w:rsid w:val="004C1C4F"/>
    <w:pPr>
      <w:spacing w:after="0" w:line="240" w:lineRule="auto"/>
    </w:pPr>
    <w:rPr>
      <w:rFonts w:ascii="Times New Roman" w:eastAsia="Times New Roman" w:hAnsi="Times New Roman" w:cs="Times New Roman"/>
      <w:sz w:val="18"/>
      <w:szCs w:val="24"/>
      <w:lang w:val="es-AR" w:eastAsia="zh-CN"/>
    </w:rPr>
    <w:tblPr>
      <w:tblCellMar>
        <w:top w:w="29" w:type="dxa"/>
        <w:left w:w="86" w:type="dxa"/>
        <w:bottom w:w="29" w:type="dxa"/>
        <w:right w:w="86" w:type="dxa"/>
      </w:tblCellMar>
    </w:tblPr>
    <w:trPr>
      <w:cantSplit/>
    </w:trPr>
    <w:tcPr>
      <w:vAlign w:val="bottom"/>
    </w:tcPr>
    <w:tblStylePr w:type="firstRow">
      <w:pPr>
        <w:jc w:val="center"/>
      </w:pPr>
      <w:rPr>
        <w:b/>
      </w:rPr>
      <w:tblPr/>
      <w:trPr>
        <w:cantSplit w:val="0"/>
        <w:tblHeader/>
      </w:trPr>
    </w:tblStylePr>
    <w:tblStylePr w:type="firstCol">
      <w:pPr>
        <w:wordWrap/>
        <w:ind w:hangingChars="120" w:hanging="120"/>
      </w:pPr>
    </w:tblStylePr>
  </w:style>
  <w:style w:type="paragraph" w:customStyle="1" w:styleId="FooterB">
    <w:name w:val="Footer B"/>
    <w:link w:val="FooterBChar"/>
    <w:rsid w:val="004C1C4F"/>
    <w:pPr>
      <w:tabs>
        <w:tab w:val="center" w:pos="4680"/>
        <w:tab w:val="right" w:pos="9360"/>
      </w:tabs>
      <w:spacing w:after="0" w:line="240" w:lineRule="auto"/>
    </w:pPr>
    <w:rPr>
      <w:rFonts w:ascii="Times New Roman" w:eastAsia="Times New Roman" w:hAnsi="Times New Roman" w:cs="Times New Roman"/>
      <w:bCs/>
      <w:sz w:val="15"/>
      <w:szCs w:val="24"/>
      <w:lang w:val="en-US" w:eastAsia="zh-CN"/>
    </w:rPr>
  </w:style>
  <w:style w:type="paragraph" w:customStyle="1" w:styleId="FootnoteText2">
    <w:name w:val="Footnote Text2"/>
    <w:basedOn w:val="Normal"/>
    <w:uiPriority w:val="99"/>
    <w:semiHidden/>
    <w:rsid w:val="004C1C4F"/>
    <w:pPr>
      <w:spacing w:after="200" w:line="240" w:lineRule="auto"/>
      <w:ind w:left="720"/>
    </w:pPr>
    <w:rPr>
      <w:rFonts w:ascii="Times New Roman" w:eastAsia="Times New Roman" w:hAnsi="Times New Roman" w:cs="Times New Roman"/>
      <w:sz w:val="20"/>
      <w:szCs w:val="24"/>
      <w:lang w:val="en-US" w:eastAsia="zh-CN" w:bidi="he-IL"/>
    </w:rPr>
  </w:style>
  <w:style w:type="paragraph" w:customStyle="1" w:styleId="Graphic">
    <w:name w:val="Graphic"/>
    <w:aliases w:val="g"/>
    <w:basedOn w:val="Normal"/>
    <w:next w:val="tabletext"/>
    <w:uiPriority w:val="99"/>
    <w:rsid w:val="004C1C4F"/>
    <w:pPr>
      <w:spacing w:before="200" w:after="0" w:line="240" w:lineRule="auto"/>
      <w:jc w:val="center"/>
    </w:pPr>
    <w:rPr>
      <w:rFonts w:ascii="Times New Roman" w:eastAsia="Times New Roman" w:hAnsi="Times New Roman" w:cs="Times New Roman"/>
      <w:sz w:val="16"/>
      <w:szCs w:val="16"/>
      <w:lang w:val="en-US" w:eastAsia="zh-CN" w:bidi="he-IL"/>
    </w:rPr>
  </w:style>
  <w:style w:type="paragraph" w:customStyle="1" w:styleId="HeadingCenter">
    <w:name w:val="Heading: Center"/>
    <w:aliases w:val="hc"/>
    <w:basedOn w:val="Normal"/>
    <w:next w:val="tabletext"/>
    <w:link w:val="HeadingCenterChar"/>
    <w:rsid w:val="004C1C4F"/>
    <w:pPr>
      <w:keepNext/>
      <w:keepLines/>
      <w:spacing w:before="200" w:after="200" w:line="240" w:lineRule="auto"/>
      <w:jc w:val="center"/>
    </w:pPr>
    <w:rPr>
      <w:rFonts w:ascii="Times New Roman" w:eastAsia="Times New Roman" w:hAnsi="Times New Roman" w:cs="Times New Roman"/>
      <w:sz w:val="20"/>
      <w:szCs w:val="24"/>
      <w:lang w:val="en-US" w:eastAsia="zh-CN" w:bidi="he-IL"/>
    </w:rPr>
  </w:style>
  <w:style w:type="character" w:customStyle="1" w:styleId="HeadingCenterChar">
    <w:name w:val="Heading: Center Char"/>
    <w:aliases w:val="hc Char"/>
    <w:link w:val="HeadingCenter"/>
    <w:rsid w:val="004C1C4F"/>
    <w:rPr>
      <w:rFonts w:ascii="Times New Roman" w:eastAsia="Times New Roman" w:hAnsi="Times New Roman" w:cs="Times New Roman"/>
      <w:sz w:val="20"/>
      <w:szCs w:val="24"/>
      <w:lang w:val="en-US" w:eastAsia="zh-CN" w:bidi="he-IL"/>
    </w:rPr>
  </w:style>
  <w:style w:type="paragraph" w:customStyle="1" w:styleId="HeadingCenterBold">
    <w:name w:val="Heading: CenterBold"/>
    <w:aliases w:val="hcb"/>
    <w:basedOn w:val="HeadingCenter"/>
    <w:next w:val="tabletext"/>
    <w:uiPriority w:val="99"/>
    <w:qFormat/>
    <w:rsid w:val="004C1C4F"/>
    <w:rPr>
      <w:rFonts w:cs="Times New Roman Bold"/>
      <w:b/>
    </w:rPr>
  </w:style>
  <w:style w:type="paragraph" w:customStyle="1" w:styleId="HeadingCenterLarge">
    <w:name w:val="Heading: CenterLarge"/>
    <w:aliases w:val="hcl"/>
    <w:basedOn w:val="HeadingCenter"/>
    <w:next w:val="tabletext"/>
    <w:uiPriority w:val="99"/>
    <w:rsid w:val="004C1C4F"/>
    <w:rPr>
      <w:b/>
      <w:sz w:val="32"/>
    </w:rPr>
  </w:style>
  <w:style w:type="paragraph" w:customStyle="1" w:styleId="HeadingCenterUnd">
    <w:name w:val="Heading: CenterUnd"/>
    <w:aliases w:val="hcu"/>
    <w:basedOn w:val="HeadingCenter"/>
    <w:next w:val="tabletext"/>
    <w:uiPriority w:val="99"/>
    <w:rsid w:val="004C1C4F"/>
    <w:rPr>
      <w:u w:val="single"/>
    </w:rPr>
  </w:style>
  <w:style w:type="paragraph" w:customStyle="1" w:styleId="HeadingLeftBold">
    <w:name w:val="Heading: LeftBold"/>
    <w:aliases w:val="hlb"/>
    <w:basedOn w:val="Normal"/>
    <w:next w:val="tabletext"/>
    <w:link w:val="HeadingLeftBoldChar"/>
    <w:qFormat/>
    <w:rsid w:val="004C1C4F"/>
    <w:pPr>
      <w:keepNext/>
      <w:keepLines/>
      <w:spacing w:before="200" w:after="0" w:line="240" w:lineRule="auto"/>
    </w:pPr>
    <w:rPr>
      <w:rFonts w:ascii="Times New Roman" w:eastAsia="Times New Roman" w:hAnsi="Times New Roman" w:cs="Times New Roman"/>
      <w:b/>
      <w:bCs/>
      <w:sz w:val="20"/>
      <w:szCs w:val="24"/>
      <w:lang w:val="en-US" w:eastAsia="zh-CN" w:bidi="he-IL"/>
    </w:rPr>
  </w:style>
  <w:style w:type="character" w:customStyle="1" w:styleId="HeadingLeftBoldChar">
    <w:name w:val="Heading: LeftBold Char"/>
    <w:aliases w:val="hlb Char"/>
    <w:link w:val="HeadingLeftBold"/>
    <w:rsid w:val="004C1C4F"/>
    <w:rPr>
      <w:rFonts w:ascii="Times New Roman" w:eastAsia="Times New Roman" w:hAnsi="Times New Roman" w:cs="Times New Roman"/>
      <w:b/>
      <w:bCs/>
      <w:sz w:val="20"/>
      <w:szCs w:val="24"/>
      <w:lang w:val="en-US" w:eastAsia="zh-CN" w:bidi="he-IL"/>
    </w:rPr>
  </w:style>
  <w:style w:type="paragraph" w:customStyle="1" w:styleId="HeadingIndent">
    <w:name w:val="Heading: Indent"/>
    <w:aliases w:val="hin"/>
    <w:basedOn w:val="HeadingLeftBold"/>
    <w:next w:val="tabletext"/>
    <w:uiPriority w:val="99"/>
    <w:rsid w:val="004C1C4F"/>
    <w:pPr>
      <w:ind w:left="360"/>
    </w:pPr>
    <w:rPr>
      <w:i/>
    </w:rPr>
  </w:style>
  <w:style w:type="paragraph" w:customStyle="1" w:styleId="HeadingLeftBoldItal">
    <w:name w:val="Heading: LeftBoldItal"/>
    <w:aliases w:val="hlbi"/>
    <w:basedOn w:val="HeadingLeftBold"/>
    <w:next w:val="tabletext"/>
    <w:uiPriority w:val="99"/>
    <w:rsid w:val="004C1C4F"/>
    <w:rPr>
      <w:rFonts w:cs="Times New Roman Bold"/>
      <w:i/>
      <w:iCs/>
    </w:rPr>
  </w:style>
  <w:style w:type="paragraph" w:customStyle="1" w:styleId="HeadingLeftBoldUnd">
    <w:name w:val="Heading: LeftBoldUnd"/>
    <w:aliases w:val="hlbu"/>
    <w:basedOn w:val="HeadingLeftBold"/>
    <w:next w:val="tabletext"/>
    <w:uiPriority w:val="99"/>
    <w:rsid w:val="004C1C4F"/>
    <w:rPr>
      <w:rFonts w:cs="Times New Roman Bold"/>
      <w:u w:val="single"/>
    </w:rPr>
  </w:style>
  <w:style w:type="paragraph" w:customStyle="1" w:styleId="HeadingLeftItal">
    <w:name w:val="Heading: LeftItal"/>
    <w:aliases w:val="hli"/>
    <w:basedOn w:val="HeadingLeftBold"/>
    <w:next w:val="tabletext"/>
    <w:uiPriority w:val="99"/>
    <w:rsid w:val="004C1C4F"/>
    <w:rPr>
      <w:b w:val="0"/>
      <w:i/>
    </w:rPr>
  </w:style>
  <w:style w:type="paragraph" w:customStyle="1" w:styleId="HeadingLeftUnd">
    <w:name w:val="Heading: LeftUnd"/>
    <w:aliases w:val="hlu"/>
    <w:basedOn w:val="HeadingLeftBold"/>
    <w:next w:val="tabletext"/>
    <w:uiPriority w:val="99"/>
    <w:rsid w:val="004C1C4F"/>
    <w:rPr>
      <w:b w:val="0"/>
      <w:u w:val="single"/>
    </w:rPr>
  </w:style>
  <w:style w:type="paragraph" w:customStyle="1" w:styleId="HeadingRight">
    <w:name w:val="Heading: Right"/>
    <w:aliases w:val="hr"/>
    <w:basedOn w:val="Normal"/>
    <w:next w:val="Normal"/>
    <w:uiPriority w:val="99"/>
    <w:rsid w:val="004C1C4F"/>
    <w:pPr>
      <w:keepNext/>
      <w:keepLines/>
      <w:spacing w:before="200" w:after="0" w:line="240" w:lineRule="auto"/>
      <w:jc w:val="right"/>
    </w:pPr>
    <w:rPr>
      <w:rFonts w:ascii="Times New Roman" w:eastAsia="Times New Roman" w:hAnsi="Times New Roman" w:cs="Times New Roman"/>
      <w:sz w:val="20"/>
      <w:szCs w:val="24"/>
      <w:u w:val="single"/>
      <w:lang w:val="en-US" w:eastAsia="zh-CN" w:bidi="he-IL"/>
    </w:rPr>
  </w:style>
  <w:style w:type="paragraph" w:customStyle="1" w:styleId="HeadingRightTitle">
    <w:name w:val="Heading: RightTitle"/>
    <w:aliases w:val="hrt"/>
    <w:basedOn w:val="HeadingRight"/>
    <w:next w:val="HeadingCenterBold"/>
    <w:uiPriority w:val="99"/>
    <w:rsid w:val="004C1C4F"/>
    <w:pPr>
      <w:spacing w:after="200"/>
    </w:pPr>
    <w:rPr>
      <w:rFonts w:cs="Times New Roman Bold"/>
      <w:b/>
      <w:bCs/>
      <w:u w:val="none"/>
    </w:rPr>
  </w:style>
  <w:style w:type="paragraph" w:customStyle="1" w:styleId="HeadingTOC1">
    <w:name w:val="Heading: TOC1"/>
    <w:aliases w:val="ht1"/>
    <w:basedOn w:val="HeadingCenter"/>
    <w:next w:val="tabletext"/>
    <w:link w:val="HeadingTOC1Char"/>
    <w:qFormat/>
    <w:rsid w:val="004C1C4F"/>
    <w:pPr>
      <w:outlineLvl w:val="0"/>
    </w:pPr>
    <w:rPr>
      <w:b/>
    </w:rPr>
  </w:style>
  <w:style w:type="character" w:customStyle="1" w:styleId="HeadingTOC1Char">
    <w:name w:val="Heading: TOC1 Char"/>
    <w:aliases w:val="ht1 Char"/>
    <w:link w:val="HeadingTOC1"/>
    <w:rsid w:val="004C1C4F"/>
    <w:rPr>
      <w:rFonts w:ascii="Times New Roman" w:eastAsia="Times New Roman" w:hAnsi="Times New Roman" w:cs="Times New Roman"/>
      <w:b/>
      <w:sz w:val="20"/>
      <w:szCs w:val="24"/>
      <w:lang w:val="en-US" w:eastAsia="zh-CN" w:bidi="he-IL"/>
    </w:rPr>
  </w:style>
  <w:style w:type="paragraph" w:customStyle="1" w:styleId="HeadingTOC2">
    <w:name w:val="Heading: TOC2"/>
    <w:aliases w:val="ht2"/>
    <w:basedOn w:val="HeadingLeftBold"/>
    <w:next w:val="tabletext"/>
    <w:link w:val="HeadingTOC2Char"/>
    <w:qFormat/>
    <w:rsid w:val="004C1C4F"/>
    <w:pPr>
      <w:outlineLvl w:val="1"/>
    </w:pPr>
    <w:rPr>
      <w:b w:val="0"/>
      <w:u w:val="single"/>
    </w:rPr>
  </w:style>
  <w:style w:type="character" w:customStyle="1" w:styleId="HeadingTOC2Char">
    <w:name w:val="Heading: TOC2 Char"/>
    <w:aliases w:val="ht2 Char"/>
    <w:link w:val="HeadingTOC2"/>
    <w:rsid w:val="004C1C4F"/>
    <w:rPr>
      <w:rFonts w:ascii="Times New Roman" w:eastAsia="Times New Roman" w:hAnsi="Times New Roman" w:cs="Times New Roman"/>
      <w:bCs/>
      <w:sz w:val="20"/>
      <w:szCs w:val="24"/>
      <w:u w:val="single"/>
      <w:lang w:val="en-US" w:eastAsia="zh-CN" w:bidi="he-IL"/>
    </w:rPr>
  </w:style>
  <w:style w:type="table" w:customStyle="1" w:styleId="IndentedTable">
    <w:name w:val="Indented Table"/>
    <w:basedOn w:val="Tablanormal"/>
    <w:uiPriority w:val="99"/>
    <w:rsid w:val="004C1C4F"/>
    <w:pPr>
      <w:spacing w:after="0" w:line="240" w:lineRule="auto"/>
    </w:pPr>
    <w:rPr>
      <w:rFonts w:ascii="Times New Roman" w:eastAsia="Times New Roman" w:hAnsi="Times New Roman" w:cs="Times New Roman"/>
      <w:sz w:val="24"/>
      <w:szCs w:val="24"/>
      <w:lang w:val="es-AR" w:eastAsia="zh-CN"/>
    </w:rPr>
    <w:tblPr>
      <w:tblInd w:w="720" w:type="dxa"/>
      <w:tblCellMar>
        <w:top w:w="29" w:type="dxa"/>
        <w:left w:w="86" w:type="dxa"/>
        <w:bottom w:w="29" w:type="dxa"/>
        <w:right w:w="86" w:type="dxa"/>
      </w:tblCellMar>
    </w:tblPr>
    <w:trPr>
      <w:cantSplit/>
    </w:trPr>
  </w:style>
  <w:style w:type="paragraph" w:customStyle="1" w:styleId="ListDoublePara">
    <w:name w:val="List Double Para"/>
    <w:aliases w:val="ldp"/>
    <w:basedOn w:val="Normal"/>
    <w:uiPriority w:val="4"/>
    <w:rsid w:val="004C1C4F"/>
    <w:pPr>
      <w:spacing w:after="0" w:line="480" w:lineRule="auto"/>
      <w:ind w:firstLine="720"/>
    </w:pPr>
    <w:rPr>
      <w:rFonts w:ascii="Times New Roman" w:eastAsia="Times New Roman" w:hAnsi="Times New Roman" w:cs="Times New Roman"/>
      <w:sz w:val="20"/>
      <w:szCs w:val="24"/>
      <w:lang w:val="en-US" w:eastAsia="zh-CN"/>
    </w:rPr>
  </w:style>
  <w:style w:type="paragraph" w:customStyle="1" w:styleId="ListSinglePara">
    <w:name w:val="List Single Para"/>
    <w:aliases w:val="lsp"/>
    <w:basedOn w:val="Normal"/>
    <w:uiPriority w:val="4"/>
    <w:rsid w:val="004C1C4F"/>
    <w:pPr>
      <w:spacing w:before="200" w:after="200" w:line="240" w:lineRule="auto"/>
      <w:ind w:left="1080" w:hanging="360"/>
    </w:pPr>
    <w:rPr>
      <w:rFonts w:ascii="Times New Roman" w:eastAsia="Times New Roman" w:hAnsi="Times New Roman" w:cs="Times New Roman"/>
      <w:sz w:val="20"/>
      <w:szCs w:val="24"/>
      <w:lang w:val="en-US" w:eastAsia="zh-CN"/>
    </w:rPr>
  </w:style>
  <w:style w:type="paragraph" w:customStyle="1" w:styleId="NoticeAddress">
    <w:name w:val="Notice Address"/>
    <w:aliases w:val="na"/>
    <w:basedOn w:val="Normal"/>
    <w:next w:val="NoticeHeading"/>
    <w:uiPriority w:val="99"/>
    <w:rsid w:val="004C1C4F"/>
    <w:pPr>
      <w:keepLines/>
      <w:tabs>
        <w:tab w:val="left" w:pos="2880"/>
      </w:tabs>
      <w:spacing w:before="200" w:after="0" w:line="240" w:lineRule="auto"/>
      <w:ind w:left="2160"/>
    </w:pPr>
    <w:rPr>
      <w:rFonts w:ascii="Times New Roman" w:eastAsia="Times New Roman" w:hAnsi="Times New Roman" w:cs="Times New Roman"/>
      <w:sz w:val="20"/>
      <w:szCs w:val="24"/>
      <w:lang w:val="en-US" w:eastAsia="zh-CN" w:bidi="he-IL"/>
    </w:rPr>
  </w:style>
  <w:style w:type="paragraph" w:customStyle="1" w:styleId="NoticeHeading">
    <w:name w:val="Notice Heading"/>
    <w:aliases w:val="nh"/>
    <w:basedOn w:val="Normal"/>
    <w:next w:val="NoticeAddress"/>
    <w:uiPriority w:val="99"/>
    <w:rsid w:val="004C1C4F"/>
    <w:pPr>
      <w:keepNext/>
      <w:keepLines/>
      <w:spacing w:before="200" w:after="0" w:line="240" w:lineRule="auto"/>
      <w:ind w:left="1440"/>
    </w:pPr>
    <w:rPr>
      <w:rFonts w:ascii="Times New Roman" w:eastAsia="Times New Roman" w:hAnsi="Times New Roman" w:cs="Times New Roman"/>
      <w:sz w:val="20"/>
      <w:szCs w:val="24"/>
      <w:lang w:val="en-US" w:eastAsia="zh-CN" w:bidi="he-IL"/>
    </w:rPr>
  </w:style>
  <w:style w:type="paragraph" w:customStyle="1" w:styleId="OrdinalPara">
    <w:name w:val="Ordinal Para"/>
    <w:aliases w:val="op"/>
    <w:basedOn w:val="Normal"/>
    <w:uiPriority w:val="4"/>
    <w:rsid w:val="004C1C4F"/>
    <w:pPr>
      <w:spacing w:before="200" w:after="200" w:line="240" w:lineRule="auto"/>
      <w:ind w:firstLine="720"/>
    </w:pPr>
    <w:rPr>
      <w:rFonts w:ascii="Times New Roman" w:eastAsia="Times New Roman" w:hAnsi="Times New Roman" w:cs="Times New Roman"/>
      <w:sz w:val="20"/>
      <w:szCs w:val="24"/>
      <w:lang w:val="en-US" w:eastAsia="zh-CN"/>
    </w:rPr>
  </w:style>
  <w:style w:type="paragraph" w:customStyle="1" w:styleId="QuoteBlock">
    <w:name w:val="Quote Block"/>
    <w:aliases w:val="qb"/>
    <w:basedOn w:val="Normal"/>
    <w:next w:val="DoubleParaFlush"/>
    <w:uiPriority w:val="99"/>
    <w:qFormat/>
    <w:rsid w:val="004C1C4F"/>
    <w:pPr>
      <w:spacing w:after="200" w:line="240" w:lineRule="auto"/>
      <w:ind w:left="720" w:right="720"/>
      <w:jc w:val="both"/>
    </w:pPr>
    <w:rPr>
      <w:rFonts w:ascii="Times New Roman" w:eastAsia="Times New Roman" w:hAnsi="Times New Roman" w:cs="Times New Roman"/>
      <w:sz w:val="20"/>
      <w:szCs w:val="24"/>
      <w:lang w:val="en-US" w:eastAsia="zh-CN" w:bidi="he-IL"/>
    </w:rPr>
  </w:style>
  <w:style w:type="paragraph" w:customStyle="1" w:styleId="QuoteBlockIndent">
    <w:name w:val="Quote Block Indent"/>
    <w:aliases w:val="qbi"/>
    <w:basedOn w:val="QuoteBlock"/>
    <w:next w:val="DoubleParaFlush"/>
    <w:uiPriority w:val="99"/>
    <w:rsid w:val="004C1C4F"/>
    <w:pPr>
      <w:ind w:firstLine="720"/>
    </w:pPr>
  </w:style>
  <w:style w:type="character" w:customStyle="1" w:styleId="Reference">
    <w:name w:val="Reference"/>
    <w:aliases w:val="rf"/>
    <w:uiPriority w:val="9"/>
    <w:rsid w:val="004C1C4F"/>
    <w:rPr>
      <w:u w:val="single"/>
    </w:rPr>
  </w:style>
  <w:style w:type="character" w:customStyle="1" w:styleId="Run-inheading">
    <w:name w:val="Run-in heading"/>
    <w:aliases w:val="ri"/>
    <w:uiPriority w:val="9"/>
    <w:rsid w:val="004C1C4F"/>
    <w:rPr>
      <w:i/>
      <w:iCs/>
    </w:rPr>
  </w:style>
  <w:style w:type="numbering" w:customStyle="1" w:styleId="FlatBulletsList">
    <w:name w:val="FlatBulletsList"/>
    <w:basedOn w:val="Sinlista"/>
    <w:uiPriority w:val="99"/>
    <w:rsid w:val="004C1C4F"/>
    <w:pPr>
      <w:numPr>
        <w:numId w:val="63"/>
      </w:numPr>
    </w:pPr>
  </w:style>
  <w:style w:type="numbering" w:customStyle="1" w:styleId="FlatNumbersList">
    <w:name w:val="FlatNumbersList"/>
    <w:basedOn w:val="Sinlista"/>
    <w:uiPriority w:val="99"/>
    <w:rsid w:val="004C1C4F"/>
    <w:pPr>
      <w:numPr>
        <w:numId w:val="62"/>
      </w:numPr>
    </w:pPr>
  </w:style>
  <w:style w:type="table" w:customStyle="1" w:styleId="ShadedTable">
    <w:name w:val="Shaded Table"/>
    <w:basedOn w:val="Tablanormal"/>
    <w:uiPriority w:val="99"/>
    <w:rsid w:val="004C1C4F"/>
    <w:pPr>
      <w:spacing w:after="0" w:line="240" w:lineRule="auto"/>
    </w:pPr>
    <w:rPr>
      <w:rFonts w:ascii="Times New Roman" w:eastAsia="Times New Roman" w:hAnsi="Times New Roman" w:cs="Times New Roman"/>
      <w:sz w:val="24"/>
      <w:szCs w:val="24"/>
      <w:lang w:val="es-AR" w:eastAsia="zh-CN"/>
    </w:rPr>
    <w:tblPr>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rPr>
      <w:cantSplit/>
      <w:jc w:val="center"/>
    </w:trPr>
    <w:tcPr>
      <w:shd w:val="clear" w:color="auto" w:fill="auto"/>
      <w:vAlign w:val="bottom"/>
    </w:tcPr>
    <w:tblStylePr w:type="firstRow">
      <w:pPr>
        <w:jc w:val="center"/>
      </w:pPr>
      <w:rPr>
        <w:b/>
      </w:rPr>
      <w:tblPr/>
      <w:tcPr>
        <w:tcBorders>
          <w:top w:val="double" w:sz="4" w:space="0" w:color="auto"/>
          <w:left w:val="double" w:sz="4" w:space="0" w:color="auto"/>
          <w:bottom w:val="double" w:sz="4" w:space="0" w:color="auto"/>
          <w:right w:val="double" w:sz="4" w:space="0" w:color="auto"/>
          <w:insideH w:val="nil"/>
          <w:insideV w:val="single" w:sz="4" w:space="0" w:color="auto"/>
          <w:tl2br w:val="nil"/>
          <w:tr2bl w:val="nil"/>
        </w:tcBorders>
        <w:shd w:val="clear" w:color="auto" w:fill="D9D9D9"/>
      </w:tcPr>
    </w:tblStylePr>
  </w:style>
  <w:style w:type="paragraph" w:customStyle="1" w:styleId="SignatureBlock">
    <w:name w:val="Signature Block"/>
    <w:aliases w:val="sb"/>
    <w:basedOn w:val="Normal"/>
    <w:uiPriority w:val="99"/>
    <w:rsid w:val="004C1C4F"/>
    <w:pPr>
      <w:keepLines/>
      <w:tabs>
        <w:tab w:val="left" w:pos="5472"/>
        <w:tab w:val="left" w:pos="6192"/>
        <w:tab w:val="right" w:pos="9360"/>
      </w:tabs>
      <w:spacing w:before="400" w:after="0" w:line="240" w:lineRule="auto"/>
      <w:ind w:left="5040"/>
    </w:pPr>
    <w:rPr>
      <w:rFonts w:ascii="Times New Roman" w:eastAsia="Times New Roman" w:hAnsi="Times New Roman" w:cs="Times New Roman"/>
      <w:sz w:val="20"/>
      <w:szCs w:val="24"/>
      <w:lang w:val="en-US" w:eastAsia="zh-CN" w:bidi="he-IL"/>
    </w:rPr>
  </w:style>
  <w:style w:type="paragraph" w:customStyle="1" w:styleId="SingleParaAlt">
    <w:name w:val="Single Para Alt"/>
    <w:aliases w:val="spa"/>
    <w:basedOn w:val="Normal"/>
    <w:uiPriority w:val="99"/>
    <w:rsid w:val="004C1C4F"/>
    <w:pPr>
      <w:spacing w:before="200" w:after="200" w:line="240" w:lineRule="auto"/>
      <w:ind w:firstLine="1440"/>
    </w:pPr>
    <w:rPr>
      <w:rFonts w:ascii="Times New Roman" w:eastAsia="Times New Roman" w:hAnsi="Times New Roman" w:cs="Times New Roman"/>
      <w:sz w:val="20"/>
      <w:szCs w:val="24"/>
      <w:lang w:val="en-US" w:eastAsia="zh-CN" w:bidi="he-IL"/>
    </w:rPr>
  </w:style>
  <w:style w:type="paragraph" w:customStyle="1" w:styleId="SingleParaFlush">
    <w:name w:val="Single Para Flush"/>
    <w:aliases w:val="spf"/>
    <w:basedOn w:val="tabletext"/>
    <w:uiPriority w:val="99"/>
    <w:rsid w:val="004C1C4F"/>
    <w:pPr>
      <w:spacing w:before="200" w:after="200"/>
    </w:pPr>
    <w:rPr>
      <w:rFonts w:eastAsia="Times New Roman" w:cs="Times New Roman"/>
      <w:lang w:eastAsia="zh-CN" w:bidi="he-IL"/>
    </w:rPr>
  </w:style>
  <w:style w:type="paragraph" w:customStyle="1" w:styleId="SubheadBold">
    <w:name w:val="Subhead: Bold"/>
    <w:aliases w:val="shb"/>
    <w:basedOn w:val="Normal"/>
    <w:next w:val="SingleParaFlush"/>
    <w:uiPriority w:val="99"/>
    <w:rsid w:val="004C1C4F"/>
    <w:pPr>
      <w:keepNext/>
      <w:keepLines/>
      <w:spacing w:before="200" w:after="0" w:line="240" w:lineRule="auto"/>
      <w:ind w:left="720"/>
    </w:pPr>
    <w:rPr>
      <w:rFonts w:ascii="Times New Roman" w:eastAsia="Times New Roman" w:hAnsi="Times New Roman" w:cs="Times New Roman"/>
      <w:b/>
      <w:sz w:val="20"/>
      <w:szCs w:val="24"/>
      <w:lang w:val="en-US" w:eastAsia="zh-CN"/>
    </w:rPr>
  </w:style>
  <w:style w:type="paragraph" w:customStyle="1" w:styleId="SubheadBoldItal">
    <w:name w:val="Subhead: BoldItal"/>
    <w:aliases w:val="shbi"/>
    <w:basedOn w:val="SubheadBold"/>
    <w:next w:val="SingleParaFlush"/>
    <w:uiPriority w:val="99"/>
    <w:rsid w:val="004C1C4F"/>
    <w:rPr>
      <w:i/>
    </w:rPr>
  </w:style>
  <w:style w:type="paragraph" w:customStyle="1" w:styleId="SubheadItal">
    <w:name w:val="Subhead: Ital"/>
    <w:aliases w:val="shi"/>
    <w:basedOn w:val="SubheadBold"/>
    <w:next w:val="SingleParaFlush"/>
    <w:uiPriority w:val="99"/>
    <w:rsid w:val="004C1C4F"/>
    <w:rPr>
      <w:b w:val="0"/>
      <w:i/>
    </w:rPr>
  </w:style>
  <w:style w:type="numbering" w:customStyle="1" w:styleId="TableFootnotesList">
    <w:name w:val="TableFootnotesList"/>
    <w:basedOn w:val="Sinlista"/>
    <w:uiPriority w:val="99"/>
    <w:rsid w:val="004C1C4F"/>
    <w:pPr>
      <w:numPr>
        <w:numId w:val="64"/>
      </w:numPr>
    </w:pPr>
  </w:style>
  <w:style w:type="table" w:customStyle="1" w:styleId="TextTable">
    <w:name w:val="Text Table"/>
    <w:basedOn w:val="Tablanormal"/>
    <w:uiPriority w:val="99"/>
    <w:rsid w:val="004C1C4F"/>
    <w:pPr>
      <w:spacing w:after="0" w:line="240" w:lineRule="auto"/>
    </w:pPr>
    <w:rPr>
      <w:rFonts w:ascii="Times New Roman" w:eastAsia="Times New Roman" w:hAnsi="Times New Roman" w:cs="Times New Roman"/>
      <w:sz w:val="24"/>
      <w:szCs w:val="24"/>
      <w:lang w:val="es-A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blStylePr w:type="firstRow">
      <w:pPr>
        <w:jc w:val="left"/>
      </w:pPr>
      <w:tblPr/>
      <w:trPr>
        <w:tblHeader/>
      </w:trPr>
      <w:tcPr>
        <w:vAlign w:val="bottom"/>
      </w:tcPr>
    </w:tblStylePr>
  </w:style>
  <w:style w:type="paragraph" w:customStyle="1" w:styleId="WarningPara">
    <w:name w:val="Warning Para"/>
    <w:aliases w:val="wp"/>
    <w:basedOn w:val="tabletext"/>
    <w:next w:val="tabletext"/>
    <w:uiPriority w:val="99"/>
    <w:rsid w:val="004C1C4F"/>
    <w:pPr>
      <w:spacing w:before="200" w:after="200"/>
      <w:ind w:firstLine="360"/>
    </w:pPr>
    <w:rPr>
      <w:rFonts w:eastAsia="Times New Roman" w:cs="Times New Roman"/>
      <w:b/>
      <w:caps/>
      <w:lang w:eastAsia="zh-CN" w:bidi="he-IL"/>
    </w:rPr>
  </w:style>
  <w:style w:type="character" w:styleId="Ttulodellibro">
    <w:name w:val="Book Title"/>
    <w:uiPriority w:val="33"/>
    <w:qFormat/>
    <w:rsid w:val="004C1C4F"/>
    <w:rPr>
      <w:b/>
      <w:bCs/>
      <w:smallCaps/>
      <w:spacing w:val="5"/>
    </w:rPr>
  </w:style>
  <w:style w:type="character" w:styleId="nfasissutil">
    <w:name w:val="Subtle Emphasis"/>
    <w:uiPriority w:val="19"/>
    <w:qFormat/>
    <w:rsid w:val="004C1C4F"/>
    <w:rPr>
      <w:i/>
      <w:iCs/>
      <w:color w:val="808080"/>
    </w:rPr>
  </w:style>
  <w:style w:type="character" w:styleId="nfasisintenso">
    <w:name w:val="Intense Emphasis"/>
    <w:uiPriority w:val="21"/>
    <w:qFormat/>
    <w:rsid w:val="004C1C4F"/>
    <w:rPr>
      <w:b/>
      <w:bCs/>
      <w:i/>
      <w:iCs/>
      <w:color w:val="4F81BD"/>
    </w:rPr>
  </w:style>
  <w:style w:type="character" w:styleId="Referenciasutil">
    <w:name w:val="Subtle Reference"/>
    <w:uiPriority w:val="31"/>
    <w:qFormat/>
    <w:rsid w:val="004C1C4F"/>
    <w:rPr>
      <w:smallCaps/>
      <w:color w:val="C0504D"/>
      <w:u w:val="single"/>
    </w:rPr>
  </w:style>
  <w:style w:type="character" w:styleId="Referenciaintensa">
    <w:name w:val="Intense Reference"/>
    <w:uiPriority w:val="32"/>
    <w:qFormat/>
    <w:rsid w:val="004C1C4F"/>
    <w:rPr>
      <w:b/>
      <w:bCs/>
      <w:smallCaps/>
      <w:color w:val="C0504D"/>
      <w:spacing w:val="5"/>
      <w:u w:val="single"/>
    </w:rPr>
  </w:style>
  <w:style w:type="character" w:customStyle="1" w:styleId="FooterBChar">
    <w:name w:val="Footer B Char"/>
    <w:link w:val="FooterB"/>
    <w:rsid w:val="004C1C4F"/>
    <w:rPr>
      <w:rFonts w:ascii="Times New Roman" w:eastAsia="Times New Roman" w:hAnsi="Times New Roman" w:cs="Times New Roman"/>
      <w:bCs/>
      <w:sz w:val="15"/>
      <w:szCs w:val="24"/>
      <w:lang w:val="en-US" w:eastAsia="zh-CN"/>
    </w:rPr>
  </w:style>
  <w:style w:type="paragraph" w:customStyle="1" w:styleId="SimpleLists1">
    <w:name w:val="SimpleLists1"/>
    <w:basedOn w:val="Normal"/>
    <w:link w:val="SimpleLists1Char"/>
    <w:uiPriority w:val="99"/>
    <w:rsid w:val="004C1C4F"/>
    <w:pPr>
      <w:keepNext/>
      <w:keepLines/>
      <w:numPr>
        <w:numId w:val="66"/>
      </w:numPr>
      <w:spacing w:before="200" w:after="200" w:line="240" w:lineRule="auto"/>
      <w:jc w:val="center"/>
      <w:outlineLvl w:val="0"/>
    </w:pPr>
    <w:rPr>
      <w:rFonts w:ascii="Times New Roman" w:eastAsia="Times New Roman" w:hAnsi="Times New Roman" w:cs="Times New Roman"/>
      <w:b/>
      <w:bCs/>
      <w:caps/>
      <w:sz w:val="20"/>
      <w:szCs w:val="24"/>
      <w:lang w:val="en-US" w:eastAsia="zh-CN"/>
    </w:rPr>
  </w:style>
  <w:style w:type="character" w:customStyle="1" w:styleId="SimpleLists1Char">
    <w:name w:val="SimpleLists1 Char"/>
    <w:link w:val="SimpleLists1"/>
    <w:uiPriority w:val="99"/>
    <w:rsid w:val="004C1C4F"/>
    <w:rPr>
      <w:rFonts w:ascii="Times New Roman" w:eastAsia="Times New Roman" w:hAnsi="Times New Roman" w:cs="Times New Roman"/>
      <w:b/>
      <w:bCs/>
      <w:caps/>
      <w:sz w:val="20"/>
      <w:szCs w:val="24"/>
      <w:lang w:val="en-US" w:eastAsia="zh-CN"/>
    </w:rPr>
  </w:style>
  <w:style w:type="paragraph" w:customStyle="1" w:styleId="SimpleLists2">
    <w:name w:val="SimpleLists2"/>
    <w:basedOn w:val="Normal"/>
    <w:link w:val="SimpleLists2Char"/>
    <w:uiPriority w:val="99"/>
    <w:rsid w:val="004C1C4F"/>
    <w:pPr>
      <w:keepNext/>
      <w:keepLines/>
      <w:numPr>
        <w:ilvl w:val="1"/>
        <w:numId w:val="66"/>
      </w:numPr>
      <w:spacing w:before="200" w:after="0" w:line="240" w:lineRule="auto"/>
      <w:outlineLvl w:val="1"/>
    </w:pPr>
    <w:rPr>
      <w:rFonts w:ascii="Times New Roman" w:eastAsia="Times New Roman" w:hAnsi="Times New Roman" w:cs="Times New Roman"/>
      <w:b/>
      <w:bCs/>
      <w:color w:val="000000"/>
      <w:sz w:val="20"/>
      <w:szCs w:val="24"/>
      <w:lang w:val="en-US" w:eastAsia="zh-CN"/>
    </w:rPr>
  </w:style>
  <w:style w:type="character" w:customStyle="1" w:styleId="SimpleLists2Char">
    <w:name w:val="SimpleLists2 Char"/>
    <w:link w:val="SimpleLists2"/>
    <w:uiPriority w:val="99"/>
    <w:rsid w:val="004C1C4F"/>
    <w:rPr>
      <w:rFonts w:ascii="Times New Roman" w:eastAsia="Times New Roman" w:hAnsi="Times New Roman" w:cs="Times New Roman"/>
      <w:b/>
      <w:bCs/>
      <w:color w:val="000000"/>
      <w:sz w:val="20"/>
      <w:szCs w:val="24"/>
      <w:lang w:val="en-US" w:eastAsia="zh-CN"/>
    </w:rPr>
  </w:style>
  <w:style w:type="paragraph" w:customStyle="1" w:styleId="SimpleLists3">
    <w:name w:val="SimpleLists3"/>
    <w:basedOn w:val="Normal"/>
    <w:link w:val="SimpleLists3Char"/>
    <w:uiPriority w:val="99"/>
    <w:rsid w:val="004C1C4F"/>
    <w:pPr>
      <w:keepNext/>
      <w:keepLines/>
      <w:numPr>
        <w:ilvl w:val="2"/>
        <w:numId w:val="66"/>
      </w:numPr>
      <w:spacing w:before="200" w:after="0" w:line="240" w:lineRule="auto"/>
      <w:outlineLvl w:val="2"/>
    </w:pPr>
    <w:rPr>
      <w:rFonts w:ascii="Times New Roman" w:eastAsia="Times New Roman" w:hAnsi="Times New Roman" w:cs="Times New Roman"/>
      <w:b/>
      <w:i/>
      <w:iCs/>
      <w:color w:val="000000"/>
      <w:sz w:val="20"/>
      <w:szCs w:val="24"/>
      <w:lang w:val="en-US" w:eastAsia="zh-CN"/>
    </w:rPr>
  </w:style>
  <w:style w:type="character" w:customStyle="1" w:styleId="SimpleLists3Char">
    <w:name w:val="SimpleLists3 Char"/>
    <w:link w:val="SimpleLists3"/>
    <w:uiPriority w:val="99"/>
    <w:rsid w:val="004C1C4F"/>
    <w:rPr>
      <w:rFonts w:ascii="Times New Roman" w:eastAsia="Times New Roman" w:hAnsi="Times New Roman" w:cs="Times New Roman"/>
      <w:b/>
      <w:i/>
      <w:iCs/>
      <w:color w:val="000000"/>
      <w:sz w:val="20"/>
      <w:szCs w:val="24"/>
      <w:lang w:val="en-US" w:eastAsia="zh-CN"/>
    </w:rPr>
  </w:style>
  <w:style w:type="paragraph" w:customStyle="1" w:styleId="SimpleLists4">
    <w:name w:val="SimpleLists4"/>
    <w:basedOn w:val="Normal"/>
    <w:link w:val="SimpleLists4Char"/>
    <w:uiPriority w:val="99"/>
    <w:rsid w:val="004C1C4F"/>
    <w:pPr>
      <w:keepNext/>
      <w:keepLines/>
      <w:numPr>
        <w:ilvl w:val="3"/>
        <w:numId w:val="66"/>
      </w:numPr>
      <w:spacing w:before="200" w:after="0" w:line="240" w:lineRule="auto"/>
      <w:outlineLvl w:val="3"/>
    </w:pPr>
    <w:rPr>
      <w:rFonts w:ascii="Times New Roman" w:eastAsia="Times New Roman" w:hAnsi="Times New Roman" w:cs="Times New Roman"/>
      <w:bCs/>
      <w:i/>
      <w:iCs/>
      <w:color w:val="000000"/>
      <w:sz w:val="20"/>
      <w:szCs w:val="24"/>
      <w:lang w:val="en-US" w:eastAsia="zh-CN"/>
    </w:rPr>
  </w:style>
  <w:style w:type="character" w:customStyle="1" w:styleId="SimpleLists4Char">
    <w:name w:val="SimpleLists4 Char"/>
    <w:link w:val="SimpleLists4"/>
    <w:uiPriority w:val="99"/>
    <w:rsid w:val="004C1C4F"/>
    <w:rPr>
      <w:rFonts w:ascii="Times New Roman" w:eastAsia="Times New Roman" w:hAnsi="Times New Roman" w:cs="Times New Roman"/>
      <w:bCs/>
      <w:i/>
      <w:iCs/>
      <w:color w:val="000000"/>
      <w:sz w:val="20"/>
      <w:szCs w:val="24"/>
      <w:lang w:val="en-US" w:eastAsia="zh-CN"/>
    </w:rPr>
  </w:style>
  <w:style w:type="paragraph" w:customStyle="1" w:styleId="SimpleLists5">
    <w:name w:val="SimpleLists5"/>
    <w:basedOn w:val="Normal"/>
    <w:link w:val="SimpleLists5Char"/>
    <w:uiPriority w:val="99"/>
    <w:rsid w:val="004C1C4F"/>
    <w:pPr>
      <w:numPr>
        <w:ilvl w:val="4"/>
        <w:numId w:val="66"/>
      </w:numPr>
      <w:tabs>
        <w:tab w:val="right" w:pos="1170"/>
      </w:tabs>
      <w:spacing w:before="200" w:after="0" w:line="240" w:lineRule="auto"/>
      <w:outlineLvl w:val="4"/>
    </w:pPr>
    <w:rPr>
      <w:rFonts w:ascii="Times New Roman" w:eastAsia="Times New Roman" w:hAnsi="Times New Roman" w:cs="Times New Roman"/>
      <w:color w:val="000000"/>
      <w:sz w:val="20"/>
      <w:szCs w:val="24"/>
      <w:lang w:val="en-US" w:eastAsia="zh-CN"/>
    </w:rPr>
  </w:style>
  <w:style w:type="character" w:customStyle="1" w:styleId="SimpleLists5Char">
    <w:name w:val="SimpleLists5 Char"/>
    <w:link w:val="SimpleLists5"/>
    <w:uiPriority w:val="99"/>
    <w:rsid w:val="004C1C4F"/>
    <w:rPr>
      <w:rFonts w:ascii="Times New Roman" w:eastAsia="Times New Roman" w:hAnsi="Times New Roman" w:cs="Times New Roman"/>
      <w:color w:val="000000"/>
      <w:sz w:val="20"/>
      <w:szCs w:val="24"/>
      <w:lang w:val="en-US" w:eastAsia="zh-CN"/>
    </w:rPr>
  </w:style>
  <w:style w:type="paragraph" w:customStyle="1" w:styleId="SimpleLists6">
    <w:name w:val="SimpleLists6"/>
    <w:basedOn w:val="Normal"/>
    <w:link w:val="SimpleLists6Char"/>
    <w:uiPriority w:val="99"/>
    <w:rsid w:val="004C1C4F"/>
    <w:pPr>
      <w:numPr>
        <w:ilvl w:val="5"/>
        <w:numId w:val="66"/>
      </w:numPr>
      <w:spacing w:before="200" w:after="0" w:line="240" w:lineRule="auto"/>
      <w:outlineLvl w:val="5"/>
    </w:pPr>
    <w:rPr>
      <w:rFonts w:ascii="Times New Roman" w:eastAsia="Times New Roman" w:hAnsi="Times New Roman" w:cs="Times New Roman"/>
      <w:color w:val="000000"/>
      <w:sz w:val="20"/>
      <w:szCs w:val="24"/>
      <w:lang w:val="en-US" w:eastAsia="zh-CN"/>
    </w:rPr>
  </w:style>
  <w:style w:type="character" w:customStyle="1" w:styleId="SimpleLists6Char">
    <w:name w:val="SimpleLists6 Char"/>
    <w:link w:val="SimpleLists6"/>
    <w:uiPriority w:val="99"/>
    <w:rsid w:val="004C1C4F"/>
    <w:rPr>
      <w:rFonts w:ascii="Times New Roman" w:eastAsia="Times New Roman" w:hAnsi="Times New Roman" w:cs="Times New Roman"/>
      <w:color w:val="000000"/>
      <w:sz w:val="20"/>
      <w:szCs w:val="24"/>
      <w:lang w:val="en-US" w:eastAsia="zh-CN"/>
    </w:rPr>
  </w:style>
  <w:style w:type="paragraph" w:customStyle="1" w:styleId="SimpleLists7">
    <w:name w:val="SimpleLists7"/>
    <w:basedOn w:val="Normal"/>
    <w:link w:val="SimpleLists7Char"/>
    <w:uiPriority w:val="99"/>
    <w:rsid w:val="004C1C4F"/>
    <w:pPr>
      <w:numPr>
        <w:ilvl w:val="6"/>
        <w:numId w:val="66"/>
      </w:numPr>
      <w:spacing w:before="200" w:after="0" w:line="240" w:lineRule="auto"/>
      <w:outlineLvl w:val="6"/>
    </w:pPr>
    <w:rPr>
      <w:rFonts w:ascii="Times New Roman" w:eastAsia="Times New Roman" w:hAnsi="Times New Roman" w:cs="Times New Roman"/>
      <w:color w:val="000000"/>
      <w:sz w:val="20"/>
      <w:szCs w:val="24"/>
      <w:lang w:val="en-US" w:eastAsia="zh-CN"/>
    </w:rPr>
  </w:style>
  <w:style w:type="character" w:customStyle="1" w:styleId="SimpleLists7Char">
    <w:name w:val="SimpleLists7 Char"/>
    <w:link w:val="SimpleLists7"/>
    <w:uiPriority w:val="99"/>
    <w:rsid w:val="004C1C4F"/>
    <w:rPr>
      <w:rFonts w:ascii="Times New Roman" w:eastAsia="Times New Roman" w:hAnsi="Times New Roman" w:cs="Times New Roman"/>
      <w:color w:val="000000"/>
      <w:sz w:val="20"/>
      <w:szCs w:val="24"/>
      <w:lang w:val="en-US" w:eastAsia="zh-CN"/>
    </w:rPr>
  </w:style>
  <w:style w:type="paragraph" w:customStyle="1" w:styleId="SimpleLists8">
    <w:name w:val="SimpleLists8"/>
    <w:basedOn w:val="Normal"/>
    <w:link w:val="SimpleLists8Char"/>
    <w:uiPriority w:val="99"/>
    <w:rsid w:val="004C1C4F"/>
    <w:pPr>
      <w:numPr>
        <w:ilvl w:val="7"/>
        <w:numId w:val="66"/>
      </w:numPr>
      <w:spacing w:before="200" w:after="0" w:line="240" w:lineRule="auto"/>
      <w:outlineLvl w:val="7"/>
    </w:pPr>
    <w:rPr>
      <w:rFonts w:ascii="Times New Roman" w:eastAsia="Times New Roman" w:hAnsi="Times New Roman" w:cs="Times New Roman"/>
      <w:color w:val="000000"/>
      <w:sz w:val="20"/>
      <w:szCs w:val="24"/>
      <w:lang w:val="en-US" w:eastAsia="zh-CN"/>
    </w:rPr>
  </w:style>
  <w:style w:type="character" w:customStyle="1" w:styleId="SimpleLists8Char">
    <w:name w:val="SimpleLists8 Char"/>
    <w:link w:val="SimpleLists8"/>
    <w:uiPriority w:val="99"/>
    <w:rsid w:val="004C1C4F"/>
    <w:rPr>
      <w:rFonts w:ascii="Times New Roman" w:eastAsia="Times New Roman" w:hAnsi="Times New Roman" w:cs="Times New Roman"/>
      <w:color w:val="000000"/>
      <w:sz w:val="20"/>
      <w:szCs w:val="24"/>
      <w:lang w:val="en-US" w:eastAsia="zh-CN"/>
    </w:rPr>
  </w:style>
  <w:style w:type="paragraph" w:customStyle="1" w:styleId="SimpleLists9">
    <w:name w:val="SimpleLists9"/>
    <w:basedOn w:val="Normal"/>
    <w:link w:val="SimpleLists9Char"/>
    <w:uiPriority w:val="99"/>
    <w:rsid w:val="004C1C4F"/>
    <w:pPr>
      <w:numPr>
        <w:ilvl w:val="8"/>
        <w:numId w:val="66"/>
      </w:numPr>
      <w:spacing w:before="200" w:after="0" w:line="240" w:lineRule="auto"/>
      <w:outlineLvl w:val="8"/>
    </w:pPr>
    <w:rPr>
      <w:rFonts w:ascii="Times New Roman" w:eastAsia="Times New Roman" w:hAnsi="Times New Roman" w:cs="Times New Roman"/>
      <w:color w:val="000000"/>
      <w:sz w:val="20"/>
      <w:szCs w:val="24"/>
      <w:lang w:val="en-US" w:eastAsia="zh-CN"/>
    </w:rPr>
  </w:style>
  <w:style w:type="character" w:customStyle="1" w:styleId="SimpleLists9Char">
    <w:name w:val="SimpleLists9 Char"/>
    <w:link w:val="SimpleLists9"/>
    <w:uiPriority w:val="99"/>
    <w:rsid w:val="004C1C4F"/>
    <w:rPr>
      <w:rFonts w:ascii="Times New Roman" w:eastAsia="Times New Roman" w:hAnsi="Times New Roman" w:cs="Times New Roman"/>
      <w:color w:val="000000"/>
      <w:sz w:val="20"/>
      <w:szCs w:val="24"/>
      <w:lang w:val="en-US" w:eastAsia="zh-CN"/>
    </w:rPr>
  </w:style>
  <w:style w:type="numbering" w:customStyle="1" w:styleId="SimpleListsList">
    <w:name w:val="SimpleListsList"/>
    <w:basedOn w:val="Sinlista"/>
    <w:rsid w:val="004C1C4F"/>
    <w:pPr>
      <w:numPr>
        <w:numId w:val="66"/>
      </w:numPr>
    </w:pPr>
  </w:style>
  <w:style w:type="paragraph" w:customStyle="1" w:styleId="SimpleLists6a">
    <w:name w:val="SimpleLists6a"/>
    <w:basedOn w:val="SimpleLists6"/>
    <w:uiPriority w:val="99"/>
    <w:rsid w:val="004C1C4F"/>
    <w:pPr>
      <w:numPr>
        <w:ilvl w:val="0"/>
        <w:numId w:val="65"/>
      </w:numPr>
      <w:tabs>
        <w:tab w:val="num" w:pos="720"/>
        <w:tab w:val="num" w:pos="1080"/>
        <w:tab w:val="right" w:pos="1440"/>
      </w:tabs>
      <w:ind w:left="1440" w:hanging="270"/>
    </w:pPr>
  </w:style>
  <w:style w:type="paragraph" w:customStyle="1" w:styleId="SimpleLists10">
    <w:name w:val="SimpleLists10"/>
    <w:basedOn w:val="SimpleLists9"/>
    <w:uiPriority w:val="99"/>
    <w:qFormat/>
    <w:rsid w:val="004C1C4F"/>
    <w:pPr>
      <w:tabs>
        <w:tab w:val="clear" w:pos="1080"/>
        <w:tab w:val="num" w:pos="1800"/>
      </w:tabs>
      <w:ind w:left="1800"/>
    </w:pPr>
  </w:style>
  <w:style w:type="paragraph" w:customStyle="1" w:styleId="SingleParaFlush1">
    <w:name w:val="Single Para Flush&gt; 1&quot;"/>
    <w:basedOn w:val="SingleParaFlush"/>
    <w:uiPriority w:val="99"/>
    <w:rsid w:val="004C1C4F"/>
    <w:pPr>
      <w:ind w:left="1440"/>
    </w:pPr>
  </w:style>
  <w:style w:type="paragraph" w:customStyle="1" w:styleId="SingleParaFlush15">
    <w:name w:val="Single Para Flush&gt; 1.5&quot;"/>
    <w:basedOn w:val="SingleParaFlush"/>
    <w:uiPriority w:val="99"/>
    <w:rsid w:val="004C1C4F"/>
    <w:pPr>
      <w:ind w:left="2160"/>
    </w:pPr>
  </w:style>
  <w:style w:type="paragraph" w:customStyle="1" w:styleId="SingleParaFlush2">
    <w:name w:val="Single Para Flush&gt; 2&quot;"/>
    <w:basedOn w:val="SingleParaFlush"/>
    <w:uiPriority w:val="99"/>
    <w:rsid w:val="004C1C4F"/>
    <w:pPr>
      <w:ind w:left="2880"/>
    </w:pPr>
  </w:style>
  <w:style w:type="paragraph" w:customStyle="1" w:styleId="SingleParaFlush25">
    <w:name w:val="Single Para Flush&gt; 2.5&quot;"/>
    <w:basedOn w:val="SingleParaFlush"/>
    <w:uiPriority w:val="99"/>
    <w:rsid w:val="004C1C4F"/>
    <w:pPr>
      <w:ind w:left="3600"/>
    </w:pPr>
  </w:style>
  <w:style w:type="paragraph" w:customStyle="1" w:styleId="SingleParaFlush3">
    <w:name w:val="Single Para Flush&gt; 3&quot;"/>
    <w:basedOn w:val="SingleParaFlush"/>
    <w:uiPriority w:val="99"/>
    <w:rsid w:val="004C1C4F"/>
    <w:pPr>
      <w:ind w:left="4320"/>
    </w:pPr>
  </w:style>
  <w:style w:type="paragraph" w:customStyle="1" w:styleId="SingleParaFlush025">
    <w:name w:val="Single Para Flush&gt; 0.25&quot;"/>
    <w:basedOn w:val="SingleParaFlush05"/>
    <w:uiPriority w:val="99"/>
    <w:qFormat/>
    <w:rsid w:val="004C1C4F"/>
    <w:pPr>
      <w:spacing w:after="200"/>
      <w:ind w:left="360"/>
    </w:pPr>
    <w:rPr>
      <w:rFonts w:eastAsia="Times New Roman"/>
      <w:lang w:eastAsia="zh-CN" w:bidi="he-IL"/>
    </w:rPr>
  </w:style>
  <w:style w:type="paragraph" w:customStyle="1" w:styleId="SingleParaHang">
    <w:name w:val="Single Para Hang"/>
    <w:aliases w:val="sph"/>
    <w:basedOn w:val="tabletext"/>
    <w:uiPriority w:val="99"/>
    <w:rsid w:val="004C1C4F"/>
    <w:pPr>
      <w:spacing w:before="200" w:after="200"/>
      <w:ind w:left="720" w:hanging="720"/>
    </w:pPr>
    <w:rPr>
      <w:rFonts w:eastAsia="Times New Roman" w:cs="Times New Roman"/>
      <w:lang w:eastAsia="zh-CN" w:bidi="he-IL"/>
    </w:rPr>
  </w:style>
  <w:style w:type="paragraph" w:customStyle="1" w:styleId="SingleParaHang05">
    <w:name w:val="Single Para Hang&gt; 0.5&quot;"/>
    <w:basedOn w:val="SingleParaHang"/>
    <w:uiPriority w:val="99"/>
    <w:rsid w:val="004C1C4F"/>
    <w:pPr>
      <w:ind w:left="1440"/>
    </w:pPr>
  </w:style>
  <w:style w:type="paragraph" w:customStyle="1" w:styleId="SingleParaHang1">
    <w:name w:val="Single Para Hang&gt; 1&quot;"/>
    <w:basedOn w:val="SingleParaHang"/>
    <w:uiPriority w:val="99"/>
    <w:rsid w:val="004C1C4F"/>
    <w:pPr>
      <w:ind w:left="2160"/>
    </w:pPr>
  </w:style>
  <w:style w:type="paragraph" w:customStyle="1" w:styleId="SingleParaHang15">
    <w:name w:val="Single Para Hang&gt; 1.5&quot;"/>
    <w:basedOn w:val="SingleParaHang"/>
    <w:uiPriority w:val="99"/>
    <w:rsid w:val="004C1C4F"/>
    <w:pPr>
      <w:ind w:left="2880"/>
    </w:pPr>
  </w:style>
  <w:style w:type="paragraph" w:customStyle="1" w:styleId="SingleParaHang2">
    <w:name w:val="Single Para Hang&gt; 2&quot;"/>
    <w:basedOn w:val="SingleParaHang"/>
    <w:uiPriority w:val="99"/>
    <w:rsid w:val="004C1C4F"/>
    <w:pPr>
      <w:ind w:left="3600"/>
    </w:pPr>
  </w:style>
  <w:style w:type="paragraph" w:customStyle="1" w:styleId="SingleParaHang25">
    <w:name w:val="Single Para Hang&gt; 2.5&quot;"/>
    <w:basedOn w:val="SingleParaHang"/>
    <w:uiPriority w:val="99"/>
    <w:rsid w:val="004C1C4F"/>
    <w:pPr>
      <w:ind w:left="4320"/>
    </w:pPr>
  </w:style>
  <w:style w:type="paragraph" w:customStyle="1" w:styleId="SingleParaHang3">
    <w:name w:val="Single Para Hang&gt; 3&quot;"/>
    <w:basedOn w:val="SingleParaHang"/>
    <w:uiPriority w:val="99"/>
    <w:rsid w:val="004C1C4F"/>
    <w:pPr>
      <w:ind w:left="5040"/>
    </w:pPr>
  </w:style>
  <w:style w:type="paragraph" w:customStyle="1" w:styleId="Definitions1">
    <w:name w:val="Definitions1"/>
    <w:basedOn w:val="Normal"/>
    <w:link w:val="Definitions1Char"/>
    <w:uiPriority w:val="99"/>
    <w:rsid w:val="004C1C4F"/>
    <w:pPr>
      <w:numPr>
        <w:numId w:val="67"/>
      </w:numPr>
      <w:spacing w:before="200" w:after="200" w:line="240" w:lineRule="auto"/>
    </w:pPr>
    <w:rPr>
      <w:rFonts w:ascii="Times New Roman" w:eastAsia="Times New Roman" w:hAnsi="Times New Roman" w:cs="Times New Roman"/>
      <w:sz w:val="20"/>
      <w:szCs w:val="24"/>
      <w:lang w:val="en-US" w:eastAsia="zh-CN"/>
    </w:rPr>
  </w:style>
  <w:style w:type="character" w:customStyle="1" w:styleId="Definitions1Char">
    <w:name w:val="Definitions1 Char"/>
    <w:link w:val="Definitions1"/>
    <w:uiPriority w:val="99"/>
    <w:rsid w:val="004C1C4F"/>
    <w:rPr>
      <w:rFonts w:ascii="Times New Roman" w:eastAsia="Times New Roman" w:hAnsi="Times New Roman" w:cs="Times New Roman"/>
      <w:sz w:val="20"/>
      <w:szCs w:val="24"/>
      <w:lang w:val="en-US" w:eastAsia="zh-CN"/>
    </w:rPr>
  </w:style>
  <w:style w:type="paragraph" w:customStyle="1" w:styleId="Definitions2">
    <w:name w:val="Definitions2"/>
    <w:basedOn w:val="Normal"/>
    <w:link w:val="Definitions2Char"/>
    <w:uiPriority w:val="99"/>
    <w:rsid w:val="004C1C4F"/>
    <w:pPr>
      <w:numPr>
        <w:ilvl w:val="1"/>
        <w:numId w:val="67"/>
      </w:numPr>
      <w:spacing w:before="200" w:after="200" w:line="240" w:lineRule="auto"/>
    </w:pPr>
    <w:rPr>
      <w:rFonts w:ascii="Times New Roman" w:eastAsia="Times New Roman" w:hAnsi="Times New Roman" w:cs="Times New Roman"/>
      <w:color w:val="000000"/>
      <w:sz w:val="20"/>
      <w:szCs w:val="24"/>
      <w:lang w:val="en-US" w:eastAsia="zh-CN"/>
    </w:rPr>
  </w:style>
  <w:style w:type="character" w:customStyle="1" w:styleId="Definitions2Char">
    <w:name w:val="Definitions2 Char"/>
    <w:link w:val="Definitions2"/>
    <w:uiPriority w:val="99"/>
    <w:rsid w:val="004C1C4F"/>
    <w:rPr>
      <w:rFonts w:ascii="Times New Roman" w:eastAsia="Times New Roman" w:hAnsi="Times New Roman" w:cs="Times New Roman"/>
      <w:color w:val="000000"/>
      <w:sz w:val="20"/>
      <w:szCs w:val="24"/>
      <w:lang w:val="en-US" w:eastAsia="zh-CN"/>
    </w:rPr>
  </w:style>
  <w:style w:type="paragraph" w:customStyle="1" w:styleId="Definitions3">
    <w:name w:val="Definitions3"/>
    <w:basedOn w:val="Normal"/>
    <w:link w:val="Definitions3Char"/>
    <w:uiPriority w:val="99"/>
    <w:rsid w:val="004C1C4F"/>
    <w:pPr>
      <w:numPr>
        <w:ilvl w:val="2"/>
        <w:numId w:val="67"/>
      </w:numPr>
      <w:spacing w:before="200" w:after="200" w:line="240" w:lineRule="auto"/>
    </w:pPr>
    <w:rPr>
      <w:rFonts w:ascii="Times New Roman" w:eastAsia="Times New Roman" w:hAnsi="Times New Roman" w:cs="Times New Roman"/>
      <w:color w:val="000000"/>
      <w:sz w:val="20"/>
      <w:szCs w:val="24"/>
      <w:lang w:val="en-US" w:eastAsia="zh-CN"/>
    </w:rPr>
  </w:style>
  <w:style w:type="character" w:customStyle="1" w:styleId="Definitions3Char">
    <w:name w:val="Definitions3 Char"/>
    <w:link w:val="Definitions3"/>
    <w:uiPriority w:val="99"/>
    <w:rsid w:val="004C1C4F"/>
    <w:rPr>
      <w:rFonts w:ascii="Times New Roman" w:eastAsia="Times New Roman" w:hAnsi="Times New Roman" w:cs="Times New Roman"/>
      <w:color w:val="000000"/>
      <w:sz w:val="20"/>
      <w:szCs w:val="24"/>
      <w:lang w:val="en-US" w:eastAsia="zh-CN"/>
    </w:rPr>
  </w:style>
  <w:style w:type="paragraph" w:customStyle="1" w:styleId="Definitions4">
    <w:name w:val="Definitions4"/>
    <w:basedOn w:val="Normal"/>
    <w:link w:val="Definitions4Char"/>
    <w:uiPriority w:val="99"/>
    <w:rsid w:val="004C1C4F"/>
    <w:pPr>
      <w:numPr>
        <w:ilvl w:val="3"/>
        <w:numId w:val="67"/>
      </w:numPr>
      <w:spacing w:before="200" w:after="200" w:line="240" w:lineRule="auto"/>
    </w:pPr>
    <w:rPr>
      <w:rFonts w:ascii="Times New Roman" w:eastAsia="Times New Roman" w:hAnsi="Times New Roman" w:cs="Times New Roman"/>
      <w:color w:val="000000"/>
      <w:sz w:val="20"/>
      <w:szCs w:val="24"/>
      <w:lang w:val="en-US" w:eastAsia="zh-CN"/>
    </w:rPr>
  </w:style>
  <w:style w:type="character" w:customStyle="1" w:styleId="Definitions4Char">
    <w:name w:val="Definitions4 Char"/>
    <w:link w:val="Definitions4"/>
    <w:uiPriority w:val="99"/>
    <w:rsid w:val="004C1C4F"/>
    <w:rPr>
      <w:rFonts w:ascii="Times New Roman" w:eastAsia="Times New Roman" w:hAnsi="Times New Roman" w:cs="Times New Roman"/>
      <w:color w:val="000000"/>
      <w:sz w:val="20"/>
      <w:szCs w:val="24"/>
      <w:lang w:val="en-US" w:eastAsia="zh-CN"/>
    </w:rPr>
  </w:style>
  <w:style w:type="paragraph" w:customStyle="1" w:styleId="Definitions5">
    <w:name w:val="Definitions5"/>
    <w:basedOn w:val="Normal"/>
    <w:link w:val="Definitions5Char"/>
    <w:uiPriority w:val="99"/>
    <w:rsid w:val="004C1C4F"/>
    <w:pPr>
      <w:numPr>
        <w:ilvl w:val="4"/>
        <w:numId w:val="67"/>
      </w:numPr>
      <w:spacing w:before="200" w:after="200" w:line="240" w:lineRule="auto"/>
    </w:pPr>
    <w:rPr>
      <w:rFonts w:ascii="Times New Roman" w:eastAsia="Times New Roman" w:hAnsi="Times New Roman" w:cs="Times New Roman"/>
      <w:color w:val="000000"/>
      <w:sz w:val="20"/>
      <w:szCs w:val="24"/>
      <w:lang w:val="en-US" w:eastAsia="zh-CN"/>
    </w:rPr>
  </w:style>
  <w:style w:type="character" w:customStyle="1" w:styleId="Definitions5Char">
    <w:name w:val="Definitions5 Char"/>
    <w:link w:val="Definitions5"/>
    <w:uiPriority w:val="99"/>
    <w:rsid w:val="004C1C4F"/>
    <w:rPr>
      <w:rFonts w:ascii="Times New Roman" w:eastAsia="Times New Roman" w:hAnsi="Times New Roman" w:cs="Times New Roman"/>
      <w:color w:val="000000"/>
      <w:sz w:val="20"/>
      <w:szCs w:val="24"/>
      <w:lang w:val="en-US" w:eastAsia="zh-CN"/>
    </w:rPr>
  </w:style>
  <w:style w:type="numbering" w:customStyle="1" w:styleId="DefinitionsList">
    <w:name w:val="DefinitionsList"/>
    <w:basedOn w:val="Sinlista"/>
    <w:rsid w:val="004C1C4F"/>
    <w:pPr>
      <w:numPr>
        <w:numId w:val="67"/>
      </w:numPr>
    </w:pPr>
  </w:style>
  <w:style w:type="paragraph" w:customStyle="1" w:styleId="TOCPage0">
    <w:name w:val="TOC Page*"/>
    <w:basedOn w:val="Normal"/>
    <w:uiPriority w:val="99"/>
    <w:qFormat/>
    <w:rsid w:val="004C1C4F"/>
    <w:pPr>
      <w:tabs>
        <w:tab w:val="center" w:pos="4050"/>
        <w:tab w:val="right" w:pos="9000"/>
      </w:tabs>
      <w:spacing w:after="240" w:line="240" w:lineRule="auto"/>
    </w:pPr>
    <w:rPr>
      <w:rFonts w:ascii="Times New Roman" w:eastAsia="Calibri" w:hAnsi="Times New Roman" w:cs="Arial"/>
      <w:sz w:val="20"/>
      <w:szCs w:val="24"/>
      <w:lang w:val="en-US"/>
    </w:rPr>
  </w:style>
  <w:style w:type="paragraph" w:customStyle="1" w:styleId="ColorfulShading-Accent110">
    <w:name w:val="Colorful Shading - Accent 11_0"/>
    <w:hidden/>
    <w:uiPriority w:val="99"/>
    <w:rsid w:val="004C1C4F"/>
    <w:pPr>
      <w:spacing w:after="0" w:line="240" w:lineRule="auto"/>
    </w:pPr>
    <w:rPr>
      <w:rFonts w:ascii="Times New Roman" w:eastAsia="Calibri" w:hAnsi="Times New Roman" w:cs="Arial"/>
      <w:sz w:val="20"/>
      <w:szCs w:val="24"/>
      <w:lang w:val="en-US"/>
    </w:rPr>
  </w:style>
  <w:style w:type="table" w:customStyle="1" w:styleId="SubtleEmphasis20">
    <w:name w:val="Subtle Emphasis2_0"/>
    <w:basedOn w:val="Tablanormal"/>
    <w:qFormat/>
    <w:rsid w:val="004C1C4F"/>
    <w:pPr>
      <w:spacing w:after="0" w:line="240" w:lineRule="auto"/>
    </w:pPr>
    <w:rPr>
      <w:rFonts w:ascii="Times New Roman" w:eastAsia="Calibri" w:hAnsi="Times New Roman" w:cs="Arial"/>
      <w:color w:val="000000"/>
      <w:sz w:val="20"/>
      <w:szCs w:val="20"/>
      <w:lang w:eastAsia="es-ES"/>
    </w:rPr>
    <w:tblPr>
      <w:tblStyleRowBandSize w:val="1"/>
      <w:tblStyleColBandSize w:val="1"/>
      <w:tblBorders>
        <w:top w:val="single" w:sz="8" w:space="0" w:color="F79646"/>
        <w:bottom w:val="single" w:sz="8" w:space="0" w:color="F79646"/>
      </w:tblBorders>
    </w:tblPr>
    <w:tblStylePr w:type="firstRow">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OCHeading10">
    <w:name w:val="TOC Heading1_0"/>
    <w:basedOn w:val="Tablanormal"/>
    <w:qFormat/>
    <w:rsid w:val="004C1C4F"/>
    <w:pPr>
      <w:spacing w:after="0" w:line="240" w:lineRule="auto"/>
    </w:pPr>
    <w:rPr>
      <w:rFonts w:ascii="Times New Roman" w:eastAsia="Calibri" w:hAnsi="Times New Roman" w:cs="Arial"/>
      <w:color w:val="000000"/>
      <w:sz w:val="20"/>
      <w:szCs w:val="20"/>
      <w:lang w:eastAsia="es-E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bottom w:val="single" w:sz="24" w:space="0" w:color="4BACC6"/>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insideH w:val="single" w:sz="4" w:space="0" w:color="B65608"/>
        </w:tcBorders>
        <w:shd w:val="clear" w:color="auto" w:fill="B65608"/>
      </w:tcPr>
    </w:tblStylePr>
    <w:tblStylePr w:type="lastCol">
      <w:rPr>
        <w:color w:val="FFFFFF"/>
      </w:rPr>
      <w:tblPr/>
      <w:tcPr>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Bibliography10">
    <w:name w:val="Bibliography1_0"/>
    <w:basedOn w:val="Tablanormal"/>
    <w:rsid w:val="004C1C4F"/>
    <w:pPr>
      <w:spacing w:after="0" w:line="240" w:lineRule="auto"/>
    </w:pPr>
    <w:rPr>
      <w:rFonts w:ascii="Times New Roman" w:eastAsia="Calibri" w:hAnsi="Times New Roman" w:cs="Arial"/>
      <w:color w:val="FFFFFF"/>
      <w:sz w:val="20"/>
      <w:szCs w:val="20"/>
      <w:lang w:eastAsia="es-ES"/>
    </w:rPr>
    <w:tblPr>
      <w:tblStyleRowBandSize w:val="1"/>
      <w:tblStyleColBandSize w:val="1"/>
    </w:tblPr>
    <w:tcPr>
      <w:shd w:val="clear" w:color="auto" w:fill="F7964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974706"/>
      </w:tcPr>
    </w:tblStylePr>
    <w:tblStylePr w:type="firstCol">
      <w:tblPr/>
      <w:tcPr>
        <w:tcBorders>
          <w:right w:val="single" w:sz="18" w:space="0" w:color="FFFFFF"/>
        </w:tcBorders>
        <w:shd w:val="clear" w:color="auto" w:fill="E36C0A"/>
      </w:tcPr>
    </w:tblStylePr>
    <w:tblStylePr w:type="lastCol">
      <w:tblPr/>
      <w:tcPr>
        <w:tcBorders>
          <w:left w:val="single" w:sz="18" w:space="0" w:color="FFFFFF"/>
        </w:tcBorders>
        <w:shd w:val="clear" w:color="auto" w:fill="E36C0A"/>
      </w:tcPr>
    </w:tblStylePr>
    <w:tblStylePr w:type="band1Vert">
      <w:tblPr/>
      <w:tcPr>
        <w:shd w:val="clear" w:color="auto" w:fill="E36C0A"/>
      </w:tcPr>
    </w:tblStylePr>
    <w:tblStylePr w:type="band1Horz">
      <w:tblPr/>
      <w:tcPr>
        <w:shd w:val="clear" w:color="auto" w:fill="E36C0A"/>
      </w:tcPr>
    </w:tblStylePr>
  </w:style>
  <w:style w:type="table" w:customStyle="1" w:styleId="SubtleReference20">
    <w:name w:val="Subtle Reference2_0"/>
    <w:basedOn w:val="Tablanormal"/>
    <w:qFormat/>
    <w:rsid w:val="004C1C4F"/>
    <w:pPr>
      <w:spacing w:after="0" w:line="240" w:lineRule="auto"/>
    </w:pPr>
    <w:rPr>
      <w:rFonts w:ascii="Times New Roman" w:eastAsia="Calibri" w:hAnsi="Times New Roman" w:cs="Arial"/>
      <w:sz w:val="20"/>
      <w:szCs w:val="20"/>
      <w:lang w:eastAsia="es-E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IntenseReference20">
    <w:name w:val="Intense Reference2_0"/>
    <w:basedOn w:val="Tablanormal"/>
    <w:qFormat/>
    <w:rsid w:val="004C1C4F"/>
    <w:pPr>
      <w:spacing w:after="0" w:line="240" w:lineRule="auto"/>
    </w:pPr>
    <w:rPr>
      <w:rFonts w:ascii="Times New Roman" w:eastAsia="Calibri" w:hAnsi="Times New Roman" w:cs="Arial"/>
      <w:color w:val="000000"/>
      <w:sz w:val="20"/>
      <w:szCs w:val="20"/>
      <w:lang w:eastAsia="es-E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BookTitle10">
    <w:name w:val="Book Title1_0"/>
    <w:basedOn w:val="Tablanormal"/>
    <w:qFormat/>
    <w:rsid w:val="004C1C4F"/>
    <w:pPr>
      <w:spacing w:after="0" w:line="240" w:lineRule="auto"/>
    </w:pPr>
    <w:rPr>
      <w:rFonts w:ascii="Times New Roman" w:eastAsia="Calibri" w:hAnsi="Times New Roman" w:cs="Arial"/>
      <w:sz w:val="20"/>
      <w:szCs w:val="20"/>
      <w:lang w:eastAsia="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IntenseEmphasis20">
    <w:name w:val="Intense Emphasis2_0"/>
    <w:basedOn w:val="Tablanormal"/>
    <w:qFormat/>
    <w:rsid w:val="004C1C4F"/>
    <w:pPr>
      <w:spacing w:after="0" w:line="240" w:lineRule="auto"/>
    </w:pPr>
    <w:rPr>
      <w:rFonts w:ascii="Times New Roman" w:eastAsia="Calibri" w:hAnsi="Times New Roman" w:cs="Arial"/>
      <w:color w:val="000000"/>
      <w:sz w:val="20"/>
      <w:szCs w:val="20"/>
      <w:lang w:eastAsia="es-E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bottom w:val="single" w:sz="24" w:space="0" w:color="F79646"/>
        </w:tcBorders>
        <w:shd w:val="clear" w:color="auto" w:fill="FFFFFF"/>
      </w:tcPr>
    </w:tblStylePr>
    <w:tblStylePr w:type="lastRow">
      <w:tblPr/>
      <w:tcPr>
        <w:tcBorders>
          <w:top w:val="single" w:sz="8" w:space="0" w:color="F79646"/>
        </w:tcBorders>
        <w:shd w:val="clear" w:color="auto" w:fill="FFFFFF"/>
      </w:tcPr>
    </w:tblStylePr>
    <w:tblStylePr w:type="firstCol">
      <w:tblPr/>
      <w:tcPr>
        <w:tcBorders>
          <w:right w:val="single" w:sz="8" w:space="0" w:color="F79646"/>
        </w:tcBorders>
        <w:shd w:val="clear" w:color="auto" w:fill="FFFFFF"/>
      </w:tcPr>
    </w:tblStylePr>
    <w:tblStylePr w:type="lastCol">
      <w:tblPr/>
      <w:tcPr>
        <w:tcBorders>
          <w:left w:val="single" w:sz="8" w:space="0" w:color="F79646"/>
        </w:tcBorders>
        <w:shd w:val="clear" w:color="auto" w:fill="FFFFFF"/>
      </w:tcPr>
    </w:tblStylePr>
    <w:tblStylePr w:type="band1Vert">
      <w:tblPr/>
      <w:tcPr>
        <w:shd w:val="clear" w:color="auto" w:fill="FDE4D0"/>
      </w:tcPr>
    </w:tblStylePr>
    <w:tblStylePr w:type="band1Horz">
      <w:tblPr/>
      <w:tcPr>
        <w:shd w:val="clear" w:color="auto" w:fill="FDE4D0"/>
      </w:tcPr>
    </w:tblStylePr>
    <w:tblStylePr w:type="nwCell">
      <w:tblPr/>
      <w:tcPr>
        <w:shd w:val="clear" w:color="auto" w:fill="FFFFFF"/>
      </w:tcPr>
    </w:tblStylePr>
  </w:style>
  <w:style w:type="paragraph" w:customStyle="1" w:styleId="TableFootnoteline0">
    <w:name w:val="Table Footnote line"/>
    <w:basedOn w:val="Normal"/>
    <w:uiPriority w:val="99"/>
    <w:qFormat/>
    <w:rsid w:val="004C1C4F"/>
    <w:pPr>
      <w:pBdr>
        <w:bottom w:val="single" w:sz="4" w:space="1" w:color="auto"/>
      </w:pBdr>
      <w:spacing w:after="0" w:line="240" w:lineRule="auto"/>
      <w:ind w:right="7560"/>
    </w:pPr>
    <w:rPr>
      <w:rFonts w:ascii="Times New Roman" w:eastAsia="Calibri" w:hAnsi="Times New Roman" w:cs="Arial"/>
      <w:sz w:val="14"/>
      <w:szCs w:val="14"/>
      <w:lang w:val="en-US"/>
    </w:rPr>
  </w:style>
  <w:style w:type="table" w:customStyle="1" w:styleId="TableGrid10">
    <w:name w:val="Table Grid10"/>
    <w:basedOn w:val="Tablanormal"/>
    <w:next w:val="Tablaconcuadrcula"/>
    <w:uiPriority w:val="59"/>
    <w:rsid w:val="004C1C4F"/>
    <w:pPr>
      <w:spacing w:after="0" w:line="240" w:lineRule="auto"/>
    </w:pPr>
    <w:rPr>
      <w:rFonts w:ascii="Times New Roman" w:eastAsia="Calibri" w:hAnsi="Times New Roman" w:cs="Arial"/>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U">
    <w:name w:val="Title U"/>
    <w:basedOn w:val="Normal"/>
    <w:uiPriority w:val="99"/>
    <w:qFormat/>
    <w:rsid w:val="004C1C4F"/>
    <w:pPr>
      <w:keepNext/>
      <w:spacing w:after="240" w:line="240" w:lineRule="auto"/>
    </w:pPr>
    <w:rPr>
      <w:rFonts w:ascii="Times New Roman" w:eastAsia="Calibri" w:hAnsi="Times New Roman" w:cs="Arial"/>
      <w:sz w:val="20"/>
      <w:szCs w:val="24"/>
      <w:u w:val="single"/>
      <w:lang w:val="en-US"/>
    </w:rPr>
  </w:style>
  <w:style w:type="paragraph" w:customStyle="1" w:styleId="TableNotesLines">
    <w:name w:val="Table Notes Lines"/>
    <w:basedOn w:val="Normal"/>
    <w:uiPriority w:val="99"/>
    <w:qFormat/>
    <w:rsid w:val="004C1C4F"/>
    <w:pPr>
      <w:keepNext/>
      <w:pBdr>
        <w:bottom w:val="single" w:sz="4" w:space="1" w:color="auto"/>
      </w:pBdr>
      <w:spacing w:after="40" w:line="240" w:lineRule="auto"/>
      <w:ind w:right="7920"/>
    </w:pPr>
    <w:rPr>
      <w:rFonts w:ascii="Times New Roman" w:eastAsia="Calibri" w:hAnsi="Times New Roman" w:cs="Arial"/>
      <w:sz w:val="20"/>
      <w:szCs w:val="24"/>
      <w:lang w:val="en-US"/>
    </w:rPr>
  </w:style>
  <w:style w:type="character" w:customStyle="1" w:styleId="Ttulo1Car1">
    <w:name w:val="Título 1 Car1"/>
    <w:aliases w:val="1 Car1,Chapter Heading Car1,Cía Car1,H1 Car1,l1 Car1,app heading 1 Car1,level1 Car1,Level1 Car1"/>
    <w:uiPriority w:val="9"/>
    <w:rsid w:val="004C1C4F"/>
    <w:rPr>
      <w:rFonts w:ascii="Calibri Light" w:eastAsia="Times New Roman" w:hAnsi="Calibri Light" w:cs="Times New Roman"/>
      <w:b/>
      <w:bCs/>
      <w:color w:val="2E74B5"/>
      <w:sz w:val="28"/>
      <w:szCs w:val="28"/>
      <w:lang w:val="en-US" w:eastAsia="en-US"/>
    </w:rPr>
  </w:style>
  <w:style w:type="character" w:customStyle="1" w:styleId="Ttulo2Car1">
    <w:name w:val="Título 2 Car1"/>
    <w:aliases w:val="Tight Slug Car1"/>
    <w:uiPriority w:val="9"/>
    <w:semiHidden/>
    <w:rsid w:val="004C1C4F"/>
    <w:rPr>
      <w:rFonts w:ascii="Calibri Light" w:eastAsia="Times New Roman" w:hAnsi="Calibri Light" w:cs="Times New Roman"/>
      <w:b/>
      <w:bCs/>
      <w:color w:val="5B9BD5"/>
      <w:sz w:val="26"/>
      <w:szCs w:val="26"/>
      <w:lang w:val="en-US" w:eastAsia="en-US"/>
    </w:rPr>
  </w:style>
  <w:style w:type="character" w:customStyle="1" w:styleId="Ttulo3Car1">
    <w:name w:val="Título 3 Car1"/>
    <w:aliases w:val="3 Car1"/>
    <w:uiPriority w:val="9"/>
    <w:semiHidden/>
    <w:rsid w:val="004C1C4F"/>
    <w:rPr>
      <w:rFonts w:ascii="Calibri Light" w:eastAsia="Times New Roman" w:hAnsi="Calibri Light" w:cs="Times New Roman"/>
      <w:b/>
      <w:bCs/>
      <w:color w:val="5B9BD5"/>
      <w:szCs w:val="24"/>
      <w:lang w:val="en-US" w:eastAsia="en-US"/>
    </w:rPr>
  </w:style>
  <w:style w:type="character" w:customStyle="1" w:styleId="Ttulo5Car1">
    <w:name w:val="Título 5 Car1"/>
    <w:aliases w:val="5 Car1,CG-Left Ind 0 Car1,5 FL 0 Car1"/>
    <w:uiPriority w:val="9"/>
    <w:semiHidden/>
    <w:rsid w:val="004C1C4F"/>
    <w:rPr>
      <w:rFonts w:ascii="Calibri Light" w:eastAsia="Times New Roman" w:hAnsi="Calibri Light" w:cs="Times New Roman"/>
      <w:color w:val="1F4D78"/>
      <w:szCs w:val="24"/>
      <w:lang w:val="en-US" w:eastAsia="en-US"/>
    </w:rPr>
  </w:style>
  <w:style w:type="character" w:customStyle="1" w:styleId="Ttulo8Car1">
    <w:name w:val="Título 8 Car1"/>
    <w:aliases w:val="8 Car1"/>
    <w:uiPriority w:val="9"/>
    <w:semiHidden/>
    <w:rsid w:val="004C1C4F"/>
    <w:rPr>
      <w:rFonts w:ascii="Calibri Light" w:eastAsia="Times New Roman" w:hAnsi="Calibri Light" w:cs="Times New Roman"/>
      <w:color w:val="404040"/>
      <w:lang w:val="en-US" w:eastAsia="en-US"/>
    </w:rPr>
  </w:style>
  <w:style w:type="character" w:customStyle="1" w:styleId="Ttulo9Car1">
    <w:name w:val="Título 9 Car1"/>
    <w:aliases w:val="9 Car1,Item Car1"/>
    <w:uiPriority w:val="9"/>
    <w:semiHidden/>
    <w:rsid w:val="004C1C4F"/>
    <w:rPr>
      <w:rFonts w:ascii="Calibri Light" w:eastAsia="Times New Roman" w:hAnsi="Calibri Light" w:cs="Times New Roman"/>
      <w:i/>
      <w:iCs/>
      <w:color w:val="404040"/>
      <w:lang w:val="en-US" w:eastAsia="en-US"/>
    </w:rPr>
  </w:style>
  <w:style w:type="character" w:customStyle="1" w:styleId="EncabezadoCar1">
    <w:name w:val="Encabezado Car1"/>
    <w:aliases w:val="Guideline Car1"/>
    <w:uiPriority w:val="99"/>
    <w:semiHidden/>
    <w:rsid w:val="004C1C4F"/>
    <w:rPr>
      <w:szCs w:val="24"/>
      <w:lang w:val="en-US" w:eastAsia="en-US"/>
    </w:rPr>
  </w:style>
  <w:style w:type="character" w:customStyle="1" w:styleId="PiedepginaCar1">
    <w:name w:val="Pie de página Car1"/>
    <w:aliases w:val="f Car1,footer Car1"/>
    <w:uiPriority w:val="99"/>
    <w:semiHidden/>
    <w:rsid w:val="004C1C4F"/>
    <w:rPr>
      <w:szCs w:val="24"/>
      <w:lang w:val="en-US" w:eastAsia="en-US"/>
    </w:rPr>
  </w:style>
  <w:style w:type="character" w:customStyle="1" w:styleId="CierreCar1">
    <w:name w:val="Cierre Car1"/>
    <w:aliases w:val="c Car1,cl Car1"/>
    <w:semiHidden/>
    <w:rsid w:val="004C1C4F"/>
    <w:rPr>
      <w:szCs w:val="24"/>
      <w:lang w:val="en-US" w:eastAsia="en-US"/>
    </w:rPr>
  </w:style>
  <w:style w:type="character" w:customStyle="1" w:styleId="FirmaCar1">
    <w:name w:val="Firma Car1"/>
    <w:aliases w:val="sg Car1"/>
    <w:uiPriority w:val="99"/>
    <w:semiHidden/>
    <w:rsid w:val="004C1C4F"/>
    <w:rPr>
      <w:szCs w:val="24"/>
      <w:lang w:val="en-US" w:eastAsia="en-US"/>
    </w:rPr>
  </w:style>
  <w:style w:type="character" w:customStyle="1" w:styleId="SubttuloCar1">
    <w:name w:val="Subtítulo Car1"/>
    <w:aliases w:val="st Car1"/>
    <w:uiPriority w:val="11"/>
    <w:rsid w:val="004C1C4F"/>
    <w:rPr>
      <w:rFonts w:ascii="Calibri Light" w:eastAsia="Times New Roman" w:hAnsi="Calibri Light" w:cs="Times New Roman"/>
      <w:i/>
      <w:iCs/>
      <w:color w:val="5B9BD5"/>
      <w:spacing w:val="15"/>
      <w:sz w:val="24"/>
      <w:szCs w:val="24"/>
      <w:lang w:val="en-US" w:eastAsia="en-US"/>
    </w:rPr>
  </w:style>
  <w:style w:type="character" w:customStyle="1" w:styleId="SaludoCar1">
    <w:name w:val="Saludo Car1"/>
    <w:aliases w:val="sal Car1"/>
    <w:uiPriority w:val="9"/>
    <w:semiHidden/>
    <w:rsid w:val="004C1C4F"/>
    <w:rPr>
      <w:szCs w:val="24"/>
      <w:lang w:val="en-US" w:eastAsia="en-US"/>
    </w:rPr>
  </w:style>
  <w:style w:type="character" w:customStyle="1" w:styleId="TextoindependienteprimerasangraCar1">
    <w:name w:val="Texto independiente primera sangría Car1"/>
    <w:aliases w:val="bt5 Car1"/>
    <w:semiHidden/>
    <w:rsid w:val="004C1C4F"/>
    <w:rPr>
      <w:rFonts w:ascii="Arial" w:eastAsia="SimSun" w:hAnsi="Arial"/>
      <w:sz w:val="18"/>
      <w:szCs w:val="24"/>
      <w:lang w:val="en-US" w:eastAsia="en-US"/>
    </w:rPr>
  </w:style>
  <w:style w:type="character" w:customStyle="1" w:styleId="Textoindependiente2Car1">
    <w:name w:val="Texto independiente 2 Car1"/>
    <w:aliases w:val="CG-Bullet Two Car1,CG-Bullet2 Car1,CG-Bullettwo Car1,b2 Car1,Body Text 23 Car1"/>
    <w:semiHidden/>
    <w:rsid w:val="004C1C4F"/>
    <w:rPr>
      <w:szCs w:val="24"/>
      <w:lang w:val="en-US" w:eastAsia="en-US"/>
    </w:rPr>
  </w:style>
  <w:style w:type="character" w:customStyle="1" w:styleId="Textoindependiente3Car1">
    <w:name w:val="Texto independiente 3 Car1"/>
    <w:aliases w:val="b3 Car1"/>
    <w:semiHidden/>
    <w:rsid w:val="004C1C4F"/>
    <w:rPr>
      <w:sz w:val="16"/>
      <w:szCs w:val="16"/>
      <w:lang w:val="en-US" w:eastAsia="en-US"/>
    </w:rPr>
  </w:style>
  <w:style w:type="character" w:customStyle="1" w:styleId="TtuloCar2">
    <w:name w:val="Título Car2"/>
    <w:uiPriority w:val="10"/>
    <w:locked/>
    <w:rsid w:val="004C1C4F"/>
    <w:rPr>
      <w:rFonts w:eastAsia="SimSun" w:cs="Times New Roman"/>
      <w:b/>
      <w:szCs w:val="52"/>
      <w:lang w:val="x-none" w:eastAsia="x-none"/>
    </w:rPr>
  </w:style>
  <w:style w:type="table" w:styleId="Listaoscura">
    <w:name w:val="Dark List"/>
    <w:basedOn w:val="Tablanormal"/>
    <w:uiPriority w:val="70"/>
    <w:rsid w:val="004C1C4F"/>
    <w:pPr>
      <w:spacing w:after="0" w:line="240" w:lineRule="auto"/>
    </w:pPr>
    <w:rPr>
      <w:rFonts w:ascii="Times New Roman" w:eastAsia="Times New Roman" w:hAnsi="Times New Roman" w:cs="Times New Roman"/>
      <w:color w:val="FFFFFF"/>
      <w:sz w:val="24"/>
      <w:szCs w:val="24"/>
      <w:lang w:val="es-AR"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staoscura2">
    <w:name w:val="Lista oscura2"/>
    <w:basedOn w:val="Tablanormal"/>
    <w:uiPriority w:val="70"/>
    <w:rsid w:val="004C1C4F"/>
    <w:pPr>
      <w:spacing w:after="0" w:line="240" w:lineRule="auto"/>
    </w:pPr>
    <w:rPr>
      <w:rFonts w:ascii="Times New Roman" w:eastAsia="Times New Roman" w:hAnsi="Times New Roman" w:cs="Times New Roman"/>
      <w:color w:val="FFFFFF"/>
      <w:sz w:val="24"/>
      <w:szCs w:val="24"/>
      <w:lang w:val="es-AR"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paragraph" w:customStyle="1" w:styleId="Title5us">
    <w:name w:val="Title .5 us"/>
    <w:basedOn w:val="Normal"/>
    <w:uiPriority w:val="99"/>
    <w:qFormat/>
    <w:rsid w:val="004C1C4F"/>
    <w:pPr>
      <w:spacing w:before="240" w:after="240" w:line="240" w:lineRule="auto"/>
      <w:ind w:firstLine="708"/>
      <w:jc w:val="both"/>
    </w:pPr>
    <w:rPr>
      <w:rFonts w:ascii="Times New Roman" w:eastAsia="Calibri" w:hAnsi="Times New Roman" w:cs="Arial"/>
      <w:sz w:val="20"/>
      <w:szCs w:val="20"/>
      <w:u w:val="single"/>
      <w:lang w:val="en-US"/>
    </w:rPr>
  </w:style>
  <w:style w:type="paragraph" w:customStyle="1" w:styleId="TableNote1">
    <w:name w:val="Table Note"/>
    <w:basedOn w:val="Normal"/>
    <w:uiPriority w:val="99"/>
    <w:rsid w:val="004C1C4F"/>
    <w:pPr>
      <w:spacing w:after="240" w:line="240" w:lineRule="auto"/>
      <w:ind w:left="360" w:hanging="360"/>
      <w:contextualSpacing/>
      <w:jc w:val="both"/>
    </w:pPr>
    <w:rPr>
      <w:rFonts w:ascii="Times New Roman" w:eastAsia="Calibri" w:hAnsi="Times New Roman" w:cs="Arial"/>
      <w:sz w:val="16"/>
      <w:szCs w:val="16"/>
      <w:lang w:val="en-US" w:eastAsia="zh-CN"/>
    </w:rPr>
  </w:style>
  <w:style w:type="character" w:customStyle="1" w:styleId="Table7pts">
    <w:name w:val="Table 7pts"/>
    <w:uiPriority w:val="1"/>
    <w:qFormat/>
    <w:rsid w:val="004C1C4F"/>
    <w:rPr>
      <w:rFonts w:ascii="Times New Roman" w:hAnsi="Times New Roman"/>
      <w:b w:val="0"/>
      <w:sz w:val="14"/>
    </w:rPr>
  </w:style>
  <w:style w:type="character" w:customStyle="1" w:styleId="PuestoCar">
    <w:name w:val="Puesto Car"/>
    <w:link w:val="Puesto"/>
    <w:uiPriority w:val="99"/>
    <w:rsid w:val="004C1C4F"/>
    <w:rPr>
      <w:rFonts w:eastAsia="SimSun" w:cs="Times New Roman"/>
      <w:b/>
      <w:szCs w:val="52"/>
    </w:rPr>
  </w:style>
  <w:style w:type="paragraph" w:customStyle="1" w:styleId="TtulodeTDC4">
    <w:name w:val="Título de TDC4"/>
    <w:basedOn w:val="Ttulo1"/>
    <w:next w:val="Normal"/>
    <w:uiPriority w:val="39"/>
    <w:unhideWhenUsed/>
    <w:qFormat/>
    <w:rsid w:val="004C1C4F"/>
    <w:pPr>
      <w:keepNext/>
      <w:keepLines/>
      <w:spacing w:before="480" w:line="276" w:lineRule="auto"/>
      <w:jc w:val="left"/>
      <w:outlineLvl w:val="9"/>
    </w:pPr>
    <w:rPr>
      <w:rFonts w:ascii="Calibri Light" w:eastAsia="Times New Roman" w:hAnsi="Calibri Light"/>
      <w:bCs/>
      <w:color w:val="2E74B5"/>
      <w:sz w:val="28"/>
      <w:szCs w:val="28"/>
      <w:lang w:val="es-AR" w:eastAsia="es-AR"/>
    </w:rPr>
  </w:style>
  <w:style w:type="paragraph" w:styleId="Puesto">
    <w:name w:val="Title"/>
    <w:basedOn w:val="Normal"/>
    <w:next w:val="Textoindependiente"/>
    <w:link w:val="PuestoCar"/>
    <w:uiPriority w:val="99"/>
    <w:qFormat/>
    <w:rsid w:val="004C1C4F"/>
    <w:pPr>
      <w:spacing w:after="240" w:line="240" w:lineRule="auto"/>
      <w:jc w:val="center"/>
      <w:outlineLvl w:val="0"/>
    </w:pPr>
    <w:rPr>
      <w:rFonts w:eastAsia="SimSun" w:cs="Times New Roman"/>
      <w:b/>
      <w:szCs w:val="52"/>
    </w:rPr>
  </w:style>
  <w:style w:type="character" w:customStyle="1" w:styleId="TtuloCar4">
    <w:name w:val="Título Car4"/>
    <w:basedOn w:val="Fuentedeprrafopredeter"/>
    <w:uiPriority w:val="10"/>
    <w:rsid w:val="004C1C4F"/>
    <w:rPr>
      <w:rFonts w:asciiTheme="majorHAnsi" w:eastAsiaTheme="majorEastAsia" w:hAnsiTheme="majorHAnsi" w:cstheme="majorBidi"/>
      <w:color w:val="323E4F" w:themeColor="text2" w:themeShade="BF"/>
      <w:spacing w:val="5"/>
      <w:kern w:val="28"/>
      <w:sz w:val="52"/>
      <w:szCs w:val="52"/>
    </w:rPr>
  </w:style>
  <w:style w:type="character" w:customStyle="1" w:styleId="PuestoCar1">
    <w:name w:val="Puesto Car1"/>
    <w:basedOn w:val="Fuentedeprrafopredeter"/>
    <w:rsid w:val="004C1C4F"/>
    <w:rPr>
      <w:rFonts w:asciiTheme="majorHAnsi" w:eastAsiaTheme="majorEastAsia" w:hAnsiTheme="majorHAnsi" w:cstheme="majorBidi"/>
      <w:spacing w:val="-10"/>
      <w:kern w:val="28"/>
      <w:sz w:val="56"/>
      <w:szCs w:val="56"/>
      <w:lang w:val="en-US" w:eastAsia="en-US"/>
    </w:rPr>
  </w:style>
  <w:style w:type="character" w:customStyle="1" w:styleId="font71">
    <w:name w:val="font71"/>
    <w:basedOn w:val="Fuentedeprrafopredeter"/>
    <w:rsid w:val="004C1C4F"/>
    <w:rPr>
      <w:rFonts w:ascii="Times New Roman" w:hAnsi="Times New Roman" w:cs="Times New Roman" w:hint="default"/>
      <w:b/>
      <w:bCs/>
      <w:i w:val="0"/>
      <w:iCs w:val="0"/>
      <w:strike w:val="0"/>
      <w:dstrike w:val="0"/>
      <w:color w:val="000000"/>
      <w:sz w:val="16"/>
      <w:szCs w:val="16"/>
      <w:u w:val="none"/>
      <w:effect w:val="none"/>
    </w:rPr>
  </w:style>
  <w:style w:type="character" w:customStyle="1" w:styleId="font241">
    <w:name w:val="font241"/>
    <w:basedOn w:val="Fuentedeprrafopredeter"/>
    <w:rsid w:val="004C1C4F"/>
    <w:rPr>
      <w:rFonts w:ascii="Times New Roman" w:hAnsi="Times New Roman" w:cs="Times New Roman" w:hint="default"/>
      <w:b w:val="0"/>
      <w:bCs w:val="0"/>
      <w:i w:val="0"/>
      <w:iCs w:val="0"/>
      <w:color w:val="000000"/>
      <w:sz w:val="16"/>
      <w:szCs w:val="16"/>
      <w:u w:val="single"/>
    </w:rPr>
  </w:style>
  <w:style w:type="character" w:customStyle="1" w:styleId="font81">
    <w:name w:val="font81"/>
    <w:basedOn w:val="Fuentedeprrafopredeter"/>
    <w:rsid w:val="004C1C4F"/>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font181">
    <w:name w:val="font181"/>
    <w:basedOn w:val="Fuentedeprrafopredeter"/>
    <w:rsid w:val="004C1C4F"/>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PrrafodelistaCar">
    <w:name w:val="Párrafo de lista Car"/>
    <w:basedOn w:val="Fuentedeprrafopredeter"/>
    <w:link w:val="Prrafodelista"/>
    <w:uiPriority w:val="34"/>
    <w:locked/>
    <w:rsid w:val="004C1C4F"/>
  </w:style>
  <w:style w:type="character" w:customStyle="1" w:styleId="Cuerpodeltexto">
    <w:name w:val="Cuerpo del texto_"/>
    <w:basedOn w:val="Fuentedeprrafopredeter"/>
    <w:link w:val="Cuerpodeltexto0"/>
    <w:uiPriority w:val="99"/>
    <w:rsid w:val="004C1C4F"/>
    <w:rPr>
      <w:sz w:val="23"/>
      <w:szCs w:val="23"/>
      <w:shd w:val="clear" w:color="auto" w:fill="FFFFFF"/>
    </w:rPr>
  </w:style>
  <w:style w:type="paragraph" w:customStyle="1" w:styleId="Cuerpodeltexto0">
    <w:name w:val="Cuerpo del texto"/>
    <w:basedOn w:val="Normal"/>
    <w:link w:val="Cuerpodeltexto"/>
    <w:uiPriority w:val="99"/>
    <w:rsid w:val="004C1C4F"/>
    <w:pPr>
      <w:shd w:val="clear" w:color="auto" w:fill="FFFFFF"/>
      <w:spacing w:after="0" w:line="277" w:lineRule="exact"/>
      <w:ind w:hanging="620"/>
    </w:pPr>
    <w:rPr>
      <w:sz w:val="23"/>
      <w:szCs w:val="23"/>
    </w:rPr>
  </w:style>
  <w:style w:type="paragraph" w:customStyle="1" w:styleId="fdBodyText">
    <w:name w:val="fd Body Text"/>
    <w:basedOn w:val="Normal"/>
    <w:uiPriority w:val="9"/>
    <w:rsid w:val="00E33021"/>
    <w:pPr>
      <w:spacing w:after="200" w:line="240" w:lineRule="auto"/>
      <w:ind w:firstLine="360"/>
    </w:pPr>
    <w:rPr>
      <w:rFonts w:ascii="Times New Roman" w:eastAsia="Times New Roman" w:hAnsi="Times New Roman" w:cs="Times New Roman"/>
      <w:sz w:val="20"/>
      <w:szCs w:val="20"/>
      <w:lang w:val="en-US"/>
    </w:rPr>
  </w:style>
  <w:style w:type="character" w:customStyle="1" w:styleId="Notaalpie0">
    <w:name w:val="Nota al pie_"/>
    <w:basedOn w:val="Fuentedeprrafopredeter"/>
    <w:link w:val="Notaalpie"/>
    <w:uiPriority w:val="99"/>
    <w:rsid w:val="00CE1BA7"/>
    <w:rPr>
      <w:rFonts w:ascii="Arial" w:eastAsia="Times New Roman" w:hAnsi="Arial" w:cs="Times New Roman"/>
      <w:sz w:val="16"/>
      <w:szCs w:val="20"/>
      <w:lang w:val="es-AR" w:eastAsia="es-ES"/>
    </w:rPr>
  </w:style>
  <w:style w:type="character" w:customStyle="1" w:styleId="Notaalpie2">
    <w:name w:val="Nota al pie (2)_"/>
    <w:basedOn w:val="Fuentedeprrafopredeter"/>
    <w:link w:val="Notaalpie20"/>
    <w:rsid w:val="00CE1BA7"/>
    <w:rPr>
      <w:rFonts w:ascii="Times New Roman" w:eastAsia="Times New Roman" w:hAnsi="Times New Roman" w:cs="Times New Roman"/>
      <w:sz w:val="18"/>
      <w:szCs w:val="18"/>
      <w:shd w:val="clear" w:color="auto" w:fill="FFFFFF"/>
    </w:rPr>
  </w:style>
  <w:style w:type="character" w:customStyle="1" w:styleId="NotaalpieNegrita">
    <w:name w:val="Nota al pie + Negrita"/>
    <w:basedOn w:val="Notaalpie0"/>
    <w:rsid w:val="00CE1BA7"/>
    <w:rPr>
      <w:rFonts w:ascii="Arial" w:eastAsia="Times New Roman" w:hAnsi="Arial" w:cs="Times New Roman"/>
      <w:b/>
      <w:bCs/>
      <w:color w:val="000000"/>
      <w:spacing w:val="0"/>
      <w:w w:val="100"/>
      <w:position w:val="0"/>
      <w:sz w:val="16"/>
      <w:szCs w:val="20"/>
      <w:lang w:val="es-ES" w:eastAsia="es-ES" w:bidi="es-ES"/>
    </w:rPr>
  </w:style>
  <w:style w:type="character" w:customStyle="1" w:styleId="Notaalpie3">
    <w:name w:val="Nota al pie (3)_"/>
    <w:basedOn w:val="Fuentedeprrafopredeter"/>
    <w:link w:val="Notaalpie30"/>
    <w:rsid w:val="00CE1BA7"/>
    <w:rPr>
      <w:rFonts w:ascii="Times New Roman" w:eastAsia="Times New Roman" w:hAnsi="Times New Roman" w:cs="Times New Roman"/>
      <w:sz w:val="19"/>
      <w:szCs w:val="19"/>
      <w:shd w:val="clear" w:color="auto" w:fill="FFFFFF"/>
    </w:rPr>
  </w:style>
  <w:style w:type="character" w:customStyle="1" w:styleId="Notaalpie3Cursiva">
    <w:name w:val="Nota al pie (3) + Cursiva"/>
    <w:basedOn w:val="Notaalpie3"/>
    <w:rsid w:val="00CE1BA7"/>
    <w:rPr>
      <w:rFonts w:ascii="Times New Roman" w:eastAsia="Times New Roman" w:hAnsi="Times New Roman" w:cs="Times New Roman"/>
      <w:i/>
      <w:iCs/>
      <w:color w:val="000000"/>
      <w:spacing w:val="0"/>
      <w:w w:val="100"/>
      <w:position w:val="0"/>
      <w:sz w:val="19"/>
      <w:szCs w:val="19"/>
      <w:shd w:val="clear" w:color="auto" w:fill="FFFFFF"/>
      <w:lang w:val="es-ES" w:eastAsia="es-ES" w:bidi="es-ES"/>
    </w:rPr>
  </w:style>
  <w:style w:type="character" w:customStyle="1" w:styleId="Notaalpie4">
    <w:name w:val="Nota al pie (4)_"/>
    <w:basedOn w:val="Fuentedeprrafopredeter"/>
    <w:link w:val="Notaalpie40"/>
    <w:rsid w:val="00CE1BA7"/>
    <w:rPr>
      <w:rFonts w:ascii="Times New Roman" w:eastAsia="Times New Roman" w:hAnsi="Times New Roman" w:cs="Times New Roman"/>
      <w:sz w:val="12"/>
      <w:szCs w:val="12"/>
      <w:shd w:val="clear" w:color="auto" w:fill="FFFFFF"/>
    </w:rPr>
  </w:style>
  <w:style w:type="character" w:customStyle="1" w:styleId="Cuerpodeltexto5Exact">
    <w:name w:val="Cuerpo del texto (5) Exact"/>
    <w:basedOn w:val="Fuentedeprrafopredeter"/>
    <w:rsid w:val="00CE1BA7"/>
    <w:rPr>
      <w:rFonts w:ascii="Times New Roman" w:eastAsia="Times New Roman" w:hAnsi="Times New Roman" w:cs="Times New Roman"/>
      <w:b/>
      <w:bCs/>
      <w:i w:val="0"/>
      <w:iCs w:val="0"/>
      <w:smallCaps w:val="0"/>
      <w:strike w:val="0"/>
      <w:sz w:val="15"/>
      <w:szCs w:val="15"/>
      <w:u w:val="none"/>
    </w:rPr>
  </w:style>
  <w:style w:type="character" w:customStyle="1" w:styleId="Ttulo2Exact">
    <w:name w:val="Título #2 Exact"/>
    <w:basedOn w:val="Fuentedeprrafopredeter"/>
    <w:rsid w:val="00CE1BA7"/>
    <w:rPr>
      <w:rFonts w:ascii="Times New Roman" w:eastAsia="Times New Roman" w:hAnsi="Times New Roman" w:cs="Times New Roman"/>
      <w:b/>
      <w:bCs/>
      <w:i w:val="0"/>
      <w:iCs w:val="0"/>
      <w:smallCaps w:val="0"/>
      <w:strike w:val="0"/>
      <w:sz w:val="19"/>
      <w:szCs w:val="19"/>
      <w:u w:val="none"/>
    </w:rPr>
  </w:style>
  <w:style w:type="character" w:customStyle="1" w:styleId="Cuerpodeltexto4Exact">
    <w:name w:val="Cuerpo del texto (4) Exact"/>
    <w:basedOn w:val="Fuentedeprrafopredeter"/>
    <w:rsid w:val="00CE1BA7"/>
    <w:rPr>
      <w:rFonts w:ascii="Times New Roman" w:eastAsia="Times New Roman" w:hAnsi="Times New Roman" w:cs="Times New Roman"/>
      <w:b w:val="0"/>
      <w:bCs w:val="0"/>
      <w:i w:val="0"/>
      <w:iCs w:val="0"/>
      <w:smallCaps w:val="0"/>
      <w:strike w:val="0"/>
      <w:sz w:val="15"/>
      <w:szCs w:val="15"/>
      <w:u w:val="none"/>
    </w:rPr>
  </w:style>
  <w:style w:type="character" w:customStyle="1" w:styleId="Cuerpodeltexto7Exact">
    <w:name w:val="Cuerpo del texto (7) Exact"/>
    <w:basedOn w:val="Fuentedeprrafopredeter"/>
    <w:rsid w:val="00CE1BA7"/>
    <w:rPr>
      <w:rFonts w:ascii="Times New Roman" w:eastAsia="Times New Roman" w:hAnsi="Times New Roman" w:cs="Times New Roman"/>
      <w:b/>
      <w:bCs/>
      <w:i w:val="0"/>
      <w:iCs w:val="0"/>
      <w:smallCaps w:val="0"/>
      <w:strike w:val="0"/>
      <w:sz w:val="19"/>
      <w:szCs w:val="19"/>
      <w:u w:val="none"/>
    </w:rPr>
  </w:style>
  <w:style w:type="character" w:customStyle="1" w:styleId="Ttulo21">
    <w:name w:val="Título #2_"/>
    <w:basedOn w:val="Fuentedeprrafopredeter"/>
    <w:rsid w:val="00CE1BA7"/>
    <w:rPr>
      <w:rFonts w:ascii="Times New Roman" w:eastAsia="Times New Roman" w:hAnsi="Times New Roman" w:cs="Times New Roman"/>
      <w:b/>
      <w:bCs/>
      <w:i w:val="0"/>
      <w:iCs w:val="0"/>
      <w:smallCaps w:val="0"/>
      <w:strike w:val="0"/>
      <w:sz w:val="19"/>
      <w:szCs w:val="19"/>
      <w:u w:val="none"/>
    </w:rPr>
  </w:style>
  <w:style w:type="character" w:customStyle="1" w:styleId="Cuerpodeltexto3">
    <w:name w:val="Cuerpo del texto (3)_"/>
    <w:basedOn w:val="Fuentedeprrafopredeter"/>
    <w:link w:val="Cuerpodeltexto30"/>
    <w:rsid w:val="00CE1BA7"/>
    <w:rPr>
      <w:rFonts w:ascii="Times New Roman" w:eastAsia="Times New Roman" w:hAnsi="Times New Roman" w:cs="Times New Roman"/>
      <w:b/>
      <w:bCs/>
      <w:shd w:val="clear" w:color="auto" w:fill="FFFFFF"/>
    </w:rPr>
  </w:style>
  <w:style w:type="character" w:customStyle="1" w:styleId="Cuerpodeltexto4">
    <w:name w:val="Cuerpo del texto (4)_"/>
    <w:basedOn w:val="Fuentedeprrafopredeter"/>
    <w:rsid w:val="00CE1BA7"/>
    <w:rPr>
      <w:rFonts w:ascii="Times New Roman" w:eastAsia="Times New Roman" w:hAnsi="Times New Roman" w:cs="Times New Roman"/>
      <w:b w:val="0"/>
      <w:bCs w:val="0"/>
      <w:i w:val="0"/>
      <w:iCs w:val="0"/>
      <w:smallCaps w:val="0"/>
      <w:strike w:val="0"/>
      <w:sz w:val="15"/>
      <w:szCs w:val="15"/>
      <w:u w:val="none"/>
    </w:rPr>
  </w:style>
  <w:style w:type="character" w:customStyle="1" w:styleId="Cuerpodeltexto5">
    <w:name w:val="Cuerpo del texto (5)_"/>
    <w:basedOn w:val="Fuentedeprrafopredeter"/>
    <w:rsid w:val="00CE1BA7"/>
    <w:rPr>
      <w:rFonts w:ascii="Times New Roman" w:eastAsia="Times New Roman" w:hAnsi="Times New Roman" w:cs="Times New Roman"/>
      <w:b/>
      <w:bCs/>
      <w:i w:val="0"/>
      <w:iCs w:val="0"/>
      <w:smallCaps w:val="0"/>
      <w:strike w:val="0"/>
      <w:sz w:val="15"/>
      <w:szCs w:val="15"/>
      <w:u w:val="none"/>
    </w:rPr>
  </w:style>
  <w:style w:type="character" w:customStyle="1" w:styleId="Cuerpodeltexto4Negrita">
    <w:name w:val="Cuerpo del texto (4) + Negrita"/>
    <w:basedOn w:val="Cuerpodeltexto4"/>
    <w:rsid w:val="00CE1BA7"/>
    <w:rPr>
      <w:rFonts w:ascii="Times New Roman" w:eastAsia="Times New Roman" w:hAnsi="Times New Roman" w:cs="Times New Roman"/>
      <w:b/>
      <w:bCs/>
      <w:i w:val="0"/>
      <w:iCs w:val="0"/>
      <w:smallCaps w:val="0"/>
      <w:strike w:val="0"/>
      <w:color w:val="000000"/>
      <w:spacing w:val="0"/>
      <w:w w:val="100"/>
      <w:position w:val="0"/>
      <w:sz w:val="15"/>
      <w:szCs w:val="15"/>
      <w:u w:val="none"/>
      <w:lang w:val="es-ES" w:eastAsia="es-ES" w:bidi="es-ES"/>
    </w:rPr>
  </w:style>
  <w:style w:type="character" w:customStyle="1" w:styleId="Cuerpodeltexto4Cursiva">
    <w:name w:val="Cuerpo del texto (4) + Cursiva"/>
    <w:basedOn w:val="Cuerpodeltexto4"/>
    <w:rsid w:val="00CE1BA7"/>
    <w:rPr>
      <w:rFonts w:ascii="Times New Roman" w:eastAsia="Times New Roman" w:hAnsi="Times New Roman" w:cs="Times New Roman"/>
      <w:b w:val="0"/>
      <w:bCs w:val="0"/>
      <w:i/>
      <w:iCs/>
      <w:smallCaps w:val="0"/>
      <w:strike w:val="0"/>
      <w:color w:val="000000"/>
      <w:spacing w:val="0"/>
      <w:w w:val="100"/>
      <w:position w:val="0"/>
      <w:sz w:val="15"/>
      <w:szCs w:val="15"/>
      <w:u w:val="none"/>
      <w:lang w:val="es-ES" w:eastAsia="es-ES" w:bidi="es-ES"/>
    </w:rPr>
  </w:style>
  <w:style w:type="character" w:customStyle="1" w:styleId="Cuerpodeltexto40">
    <w:name w:val="Cuerpo del texto (4)"/>
    <w:basedOn w:val="Cuerpodeltexto4"/>
    <w:rsid w:val="00CE1BA7"/>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en-US" w:eastAsia="en-US" w:bidi="en-US"/>
    </w:rPr>
  </w:style>
  <w:style w:type="character" w:customStyle="1" w:styleId="Cuerpodeltexto6">
    <w:name w:val="Cuerpo del texto (6)_"/>
    <w:basedOn w:val="Fuentedeprrafopredeter"/>
    <w:link w:val="Cuerpodeltexto60"/>
    <w:rsid w:val="00CE1BA7"/>
    <w:rPr>
      <w:rFonts w:ascii="Times New Roman" w:eastAsia="Times New Roman" w:hAnsi="Times New Roman" w:cs="Times New Roman"/>
      <w:i/>
      <w:iCs/>
      <w:sz w:val="15"/>
      <w:szCs w:val="15"/>
      <w:shd w:val="clear" w:color="auto" w:fill="FFFFFF"/>
    </w:rPr>
  </w:style>
  <w:style w:type="character" w:customStyle="1" w:styleId="Encabezamientoopiedepgina">
    <w:name w:val="Encabezamiento o pie de página_"/>
    <w:basedOn w:val="Fuentedeprrafopredeter"/>
    <w:rsid w:val="00CE1BA7"/>
    <w:rPr>
      <w:rFonts w:ascii="Times New Roman" w:eastAsia="Times New Roman" w:hAnsi="Times New Roman" w:cs="Times New Roman"/>
      <w:b w:val="0"/>
      <w:bCs w:val="0"/>
      <w:i w:val="0"/>
      <w:iCs w:val="0"/>
      <w:smallCaps w:val="0"/>
      <w:strike w:val="0"/>
      <w:sz w:val="19"/>
      <w:szCs w:val="19"/>
      <w:u w:val="none"/>
    </w:rPr>
  </w:style>
  <w:style w:type="character" w:customStyle="1" w:styleId="Encabezamientoopiedepgina0">
    <w:name w:val="Encabezamiento o pie de página"/>
    <w:basedOn w:val="Encabezamientoopiedepgina"/>
    <w:rsid w:val="00CE1BA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s-ES" w:eastAsia="es-ES" w:bidi="es-ES"/>
    </w:rPr>
  </w:style>
  <w:style w:type="character" w:customStyle="1" w:styleId="TDC2Car">
    <w:name w:val="TDC 2 Car"/>
    <w:basedOn w:val="Fuentedeprrafopredeter"/>
    <w:link w:val="TDC2"/>
    <w:rsid w:val="00CE1BA7"/>
    <w:rPr>
      <w:rFonts w:ascii="Times New Roman" w:eastAsia="Calibri" w:hAnsi="Times New Roman" w:cs="Arial"/>
      <w:sz w:val="20"/>
      <w:szCs w:val="24"/>
      <w:lang w:val="en-US"/>
    </w:rPr>
  </w:style>
  <w:style w:type="character" w:customStyle="1" w:styleId="Cuerpodeltexto7">
    <w:name w:val="Cuerpo del texto (7)_"/>
    <w:basedOn w:val="Fuentedeprrafopredeter"/>
    <w:rsid w:val="00CE1BA7"/>
    <w:rPr>
      <w:rFonts w:ascii="Times New Roman" w:eastAsia="Times New Roman" w:hAnsi="Times New Roman" w:cs="Times New Roman"/>
      <w:b/>
      <w:bCs/>
      <w:i w:val="0"/>
      <w:iCs w:val="0"/>
      <w:smallCaps w:val="0"/>
      <w:strike w:val="0"/>
      <w:sz w:val="19"/>
      <w:szCs w:val="19"/>
      <w:u w:val="none"/>
    </w:rPr>
  </w:style>
  <w:style w:type="character" w:customStyle="1" w:styleId="Cuerpodeltexto2">
    <w:name w:val="Cuerpo del texto (2)_"/>
    <w:basedOn w:val="Fuentedeprrafopredeter"/>
    <w:rsid w:val="00CE1BA7"/>
    <w:rPr>
      <w:rFonts w:ascii="Times New Roman" w:eastAsia="Times New Roman" w:hAnsi="Times New Roman" w:cs="Times New Roman"/>
      <w:b w:val="0"/>
      <w:bCs w:val="0"/>
      <w:i w:val="0"/>
      <w:iCs w:val="0"/>
      <w:smallCaps w:val="0"/>
      <w:strike w:val="0"/>
      <w:sz w:val="19"/>
      <w:szCs w:val="19"/>
      <w:u w:val="none"/>
    </w:rPr>
  </w:style>
  <w:style w:type="character" w:customStyle="1" w:styleId="Cuerpodeltexto2Cursiva">
    <w:name w:val="Cuerpo del texto (2) + Cursiva"/>
    <w:basedOn w:val="Cuerpodeltexto2"/>
    <w:rsid w:val="00CE1BA7"/>
    <w:rPr>
      <w:rFonts w:ascii="Times New Roman" w:eastAsia="Times New Roman" w:hAnsi="Times New Roman" w:cs="Times New Roman"/>
      <w:b w:val="0"/>
      <w:bCs w:val="0"/>
      <w:i/>
      <w:iCs/>
      <w:smallCaps w:val="0"/>
      <w:strike w:val="0"/>
      <w:color w:val="000000"/>
      <w:spacing w:val="0"/>
      <w:w w:val="100"/>
      <w:position w:val="0"/>
      <w:sz w:val="19"/>
      <w:szCs w:val="19"/>
      <w:u w:val="none"/>
      <w:lang w:val="es-ES" w:eastAsia="es-ES" w:bidi="es-ES"/>
    </w:rPr>
  </w:style>
  <w:style w:type="character" w:customStyle="1" w:styleId="Cuerpodeltexto20">
    <w:name w:val="Cuerpo del texto (2)"/>
    <w:basedOn w:val="Cuerpodeltexto2"/>
    <w:rsid w:val="00CE1BA7"/>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s-ES" w:eastAsia="es-ES" w:bidi="es-ES"/>
    </w:rPr>
  </w:style>
  <w:style w:type="character" w:customStyle="1" w:styleId="Cuerpodeltexto8">
    <w:name w:val="Cuerpo del texto (8)_"/>
    <w:basedOn w:val="Fuentedeprrafopredeter"/>
    <w:rsid w:val="00CE1BA7"/>
    <w:rPr>
      <w:rFonts w:ascii="Times New Roman" w:eastAsia="Times New Roman" w:hAnsi="Times New Roman" w:cs="Times New Roman"/>
      <w:b/>
      <w:bCs/>
      <w:i/>
      <w:iCs/>
      <w:smallCaps w:val="0"/>
      <w:strike w:val="0"/>
      <w:sz w:val="19"/>
      <w:szCs w:val="19"/>
      <w:u w:val="none"/>
    </w:rPr>
  </w:style>
  <w:style w:type="character" w:customStyle="1" w:styleId="Cuerpodeltexto10Exact">
    <w:name w:val="Cuerpo del texto (10) Exact"/>
    <w:basedOn w:val="Fuentedeprrafopredeter"/>
    <w:link w:val="Cuerpodeltexto10"/>
    <w:rsid w:val="00CE1BA7"/>
    <w:rPr>
      <w:rFonts w:ascii="Impact" w:eastAsia="Impact" w:hAnsi="Impact" w:cs="Impact"/>
      <w:sz w:val="40"/>
      <w:szCs w:val="40"/>
      <w:shd w:val="clear" w:color="auto" w:fill="FFFFFF"/>
    </w:rPr>
  </w:style>
  <w:style w:type="character" w:customStyle="1" w:styleId="Cuerpodeltexto11Exact">
    <w:name w:val="Cuerpo del texto (11) Exact"/>
    <w:basedOn w:val="Fuentedeprrafopredeter"/>
    <w:rsid w:val="00CE1BA7"/>
    <w:rPr>
      <w:rFonts w:ascii="Arial" w:eastAsia="Arial" w:hAnsi="Arial" w:cs="Arial"/>
      <w:b w:val="0"/>
      <w:bCs w:val="0"/>
      <w:i w:val="0"/>
      <w:iCs w:val="0"/>
      <w:smallCaps w:val="0"/>
      <w:strike w:val="0"/>
      <w:sz w:val="13"/>
      <w:szCs w:val="13"/>
      <w:u w:val="none"/>
    </w:rPr>
  </w:style>
  <w:style w:type="character" w:customStyle="1" w:styleId="Cuerpodeltexto11VersalesExact">
    <w:name w:val="Cuerpo del texto (11) + Versales Exact"/>
    <w:basedOn w:val="Cuerpodeltexto11"/>
    <w:rsid w:val="00CE1BA7"/>
    <w:rPr>
      <w:rFonts w:ascii="Arial" w:eastAsia="Arial" w:hAnsi="Arial" w:cs="Arial"/>
      <w:b w:val="0"/>
      <w:bCs w:val="0"/>
      <w:i w:val="0"/>
      <w:iCs w:val="0"/>
      <w:smallCaps/>
      <w:strike w:val="0"/>
      <w:sz w:val="13"/>
      <w:szCs w:val="13"/>
      <w:u w:val="none"/>
    </w:rPr>
  </w:style>
  <w:style w:type="character" w:customStyle="1" w:styleId="Cuerpodeltexto11TimesNewRoman">
    <w:name w:val="Cuerpo del texto (11) + Times New Roman"/>
    <w:aliases w:val="5 pto,Cursiva Exact,Cuerpo del texto (2) + 7,Negrita,Encabezamiento o pie de página + 8,Cuerpo del texto (2) + Arial,6,Leyenda de la tabla (3) + Times New Roman,Cuerpo del texto (8) + 8,Sin cursiva,9 pto,4"/>
    <w:basedOn w:val="Cuerpodeltexto11"/>
    <w:rsid w:val="00CE1BA7"/>
    <w:rPr>
      <w:rFonts w:ascii="Times New Roman" w:eastAsia="Times New Roman" w:hAnsi="Times New Roman" w:cs="Times New Roman"/>
      <w:b w:val="0"/>
      <w:bCs w:val="0"/>
      <w:i/>
      <w:iCs/>
      <w:smallCaps w:val="0"/>
      <w:strike w:val="0"/>
      <w:sz w:val="15"/>
      <w:szCs w:val="15"/>
      <w:u w:val="none"/>
    </w:rPr>
  </w:style>
  <w:style w:type="character" w:customStyle="1" w:styleId="Cuerpodeltexto9">
    <w:name w:val="Cuerpo del texto (9)_"/>
    <w:basedOn w:val="Fuentedeprrafopredeter"/>
    <w:rsid w:val="00CE1BA7"/>
    <w:rPr>
      <w:rFonts w:ascii="Times New Roman" w:eastAsia="Times New Roman" w:hAnsi="Times New Roman" w:cs="Times New Roman"/>
      <w:b w:val="0"/>
      <w:bCs w:val="0"/>
      <w:i/>
      <w:iCs/>
      <w:smallCaps w:val="0"/>
      <w:strike w:val="0"/>
      <w:sz w:val="19"/>
      <w:szCs w:val="19"/>
      <w:u w:val="none"/>
    </w:rPr>
  </w:style>
  <w:style w:type="character" w:customStyle="1" w:styleId="Ttulo22">
    <w:name w:val="Título #2"/>
    <w:basedOn w:val="Ttulo21"/>
    <w:rsid w:val="00CE1BA7"/>
    <w:rPr>
      <w:rFonts w:ascii="Times New Roman" w:eastAsia="Times New Roman" w:hAnsi="Times New Roman" w:cs="Times New Roman"/>
      <w:b/>
      <w:bCs/>
      <w:i w:val="0"/>
      <w:iCs w:val="0"/>
      <w:smallCaps w:val="0"/>
      <w:strike w:val="0"/>
      <w:color w:val="000000"/>
      <w:spacing w:val="0"/>
      <w:w w:val="100"/>
      <w:position w:val="0"/>
      <w:sz w:val="19"/>
      <w:szCs w:val="19"/>
      <w:u w:val="single"/>
      <w:lang w:val="es-ES" w:eastAsia="es-ES" w:bidi="es-ES"/>
    </w:rPr>
  </w:style>
  <w:style w:type="character" w:customStyle="1" w:styleId="Leyendadelatabla">
    <w:name w:val="Leyenda de la tabla_"/>
    <w:basedOn w:val="Fuentedeprrafopredeter"/>
    <w:rsid w:val="00CE1BA7"/>
    <w:rPr>
      <w:rFonts w:ascii="Times New Roman" w:eastAsia="Times New Roman" w:hAnsi="Times New Roman" w:cs="Times New Roman"/>
      <w:b/>
      <w:bCs/>
      <w:i w:val="0"/>
      <w:iCs w:val="0"/>
      <w:smallCaps w:val="0"/>
      <w:strike w:val="0"/>
      <w:sz w:val="15"/>
      <w:szCs w:val="15"/>
      <w:u w:val="none"/>
    </w:rPr>
  </w:style>
  <w:style w:type="character" w:customStyle="1" w:styleId="Ttulo12">
    <w:name w:val="Título #1_"/>
    <w:basedOn w:val="Fuentedeprrafopredeter"/>
    <w:rsid w:val="00CE1BA7"/>
    <w:rPr>
      <w:rFonts w:ascii="Arial" w:eastAsia="Arial" w:hAnsi="Arial" w:cs="Arial"/>
      <w:b/>
      <w:bCs/>
      <w:i w:val="0"/>
      <w:iCs w:val="0"/>
      <w:smallCaps w:val="0"/>
      <w:strike w:val="0"/>
      <w:sz w:val="21"/>
      <w:szCs w:val="21"/>
      <w:u w:val="none"/>
    </w:rPr>
  </w:style>
  <w:style w:type="character" w:customStyle="1" w:styleId="Ttulo13">
    <w:name w:val="Título #1"/>
    <w:basedOn w:val="Ttulo12"/>
    <w:rsid w:val="00CE1BA7"/>
    <w:rPr>
      <w:rFonts w:ascii="Arial" w:eastAsia="Arial" w:hAnsi="Arial" w:cs="Arial"/>
      <w:b/>
      <w:bCs/>
      <w:i w:val="0"/>
      <w:iCs w:val="0"/>
      <w:smallCaps w:val="0"/>
      <w:strike w:val="0"/>
      <w:color w:val="000000"/>
      <w:spacing w:val="0"/>
      <w:w w:val="100"/>
      <w:position w:val="0"/>
      <w:sz w:val="21"/>
      <w:szCs w:val="21"/>
      <w:u w:val="none"/>
      <w:lang w:val="es-ES" w:eastAsia="es-ES" w:bidi="es-ES"/>
    </w:rPr>
  </w:style>
  <w:style w:type="character" w:customStyle="1" w:styleId="LeyendadelaimagenExact">
    <w:name w:val="Leyenda de la imagen Exact"/>
    <w:basedOn w:val="Fuentedeprrafopredeter"/>
    <w:link w:val="Leyendadelaimagen"/>
    <w:rsid w:val="00CE1BA7"/>
    <w:rPr>
      <w:rFonts w:ascii="Arial" w:eastAsia="Arial" w:hAnsi="Arial" w:cs="Arial"/>
      <w:sz w:val="13"/>
      <w:szCs w:val="13"/>
      <w:shd w:val="clear" w:color="auto" w:fill="FFFFFF"/>
    </w:rPr>
  </w:style>
  <w:style w:type="character" w:customStyle="1" w:styleId="Cuerpodeltexto12">
    <w:name w:val="Cuerpo del texto (12)_"/>
    <w:basedOn w:val="Fuentedeprrafopredeter"/>
    <w:rsid w:val="00CE1BA7"/>
    <w:rPr>
      <w:rFonts w:ascii="Arial" w:eastAsia="Arial" w:hAnsi="Arial" w:cs="Arial"/>
      <w:b w:val="0"/>
      <w:bCs w:val="0"/>
      <w:i w:val="0"/>
      <w:iCs w:val="0"/>
      <w:smallCaps w:val="0"/>
      <w:strike w:val="0"/>
      <w:sz w:val="18"/>
      <w:szCs w:val="18"/>
      <w:u w:val="none"/>
    </w:rPr>
  </w:style>
  <w:style w:type="character" w:customStyle="1" w:styleId="Cuerpodeltexto120">
    <w:name w:val="Cuerpo del texto (12)"/>
    <w:basedOn w:val="Cuerpodeltexto12"/>
    <w:rsid w:val="00CE1BA7"/>
    <w:rPr>
      <w:rFonts w:ascii="Arial" w:eastAsia="Arial" w:hAnsi="Arial" w:cs="Arial"/>
      <w:b w:val="0"/>
      <w:bCs w:val="0"/>
      <w:i w:val="0"/>
      <w:iCs w:val="0"/>
      <w:smallCaps w:val="0"/>
      <w:strike w:val="0"/>
      <w:color w:val="000000"/>
      <w:spacing w:val="0"/>
      <w:w w:val="100"/>
      <w:position w:val="0"/>
      <w:sz w:val="18"/>
      <w:szCs w:val="18"/>
      <w:u w:val="none"/>
      <w:lang w:val="es-ES" w:eastAsia="es-ES" w:bidi="es-ES"/>
    </w:rPr>
  </w:style>
  <w:style w:type="character" w:customStyle="1" w:styleId="Cuerpodeltexto11">
    <w:name w:val="Cuerpo del texto (11)_"/>
    <w:basedOn w:val="Fuentedeprrafopredeter"/>
    <w:rsid w:val="00CE1BA7"/>
    <w:rPr>
      <w:rFonts w:ascii="Arial" w:eastAsia="Arial" w:hAnsi="Arial" w:cs="Arial"/>
      <w:b w:val="0"/>
      <w:bCs w:val="0"/>
      <w:i w:val="0"/>
      <w:iCs w:val="0"/>
      <w:smallCaps w:val="0"/>
      <w:strike w:val="0"/>
      <w:sz w:val="13"/>
      <w:szCs w:val="13"/>
      <w:u w:val="none"/>
    </w:rPr>
  </w:style>
  <w:style w:type="character" w:customStyle="1" w:styleId="Cuerpodeltexto110">
    <w:name w:val="Cuerpo del texto (11)"/>
    <w:basedOn w:val="Cuerpodeltexto11"/>
    <w:rsid w:val="00CE1BA7"/>
    <w:rPr>
      <w:rFonts w:ascii="Arial" w:eastAsia="Arial" w:hAnsi="Arial" w:cs="Arial"/>
      <w:b w:val="0"/>
      <w:bCs w:val="0"/>
      <w:i w:val="0"/>
      <w:iCs w:val="0"/>
      <w:smallCaps w:val="0"/>
      <w:strike w:val="0"/>
      <w:color w:val="000000"/>
      <w:spacing w:val="0"/>
      <w:w w:val="100"/>
      <w:position w:val="0"/>
      <w:sz w:val="13"/>
      <w:szCs w:val="13"/>
      <w:u w:val="none"/>
      <w:lang w:val="es-ES" w:eastAsia="es-ES" w:bidi="es-ES"/>
    </w:rPr>
  </w:style>
  <w:style w:type="character" w:customStyle="1" w:styleId="Cuerpodeltexto2Negrita">
    <w:name w:val="Cuerpo del texto (2) + Negrita"/>
    <w:aliases w:val="Cursiva,Encabezamiento o pie de página (2) + 9 pto,Encabezamiento o pie de página (3) + 9 pto,Título #2 + Sin negrita"/>
    <w:basedOn w:val="Cuerpodeltexto2"/>
    <w:rsid w:val="00CE1BA7"/>
    <w:rPr>
      <w:rFonts w:ascii="Times New Roman" w:eastAsia="Times New Roman" w:hAnsi="Times New Roman" w:cs="Times New Roman"/>
      <w:b/>
      <w:bCs/>
      <w:i/>
      <w:iCs/>
      <w:smallCaps w:val="0"/>
      <w:strike w:val="0"/>
      <w:color w:val="000000"/>
      <w:spacing w:val="0"/>
      <w:w w:val="100"/>
      <w:position w:val="0"/>
      <w:sz w:val="19"/>
      <w:szCs w:val="19"/>
      <w:u w:val="none"/>
      <w:lang w:val="es-ES" w:eastAsia="es-ES" w:bidi="es-ES"/>
    </w:rPr>
  </w:style>
  <w:style w:type="character" w:customStyle="1" w:styleId="Leyendadelatabla2">
    <w:name w:val="Leyenda de la tabla (2)_"/>
    <w:basedOn w:val="Fuentedeprrafopredeter"/>
    <w:link w:val="Leyendadelatabla20"/>
    <w:rsid w:val="00CE1BA7"/>
    <w:rPr>
      <w:rFonts w:ascii="Times New Roman" w:eastAsia="Times New Roman" w:hAnsi="Times New Roman" w:cs="Times New Roman"/>
      <w:i/>
      <w:iCs/>
      <w:sz w:val="19"/>
      <w:szCs w:val="19"/>
      <w:shd w:val="clear" w:color="auto" w:fill="FFFFFF"/>
    </w:rPr>
  </w:style>
  <w:style w:type="character" w:customStyle="1" w:styleId="LeyendadelatablaExact">
    <w:name w:val="Leyenda de la tabla Exact"/>
    <w:basedOn w:val="Fuentedeprrafopredeter"/>
    <w:rsid w:val="00CE1BA7"/>
    <w:rPr>
      <w:rFonts w:ascii="Times New Roman" w:eastAsia="Times New Roman" w:hAnsi="Times New Roman" w:cs="Times New Roman"/>
      <w:b/>
      <w:bCs/>
      <w:i w:val="0"/>
      <w:iCs w:val="0"/>
      <w:smallCaps w:val="0"/>
      <w:strike w:val="0"/>
      <w:sz w:val="15"/>
      <w:szCs w:val="15"/>
      <w:u w:val="none"/>
    </w:rPr>
  </w:style>
  <w:style w:type="character" w:customStyle="1" w:styleId="Cuerpodeltexto210pto">
    <w:name w:val="Cuerpo del texto (2) + 10 pto"/>
    <w:basedOn w:val="Cuerpodeltexto2"/>
    <w:rsid w:val="00CE1B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s-ES" w:eastAsia="es-ES" w:bidi="es-ES"/>
    </w:rPr>
  </w:style>
  <w:style w:type="character" w:customStyle="1" w:styleId="Cuerpodeltexto5Sinnegrita">
    <w:name w:val="Cuerpo del texto (5) + Sin negrita"/>
    <w:basedOn w:val="Cuerpodeltexto5"/>
    <w:rsid w:val="00CE1BA7"/>
    <w:rPr>
      <w:rFonts w:ascii="Times New Roman" w:eastAsia="Times New Roman" w:hAnsi="Times New Roman" w:cs="Times New Roman"/>
      <w:b/>
      <w:bCs/>
      <w:i w:val="0"/>
      <w:iCs w:val="0"/>
      <w:smallCaps w:val="0"/>
      <w:strike w:val="0"/>
      <w:color w:val="000000"/>
      <w:spacing w:val="0"/>
      <w:w w:val="100"/>
      <w:position w:val="0"/>
      <w:sz w:val="15"/>
      <w:szCs w:val="15"/>
      <w:u w:val="none"/>
      <w:lang w:val="es-ES" w:eastAsia="es-ES" w:bidi="es-ES"/>
    </w:rPr>
  </w:style>
  <w:style w:type="character" w:customStyle="1" w:styleId="Cuerpodeltexto13">
    <w:name w:val="Cuerpo del texto (13)_"/>
    <w:basedOn w:val="Fuentedeprrafopredeter"/>
    <w:link w:val="Cuerpodeltexto130"/>
    <w:rsid w:val="00CE1BA7"/>
    <w:rPr>
      <w:rFonts w:ascii="Times New Roman" w:eastAsia="Times New Roman" w:hAnsi="Times New Roman" w:cs="Times New Roman"/>
      <w:i/>
      <w:iCs/>
      <w:sz w:val="17"/>
      <w:szCs w:val="17"/>
      <w:shd w:val="clear" w:color="auto" w:fill="FFFFFF"/>
    </w:rPr>
  </w:style>
  <w:style w:type="character" w:customStyle="1" w:styleId="LeyendadelatablaGeorgia">
    <w:name w:val="Leyenda de la tabla + Georgia"/>
    <w:aliases w:val="6 pto,Sin negrita,Cuerpo del texto (2) + Georgia,Cuerpo del texto (4) + Georgia,Cuerpo del texto (5) + Georgia,Encabezamiento o pie de página (2) + 10 pto,Leyenda de la tabla (10) + 4 pto,Cuerpo del texto (19) + Arial,7 pto"/>
    <w:basedOn w:val="Leyendadelatabla"/>
    <w:rsid w:val="00CE1BA7"/>
    <w:rPr>
      <w:rFonts w:ascii="Georgia" w:eastAsia="Georgia" w:hAnsi="Georgia" w:cs="Georgia"/>
      <w:b/>
      <w:bCs/>
      <w:i w:val="0"/>
      <w:iCs w:val="0"/>
      <w:smallCaps w:val="0"/>
      <w:strike w:val="0"/>
      <w:color w:val="000000"/>
      <w:spacing w:val="0"/>
      <w:w w:val="100"/>
      <w:position w:val="0"/>
      <w:sz w:val="12"/>
      <w:szCs w:val="12"/>
      <w:u w:val="none"/>
      <w:lang w:val="es-ES" w:eastAsia="es-ES" w:bidi="es-ES"/>
    </w:rPr>
  </w:style>
  <w:style w:type="character" w:customStyle="1" w:styleId="Leyendadelatabla3">
    <w:name w:val="Leyenda de la tabla (3)_"/>
    <w:basedOn w:val="Fuentedeprrafopredeter"/>
    <w:rsid w:val="00CE1BA7"/>
    <w:rPr>
      <w:rFonts w:ascii="Arial" w:eastAsia="Arial" w:hAnsi="Arial" w:cs="Arial"/>
      <w:b w:val="0"/>
      <w:bCs w:val="0"/>
      <w:i w:val="0"/>
      <w:iCs w:val="0"/>
      <w:smallCaps w:val="0"/>
      <w:strike w:val="0"/>
      <w:sz w:val="13"/>
      <w:szCs w:val="13"/>
      <w:u w:val="none"/>
    </w:rPr>
  </w:style>
  <w:style w:type="character" w:customStyle="1" w:styleId="Leyendadelatabla30">
    <w:name w:val="Leyenda de la tabla (3)"/>
    <w:basedOn w:val="Leyendadelatabla3"/>
    <w:rsid w:val="00CE1BA7"/>
    <w:rPr>
      <w:rFonts w:ascii="Arial" w:eastAsia="Arial" w:hAnsi="Arial" w:cs="Arial"/>
      <w:b w:val="0"/>
      <w:bCs w:val="0"/>
      <w:i w:val="0"/>
      <w:iCs w:val="0"/>
      <w:smallCaps w:val="0"/>
      <w:strike w:val="0"/>
      <w:color w:val="000000"/>
      <w:spacing w:val="0"/>
      <w:w w:val="100"/>
      <w:position w:val="0"/>
      <w:sz w:val="13"/>
      <w:szCs w:val="13"/>
      <w:u w:val="single"/>
      <w:lang w:val="es-ES" w:eastAsia="es-ES" w:bidi="es-ES"/>
    </w:rPr>
  </w:style>
  <w:style w:type="character" w:customStyle="1" w:styleId="Cuerpodeltexto14">
    <w:name w:val="Cuerpo del texto (14)_"/>
    <w:basedOn w:val="Fuentedeprrafopredeter"/>
    <w:link w:val="Cuerpodeltexto140"/>
    <w:rsid w:val="00CE1BA7"/>
    <w:rPr>
      <w:rFonts w:ascii="Times New Roman" w:eastAsia="Times New Roman" w:hAnsi="Times New Roman" w:cs="Times New Roman"/>
      <w:b/>
      <w:bCs/>
      <w:sz w:val="17"/>
      <w:szCs w:val="17"/>
      <w:shd w:val="clear" w:color="auto" w:fill="FFFFFF"/>
    </w:rPr>
  </w:style>
  <w:style w:type="character" w:customStyle="1" w:styleId="Cuerpodeltexto29pto">
    <w:name w:val="Cuerpo del texto (2) + 9 pto"/>
    <w:basedOn w:val="Cuerpodeltexto2"/>
    <w:rsid w:val="00CE1BA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s-ES" w:eastAsia="es-ES" w:bidi="es-ES"/>
    </w:rPr>
  </w:style>
  <w:style w:type="character" w:customStyle="1" w:styleId="Cuerpodeltexto15">
    <w:name w:val="Cuerpo del texto (15)_"/>
    <w:basedOn w:val="Fuentedeprrafopredeter"/>
    <w:link w:val="Cuerpodeltexto150"/>
    <w:rsid w:val="00CE1BA7"/>
    <w:rPr>
      <w:rFonts w:ascii="Times New Roman" w:eastAsia="Times New Roman" w:hAnsi="Times New Roman" w:cs="Times New Roman"/>
      <w:b/>
      <w:bCs/>
      <w:i/>
      <w:iCs/>
      <w:sz w:val="19"/>
      <w:szCs w:val="19"/>
      <w:shd w:val="clear" w:color="auto" w:fill="FFFFFF"/>
    </w:rPr>
  </w:style>
  <w:style w:type="character" w:customStyle="1" w:styleId="Cuerpodeltexto15Sincursiva">
    <w:name w:val="Cuerpo del texto (15) + Sin cursiva"/>
    <w:basedOn w:val="Cuerpodeltexto15"/>
    <w:rsid w:val="00CE1BA7"/>
    <w:rPr>
      <w:rFonts w:ascii="Times New Roman" w:eastAsia="Times New Roman" w:hAnsi="Times New Roman" w:cs="Times New Roman"/>
      <w:b/>
      <w:bCs/>
      <w:i/>
      <w:iCs/>
      <w:color w:val="000000"/>
      <w:spacing w:val="0"/>
      <w:w w:val="100"/>
      <w:position w:val="0"/>
      <w:sz w:val="19"/>
      <w:szCs w:val="19"/>
      <w:shd w:val="clear" w:color="auto" w:fill="FFFFFF"/>
      <w:lang w:val="es-ES" w:eastAsia="es-ES" w:bidi="es-ES"/>
    </w:rPr>
  </w:style>
  <w:style w:type="character" w:customStyle="1" w:styleId="Leyendadelatabla4Exact">
    <w:name w:val="Leyenda de la tabla (4) Exact"/>
    <w:basedOn w:val="Fuentedeprrafopredeter"/>
    <w:rsid w:val="00CE1BA7"/>
    <w:rPr>
      <w:rFonts w:ascii="Times New Roman" w:eastAsia="Times New Roman" w:hAnsi="Times New Roman" w:cs="Times New Roman"/>
      <w:b w:val="0"/>
      <w:bCs w:val="0"/>
      <w:i w:val="0"/>
      <w:iCs w:val="0"/>
      <w:smallCaps w:val="0"/>
      <w:strike w:val="0"/>
      <w:sz w:val="15"/>
      <w:szCs w:val="15"/>
      <w:u w:val="none"/>
    </w:rPr>
  </w:style>
  <w:style w:type="character" w:customStyle="1" w:styleId="Cuerpodeltexto26pto">
    <w:name w:val="Cuerpo del texto (2) + 6 pto"/>
    <w:basedOn w:val="Cuerpodeltexto2"/>
    <w:rsid w:val="00CE1BA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es-ES" w:eastAsia="es-ES" w:bidi="es-ES"/>
    </w:rPr>
  </w:style>
  <w:style w:type="character" w:customStyle="1" w:styleId="Cuerpodeltexto24pto">
    <w:name w:val="Cuerpo del texto (2) + 4 pto"/>
    <w:basedOn w:val="Cuerpodeltexto2"/>
    <w:rsid w:val="00CE1BA7"/>
    <w:rPr>
      <w:rFonts w:ascii="Times New Roman" w:eastAsia="Times New Roman" w:hAnsi="Times New Roman" w:cs="Times New Roman"/>
      <w:b w:val="0"/>
      <w:bCs w:val="0"/>
      <w:i w:val="0"/>
      <w:iCs w:val="0"/>
      <w:smallCaps w:val="0"/>
      <w:strike w:val="0"/>
      <w:color w:val="000000"/>
      <w:spacing w:val="0"/>
      <w:w w:val="100"/>
      <w:position w:val="0"/>
      <w:sz w:val="8"/>
      <w:szCs w:val="8"/>
      <w:u w:val="none"/>
      <w:lang w:val="es-ES" w:eastAsia="es-ES" w:bidi="es-ES"/>
    </w:rPr>
  </w:style>
  <w:style w:type="character" w:customStyle="1" w:styleId="Cuerpodeltexto2Tahoma">
    <w:name w:val="Cuerpo del texto (2) + Tahoma"/>
    <w:aliases w:val="4 pto"/>
    <w:basedOn w:val="Cuerpodeltexto2"/>
    <w:rsid w:val="00CE1BA7"/>
    <w:rPr>
      <w:rFonts w:ascii="Tahoma" w:eastAsia="Tahoma" w:hAnsi="Tahoma" w:cs="Tahoma"/>
      <w:b w:val="0"/>
      <w:bCs w:val="0"/>
      <w:i w:val="0"/>
      <w:iCs w:val="0"/>
      <w:smallCaps w:val="0"/>
      <w:strike w:val="0"/>
      <w:color w:val="000000"/>
      <w:spacing w:val="0"/>
      <w:w w:val="100"/>
      <w:position w:val="0"/>
      <w:sz w:val="8"/>
      <w:szCs w:val="8"/>
      <w:u w:val="none"/>
      <w:lang w:val="es-ES" w:eastAsia="es-ES" w:bidi="es-ES"/>
    </w:rPr>
  </w:style>
  <w:style w:type="character" w:customStyle="1" w:styleId="Encabezamientoopiedepgina2">
    <w:name w:val="Encabezamiento o pie de página (2)_"/>
    <w:basedOn w:val="Fuentedeprrafopredeter"/>
    <w:link w:val="Encabezamientoopiedepgina20"/>
    <w:rsid w:val="00CE1BA7"/>
    <w:rPr>
      <w:rFonts w:ascii="Times New Roman" w:eastAsia="Times New Roman" w:hAnsi="Times New Roman" w:cs="Times New Roman"/>
      <w:b/>
      <w:bCs/>
      <w:sz w:val="17"/>
      <w:szCs w:val="17"/>
      <w:shd w:val="clear" w:color="auto" w:fill="FFFFFF"/>
    </w:rPr>
  </w:style>
  <w:style w:type="character" w:customStyle="1" w:styleId="Leyendadelatabla5">
    <w:name w:val="Leyenda de la tabla (5)_"/>
    <w:basedOn w:val="Fuentedeprrafopredeter"/>
    <w:link w:val="Leyendadelatabla50"/>
    <w:rsid w:val="00CE1BA7"/>
    <w:rPr>
      <w:rFonts w:ascii="Times New Roman" w:eastAsia="Times New Roman" w:hAnsi="Times New Roman" w:cs="Times New Roman"/>
      <w:sz w:val="18"/>
      <w:szCs w:val="18"/>
      <w:shd w:val="clear" w:color="auto" w:fill="FFFFFF"/>
    </w:rPr>
  </w:style>
  <w:style w:type="character" w:customStyle="1" w:styleId="Encabezamientoopiedepgina28pto">
    <w:name w:val="Encabezamiento o pie de página (2) + 8 pto"/>
    <w:basedOn w:val="Encabezamientoopiedepgina2"/>
    <w:rsid w:val="00CE1BA7"/>
    <w:rPr>
      <w:rFonts w:ascii="Times New Roman" w:eastAsia="Times New Roman" w:hAnsi="Times New Roman" w:cs="Times New Roman"/>
      <w:b/>
      <w:bCs/>
      <w:color w:val="000000"/>
      <w:spacing w:val="0"/>
      <w:w w:val="100"/>
      <w:position w:val="0"/>
      <w:sz w:val="16"/>
      <w:szCs w:val="16"/>
      <w:shd w:val="clear" w:color="auto" w:fill="FFFFFF"/>
      <w:lang w:val="es-ES" w:eastAsia="es-ES" w:bidi="es-ES"/>
    </w:rPr>
  </w:style>
  <w:style w:type="character" w:customStyle="1" w:styleId="Leyendadelatabla4">
    <w:name w:val="Leyenda de la tabla (4)_"/>
    <w:basedOn w:val="Fuentedeprrafopredeter"/>
    <w:rsid w:val="00CE1BA7"/>
    <w:rPr>
      <w:rFonts w:ascii="Times New Roman" w:eastAsia="Times New Roman" w:hAnsi="Times New Roman" w:cs="Times New Roman"/>
      <w:b w:val="0"/>
      <w:bCs w:val="0"/>
      <w:i w:val="0"/>
      <w:iCs w:val="0"/>
      <w:smallCaps w:val="0"/>
      <w:strike w:val="0"/>
      <w:sz w:val="15"/>
      <w:szCs w:val="15"/>
      <w:u w:val="none"/>
    </w:rPr>
  </w:style>
  <w:style w:type="character" w:customStyle="1" w:styleId="Leyendadelatabla6">
    <w:name w:val="Leyenda de la tabla (6)_"/>
    <w:basedOn w:val="Fuentedeprrafopredeter"/>
    <w:link w:val="Leyendadelatabla60"/>
    <w:rsid w:val="00CE1BA7"/>
    <w:rPr>
      <w:rFonts w:ascii="Times New Roman" w:eastAsia="Times New Roman" w:hAnsi="Times New Roman" w:cs="Times New Roman"/>
      <w:i/>
      <w:iCs/>
      <w:sz w:val="15"/>
      <w:szCs w:val="15"/>
      <w:shd w:val="clear" w:color="auto" w:fill="FFFFFF"/>
    </w:rPr>
  </w:style>
  <w:style w:type="character" w:customStyle="1" w:styleId="Cuerpodeltexto4NegritaExact">
    <w:name w:val="Cuerpo del texto (4) + Negrita Exact"/>
    <w:basedOn w:val="Cuerpodeltexto4"/>
    <w:rsid w:val="00CE1BA7"/>
    <w:rPr>
      <w:rFonts w:ascii="Times New Roman" w:eastAsia="Times New Roman" w:hAnsi="Times New Roman" w:cs="Times New Roman"/>
      <w:b/>
      <w:bCs/>
      <w:i w:val="0"/>
      <w:iCs w:val="0"/>
      <w:smallCaps w:val="0"/>
      <w:strike w:val="0"/>
      <w:color w:val="000000"/>
      <w:spacing w:val="0"/>
      <w:w w:val="100"/>
      <w:position w:val="0"/>
      <w:sz w:val="15"/>
      <w:szCs w:val="15"/>
      <w:u w:val="none"/>
      <w:lang w:val="es-ES" w:eastAsia="es-ES" w:bidi="es-ES"/>
    </w:rPr>
  </w:style>
  <w:style w:type="character" w:customStyle="1" w:styleId="Cuerpodeltexto5SinnegritaExact">
    <w:name w:val="Cuerpo del texto (5) + Sin negrita Exact"/>
    <w:basedOn w:val="Cuerpodeltexto5"/>
    <w:rsid w:val="00CE1BA7"/>
    <w:rPr>
      <w:rFonts w:ascii="Times New Roman" w:eastAsia="Times New Roman" w:hAnsi="Times New Roman" w:cs="Times New Roman"/>
      <w:b/>
      <w:bCs/>
      <w:i w:val="0"/>
      <w:iCs w:val="0"/>
      <w:smallCaps w:val="0"/>
      <w:strike w:val="0"/>
      <w:color w:val="000000"/>
      <w:spacing w:val="0"/>
      <w:w w:val="100"/>
      <w:position w:val="0"/>
      <w:sz w:val="15"/>
      <w:szCs w:val="15"/>
      <w:u w:val="none"/>
      <w:lang w:val="es-ES" w:eastAsia="es-ES" w:bidi="es-ES"/>
    </w:rPr>
  </w:style>
  <w:style w:type="character" w:customStyle="1" w:styleId="Leyendadelatabla4Cursiva">
    <w:name w:val="Leyenda de la tabla (4) + Cursiva"/>
    <w:basedOn w:val="Leyendadelatabla4"/>
    <w:rsid w:val="00CE1BA7"/>
    <w:rPr>
      <w:rFonts w:ascii="Times New Roman" w:eastAsia="Times New Roman" w:hAnsi="Times New Roman" w:cs="Times New Roman"/>
      <w:b w:val="0"/>
      <w:bCs w:val="0"/>
      <w:i/>
      <w:iCs/>
      <w:smallCaps w:val="0"/>
      <w:strike w:val="0"/>
      <w:color w:val="000000"/>
      <w:spacing w:val="0"/>
      <w:w w:val="100"/>
      <w:position w:val="0"/>
      <w:sz w:val="15"/>
      <w:szCs w:val="15"/>
      <w:u w:val="none"/>
      <w:lang w:val="es-ES" w:eastAsia="es-ES" w:bidi="es-ES"/>
    </w:rPr>
  </w:style>
  <w:style w:type="character" w:customStyle="1" w:styleId="Leyendadelatabla7Exact">
    <w:name w:val="Leyenda de la tabla (7) Exact"/>
    <w:basedOn w:val="Fuentedeprrafopredeter"/>
    <w:rsid w:val="00CE1BA7"/>
    <w:rPr>
      <w:rFonts w:ascii="Times New Roman" w:eastAsia="Times New Roman" w:hAnsi="Times New Roman" w:cs="Times New Roman"/>
      <w:b w:val="0"/>
      <w:bCs w:val="0"/>
      <w:i w:val="0"/>
      <w:iCs w:val="0"/>
      <w:smallCaps w:val="0"/>
      <w:strike w:val="0"/>
      <w:sz w:val="12"/>
      <w:szCs w:val="12"/>
      <w:u w:val="none"/>
    </w:rPr>
  </w:style>
  <w:style w:type="character" w:customStyle="1" w:styleId="Leyendadelaimagen2">
    <w:name w:val="Leyenda de la imagen (2)_"/>
    <w:basedOn w:val="Fuentedeprrafopredeter"/>
    <w:link w:val="Leyendadelaimagen20"/>
    <w:rsid w:val="00CE1BA7"/>
    <w:rPr>
      <w:rFonts w:ascii="Calibri" w:eastAsia="Calibri" w:hAnsi="Calibri" w:cs="Calibri"/>
      <w:b/>
      <w:bCs/>
      <w:sz w:val="18"/>
      <w:szCs w:val="18"/>
      <w:shd w:val="clear" w:color="auto" w:fill="FFFFFF"/>
    </w:rPr>
  </w:style>
  <w:style w:type="character" w:customStyle="1" w:styleId="Leyendadelaimagen3">
    <w:name w:val="Leyenda de la imagen (3)_"/>
    <w:basedOn w:val="Fuentedeprrafopredeter"/>
    <w:link w:val="Leyendadelaimagen30"/>
    <w:rsid w:val="00CE1BA7"/>
    <w:rPr>
      <w:rFonts w:ascii="Times New Roman" w:eastAsia="Times New Roman" w:hAnsi="Times New Roman" w:cs="Times New Roman"/>
      <w:b/>
      <w:bCs/>
      <w:sz w:val="15"/>
      <w:szCs w:val="15"/>
      <w:shd w:val="clear" w:color="auto" w:fill="FFFFFF"/>
    </w:rPr>
  </w:style>
  <w:style w:type="character" w:customStyle="1" w:styleId="Leyendadelatabla8">
    <w:name w:val="Leyenda de la tabla (8)_"/>
    <w:basedOn w:val="Fuentedeprrafopredeter"/>
    <w:link w:val="Leyendadelatabla80"/>
    <w:rsid w:val="00CE1BA7"/>
    <w:rPr>
      <w:rFonts w:ascii="Times New Roman" w:eastAsia="Times New Roman" w:hAnsi="Times New Roman" w:cs="Times New Roman"/>
      <w:b/>
      <w:bCs/>
      <w:sz w:val="19"/>
      <w:szCs w:val="19"/>
      <w:shd w:val="clear" w:color="auto" w:fill="FFFFFF"/>
    </w:rPr>
  </w:style>
  <w:style w:type="character" w:customStyle="1" w:styleId="Cuerpodeltexto2Versales">
    <w:name w:val="Cuerpo del texto (2) + Versales"/>
    <w:basedOn w:val="Cuerpodeltexto2"/>
    <w:rsid w:val="00CE1BA7"/>
    <w:rPr>
      <w:rFonts w:ascii="Times New Roman" w:eastAsia="Times New Roman" w:hAnsi="Times New Roman" w:cs="Times New Roman"/>
      <w:b w:val="0"/>
      <w:bCs w:val="0"/>
      <w:i w:val="0"/>
      <w:iCs w:val="0"/>
      <w:smallCaps/>
      <w:strike w:val="0"/>
      <w:color w:val="000000"/>
      <w:spacing w:val="0"/>
      <w:w w:val="100"/>
      <w:position w:val="0"/>
      <w:sz w:val="19"/>
      <w:szCs w:val="19"/>
      <w:u w:val="none"/>
      <w:lang w:val="es-ES" w:eastAsia="es-ES" w:bidi="es-ES"/>
    </w:rPr>
  </w:style>
  <w:style w:type="character" w:customStyle="1" w:styleId="Leyendadelatabla9">
    <w:name w:val="Leyenda de la tabla (9)_"/>
    <w:basedOn w:val="Fuentedeprrafopredeter"/>
    <w:link w:val="Leyendadelatabla90"/>
    <w:rsid w:val="00CE1BA7"/>
    <w:rPr>
      <w:rFonts w:ascii="Georgia" w:eastAsia="Georgia" w:hAnsi="Georgia" w:cs="Georgia"/>
      <w:sz w:val="8"/>
      <w:szCs w:val="8"/>
      <w:shd w:val="clear" w:color="auto" w:fill="FFFFFF"/>
    </w:rPr>
  </w:style>
  <w:style w:type="character" w:customStyle="1" w:styleId="Leyendadelatabla0">
    <w:name w:val="Leyenda de la tabla"/>
    <w:basedOn w:val="Leyendadelatabla"/>
    <w:rsid w:val="00CE1BA7"/>
    <w:rPr>
      <w:rFonts w:ascii="Times New Roman" w:eastAsia="Times New Roman" w:hAnsi="Times New Roman" w:cs="Times New Roman"/>
      <w:b/>
      <w:bCs/>
      <w:i w:val="0"/>
      <w:iCs w:val="0"/>
      <w:smallCaps w:val="0"/>
      <w:strike w:val="0"/>
      <w:color w:val="000000"/>
      <w:spacing w:val="0"/>
      <w:w w:val="100"/>
      <w:position w:val="0"/>
      <w:sz w:val="15"/>
      <w:szCs w:val="15"/>
      <w:u w:val="single"/>
      <w:lang w:val="es-ES" w:eastAsia="es-ES" w:bidi="es-ES"/>
    </w:rPr>
  </w:style>
  <w:style w:type="character" w:customStyle="1" w:styleId="Encabezamientoopiedepgina3">
    <w:name w:val="Encabezamiento o pie de página (3)_"/>
    <w:basedOn w:val="Fuentedeprrafopredeter"/>
    <w:link w:val="Encabezamientoopiedepgina30"/>
    <w:rsid w:val="00CE1BA7"/>
    <w:rPr>
      <w:rFonts w:ascii="Times New Roman" w:eastAsia="Times New Roman" w:hAnsi="Times New Roman" w:cs="Times New Roman"/>
      <w:b/>
      <w:bCs/>
      <w:sz w:val="16"/>
      <w:szCs w:val="16"/>
      <w:shd w:val="clear" w:color="auto" w:fill="FFFFFF"/>
    </w:rPr>
  </w:style>
  <w:style w:type="character" w:customStyle="1" w:styleId="Cuerpodeltexto9Exact">
    <w:name w:val="Cuerpo del texto (9) Exact"/>
    <w:basedOn w:val="Fuentedeprrafopredeter"/>
    <w:rsid w:val="00CE1BA7"/>
    <w:rPr>
      <w:rFonts w:ascii="Times New Roman" w:eastAsia="Times New Roman" w:hAnsi="Times New Roman" w:cs="Times New Roman"/>
      <w:b w:val="0"/>
      <w:bCs w:val="0"/>
      <w:i/>
      <w:iCs/>
      <w:smallCaps w:val="0"/>
      <w:strike w:val="0"/>
      <w:sz w:val="19"/>
      <w:szCs w:val="19"/>
      <w:u w:val="none"/>
    </w:rPr>
  </w:style>
  <w:style w:type="character" w:customStyle="1" w:styleId="Leyendadelatabla10">
    <w:name w:val="Leyenda de la tabla (10)_"/>
    <w:basedOn w:val="Fuentedeprrafopredeter"/>
    <w:link w:val="Leyendadelatabla100"/>
    <w:rsid w:val="00CE1BA7"/>
    <w:rPr>
      <w:rFonts w:ascii="Georgia" w:eastAsia="Georgia" w:hAnsi="Georgia" w:cs="Georgia"/>
      <w:b/>
      <w:bCs/>
      <w:sz w:val="9"/>
      <w:szCs w:val="9"/>
      <w:shd w:val="clear" w:color="auto" w:fill="FFFFFF"/>
    </w:rPr>
  </w:style>
  <w:style w:type="character" w:customStyle="1" w:styleId="Leyendadelatabla40">
    <w:name w:val="Leyenda de la tabla (4)"/>
    <w:basedOn w:val="Leyendadelatabla4"/>
    <w:rsid w:val="00CE1BA7"/>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es-ES" w:eastAsia="es-ES" w:bidi="es-ES"/>
    </w:rPr>
  </w:style>
  <w:style w:type="character" w:customStyle="1" w:styleId="Cuerpodeltexto70">
    <w:name w:val="Cuerpo del texto (7)"/>
    <w:basedOn w:val="Cuerpodeltexto7"/>
    <w:rsid w:val="00CE1BA7"/>
    <w:rPr>
      <w:rFonts w:ascii="Times New Roman" w:eastAsia="Times New Roman" w:hAnsi="Times New Roman" w:cs="Times New Roman"/>
      <w:b/>
      <w:bCs/>
      <w:i w:val="0"/>
      <w:iCs w:val="0"/>
      <w:smallCaps w:val="0"/>
      <w:strike w:val="0"/>
      <w:color w:val="000000"/>
      <w:spacing w:val="0"/>
      <w:w w:val="100"/>
      <w:position w:val="0"/>
      <w:sz w:val="19"/>
      <w:szCs w:val="19"/>
      <w:u w:val="single"/>
      <w:lang w:val="es-ES" w:eastAsia="es-ES" w:bidi="es-ES"/>
    </w:rPr>
  </w:style>
  <w:style w:type="character" w:customStyle="1" w:styleId="Cuerpodeltexto90">
    <w:name w:val="Cuerpo del texto (9)"/>
    <w:basedOn w:val="Cuerpodeltexto9"/>
    <w:rsid w:val="00CE1BA7"/>
    <w:rPr>
      <w:rFonts w:ascii="Times New Roman" w:eastAsia="Times New Roman" w:hAnsi="Times New Roman" w:cs="Times New Roman"/>
      <w:b w:val="0"/>
      <w:bCs w:val="0"/>
      <w:i/>
      <w:iCs/>
      <w:smallCaps w:val="0"/>
      <w:strike w:val="0"/>
      <w:color w:val="000000"/>
      <w:spacing w:val="0"/>
      <w:w w:val="100"/>
      <w:position w:val="0"/>
      <w:sz w:val="19"/>
      <w:szCs w:val="19"/>
      <w:u w:val="single"/>
      <w:lang w:val="es-ES" w:eastAsia="es-ES" w:bidi="es-ES"/>
    </w:rPr>
  </w:style>
  <w:style w:type="character" w:customStyle="1" w:styleId="Leyendadelatabla11">
    <w:name w:val="Leyenda de la tabla (11)_"/>
    <w:basedOn w:val="Fuentedeprrafopredeter"/>
    <w:link w:val="Leyendadelatabla110"/>
    <w:rsid w:val="00CE1BA7"/>
    <w:rPr>
      <w:rFonts w:ascii="Times New Roman" w:eastAsia="Times New Roman" w:hAnsi="Times New Roman" w:cs="Times New Roman"/>
      <w:sz w:val="12"/>
      <w:szCs w:val="12"/>
      <w:shd w:val="clear" w:color="auto" w:fill="FFFFFF"/>
    </w:rPr>
  </w:style>
  <w:style w:type="character" w:customStyle="1" w:styleId="Cuerpodeltexto16">
    <w:name w:val="Cuerpo del texto (16)_"/>
    <w:basedOn w:val="Fuentedeprrafopredeter"/>
    <w:rsid w:val="00CE1BA7"/>
    <w:rPr>
      <w:rFonts w:ascii="Times New Roman" w:eastAsia="Times New Roman" w:hAnsi="Times New Roman" w:cs="Times New Roman"/>
      <w:b w:val="0"/>
      <w:bCs w:val="0"/>
      <w:i w:val="0"/>
      <w:iCs w:val="0"/>
      <w:smallCaps w:val="0"/>
      <w:strike w:val="0"/>
      <w:sz w:val="18"/>
      <w:szCs w:val="18"/>
      <w:u w:val="none"/>
    </w:rPr>
  </w:style>
  <w:style w:type="character" w:customStyle="1" w:styleId="Leyendadelatabla12">
    <w:name w:val="Leyenda de la tabla (12)_"/>
    <w:basedOn w:val="Fuentedeprrafopredeter"/>
    <w:link w:val="Leyendadelatabla120"/>
    <w:rsid w:val="00CE1BA7"/>
    <w:rPr>
      <w:rFonts w:ascii="Times New Roman" w:eastAsia="Times New Roman" w:hAnsi="Times New Roman" w:cs="Times New Roman"/>
      <w:sz w:val="19"/>
      <w:szCs w:val="19"/>
      <w:shd w:val="clear" w:color="auto" w:fill="FFFFFF"/>
    </w:rPr>
  </w:style>
  <w:style w:type="character" w:customStyle="1" w:styleId="Leyendadelatabla13">
    <w:name w:val="Leyenda de la tabla (13)_"/>
    <w:basedOn w:val="Fuentedeprrafopredeter"/>
    <w:rsid w:val="00CE1BA7"/>
    <w:rPr>
      <w:rFonts w:ascii="Times New Roman" w:eastAsia="Times New Roman" w:hAnsi="Times New Roman" w:cs="Times New Roman"/>
      <w:b w:val="0"/>
      <w:bCs w:val="0"/>
      <w:i w:val="0"/>
      <w:iCs w:val="0"/>
      <w:smallCaps w:val="0"/>
      <w:strike w:val="0"/>
      <w:sz w:val="19"/>
      <w:szCs w:val="19"/>
      <w:u w:val="none"/>
    </w:rPr>
  </w:style>
  <w:style w:type="character" w:customStyle="1" w:styleId="Leyendadelatabla14">
    <w:name w:val="Leyenda de la tabla (14)_"/>
    <w:basedOn w:val="Fuentedeprrafopredeter"/>
    <w:link w:val="Leyendadelatabla140"/>
    <w:rsid w:val="00CE1BA7"/>
    <w:rPr>
      <w:rFonts w:ascii="Times New Roman" w:eastAsia="Times New Roman" w:hAnsi="Times New Roman" w:cs="Times New Roman"/>
      <w:sz w:val="13"/>
      <w:szCs w:val="13"/>
      <w:shd w:val="clear" w:color="auto" w:fill="FFFFFF"/>
    </w:rPr>
  </w:style>
  <w:style w:type="character" w:customStyle="1" w:styleId="Leyendadelatabla15">
    <w:name w:val="Leyenda de la tabla (15)_"/>
    <w:basedOn w:val="Fuentedeprrafopredeter"/>
    <w:link w:val="Leyendadelatabla150"/>
    <w:rsid w:val="00CE1BA7"/>
    <w:rPr>
      <w:rFonts w:ascii="Times New Roman" w:eastAsia="Times New Roman" w:hAnsi="Times New Roman" w:cs="Times New Roman"/>
      <w:sz w:val="14"/>
      <w:szCs w:val="14"/>
      <w:shd w:val="clear" w:color="auto" w:fill="FFFFFF"/>
    </w:rPr>
  </w:style>
  <w:style w:type="character" w:customStyle="1" w:styleId="Leyendadelatabla16">
    <w:name w:val="Leyenda de la tabla (16)_"/>
    <w:basedOn w:val="Fuentedeprrafopredeter"/>
    <w:link w:val="Leyendadelatabla160"/>
    <w:rsid w:val="00CE1BA7"/>
    <w:rPr>
      <w:rFonts w:ascii="Times New Roman" w:eastAsia="Times New Roman" w:hAnsi="Times New Roman" w:cs="Times New Roman"/>
      <w:b/>
      <w:bCs/>
      <w:sz w:val="13"/>
      <w:szCs w:val="13"/>
      <w:shd w:val="clear" w:color="auto" w:fill="FFFFFF"/>
    </w:rPr>
  </w:style>
  <w:style w:type="character" w:customStyle="1" w:styleId="Cuerpodeltexto27pto">
    <w:name w:val="Cuerpo del texto (2) + 7 pto"/>
    <w:basedOn w:val="Cuerpodeltexto2"/>
    <w:rsid w:val="00CE1BA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s-ES" w:eastAsia="es-ES" w:bidi="es-ES"/>
    </w:rPr>
  </w:style>
  <w:style w:type="character" w:customStyle="1" w:styleId="Cuerpodeltexto50">
    <w:name w:val="Cuerpo del texto (5)"/>
    <w:basedOn w:val="Cuerpodeltexto5"/>
    <w:rsid w:val="00CE1BA7"/>
    <w:rPr>
      <w:rFonts w:ascii="Times New Roman" w:eastAsia="Times New Roman" w:hAnsi="Times New Roman" w:cs="Times New Roman"/>
      <w:b/>
      <w:bCs/>
      <w:i w:val="0"/>
      <w:iCs w:val="0"/>
      <w:smallCaps w:val="0"/>
      <w:strike w:val="0"/>
      <w:color w:val="000000"/>
      <w:spacing w:val="0"/>
      <w:w w:val="100"/>
      <w:position w:val="0"/>
      <w:sz w:val="15"/>
      <w:szCs w:val="15"/>
      <w:u w:val="single"/>
      <w:lang w:val="es-ES" w:eastAsia="es-ES" w:bidi="es-ES"/>
    </w:rPr>
  </w:style>
  <w:style w:type="character" w:customStyle="1" w:styleId="Leyendadelatabla17">
    <w:name w:val="Leyenda de la tabla (17)_"/>
    <w:basedOn w:val="Fuentedeprrafopredeter"/>
    <w:link w:val="Leyendadelatabla170"/>
    <w:rsid w:val="00CE1BA7"/>
    <w:rPr>
      <w:rFonts w:ascii="Times New Roman" w:eastAsia="Times New Roman" w:hAnsi="Times New Roman" w:cs="Times New Roman"/>
      <w:b/>
      <w:bCs/>
      <w:i/>
      <w:iCs/>
      <w:sz w:val="19"/>
      <w:szCs w:val="19"/>
      <w:shd w:val="clear" w:color="auto" w:fill="FFFFFF"/>
    </w:rPr>
  </w:style>
  <w:style w:type="character" w:customStyle="1" w:styleId="Cuerpodeltexto80">
    <w:name w:val="Cuerpo del texto (8)"/>
    <w:basedOn w:val="Cuerpodeltexto8"/>
    <w:rsid w:val="00CE1BA7"/>
    <w:rPr>
      <w:rFonts w:ascii="Times New Roman" w:eastAsia="Times New Roman" w:hAnsi="Times New Roman" w:cs="Times New Roman"/>
      <w:b/>
      <w:bCs/>
      <w:i/>
      <w:iCs/>
      <w:smallCaps w:val="0"/>
      <w:strike w:val="0"/>
      <w:color w:val="000000"/>
      <w:spacing w:val="0"/>
      <w:w w:val="100"/>
      <w:position w:val="0"/>
      <w:sz w:val="19"/>
      <w:szCs w:val="19"/>
      <w:u w:val="single"/>
      <w:lang w:val="es-ES" w:eastAsia="es-ES" w:bidi="es-ES"/>
    </w:rPr>
  </w:style>
  <w:style w:type="character" w:customStyle="1" w:styleId="Cuerpodeltexto7Cursiva">
    <w:name w:val="Cuerpo del texto (7) + Cursiva"/>
    <w:basedOn w:val="Cuerpodeltexto7"/>
    <w:rsid w:val="00CE1BA7"/>
    <w:rPr>
      <w:rFonts w:ascii="Times New Roman" w:eastAsia="Times New Roman" w:hAnsi="Times New Roman" w:cs="Times New Roman"/>
      <w:b/>
      <w:bCs/>
      <w:i/>
      <w:iCs/>
      <w:smallCaps w:val="0"/>
      <w:strike w:val="0"/>
      <w:color w:val="000000"/>
      <w:spacing w:val="0"/>
      <w:w w:val="100"/>
      <w:position w:val="0"/>
      <w:sz w:val="19"/>
      <w:szCs w:val="19"/>
      <w:u w:val="none"/>
      <w:lang w:val="es-ES" w:eastAsia="es-ES" w:bidi="es-ES"/>
    </w:rPr>
  </w:style>
  <w:style w:type="character" w:customStyle="1" w:styleId="Cuerpodeltexto2Exact">
    <w:name w:val="Cuerpo del texto (2) Exact"/>
    <w:basedOn w:val="Fuentedeprrafopredeter"/>
    <w:rsid w:val="00CE1BA7"/>
    <w:rPr>
      <w:rFonts w:ascii="Times New Roman" w:eastAsia="Times New Roman" w:hAnsi="Times New Roman" w:cs="Times New Roman"/>
      <w:b w:val="0"/>
      <w:bCs w:val="0"/>
      <w:i w:val="0"/>
      <w:iCs w:val="0"/>
      <w:smallCaps w:val="0"/>
      <w:strike w:val="0"/>
      <w:sz w:val="19"/>
      <w:szCs w:val="19"/>
      <w:u w:val="none"/>
    </w:rPr>
  </w:style>
  <w:style w:type="character" w:customStyle="1" w:styleId="Leyendadelatabla13Exact">
    <w:name w:val="Leyenda de la tabla (13) Exact"/>
    <w:basedOn w:val="Fuentedeprrafopredeter"/>
    <w:rsid w:val="00CE1BA7"/>
    <w:rPr>
      <w:rFonts w:ascii="Times New Roman" w:eastAsia="Times New Roman" w:hAnsi="Times New Roman" w:cs="Times New Roman"/>
      <w:b w:val="0"/>
      <w:bCs w:val="0"/>
      <w:i w:val="0"/>
      <w:iCs w:val="0"/>
      <w:smallCaps w:val="0"/>
      <w:strike w:val="0"/>
      <w:sz w:val="19"/>
      <w:szCs w:val="19"/>
      <w:u w:val="none"/>
    </w:rPr>
  </w:style>
  <w:style w:type="character" w:customStyle="1" w:styleId="Leyendadelatabla130">
    <w:name w:val="Leyenda de la tabla (13)"/>
    <w:basedOn w:val="Leyendadelatabla13"/>
    <w:rsid w:val="00CE1BA7"/>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s-ES" w:eastAsia="es-ES" w:bidi="es-ES"/>
    </w:rPr>
  </w:style>
  <w:style w:type="character" w:customStyle="1" w:styleId="Leyendadelatabla4Negrita">
    <w:name w:val="Leyenda de la tabla (4) + Negrita"/>
    <w:basedOn w:val="Leyendadelatabla4"/>
    <w:rsid w:val="00CE1BA7"/>
    <w:rPr>
      <w:rFonts w:ascii="Times New Roman" w:eastAsia="Times New Roman" w:hAnsi="Times New Roman" w:cs="Times New Roman"/>
      <w:b/>
      <w:bCs/>
      <w:i w:val="0"/>
      <w:iCs w:val="0"/>
      <w:smallCaps w:val="0"/>
      <w:strike w:val="0"/>
      <w:color w:val="000000"/>
      <w:spacing w:val="0"/>
      <w:w w:val="100"/>
      <w:position w:val="0"/>
      <w:sz w:val="15"/>
      <w:szCs w:val="15"/>
      <w:u w:val="none"/>
      <w:lang w:val="es-ES" w:eastAsia="es-ES" w:bidi="es-ES"/>
    </w:rPr>
  </w:style>
  <w:style w:type="character" w:customStyle="1" w:styleId="Leyendadelatabla18Exact">
    <w:name w:val="Leyenda de la tabla (18) Exact"/>
    <w:basedOn w:val="Fuentedeprrafopredeter"/>
    <w:link w:val="Leyendadelatabla18"/>
    <w:rsid w:val="00CE1BA7"/>
    <w:rPr>
      <w:rFonts w:ascii="Times New Roman" w:eastAsia="Times New Roman" w:hAnsi="Times New Roman" w:cs="Times New Roman"/>
      <w:sz w:val="17"/>
      <w:szCs w:val="17"/>
      <w:shd w:val="clear" w:color="auto" w:fill="FFFFFF"/>
    </w:rPr>
  </w:style>
  <w:style w:type="character" w:customStyle="1" w:styleId="Leyendadelatabla18NegritaExact">
    <w:name w:val="Leyenda de la tabla (18) + Negrita Exact"/>
    <w:basedOn w:val="Leyendadelatabla18Exact"/>
    <w:rsid w:val="00CE1BA7"/>
    <w:rPr>
      <w:rFonts w:ascii="Times New Roman" w:eastAsia="Times New Roman" w:hAnsi="Times New Roman" w:cs="Times New Roman"/>
      <w:b/>
      <w:bCs/>
      <w:color w:val="000000"/>
      <w:spacing w:val="0"/>
      <w:w w:val="100"/>
      <w:position w:val="0"/>
      <w:sz w:val="17"/>
      <w:szCs w:val="17"/>
      <w:shd w:val="clear" w:color="auto" w:fill="FFFFFF"/>
      <w:lang w:val="es-ES" w:eastAsia="es-ES" w:bidi="es-ES"/>
    </w:rPr>
  </w:style>
  <w:style w:type="character" w:customStyle="1" w:styleId="Cuerpodeltexto17">
    <w:name w:val="Cuerpo del texto (17)_"/>
    <w:basedOn w:val="Fuentedeprrafopredeter"/>
    <w:link w:val="Cuerpodeltexto170"/>
    <w:rsid w:val="00CE1BA7"/>
    <w:rPr>
      <w:rFonts w:ascii="Times New Roman" w:eastAsia="Times New Roman" w:hAnsi="Times New Roman" w:cs="Times New Roman"/>
      <w:b/>
      <w:bCs/>
      <w:sz w:val="17"/>
      <w:szCs w:val="17"/>
      <w:shd w:val="clear" w:color="auto" w:fill="FFFFFF"/>
    </w:rPr>
  </w:style>
  <w:style w:type="character" w:customStyle="1" w:styleId="Cuerpodeltexto17Exact">
    <w:name w:val="Cuerpo del texto (17) Exact"/>
    <w:basedOn w:val="Fuentedeprrafopredeter"/>
    <w:rsid w:val="00CE1BA7"/>
    <w:rPr>
      <w:rFonts w:ascii="Times New Roman" w:eastAsia="Times New Roman" w:hAnsi="Times New Roman" w:cs="Times New Roman"/>
      <w:b/>
      <w:bCs/>
      <w:i w:val="0"/>
      <w:iCs w:val="0"/>
      <w:smallCaps w:val="0"/>
      <w:strike w:val="0"/>
      <w:sz w:val="17"/>
      <w:szCs w:val="17"/>
      <w:u w:val="none"/>
    </w:rPr>
  </w:style>
  <w:style w:type="character" w:customStyle="1" w:styleId="Cuerpodeltexto18Exact">
    <w:name w:val="Cuerpo del texto (18) Exact"/>
    <w:basedOn w:val="Fuentedeprrafopredeter"/>
    <w:rsid w:val="00CE1BA7"/>
    <w:rPr>
      <w:rFonts w:ascii="Times New Roman" w:eastAsia="Times New Roman" w:hAnsi="Times New Roman" w:cs="Times New Roman"/>
      <w:b w:val="0"/>
      <w:bCs w:val="0"/>
      <w:i w:val="0"/>
      <w:iCs w:val="0"/>
      <w:smallCaps w:val="0"/>
      <w:strike w:val="0"/>
      <w:sz w:val="17"/>
      <w:szCs w:val="17"/>
      <w:u w:val="none"/>
    </w:rPr>
  </w:style>
  <w:style w:type="character" w:customStyle="1" w:styleId="Cuerpodeltexto18">
    <w:name w:val="Cuerpo del texto (18)_"/>
    <w:basedOn w:val="Fuentedeprrafopredeter"/>
    <w:link w:val="Cuerpodeltexto180"/>
    <w:rsid w:val="00CE1BA7"/>
    <w:rPr>
      <w:rFonts w:ascii="Times New Roman" w:eastAsia="Times New Roman" w:hAnsi="Times New Roman" w:cs="Times New Roman"/>
      <w:sz w:val="17"/>
      <w:szCs w:val="17"/>
      <w:shd w:val="clear" w:color="auto" w:fill="FFFFFF"/>
    </w:rPr>
  </w:style>
  <w:style w:type="character" w:customStyle="1" w:styleId="Leyendadelaimagen4">
    <w:name w:val="Leyenda de la imagen (4)_"/>
    <w:basedOn w:val="Fuentedeprrafopredeter"/>
    <w:link w:val="Leyendadelaimagen40"/>
    <w:rsid w:val="00CE1BA7"/>
    <w:rPr>
      <w:rFonts w:ascii="Times New Roman" w:eastAsia="Times New Roman" w:hAnsi="Times New Roman" w:cs="Times New Roman"/>
      <w:sz w:val="19"/>
      <w:szCs w:val="19"/>
      <w:shd w:val="clear" w:color="auto" w:fill="FFFFFF"/>
    </w:rPr>
  </w:style>
  <w:style w:type="character" w:customStyle="1" w:styleId="Leyendadelatabla7">
    <w:name w:val="Leyenda de la tabla (7)_"/>
    <w:basedOn w:val="Fuentedeprrafopredeter"/>
    <w:link w:val="Leyendadelatabla70"/>
    <w:rsid w:val="00CE1BA7"/>
    <w:rPr>
      <w:rFonts w:ascii="Times New Roman" w:eastAsia="Times New Roman" w:hAnsi="Times New Roman" w:cs="Times New Roman"/>
      <w:sz w:val="12"/>
      <w:szCs w:val="12"/>
      <w:shd w:val="clear" w:color="auto" w:fill="FFFFFF"/>
    </w:rPr>
  </w:style>
  <w:style w:type="character" w:customStyle="1" w:styleId="Leyendadelatabla19">
    <w:name w:val="Leyenda de la tabla (19)_"/>
    <w:basedOn w:val="Fuentedeprrafopredeter"/>
    <w:link w:val="Leyendadelatabla190"/>
    <w:rsid w:val="00CE1BA7"/>
    <w:rPr>
      <w:rFonts w:ascii="Times New Roman" w:eastAsia="Times New Roman" w:hAnsi="Times New Roman" w:cs="Times New Roman"/>
      <w:b/>
      <w:bCs/>
      <w:sz w:val="12"/>
      <w:szCs w:val="12"/>
      <w:shd w:val="clear" w:color="auto" w:fill="FFFFFF"/>
    </w:rPr>
  </w:style>
  <w:style w:type="character" w:customStyle="1" w:styleId="Leyendadelatabla200">
    <w:name w:val="Leyenda de la tabla (20)_"/>
    <w:basedOn w:val="Fuentedeprrafopredeter"/>
    <w:link w:val="Leyendadelatabla201"/>
    <w:rsid w:val="00CE1BA7"/>
    <w:rPr>
      <w:rFonts w:ascii="Times New Roman" w:eastAsia="Times New Roman" w:hAnsi="Times New Roman" w:cs="Times New Roman"/>
      <w:b/>
      <w:bCs/>
      <w:sz w:val="17"/>
      <w:szCs w:val="17"/>
      <w:shd w:val="clear" w:color="auto" w:fill="FFFFFF"/>
    </w:rPr>
  </w:style>
  <w:style w:type="character" w:customStyle="1" w:styleId="Leyendadelaimagen5">
    <w:name w:val="Leyenda de la imagen (5)_"/>
    <w:basedOn w:val="Fuentedeprrafopredeter"/>
    <w:link w:val="Leyendadelaimagen50"/>
    <w:rsid w:val="00CE1BA7"/>
    <w:rPr>
      <w:rFonts w:ascii="Times New Roman" w:eastAsia="Times New Roman" w:hAnsi="Times New Roman" w:cs="Times New Roman"/>
      <w:sz w:val="18"/>
      <w:szCs w:val="18"/>
      <w:shd w:val="clear" w:color="auto" w:fill="FFFFFF"/>
    </w:rPr>
  </w:style>
  <w:style w:type="character" w:customStyle="1" w:styleId="Leyendadelatabla21">
    <w:name w:val="Leyenda de la tabla (21)_"/>
    <w:basedOn w:val="Fuentedeprrafopredeter"/>
    <w:link w:val="Leyendadelatabla210"/>
    <w:rsid w:val="00CE1BA7"/>
    <w:rPr>
      <w:rFonts w:ascii="Calibri" w:eastAsia="Calibri" w:hAnsi="Calibri" w:cs="Calibri"/>
      <w:b/>
      <w:bCs/>
      <w:sz w:val="18"/>
      <w:szCs w:val="18"/>
      <w:shd w:val="clear" w:color="auto" w:fill="FFFFFF"/>
    </w:rPr>
  </w:style>
  <w:style w:type="character" w:customStyle="1" w:styleId="Cuerpodeltexto160">
    <w:name w:val="Cuerpo del texto (16)"/>
    <w:basedOn w:val="Cuerpodeltexto16"/>
    <w:rsid w:val="00CE1BA7"/>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s-ES" w:eastAsia="es-ES" w:bidi="es-ES"/>
    </w:rPr>
  </w:style>
  <w:style w:type="character" w:customStyle="1" w:styleId="Cuerpodeltexto19">
    <w:name w:val="Cuerpo del texto (19)_"/>
    <w:basedOn w:val="Fuentedeprrafopredeter"/>
    <w:link w:val="Cuerpodeltexto190"/>
    <w:rsid w:val="00CE1BA7"/>
    <w:rPr>
      <w:rFonts w:ascii="Times New Roman" w:eastAsia="Times New Roman" w:hAnsi="Times New Roman" w:cs="Times New Roman"/>
      <w:b/>
      <w:bCs/>
      <w:sz w:val="13"/>
      <w:szCs w:val="13"/>
      <w:shd w:val="clear" w:color="auto" w:fill="FFFFFF"/>
    </w:rPr>
  </w:style>
  <w:style w:type="character" w:customStyle="1" w:styleId="LeyendadelaimagenTimesNewRoman">
    <w:name w:val="Leyenda de la imagen + Times New Roman"/>
    <w:aliases w:val="Negrita Exact"/>
    <w:basedOn w:val="LeyendadelaimagenExact"/>
    <w:rsid w:val="00CE1BA7"/>
    <w:rPr>
      <w:rFonts w:ascii="Times New Roman" w:eastAsia="Times New Roman" w:hAnsi="Times New Roman" w:cs="Times New Roman"/>
      <w:b/>
      <w:bCs/>
      <w:color w:val="000000"/>
      <w:spacing w:val="0"/>
      <w:w w:val="100"/>
      <w:position w:val="0"/>
      <w:sz w:val="13"/>
      <w:szCs w:val="13"/>
      <w:shd w:val="clear" w:color="auto" w:fill="FFFFFF"/>
      <w:lang w:val="es-ES" w:eastAsia="es-ES" w:bidi="es-ES"/>
    </w:rPr>
  </w:style>
  <w:style w:type="character" w:customStyle="1" w:styleId="Leyendadelaimagen6Exact">
    <w:name w:val="Leyenda de la imagen (6) Exact"/>
    <w:basedOn w:val="Fuentedeprrafopredeter"/>
    <w:link w:val="Leyendadelaimagen6"/>
    <w:rsid w:val="00CE1BA7"/>
    <w:rPr>
      <w:rFonts w:ascii="Times New Roman" w:eastAsia="Times New Roman" w:hAnsi="Times New Roman" w:cs="Times New Roman"/>
      <w:b/>
      <w:bCs/>
      <w:sz w:val="13"/>
      <w:szCs w:val="13"/>
      <w:shd w:val="clear" w:color="auto" w:fill="FFFFFF"/>
    </w:rPr>
  </w:style>
  <w:style w:type="character" w:customStyle="1" w:styleId="Leyendadelaimagen7Exact">
    <w:name w:val="Leyenda de la imagen (7) Exact"/>
    <w:basedOn w:val="Fuentedeprrafopredeter"/>
    <w:link w:val="Leyendadelaimagen7"/>
    <w:rsid w:val="00CE1BA7"/>
    <w:rPr>
      <w:rFonts w:ascii="Calibri" w:eastAsia="Calibri" w:hAnsi="Calibri" w:cs="Calibri"/>
      <w:sz w:val="11"/>
      <w:szCs w:val="11"/>
      <w:shd w:val="clear" w:color="auto" w:fill="FFFFFF"/>
    </w:rPr>
  </w:style>
  <w:style w:type="character" w:customStyle="1" w:styleId="Cuerpodeltexto20Exact">
    <w:name w:val="Cuerpo del texto (20) Exact"/>
    <w:basedOn w:val="Fuentedeprrafopredeter"/>
    <w:rsid w:val="00CE1BA7"/>
    <w:rPr>
      <w:rFonts w:ascii="Calibri" w:eastAsia="Calibri" w:hAnsi="Calibri" w:cs="Calibri"/>
      <w:b w:val="0"/>
      <w:bCs w:val="0"/>
      <w:i w:val="0"/>
      <w:iCs w:val="0"/>
      <w:smallCaps w:val="0"/>
      <w:strike w:val="0"/>
      <w:sz w:val="11"/>
      <w:szCs w:val="11"/>
      <w:u w:val="none"/>
    </w:rPr>
  </w:style>
  <w:style w:type="character" w:customStyle="1" w:styleId="Cuerpodeltexto200">
    <w:name w:val="Cuerpo del texto (20)_"/>
    <w:basedOn w:val="Fuentedeprrafopredeter"/>
    <w:link w:val="Cuerpodeltexto201"/>
    <w:rsid w:val="00CE1BA7"/>
    <w:rPr>
      <w:rFonts w:ascii="Calibri" w:eastAsia="Calibri" w:hAnsi="Calibri" w:cs="Calibri"/>
      <w:sz w:val="11"/>
      <w:szCs w:val="11"/>
      <w:shd w:val="clear" w:color="auto" w:fill="FFFFFF"/>
    </w:rPr>
  </w:style>
  <w:style w:type="character" w:customStyle="1" w:styleId="Cuerpodeltexto21">
    <w:name w:val="Cuerpo del texto (21)_"/>
    <w:basedOn w:val="Fuentedeprrafopredeter"/>
    <w:link w:val="Cuerpodeltexto210"/>
    <w:rsid w:val="00CE1BA7"/>
    <w:rPr>
      <w:rFonts w:ascii="Calibri" w:eastAsia="Calibri" w:hAnsi="Calibri" w:cs="Calibri"/>
      <w:sz w:val="10"/>
      <w:szCs w:val="10"/>
      <w:shd w:val="clear" w:color="auto" w:fill="FFFFFF"/>
    </w:rPr>
  </w:style>
  <w:style w:type="character" w:customStyle="1" w:styleId="Cuerpodeltexto22">
    <w:name w:val="Cuerpo del texto (22)_"/>
    <w:basedOn w:val="Fuentedeprrafopredeter"/>
    <w:link w:val="Cuerpodeltexto220"/>
    <w:rsid w:val="00CE1BA7"/>
    <w:rPr>
      <w:rFonts w:ascii="Times New Roman" w:eastAsia="Times New Roman" w:hAnsi="Times New Roman" w:cs="Times New Roman"/>
      <w:sz w:val="10"/>
      <w:szCs w:val="10"/>
      <w:shd w:val="clear" w:color="auto" w:fill="FFFFFF"/>
    </w:rPr>
  </w:style>
  <w:style w:type="character" w:customStyle="1" w:styleId="Cuerpodeltexto23">
    <w:name w:val="Cuerpo del texto (23)"/>
    <w:basedOn w:val="Fuentedeprrafopredeter"/>
    <w:rsid w:val="00CE1BA7"/>
    <w:rPr>
      <w:rFonts w:ascii="Calibri" w:eastAsia="Calibri" w:hAnsi="Calibri" w:cs="Calibri"/>
      <w:b w:val="0"/>
      <w:bCs w:val="0"/>
      <w:i w:val="0"/>
      <w:iCs w:val="0"/>
      <w:smallCaps w:val="0"/>
      <w:strike w:val="0"/>
      <w:sz w:val="11"/>
      <w:szCs w:val="11"/>
      <w:u w:val="none"/>
    </w:rPr>
  </w:style>
  <w:style w:type="character" w:customStyle="1" w:styleId="Cuerpodeltexto24">
    <w:name w:val="Cuerpo del texto (24)"/>
    <w:basedOn w:val="Fuentedeprrafopredeter"/>
    <w:rsid w:val="00CE1BA7"/>
    <w:rPr>
      <w:rFonts w:ascii="Bookman Old Style" w:eastAsia="Bookman Old Style" w:hAnsi="Bookman Old Style" w:cs="Bookman Old Style"/>
      <w:b w:val="0"/>
      <w:bCs w:val="0"/>
      <w:i w:val="0"/>
      <w:iCs w:val="0"/>
      <w:smallCaps w:val="0"/>
      <w:strike w:val="0"/>
      <w:sz w:val="9"/>
      <w:szCs w:val="9"/>
      <w:u w:val="none"/>
    </w:rPr>
  </w:style>
  <w:style w:type="character" w:customStyle="1" w:styleId="Cuerpodeltexto25">
    <w:name w:val="Cuerpo del texto (25)"/>
    <w:basedOn w:val="Fuentedeprrafopredeter"/>
    <w:rsid w:val="00CE1BA7"/>
    <w:rPr>
      <w:rFonts w:ascii="Times New Roman" w:eastAsia="Times New Roman" w:hAnsi="Times New Roman" w:cs="Times New Roman"/>
      <w:b w:val="0"/>
      <w:bCs w:val="0"/>
      <w:i w:val="0"/>
      <w:iCs w:val="0"/>
      <w:smallCaps w:val="0"/>
      <w:strike w:val="0"/>
      <w:sz w:val="12"/>
      <w:szCs w:val="12"/>
      <w:u w:val="none"/>
    </w:rPr>
  </w:style>
  <w:style w:type="character" w:customStyle="1" w:styleId="Cuerpodeltexto26">
    <w:name w:val="Cuerpo del texto (26)_"/>
    <w:basedOn w:val="Fuentedeprrafopredeter"/>
    <w:link w:val="Cuerpodeltexto260"/>
    <w:rsid w:val="00CE1BA7"/>
    <w:rPr>
      <w:rFonts w:ascii="Arial" w:eastAsia="Arial" w:hAnsi="Arial" w:cs="Arial"/>
      <w:sz w:val="10"/>
      <w:szCs w:val="10"/>
      <w:shd w:val="clear" w:color="auto" w:fill="FFFFFF"/>
    </w:rPr>
  </w:style>
  <w:style w:type="character" w:customStyle="1" w:styleId="Leyendadelatabla8Exact">
    <w:name w:val="Leyenda de la tabla (8) Exact"/>
    <w:basedOn w:val="Fuentedeprrafopredeter"/>
    <w:rsid w:val="00CE1BA7"/>
    <w:rPr>
      <w:rFonts w:ascii="Times New Roman" w:eastAsia="Times New Roman" w:hAnsi="Times New Roman" w:cs="Times New Roman"/>
      <w:b/>
      <w:bCs/>
      <w:i w:val="0"/>
      <w:iCs w:val="0"/>
      <w:smallCaps w:val="0"/>
      <w:strike w:val="0"/>
      <w:sz w:val="19"/>
      <w:szCs w:val="19"/>
      <w:u w:val="none"/>
    </w:rPr>
  </w:style>
  <w:style w:type="character" w:customStyle="1" w:styleId="Cuerpodeltexto16Exact">
    <w:name w:val="Cuerpo del texto (16) Exact"/>
    <w:basedOn w:val="Fuentedeprrafopredeter"/>
    <w:rsid w:val="00CE1BA7"/>
    <w:rPr>
      <w:rFonts w:ascii="Times New Roman" w:eastAsia="Times New Roman" w:hAnsi="Times New Roman" w:cs="Times New Roman"/>
      <w:b w:val="0"/>
      <w:bCs w:val="0"/>
      <w:i w:val="0"/>
      <w:iCs w:val="0"/>
      <w:smallCaps w:val="0"/>
      <w:strike w:val="0"/>
      <w:sz w:val="18"/>
      <w:szCs w:val="18"/>
      <w:u w:val="none"/>
    </w:rPr>
  </w:style>
  <w:style w:type="character" w:customStyle="1" w:styleId="Leyendadelatabla5Exact">
    <w:name w:val="Leyenda de la tabla (5) Exact"/>
    <w:basedOn w:val="Fuentedeprrafopredeter"/>
    <w:rsid w:val="00CE1BA7"/>
    <w:rPr>
      <w:rFonts w:ascii="Times New Roman" w:eastAsia="Times New Roman" w:hAnsi="Times New Roman" w:cs="Times New Roman"/>
      <w:b w:val="0"/>
      <w:bCs w:val="0"/>
      <w:i w:val="0"/>
      <w:iCs w:val="0"/>
      <w:smallCaps w:val="0"/>
      <w:strike w:val="0"/>
      <w:sz w:val="18"/>
      <w:szCs w:val="18"/>
      <w:u w:val="none"/>
    </w:rPr>
  </w:style>
  <w:style w:type="character" w:customStyle="1" w:styleId="Leyendadelatabla22">
    <w:name w:val="Leyenda de la tabla (22)_"/>
    <w:basedOn w:val="Fuentedeprrafopredeter"/>
    <w:link w:val="Leyendadelatabla220"/>
    <w:rsid w:val="00CE1BA7"/>
    <w:rPr>
      <w:rFonts w:ascii="Times New Roman" w:eastAsia="Times New Roman" w:hAnsi="Times New Roman" w:cs="Times New Roman"/>
      <w:i/>
      <w:iCs/>
      <w:sz w:val="17"/>
      <w:szCs w:val="17"/>
      <w:shd w:val="clear" w:color="auto" w:fill="FFFFFF"/>
    </w:rPr>
  </w:style>
  <w:style w:type="character" w:customStyle="1" w:styleId="Encabezamientoopiedepgina3Sinnegrita">
    <w:name w:val="Encabezamiento o pie de página (3) + Sin negrita"/>
    <w:basedOn w:val="Encabezamientoopiedepgina3"/>
    <w:rsid w:val="00CE1BA7"/>
    <w:rPr>
      <w:rFonts w:ascii="Times New Roman" w:eastAsia="Times New Roman" w:hAnsi="Times New Roman" w:cs="Times New Roman"/>
      <w:b/>
      <w:bCs/>
      <w:color w:val="000000"/>
      <w:spacing w:val="0"/>
      <w:w w:val="100"/>
      <w:position w:val="0"/>
      <w:sz w:val="16"/>
      <w:szCs w:val="16"/>
      <w:u w:val="single"/>
      <w:shd w:val="clear" w:color="auto" w:fill="FFFFFF"/>
      <w:lang w:val="es-ES" w:eastAsia="es-ES" w:bidi="es-ES"/>
    </w:rPr>
  </w:style>
  <w:style w:type="character" w:customStyle="1" w:styleId="Cuerpodeltexto27">
    <w:name w:val="Cuerpo del texto (27)_"/>
    <w:basedOn w:val="Fuentedeprrafopredeter"/>
    <w:link w:val="Cuerpodeltexto270"/>
    <w:rsid w:val="00CE1BA7"/>
    <w:rPr>
      <w:rFonts w:ascii="Times New Roman" w:eastAsia="Times New Roman" w:hAnsi="Times New Roman" w:cs="Times New Roman"/>
      <w:b/>
      <w:bCs/>
      <w:i/>
      <w:iCs/>
      <w:sz w:val="19"/>
      <w:szCs w:val="19"/>
      <w:shd w:val="clear" w:color="auto" w:fill="FFFFFF"/>
    </w:rPr>
  </w:style>
  <w:style w:type="character" w:customStyle="1" w:styleId="Cuerpodeltexto9Sincursiva">
    <w:name w:val="Cuerpo del texto (9) + Sin cursiva"/>
    <w:basedOn w:val="Cuerpodeltexto9"/>
    <w:rsid w:val="00CE1BA7"/>
    <w:rPr>
      <w:rFonts w:ascii="Times New Roman" w:eastAsia="Times New Roman" w:hAnsi="Times New Roman" w:cs="Times New Roman"/>
      <w:b w:val="0"/>
      <w:bCs w:val="0"/>
      <w:i/>
      <w:iCs/>
      <w:smallCaps w:val="0"/>
      <w:strike w:val="0"/>
      <w:color w:val="000000"/>
      <w:spacing w:val="0"/>
      <w:w w:val="100"/>
      <w:position w:val="0"/>
      <w:sz w:val="19"/>
      <w:szCs w:val="19"/>
      <w:u w:val="none"/>
      <w:lang w:val="es-ES" w:eastAsia="es-ES" w:bidi="es-ES"/>
    </w:rPr>
  </w:style>
  <w:style w:type="paragraph" w:customStyle="1" w:styleId="Notaalpie20">
    <w:name w:val="Nota al pie (2)"/>
    <w:basedOn w:val="Normal"/>
    <w:link w:val="Notaalpie2"/>
    <w:rsid w:val="00CE1BA7"/>
    <w:pPr>
      <w:widowControl w:val="0"/>
      <w:shd w:val="clear" w:color="auto" w:fill="FFFFFF"/>
      <w:spacing w:after="0" w:line="0" w:lineRule="atLeast"/>
    </w:pPr>
    <w:rPr>
      <w:rFonts w:ascii="Times New Roman" w:eastAsia="Times New Roman" w:hAnsi="Times New Roman" w:cs="Times New Roman"/>
      <w:sz w:val="18"/>
      <w:szCs w:val="18"/>
    </w:rPr>
  </w:style>
  <w:style w:type="paragraph" w:customStyle="1" w:styleId="Notaalpie30">
    <w:name w:val="Nota al pie (3)"/>
    <w:basedOn w:val="Normal"/>
    <w:link w:val="Notaalpie3"/>
    <w:rsid w:val="00CE1BA7"/>
    <w:pPr>
      <w:widowControl w:val="0"/>
      <w:shd w:val="clear" w:color="auto" w:fill="FFFFFF"/>
      <w:spacing w:after="0" w:line="230" w:lineRule="exact"/>
      <w:ind w:hanging="700"/>
      <w:jc w:val="both"/>
    </w:pPr>
    <w:rPr>
      <w:rFonts w:ascii="Times New Roman" w:eastAsia="Times New Roman" w:hAnsi="Times New Roman" w:cs="Times New Roman"/>
      <w:sz w:val="19"/>
      <w:szCs w:val="19"/>
    </w:rPr>
  </w:style>
  <w:style w:type="paragraph" w:customStyle="1" w:styleId="Notaalpie40">
    <w:name w:val="Nota al pie (4)"/>
    <w:basedOn w:val="Normal"/>
    <w:link w:val="Notaalpie4"/>
    <w:rsid w:val="00CE1BA7"/>
    <w:pPr>
      <w:widowControl w:val="0"/>
      <w:shd w:val="clear" w:color="auto" w:fill="FFFFFF"/>
      <w:spacing w:after="0" w:line="0" w:lineRule="atLeast"/>
    </w:pPr>
    <w:rPr>
      <w:rFonts w:ascii="Times New Roman" w:eastAsia="Times New Roman" w:hAnsi="Times New Roman" w:cs="Times New Roman"/>
      <w:sz w:val="12"/>
      <w:szCs w:val="12"/>
    </w:rPr>
  </w:style>
  <w:style w:type="paragraph" w:customStyle="1" w:styleId="Cuerpodeltexto30">
    <w:name w:val="Cuerpo del texto (3)"/>
    <w:basedOn w:val="Normal"/>
    <w:link w:val="Cuerpodeltexto3"/>
    <w:rsid w:val="00CE1BA7"/>
    <w:pPr>
      <w:widowControl w:val="0"/>
      <w:shd w:val="clear" w:color="auto" w:fill="FFFFFF"/>
      <w:spacing w:before="180" w:after="180" w:line="274" w:lineRule="exact"/>
      <w:jc w:val="center"/>
    </w:pPr>
    <w:rPr>
      <w:rFonts w:ascii="Times New Roman" w:eastAsia="Times New Roman" w:hAnsi="Times New Roman" w:cs="Times New Roman"/>
      <w:b/>
      <w:bCs/>
    </w:rPr>
  </w:style>
  <w:style w:type="paragraph" w:customStyle="1" w:styleId="Cuerpodeltexto60">
    <w:name w:val="Cuerpo del texto (6)"/>
    <w:basedOn w:val="Normal"/>
    <w:link w:val="Cuerpodeltexto6"/>
    <w:rsid w:val="00CE1BA7"/>
    <w:pPr>
      <w:widowControl w:val="0"/>
      <w:shd w:val="clear" w:color="auto" w:fill="FFFFFF"/>
      <w:spacing w:before="180" w:after="300" w:line="0" w:lineRule="atLeast"/>
      <w:jc w:val="center"/>
    </w:pPr>
    <w:rPr>
      <w:rFonts w:ascii="Times New Roman" w:eastAsia="Times New Roman" w:hAnsi="Times New Roman" w:cs="Times New Roman"/>
      <w:i/>
      <w:iCs/>
      <w:sz w:val="15"/>
      <w:szCs w:val="15"/>
    </w:rPr>
  </w:style>
  <w:style w:type="paragraph" w:customStyle="1" w:styleId="Cuerpodeltexto10">
    <w:name w:val="Cuerpo del texto (10)"/>
    <w:basedOn w:val="Normal"/>
    <w:link w:val="Cuerpodeltexto10Exact"/>
    <w:rsid w:val="00CE1BA7"/>
    <w:pPr>
      <w:widowControl w:val="0"/>
      <w:shd w:val="clear" w:color="auto" w:fill="FFFFFF"/>
      <w:spacing w:after="0" w:line="0" w:lineRule="atLeast"/>
    </w:pPr>
    <w:rPr>
      <w:rFonts w:ascii="Impact" w:eastAsia="Impact" w:hAnsi="Impact" w:cs="Impact"/>
      <w:sz w:val="40"/>
      <w:szCs w:val="40"/>
    </w:rPr>
  </w:style>
  <w:style w:type="paragraph" w:customStyle="1" w:styleId="Leyendadelaimagen">
    <w:name w:val="Leyenda de la imagen"/>
    <w:basedOn w:val="Normal"/>
    <w:link w:val="LeyendadelaimagenExact"/>
    <w:rsid w:val="00CE1BA7"/>
    <w:pPr>
      <w:widowControl w:val="0"/>
      <w:shd w:val="clear" w:color="auto" w:fill="FFFFFF"/>
      <w:spacing w:after="0" w:line="0" w:lineRule="atLeast"/>
      <w:jc w:val="both"/>
    </w:pPr>
    <w:rPr>
      <w:rFonts w:ascii="Arial" w:eastAsia="Arial" w:hAnsi="Arial" w:cs="Arial"/>
      <w:sz w:val="13"/>
      <w:szCs w:val="13"/>
    </w:rPr>
  </w:style>
  <w:style w:type="paragraph" w:customStyle="1" w:styleId="Leyendadelatabla20">
    <w:name w:val="Leyenda de la tabla (2)"/>
    <w:basedOn w:val="Normal"/>
    <w:link w:val="Leyendadelatabla2"/>
    <w:rsid w:val="00CE1BA7"/>
    <w:pPr>
      <w:widowControl w:val="0"/>
      <w:shd w:val="clear" w:color="auto" w:fill="FFFFFF"/>
      <w:spacing w:after="0" w:line="230" w:lineRule="exact"/>
      <w:ind w:firstLine="740"/>
      <w:jc w:val="both"/>
    </w:pPr>
    <w:rPr>
      <w:rFonts w:ascii="Times New Roman" w:eastAsia="Times New Roman" w:hAnsi="Times New Roman" w:cs="Times New Roman"/>
      <w:i/>
      <w:iCs/>
      <w:sz w:val="19"/>
      <w:szCs w:val="19"/>
    </w:rPr>
  </w:style>
  <w:style w:type="paragraph" w:customStyle="1" w:styleId="Cuerpodeltexto130">
    <w:name w:val="Cuerpo del texto (13)"/>
    <w:basedOn w:val="Normal"/>
    <w:link w:val="Cuerpodeltexto13"/>
    <w:rsid w:val="00CE1BA7"/>
    <w:pPr>
      <w:widowControl w:val="0"/>
      <w:shd w:val="clear" w:color="auto" w:fill="FFFFFF"/>
      <w:spacing w:before="660" w:after="0" w:line="206" w:lineRule="exact"/>
    </w:pPr>
    <w:rPr>
      <w:rFonts w:ascii="Times New Roman" w:eastAsia="Times New Roman" w:hAnsi="Times New Roman" w:cs="Times New Roman"/>
      <w:i/>
      <w:iCs/>
      <w:sz w:val="17"/>
      <w:szCs w:val="17"/>
    </w:rPr>
  </w:style>
  <w:style w:type="paragraph" w:customStyle="1" w:styleId="Cuerpodeltexto140">
    <w:name w:val="Cuerpo del texto (14)"/>
    <w:basedOn w:val="Normal"/>
    <w:link w:val="Cuerpodeltexto14"/>
    <w:rsid w:val="00CE1BA7"/>
    <w:pPr>
      <w:widowControl w:val="0"/>
      <w:shd w:val="clear" w:color="auto" w:fill="FFFFFF"/>
      <w:spacing w:before="240" w:after="240" w:line="0" w:lineRule="atLeast"/>
    </w:pPr>
    <w:rPr>
      <w:rFonts w:ascii="Times New Roman" w:eastAsia="Times New Roman" w:hAnsi="Times New Roman" w:cs="Times New Roman"/>
      <w:b/>
      <w:bCs/>
      <w:sz w:val="17"/>
      <w:szCs w:val="17"/>
    </w:rPr>
  </w:style>
  <w:style w:type="paragraph" w:customStyle="1" w:styleId="Cuerpodeltexto150">
    <w:name w:val="Cuerpo del texto (15)"/>
    <w:basedOn w:val="Normal"/>
    <w:link w:val="Cuerpodeltexto15"/>
    <w:rsid w:val="00CE1BA7"/>
    <w:pPr>
      <w:widowControl w:val="0"/>
      <w:shd w:val="clear" w:color="auto" w:fill="FFFFFF"/>
      <w:spacing w:before="180" w:after="180" w:line="230" w:lineRule="exact"/>
      <w:jc w:val="both"/>
    </w:pPr>
    <w:rPr>
      <w:rFonts w:ascii="Times New Roman" w:eastAsia="Times New Roman" w:hAnsi="Times New Roman" w:cs="Times New Roman"/>
      <w:b/>
      <w:bCs/>
      <w:i/>
      <w:iCs/>
      <w:sz w:val="19"/>
      <w:szCs w:val="19"/>
    </w:rPr>
  </w:style>
  <w:style w:type="paragraph" w:customStyle="1" w:styleId="Encabezamientoopiedepgina20">
    <w:name w:val="Encabezamiento o pie de página (2)"/>
    <w:basedOn w:val="Normal"/>
    <w:link w:val="Encabezamientoopiedepgina2"/>
    <w:rsid w:val="00CE1BA7"/>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Leyendadelatabla50">
    <w:name w:val="Leyenda de la tabla (5)"/>
    <w:basedOn w:val="Normal"/>
    <w:link w:val="Leyendadelatabla5"/>
    <w:rsid w:val="00CE1BA7"/>
    <w:pPr>
      <w:widowControl w:val="0"/>
      <w:shd w:val="clear" w:color="auto" w:fill="FFFFFF"/>
      <w:spacing w:after="0" w:line="206" w:lineRule="exact"/>
      <w:jc w:val="both"/>
    </w:pPr>
    <w:rPr>
      <w:rFonts w:ascii="Times New Roman" w:eastAsia="Times New Roman" w:hAnsi="Times New Roman" w:cs="Times New Roman"/>
      <w:sz w:val="18"/>
      <w:szCs w:val="18"/>
    </w:rPr>
  </w:style>
  <w:style w:type="paragraph" w:customStyle="1" w:styleId="Leyendadelatabla60">
    <w:name w:val="Leyenda de la tabla (6)"/>
    <w:basedOn w:val="Normal"/>
    <w:link w:val="Leyendadelatabla6"/>
    <w:rsid w:val="00CE1BA7"/>
    <w:pPr>
      <w:widowControl w:val="0"/>
      <w:shd w:val="clear" w:color="auto" w:fill="FFFFFF"/>
      <w:spacing w:before="60" w:after="0" w:line="0" w:lineRule="atLeast"/>
    </w:pPr>
    <w:rPr>
      <w:rFonts w:ascii="Times New Roman" w:eastAsia="Times New Roman" w:hAnsi="Times New Roman" w:cs="Times New Roman"/>
      <w:i/>
      <w:iCs/>
      <w:sz w:val="15"/>
      <w:szCs w:val="15"/>
    </w:rPr>
  </w:style>
  <w:style w:type="paragraph" w:customStyle="1" w:styleId="Leyendadelatabla70">
    <w:name w:val="Leyenda de la tabla (7)"/>
    <w:basedOn w:val="Normal"/>
    <w:link w:val="Leyendadelatabla7"/>
    <w:rsid w:val="00CE1BA7"/>
    <w:pPr>
      <w:widowControl w:val="0"/>
      <w:shd w:val="clear" w:color="auto" w:fill="FFFFFF"/>
      <w:spacing w:after="0" w:line="158" w:lineRule="exact"/>
      <w:jc w:val="center"/>
    </w:pPr>
    <w:rPr>
      <w:rFonts w:ascii="Times New Roman" w:eastAsia="Times New Roman" w:hAnsi="Times New Roman" w:cs="Times New Roman"/>
      <w:sz w:val="12"/>
      <w:szCs w:val="12"/>
    </w:rPr>
  </w:style>
  <w:style w:type="paragraph" w:customStyle="1" w:styleId="Leyendadelaimagen20">
    <w:name w:val="Leyenda de la imagen (2)"/>
    <w:basedOn w:val="Normal"/>
    <w:link w:val="Leyendadelaimagen2"/>
    <w:rsid w:val="00CE1BA7"/>
    <w:pPr>
      <w:widowControl w:val="0"/>
      <w:shd w:val="clear" w:color="auto" w:fill="FFFFFF"/>
      <w:spacing w:after="0" w:line="0" w:lineRule="atLeast"/>
    </w:pPr>
    <w:rPr>
      <w:rFonts w:ascii="Calibri" w:eastAsia="Calibri" w:hAnsi="Calibri" w:cs="Calibri"/>
      <w:b/>
      <w:bCs/>
      <w:sz w:val="18"/>
      <w:szCs w:val="18"/>
    </w:rPr>
  </w:style>
  <w:style w:type="paragraph" w:customStyle="1" w:styleId="Leyendadelaimagen30">
    <w:name w:val="Leyenda de la imagen (3)"/>
    <w:basedOn w:val="Normal"/>
    <w:link w:val="Leyendadelaimagen3"/>
    <w:rsid w:val="00CE1BA7"/>
    <w:pPr>
      <w:widowControl w:val="0"/>
      <w:shd w:val="clear" w:color="auto" w:fill="FFFFFF"/>
      <w:spacing w:after="0" w:line="0" w:lineRule="atLeast"/>
      <w:jc w:val="right"/>
    </w:pPr>
    <w:rPr>
      <w:rFonts w:ascii="Times New Roman" w:eastAsia="Times New Roman" w:hAnsi="Times New Roman" w:cs="Times New Roman"/>
      <w:b/>
      <w:bCs/>
      <w:sz w:val="15"/>
      <w:szCs w:val="15"/>
    </w:rPr>
  </w:style>
  <w:style w:type="paragraph" w:customStyle="1" w:styleId="Leyendadelatabla80">
    <w:name w:val="Leyenda de la tabla (8)"/>
    <w:basedOn w:val="Normal"/>
    <w:link w:val="Leyendadelatabla8"/>
    <w:rsid w:val="00CE1BA7"/>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paragraph" w:customStyle="1" w:styleId="Leyendadelatabla90">
    <w:name w:val="Leyenda de la tabla (9)"/>
    <w:basedOn w:val="Normal"/>
    <w:link w:val="Leyendadelatabla9"/>
    <w:rsid w:val="00CE1BA7"/>
    <w:pPr>
      <w:widowControl w:val="0"/>
      <w:shd w:val="clear" w:color="auto" w:fill="FFFFFF"/>
      <w:spacing w:after="0" w:line="0" w:lineRule="atLeast"/>
      <w:jc w:val="both"/>
    </w:pPr>
    <w:rPr>
      <w:rFonts w:ascii="Georgia" w:eastAsia="Georgia" w:hAnsi="Georgia" w:cs="Georgia"/>
      <w:sz w:val="8"/>
      <w:szCs w:val="8"/>
    </w:rPr>
  </w:style>
  <w:style w:type="paragraph" w:customStyle="1" w:styleId="Encabezamientoopiedepgina30">
    <w:name w:val="Encabezamiento o pie de página (3)"/>
    <w:basedOn w:val="Normal"/>
    <w:link w:val="Encabezamientoopiedepgina3"/>
    <w:rsid w:val="00CE1BA7"/>
    <w:pPr>
      <w:widowControl w:val="0"/>
      <w:shd w:val="clear" w:color="auto" w:fill="FFFFFF"/>
      <w:spacing w:after="0" w:line="0" w:lineRule="atLeast"/>
      <w:jc w:val="both"/>
    </w:pPr>
    <w:rPr>
      <w:rFonts w:ascii="Times New Roman" w:eastAsia="Times New Roman" w:hAnsi="Times New Roman" w:cs="Times New Roman"/>
      <w:b/>
      <w:bCs/>
      <w:sz w:val="16"/>
      <w:szCs w:val="16"/>
    </w:rPr>
  </w:style>
  <w:style w:type="paragraph" w:customStyle="1" w:styleId="Leyendadelatabla100">
    <w:name w:val="Leyenda de la tabla (10)"/>
    <w:basedOn w:val="Normal"/>
    <w:link w:val="Leyendadelatabla10"/>
    <w:rsid w:val="00CE1BA7"/>
    <w:pPr>
      <w:widowControl w:val="0"/>
      <w:shd w:val="clear" w:color="auto" w:fill="FFFFFF"/>
      <w:spacing w:after="0" w:line="0" w:lineRule="atLeast"/>
      <w:jc w:val="both"/>
    </w:pPr>
    <w:rPr>
      <w:rFonts w:ascii="Georgia" w:eastAsia="Georgia" w:hAnsi="Georgia" w:cs="Georgia"/>
      <w:b/>
      <w:bCs/>
      <w:sz w:val="9"/>
      <w:szCs w:val="9"/>
    </w:rPr>
  </w:style>
  <w:style w:type="paragraph" w:customStyle="1" w:styleId="Leyendadelatabla110">
    <w:name w:val="Leyenda de la tabla (11)"/>
    <w:basedOn w:val="Normal"/>
    <w:link w:val="Leyendadelatabla11"/>
    <w:rsid w:val="00CE1BA7"/>
    <w:pPr>
      <w:widowControl w:val="0"/>
      <w:shd w:val="clear" w:color="auto" w:fill="FFFFFF"/>
      <w:spacing w:after="0" w:line="0" w:lineRule="atLeast"/>
    </w:pPr>
    <w:rPr>
      <w:rFonts w:ascii="Times New Roman" w:eastAsia="Times New Roman" w:hAnsi="Times New Roman" w:cs="Times New Roman"/>
      <w:sz w:val="12"/>
      <w:szCs w:val="12"/>
    </w:rPr>
  </w:style>
  <w:style w:type="paragraph" w:customStyle="1" w:styleId="Leyendadelatabla120">
    <w:name w:val="Leyenda de la tabla (12)"/>
    <w:basedOn w:val="Normal"/>
    <w:link w:val="Leyendadelatabla12"/>
    <w:rsid w:val="00CE1BA7"/>
    <w:pPr>
      <w:widowControl w:val="0"/>
      <w:shd w:val="clear" w:color="auto" w:fill="FFFFFF"/>
      <w:spacing w:after="0" w:line="0" w:lineRule="atLeast"/>
    </w:pPr>
    <w:rPr>
      <w:rFonts w:ascii="Times New Roman" w:eastAsia="Times New Roman" w:hAnsi="Times New Roman" w:cs="Times New Roman"/>
      <w:sz w:val="19"/>
      <w:szCs w:val="19"/>
    </w:rPr>
  </w:style>
  <w:style w:type="paragraph" w:customStyle="1" w:styleId="Leyendadelatabla140">
    <w:name w:val="Leyenda de la tabla (14)"/>
    <w:basedOn w:val="Normal"/>
    <w:link w:val="Leyendadelatabla14"/>
    <w:rsid w:val="00CE1BA7"/>
    <w:pPr>
      <w:widowControl w:val="0"/>
      <w:shd w:val="clear" w:color="auto" w:fill="FFFFFF"/>
      <w:spacing w:after="0" w:line="187" w:lineRule="exact"/>
      <w:jc w:val="center"/>
    </w:pPr>
    <w:rPr>
      <w:rFonts w:ascii="Times New Roman" w:eastAsia="Times New Roman" w:hAnsi="Times New Roman" w:cs="Times New Roman"/>
      <w:sz w:val="13"/>
      <w:szCs w:val="13"/>
    </w:rPr>
  </w:style>
  <w:style w:type="paragraph" w:customStyle="1" w:styleId="Leyendadelatabla150">
    <w:name w:val="Leyenda de la tabla (15)"/>
    <w:basedOn w:val="Normal"/>
    <w:link w:val="Leyendadelatabla15"/>
    <w:rsid w:val="00CE1BA7"/>
    <w:pPr>
      <w:widowControl w:val="0"/>
      <w:shd w:val="clear" w:color="auto" w:fill="FFFFFF"/>
      <w:spacing w:after="0" w:line="0" w:lineRule="atLeast"/>
    </w:pPr>
    <w:rPr>
      <w:rFonts w:ascii="Times New Roman" w:eastAsia="Times New Roman" w:hAnsi="Times New Roman" w:cs="Times New Roman"/>
      <w:sz w:val="14"/>
      <w:szCs w:val="14"/>
    </w:rPr>
  </w:style>
  <w:style w:type="paragraph" w:customStyle="1" w:styleId="Leyendadelatabla160">
    <w:name w:val="Leyenda de la tabla (16)"/>
    <w:basedOn w:val="Normal"/>
    <w:link w:val="Leyendadelatabla16"/>
    <w:rsid w:val="00CE1BA7"/>
    <w:pPr>
      <w:widowControl w:val="0"/>
      <w:shd w:val="clear" w:color="auto" w:fill="FFFFFF"/>
      <w:spacing w:after="0" w:line="0" w:lineRule="atLeast"/>
    </w:pPr>
    <w:rPr>
      <w:rFonts w:ascii="Times New Roman" w:eastAsia="Times New Roman" w:hAnsi="Times New Roman" w:cs="Times New Roman"/>
      <w:b/>
      <w:bCs/>
      <w:sz w:val="13"/>
      <w:szCs w:val="13"/>
    </w:rPr>
  </w:style>
  <w:style w:type="paragraph" w:customStyle="1" w:styleId="Leyendadelatabla170">
    <w:name w:val="Leyenda de la tabla (17)"/>
    <w:basedOn w:val="Normal"/>
    <w:link w:val="Leyendadelatabla17"/>
    <w:rsid w:val="00CE1BA7"/>
    <w:pPr>
      <w:widowControl w:val="0"/>
      <w:shd w:val="clear" w:color="auto" w:fill="FFFFFF"/>
      <w:spacing w:after="0" w:line="0" w:lineRule="atLeast"/>
    </w:pPr>
    <w:rPr>
      <w:rFonts w:ascii="Times New Roman" w:eastAsia="Times New Roman" w:hAnsi="Times New Roman" w:cs="Times New Roman"/>
      <w:b/>
      <w:bCs/>
      <w:i/>
      <w:iCs/>
      <w:sz w:val="19"/>
      <w:szCs w:val="19"/>
    </w:rPr>
  </w:style>
  <w:style w:type="paragraph" w:customStyle="1" w:styleId="Leyendadelatabla18">
    <w:name w:val="Leyenda de la tabla (18)"/>
    <w:basedOn w:val="Normal"/>
    <w:link w:val="Leyendadelatabla18Exact"/>
    <w:rsid w:val="00CE1BA7"/>
    <w:pPr>
      <w:widowControl w:val="0"/>
      <w:shd w:val="clear" w:color="auto" w:fill="FFFFFF"/>
      <w:spacing w:after="0" w:line="274" w:lineRule="exact"/>
      <w:jc w:val="both"/>
    </w:pPr>
    <w:rPr>
      <w:rFonts w:ascii="Times New Roman" w:eastAsia="Times New Roman" w:hAnsi="Times New Roman" w:cs="Times New Roman"/>
      <w:sz w:val="17"/>
      <w:szCs w:val="17"/>
    </w:rPr>
  </w:style>
  <w:style w:type="paragraph" w:customStyle="1" w:styleId="Cuerpodeltexto170">
    <w:name w:val="Cuerpo del texto (17)"/>
    <w:basedOn w:val="Normal"/>
    <w:link w:val="Cuerpodeltexto17"/>
    <w:rsid w:val="00CE1BA7"/>
    <w:pPr>
      <w:widowControl w:val="0"/>
      <w:shd w:val="clear" w:color="auto" w:fill="FFFFFF"/>
      <w:spacing w:before="420" w:after="0" w:line="0" w:lineRule="atLeast"/>
    </w:pPr>
    <w:rPr>
      <w:rFonts w:ascii="Times New Roman" w:eastAsia="Times New Roman" w:hAnsi="Times New Roman" w:cs="Times New Roman"/>
      <w:b/>
      <w:bCs/>
      <w:sz w:val="17"/>
      <w:szCs w:val="17"/>
    </w:rPr>
  </w:style>
  <w:style w:type="paragraph" w:customStyle="1" w:styleId="Cuerpodeltexto180">
    <w:name w:val="Cuerpo del texto (18)"/>
    <w:basedOn w:val="Normal"/>
    <w:link w:val="Cuerpodeltexto18"/>
    <w:rsid w:val="00CE1BA7"/>
    <w:pPr>
      <w:widowControl w:val="0"/>
      <w:shd w:val="clear" w:color="auto" w:fill="FFFFFF"/>
      <w:spacing w:after="0" w:line="274" w:lineRule="exact"/>
    </w:pPr>
    <w:rPr>
      <w:rFonts w:ascii="Times New Roman" w:eastAsia="Times New Roman" w:hAnsi="Times New Roman" w:cs="Times New Roman"/>
      <w:sz w:val="17"/>
      <w:szCs w:val="17"/>
    </w:rPr>
  </w:style>
  <w:style w:type="paragraph" w:customStyle="1" w:styleId="Leyendadelaimagen40">
    <w:name w:val="Leyenda de la imagen (4)"/>
    <w:basedOn w:val="Normal"/>
    <w:link w:val="Leyendadelaimagen4"/>
    <w:rsid w:val="00CE1BA7"/>
    <w:pPr>
      <w:widowControl w:val="0"/>
      <w:shd w:val="clear" w:color="auto" w:fill="FFFFFF"/>
      <w:spacing w:after="0" w:line="0" w:lineRule="atLeast"/>
    </w:pPr>
    <w:rPr>
      <w:rFonts w:ascii="Times New Roman" w:eastAsia="Times New Roman" w:hAnsi="Times New Roman" w:cs="Times New Roman"/>
      <w:sz w:val="19"/>
      <w:szCs w:val="19"/>
    </w:rPr>
  </w:style>
  <w:style w:type="paragraph" w:customStyle="1" w:styleId="Leyendadelatabla190">
    <w:name w:val="Leyenda de la tabla (19)"/>
    <w:basedOn w:val="Normal"/>
    <w:link w:val="Leyendadelatabla19"/>
    <w:rsid w:val="00CE1BA7"/>
    <w:pPr>
      <w:widowControl w:val="0"/>
      <w:shd w:val="clear" w:color="auto" w:fill="FFFFFF"/>
      <w:spacing w:after="0" w:line="0" w:lineRule="atLeast"/>
    </w:pPr>
    <w:rPr>
      <w:rFonts w:ascii="Times New Roman" w:eastAsia="Times New Roman" w:hAnsi="Times New Roman" w:cs="Times New Roman"/>
      <w:b/>
      <w:bCs/>
      <w:sz w:val="12"/>
      <w:szCs w:val="12"/>
    </w:rPr>
  </w:style>
  <w:style w:type="paragraph" w:customStyle="1" w:styleId="Leyendadelatabla201">
    <w:name w:val="Leyenda de la tabla (20)"/>
    <w:basedOn w:val="Normal"/>
    <w:link w:val="Leyendadelatabla200"/>
    <w:rsid w:val="00CE1BA7"/>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Leyendadelaimagen50">
    <w:name w:val="Leyenda de la imagen (5)"/>
    <w:basedOn w:val="Normal"/>
    <w:link w:val="Leyendadelaimagen5"/>
    <w:rsid w:val="00CE1BA7"/>
    <w:pPr>
      <w:widowControl w:val="0"/>
      <w:shd w:val="clear" w:color="auto" w:fill="FFFFFF"/>
      <w:spacing w:after="0" w:line="230" w:lineRule="exact"/>
      <w:jc w:val="both"/>
    </w:pPr>
    <w:rPr>
      <w:rFonts w:ascii="Times New Roman" w:eastAsia="Times New Roman" w:hAnsi="Times New Roman" w:cs="Times New Roman"/>
      <w:sz w:val="18"/>
      <w:szCs w:val="18"/>
    </w:rPr>
  </w:style>
  <w:style w:type="paragraph" w:customStyle="1" w:styleId="Leyendadelatabla210">
    <w:name w:val="Leyenda de la tabla (21)"/>
    <w:basedOn w:val="Normal"/>
    <w:link w:val="Leyendadelatabla21"/>
    <w:rsid w:val="00CE1BA7"/>
    <w:pPr>
      <w:widowControl w:val="0"/>
      <w:shd w:val="clear" w:color="auto" w:fill="FFFFFF"/>
      <w:spacing w:after="0" w:line="0" w:lineRule="atLeast"/>
    </w:pPr>
    <w:rPr>
      <w:rFonts w:ascii="Calibri" w:eastAsia="Calibri" w:hAnsi="Calibri" w:cs="Calibri"/>
      <w:b/>
      <w:bCs/>
      <w:sz w:val="18"/>
      <w:szCs w:val="18"/>
    </w:rPr>
  </w:style>
  <w:style w:type="paragraph" w:customStyle="1" w:styleId="Cuerpodeltexto190">
    <w:name w:val="Cuerpo del texto (19)"/>
    <w:basedOn w:val="Normal"/>
    <w:link w:val="Cuerpodeltexto19"/>
    <w:rsid w:val="00CE1BA7"/>
    <w:pPr>
      <w:widowControl w:val="0"/>
      <w:shd w:val="clear" w:color="auto" w:fill="FFFFFF"/>
      <w:spacing w:after="0" w:line="461" w:lineRule="exact"/>
      <w:jc w:val="both"/>
    </w:pPr>
    <w:rPr>
      <w:rFonts w:ascii="Times New Roman" w:eastAsia="Times New Roman" w:hAnsi="Times New Roman" w:cs="Times New Roman"/>
      <w:b/>
      <w:bCs/>
      <w:sz w:val="13"/>
      <w:szCs w:val="13"/>
    </w:rPr>
  </w:style>
  <w:style w:type="paragraph" w:customStyle="1" w:styleId="Leyendadelaimagen6">
    <w:name w:val="Leyenda de la imagen (6)"/>
    <w:basedOn w:val="Normal"/>
    <w:link w:val="Leyendadelaimagen6Exact"/>
    <w:rsid w:val="00CE1BA7"/>
    <w:pPr>
      <w:widowControl w:val="0"/>
      <w:shd w:val="clear" w:color="auto" w:fill="FFFFFF"/>
      <w:spacing w:after="0" w:line="0" w:lineRule="atLeast"/>
      <w:jc w:val="both"/>
    </w:pPr>
    <w:rPr>
      <w:rFonts w:ascii="Times New Roman" w:eastAsia="Times New Roman" w:hAnsi="Times New Roman" w:cs="Times New Roman"/>
      <w:b/>
      <w:bCs/>
      <w:sz w:val="13"/>
      <w:szCs w:val="13"/>
    </w:rPr>
  </w:style>
  <w:style w:type="paragraph" w:customStyle="1" w:styleId="Leyendadelaimagen7">
    <w:name w:val="Leyenda de la imagen (7)"/>
    <w:basedOn w:val="Normal"/>
    <w:link w:val="Leyendadelaimagen7Exact"/>
    <w:rsid w:val="00CE1BA7"/>
    <w:pPr>
      <w:widowControl w:val="0"/>
      <w:shd w:val="clear" w:color="auto" w:fill="FFFFFF"/>
      <w:spacing w:after="0" w:line="0" w:lineRule="atLeast"/>
    </w:pPr>
    <w:rPr>
      <w:rFonts w:ascii="Calibri" w:eastAsia="Calibri" w:hAnsi="Calibri" w:cs="Calibri"/>
      <w:sz w:val="11"/>
      <w:szCs w:val="11"/>
    </w:rPr>
  </w:style>
  <w:style w:type="paragraph" w:customStyle="1" w:styleId="Cuerpodeltexto201">
    <w:name w:val="Cuerpo del texto (20)"/>
    <w:basedOn w:val="Normal"/>
    <w:link w:val="Cuerpodeltexto200"/>
    <w:rsid w:val="00CE1BA7"/>
    <w:pPr>
      <w:widowControl w:val="0"/>
      <w:shd w:val="clear" w:color="auto" w:fill="FFFFFF"/>
      <w:spacing w:before="120" w:after="120" w:line="0" w:lineRule="atLeast"/>
    </w:pPr>
    <w:rPr>
      <w:rFonts w:ascii="Calibri" w:eastAsia="Calibri" w:hAnsi="Calibri" w:cs="Calibri"/>
      <w:sz w:val="11"/>
      <w:szCs w:val="11"/>
    </w:rPr>
  </w:style>
  <w:style w:type="paragraph" w:customStyle="1" w:styleId="Cuerpodeltexto220">
    <w:name w:val="Cuerpo del texto (22)"/>
    <w:basedOn w:val="Normal"/>
    <w:link w:val="Cuerpodeltexto22"/>
    <w:rsid w:val="00CE1BA7"/>
    <w:pPr>
      <w:widowControl w:val="0"/>
      <w:shd w:val="clear" w:color="auto" w:fill="FFFFFF"/>
      <w:spacing w:before="120" w:after="120" w:line="0" w:lineRule="atLeast"/>
    </w:pPr>
    <w:rPr>
      <w:rFonts w:ascii="Times New Roman" w:eastAsia="Times New Roman" w:hAnsi="Times New Roman" w:cs="Times New Roman"/>
      <w:sz w:val="10"/>
      <w:szCs w:val="10"/>
    </w:rPr>
  </w:style>
  <w:style w:type="paragraph" w:customStyle="1" w:styleId="Cuerpodeltexto260">
    <w:name w:val="Cuerpo del texto (26)"/>
    <w:basedOn w:val="Normal"/>
    <w:link w:val="Cuerpodeltexto26"/>
    <w:rsid w:val="00CE1BA7"/>
    <w:pPr>
      <w:widowControl w:val="0"/>
      <w:shd w:val="clear" w:color="auto" w:fill="FFFFFF"/>
      <w:spacing w:before="120" w:after="240" w:line="0" w:lineRule="atLeast"/>
    </w:pPr>
    <w:rPr>
      <w:rFonts w:ascii="Arial" w:eastAsia="Arial" w:hAnsi="Arial" w:cs="Arial"/>
      <w:sz w:val="10"/>
      <w:szCs w:val="10"/>
    </w:rPr>
  </w:style>
  <w:style w:type="paragraph" w:customStyle="1" w:styleId="Cuerpodeltexto210">
    <w:name w:val="Cuerpo del texto (21)"/>
    <w:basedOn w:val="Normal"/>
    <w:link w:val="Cuerpodeltexto21"/>
    <w:rsid w:val="00CE1BA7"/>
    <w:pPr>
      <w:widowControl w:val="0"/>
      <w:shd w:val="clear" w:color="auto" w:fill="FFFFFF"/>
      <w:spacing w:before="120" w:after="120" w:line="0" w:lineRule="atLeast"/>
    </w:pPr>
    <w:rPr>
      <w:rFonts w:ascii="Calibri" w:eastAsia="Calibri" w:hAnsi="Calibri" w:cs="Calibri"/>
      <w:sz w:val="10"/>
      <w:szCs w:val="10"/>
    </w:rPr>
  </w:style>
  <w:style w:type="paragraph" w:customStyle="1" w:styleId="Leyendadelatabla220">
    <w:name w:val="Leyenda de la tabla (22)"/>
    <w:basedOn w:val="Normal"/>
    <w:link w:val="Leyendadelatabla22"/>
    <w:rsid w:val="00CE1BA7"/>
    <w:pPr>
      <w:widowControl w:val="0"/>
      <w:shd w:val="clear" w:color="auto" w:fill="FFFFFF"/>
      <w:spacing w:after="0" w:line="206" w:lineRule="exact"/>
      <w:jc w:val="both"/>
    </w:pPr>
    <w:rPr>
      <w:rFonts w:ascii="Times New Roman" w:eastAsia="Times New Roman" w:hAnsi="Times New Roman" w:cs="Times New Roman"/>
      <w:i/>
      <w:iCs/>
      <w:sz w:val="17"/>
      <w:szCs w:val="17"/>
    </w:rPr>
  </w:style>
  <w:style w:type="paragraph" w:customStyle="1" w:styleId="Cuerpodeltexto270">
    <w:name w:val="Cuerpo del texto (27)"/>
    <w:basedOn w:val="Normal"/>
    <w:link w:val="Cuerpodeltexto27"/>
    <w:rsid w:val="00CE1BA7"/>
    <w:pPr>
      <w:widowControl w:val="0"/>
      <w:shd w:val="clear" w:color="auto" w:fill="FFFFFF"/>
      <w:spacing w:before="180" w:after="300" w:line="0" w:lineRule="atLeast"/>
      <w:jc w:val="both"/>
    </w:pPr>
    <w:rPr>
      <w:rFonts w:ascii="Times New Roman" w:eastAsia="Times New Roman" w:hAnsi="Times New Roman" w:cs="Times New Roman"/>
      <w:b/>
      <w:bCs/>
      <w:i/>
      <w:iCs/>
      <w:sz w:val="19"/>
      <w:szCs w:val="19"/>
    </w:rPr>
  </w:style>
  <w:style w:type="paragraph" w:customStyle="1" w:styleId="CellBody">
    <w:name w:val="CellBody"/>
    <w:basedOn w:val="Normal"/>
    <w:uiPriority w:val="99"/>
    <w:rsid w:val="00F1205F"/>
    <w:pPr>
      <w:spacing w:before="60" w:after="60" w:line="290" w:lineRule="auto"/>
    </w:pPr>
    <w:rPr>
      <w:rFonts w:ascii="Arial" w:eastAsia="Times New Roman" w:hAnsi="Arial" w:cs="Times New Roman"/>
      <w:kern w:val="20"/>
      <w:sz w:val="20"/>
      <w:szCs w:val="20"/>
      <w:lang w:val="en-US" w:eastAsia="en-GB"/>
    </w:rPr>
  </w:style>
  <w:style w:type="paragraph" w:customStyle="1" w:styleId="Bullet9">
    <w:name w:val="Bullet 9"/>
    <w:basedOn w:val="Normal"/>
    <w:uiPriority w:val="99"/>
    <w:rsid w:val="00157F53"/>
    <w:pPr>
      <w:numPr>
        <w:ilvl w:val="8"/>
        <w:numId w:val="139"/>
      </w:numPr>
      <w:tabs>
        <w:tab w:val="left" w:pos="6480"/>
      </w:tabs>
      <w:spacing w:after="240" w:line="240" w:lineRule="auto"/>
      <w:outlineLvl w:val="8"/>
    </w:pPr>
    <w:rPr>
      <w:rFonts w:ascii="Times New Roman" w:eastAsia="Times New Roman" w:hAnsi="Times New Roman" w:cs="Times New Roman"/>
      <w:sz w:val="24"/>
      <w:szCs w:val="20"/>
      <w:lang w:val="en-US"/>
    </w:rPr>
  </w:style>
  <w:style w:type="paragraph" w:customStyle="1" w:styleId="Bullet8">
    <w:name w:val="Bullet 8"/>
    <w:basedOn w:val="Normal"/>
    <w:uiPriority w:val="99"/>
    <w:rsid w:val="00157F53"/>
    <w:pPr>
      <w:numPr>
        <w:ilvl w:val="7"/>
        <w:numId w:val="139"/>
      </w:numPr>
      <w:tabs>
        <w:tab w:val="left" w:pos="5760"/>
      </w:tabs>
      <w:spacing w:after="240" w:line="240" w:lineRule="auto"/>
      <w:outlineLvl w:val="7"/>
    </w:pPr>
    <w:rPr>
      <w:rFonts w:ascii="Times New Roman" w:eastAsia="Times New Roman" w:hAnsi="Times New Roman" w:cs="Times New Roman"/>
      <w:sz w:val="24"/>
      <w:szCs w:val="20"/>
      <w:lang w:val="en-US"/>
    </w:rPr>
  </w:style>
  <w:style w:type="paragraph" w:customStyle="1" w:styleId="Bullet7">
    <w:name w:val="Bullet 7"/>
    <w:basedOn w:val="Bullet6"/>
    <w:uiPriority w:val="99"/>
    <w:rsid w:val="00157F53"/>
    <w:pPr>
      <w:numPr>
        <w:ilvl w:val="6"/>
      </w:numPr>
      <w:tabs>
        <w:tab w:val="clear" w:pos="4320"/>
        <w:tab w:val="left" w:pos="5040"/>
      </w:tabs>
      <w:ind w:hanging="360"/>
      <w:outlineLvl w:val="6"/>
    </w:pPr>
  </w:style>
  <w:style w:type="paragraph" w:customStyle="1" w:styleId="Bullet6">
    <w:name w:val="Bullet 6"/>
    <w:basedOn w:val="Bullet5"/>
    <w:uiPriority w:val="99"/>
    <w:rsid w:val="00157F53"/>
    <w:pPr>
      <w:numPr>
        <w:ilvl w:val="5"/>
      </w:numPr>
      <w:tabs>
        <w:tab w:val="clear" w:pos="3600"/>
        <w:tab w:val="left" w:pos="4320"/>
      </w:tabs>
      <w:ind w:hanging="360"/>
      <w:outlineLvl w:val="5"/>
    </w:pPr>
  </w:style>
  <w:style w:type="paragraph" w:customStyle="1" w:styleId="Bullet5">
    <w:name w:val="Bullet 5"/>
    <w:basedOn w:val="Bullet4"/>
    <w:uiPriority w:val="99"/>
    <w:rsid w:val="00157F53"/>
    <w:pPr>
      <w:numPr>
        <w:ilvl w:val="4"/>
      </w:numPr>
      <w:tabs>
        <w:tab w:val="clear" w:pos="2880"/>
        <w:tab w:val="left" w:pos="3600"/>
      </w:tabs>
      <w:ind w:hanging="360"/>
      <w:outlineLvl w:val="4"/>
    </w:pPr>
  </w:style>
  <w:style w:type="paragraph" w:customStyle="1" w:styleId="Bullet4">
    <w:name w:val="Bullet 4"/>
    <w:basedOn w:val="Bullet3"/>
    <w:uiPriority w:val="99"/>
    <w:rsid w:val="00157F53"/>
    <w:pPr>
      <w:numPr>
        <w:ilvl w:val="3"/>
      </w:numPr>
      <w:tabs>
        <w:tab w:val="clear" w:pos="2160"/>
        <w:tab w:val="left" w:pos="2880"/>
      </w:tabs>
      <w:ind w:hanging="360"/>
      <w:outlineLvl w:val="3"/>
    </w:pPr>
  </w:style>
  <w:style w:type="paragraph" w:customStyle="1" w:styleId="Bullet3">
    <w:name w:val="Bullet 3"/>
    <w:basedOn w:val="Bullet2"/>
    <w:uiPriority w:val="1"/>
    <w:qFormat/>
    <w:rsid w:val="00157F53"/>
    <w:pPr>
      <w:numPr>
        <w:ilvl w:val="2"/>
      </w:numPr>
      <w:tabs>
        <w:tab w:val="left" w:pos="2160"/>
      </w:tabs>
      <w:ind w:hanging="360"/>
    </w:pPr>
  </w:style>
  <w:style w:type="paragraph" w:customStyle="1" w:styleId="Bullet2">
    <w:name w:val="Bullet 2"/>
    <w:basedOn w:val="Bullet11"/>
    <w:uiPriority w:val="1"/>
    <w:qFormat/>
    <w:rsid w:val="00157F53"/>
    <w:pPr>
      <w:numPr>
        <w:ilvl w:val="1"/>
      </w:numPr>
      <w:tabs>
        <w:tab w:val="clear" w:pos="1440"/>
      </w:tabs>
      <w:ind w:hanging="360"/>
    </w:pPr>
  </w:style>
  <w:style w:type="paragraph" w:customStyle="1" w:styleId="Bullet11">
    <w:name w:val="Bullet 1"/>
    <w:basedOn w:val="Normal"/>
    <w:link w:val="Bullet1Char"/>
    <w:uiPriority w:val="1"/>
    <w:qFormat/>
    <w:rsid w:val="00157F53"/>
    <w:pPr>
      <w:numPr>
        <w:numId w:val="139"/>
      </w:numPr>
      <w:spacing w:after="240" w:line="240" w:lineRule="auto"/>
    </w:pPr>
    <w:rPr>
      <w:rFonts w:ascii="Times New Roman" w:eastAsia="Times New Roman" w:hAnsi="Times New Roman" w:cs="Times New Roman"/>
      <w:sz w:val="24"/>
      <w:szCs w:val="20"/>
      <w:lang w:val="en-US"/>
    </w:rPr>
  </w:style>
  <w:style w:type="character" w:customStyle="1" w:styleId="Bullet1Char">
    <w:name w:val="Bullet 1 Char"/>
    <w:link w:val="Bullet11"/>
    <w:uiPriority w:val="1"/>
    <w:rsid w:val="00157F53"/>
    <w:rPr>
      <w:rFonts w:ascii="Times New Roman" w:eastAsia="Times New Roman" w:hAnsi="Times New Roman" w:cs="Times New Roman"/>
      <w:sz w:val="24"/>
      <w:szCs w:val="20"/>
      <w:lang w:val="en-US"/>
    </w:rPr>
  </w:style>
  <w:style w:type="paragraph" w:customStyle="1" w:styleId="ListBullet3SglJ">
    <w:name w:val="List Bullet 3 Sgl J"/>
    <w:basedOn w:val="Normal"/>
    <w:uiPriority w:val="99"/>
    <w:qFormat/>
    <w:rsid w:val="00A03EA6"/>
    <w:pPr>
      <w:numPr>
        <w:numId w:val="143"/>
      </w:numPr>
      <w:spacing w:after="240" w:line="240" w:lineRule="auto"/>
      <w:ind w:left="1080"/>
      <w:jc w:val="both"/>
    </w:pPr>
    <w:rPr>
      <w:rFonts w:ascii="Times New Roman" w:eastAsiaTheme="minorHAnsi" w:hAnsi="Times New Roman"/>
      <w:sz w:val="20"/>
      <w:lang w:val="en-US"/>
    </w:rPr>
  </w:style>
  <w:style w:type="table" w:customStyle="1" w:styleId="Sombreadoclaro-nfasis22">
    <w:name w:val="Sombreado claro - Énfasis 22"/>
    <w:basedOn w:val="Tablanormal"/>
    <w:next w:val="Sombreadoclaro-nfasis2"/>
    <w:uiPriority w:val="30"/>
    <w:rsid w:val="00653CBF"/>
    <w:pPr>
      <w:spacing w:after="0" w:line="240" w:lineRule="auto"/>
    </w:pPr>
    <w:rPr>
      <w:rFonts w:eastAsiaTheme="minorHAnsi"/>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Cuadrculavistosa-nfasis12">
    <w:name w:val="Cuadrícula vistosa - Énfasis 12"/>
    <w:basedOn w:val="Tablanormal"/>
    <w:next w:val="Cuadrculavistosa-nfasis1"/>
    <w:uiPriority w:val="29"/>
    <w:rsid w:val="00653CBF"/>
    <w:pPr>
      <w:spacing w:after="0" w:line="240" w:lineRule="auto"/>
    </w:pPr>
    <w:rPr>
      <w:rFonts w:eastAsiaTheme="minorHAnsi"/>
      <w:i/>
      <w:iCs/>
      <w:color w:val="00000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Sinlista2">
    <w:name w:val="Sin lista2"/>
    <w:next w:val="Sinlista"/>
    <w:uiPriority w:val="99"/>
    <w:semiHidden/>
    <w:unhideWhenUsed/>
    <w:rsid w:val="00D31D22"/>
  </w:style>
  <w:style w:type="numbering" w:customStyle="1" w:styleId="Sinlista3">
    <w:name w:val="Sin lista3"/>
    <w:next w:val="Sinlista"/>
    <w:uiPriority w:val="99"/>
    <w:semiHidden/>
    <w:unhideWhenUsed/>
    <w:rsid w:val="002C2444"/>
  </w:style>
  <w:style w:type="table" w:customStyle="1" w:styleId="Sombreadoclaro-nfasis23">
    <w:name w:val="Sombreado claro - Énfasis 23"/>
    <w:basedOn w:val="Tablanormal"/>
    <w:next w:val="Sombreadoclaro-nfasis2"/>
    <w:uiPriority w:val="30"/>
    <w:semiHidden/>
    <w:unhideWhenUsed/>
    <w:rsid w:val="002C2444"/>
    <w:pPr>
      <w:spacing w:after="0" w:line="240" w:lineRule="auto"/>
    </w:pPr>
    <w:rPr>
      <w:b/>
      <w:bCs/>
      <w:i/>
      <w:iCs/>
      <w:color w:val="4F81BD"/>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absica11">
    <w:name w:val="Tabla básica 11"/>
    <w:basedOn w:val="Tablanormal"/>
    <w:next w:val="Tablabsica1"/>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bsica21">
    <w:name w:val="Tabla básica 21"/>
    <w:basedOn w:val="Tablanormal"/>
    <w:next w:val="Tablabsica2"/>
    <w:semiHidden/>
    <w:unhideWhenUsed/>
    <w:rsid w:val="002C2444"/>
    <w:pPr>
      <w:spacing w:after="240" w:line="240" w:lineRule="auto"/>
      <w:jc w:val="both"/>
    </w:pPr>
    <w:rPr>
      <w:rFonts w:ascii="Times New Roman" w:eastAsia="SimSun" w:hAnsi="Times New Roman" w:cs="Times New Roman"/>
      <w:sz w:val="20"/>
      <w:szCs w:val="20"/>
      <w:lang w:val="es-A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bsica31">
    <w:name w:val="Tabla básica 31"/>
    <w:basedOn w:val="Tablanormal"/>
    <w:next w:val="Tablabsica3"/>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lsica11">
    <w:name w:val="Tabla clásica 11"/>
    <w:basedOn w:val="Tablanormal"/>
    <w:next w:val="Tablaclsica1"/>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21">
    <w:name w:val="Tabla clásica 21"/>
    <w:basedOn w:val="Tablanormal"/>
    <w:next w:val="Tablaclsica2"/>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aclsica31">
    <w:name w:val="Tabla clásica 31"/>
    <w:basedOn w:val="Tablanormal"/>
    <w:next w:val="Tablaclsica3"/>
    <w:semiHidden/>
    <w:unhideWhenUsed/>
    <w:rsid w:val="002C2444"/>
    <w:pPr>
      <w:spacing w:after="240" w:line="240" w:lineRule="auto"/>
      <w:jc w:val="both"/>
    </w:pPr>
    <w:rPr>
      <w:rFonts w:ascii="Times New Roman" w:eastAsia="SimSun" w:hAnsi="Times New Roman" w:cs="Times New Roman"/>
      <w:color w:val="000080"/>
      <w:sz w:val="20"/>
      <w:szCs w:val="20"/>
      <w:lang w:val="es-A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clsica41">
    <w:name w:val="Tabla clásica 41"/>
    <w:basedOn w:val="Tablanormal"/>
    <w:next w:val="Tablaclsica4"/>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vistosa21">
    <w:name w:val="Tabla vistosa 21"/>
    <w:basedOn w:val="Tablanormal"/>
    <w:next w:val="Tablavistosa2"/>
    <w:semiHidden/>
    <w:unhideWhenUsed/>
    <w:rsid w:val="002C2444"/>
    <w:pPr>
      <w:spacing w:after="240" w:line="240" w:lineRule="auto"/>
      <w:jc w:val="both"/>
    </w:pPr>
    <w:rPr>
      <w:rFonts w:ascii="Times New Roman" w:eastAsia="SimSun" w:hAnsi="Times New Roman" w:cs="Times New Roman"/>
      <w:sz w:val="20"/>
      <w:szCs w:val="20"/>
      <w:lang w:val="es-A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avistosa31">
    <w:name w:val="Tabla vistosa 31"/>
    <w:basedOn w:val="Tablanormal"/>
    <w:next w:val="Tablavistosa3"/>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aconcolumnas11">
    <w:name w:val="Tabla con columnas 11"/>
    <w:basedOn w:val="Tablanormal"/>
    <w:next w:val="Tablaconcolumnas1"/>
    <w:semiHidden/>
    <w:unhideWhenUsed/>
    <w:rsid w:val="002C2444"/>
    <w:pPr>
      <w:spacing w:after="240" w:line="240" w:lineRule="auto"/>
      <w:jc w:val="both"/>
    </w:pPr>
    <w:rPr>
      <w:rFonts w:ascii="Times New Roman" w:eastAsia="SimSun" w:hAnsi="Times New Roman" w:cs="Times New Roman"/>
      <w:b/>
      <w:bCs/>
      <w:sz w:val="20"/>
      <w:szCs w:val="20"/>
      <w:lang w:val="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21">
    <w:name w:val="Tabla con columnas 21"/>
    <w:basedOn w:val="Tablanormal"/>
    <w:next w:val="Tablaconcolumnas2"/>
    <w:semiHidden/>
    <w:unhideWhenUsed/>
    <w:rsid w:val="002C2444"/>
    <w:pPr>
      <w:spacing w:after="240" w:line="240" w:lineRule="auto"/>
      <w:jc w:val="both"/>
    </w:pPr>
    <w:rPr>
      <w:rFonts w:ascii="Times New Roman" w:eastAsia="SimSun" w:hAnsi="Times New Roman" w:cs="Times New Roman"/>
      <w:b/>
      <w:bCs/>
      <w:sz w:val="20"/>
      <w:szCs w:val="20"/>
      <w:lang w:val="es-A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31">
    <w:name w:val="Tabla con columnas 31"/>
    <w:basedOn w:val="Tablanormal"/>
    <w:next w:val="Tablaconcolumnas3"/>
    <w:semiHidden/>
    <w:unhideWhenUsed/>
    <w:rsid w:val="002C2444"/>
    <w:pPr>
      <w:spacing w:after="240" w:line="240" w:lineRule="auto"/>
      <w:jc w:val="both"/>
    </w:pPr>
    <w:rPr>
      <w:rFonts w:ascii="Times New Roman" w:eastAsia="SimSun" w:hAnsi="Times New Roman" w:cs="Times New Roman"/>
      <w:b/>
      <w:bCs/>
      <w:sz w:val="20"/>
      <w:szCs w:val="20"/>
      <w:lang w:val="es-A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aconcolumnas41">
    <w:name w:val="Tabla con columnas 41"/>
    <w:basedOn w:val="Tablanormal"/>
    <w:next w:val="Tablaconcolumnas4"/>
    <w:semiHidden/>
    <w:unhideWhenUsed/>
    <w:rsid w:val="002C2444"/>
    <w:pPr>
      <w:spacing w:after="240" w:line="240" w:lineRule="auto"/>
      <w:jc w:val="both"/>
    </w:pPr>
    <w:rPr>
      <w:rFonts w:ascii="Times New Roman" w:eastAsia="SimSun" w:hAnsi="Times New Roman" w:cs="Times New Roman"/>
      <w:sz w:val="20"/>
      <w:szCs w:val="20"/>
      <w:lang w:val="es-A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columnas51">
    <w:name w:val="Tabla con columnas 51"/>
    <w:basedOn w:val="Tablanormal"/>
    <w:next w:val="Tablaconcolumnas5"/>
    <w:semiHidden/>
    <w:unhideWhenUsed/>
    <w:rsid w:val="002C2444"/>
    <w:pPr>
      <w:spacing w:after="240" w:line="240" w:lineRule="auto"/>
      <w:jc w:val="both"/>
    </w:pPr>
    <w:rPr>
      <w:rFonts w:ascii="Times New Roman" w:eastAsia="SimSun" w:hAnsi="Times New Roman" w:cs="Times New Roman"/>
      <w:sz w:val="20"/>
      <w:szCs w:val="20"/>
      <w:lang w:val="es-A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aconcuadrcula110">
    <w:name w:val="Tabla con cuadrícula 11"/>
    <w:basedOn w:val="Tablanormal"/>
    <w:next w:val="Tablaconcuadrcula10"/>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10">
    <w:name w:val="Tabla con cuadrícula 21"/>
    <w:basedOn w:val="Tablanormal"/>
    <w:next w:val="Tablaconcuadrcula20"/>
    <w:semiHidden/>
    <w:unhideWhenUsed/>
    <w:rsid w:val="002C2444"/>
    <w:pPr>
      <w:spacing w:after="240" w:line="240" w:lineRule="auto"/>
      <w:jc w:val="both"/>
    </w:pPr>
    <w:rPr>
      <w:rFonts w:ascii="Times New Roman" w:eastAsia="SimSun" w:hAnsi="Times New Roman" w:cs="Times New Roman"/>
      <w:sz w:val="20"/>
      <w:szCs w:val="20"/>
      <w:lang w:val="es-AR"/>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aconcuadrcula31">
    <w:name w:val="Tabla con cuadrícula 31"/>
    <w:basedOn w:val="Tablanormal"/>
    <w:next w:val="Tablaconcuadrcula3"/>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aconcuadrcula410">
    <w:name w:val="Tabla con cuadrícula 41"/>
    <w:basedOn w:val="Tablanormal"/>
    <w:next w:val="Tablaconcuadrcula40"/>
    <w:semiHidden/>
    <w:unhideWhenUsed/>
    <w:rsid w:val="002C2444"/>
    <w:pPr>
      <w:spacing w:after="240" w:line="240" w:lineRule="auto"/>
      <w:jc w:val="both"/>
    </w:pPr>
    <w:rPr>
      <w:rFonts w:ascii="Times New Roman" w:eastAsia="SimSun" w:hAnsi="Times New Roman" w:cs="Times New Roman"/>
      <w:sz w:val="20"/>
      <w:szCs w:val="20"/>
      <w:lang w:val="es-AR"/>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aconcuadrcula510">
    <w:name w:val="Tabla con cuadrícula 51"/>
    <w:basedOn w:val="Tablanormal"/>
    <w:next w:val="Tablaconcuadrcula50"/>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customStyle="1" w:styleId="Tablaconcuadrcula61">
    <w:name w:val="Tabla con cuadrícula 61"/>
    <w:basedOn w:val="Tablanormal"/>
    <w:next w:val="Tablaconcuadrcula6"/>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customStyle="1" w:styleId="Tablaconcuadrcula71">
    <w:name w:val="Tabla con cuadrícula 71"/>
    <w:basedOn w:val="Tablanormal"/>
    <w:next w:val="Tablaconcuadrcula7"/>
    <w:semiHidden/>
    <w:unhideWhenUsed/>
    <w:rsid w:val="002C2444"/>
    <w:pPr>
      <w:spacing w:after="240" w:line="240" w:lineRule="auto"/>
      <w:jc w:val="both"/>
    </w:pPr>
    <w:rPr>
      <w:rFonts w:ascii="Times New Roman" w:eastAsia="SimSun" w:hAnsi="Times New Roman" w:cs="Times New Roman"/>
      <w:b/>
      <w:bCs/>
      <w:sz w:val="20"/>
      <w:szCs w:val="20"/>
      <w:lang w:val="es-A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customStyle="1" w:styleId="Tablaconcuadrcula81">
    <w:name w:val="Tabla con cuadrícula 81"/>
    <w:basedOn w:val="Tablanormal"/>
    <w:next w:val="Tablaconcuadrcula8"/>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aconlista11">
    <w:name w:val="Tabla con lista 11"/>
    <w:basedOn w:val="Tablanormal"/>
    <w:next w:val="Tablaconlista1"/>
    <w:semiHidden/>
    <w:unhideWhenUsed/>
    <w:rsid w:val="002C2444"/>
    <w:pPr>
      <w:spacing w:after="240" w:line="240" w:lineRule="auto"/>
      <w:jc w:val="both"/>
    </w:pPr>
    <w:rPr>
      <w:rFonts w:ascii="Times New Roman" w:eastAsia="SimSun" w:hAnsi="Times New Roman" w:cs="Times New Roman"/>
      <w:sz w:val="20"/>
      <w:szCs w:val="20"/>
      <w:lang w:val="es-A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21">
    <w:name w:val="Tabla con lista 21"/>
    <w:basedOn w:val="Tablanormal"/>
    <w:next w:val="Tablaconlista2"/>
    <w:semiHidden/>
    <w:unhideWhenUsed/>
    <w:rsid w:val="002C2444"/>
    <w:pPr>
      <w:spacing w:after="240" w:line="240" w:lineRule="auto"/>
      <w:jc w:val="both"/>
    </w:pPr>
    <w:rPr>
      <w:rFonts w:ascii="Times New Roman" w:eastAsia="SimSun" w:hAnsi="Times New Roman" w:cs="Times New Roman"/>
      <w:sz w:val="20"/>
      <w:szCs w:val="20"/>
      <w:lang w:val="es-A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1">
    <w:name w:val="Tabla con lista 31"/>
    <w:basedOn w:val="Tablanormal"/>
    <w:next w:val="Tablaconlista3"/>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conlista41">
    <w:name w:val="Tabla con lista 41"/>
    <w:basedOn w:val="Tablanormal"/>
    <w:next w:val="Tablaconlista4"/>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aconlista51">
    <w:name w:val="Tabla con lista 51"/>
    <w:basedOn w:val="Tablanormal"/>
    <w:next w:val="Tablaconlista5"/>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aconlista71">
    <w:name w:val="Tabla con lista 71"/>
    <w:basedOn w:val="Tablanormal"/>
    <w:next w:val="Tablaconlista7"/>
    <w:semiHidden/>
    <w:unhideWhenUsed/>
    <w:rsid w:val="002C2444"/>
    <w:pPr>
      <w:spacing w:after="240" w:line="240" w:lineRule="auto"/>
      <w:jc w:val="both"/>
    </w:pPr>
    <w:rPr>
      <w:rFonts w:ascii="Times New Roman" w:eastAsia="SimSun" w:hAnsi="Times New Roman" w:cs="Times New Roman"/>
      <w:sz w:val="20"/>
      <w:szCs w:val="20"/>
      <w:lang w:val="es-A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aconlista81">
    <w:name w:val="Tabla con lista 81"/>
    <w:basedOn w:val="Tablanormal"/>
    <w:next w:val="Tablaconlista8"/>
    <w:semiHidden/>
    <w:unhideWhenUsed/>
    <w:rsid w:val="002C2444"/>
    <w:pPr>
      <w:spacing w:after="240" w:line="240" w:lineRule="auto"/>
      <w:jc w:val="both"/>
    </w:pPr>
    <w:rPr>
      <w:rFonts w:ascii="Times New Roman" w:eastAsia="SimSun" w:hAnsi="Times New Roman" w:cs="Times New Roman"/>
      <w:sz w:val="20"/>
      <w:szCs w:val="20"/>
      <w:lang w:val="es-A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aconefectos3D11">
    <w:name w:val="Tabla con efectos 3D 11"/>
    <w:basedOn w:val="Tablanormal"/>
    <w:next w:val="Tablaconefectos3D1"/>
    <w:semiHidden/>
    <w:unhideWhenUsed/>
    <w:rsid w:val="002C2444"/>
    <w:pPr>
      <w:spacing w:after="240" w:line="240" w:lineRule="auto"/>
      <w:jc w:val="both"/>
    </w:pPr>
    <w:rPr>
      <w:rFonts w:ascii="Times New Roman" w:eastAsia="SimSun" w:hAnsi="Times New Roman" w:cs="Times New Roman"/>
      <w:sz w:val="20"/>
      <w:szCs w:val="20"/>
      <w:lang w:val="es-A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aconefectos3D31">
    <w:name w:val="Tabla con efectos 3D 31"/>
    <w:basedOn w:val="Tablanormal"/>
    <w:next w:val="Tablaconefectos3D3"/>
    <w:semiHidden/>
    <w:unhideWhenUsed/>
    <w:rsid w:val="002C2444"/>
    <w:pPr>
      <w:spacing w:after="240" w:line="240" w:lineRule="auto"/>
      <w:jc w:val="both"/>
    </w:pPr>
    <w:rPr>
      <w:rFonts w:ascii="Times New Roman" w:eastAsia="SimSun" w:hAnsi="Times New Roman" w:cs="Times New Roman"/>
      <w:sz w:val="20"/>
      <w:szCs w:val="20"/>
      <w:lang w:val="es-A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moderna1">
    <w:name w:val="Tabla moderna1"/>
    <w:basedOn w:val="Tablanormal"/>
    <w:next w:val="Tablamoderna"/>
    <w:semiHidden/>
    <w:unhideWhenUsed/>
    <w:rsid w:val="002C2444"/>
    <w:pPr>
      <w:spacing w:after="240" w:line="240" w:lineRule="auto"/>
      <w:jc w:val="both"/>
    </w:pPr>
    <w:rPr>
      <w:rFonts w:ascii="Times New Roman" w:eastAsia="SimSun" w:hAnsi="Times New Roman" w:cs="Times New Roman"/>
      <w:sz w:val="20"/>
      <w:szCs w:val="20"/>
      <w:lang w:val="es-A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elegante1">
    <w:name w:val="Tabla elegante1"/>
    <w:basedOn w:val="Tablanormal"/>
    <w:next w:val="Tablaelegante"/>
    <w:semiHidden/>
    <w:unhideWhenUsed/>
    <w:rsid w:val="002C2444"/>
    <w:pPr>
      <w:spacing w:after="240" w:line="240" w:lineRule="auto"/>
      <w:jc w:val="both"/>
    </w:pPr>
    <w:rPr>
      <w:rFonts w:ascii="Times New Roman" w:eastAsia="SimSun" w:hAnsi="Times New Roman" w:cs="Times New Roman"/>
      <w:sz w:val="20"/>
      <w:szCs w:val="20"/>
      <w:lang w:val="es-A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2C2444"/>
    <w:pPr>
      <w:spacing w:after="240" w:line="240" w:lineRule="auto"/>
      <w:jc w:val="both"/>
    </w:pPr>
    <w:rPr>
      <w:rFonts w:ascii="Times New Roman" w:eastAsia="SimSun" w:hAnsi="Times New Roman" w:cs="Times New Roman"/>
      <w:sz w:val="20"/>
      <w:szCs w:val="20"/>
      <w:lang w:val="es-A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1">
    <w:name w:val="Tabla Web 11"/>
    <w:basedOn w:val="Tablanormal"/>
    <w:next w:val="Tablaweb1"/>
    <w:semiHidden/>
    <w:unhideWhenUsed/>
    <w:rsid w:val="002C2444"/>
    <w:pPr>
      <w:spacing w:after="240" w:line="240" w:lineRule="auto"/>
      <w:jc w:val="both"/>
    </w:pPr>
    <w:rPr>
      <w:rFonts w:ascii="Times New Roman" w:eastAsia="SimSun" w:hAnsi="Times New Roman" w:cs="Times New Roman"/>
      <w:sz w:val="20"/>
      <w:szCs w:val="20"/>
      <w:lang w:val="es-A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customStyle="1" w:styleId="TablaWeb21">
    <w:name w:val="Tabla Web 21"/>
    <w:basedOn w:val="Tablanormal"/>
    <w:next w:val="Tablaweb2"/>
    <w:semiHidden/>
    <w:unhideWhenUsed/>
    <w:rsid w:val="002C2444"/>
    <w:pPr>
      <w:spacing w:after="240" w:line="240" w:lineRule="auto"/>
      <w:jc w:val="both"/>
    </w:pPr>
    <w:rPr>
      <w:rFonts w:ascii="Times New Roman" w:eastAsia="SimSun" w:hAnsi="Times New Roman" w:cs="Times New Roman"/>
      <w:sz w:val="20"/>
      <w:szCs w:val="20"/>
      <w:lang w:val="es-A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StylePr w:type="firstRow">
      <w:rPr>
        <w:color w:val="auto"/>
      </w:rPr>
      <w:tblPr/>
      <w:tcPr>
        <w:tcBorders>
          <w:tl2br w:val="none" w:sz="0" w:space="0" w:color="auto"/>
          <w:tr2bl w:val="none" w:sz="0" w:space="0" w:color="auto"/>
        </w:tcBorders>
      </w:tcPr>
    </w:tblStylePr>
  </w:style>
  <w:style w:type="table" w:customStyle="1" w:styleId="TablaWeb31">
    <w:name w:val="Tabla Web 31"/>
    <w:basedOn w:val="Tablanormal"/>
    <w:next w:val="Tablaweb3"/>
    <w:semiHidden/>
    <w:unhideWhenUsed/>
    <w:rsid w:val="002C2444"/>
    <w:pPr>
      <w:spacing w:after="240" w:line="240" w:lineRule="auto"/>
      <w:jc w:val="both"/>
    </w:pPr>
    <w:rPr>
      <w:rFonts w:ascii="Times New Roman" w:eastAsia="SimSun" w:hAnsi="Times New Roman" w:cs="Times New Roman"/>
      <w:sz w:val="20"/>
      <w:szCs w:val="20"/>
      <w:lang w:val="es-A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customStyle="1" w:styleId="Listaoscura3">
    <w:name w:val="Lista oscura3"/>
    <w:basedOn w:val="Tablanormal"/>
    <w:next w:val="Listaoscura"/>
    <w:uiPriority w:val="70"/>
    <w:semiHidden/>
    <w:unhideWhenUsed/>
    <w:rsid w:val="002C2444"/>
    <w:pPr>
      <w:spacing w:after="0" w:line="240" w:lineRule="auto"/>
    </w:pPr>
    <w:rPr>
      <w:rFonts w:ascii="Times New Roman" w:eastAsia="Times New Roman" w:hAnsi="Times New Roman" w:cs="Times New Roman"/>
      <w:color w:val="FFFFFF"/>
      <w:sz w:val="24"/>
      <w:szCs w:val="24"/>
      <w:lang w:val="es-AR"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Sombreadomedio1-nfasis21">
    <w:name w:val="Sombreado medio 1 - Énfasis 21"/>
    <w:basedOn w:val="Tablanormal"/>
    <w:next w:val="Sombreadomedio1-nfasis2"/>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Sombreadomedio2-nfasis21">
    <w:name w:val="Sombreado medio 2 - Énfasis 21"/>
    <w:basedOn w:val="Tablanormal"/>
    <w:next w:val="Sombreadomedio2-nfasis2"/>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tcBorders>
        <w:shd w:val="clear" w:color="auto" w:fill="4F81BD"/>
      </w:tcPr>
    </w:tblStylePr>
    <w:tblStylePr w:type="lastCol">
      <w:rPr>
        <w:b/>
        <w:bCs/>
        <w:i w:val="0"/>
        <w:iCs w:val="0"/>
        <w:color w:val="FFFFFF"/>
      </w:rPr>
      <w:tblPr/>
      <w:tcPr>
        <w:tcBorders>
          <w:left w:val="single" w:sz="24" w:space="0" w:color="FFFFFF"/>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stamedia2-nfasis21">
    <w:name w:val="Lista media 2 - Énfasis 21"/>
    <w:basedOn w:val="Tablanormal"/>
    <w:next w:val="Listamedia2-nfasis2"/>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insideH w:val="single" w:sz="4" w:space="0" w:color="2C4C74"/>
        </w:tcBorders>
        <w:shd w:val="clear" w:color="auto" w:fill="2C4C74"/>
      </w:tcPr>
    </w:tblStylePr>
    <w:tblStylePr w:type="lastCol">
      <w:rPr>
        <w:color w:val="FFFFFF"/>
      </w:rPr>
      <w:tblPr/>
      <w:tcPr>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uadrculamedia1-nfasis21">
    <w:name w:val="Cuadrícula media 1 - Énfasis 21"/>
    <w:basedOn w:val="Tablanormal"/>
    <w:next w:val="Cuadrculamedia1-nfasis2"/>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BE5F1"/>
      </w:tcPr>
    </w:tblStylePr>
  </w:style>
  <w:style w:type="table" w:customStyle="1" w:styleId="Cuadrculamedia2-nfasis21">
    <w:name w:val="Cuadrícula media 2 - Énfasis 21"/>
    <w:basedOn w:val="Tablanormal"/>
    <w:next w:val="Cuadrculamedia2-nfasis2"/>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uadrculamedia3-nfasis21">
    <w:name w:val="Cuadrícula media 3 - Énfasis 21"/>
    <w:basedOn w:val="Tablanormal"/>
    <w:next w:val="Cuadrculamedia3-nfasis2"/>
    <w:semiHidden/>
    <w:unhideWhenUsed/>
    <w:rsid w:val="002C2444"/>
    <w:pPr>
      <w:spacing w:after="0" w:line="240" w:lineRule="auto"/>
    </w:pPr>
    <w:rPr>
      <w:rFonts w:ascii="Times New Roman" w:eastAsia="SimSun" w:hAnsi="Times New Roman" w:cs="Times New Roman"/>
      <w:color w:val="943634"/>
      <w:sz w:val="20"/>
      <w:szCs w:val="20"/>
      <w:lang w:val="es-A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bottom w:val="single" w:sz="8" w:space="0" w:color="C0504D"/>
        </w:tcBorders>
      </w:tcPr>
    </w:tblStylePr>
    <w:tblStylePr w:type="lastRow">
      <w:pPr>
        <w:spacing w:beforeLines="0" w:before="0" w:beforeAutospacing="0" w:afterLines="0" w:after="0" w:afterAutospacing="0" w:line="240" w:lineRule="auto"/>
      </w:pPr>
      <w:rPr>
        <w:b/>
        <w:bCs/>
      </w:rPr>
      <w:tblPr/>
      <w:tcPr>
        <w:tcBorders>
          <w:top w:val="single" w:sz="8" w:space="0" w:color="C0504D"/>
          <w:bottom w:val="single" w:sz="8" w:space="0" w:color="C0504D"/>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customStyle="1" w:styleId="Listaoscura-nfasis21">
    <w:name w:val="Lista oscura - Énfasis 21"/>
    <w:basedOn w:val="Tablanormal"/>
    <w:next w:val="Listaoscura-nfasis2"/>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ombreadovistoso-nfasis21">
    <w:name w:val="Sombreado vistoso - Énfasis 21"/>
    <w:basedOn w:val="Tablanormal"/>
    <w:next w:val="Sombreadovistoso-nfasis2"/>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C0504D"/>
          <w:left w:val="single" w:sz="8" w:space="0" w:color="C0504D"/>
          <w:bottom w:val="single" w:sz="18" w:space="0" w:color="C0504D"/>
          <w:right w:val="single" w:sz="8" w:space="0" w:color="C0504D"/>
          <w:insideV w:val="single" w:sz="8" w:space="0" w:color="C0504D"/>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C0504D"/>
          <w:left w:val="single" w:sz="8" w:space="0" w:color="C0504D"/>
          <w:bottom w:val="single" w:sz="8" w:space="0" w:color="C0504D"/>
          <w:right w:val="single" w:sz="8" w:space="0" w:color="C0504D"/>
          <w:insideV w:val="single" w:sz="8" w:space="0" w:color="C0504D"/>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vistosa-nfasis21">
    <w:name w:val="Lista vistosa - Énfasis 21"/>
    <w:basedOn w:val="Tablanormal"/>
    <w:next w:val="Listavistosa-nfasis2"/>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customStyle="1" w:styleId="Cuadrculavistosa-nfasis21">
    <w:name w:val="Cuadrícula vistosa - Énfasis 21"/>
    <w:basedOn w:val="Tablanormal"/>
    <w:next w:val="Cuadrculavistosa-nfasis2"/>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C0504D"/>
      </w:tcPr>
    </w:tblStylePr>
    <w:tblStylePr w:type="lastCol">
      <w:rPr>
        <w:b/>
        <w:bCs/>
        <w:color w:val="FFFFFF"/>
      </w:rPr>
      <w:tblPr/>
      <w:tcPr>
        <w:shd w:val="clear" w:color="auto" w:fill="C0504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Sombreadoclaro-nfasis31">
    <w:name w:val="Sombreado claro - Énfasis 31"/>
    <w:basedOn w:val="Tablanormal"/>
    <w:next w:val="Sombreadoclaro-nfasis3"/>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hint="default"/>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Sombreadomedio1-nfasis31">
    <w:name w:val="Sombreado medio 1 - Énfasis 31"/>
    <w:basedOn w:val="Tablanormal"/>
    <w:next w:val="Sombreadomedio1-nfasis3"/>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Sombreadomedio2-nfasis31">
    <w:name w:val="Sombreado medio 2 - Énfasis 31"/>
    <w:basedOn w:val="Tablanormal"/>
    <w:next w:val="Sombreadomedio2-nfasis3"/>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tcBorders>
        <w:shd w:val="clear" w:color="auto" w:fill="C0504D"/>
      </w:tcPr>
    </w:tblStylePr>
    <w:tblStylePr w:type="lastCol">
      <w:rPr>
        <w:b/>
        <w:bCs/>
        <w:i w:val="0"/>
        <w:iCs w:val="0"/>
        <w:color w:val="FFFFFF"/>
      </w:rPr>
      <w:tblPr/>
      <w:tcPr>
        <w:tcBorders>
          <w:left w:val="single" w:sz="24" w:space="0" w:color="FFFFFF"/>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stamedia2-nfasis31">
    <w:name w:val="Lista media 2 - Énfasis 31"/>
    <w:basedOn w:val="Tablanormal"/>
    <w:next w:val="Listamedia2-nfasis3"/>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insideH w:val="single" w:sz="4" w:space="0" w:color="772C2A"/>
        </w:tcBorders>
        <w:shd w:val="clear" w:color="auto" w:fill="772C2A"/>
      </w:tcPr>
    </w:tblStylePr>
    <w:tblStylePr w:type="lastCol">
      <w:rPr>
        <w:color w:val="FFFFFF"/>
      </w:rPr>
      <w:tblPr/>
      <w:tcPr>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uadrculamedia1-nfasis31">
    <w:name w:val="Cuadrícula media 1 - Énfasis 31"/>
    <w:basedOn w:val="Tablanormal"/>
    <w:next w:val="Cuadrculamedia1-nfasis3"/>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F2DBDB"/>
      </w:tcPr>
    </w:tblStylePr>
  </w:style>
  <w:style w:type="table" w:customStyle="1" w:styleId="Cuadrculamedia2-nfasis31">
    <w:name w:val="Cuadrícula media 2 - Énfasis 31"/>
    <w:basedOn w:val="Tablanormal"/>
    <w:next w:val="Cuadrculamedia2-nfasis3"/>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uadrculamedia3-nfasis31">
    <w:name w:val="Cuadrícula media 3 - Énfasis 31"/>
    <w:basedOn w:val="Tablanormal"/>
    <w:next w:val="Cuadrculamedia3-nfasis3"/>
    <w:semiHidden/>
    <w:unhideWhenUsed/>
    <w:rsid w:val="002C2444"/>
    <w:pPr>
      <w:spacing w:after="0" w:line="240" w:lineRule="auto"/>
    </w:pPr>
    <w:rPr>
      <w:rFonts w:ascii="Times New Roman" w:eastAsia="SimSun" w:hAnsi="Times New Roman" w:cs="Times New Roman"/>
      <w:color w:val="76923C"/>
      <w:sz w:val="20"/>
      <w:szCs w:val="20"/>
      <w:lang w:val="es-A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bottom w:val="single" w:sz="8" w:space="0" w:color="9BBB59"/>
        </w:tcBorders>
      </w:tcPr>
    </w:tblStylePr>
    <w:tblStylePr w:type="lastRow">
      <w:pPr>
        <w:spacing w:beforeLines="0" w:before="0" w:beforeAutospacing="0" w:afterLines="0" w:after="0" w:afterAutospacing="0" w:line="240" w:lineRule="auto"/>
      </w:pPr>
      <w:rPr>
        <w:b/>
        <w:bCs/>
      </w:rPr>
      <w:tblPr/>
      <w:tcPr>
        <w:tcBorders>
          <w:top w:val="single" w:sz="8" w:space="0" w:color="9BBB59"/>
          <w:bottom w:val="single" w:sz="8" w:space="0" w:color="9BBB59"/>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customStyle="1" w:styleId="Listaoscura-nfasis31">
    <w:name w:val="Lista oscura - Énfasis 31"/>
    <w:basedOn w:val="Tablanormal"/>
    <w:next w:val="Listaoscura-nfasis3"/>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vistoso-nfasis31">
    <w:name w:val="Sombreado vistoso - Énfasis 31"/>
    <w:basedOn w:val="Tablanormal"/>
    <w:next w:val="Sombreadovistoso-nfasis3"/>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9BBB59"/>
          <w:left w:val="single" w:sz="8" w:space="0" w:color="9BBB59"/>
          <w:bottom w:val="single" w:sz="18" w:space="0" w:color="9BBB59"/>
          <w:right w:val="single" w:sz="8" w:space="0" w:color="9BBB59"/>
          <w:insideV w:val="single" w:sz="8" w:space="0" w:color="9BBB59"/>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9BBB59"/>
          <w:left w:val="single" w:sz="8" w:space="0" w:color="9BBB59"/>
          <w:bottom w:val="single" w:sz="8" w:space="0" w:color="9BBB59"/>
          <w:right w:val="single" w:sz="8" w:space="0" w:color="9BBB59"/>
          <w:insideV w:val="single" w:sz="8" w:space="0" w:color="9BBB59"/>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stavistosa-nfasis31">
    <w:name w:val="Lista vistosa - Énfasis 31"/>
    <w:basedOn w:val="Tablanormal"/>
    <w:next w:val="Listavistosa-nfasis3"/>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customStyle="1" w:styleId="Cuadrculavistosa-nfasis31">
    <w:name w:val="Cuadrícula vistosa - Énfasis 31"/>
    <w:basedOn w:val="Tablanormal"/>
    <w:next w:val="Cuadrculavistosa-nfasis3"/>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Sombreadoclaro-nfasis41">
    <w:name w:val="Sombreado claro - Énfasis 41"/>
    <w:basedOn w:val="Tablanormal"/>
    <w:next w:val="Sombreadoclaro-nfasis4"/>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Mincho" w:hint="default"/>
      </w:rPr>
      <w:tblPr/>
      <w:tcPr>
        <w:tcBorders>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Sombreadomedio1-nfasis41">
    <w:name w:val="Sombreado medio 1 - Énfasis 41"/>
    <w:basedOn w:val="Tablanormal"/>
    <w:next w:val="Sombreadomedio1-nfasis4"/>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Sombreadomedio2-nfasis41">
    <w:name w:val="Sombreado medio 2 - Énfasis 41"/>
    <w:basedOn w:val="Tablanormal"/>
    <w:next w:val="Sombreadomedio2-nfasis4"/>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Listamedia2-nfasis41">
    <w:name w:val="Lista media 2 - Énfasis 41"/>
    <w:basedOn w:val="Tablanormal"/>
    <w:next w:val="Listamedia2-nfasis4"/>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bottom w:val="single" w:sz="24" w:space="0" w:color="8064A2"/>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insideH w:val="single" w:sz="4" w:space="0" w:color="5E7530"/>
        </w:tcBorders>
        <w:shd w:val="clear" w:color="auto" w:fill="5E7530"/>
      </w:tcPr>
    </w:tblStylePr>
    <w:tblStylePr w:type="lastCol">
      <w:rPr>
        <w:color w:val="FFFFFF"/>
      </w:rPr>
      <w:tblPr/>
      <w:tcPr>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uadrculamedia1-nfasis41">
    <w:name w:val="Cuadrícula media 1 - Énfasis 41"/>
    <w:basedOn w:val="Tablanormal"/>
    <w:next w:val="Cuadrculamedia1-nfasis4"/>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AF1DD"/>
      </w:tcPr>
    </w:tblStylePr>
  </w:style>
  <w:style w:type="table" w:customStyle="1" w:styleId="Cuadrculamedia2-nfasis41">
    <w:name w:val="Cuadrícula media 2 - Énfasis 41"/>
    <w:basedOn w:val="Tablanormal"/>
    <w:next w:val="Cuadrculamedia2-nfasis4"/>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uadrculamedia3-nfasis41">
    <w:name w:val="Cuadrícula media 3 - Énfasis 41"/>
    <w:basedOn w:val="Tablanormal"/>
    <w:next w:val="Cuadrculamedia3-nfasis4"/>
    <w:semiHidden/>
    <w:unhideWhenUsed/>
    <w:rsid w:val="002C2444"/>
    <w:pPr>
      <w:spacing w:after="0" w:line="240" w:lineRule="auto"/>
    </w:pPr>
    <w:rPr>
      <w:rFonts w:ascii="Times New Roman" w:eastAsia="SimSun" w:hAnsi="Times New Roman" w:cs="Times New Roman"/>
      <w:color w:val="5F497A"/>
      <w:sz w:val="20"/>
      <w:szCs w:val="20"/>
      <w:lang w:val="es-AR"/>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bottom w:val="single" w:sz="8" w:space="0" w:color="8064A2"/>
        </w:tcBorders>
      </w:tcPr>
    </w:tblStylePr>
    <w:tblStylePr w:type="lastRow">
      <w:pPr>
        <w:spacing w:beforeLines="0" w:before="0" w:beforeAutospacing="0" w:afterLines="0" w:after="0" w:afterAutospacing="0" w:line="240" w:lineRule="auto"/>
      </w:pPr>
      <w:rPr>
        <w:b/>
        <w:bCs/>
      </w:rPr>
      <w:tblPr/>
      <w:tcPr>
        <w:tcBorders>
          <w:top w:val="single" w:sz="8" w:space="0" w:color="8064A2"/>
          <w:bottom w:val="single" w:sz="8" w:space="0" w:color="8064A2"/>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customStyle="1" w:styleId="Listaoscura-nfasis41">
    <w:name w:val="Lista oscura - Énfasis 41"/>
    <w:basedOn w:val="Tablanormal"/>
    <w:next w:val="Listaoscura-nfasis4"/>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ombreadovistoso-nfasis41">
    <w:name w:val="Sombreado vistoso - Énfasis 41"/>
    <w:basedOn w:val="Tablanormal"/>
    <w:next w:val="Sombreadovistoso-nfasis4"/>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8064A2"/>
          <w:left w:val="single" w:sz="8" w:space="0" w:color="8064A2"/>
          <w:bottom w:val="single" w:sz="18" w:space="0" w:color="8064A2"/>
          <w:right w:val="single" w:sz="8" w:space="0" w:color="8064A2"/>
          <w:insideV w:val="single" w:sz="8" w:space="0" w:color="8064A2"/>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8064A2"/>
          <w:left w:val="single" w:sz="8" w:space="0" w:color="8064A2"/>
          <w:bottom w:val="single" w:sz="8" w:space="0" w:color="8064A2"/>
          <w:right w:val="single" w:sz="8" w:space="0" w:color="8064A2"/>
          <w:insideV w:val="single" w:sz="8" w:space="0" w:color="8064A2"/>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stavistosa-nfasis41">
    <w:name w:val="Lista vistosa - Énfasis 41"/>
    <w:basedOn w:val="Tablanormal"/>
    <w:next w:val="Listavistosa-nfasis4"/>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customStyle="1" w:styleId="Cuadrculavistosa-nfasis41">
    <w:name w:val="Cuadrícula vistosa - Énfasis 41"/>
    <w:basedOn w:val="Tablanormal"/>
    <w:next w:val="Cuadrculavistosa-nfasis4"/>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8064A2"/>
      </w:tcPr>
    </w:tblStylePr>
    <w:tblStylePr w:type="lastCol">
      <w:rPr>
        <w:b/>
        <w:bCs/>
        <w:color w:val="FFFFFF"/>
      </w:rPr>
      <w:tblPr/>
      <w:tcPr>
        <w:shd w:val="clear" w:color="auto" w:fill="8064A2"/>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Sombreadoclaro-nfasis51">
    <w:name w:val="Sombreado claro - Énfasis 51"/>
    <w:basedOn w:val="Tablanormal"/>
    <w:next w:val="Sombreadoclaro-nfasis5"/>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Mincho" w:hint="default"/>
      </w:rPr>
      <w:tblPr/>
      <w:tcPr>
        <w:tcBorders>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Sombreadomedio1-nfasis51">
    <w:name w:val="Sombreado medio 1 - Énfasis 51"/>
    <w:basedOn w:val="Tablanormal"/>
    <w:next w:val="Sombreadomedio1-nfasis5"/>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Sombreadomedio2-nfasis51">
    <w:name w:val="Sombreado medio 2 - Énfasis 51"/>
    <w:basedOn w:val="Tablanormal"/>
    <w:next w:val="Sombreadomedio2-nfasis5"/>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tcBorders>
        <w:shd w:val="clear" w:color="auto" w:fill="8064A2"/>
      </w:tcPr>
    </w:tblStylePr>
    <w:tblStylePr w:type="lastCol">
      <w:rPr>
        <w:b/>
        <w:bCs/>
        <w:i w:val="0"/>
        <w:iCs w:val="0"/>
        <w:color w:val="FFFFFF"/>
      </w:rPr>
      <w:tblPr/>
      <w:tcPr>
        <w:tcBorders>
          <w:left w:val="single" w:sz="24" w:space="0" w:color="FFFFFF"/>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media2-nfasis51">
    <w:name w:val="Lista media 2 - Énfasis 51"/>
    <w:basedOn w:val="Tablanormal"/>
    <w:next w:val="Listamedia2-nfasis5"/>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bottom w:val="single" w:sz="24" w:space="0" w:color="9BBB59"/>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insideH w:val="single" w:sz="4" w:space="0" w:color="4C3B62"/>
        </w:tcBorders>
        <w:shd w:val="clear" w:color="auto" w:fill="4C3B62"/>
      </w:tcPr>
    </w:tblStylePr>
    <w:tblStylePr w:type="lastCol">
      <w:rPr>
        <w:color w:val="FFFFFF"/>
      </w:rPr>
      <w:tblPr/>
      <w:tcPr>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uadrculamedia1-nfasis51">
    <w:name w:val="Cuadrícula media 1 - Énfasis 51"/>
    <w:basedOn w:val="Tablanormal"/>
    <w:next w:val="Cuadrculamedia1-nfasis5"/>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E5DFEC"/>
      </w:tcPr>
    </w:tblStylePr>
  </w:style>
  <w:style w:type="table" w:customStyle="1" w:styleId="Cuadrculamedia2-nfasis51">
    <w:name w:val="Cuadrícula media 2 - Énfasis 51"/>
    <w:basedOn w:val="Tablanormal"/>
    <w:next w:val="Cuadrculamedia2-nfasis5"/>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uadrculamedia3-nfasis51">
    <w:name w:val="Cuadrícula media 3 - Énfasis 51"/>
    <w:basedOn w:val="Tablanormal"/>
    <w:next w:val="Cuadrculamedia3-nfasis5"/>
    <w:semiHidden/>
    <w:unhideWhenUsed/>
    <w:rsid w:val="002C2444"/>
    <w:pPr>
      <w:spacing w:after="0" w:line="240" w:lineRule="auto"/>
    </w:pPr>
    <w:rPr>
      <w:rFonts w:ascii="Times New Roman" w:eastAsia="SimSun" w:hAnsi="Times New Roman" w:cs="Times New Roman"/>
      <w:color w:val="31849B"/>
      <w:sz w:val="20"/>
      <w:szCs w:val="20"/>
      <w:lang w:val="es-A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bottom w:val="single" w:sz="8" w:space="0" w:color="4BACC6"/>
        </w:tcBorders>
      </w:tcPr>
    </w:tblStylePr>
    <w:tblStylePr w:type="lastRow">
      <w:pPr>
        <w:spacing w:beforeLines="0" w:before="0" w:beforeAutospacing="0" w:afterLines="0" w:after="0" w:afterAutospacing="0" w:line="240" w:lineRule="auto"/>
      </w:pPr>
      <w:rPr>
        <w:b/>
        <w:bCs/>
      </w:rPr>
      <w:tblPr/>
      <w:tcPr>
        <w:tcBorders>
          <w:top w:val="single" w:sz="8" w:space="0" w:color="4BACC6"/>
          <w:bottom w:val="single" w:sz="8" w:space="0" w:color="4BACC6"/>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customStyle="1" w:styleId="Listaoscura-nfasis51">
    <w:name w:val="Lista oscura - Énfasis 51"/>
    <w:basedOn w:val="Tablanormal"/>
    <w:next w:val="Listaoscura-nfasis5"/>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vistoso-nfasis51">
    <w:name w:val="Sombreado vistoso - Énfasis 51"/>
    <w:basedOn w:val="Tablanormal"/>
    <w:next w:val="Sombreadovistoso-nfasis5"/>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4BACC6"/>
          <w:left w:val="single" w:sz="8" w:space="0" w:color="4BACC6"/>
          <w:bottom w:val="single" w:sz="18" w:space="0" w:color="4BACC6"/>
          <w:right w:val="single" w:sz="8" w:space="0" w:color="4BACC6"/>
          <w:insideV w:val="single" w:sz="8" w:space="0" w:color="4BACC6"/>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4BACC6"/>
          <w:left w:val="single" w:sz="8" w:space="0" w:color="4BACC6"/>
          <w:bottom w:val="single" w:sz="8" w:space="0" w:color="4BACC6"/>
          <w:right w:val="single" w:sz="8" w:space="0" w:color="4BACC6"/>
          <w:insideV w:val="single" w:sz="8" w:space="0" w:color="4BACC6"/>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stavistosa-nfasis51">
    <w:name w:val="Lista vistosa - Énfasis 51"/>
    <w:basedOn w:val="Tablanormal"/>
    <w:next w:val="Listavistosa-nfasis5"/>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customStyle="1" w:styleId="Cuadrculavistosa-nfasis51">
    <w:name w:val="Cuadrícula vistosa - Énfasis 51"/>
    <w:basedOn w:val="Tablanormal"/>
    <w:next w:val="Cuadrculavistosa-nfasis5"/>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Sombreadoclaro-nfasis61">
    <w:name w:val="Sombreado claro - Énfasis 61"/>
    <w:basedOn w:val="Tablanormal"/>
    <w:next w:val="Sombreadoclaro-nfasis6"/>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hint="default"/>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ombreadomedio1-nfasis61">
    <w:name w:val="Sombreado medio 1 - Énfasis 61"/>
    <w:basedOn w:val="Tablanormal"/>
    <w:next w:val="Sombreadomedio1-nfasis6"/>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Sombreadomedio2-nfasis61">
    <w:name w:val="Sombreado medio 2 - Énfasis 61"/>
    <w:basedOn w:val="Tablanormal"/>
    <w:next w:val="Sombreadomedio2-nfasis6"/>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stamedia2-nfasis61">
    <w:name w:val="Lista media 2 - Énfasis 61"/>
    <w:basedOn w:val="Tablanormal"/>
    <w:next w:val="Listamedia2-nfasis6"/>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bottom w:val="single" w:sz="24" w:space="0" w:color="F79646"/>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insideH w:val="single" w:sz="4" w:space="0" w:color="276A7C"/>
        </w:tcBorders>
        <w:shd w:val="clear" w:color="auto" w:fill="276A7C"/>
      </w:tcPr>
    </w:tblStylePr>
    <w:tblStylePr w:type="lastCol">
      <w:rPr>
        <w:color w:val="FFFFFF"/>
      </w:rPr>
      <w:tblPr/>
      <w:tcPr>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uadrculamedia1-nfasis61">
    <w:name w:val="Cuadrícula media 1 - Énfasis 61"/>
    <w:basedOn w:val="Tablanormal"/>
    <w:next w:val="Cuadrculamedia1-nfasis6"/>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AEEF3"/>
      </w:tcPr>
    </w:tblStylePr>
  </w:style>
  <w:style w:type="table" w:customStyle="1" w:styleId="Cuadrculamedia2-nfasis61">
    <w:name w:val="Cuadrícula media 2 - Énfasis 61"/>
    <w:basedOn w:val="Tablanormal"/>
    <w:next w:val="Cuadrculamedia2-nfasis6"/>
    <w:semiHidden/>
    <w:unhideWhenUsed/>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media3-nfasis61">
    <w:name w:val="Cuadrícula media 3 - Énfasis 61"/>
    <w:basedOn w:val="Tablanormal"/>
    <w:next w:val="Cuadrculamedia3-nfasis6"/>
    <w:semiHidden/>
    <w:unhideWhenUsed/>
    <w:rsid w:val="002C2444"/>
    <w:pPr>
      <w:spacing w:after="0" w:line="240" w:lineRule="auto"/>
    </w:pPr>
    <w:rPr>
      <w:rFonts w:ascii="Times New Roman" w:eastAsia="SimSun" w:hAnsi="Times New Roman" w:cs="Times New Roman"/>
      <w:color w:val="E36C0A"/>
      <w:sz w:val="20"/>
      <w:szCs w:val="20"/>
      <w:lang w:val="es-AR"/>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bottom w:val="single" w:sz="8" w:space="0" w:color="F79646"/>
        </w:tcBorders>
      </w:tcPr>
    </w:tblStylePr>
    <w:tblStylePr w:type="lastRow">
      <w:pPr>
        <w:spacing w:beforeLines="0" w:before="0" w:beforeAutospacing="0" w:afterLines="0" w:after="0" w:afterAutospacing="0" w:line="240" w:lineRule="auto"/>
      </w:pPr>
      <w:rPr>
        <w:b/>
        <w:bCs/>
      </w:rPr>
      <w:tblPr/>
      <w:tcPr>
        <w:tcBorders>
          <w:top w:val="single" w:sz="8" w:space="0" w:color="F79646"/>
          <w:bottom w:val="single" w:sz="8" w:space="0" w:color="F79646"/>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customStyle="1" w:styleId="Listaoscura-nfasis61">
    <w:name w:val="Lista oscura - Énfasis 61"/>
    <w:basedOn w:val="Tablanormal"/>
    <w:next w:val="Listaoscura-nfasis6"/>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Sombreadovistoso-nfasis61">
    <w:name w:val="Sombreado vistoso - Énfasis 61"/>
    <w:basedOn w:val="Tablanormal"/>
    <w:next w:val="Sombreadovistoso-nfasis6"/>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F79646"/>
          <w:left w:val="single" w:sz="8" w:space="0" w:color="F79646"/>
          <w:bottom w:val="single" w:sz="18" w:space="0" w:color="F79646"/>
          <w:right w:val="single" w:sz="8" w:space="0" w:color="F79646"/>
          <w:insideV w:val="single" w:sz="8" w:space="0" w:color="F79646"/>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F79646"/>
          <w:left w:val="single" w:sz="8" w:space="0" w:color="F79646"/>
          <w:bottom w:val="single" w:sz="8" w:space="0" w:color="F79646"/>
          <w:right w:val="single" w:sz="8" w:space="0" w:color="F79646"/>
          <w:insideV w:val="single" w:sz="8" w:space="0" w:color="F79646"/>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stavistosa-nfasis63">
    <w:name w:val="Lista vistosa - Énfasis 63"/>
    <w:basedOn w:val="Tablanormal"/>
    <w:next w:val="Listavistosa-nfasis6"/>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customStyle="1" w:styleId="Cuadrculavistosa-nfasis63">
    <w:name w:val="Cuadrícula vistosa - Énfasis 63"/>
    <w:basedOn w:val="Tablanormal"/>
    <w:next w:val="Cuadrculavistosa-nfasis6"/>
    <w:semiHidden/>
    <w:unhideWhenUsed/>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nfasissutil31">
    <w:name w:val="Énfasis sutil31"/>
    <w:basedOn w:val="Tablanormal"/>
    <w:uiPriority w:val="19"/>
    <w:qFormat/>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hint="default"/>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ColorfulGrid11">
    <w:name w:val="Colorful Grid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uadrculavistosa-nfasis621">
    <w:name w:val="Cuadrícula vistosa - Énfasis 62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2">
    <w:name w:val="Colorful List1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CCCCC"/>
      </w:tcPr>
    </w:tblStylePr>
  </w:style>
  <w:style w:type="table" w:customStyle="1" w:styleId="Listavistosa-nfasis621">
    <w:name w:val="Lista vistosa - Énfasis 62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9D9"/>
      </w:tcPr>
    </w:tblStylePr>
  </w:style>
  <w:style w:type="table" w:customStyle="1" w:styleId="ColorfulShading12">
    <w:name w:val="Colorful Shading1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insideH w:val="single" w:sz="4" w:space="0" w:color="000000"/>
        </w:tcBorders>
        <w:shd w:val="clear" w:color="auto" w:fill="000000"/>
      </w:tcPr>
    </w:tblStylePr>
    <w:tblStylePr w:type="lastCol">
      <w:rPr>
        <w:color w:val="FFFFFF"/>
      </w:rPr>
      <w:tblPr/>
      <w:tcPr>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TtulodeTDC31">
    <w:name w:val="Título de TDC31"/>
    <w:basedOn w:val="Tablanormal"/>
    <w:uiPriority w:val="39"/>
    <w:qFormat/>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bottom w:val="single" w:sz="24" w:space="0" w:color="4BACC6"/>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insideH w:val="single" w:sz="4" w:space="0" w:color="B65608"/>
        </w:tcBorders>
        <w:shd w:val="clear" w:color="auto" w:fill="B65608"/>
      </w:tcPr>
    </w:tblStylePr>
    <w:tblStylePr w:type="lastCol">
      <w:rPr>
        <w:color w:val="FFFFFF"/>
      </w:rPr>
      <w:tblPr/>
      <w:tcPr>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LightGrid12">
    <w:name w:val="Light Grid12"/>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
    <w:name w:val="Light Grid - Accent 112"/>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4F81BD"/>
          <w:left w:val="single" w:sz="8" w:space="0" w:color="4F81BD"/>
          <w:bottom w:val="single" w:sz="18" w:space="0" w:color="4F81BD"/>
          <w:right w:val="single" w:sz="8" w:space="0" w:color="4F81BD"/>
          <w:insideV w:val="single" w:sz="8" w:space="0" w:color="4F81BD"/>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4F81BD"/>
          <w:left w:val="single" w:sz="8" w:space="0" w:color="4F81BD"/>
          <w:bottom w:val="single" w:sz="8" w:space="0" w:color="4F81BD"/>
          <w:right w:val="single" w:sz="8" w:space="0" w:color="4F81BD"/>
          <w:insideV w:val="single" w:sz="8" w:space="0" w:color="4F81BD"/>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11">
    <w:name w:val="Light List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12">
    <w:name w:val="Light Shading1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bottom w:val="single" w:sz="8" w:space="0" w:color="000000"/>
        </w:tcBorders>
      </w:tcPr>
    </w:tblStylePr>
    <w:tblStylePr w:type="lastRow">
      <w:pPr>
        <w:spacing w:beforeLines="0" w:before="0" w:beforeAutospacing="0" w:afterLines="0" w:after="0" w:afterAutospacing="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LightShading-Accent112">
    <w:name w:val="Light Shading - Accent 112"/>
    <w:basedOn w:val="Tablanormal"/>
    <w:rsid w:val="002C2444"/>
    <w:pPr>
      <w:spacing w:after="0" w:line="240" w:lineRule="auto"/>
    </w:pPr>
    <w:rPr>
      <w:rFonts w:ascii="Times New Roman" w:eastAsia="SimSun" w:hAnsi="Times New Roman" w:cs="Times New Roman"/>
      <w:color w:val="365F91"/>
      <w:sz w:val="20"/>
      <w:szCs w:val="20"/>
      <w:lang w:val="es-A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bottom w:val="single" w:sz="8" w:space="0" w:color="4F81BD"/>
        </w:tcBorders>
      </w:tcPr>
    </w:tblStylePr>
    <w:tblStylePr w:type="lastRow">
      <w:pPr>
        <w:spacing w:beforeLines="0" w:before="0" w:beforeAutospacing="0" w:afterLines="0" w:after="0" w:afterAutospacing="0" w:line="240" w:lineRule="auto"/>
      </w:pPr>
      <w:rPr>
        <w:b/>
        <w:bCs/>
      </w:rPr>
      <w:tblPr/>
      <w:tcPr>
        <w:tcBorders>
          <w:top w:val="single" w:sz="8" w:space="0" w:color="4F81BD"/>
          <w:bottom w:val="single" w:sz="8" w:space="0" w:color="4F81B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MediumGrid212">
    <w:name w:val="Medium Grid 21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Referenciaintensa31">
    <w:name w:val="Referencia intensa31"/>
    <w:basedOn w:val="Tablanormal"/>
    <w:uiPriority w:val="32"/>
    <w:qFormat/>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2">
    <w:name w:val="Medium Grid 312"/>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tcBorders>
        <w:shd w:val="clear" w:color="auto" w:fill="000000"/>
      </w:tcPr>
    </w:tblStylePr>
    <w:tblStylePr w:type="lastCol">
      <w:rPr>
        <w:b/>
        <w:bCs/>
        <w:i w:val="0"/>
        <w:iCs w:val="0"/>
        <w:color w:val="FFFFFF"/>
      </w:rPr>
      <w:tblPr/>
      <w:tcPr>
        <w:tcBorders>
          <w:left w:val="single" w:sz="24" w:space="0" w:color="FFFFFF"/>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tulodellibro31">
    <w:name w:val="Título del libro31"/>
    <w:basedOn w:val="Tablanormal"/>
    <w:uiPriority w:val="33"/>
    <w:qFormat/>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2">
    <w:name w:val="Medium List 11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Mincho" w:hint="default"/>
      </w:rPr>
      <w:tblPr/>
      <w:tcPr>
        <w:tcBorders>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2">
    <w:name w:val="Medium List 1 - Accent 11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Mincho" w:hint="default"/>
      </w:rPr>
      <w:tblPr/>
      <w:tcPr>
        <w:tcBorders>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Shading112">
    <w:name w:val="Medium Shading 112"/>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MediumShading1-Accent112">
    <w:name w:val="Medium Shading 1 - Accent 112"/>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MediumShading212">
    <w:name w:val="Medium Shading 212"/>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000000"/>
      </w:tcPr>
    </w:tblStylePr>
    <w:tblStylePr w:type="lastCol">
      <w:rPr>
        <w:b/>
        <w:bCs/>
        <w:color w:val="FFFFFF"/>
      </w:rPr>
      <w:tblPr/>
      <w:tcPr>
        <w:shd w:val="clear" w:color="auto" w:fill="000000"/>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MediumShading2-Accent112">
    <w:name w:val="Medium Shading 2 - Accent 112"/>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MediumList1-Accent212">
    <w:name w:val="Medium List 1 - Accent 21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hint="default"/>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512">
    <w:name w:val="Medium List 1 - Accent 51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hint="default"/>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2">
    <w:name w:val="Medium List 1 - Accent 61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hint="default"/>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Accent222">
    <w:name w:val="Medium List 1 - Accent 22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hint="default"/>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522">
    <w:name w:val="Medium List 1 - Accent 52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hint="default"/>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2">
    <w:name w:val="Medium List 1 - Accent 62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hint="default"/>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SubtleEmphasis21">
    <w:name w:val="Subtle Emphasis21"/>
    <w:basedOn w:val="Tablanormal"/>
    <w:uiPriority w:val="19"/>
    <w:qFormat/>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hint="default"/>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Cuadrculavistosa-nfasis611">
    <w:name w:val="Cuadrícula vistosa - Énfasis 6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stavistosa-nfasis612">
    <w:name w:val="Lista vistosa - Énfasis 612"/>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9D9"/>
      </w:tcPr>
    </w:tblStylePr>
  </w:style>
  <w:style w:type="table" w:customStyle="1" w:styleId="TOCHeading11">
    <w:name w:val="TOC Heading11"/>
    <w:basedOn w:val="Tablanormal"/>
    <w:uiPriority w:val="39"/>
    <w:qFormat/>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bottom w:val="single" w:sz="24" w:space="0" w:color="4BACC6"/>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insideH w:val="single" w:sz="4" w:space="0" w:color="B65608"/>
        </w:tcBorders>
        <w:shd w:val="clear" w:color="auto" w:fill="B65608"/>
      </w:tcPr>
    </w:tblStylePr>
    <w:tblStylePr w:type="lastCol">
      <w:rPr>
        <w:color w:val="FFFFFF"/>
      </w:rPr>
      <w:tblPr/>
      <w:tcPr>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IntenseReference21">
    <w:name w:val="Intense Reference21"/>
    <w:basedOn w:val="Tablanormal"/>
    <w:uiPriority w:val="32"/>
    <w:qFormat/>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BookTitle11">
    <w:name w:val="Book Title11"/>
    <w:basedOn w:val="Tablanormal"/>
    <w:uiPriority w:val="33"/>
    <w:qFormat/>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311">
    <w:name w:val="Light Shading - Accent 3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hint="default"/>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Shading-Accent611">
    <w:name w:val="Light Shading - Accent 6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hint="default"/>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olorfulList111">
    <w:name w:val="Colorful List1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CCCCC"/>
      </w:tcPr>
    </w:tblStylePr>
  </w:style>
  <w:style w:type="table" w:customStyle="1" w:styleId="MediumGrid1-Accent211">
    <w:name w:val="Medium Grid 1 - Accent 2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BE5F1"/>
      </w:tcPr>
    </w:tblStylePr>
  </w:style>
  <w:style w:type="table" w:customStyle="1" w:styleId="MediumGrid1-Accent311">
    <w:name w:val="Medium Grid 1 - Accent 3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F2DBDB"/>
      </w:tcPr>
    </w:tblStylePr>
  </w:style>
  <w:style w:type="table" w:customStyle="1" w:styleId="MediumGrid1-Accent411">
    <w:name w:val="Medium Grid 1 - Accent 4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AF1DD"/>
      </w:tcPr>
    </w:tblStylePr>
  </w:style>
  <w:style w:type="table" w:customStyle="1" w:styleId="MediumGrid1-Accent511">
    <w:name w:val="Medium Grid 1 - Accent 5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E5DFEC"/>
      </w:tcPr>
    </w:tblStylePr>
  </w:style>
  <w:style w:type="table" w:customStyle="1" w:styleId="MediumGrid1-Accent611">
    <w:name w:val="Medium Grid 1 - Accent 6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AEEF3"/>
      </w:tcPr>
    </w:tblStylePr>
  </w:style>
  <w:style w:type="table" w:customStyle="1" w:styleId="ColorfulShading111">
    <w:name w:val="Colorful Shading1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insideH w:val="single" w:sz="4" w:space="0" w:color="000000"/>
        </w:tcBorders>
        <w:shd w:val="clear" w:color="auto" w:fill="000000"/>
      </w:tcPr>
    </w:tblStylePr>
    <w:tblStylePr w:type="lastCol">
      <w:rPr>
        <w:color w:val="FFFFFF"/>
      </w:rPr>
      <w:tblPr/>
      <w:tcPr>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List2-Accent211">
    <w:name w:val="Medium List 2 - Accent 2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insideH w:val="single" w:sz="4" w:space="0" w:color="2C4C74"/>
        </w:tcBorders>
        <w:shd w:val="clear" w:color="auto" w:fill="2C4C74"/>
      </w:tcPr>
    </w:tblStylePr>
    <w:tblStylePr w:type="lastCol">
      <w:rPr>
        <w:color w:val="FFFFFF"/>
      </w:rPr>
      <w:tblPr/>
      <w:tcPr>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MediumList2-Accent311">
    <w:name w:val="Medium List 2 - Accent 3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bottom w:val="single" w:sz="24" w:space="0" w:color="C0504D"/>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insideH w:val="single" w:sz="4" w:space="0" w:color="772C2A"/>
        </w:tcBorders>
        <w:shd w:val="clear" w:color="auto" w:fill="772C2A"/>
      </w:tcPr>
    </w:tblStylePr>
    <w:tblStylePr w:type="lastCol">
      <w:rPr>
        <w:color w:val="FFFFFF"/>
      </w:rPr>
      <w:tblPr/>
      <w:tcPr>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MediumList2-Accent411">
    <w:name w:val="Medium List 2 - Accent 4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bottom w:val="single" w:sz="24" w:space="0" w:color="8064A2"/>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insideH w:val="single" w:sz="4" w:space="0" w:color="5E7530"/>
        </w:tcBorders>
        <w:shd w:val="clear" w:color="auto" w:fill="5E7530"/>
      </w:tcPr>
    </w:tblStylePr>
    <w:tblStylePr w:type="lastCol">
      <w:rPr>
        <w:color w:val="FFFFFF"/>
      </w:rPr>
      <w:tblPr/>
      <w:tcPr>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List2-Accent511">
    <w:name w:val="Medium List 2 - Accent 5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bottom w:val="single" w:sz="24" w:space="0" w:color="9BBB59"/>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insideH w:val="single" w:sz="4" w:space="0" w:color="4C3B62"/>
        </w:tcBorders>
        <w:shd w:val="clear" w:color="auto" w:fill="4C3B62"/>
      </w:tcPr>
    </w:tblStylePr>
    <w:tblStylePr w:type="lastCol">
      <w:rPr>
        <w:color w:val="FFFFFF"/>
      </w:rPr>
      <w:tblPr/>
      <w:tcPr>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MediumList2-Accent611">
    <w:name w:val="Medium List 2 - Accent 6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bottom w:val="single" w:sz="24" w:space="0" w:color="F79646"/>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insideH w:val="single" w:sz="4" w:space="0" w:color="276A7C"/>
        </w:tcBorders>
        <w:shd w:val="clear" w:color="auto" w:fill="276A7C"/>
      </w:tcPr>
    </w:tblStylePr>
    <w:tblStylePr w:type="lastCol">
      <w:rPr>
        <w:color w:val="FFFFFF"/>
      </w:rPr>
      <w:tblPr/>
      <w:tcPr>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ghtGrid111">
    <w:name w:val="Light Grid1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
    <w:name w:val="Light Grid - Accent 11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4F81BD"/>
          <w:left w:val="single" w:sz="8" w:space="0" w:color="4F81BD"/>
          <w:bottom w:val="single" w:sz="18" w:space="0" w:color="4F81BD"/>
          <w:right w:val="single" w:sz="8" w:space="0" w:color="4F81BD"/>
          <w:insideV w:val="single" w:sz="8" w:space="0" w:color="4F81BD"/>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4F81BD"/>
          <w:left w:val="single" w:sz="8" w:space="0" w:color="4F81BD"/>
          <w:bottom w:val="single" w:sz="8" w:space="0" w:color="4F81BD"/>
          <w:right w:val="single" w:sz="8" w:space="0" w:color="4F81BD"/>
          <w:insideV w:val="single" w:sz="8" w:space="0" w:color="4F81BD"/>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olorfulShading-Accent211">
    <w:name w:val="Colorful Shading - Accent 2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C0504D"/>
          <w:left w:val="single" w:sz="8" w:space="0" w:color="C0504D"/>
          <w:bottom w:val="single" w:sz="18" w:space="0" w:color="C0504D"/>
          <w:right w:val="single" w:sz="8" w:space="0" w:color="C0504D"/>
          <w:insideV w:val="single" w:sz="8" w:space="0" w:color="C0504D"/>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C0504D"/>
          <w:left w:val="single" w:sz="8" w:space="0" w:color="C0504D"/>
          <w:bottom w:val="single" w:sz="8" w:space="0" w:color="C0504D"/>
          <w:right w:val="single" w:sz="8" w:space="0" w:color="C0504D"/>
          <w:insideV w:val="single" w:sz="8" w:space="0" w:color="C0504D"/>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Shading-Accent311">
    <w:name w:val="Colorful Shading - Accent 3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9BBB59"/>
          <w:left w:val="single" w:sz="8" w:space="0" w:color="9BBB59"/>
          <w:bottom w:val="single" w:sz="18" w:space="0" w:color="9BBB59"/>
          <w:right w:val="single" w:sz="8" w:space="0" w:color="9BBB59"/>
          <w:insideV w:val="single" w:sz="8" w:space="0" w:color="9BBB59"/>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9BBB59"/>
          <w:left w:val="single" w:sz="8" w:space="0" w:color="9BBB59"/>
          <w:bottom w:val="single" w:sz="8" w:space="0" w:color="9BBB59"/>
          <w:right w:val="single" w:sz="8" w:space="0" w:color="9BBB59"/>
          <w:insideV w:val="single" w:sz="8" w:space="0" w:color="9BBB59"/>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11">
    <w:name w:val="Colorful Shading - Accent 4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8064A2"/>
          <w:left w:val="single" w:sz="8" w:space="0" w:color="8064A2"/>
          <w:bottom w:val="single" w:sz="18" w:space="0" w:color="8064A2"/>
          <w:right w:val="single" w:sz="8" w:space="0" w:color="8064A2"/>
          <w:insideV w:val="single" w:sz="8" w:space="0" w:color="8064A2"/>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8064A2"/>
          <w:left w:val="single" w:sz="8" w:space="0" w:color="8064A2"/>
          <w:bottom w:val="single" w:sz="8" w:space="0" w:color="8064A2"/>
          <w:right w:val="single" w:sz="8" w:space="0" w:color="8064A2"/>
          <w:insideV w:val="single" w:sz="8" w:space="0" w:color="8064A2"/>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olorfulShading-Accent511">
    <w:name w:val="Colorful Shading - Accent 5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4BACC6"/>
          <w:left w:val="single" w:sz="8" w:space="0" w:color="4BACC6"/>
          <w:bottom w:val="single" w:sz="18" w:space="0" w:color="4BACC6"/>
          <w:right w:val="single" w:sz="8" w:space="0" w:color="4BACC6"/>
          <w:insideV w:val="single" w:sz="8" w:space="0" w:color="4BACC6"/>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4BACC6"/>
          <w:left w:val="single" w:sz="8" w:space="0" w:color="4BACC6"/>
          <w:bottom w:val="single" w:sz="8" w:space="0" w:color="4BACC6"/>
          <w:right w:val="single" w:sz="8" w:space="0" w:color="4BACC6"/>
          <w:insideV w:val="single" w:sz="8" w:space="0" w:color="4BACC6"/>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Shading-Accent611">
    <w:name w:val="Colorful Shading - Accent 6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Times New Roman" w:eastAsia="SimSun" w:hAnsi="Times New Roman" w:cs="Mincho" w:hint="default"/>
        <w:b/>
        <w:bCs/>
      </w:rPr>
      <w:tblPr/>
      <w:tcPr>
        <w:tcBorders>
          <w:top w:val="single" w:sz="8" w:space="0" w:color="F79646"/>
          <w:left w:val="single" w:sz="8" w:space="0" w:color="F79646"/>
          <w:bottom w:val="single" w:sz="18" w:space="0" w:color="F79646"/>
          <w:right w:val="single" w:sz="8" w:space="0" w:color="F79646"/>
          <w:insideV w:val="single" w:sz="8" w:space="0" w:color="F79646"/>
        </w:tcBorders>
      </w:tcPr>
    </w:tblStylePr>
    <w:tblStylePr w:type="lastRow">
      <w:pPr>
        <w:spacing w:beforeLines="0" w:before="0" w:beforeAutospacing="0" w:afterLines="0" w:after="0" w:afterAutospacing="0" w:line="240" w:lineRule="auto"/>
      </w:pPr>
      <w:rPr>
        <w:rFonts w:ascii="Times New Roman" w:eastAsia="SimSun" w:hAnsi="Times New Roman" w:cs="Mincho" w:hint="default"/>
        <w:b/>
        <w:bCs/>
      </w:rPr>
      <w:tblPr/>
      <w:tcPr>
        <w:tcBorders>
          <w:top w:val="double" w:sz="6" w:space="0" w:color="F79646"/>
          <w:left w:val="single" w:sz="8" w:space="0" w:color="F79646"/>
          <w:bottom w:val="single" w:sz="8" w:space="0" w:color="F79646"/>
          <w:right w:val="single" w:sz="8" w:space="0" w:color="F79646"/>
          <w:insideV w:val="single" w:sz="8" w:space="0" w:color="F79646"/>
        </w:tcBorders>
      </w:tcPr>
    </w:tblStylePr>
    <w:tblStylePr w:type="firstCol">
      <w:rPr>
        <w:rFonts w:ascii="Times New Roman" w:eastAsia="SimSun" w:hAnsi="Times New Roman" w:cs="Mincho" w:hint="default"/>
        <w:b/>
        <w:bCs/>
      </w:rPr>
    </w:tblStylePr>
    <w:tblStylePr w:type="lastCol">
      <w:rPr>
        <w:rFonts w:ascii="Times New Roman" w:eastAsia="SimSun" w:hAnsi="Times New Roman" w:cs="Mincho"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111">
    <w:name w:val="Light Shading1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bottom w:val="single" w:sz="8" w:space="0" w:color="000000"/>
        </w:tcBorders>
      </w:tcPr>
    </w:tblStylePr>
    <w:tblStylePr w:type="lastRow">
      <w:pPr>
        <w:spacing w:beforeLines="0" w:before="0" w:beforeAutospacing="0" w:afterLines="0" w:after="0" w:afterAutospacing="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LightShading-Accent1111">
    <w:name w:val="Light Shading - Accent 1111"/>
    <w:basedOn w:val="Tablanormal"/>
    <w:rsid w:val="002C2444"/>
    <w:pPr>
      <w:spacing w:after="0" w:line="240" w:lineRule="auto"/>
    </w:pPr>
    <w:rPr>
      <w:rFonts w:ascii="Times New Roman" w:eastAsia="SimSun" w:hAnsi="Times New Roman" w:cs="Times New Roman"/>
      <w:color w:val="365F91"/>
      <w:sz w:val="20"/>
      <w:szCs w:val="20"/>
      <w:lang w:val="es-A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bottom w:val="single" w:sz="8" w:space="0" w:color="4F81BD"/>
        </w:tcBorders>
      </w:tcPr>
    </w:tblStylePr>
    <w:tblStylePr w:type="lastRow">
      <w:pPr>
        <w:spacing w:beforeLines="0" w:before="0" w:beforeAutospacing="0" w:afterLines="0" w:after="0" w:afterAutospacing="0" w:line="240" w:lineRule="auto"/>
      </w:pPr>
      <w:rPr>
        <w:b/>
        <w:bCs/>
      </w:rPr>
      <w:tblPr/>
      <w:tcPr>
        <w:tcBorders>
          <w:top w:val="single" w:sz="8" w:space="0" w:color="4F81BD"/>
          <w:bottom w:val="single" w:sz="8" w:space="0" w:color="4F81B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MediumGrid3-Accent211">
    <w:name w:val="Medium Grid 3 - Accent 211"/>
    <w:basedOn w:val="Tablanormal"/>
    <w:rsid w:val="002C2444"/>
    <w:pPr>
      <w:spacing w:after="0" w:line="240" w:lineRule="auto"/>
    </w:pPr>
    <w:rPr>
      <w:rFonts w:ascii="Times New Roman" w:eastAsia="SimSun" w:hAnsi="Times New Roman" w:cs="Times New Roman"/>
      <w:color w:val="943634"/>
      <w:sz w:val="20"/>
      <w:szCs w:val="20"/>
      <w:lang w:val="es-A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bottom w:val="single" w:sz="8" w:space="0" w:color="C0504D"/>
        </w:tcBorders>
      </w:tcPr>
    </w:tblStylePr>
    <w:tblStylePr w:type="lastRow">
      <w:pPr>
        <w:spacing w:beforeLines="0" w:before="0" w:beforeAutospacing="0" w:afterLines="0" w:after="0" w:afterAutospacing="0" w:line="240" w:lineRule="auto"/>
      </w:pPr>
      <w:rPr>
        <w:b/>
        <w:bCs/>
      </w:rPr>
      <w:tblPr/>
      <w:tcPr>
        <w:tcBorders>
          <w:top w:val="single" w:sz="8" w:space="0" w:color="C0504D"/>
          <w:bottom w:val="single" w:sz="8" w:space="0" w:color="C0504D"/>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customStyle="1" w:styleId="MediumGrid3-Accent311">
    <w:name w:val="Medium Grid 3 - Accent 311"/>
    <w:basedOn w:val="Tablanormal"/>
    <w:rsid w:val="002C2444"/>
    <w:pPr>
      <w:spacing w:after="0" w:line="240" w:lineRule="auto"/>
    </w:pPr>
    <w:rPr>
      <w:rFonts w:ascii="Times New Roman" w:eastAsia="SimSun" w:hAnsi="Times New Roman" w:cs="Times New Roman"/>
      <w:color w:val="76923C"/>
      <w:sz w:val="20"/>
      <w:szCs w:val="20"/>
      <w:lang w:val="es-A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bottom w:val="single" w:sz="8" w:space="0" w:color="9BBB59"/>
        </w:tcBorders>
      </w:tcPr>
    </w:tblStylePr>
    <w:tblStylePr w:type="lastRow">
      <w:pPr>
        <w:spacing w:beforeLines="0" w:before="0" w:beforeAutospacing="0" w:afterLines="0" w:after="0" w:afterAutospacing="0" w:line="240" w:lineRule="auto"/>
      </w:pPr>
      <w:rPr>
        <w:b/>
        <w:bCs/>
      </w:rPr>
      <w:tblPr/>
      <w:tcPr>
        <w:tcBorders>
          <w:top w:val="single" w:sz="8" w:space="0" w:color="9BBB59"/>
          <w:bottom w:val="single" w:sz="8" w:space="0" w:color="9BBB59"/>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customStyle="1" w:styleId="MediumGrid3-Accent411">
    <w:name w:val="Medium Grid 3 - Accent 411"/>
    <w:basedOn w:val="Tablanormal"/>
    <w:rsid w:val="002C2444"/>
    <w:pPr>
      <w:spacing w:after="0" w:line="240" w:lineRule="auto"/>
    </w:pPr>
    <w:rPr>
      <w:rFonts w:ascii="Times New Roman" w:eastAsia="SimSun" w:hAnsi="Times New Roman" w:cs="Times New Roman"/>
      <w:color w:val="5F497A"/>
      <w:sz w:val="20"/>
      <w:szCs w:val="20"/>
      <w:lang w:val="es-AR"/>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bottom w:val="single" w:sz="8" w:space="0" w:color="8064A2"/>
        </w:tcBorders>
      </w:tcPr>
    </w:tblStylePr>
    <w:tblStylePr w:type="lastRow">
      <w:pPr>
        <w:spacing w:beforeLines="0" w:before="0" w:beforeAutospacing="0" w:afterLines="0" w:after="0" w:afterAutospacing="0" w:line="240" w:lineRule="auto"/>
      </w:pPr>
      <w:rPr>
        <w:b/>
        <w:bCs/>
      </w:rPr>
      <w:tblPr/>
      <w:tcPr>
        <w:tcBorders>
          <w:top w:val="single" w:sz="8" w:space="0" w:color="8064A2"/>
          <w:bottom w:val="single" w:sz="8" w:space="0" w:color="8064A2"/>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customStyle="1" w:styleId="MediumGrid3-Accent511">
    <w:name w:val="Medium Grid 3 - Accent 511"/>
    <w:basedOn w:val="Tablanormal"/>
    <w:rsid w:val="002C2444"/>
    <w:pPr>
      <w:spacing w:after="0" w:line="240" w:lineRule="auto"/>
    </w:pPr>
    <w:rPr>
      <w:rFonts w:ascii="Times New Roman" w:eastAsia="SimSun" w:hAnsi="Times New Roman" w:cs="Times New Roman"/>
      <w:color w:val="31849B"/>
      <w:sz w:val="20"/>
      <w:szCs w:val="20"/>
      <w:lang w:val="es-A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bottom w:val="single" w:sz="8" w:space="0" w:color="4BACC6"/>
        </w:tcBorders>
      </w:tcPr>
    </w:tblStylePr>
    <w:tblStylePr w:type="lastRow">
      <w:pPr>
        <w:spacing w:beforeLines="0" w:before="0" w:beforeAutospacing="0" w:afterLines="0" w:after="0" w:afterAutospacing="0" w:line="240" w:lineRule="auto"/>
      </w:pPr>
      <w:rPr>
        <w:b/>
        <w:bCs/>
      </w:rPr>
      <w:tblPr/>
      <w:tcPr>
        <w:tcBorders>
          <w:top w:val="single" w:sz="8" w:space="0" w:color="4BACC6"/>
          <w:bottom w:val="single" w:sz="8" w:space="0" w:color="4BACC6"/>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customStyle="1" w:styleId="MediumGrid3-Accent611">
    <w:name w:val="Medium Grid 3 - Accent 611"/>
    <w:basedOn w:val="Tablanormal"/>
    <w:rsid w:val="002C2444"/>
    <w:pPr>
      <w:spacing w:after="0" w:line="240" w:lineRule="auto"/>
    </w:pPr>
    <w:rPr>
      <w:rFonts w:ascii="Times New Roman" w:eastAsia="SimSun" w:hAnsi="Times New Roman" w:cs="Times New Roman"/>
      <w:color w:val="E36C0A"/>
      <w:sz w:val="20"/>
      <w:szCs w:val="20"/>
      <w:lang w:val="es-AR"/>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bottom w:val="single" w:sz="8" w:space="0" w:color="F79646"/>
        </w:tcBorders>
      </w:tcPr>
    </w:tblStylePr>
    <w:tblStylePr w:type="lastRow">
      <w:pPr>
        <w:spacing w:beforeLines="0" w:before="0" w:beforeAutospacing="0" w:afterLines="0" w:after="0" w:afterAutospacing="0" w:line="240" w:lineRule="auto"/>
      </w:pPr>
      <w:rPr>
        <w:b/>
        <w:bCs/>
      </w:rPr>
      <w:tblPr/>
      <w:tcPr>
        <w:tcBorders>
          <w:top w:val="single" w:sz="8" w:space="0" w:color="F79646"/>
          <w:bottom w:val="single" w:sz="8" w:space="0" w:color="F79646"/>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customStyle="1" w:styleId="MediumGrid2111">
    <w:name w:val="Medium Grid 21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Shading1-Accent211">
    <w:name w:val="Medium Shading 1 - Accent 2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Shading1-Accent311">
    <w:name w:val="Medium Shading 1 - Accent 3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Shading1-Accent411">
    <w:name w:val="Medium Shading 1 - Accent 4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Shading1-Accent511">
    <w:name w:val="Medium Shading 1 - Accent 5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Shading1-Accent611">
    <w:name w:val="Medium Shading 1 - Accent 6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111">
    <w:name w:val="Medium Grid 31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tcBorders>
        <w:shd w:val="clear" w:color="auto" w:fill="000000"/>
      </w:tcPr>
    </w:tblStylePr>
    <w:tblStylePr w:type="lastCol">
      <w:rPr>
        <w:b/>
        <w:bCs/>
        <w:i w:val="0"/>
        <w:iCs w:val="0"/>
        <w:color w:val="FFFFFF"/>
      </w:rPr>
      <w:tblPr/>
      <w:tcPr>
        <w:tcBorders>
          <w:left w:val="single" w:sz="24" w:space="0" w:color="FFFFFF"/>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Shading2-Accent211">
    <w:name w:val="Medium Shading 2 - Accent 2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tcBorders>
        <w:shd w:val="clear" w:color="auto" w:fill="4F81BD"/>
      </w:tcPr>
    </w:tblStylePr>
    <w:tblStylePr w:type="lastCol">
      <w:rPr>
        <w:b/>
        <w:bCs/>
        <w:i w:val="0"/>
        <w:iCs w:val="0"/>
        <w:color w:val="FFFFFF"/>
      </w:rPr>
      <w:tblPr/>
      <w:tcPr>
        <w:tcBorders>
          <w:left w:val="single" w:sz="24" w:space="0" w:color="FFFFFF"/>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311">
    <w:name w:val="Medium Shading 2 - Accent 3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tcBorders>
        <w:shd w:val="clear" w:color="auto" w:fill="C0504D"/>
      </w:tcPr>
    </w:tblStylePr>
    <w:tblStylePr w:type="lastCol">
      <w:rPr>
        <w:b/>
        <w:bCs/>
        <w:i w:val="0"/>
        <w:iCs w:val="0"/>
        <w:color w:val="FFFFFF"/>
      </w:rPr>
      <w:tblPr/>
      <w:tcPr>
        <w:tcBorders>
          <w:left w:val="single" w:sz="24" w:space="0" w:color="FFFFFF"/>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Shading2-Accent411">
    <w:name w:val="Medium Shading 2 - Accent 4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Shading2-Accent511">
    <w:name w:val="Medium Shading 2 - Accent 5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tcBorders>
        <w:shd w:val="clear" w:color="auto" w:fill="8064A2"/>
      </w:tcPr>
    </w:tblStylePr>
    <w:tblStylePr w:type="lastCol">
      <w:rPr>
        <w:b/>
        <w:bCs/>
        <w:i w:val="0"/>
        <w:iCs w:val="0"/>
        <w:color w:val="FFFFFF"/>
      </w:rPr>
      <w:tblPr/>
      <w:tcPr>
        <w:tcBorders>
          <w:left w:val="single" w:sz="24" w:space="0" w:color="FFFFFF"/>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Shading2-Accent611">
    <w:name w:val="Medium Shading 2 - Accent 6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List1111">
    <w:name w:val="Medium List 11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Mincho" w:hint="default"/>
      </w:rPr>
      <w:tblPr/>
      <w:tcPr>
        <w:tcBorders>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1">
    <w:name w:val="Medium List 1 - Accent 11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Mincho" w:hint="default"/>
      </w:rPr>
      <w:tblPr/>
      <w:tcPr>
        <w:tcBorders>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411">
    <w:name w:val="Light Shading - Accent 4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Mincho" w:hint="default"/>
      </w:rPr>
      <w:tblPr/>
      <w:tcPr>
        <w:tcBorders>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Accent511">
    <w:name w:val="Light Shading - Accent 5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Mincho" w:hint="default"/>
      </w:rPr>
      <w:tblPr/>
      <w:tcPr>
        <w:tcBorders>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Shading1111">
    <w:name w:val="Medium Shading 11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MediumShading1-Accent1111">
    <w:name w:val="Medium Shading 1 - Accent 11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ColorfulList-Accent211">
    <w:name w:val="Colorful List - Accent 2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customStyle="1" w:styleId="ColorfulList-Accent311">
    <w:name w:val="Colorful List - Accent 3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customStyle="1" w:styleId="ColorfulList-Accent411">
    <w:name w:val="Colorful List - Accent 4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customStyle="1" w:styleId="ColorfulList-Accent511">
    <w:name w:val="Colorful List - Accent 5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customStyle="1" w:styleId="ColorfulList-Accent611">
    <w:name w:val="Colorful List - Accent 6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customStyle="1" w:styleId="MediumShading2111">
    <w:name w:val="Medium Shading 21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000000"/>
      </w:tcPr>
    </w:tblStylePr>
    <w:tblStylePr w:type="lastCol">
      <w:rPr>
        <w:b/>
        <w:bCs/>
        <w:color w:val="FFFFFF"/>
      </w:rPr>
      <w:tblPr/>
      <w:tcPr>
        <w:shd w:val="clear" w:color="auto" w:fill="000000"/>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MediumShading2-Accent1111">
    <w:name w:val="Medium Shading 2 - Accent 11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ColorfulGrid-Accent211">
    <w:name w:val="Colorful Grid - Accent 2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C0504D"/>
      </w:tcPr>
    </w:tblStylePr>
    <w:tblStylePr w:type="lastCol">
      <w:rPr>
        <w:b/>
        <w:bCs/>
        <w:color w:val="FFFFFF"/>
      </w:rPr>
      <w:tblPr/>
      <w:tcPr>
        <w:shd w:val="clear" w:color="auto" w:fill="C0504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ColorfulGrid-Accent311">
    <w:name w:val="Colorful Grid - Accent 3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ColorfulGrid-Accent411">
    <w:name w:val="Colorful Grid - Accent 4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8064A2"/>
      </w:tcPr>
    </w:tblStylePr>
    <w:tblStylePr w:type="lastCol">
      <w:rPr>
        <w:b/>
        <w:bCs/>
        <w:color w:val="FFFFFF"/>
      </w:rPr>
      <w:tblPr/>
      <w:tcPr>
        <w:shd w:val="clear" w:color="auto" w:fill="8064A2"/>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ColorfulGrid-Accent511">
    <w:name w:val="Colorful Grid - Accent 5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ColorfulGrid-Accent611">
    <w:name w:val="Colorful Grid - Accent 611"/>
    <w:basedOn w:val="Tablanormal"/>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TableWeb111">
    <w:name w:val="Table Web 111"/>
    <w:basedOn w:val="Tablanormal"/>
    <w:rsid w:val="002C2444"/>
    <w:pPr>
      <w:spacing w:after="240" w:line="240" w:lineRule="auto"/>
      <w:jc w:val="both"/>
    </w:pPr>
    <w:rPr>
      <w:rFonts w:ascii="Times New Roman" w:eastAsia="SimSun" w:hAnsi="Times New Roman" w:cs="Times New Roman"/>
      <w:sz w:val="20"/>
      <w:szCs w:val="20"/>
      <w:lang w:val="es-A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anormal"/>
    <w:rsid w:val="002C2444"/>
    <w:pPr>
      <w:spacing w:after="240" w:line="240" w:lineRule="auto"/>
      <w:jc w:val="both"/>
    </w:pPr>
    <w:rPr>
      <w:rFonts w:ascii="Times New Roman" w:eastAsia="SimSun" w:hAnsi="Times New Roman" w:cs="Times New Roman"/>
      <w:sz w:val="20"/>
      <w:szCs w:val="20"/>
      <w:lang w:val="es-A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anormal"/>
    <w:rsid w:val="002C2444"/>
    <w:pPr>
      <w:spacing w:after="240" w:line="240" w:lineRule="auto"/>
      <w:jc w:val="both"/>
    </w:pPr>
    <w:rPr>
      <w:rFonts w:ascii="Times New Roman" w:eastAsia="SimSun" w:hAnsi="Times New Roman" w:cs="Times New Roman"/>
      <w:sz w:val="20"/>
      <w:szCs w:val="20"/>
      <w:lang w:val="es-A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customStyle="1" w:styleId="MediumList1-Accent2111">
    <w:name w:val="Medium List 1 - Accent 21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hint="default"/>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5111">
    <w:name w:val="Medium List 1 - Accent 51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hint="default"/>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11">
    <w:name w:val="Medium List 1 - Accent 61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hint="default"/>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Accent2211">
    <w:name w:val="Medium List 1 - Accent 22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Mincho" w:hint="default"/>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5211">
    <w:name w:val="Medium List 1 - Accent 52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Mincho" w:hint="default"/>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11">
    <w:name w:val="Medium List 1 - Accent 62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Mincho" w:hint="default"/>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Simple111">
    <w:name w:val="Table Simple 1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Listavistosa-nfasis6111">
    <w:name w:val="Lista vistosa - Énfasis 6111"/>
    <w:basedOn w:val="Tablanormal"/>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9D9"/>
      </w:tcPr>
    </w:tblStylePr>
  </w:style>
  <w:style w:type="table" w:customStyle="1" w:styleId="Table3Deffects111">
    <w:name w:val="Table 3D effects 111"/>
    <w:basedOn w:val="Tablanormal"/>
    <w:rsid w:val="002C2444"/>
    <w:pPr>
      <w:spacing w:after="240" w:line="240" w:lineRule="auto"/>
      <w:jc w:val="both"/>
    </w:pPr>
    <w:rPr>
      <w:rFonts w:ascii="Times New Roman" w:eastAsia="SimSun" w:hAnsi="Times New Roman" w:cs="Times New Roman"/>
      <w:sz w:val="20"/>
      <w:szCs w:val="20"/>
      <w:lang w:val="es-AR"/>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customStyle="1" w:styleId="Table3Deffects311">
    <w:name w:val="Table 3D effects 311"/>
    <w:basedOn w:val="Tablanormal"/>
    <w:rsid w:val="002C2444"/>
    <w:pPr>
      <w:spacing w:after="240" w:line="240" w:lineRule="auto"/>
      <w:jc w:val="both"/>
    </w:pPr>
    <w:rPr>
      <w:rFonts w:ascii="Times New Roman" w:eastAsia="SimSun" w:hAnsi="Times New Roman" w:cs="Times New Roman"/>
      <w:sz w:val="20"/>
      <w:szCs w:val="20"/>
      <w:lang w:val="es-AR"/>
    </w:r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TableClassic111">
    <w:name w:val="Table Classic 1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TableClassic211">
    <w:name w:val="Table Classic 2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TableClassic311">
    <w:name w:val="Table Classic 311"/>
    <w:basedOn w:val="Tablanormal"/>
    <w:rsid w:val="002C2444"/>
    <w:pPr>
      <w:spacing w:after="240" w:line="240" w:lineRule="auto"/>
      <w:jc w:val="both"/>
    </w:pPr>
    <w:rPr>
      <w:rFonts w:ascii="Times New Roman" w:eastAsia="SimSun" w:hAnsi="Times New Roman" w:cs="Times New Roman"/>
      <w:color w:val="000080"/>
      <w:sz w:val="20"/>
      <w:szCs w:val="20"/>
      <w:lang w:val="es-A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customStyle="1" w:styleId="TableClassic411">
    <w:name w:val="Table Classic 4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customStyle="1" w:styleId="TableColorful211">
    <w:name w:val="Table Colorful 211"/>
    <w:basedOn w:val="Tablanormal"/>
    <w:rsid w:val="002C2444"/>
    <w:pPr>
      <w:spacing w:after="240" w:line="240" w:lineRule="auto"/>
      <w:jc w:val="both"/>
    </w:pPr>
    <w:rPr>
      <w:rFonts w:ascii="Times New Roman" w:eastAsia="SimSun" w:hAnsi="Times New Roman" w:cs="Times New Roman"/>
      <w:sz w:val="20"/>
      <w:szCs w:val="20"/>
      <w:lang w:val="es-A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TableColorful311">
    <w:name w:val="Table Colorful 3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TableColumns111">
    <w:name w:val="Table Columns 111"/>
    <w:basedOn w:val="Tablanormal"/>
    <w:rsid w:val="002C2444"/>
    <w:pPr>
      <w:spacing w:after="240" w:line="240" w:lineRule="auto"/>
      <w:jc w:val="both"/>
    </w:pPr>
    <w:rPr>
      <w:rFonts w:ascii="Times New Roman" w:eastAsia="SimSun" w:hAnsi="Times New Roman" w:cs="Times New Roman"/>
      <w:b/>
      <w:bCs/>
      <w:sz w:val="20"/>
      <w:szCs w:val="20"/>
      <w:lang w:val="es-A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TableColumns211">
    <w:name w:val="Table Columns 211"/>
    <w:basedOn w:val="Tablanormal"/>
    <w:rsid w:val="002C2444"/>
    <w:pPr>
      <w:spacing w:after="240" w:line="240" w:lineRule="auto"/>
      <w:jc w:val="both"/>
    </w:pPr>
    <w:rPr>
      <w:rFonts w:ascii="Times New Roman" w:eastAsia="SimSun" w:hAnsi="Times New Roman" w:cs="Times New Roman"/>
      <w:b/>
      <w:bCs/>
      <w:sz w:val="20"/>
      <w:szCs w:val="20"/>
      <w:lang w:val="es-AR"/>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TableColumns311">
    <w:name w:val="Table Columns 311"/>
    <w:basedOn w:val="Tablanormal"/>
    <w:rsid w:val="002C2444"/>
    <w:pPr>
      <w:spacing w:after="240" w:line="240" w:lineRule="auto"/>
      <w:jc w:val="both"/>
    </w:pPr>
    <w:rPr>
      <w:rFonts w:ascii="Times New Roman" w:eastAsia="SimSun" w:hAnsi="Times New Roman" w:cs="Times New Roman"/>
      <w:b/>
      <w:bCs/>
      <w:sz w:val="20"/>
      <w:szCs w:val="20"/>
      <w:lang w:val="es-A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TableColumns411">
    <w:name w:val="Table Columns 411"/>
    <w:basedOn w:val="Tablanormal"/>
    <w:rsid w:val="002C2444"/>
    <w:pPr>
      <w:spacing w:after="240" w:line="240" w:lineRule="auto"/>
      <w:jc w:val="both"/>
    </w:pPr>
    <w:rPr>
      <w:rFonts w:ascii="Times New Roman" w:eastAsia="SimSun" w:hAnsi="Times New Roman" w:cs="Times New Roman"/>
      <w:sz w:val="20"/>
      <w:szCs w:val="20"/>
      <w:lang w:val="es-AR"/>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anormal"/>
    <w:rsid w:val="002C2444"/>
    <w:pPr>
      <w:spacing w:after="240" w:line="240" w:lineRule="auto"/>
      <w:jc w:val="both"/>
    </w:pPr>
    <w:rPr>
      <w:rFonts w:ascii="Times New Roman" w:eastAsia="SimSun" w:hAnsi="Times New Roman" w:cs="Times New Roman"/>
      <w:sz w:val="20"/>
      <w:szCs w:val="20"/>
      <w:lang w:val="es-A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anormal"/>
    <w:rsid w:val="002C2444"/>
    <w:pPr>
      <w:spacing w:after="240" w:line="240" w:lineRule="auto"/>
      <w:jc w:val="both"/>
    </w:pPr>
    <w:rPr>
      <w:rFonts w:ascii="Times New Roman" w:eastAsia="SimSun" w:hAnsi="Times New Roman" w:cs="Times New Roman"/>
      <w:sz w:val="20"/>
      <w:szCs w:val="20"/>
      <w:lang w:val="es-AR"/>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TableElegant11">
    <w:name w:val="Table Elegant11"/>
    <w:basedOn w:val="Tablanormal"/>
    <w:rsid w:val="002C2444"/>
    <w:pPr>
      <w:spacing w:after="240" w:line="240" w:lineRule="auto"/>
      <w:jc w:val="both"/>
    </w:pPr>
    <w:rPr>
      <w:rFonts w:ascii="Times New Roman" w:eastAsia="SimSun" w:hAnsi="Times New Roman" w:cs="Times New Roman"/>
      <w:sz w:val="20"/>
      <w:szCs w:val="20"/>
      <w:lang w:val="es-A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StylePr>
  </w:style>
  <w:style w:type="table" w:customStyle="1" w:styleId="TableGrid1110">
    <w:name w:val="Table Grid 1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TableGrid2110">
    <w:name w:val="Table Grid 211"/>
    <w:basedOn w:val="Tablanormal"/>
    <w:rsid w:val="002C2444"/>
    <w:pPr>
      <w:spacing w:after="240" w:line="240" w:lineRule="auto"/>
      <w:jc w:val="both"/>
    </w:pPr>
    <w:rPr>
      <w:rFonts w:ascii="Times New Roman" w:eastAsia="SimSun" w:hAnsi="Times New Roman" w:cs="Times New Roman"/>
      <w:sz w:val="20"/>
      <w:szCs w:val="20"/>
      <w:lang w:val="es-AR"/>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TableGrid3110">
    <w:name w:val="Table Grid 3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customStyle="1" w:styleId="TableGrid4110">
    <w:name w:val="Table Grid 411"/>
    <w:basedOn w:val="Tablanormal"/>
    <w:rsid w:val="002C2444"/>
    <w:pPr>
      <w:spacing w:after="240" w:line="240" w:lineRule="auto"/>
      <w:jc w:val="both"/>
    </w:pPr>
    <w:rPr>
      <w:rFonts w:ascii="Times New Roman" w:eastAsia="SimSun" w:hAnsi="Times New Roman" w:cs="Times New Roman"/>
      <w:sz w:val="20"/>
      <w:szCs w:val="20"/>
      <w:lang w:val="es-AR"/>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customStyle="1" w:styleId="TableGrid511">
    <w:name w:val="Table Grid 5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r2bl w:val="single" w:sz="6" w:space="0" w:color="000000"/>
        </w:tcBorders>
      </w:tcPr>
    </w:tblStylePr>
  </w:style>
  <w:style w:type="table" w:customStyle="1" w:styleId="TableGrid611">
    <w:name w:val="Table Grid 6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r2bl w:val="single" w:sz="6" w:space="0" w:color="000000"/>
        </w:tcBorders>
      </w:tcPr>
    </w:tblStylePr>
  </w:style>
  <w:style w:type="table" w:customStyle="1" w:styleId="TableGrid711">
    <w:name w:val="Table Grid 711"/>
    <w:basedOn w:val="Tablanormal"/>
    <w:rsid w:val="002C2444"/>
    <w:pPr>
      <w:spacing w:after="240" w:line="240" w:lineRule="auto"/>
      <w:jc w:val="both"/>
    </w:pPr>
    <w:rPr>
      <w:rFonts w:ascii="Times New Roman" w:eastAsia="SimSun" w:hAnsi="Times New Roman" w:cs="Times New Roman"/>
      <w:b/>
      <w:bCs/>
      <w:sz w:val="20"/>
      <w:szCs w:val="20"/>
      <w:lang w:val="es-A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r2bl w:val="single" w:sz="6" w:space="0" w:color="000000"/>
        </w:tcBorders>
      </w:tcPr>
    </w:tblStylePr>
  </w:style>
  <w:style w:type="table" w:customStyle="1" w:styleId="TableGrid811">
    <w:name w:val="Table Grid 8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TableList111">
    <w:name w:val="Table List 111"/>
    <w:basedOn w:val="Tablanormal"/>
    <w:rsid w:val="002C2444"/>
    <w:pPr>
      <w:spacing w:after="240" w:line="240" w:lineRule="auto"/>
      <w:jc w:val="both"/>
    </w:pPr>
    <w:rPr>
      <w:rFonts w:ascii="Times New Roman" w:eastAsia="SimSun" w:hAnsi="Times New Roman" w:cs="Times New Roman"/>
      <w:sz w:val="20"/>
      <w:szCs w:val="20"/>
      <w:lang w:val="es-A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TableList211">
    <w:name w:val="Table List 211"/>
    <w:basedOn w:val="Tablanormal"/>
    <w:rsid w:val="002C2444"/>
    <w:pPr>
      <w:spacing w:after="240" w:line="240" w:lineRule="auto"/>
      <w:jc w:val="both"/>
    </w:pPr>
    <w:rPr>
      <w:rFonts w:ascii="Times New Roman" w:eastAsia="SimSun" w:hAnsi="Times New Roman" w:cs="Times New Roman"/>
      <w:sz w:val="20"/>
      <w:szCs w:val="20"/>
      <w:lang w:val="es-AR"/>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TableList311">
    <w:name w:val="Table List 3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TableList411">
    <w:name w:val="Table List 4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table" w:customStyle="1" w:styleId="TableList511">
    <w:name w:val="Table List 5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cBorders>
      </w:tcPr>
    </w:tblStylePr>
    <w:tblStylePr w:type="firstCol">
      <w:rPr>
        <w:b/>
        <w:bCs/>
      </w:rPr>
    </w:tblStylePr>
  </w:style>
  <w:style w:type="table" w:customStyle="1" w:styleId="TableList711">
    <w:name w:val="Table List 711"/>
    <w:basedOn w:val="Tablanormal"/>
    <w:rsid w:val="002C2444"/>
    <w:pPr>
      <w:spacing w:after="240" w:line="240" w:lineRule="auto"/>
      <w:jc w:val="both"/>
    </w:pPr>
    <w:rPr>
      <w:rFonts w:ascii="Times New Roman" w:eastAsia="SimSun" w:hAnsi="Times New Roman" w:cs="Times New Roman"/>
      <w:sz w:val="20"/>
      <w:szCs w:val="20"/>
      <w:lang w:val="es-A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TableList811">
    <w:name w:val="Table List 811"/>
    <w:basedOn w:val="Tablanormal"/>
    <w:rsid w:val="002C2444"/>
    <w:pPr>
      <w:spacing w:after="240" w:line="240" w:lineRule="auto"/>
      <w:jc w:val="both"/>
    </w:pPr>
    <w:rPr>
      <w:rFonts w:ascii="Times New Roman" w:eastAsia="SimSun" w:hAnsi="Times New Roman" w:cs="Times New Roman"/>
      <w:sz w:val="20"/>
      <w:szCs w:val="20"/>
      <w:lang w:val="es-A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TableProfessional11">
    <w:name w:val="Table Professional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TableSimple211">
    <w:name w:val="Table Simple 211"/>
    <w:basedOn w:val="Tablanormal"/>
    <w:rsid w:val="002C2444"/>
    <w:pPr>
      <w:spacing w:after="240" w:line="240" w:lineRule="auto"/>
      <w:jc w:val="both"/>
    </w:pPr>
    <w:rPr>
      <w:rFonts w:ascii="Times New Roman" w:eastAsia="SimSun" w:hAnsi="Times New Roman" w:cs="Times New Roman"/>
      <w:sz w:val="20"/>
      <w:szCs w:val="20"/>
      <w:lang w:val="es-AR"/>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customStyle="1" w:styleId="TableSimple311">
    <w:name w:val="Table Simple 311"/>
    <w:basedOn w:val="Tablanormal"/>
    <w:rsid w:val="002C2444"/>
    <w:pPr>
      <w:spacing w:after="240" w:line="240" w:lineRule="auto"/>
      <w:jc w:val="both"/>
    </w:pPr>
    <w:rPr>
      <w:rFonts w:ascii="Times New Roman" w:eastAsia="SimSun" w:hAnsi="Times New Roman" w:cs="Times New Roman"/>
      <w:sz w:val="20"/>
      <w:szCs w:val="20"/>
      <w:lang w:val="es-AR"/>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customStyle="1" w:styleId="TableWeb121">
    <w:name w:val="Table Web 121"/>
    <w:basedOn w:val="Tablanormal"/>
    <w:rsid w:val="002C2444"/>
    <w:pPr>
      <w:spacing w:after="240" w:line="240" w:lineRule="auto"/>
      <w:jc w:val="both"/>
    </w:pPr>
    <w:rPr>
      <w:rFonts w:ascii="Times New Roman" w:eastAsia="SimSun" w:hAnsi="Times New Roman" w:cs="Times New Roman"/>
      <w:sz w:val="20"/>
      <w:szCs w:val="20"/>
      <w:lang w:val="es-A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StylePr>
  </w:style>
  <w:style w:type="table" w:customStyle="1" w:styleId="TableWeb221">
    <w:name w:val="Table Web 221"/>
    <w:basedOn w:val="Tablanormal"/>
    <w:rsid w:val="002C2444"/>
    <w:pPr>
      <w:spacing w:after="240" w:line="240" w:lineRule="auto"/>
      <w:jc w:val="both"/>
    </w:pPr>
    <w:rPr>
      <w:rFonts w:ascii="Times New Roman" w:eastAsia="SimSun" w:hAnsi="Times New Roman" w:cs="Times New Roman"/>
      <w:sz w:val="20"/>
      <w:szCs w:val="20"/>
      <w:lang w:val="es-A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StylePr w:type="firstRow">
      <w:rPr>
        <w:color w:val="auto"/>
      </w:rPr>
    </w:tblStylePr>
  </w:style>
  <w:style w:type="table" w:customStyle="1" w:styleId="TableWeb321">
    <w:name w:val="Table Web 321"/>
    <w:basedOn w:val="Tablanormal"/>
    <w:rsid w:val="002C2444"/>
    <w:pPr>
      <w:spacing w:after="240" w:line="240" w:lineRule="auto"/>
      <w:jc w:val="both"/>
    </w:pPr>
    <w:rPr>
      <w:rFonts w:ascii="Times New Roman" w:eastAsia="SimSun" w:hAnsi="Times New Roman" w:cs="Times New Roman"/>
      <w:sz w:val="20"/>
      <w:szCs w:val="20"/>
      <w:lang w:val="es-A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StylePr w:type="firstRow">
      <w:rPr>
        <w:color w:val="auto"/>
      </w:rPr>
    </w:tblStylePr>
  </w:style>
  <w:style w:type="table" w:customStyle="1" w:styleId="LightShading-Accent221">
    <w:name w:val="Light Shading - Accent 221"/>
    <w:basedOn w:val="Tablanormal"/>
    <w:uiPriority w:val="30"/>
    <w:rsid w:val="002C2444"/>
    <w:pPr>
      <w:spacing w:after="0" w:line="240" w:lineRule="auto"/>
    </w:pPr>
    <w:rPr>
      <w:rFonts w:ascii="Times New Roman" w:eastAsia="Calibri" w:hAnsi="Times New Roman" w:cs="Arial"/>
      <w:b/>
      <w:bCs/>
      <w:i/>
      <w:iCs/>
      <w:color w:val="4F81BD"/>
      <w:sz w:val="24"/>
      <w:szCs w:val="24"/>
      <w:lang w:val="es-A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tblPr/>
      <w:tcPr>
        <w:tcBorders>
          <w:top w:val="single" w:sz="8" w:space="0" w:color="C0504D"/>
          <w:bottom w:val="single" w:sz="8" w:space="0" w:color="C0504D"/>
        </w:tcBorders>
      </w:tcPr>
    </w:tblStylePr>
    <w:tblStylePr w:type="lastRow">
      <w:pPr>
        <w:spacing w:beforeLines="0" w:before="0" w:beforeAutospacing="0" w:afterLines="0" w:after="0" w:afterAutospacing="0" w:line="240" w:lineRule="auto"/>
      </w:p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TOCHeading21">
    <w:name w:val="TOC Heading21"/>
    <w:basedOn w:val="Tablanormal"/>
    <w:uiPriority w:val="39"/>
    <w:qFormat/>
    <w:rsid w:val="002C2444"/>
    <w:pPr>
      <w:spacing w:after="0" w:line="240" w:lineRule="auto"/>
    </w:pPr>
    <w:rPr>
      <w:rFonts w:ascii="Times New Roman" w:eastAsia="SimSun" w:hAnsi="Times New Roman" w:cs="Times New Roman"/>
      <w:color w:val="000000"/>
      <w:sz w:val="20"/>
      <w:szCs w:val="20"/>
      <w:lang w:val="es-AR"/>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bottom w:val="single" w:sz="24" w:space="0" w:color="4BACC6"/>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insideH w:val="single" w:sz="4" w:space="0" w:color="B65608"/>
        </w:tcBorders>
        <w:shd w:val="clear" w:color="auto" w:fill="B65608"/>
      </w:tcPr>
    </w:tblStylePr>
    <w:tblStylePr w:type="lastCol">
      <w:rPr>
        <w:color w:val="FFFFFF"/>
      </w:rPr>
      <w:tblPr/>
      <w:tcPr>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BookTitle21">
    <w:name w:val="Book Title21"/>
    <w:basedOn w:val="Tablanormal"/>
    <w:uiPriority w:val="33"/>
    <w:qFormat/>
    <w:rsid w:val="002C2444"/>
    <w:pPr>
      <w:spacing w:after="0" w:line="240" w:lineRule="auto"/>
    </w:pPr>
    <w:rPr>
      <w:rFonts w:ascii="Times New Roman" w:eastAsia="SimSun" w:hAnsi="Times New Roman" w:cs="Times New Roman"/>
      <w:sz w:val="20"/>
      <w:szCs w:val="20"/>
      <w:lang w:val="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BandedTable1">
    <w:name w:val="Banded Table1"/>
    <w:basedOn w:val="Tablanormal"/>
    <w:uiPriority w:val="99"/>
    <w:rsid w:val="002C2444"/>
    <w:pPr>
      <w:spacing w:after="0" w:line="240" w:lineRule="auto"/>
    </w:pPr>
    <w:rPr>
      <w:rFonts w:ascii="Times New Roman" w:eastAsia="Times New Roman" w:hAnsi="Times New Roman" w:cs="Times New Roman"/>
      <w:sz w:val="24"/>
      <w:szCs w:val="24"/>
      <w:lang w:val="es-AR" w:eastAsia="zh-C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86" w:type="dxa"/>
        <w:bottom w:w="29" w:type="dxa"/>
        <w:right w:w="86" w:type="dxa"/>
      </w:tblCellMar>
    </w:tblPr>
    <w:tcPr>
      <w:vAlign w:val="bottom"/>
    </w:tcPr>
    <w:tblStylePr w:type="firstRow">
      <w:pPr>
        <w:jc w:val="center"/>
      </w:pPr>
      <w:rPr>
        <w:b/>
        <w:color w:val="auto"/>
      </w:rPr>
      <w:tblPr/>
      <w:tcPr>
        <w:shd w:val="clear" w:color="auto" w:fill="D9D9D9"/>
      </w:tcPr>
    </w:tblStylePr>
    <w:tblStylePr w:type="band2Horz">
      <w:tblPr/>
      <w:tcPr>
        <w:shd w:val="clear" w:color="auto" w:fill="F2F2F2"/>
      </w:tcPr>
    </w:tblStylePr>
  </w:style>
  <w:style w:type="table" w:customStyle="1" w:styleId="Listaoscura11">
    <w:name w:val="Lista oscura11"/>
    <w:basedOn w:val="Tablanormal"/>
    <w:uiPriority w:val="70"/>
    <w:rsid w:val="002C2444"/>
    <w:pPr>
      <w:spacing w:after="0" w:line="240" w:lineRule="auto"/>
    </w:pPr>
    <w:rPr>
      <w:rFonts w:ascii="Times New Roman" w:eastAsia="Times New Roman" w:hAnsi="Times New Roman" w:cs="Times New Roman"/>
      <w:color w:val="FFFFFF"/>
      <w:sz w:val="24"/>
      <w:szCs w:val="24"/>
      <w:lang w:val="es-AR"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FinancialTable1">
    <w:name w:val="Financial Table1"/>
    <w:basedOn w:val="Tablanormal"/>
    <w:uiPriority w:val="99"/>
    <w:rsid w:val="002C2444"/>
    <w:pPr>
      <w:spacing w:after="0" w:line="240" w:lineRule="auto"/>
    </w:pPr>
    <w:rPr>
      <w:rFonts w:ascii="Times New Roman" w:eastAsia="Times New Roman" w:hAnsi="Times New Roman" w:cs="Times New Roman"/>
      <w:sz w:val="18"/>
      <w:szCs w:val="24"/>
      <w:lang w:val="es-AR" w:eastAsia="zh-CN"/>
    </w:rPr>
    <w:tblPr>
      <w:tblCellMar>
        <w:top w:w="29" w:type="dxa"/>
        <w:left w:w="86" w:type="dxa"/>
        <w:bottom w:w="29" w:type="dxa"/>
        <w:right w:w="86" w:type="dxa"/>
      </w:tblCellMar>
    </w:tblPr>
    <w:tcPr>
      <w:vAlign w:val="bottom"/>
    </w:tcPr>
    <w:tblStylePr w:type="firstRow">
      <w:pPr>
        <w:jc w:val="center"/>
      </w:pPr>
      <w:rPr>
        <w:b/>
      </w:rPr>
    </w:tblStylePr>
    <w:tblStylePr w:type="firstCol">
      <w:pPr>
        <w:wordWrap/>
        <w:ind w:hangingChars="120" w:hanging="120"/>
      </w:pPr>
    </w:tblStylePr>
  </w:style>
  <w:style w:type="table" w:customStyle="1" w:styleId="IndentedTable1">
    <w:name w:val="Indented Table1"/>
    <w:basedOn w:val="Tablanormal"/>
    <w:uiPriority w:val="99"/>
    <w:rsid w:val="002C2444"/>
    <w:pPr>
      <w:spacing w:after="0" w:line="240" w:lineRule="auto"/>
    </w:pPr>
    <w:rPr>
      <w:rFonts w:ascii="Times New Roman" w:eastAsia="Times New Roman" w:hAnsi="Times New Roman" w:cs="Times New Roman"/>
      <w:sz w:val="24"/>
      <w:szCs w:val="24"/>
      <w:lang w:val="es-AR" w:eastAsia="zh-CN"/>
    </w:rPr>
    <w:tblPr>
      <w:tblCellMar>
        <w:top w:w="29" w:type="dxa"/>
        <w:left w:w="86" w:type="dxa"/>
        <w:bottom w:w="29" w:type="dxa"/>
        <w:right w:w="86" w:type="dxa"/>
      </w:tblCellMar>
    </w:tblPr>
  </w:style>
  <w:style w:type="table" w:customStyle="1" w:styleId="ShadedTable1">
    <w:name w:val="Shaded Table1"/>
    <w:basedOn w:val="Tablanormal"/>
    <w:uiPriority w:val="99"/>
    <w:rsid w:val="002C2444"/>
    <w:pPr>
      <w:spacing w:after="0" w:line="240" w:lineRule="auto"/>
    </w:pPr>
    <w:rPr>
      <w:rFonts w:ascii="Times New Roman" w:eastAsia="Times New Roman" w:hAnsi="Times New Roman" w:cs="Times New Roman"/>
      <w:sz w:val="24"/>
      <w:szCs w:val="24"/>
      <w:lang w:val="es-AR" w:eastAsia="zh-CN"/>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cPr>
      <w:vAlign w:val="bottom"/>
    </w:tcPr>
    <w:tblStylePr w:type="firstRow">
      <w:pPr>
        <w:jc w:val="center"/>
      </w:pPr>
      <w:rPr>
        <w:b/>
      </w:rPr>
      <w:tblPr/>
      <w:tcPr>
        <w:tcBorders>
          <w:top w:val="double" w:sz="4" w:space="0" w:color="auto"/>
          <w:left w:val="double" w:sz="4" w:space="0" w:color="auto"/>
          <w:bottom w:val="double" w:sz="4" w:space="0" w:color="auto"/>
          <w:right w:val="double" w:sz="4" w:space="0" w:color="auto"/>
          <w:insideH w:val="nil"/>
          <w:insideV w:val="single" w:sz="4" w:space="0" w:color="auto"/>
          <w:tl2br w:val="nil"/>
          <w:tr2bl w:val="nil"/>
        </w:tcBorders>
        <w:shd w:val="clear" w:color="auto" w:fill="D9D9D9"/>
      </w:tcPr>
    </w:tblStylePr>
  </w:style>
  <w:style w:type="table" w:customStyle="1" w:styleId="TextTable1">
    <w:name w:val="Text Table1"/>
    <w:basedOn w:val="Tablanormal"/>
    <w:uiPriority w:val="99"/>
    <w:rsid w:val="002C2444"/>
    <w:pPr>
      <w:spacing w:after="0" w:line="240" w:lineRule="auto"/>
    </w:pPr>
    <w:rPr>
      <w:rFonts w:ascii="Times New Roman" w:eastAsia="Times New Roman" w:hAnsi="Times New Roman" w:cs="Times New Roman"/>
      <w:sz w:val="24"/>
      <w:szCs w:val="24"/>
      <w:lang w:val="es-A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blStylePr w:type="firstRow">
      <w:pPr>
        <w:jc w:val="left"/>
      </w:pPr>
      <w:tblPr/>
      <w:tcPr>
        <w:vAlign w:val="bottom"/>
      </w:tcPr>
    </w:tblStylePr>
  </w:style>
  <w:style w:type="table" w:customStyle="1" w:styleId="SubtleEmphasis201">
    <w:name w:val="Subtle Emphasis2_01"/>
    <w:basedOn w:val="Tablanormal"/>
    <w:qFormat/>
    <w:rsid w:val="002C2444"/>
    <w:pPr>
      <w:spacing w:after="0" w:line="240" w:lineRule="auto"/>
    </w:pPr>
    <w:rPr>
      <w:rFonts w:ascii="Times New Roman" w:eastAsia="Calibri" w:hAnsi="Times New Roman" w:cs="Arial"/>
      <w:color w:val="000000"/>
      <w:sz w:val="20"/>
      <w:szCs w:val="20"/>
      <w:lang w:eastAsia="es-ES"/>
    </w:rPr>
    <w:tblPr>
      <w:tblStyleRowBandSize w:val="1"/>
      <w:tblStyleColBandSize w:val="1"/>
      <w:tblBorders>
        <w:top w:val="single" w:sz="8" w:space="0" w:color="F79646"/>
        <w:bottom w:val="single" w:sz="8" w:space="0" w:color="F79646"/>
      </w:tblBorders>
    </w:tblPr>
    <w:tblStylePr w:type="firstRow">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OCHeading101">
    <w:name w:val="TOC Heading1_01"/>
    <w:basedOn w:val="Tablanormal"/>
    <w:qFormat/>
    <w:rsid w:val="002C2444"/>
    <w:pPr>
      <w:spacing w:after="0" w:line="240" w:lineRule="auto"/>
    </w:pPr>
    <w:rPr>
      <w:rFonts w:ascii="Times New Roman" w:eastAsia="Calibri" w:hAnsi="Times New Roman" w:cs="Arial"/>
      <w:color w:val="000000"/>
      <w:sz w:val="20"/>
      <w:szCs w:val="20"/>
      <w:lang w:eastAsia="es-E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bottom w:val="single" w:sz="24" w:space="0" w:color="4BACC6"/>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insideH w:val="single" w:sz="4" w:space="0" w:color="B65608"/>
        </w:tcBorders>
        <w:shd w:val="clear" w:color="auto" w:fill="B65608"/>
      </w:tcPr>
    </w:tblStylePr>
    <w:tblStylePr w:type="lastCol">
      <w:rPr>
        <w:color w:val="FFFFFF"/>
      </w:rPr>
      <w:tblPr/>
      <w:tcPr>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IntenseReference201">
    <w:name w:val="Intense Reference2_01"/>
    <w:basedOn w:val="Tablanormal"/>
    <w:qFormat/>
    <w:rsid w:val="002C2444"/>
    <w:pPr>
      <w:spacing w:after="0" w:line="240" w:lineRule="auto"/>
    </w:pPr>
    <w:rPr>
      <w:rFonts w:ascii="Times New Roman" w:eastAsia="Calibri" w:hAnsi="Times New Roman" w:cs="Arial"/>
      <w:color w:val="000000"/>
      <w:sz w:val="20"/>
      <w:szCs w:val="20"/>
      <w:lang w:eastAsia="es-E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BookTitle101">
    <w:name w:val="Book Title1_01"/>
    <w:basedOn w:val="Tablanormal"/>
    <w:qFormat/>
    <w:rsid w:val="002C2444"/>
    <w:pPr>
      <w:spacing w:after="0" w:line="240" w:lineRule="auto"/>
    </w:pPr>
    <w:rPr>
      <w:rFonts w:ascii="Times New Roman" w:eastAsia="Calibri" w:hAnsi="Times New Roman" w:cs="Arial"/>
      <w:sz w:val="20"/>
      <w:szCs w:val="20"/>
      <w:lang w:eastAsia="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staoscura21">
    <w:name w:val="Lista oscura21"/>
    <w:basedOn w:val="Tablanormal"/>
    <w:uiPriority w:val="70"/>
    <w:rsid w:val="002C2444"/>
    <w:pPr>
      <w:spacing w:after="0" w:line="240" w:lineRule="auto"/>
    </w:pPr>
    <w:rPr>
      <w:rFonts w:ascii="Times New Roman" w:eastAsia="Times New Roman" w:hAnsi="Times New Roman" w:cs="Times New Roman"/>
      <w:color w:val="FFFFFF"/>
      <w:sz w:val="24"/>
      <w:szCs w:val="24"/>
      <w:lang w:val="es-AR"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Sombreadoclaro-nfasis221">
    <w:name w:val="Sombreado claro - Énfasis 221"/>
    <w:basedOn w:val="Tablanormal"/>
    <w:uiPriority w:val="30"/>
    <w:rsid w:val="002C2444"/>
    <w:pPr>
      <w:spacing w:after="0" w:line="240" w:lineRule="auto"/>
    </w:pPr>
    <w:rPr>
      <w:rFonts w:ascii="Calibri" w:eastAsia="Calibri" w:hAnsi="Calibri" w:cs="Times New Roman"/>
      <w:b/>
      <w:bCs/>
      <w:i/>
      <w:iCs/>
      <w:color w:val="4F81BD"/>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Cuadrculavistosa-nfasis121">
    <w:name w:val="Cuadrícula vistosa - Énfasis 121"/>
    <w:basedOn w:val="Tablanormal"/>
    <w:uiPriority w:val="29"/>
    <w:rsid w:val="002C2444"/>
    <w:pPr>
      <w:spacing w:after="0" w:line="240" w:lineRule="auto"/>
    </w:pPr>
    <w:rPr>
      <w:rFonts w:ascii="Calibri" w:eastAsia="Calibri" w:hAnsi="Calibri" w:cs="Times New Roman"/>
      <w:i/>
      <w:iCs/>
      <w:color w:val="00000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Estilo121">
    <w:name w:val="Estilo121"/>
    <w:uiPriority w:val="99"/>
    <w:rsid w:val="002C2444"/>
    <w:pPr>
      <w:numPr>
        <w:numId w:val="39"/>
      </w:numPr>
    </w:pPr>
  </w:style>
  <w:style w:type="numbering" w:customStyle="1" w:styleId="ShortOutlineList1">
    <w:name w:val="ShortOutlineList1"/>
    <w:rsid w:val="002C2444"/>
    <w:pPr>
      <w:numPr>
        <w:numId w:val="50"/>
      </w:numPr>
    </w:pPr>
  </w:style>
  <w:style w:type="numbering" w:customStyle="1" w:styleId="FlatBulletsList1">
    <w:name w:val="FlatBulletsList1"/>
    <w:uiPriority w:val="99"/>
    <w:rsid w:val="002C2444"/>
    <w:pPr>
      <w:numPr>
        <w:numId w:val="52"/>
      </w:numPr>
    </w:pPr>
  </w:style>
  <w:style w:type="numbering" w:customStyle="1" w:styleId="SimpleListsList1">
    <w:name w:val="SimpleListsList1"/>
    <w:rsid w:val="002C2444"/>
    <w:pPr>
      <w:numPr>
        <w:numId w:val="54"/>
      </w:numPr>
    </w:pPr>
  </w:style>
  <w:style w:type="numbering" w:customStyle="1" w:styleId="DefinitionsList1">
    <w:name w:val="DefinitionsList1"/>
    <w:rsid w:val="002C2444"/>
    <w:pPr>
      <w:numPr>
        <w:numId w:val="57"/>
      </w:numPr>
    </w:pPr>
  </w:style>
  <w:style w:type="numbering" w:customStyle="1" w:styleId="Estilo521">
    <w:name w:val="Estilo521"/>
    <w:uiPriority w:val="99"/>
    <w:rsid w:val="002C2444"/>
    <w:pPr>
      <w:numPr>
        <w:numId w:val="132"/>
      </w:numPr>
    </w:pPr>
  </w:style>
  <w:style w:type="numbering" w:customStyle="1" w:styleId="Estilo621">
    <w:name w:val="Estilo621"/>
    <w:uiPriority w:val="99"/>
    <w:rsid w:val="002C2444"/>
    <w:pPr>
      <w:numPr>
        <w:numId w:val="133"/>
      </w:numPr>
    </w:pPr>
  </w:style>
  <w:style w:type="numbering" w:customStyle="1" w:styleId="Estilo421">
    <w:name w:val="Estilo421"/>
    <w:uiPriority w:val="99"/>
    <w:rsid w:val="002C2444"/>
    <w:pPr>
      <w:numPr>
        <w:numId w:val="134"/>
      </w:numPr>
    </w:pPr>
  </w:style>
  <w:style w:type="numbering" w:customStyle="1" w:styleId="Estilo821">
    <w:name w:val="Estilo821"/>
    <w:uiPriority w:val="99"/>
    <w:rsid w:val="002C2444"/>
    <w:pPr>
      <w:numPr>
        <w:numId w:val="135"/>
      </w:numPr>
    </w:pPr>
  </w:style>
  <w:style w:type="numbering" w:customStyle="1" w:styleId="TableFootnotesList1">
    <w:name w:val="TableFootnotesList1"/>
    <w:uiPriority w:val="99"/>
    <w:rsid w:val="002C2444"/>
    <w:pPr>
      <w:numPr>
        <w:numId w:val="136"/>
      </w:numPr>
    </w:pPr>
  </w:style>
  <w:style w:type="numbering" w:customStyle="1" w:styleId="Estilo721">
    <w:name w:val="Estilo721"/>
    <w:uiPriority w:val="99"/>
    <w:rsid w:val="002C2444"/>
    <w:pPr>
      <w:numPr>
        <w:numId w:val="310"/>
      </w:numPr>
    </w:pPr>
  </w:style>
  <w:style w:type="numbering" w:customStyle="1" w:styleId="Estilo221">
    <w:name w:val="Estilo221"/>
    <w:uiPriority w:val="99"/>
    <w:rsid w:val="002C2444"/>
    <w:pPr>
      <w:numPr>
        <w:numId w:val="138"/>
      </w:numPr>
    </w:pPr>
  </w:style>
  <w:style w:type="numbering" w:customStyle="1" w:styleId="Estilo321">
    <w:name w:val="Estilo321"/>
    <w:uiPriority w:val="99"/>
    <w:rsid w:val="002C2444"/>
    <w:pPr>
      <w:numPr>
        <w:numId w:val="139"/>
      </w:numPr>
    </w:pPr>
  </w:style>
  <w:style w:type="numbering" w:customStyle="1" w:styleId="FlatNumbersList1">
    <w:name w:val="FlatNumbersList1"/>
    <w:uiPriority w:val="99"/>
    <w:rsid w:val="002C2444"/>
    <w:pPr>
      <w:numPr>
        <w:numId w:val="140"/>
      </w:numPr>
    </w:pPr>
  </w:style>
  <w:style w:type="numbering" w:customStyle="1" w:styleId="Estilo83">
    <w:name w:val="Estilo83"/>
    <w:uiPriority w:val="99"/>
    <w:rsid w:val="002C2444"/>
    <w:pPr>
      <w:numPr>
        <w:numId w:val="1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8929">
      <w:bodyDiv w:val="1"/>
      <w:marLeft w:val="0"/>
      <w:marRight w:val="0"/>
      <w:marTop w:val="0"/>
      <w:marBottom w:val="0"/>
      <w:divBdr>
        <w:top w:val="none" w:sz="0" w:space="0" w:color="auto"/>
        <w:left w:val="none" w:sz="0" w:space="0" w:color="auto"/>
        <w:bottom w:val="none" w:sz="0" w:space="0" w:color="auto"/>
        <w:right w:val="none" w:sz="0" w:space="0" w:color="auto"/>
      </w:divBdr>
    </w:div>
    <w:div w:id="32266073">
      <w:bodyDiv w:val="1"/>
      <w:marLeft w:val="0"/>
      <w:marRight w:val="0"/>
      <w:marTop w:val="0"/>
      <w:marBottom w:val="0"/>
      <w:divBdr>
        <w:top w:val="none" w:sz="0" w:space="0" w:color="auto"/>
        <w:left w:val="none" w:sz="0" w:space="0" w:color="auto"/>
        <w:bottom w:val="none" w:sz="0" w:space="0" w:color="auto"/>
        <w:right w:val="none" w:sz="0" w:space="0" w:color="auto"/>
      </w:divBdr>
    </w:div>
    <w:div w:id="58329789">
      <w:bodyDiv w:val="1"/>
      <w:marLeft w:val="0"/>
      <w:marRight w:val="0"/>
      <w:marTop w:val="0"/>
      <w:marBottom w:val="0"/>
      <w:divBdr>
        <w:top w:val="none" w:sz="0" w:space="0" w:color="auto"/>
        <w:left w:val="none" w:sz="0" w:space="0" w:color="auto"/>
        <w:bottom w:val="none" w:sz="0" w:space="0" w:color="auto"/>
        <w:right w:val="none" w:sz="0" w:space="0" w:color="auto"/>
      </w:divBdr>
    </w:div>
    <w:div w:id="61954948">
      <w:bodyDiv w:val="1"/>
      <w:marLeft w:val="0"/>
      <w:marRight w:val="0"/>
      <w:marTop w:val="0"/>
      <w:marBottom w:val="0"/>
      <w:divBdr>
        <w:top w:val="none" w:sz="0" w:space="0" w:color="auto"/>
        <w:left w:val="none" w:sz="0" w:space="0" w:color="auto"/>
        <w:bottom w:val="none" w:sz="0" w:space="0" w:color="auto"/>
        <w:right w:val="none" w:sz="0" w:space="0" w:color="auto"/>
      </w:divBdr>
    </w:div>
    <w:div w:id="68042389">
      <w:bodyDiv w:val="1"/>
      <w:marLeft w:val="0"/>
      <w:marRight w:val="0"/>
      <w:marTop w:val="0"/>
      <w:marBottom w:val="0"/>
      <w:divBdr>
        <w:top w:val="none" w:sz="0" w:space="0" w:color="auto"/>
        <w:left w:val="none" w:sz="0" w:space="0" w:color="auto"/>
        <w:bottom w:val="none" w:sz="0" w:space="0" w:color="auto"/>
        <w:right w:val="none" w:sz="0" w:space="0" w:color="auto"/>
      </w:divBdr>
    </w:div>
    <w:div w:id="159657820">
      <w:bodyDiv w:val="1"/>
      <w:marLeft w:val="0"/>
      <w:marRight w:val="0"/>
      <w:marTop w:val="0"/>
      <w:marBottom w:val="0"/>
      <w:divBdr>
        <w:top w:val="none" w:sz="0" w:space="0" w:color="auto"/>
        <w:left w:val="none" w:sz="0" w:space="0" w:color="auto"/>
        <w:bottom w:val="none" w:sz="0" w:space="0" w:color="auto"/>
        <w:right w:val="none" w:sz="0" w:space="0" w:color="auto"/>
      </w:divBdr>
    </w:div>
    <w:div w:id="216359685">
      <w:bodyDiv w:val="1"/>
      <w:marLeft w:val="0"/>
      <w:marRight w:val="0"/>
      <w:marTop w:val="0"/>
      <w:marBottom w:val="0"/>
      <w:divBdr>
        <w:top w:val="none" w:sz="0" w:space="0" w:color="auto"/>
        <w:left w:val="none" w:sz="0" w:space="0" w:color="auto"/>
        <w:bottom w:val="none" w:sz="0" w:space="0" w:color="auto"/>
        <w:right w:val="none" w:sz="0" w:space="0" w:color="auto"/>
      </w:divBdr>
    </w:div>
    <w:div w:id="253831584">
      <w:bodyDiv w:val="1"/>
      <w:marLeft w:val="0"/>
      <w:marRight w:val="0"/>
      <w:marTop w:val="0"/>
      <w:marBottom w:val="0"/>
      <w:divBdr>
        <w:top w:val="none" w:sz="0" w:space="0" w:color="auto"/>
        <w:left w:val="none" w:sz="0" w:space="0" w:color="auto"/>
        <w:bottom w:val="none" w:sz="0" w:space="0" w:color="auto"/>
        <w:right w:val="none" w:sz="0" w:space="0" w:color="auto"/>
      </w:divBdr>
    </w:div>
    <w:div w:id="339966567">
      <w:bodyDiv w:val="1"/>
      <w:marLeft w:val="0"/>
      <w:marRight w:val="0"/>
      <w:marTop w:val="0"/>
      <w:marBottom w:val="0"/>
      <w:divBdr>
        <w:top w:val="none" w:sz="0" w:space="0" w:color="auto"/>
        <w:left w:val="none" w:sz="0" w:space="0" w:color="auto"/>
        <w:bottom w:val="none" w:sz="0" w:space="0" w:color="auto"/>
        <w:right w:val="none" w:sz="0" w:space="0" w:color="auto"/>
      </w:divBdr>
    </w:div>
    <w:div w:id="373237123">
      <w:bodyDiv w:val="1"/>
      <w:marLeft w:val="0"/>
      <w:marRight w:val="0"/>
      <w:marTop w:val="0"/>
      <w:marBottom w:val="0"/>
      <w:divBdr>
        <w:top w:val="none" w:sz="0" w:space="0" w:color="auto"/>
        <w:left w:val="none" w:sz="0" w:space="0" w:color="auto"/>
        <w:bottom w:val="none" w:sz="0" w:space="0" w:color="auto"/>
        <w:right w:val="none" w:sz="0" w:space="0" w:color="auto"/>
      </w:divBdr>
    </w:div>
    <w:div w:id="404375770">
      <w:bodyDiv w:val="1"/>
      <w:marLeft w:val="0"/>
      <w:marRight w:val="0"/>
      <w:marTop w:val="0"/>
      <w:marBottom w:val="0"/>
      <w:divBdr>
        <w:top w:val="none" w:sz="0" w:space="0" w:color="auto"/>
        <w:left w:val="none" w:sz="0" w:space="0" w:color="auto"/>
        <w:bottom w:val="none" w:sz="0" w:space="0" w:color="auto"/>
        <w:right w:val="none" w:sz="0" w:space="0" w:color="auto"/>
      </w:divBdr>
    </w:div>
    <w:div w:id="408815056">
      <w:bodyDiv w:val="1"/>
      <w:marLeft w:val="0"/>
      <w:marRight w:val="0"/>
      <w:marTop w:val="0"/>
      <w:marBottom w:val="0"/>
      <w:divBdr>
        <w:top w:val="none" w:sz="0" w:space="0" w:color="auto"/>
        <w:left w:val="none" w:sz="0" w:space="0" w:color="auto"/>
        <w:bottom w:val="none" w:sz="0" w:space="0" w:color="auto"/>
        <w:right w:val="none" w:sz="0" w:space="0" w:color="auto"/>
      </w:divBdr>
    </w:div>
    <w:div w:id="645206392">
      <w:bodyDiv w:val="1"/>
      <w:marLeft w:val="0"/>
      <w:marRight w:val="0"/>
      <w:marTop w:val="0"/>
      <w:marBottom w:val="0"/>
      <w:divBdr>
        <w:top w:val="none" w:sz="0" w:space="0" w:color="auto"/>
        <w:left w:val="none" w:sz="0" w:space="0" w:color="auto"/>
        <w:bottom w:val="none" w:sz="0" w:space="0" w:color="auto"/>
        <w:right w:val="none" w:sz="0" w:space="0" w:color="auto"/>
      </w:divBdr>
    </w:div>
    <w:div w:id="659699228">
      <w:bodyDiv w:val="1"/>
      <w:marLeft w:val="0"/>
      <w:marRight w:val="0"/>
      <w:marTop w:val="0"/>
      <w:marBottom w:val="0"/>
      <w:divBdr>
        <w:top w:val="none" w:sz="0" w:space="0" w:color="auto"/>
        <w:left w:val="none" w:sz="0" w:space="0" w:color="auto"/>
        <w:bottom w:val="none" w:sz="0" w:space="0" w:color="auto"/>
        <w:right w:val="none" w:sz="0" w:space="0" w:color="auto"/>
      </w:divBdr>
    </w:div>
    <w:div w:id="698429228">
      <w:bodyDiv w:val="1"/>
      <w:marLeft w:val="0"/>
      <w:marRight w:val="0"/>
      <w:marTop w:val="0"/>
      <w:marBottom w:val="0"/>
      <w:divBdr>
        <w:top w:val="none" w:sz="0" w:space="0" w:color="auto"/>
        <w:left w:val="none" w:sz="0" w:space="0" w:color="auto"/>
        <w:bottom w:val="none" w:sz="0" w:space="0" w:color="auto"/>
        <w:right w:val="none" w:sz="0" w:space="0" w:color="auto"/>
      </w:divBdr>
    </w:div>
    <w:div w:id="730344136">
      <w:bodyDiv w:val="1"/>
      <w:marLeft w:val="0"/>
      <w:marRight w:val="0"/>
      <w:marTop w:val="0"/>
      <w:marBottom w:val="0"/>
      <w:divBdr>
        <w:top w:val="none" w:sz="0" w:space="0" w:color="auto"/>
        <w:left w:val="none" w:sz="0" w:space="0" w:color="auto"/>
        <w:bottom w:val="none" w:sz="0" w:space="0" w:color="auto"/>
        <w:right w:val="none" w:sz="0" w:space="0" w:color="auto"/>
      </w:divBdr>
    </w:div>
    <w:div w:id="739795694">
      <w:bodyDiv w:val="1"/>
      <w:marLeft w:val="0"/>
      <w:marRight w:val="0"/>
      <w:marTop w:val="0"/>
      <w:marBottom w:val="0"/>
      <w:divBdr>
        <w:top w:val="none" w:sz="0" w:space="0" w:color="auto"/>
        <w:left w:val="none" w:sz="0" w:space="0" w:color="auto"/>
        <w:bottom w:val="none" w:sz="0" w:space="0" w:color="auto"/>
        <w:right w:val="none" w:sz="0" w:space="0" w:color="auto"/>
      </w:divBdr>
    </w:div>
    <w:div w:id="802699273">
      <w:bodyDiv w:val="1"/>
      <w:marLeft w:val="0"/>
      <w:marRight w:val="0"/>
      <w:marTop w:val="0"/>
      <w:marBottom w:val="0"/>
      <w:divBdr>
        <w:top w:val="none" w:sz="0" w:space="0" w:color="auto"/>
        <w:left w:val="none" w:sz="0" w:space="0" w:color="auto"/>
        <w:bottom w:val="none" w:sz="0" w:space="0" w:color="auto"/>
        <w:right w:val="none" w:sz="0" w:space="0" w:color="auto"/>
      </w:divBdr>
    </w:div>
    <w:div w:id="942420895">
      <w:bodyDiv w:val="1"/>
      <w:marLeft w:val="0"/>
      <w:marRight w:val="0"/>
      <w:marTop w:val="0"/>
      <w:marBottom w:val="0"/>
      <w:divBdr>
        <w:top w:val="none" w:sz="0" w:space="0" w:color="auto"/>
        <w:left w:val="none" w:sz="0" w:space="0" w:color="auto"/>
        <w:bottom w:val="none" w:sz="0" w:space="0" w:color="auto"/>
        <w:right w:val="none" w:sz="0" w:space="0" w:color="auto"/>
      </w:divBdr>
    </w:div>
    <w:div w:id="961619492">
      <w:bodyDiv w:val="1"/>
      <w:marLeft w:val="0"/>
      <w:marRight w:val="0"/>
      <w:marTop w:val="0"/>
      <w:marBottom w:val="0"/>
      <w:divBdr>
        <w:top w:val="none" w:sz="0" w:space="0" w:color="auto"/>
        <w:left w:val="none" w:sz="0" w:space="0" w:color="auto"/>
        <w:bottom w:val="none" w:sz="0" w:space="0" w:color="auto"/>
        <w:right w:val="none" w:sz="0" w:space="0" w:color="auto"/>
      </w:divBdr>
    </w:div>
    <w:div w:id="1027953408">
      <w:bodyDiv w:val="1"/>
      <w:marLeft w:val="0"/>
      <w:marRight w:val="0"/>
      <w:marTop w:val="0"/>
      <w:marBottom w:val="0"/>
      <w:divBdr>
        <w:top w:val="none" w:sz="0" w:space="0" w:color="auto"/>
        <w:left w:val="none" w:sz="0" w:space="0" w:color="auto"/>
        <w:bottom w:val="none" w:sz="0" w:space="0" w:color="auto"/>
        <w:right w:val="none" w:sz="0" w:space="0" w:color="auto"/>
      </w:divBdr>
    </w:div>
    <w:div w:id="1040394678">
      <w:bodyDiv w:val="1"/>
      <w:marLeft w:val="0"/>
      <w:marRight w:val="0"/>
      <w:marTop w:val="0"/>
      <w:marBottom w:val="0"/>
      <w:divBdr>
        <w:top w:val="none" w:sz="0" w:space="0" w:color="auto"/>
        <w:left w:val="none" w:sz="0" w:space="0" w:color="auto"/>
        <w:bottom w:val="none" w:sz="0" w:space="0" w:color="auto"/>
        <w:right w:val="none" w:sz="0" w:space="0" w:color="auto"/>
      </w:divBdr>
    </w:div>
    <w:div w:id="1041592367">
      <w:bodyDiv w:val="1"/>
      <w:marLeft w:val="0"/>
      <w:marRight w:val="0"/>
      <w:marTop w:val="0"/>
      <w:marBottom w:val="0"/>
      <w:divBdr>
        <w:top w:val="none" w:sz="0" w:space="0" w:color="auto"/>
        <w:left w:val="none" w:sz="0" w:space="0" w:color="auto"/>
        <w:bottom w:val="none" w:sz="0" w:space="0" w:color="auto"/>
        <w:right w:val="none" w:sz="0" w:space="0" w:color="auto"/>
      </w:divBdr>
    </w:div>
    <w:div w:id="1051077422">
      <w:bodyDiv w:val="1"/>
      <w:marLeft w:val="0"/>
      <w:marRight w:val="0"/>
      <w:marTop w:val="0"/>
      <w:marBottom w:val="0"/>
      <w:divBdr>
        <w:top w:val="none" w:sz="0" w:space="0" w:color="auto"/>
        <w:left w:val="none" w:sz="0" w:space="0" w:color="auto"/>
        <w:bottom w:val="none" w:sz="0" w:space="0" w:color="auto"/>
        <w:right w:val="none" w:sz="0" w:space="0" w:color="auto"/>
      </w:divBdr>
    </w:div>
    <w:div w:id="1093017134">
      <w:bodyDiv w:val="1"/>
      <w:marLeft w:val="0"/>
      <w:marRight w:val="0"/>
      <w:marTop w:val="0"/>
      <w:marBottom w:val="0"/>
      <w:divBdr>
        <w:top w:val="none" w:sz="0" w:space="0" w:color="auto"/>
        <w:left w:val="none" w:sz="0" w:space="0" w:color="auto"/>
        <w:bottom w:val="none" w:sz="0" w:space="0" w:color="auto"/>
        <w:right w:val="none" w:sz="0" w:space="0" w:color="auto"/>
      </w:divBdr>
    </w:div>
    <w:div w:id="1271469959">
      <w:bodyDiv w:val="1"/>
      <w:marLeft w:val="0"/>
      <w:marRight w:val="0"/>
      <w:marTop w:val="0"/>
      <w:marBottom w:val="0"/>
      <w:divBdr>
        <w:top w:val="none" w:sz="0" w:space="0" w:color="auto"/>
        <w:left w:val="none" w:sz="0" w:space="0" w:color="auto"/>
        <w:bottom w:val="none" w:sz="0" w:space="0" w:color="auto"/>
        <w:right w:val="none" w:sz="0" w:space="0" w:color="auto"/>
      </w:divBdr>
    </w:div>
    <w:div w:id="1295212660">
      <w:bodyDiv w:val="1"/>
      <w:marLeft w:val="0"/>
      <w:marRight w:val="0"/>
      <w:marTop w:val="0"/>
      <w:marBottom w:val="0"/>
      <w:divBdr>
        <w:top w:val="none" w:sz="0" w:space="0" w:color="auto"/>
        <w:left w:val="none" w:sz="0" w:space="0" w:color="auto"/>
        <w:bottom w:val="none" w:sz="0" w:space="0" w:color="auto"/>
        <w:right w:val="none" w:sz="0" w:space="0" w:color="auto"/>
      </w:divBdr>
    </w:div>
    <w:div w:id="1317685002">
      <w:bodyDiv w:val="1"/>
      <w:marLeft w:val="0"/>
      <w:marRight w:val="0"/>
      <w:marTop w:val="0"/>
      <w:marBottom w:val="0"/>
      <w:divBdr>
        <w:top w:val="none" w:sz="0" w:space="0" w:color="auto"/>
        <w:left w:val="none" w:sz="0" w:space="0" w:color="auto"/>
        <w:bottom w:val="none" w:sz="0" w:space="0" w:color="auto"/>
        <w:right w:val="none" w:sz="0" w:space="0" w:color="auto"/>
      </w:divBdr>
    </w:div>
    <w:div w:id="1422679450">
      <w:bodyDiv w:val="1"/>
      <w:marLeft w:val="0"/>
      <w:marRight w:val="0"/>
      <w:marTop w:val="0"/>
      <w:marBottom w:val="0"/>
      <w:divBdr>
        <w:top w:val="none" w:sz="0" w:space="0" w:color="auto"/>
        <w:left w:val="none" w:sz="0" w:space="0" w:color="auto"/>
        <w:bottom w:val="none" w:sz="0" w:space="0" w:color="auto"/>
        <w:right w:val="none" w:sz="0" w:space="0" w:color="auto"/>
      </w:divBdr>
    </w:div>
    <w:div w:id="1456557378">
      <w:bodyDiv w:val="1"/>
      <w:marLeft w:val="0"/>
      <w:marRight w:val="0"/>
      <w:marTop w:val="0"/>
      <w:marBottom w:val="0"/>
      <w:divBdr>
        <w:top w:val="none" w:sz="0" w:space="0" w:color="auto"/>
        <w:left w:val="none" w:sz="0" w:space="0" w:color="auto"/>
        <w:bottom w:val="none" w:sz="0" w:space="0" w:color="auto"/>
        <w:right w:val="none" w:sz="0" w:space="0" w:color="auto"/>
      </w:divBdr>
    </w:div>
    <w:div w:id="1631784759">
      <w:bodyDiv w:val="1"/>
      <w:marLeft w:val="0"/>
      <w:marRight w:val="0"/>
      <w:marTop w:val="0"/>
      <w:marBottom w:val="0"/>
      <w:divBdr>
        <w:top w:val="none" w:sz="0" w:space="0" w:color="auto"/>
        <w:left w:val="none" w:sz="0" w:space="0" w:color="auto"/>
        <w:bottom w:val="none" w:sz="0" w:space="0" w:color="auto"/>
        <w:right w:val="none" w:sz="0" w:space="0" w:color="auto"/>
      </w:divBdr>
    </w:div>
    <w:div w:id="1717774714">
      <w:bodyDiv w:val="1"/>
      <w:marLeft w:val="0"/>
      <w:marRight w:val="0"/>
      <w:marTop w:val="0"/>
      <w:marBottom w:val="0"/>
      <w:divBdr>
        <w:top w:val="none" w:sz="0" w:space="0" w:color="auto"/>
        <w:left w:val="none" w:sz="0" w:space="0" w:color="auto"/>
        <w:bottom w:val="none" w:sz="0" w:space="0" w:color="auto"/>
        <w:right w:val="none" w:sz="0" w:space="0" w:color="auto"/>
      </w:divBdr>
    </w:div>
    <w:div w:id="1786463548">
      <w:bodyDiv w:val="1"/>
      <w:marLeft w:val="0"/>
      <w:marRight w:val="0"/>
      <w:marTop w:val="0"/>
      <w:marBottom w:val="0"/>
      <w:divBdr>
        <w:top w:val="none" w:sz="0" w:space="0" w:color="auto"/>
        <w:left w:val="none" w:sz="0" w:space="0" w:color="auto"/>
        <w:bottom w:val="none" w:sz="0" w:space="0" w:color="auto"/>
        <w:right w:val="none" w:sz="0" w:space="0" w:color="auto"/>
      </w:divBdr>
    </w:div>
    <w:div w:id="1786850023">
      <w:bodyDiv w:val="1"/>
      <w:marLeft w:val="0"/>
      <w:marRight w:val="0"/>
      <w:marTop w:val="0"/>
      <w:marBottom w:val="0"/>
      <w:divBdr>
        <w:top w:val="none" w:sz="0" w:space="0" w:color="auto"/>
        <w:left w:val="none" w:sz="0" w:space="0" w:color="auto"/>
        <w:bottom w:val="none" w:sz="0" w:space="0" w:color="auto"/>
        <w:right w:val="none" w:sz="0" w:space="0" w:color="auto"/>
      </w:divBdr>
    </w:div>
    <w:div w:id="193825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lbanesi.com.ar" TargetMode="External"/><Relationship Id="rId21" Type="http://schemas.openxmlformats.org/officeDocument/2006/relationships/image" Target="media/image10.png"/><Relationship Id="rId34" Type="http://schemas.openxmlformats.org/officeDocument/2006/relationships/image" Target="media/image16.emf"/><Relationship Id="rId42" Type="http://schemas.openxmlformats.org/officeDocument/2006/relationships/image" Target="media/image24.emf"/><Relationship Id="rId47" Type="http://schemas.openxmlformats.org/officeDocument/2006/relationships/image" Target="media/image29.emf"/><Relationship Id="rId50" Type="http://schemas.openxmlformats.org/officeDocument/2006/relationships/image" Target="media/image32.emf"/><Relationship Id="rId55" Type="http://schemas.openxmlformats.org/officeDocument/2006/relationships/image" Target="media/image37.emf"/><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1.png"/><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image" Target="media/image14.emf"/><Relationship Id="rId37" Type="http://schemas.openxmlformats.org/officeDocument/2006/relationships/image" Target="media/image19.png"/><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5.emf"/><Relationship Id="rId58" Type="http://schemas.openxmlformats.org/officeDocument/2006/relationships/image" Target="media/image40.emf"/><Relationship Id="rId5" Type="http://schemas.openxmlformats.org/officeDocument/2006/relationships/webSettings" Target="webSettings.xml"/><Relationship Id="rId61" Type="http://schemas.openxmlformats.org/officeDocument/2006/relationships/image" Target="media/image43.emf"/><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oleObject" Target="embeddings/oleObject5.bin"/><Relationship Id="rId27" Type="http://schemas.openxmlformats.org/officeDocument/2006/relationships/hyperlink" Target="http://www.albanesi.com.ar" TargetMode="External"/><Relationship Id="rId30" Type="http://schemas.openxmlformats.org/officeDocument/2006/relationships/image" Target="media/image12.png"/><Relationship Id="rId35" Type="http://schemas.openxmlformats.org/officeDocument/2006/relationships/image" Target="media/image17.emf"/><Relationship Id="rId43" Type="http://schemas.openxmlformats.org/officeDocument/2006/relationships/image" Target="media/image25.emf"/><Relationship Id="rId48" Type="http://schemas.openxmlformats.org/officeDocument/2006/relationships/image" Target="media/image30.emf"/><Relationship Id="rId56" Type="http://schemas.openxmlformats.org/officeDocument/2006/relationships/image" Target="media/image38.emf"/><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33.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oleObject" Target="embeddings/oleObject3.bin"/><Relationship Id="rId25" Type="http://schemas.openxmlformats.org/officeDocument/2006/relationships/hyperlink" Target="web://www.albanesi.com.ar/programa-integridad.php" TargetMode="External"/><Relationship Id="rId33" Type="http://schemas.openxmlformats.org/officeDocument/2006/relationships/image" Target="media/image15.emf"/><Relationship Id="rId38" Type="http://schemas.openxmlformats.org/officeDocument/2006/relationships/image" Target="media/image20.png"/><Relationship Id="rId46" Type="http://schemas.openxmlformats.org/officeDocument/2006/relationships/image" Target="media/image28.emf"/><Relationship Id="rId59" Type="http://schemas.openxmlformats.org/officeDocument/2006/relationships/image" Target="media/image41.emf"/><Relationship Id="rId20" Type="http://schemas.openxmlformats.org/officeDocument/2006/relationships/oleObject" Target="embeddings/oleObject4.bin"/><Relationship Id="rId41" Type="http://schemas.openxmlformats.org/officeDocument/2006/relationships/image" Target="media/image23.emf"/><Relationship Id="rId54" Type="http://schemas.openxmlformats.org/officeDocument/2006/relationships/image" Target="media/image36.emf"/><Relationship Id="rId62"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footer" Target="footer1.xml"/><Relationship Id="rId28" Type="http://schemas.openxmlformats.org/officeDocument/2006/relationships/hyperlink" Target="http://www.cnv.gob.ar" TargetMode="External"/><Relationship Id="rId36" Type="http://schemas.openxmlformats.org/officeDocument/2006/relationships/image" Target="media/image18.png"/><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3.jpeg"/><Relationship Id="rId31" Type="http://schemas.openxmlformats.org/officeDocument/2006/relationships/image" Target="media/image13.emf"/><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oleObject" Target="embeddings/oleObject1.bin"/><Relationship Id="rId18" Type="http://schemas.openxmlformats.org/officeDocument/2006/relationships/image" Target="media/image8.jpeg"/><Relationship Id="rId39"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FD994-4031-406D-B67D-C95D61FD3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154</Pages>
  <Words>95682</Words>
  <Characters>526251</Characters>
  <Application>Microsoft Office Word</Application>
  <DocSecurity>0</DocSecurity>
  <Lines>4385</Lines>
  <Paragraphs>1241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Ostropolsky</dc:creator>
  <cp:lastModifiedBy>Gabriel Feld</cp:lastModifiedBy>
  <cp:revision>2</cp:revision>
  <cp:lastPrinted>2019-07-25T20:13:00Z</cp:lastPrinted>
  <dcterms:created xsi:type="dcterms:W3CDTF">2019-07-25T20:18:00Z</dcterms:created>
  <dcterms:modified xsi:type="dcterms:W3CDTF">2019-07-25T20:18:00Z</dcterms:modified>
</cp:coreProperties>
</file>