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E177E" w14:textId="77777777" w:rsidR="00A73F0F" w:rsidRPr="00EE6F58" w:rsidRDefault="00A73F0F" w:rsidP="005709CB">
      <w:pPr>
        <w:spacing w:after="0" w:line="320" w:lineRule="exact"/>
        <w:jc w:val="right"/>
        <w:rPr>
          <w:rFonts w:ascii="Times New Roman" w:hAnsi="Times New Roman"/>
          <w:sz w:val="24"/>
          <w:szCs w:val="24"/>
        </w:rPr>
      </w:pPr>
    </w:p>
    <w:p w14:paraId="3997EA68" w14:textId="77777777" w:rsidR="00A73F0F" w:rsidRPr="00EE6F58" w:rsidRDefault="00A73F0F" w:rsidP="005709CB">
      <w:pPr>
        <w:spacing w:after="0" w:line="320" w:lineRule="exact"/>
        <w:jc w:val="both"/>
        <w:rPr>
          <w:rFonts w:ascii="Times New Roman" w:hAnsi="Times New Roman"/>
          <w:sz w:val="24"/>
          <w:szCs w:val="24"/>
        </w:rPr>
      </w:pPr>
      <w:r w:rsidRPr="00EE6F58">
        <w:rPr>
          <w:rFonts w:ascii="Times New Roman" w:hAnsi="Times New Roman"/>
          <w:sz w:val="24"/>
          <w:szCs w:val="24"/>
        </w:rPr>
        <w:t>Señores</w:t>
      </w:r>
    </w:p>
    <w:p w14:paraId="14086303" w14:textId="77777777" w:rsidR="00B45C1F" w:rsidRPr="00EE6F58" w:rsidRDefault="00B45C1F" w:rsidP="005709CB">
      <w:pPr>
        <w:spacing w:after="0" w:line="320" w:lineRule="exact"/>
        <w:contextualSpacing/>
        <w:jc w:val="both"/>
        <w:rPr>
          <w:rFonts w:ascii="Times New Roman" w:hAnsi="Times New Roman"/>
          <w:b/>
          <w:sz w:val="24"/>
          <w:szCs w:val="24"/>
        </w:rPr>
      </w:pPr>
      <w:r w:rsidRPr="00EE6F58">
        <w:rPr>
          <w:rFonts w:ascii="Times New Roman" w:hAnsi="Times New Roman"/>
          <w:b/>
          <w:sz w:val="24"/>
          <w:szCs w:val="24"/>
        </w:rPr>
        <w:t>COMISION NACIONAL DE VALORES</w:t>
      </w:r>
    </w:p>
    <w:p w14:paraId="20CB2BA8" w14:textId="77777777" w:rsidR="00B45C1F" w:rsidRPr="00EE6F58" w:rsidRDefault="00B45C1F" w:rsidP="005709CB">
      <w:pPr>
        <w:spacing w:after="0" w:line="320" w:lineRule="exact"/>
        <w:contextualSpacing/>
        <w:jc w:val="both"/>
        <w:rPr>
          <w:rFonts w:ascii="Times New Roman" w:hAnsi="Times New Roman"/>
          <w:b/>
          <w:sz w:val="24"/>
          <w:szCs w:val="24"/>
        </w:rPr>
      </w:pPr>
      <w:r w:rsidRPr="00EE6F58">
        <w:rPr>
          <w:rFonts w:ascii="Times New Roman" w:hAnsi="Times New Roman"/>
          <w:b/>
          <w:sz w:val="24"/>
          <w:szCs w:val="24"/>
        </w:rPr>
        <w:t>MERCADO ABIERTO ELECTRONICO</w:t>
      </w:r>
    </w:p>
    <w:p w14:paraId="2D567D09" w14:textId="77777777" w:rsidR="00B45C1F" w:rsidRPr="00EE6F58" w:rsidRDefault="00B45C1F" w:rsidP="005709CB">
      <w:pPr>
        <w:spacing w:after="0" w:line="320" w:lineRule="exact"/>
        <w:contextualSpacing/>
        <w:jc w:val="both"/>
        <w:rPr>
          <w:rFonts w:ascii="Times New Roman" w:hAnsi="Times New Roman"/>
          <w:b/>
          <w:sz w:val="24"/>
          <w:szCs w:val="24"/>
        </w:rPr>
      </w:pPr>
      <w:r w:rsidRPr="00EE6F58">
        <w:rPr>
          <w:rFonts w:ascii="Times New Roman" w:hAnsi="Times New Roman"/>
          <w:b/>
          <w:sz w:val="24"/>
          <w:szCs w:val="24"/>
        </w:rPr>
        <w:t xml:space="preserve">BOLSAS Y MERCADOS ARGENTINOS </w:t>
      </w:r>
    </w:p>
    <w:p w14:paraId="6A07942A" w14:textId="77777777" w:rsidR="00A73F0F" w:rsidRPr="00EE6F58" w:rsidRDefault="00A73F0F" w:rsidP="005709CB">
      <w:pPr>
        <w:spacing w:after="0" w:line="320" w:lineRule="exact"/>
        <w:contextualSpacing/>
        <w:jc w:val="both"/>
        <w:rPr>
          <w:rFonts w:ascii="Times New Roman" w:hAnsi="Times New Roman"/>
          <w:sz w:val="24"/>
          <w:szCs w:val="24"/>
          <w:u w:val="single"/>
        </w:rPr>
      </w:pPr>
      <w:r w:rsidRPr="00EE6F58">
        <w:rPr>
          <w:rFonts w:ascii="Times New Roman" w:hAnsi="Times New Roman"/>
          <w:sz w:val="24"/>
          <w:szCs w:val="24"/>
          <w:u w:val="single"/>
        </w:rPr>
        <w:t>Presente</w:t>
      </w:r>
    </w:p>
    <w:p w14:paraId="3FCBFD8D" w14:textId="77777777" w:rsidR="00A73F0F" w:rsidRPr="00EE6F58" w:rsidRDefault="00A73F0F" w:rsidP="005709CB">
      <w:pPr>
        <w:spacing w:after="0" w:line="320" w:lineRule="exact"/>
        <w:jc w:val="right"/>
        <w:rPr>
          <w:rFonts w:ascii="Times New Roman" w:hAnsi="Times New Roman"/>
          <w:sz w:val="24"/>
          <w:szCs w:val="24"/>
          <w:u w:val="single"/>
        </w:rPr>
      </w:pPr>
    </w:p>
    <w:p w14:paraId="0FCAF274" w14:textId="0BBB2B56" w:rsidR="00A73F0F" w:rsidRPr="00EE6F58" w:rsidRDefault="00A73F0F" w:rsidP="005709CB">
      <w:pPr>
        <w:spacing w:after="0" w:line="320" w:lineRule="exact"/>
        <w:jc w:val="right"/>
        <w:rPr>
          <w:rFonts w:ascii="Times New Roman" w:hAnsi="Times New Roman"/>
          <w:sz w:val="24"/>
          <w:szCs w:val="24"/>
        </w:rPr>
      </w:pPr>
      <w:r w:rsidRPr="00EE6F58">
        <w:rPr>
          <w:rFonts w:ascii="Times New Roman" w:hAnsi="Times New Roman"/>
          <w:sz w:val="24"/>
          <w:szCs w:val="24"/>
          <w:u w:val="single"/>
        </w:rPr>
        <w:t>Ref.</w:t>
      </w:r>
      <w:r w:rsidRPr="00EE6F58">
        <w:rPr>
          <w:rFonts w:ascii="Times New Roman" w:hAnsi="Times New Roman"/>
          <w:sz w:val="24"/>
          <w:szCs w:val="24"/>
        </w:rPr>
        <w:t xml:space="preserve">: </w:t>
      </w:r>
      <w:r w:rsidR="00565D05" w:rsidRPr="00EE6F58">
        <w:rPr>
          <w:rFonts w:ascii="Times New Roman" w:hAnsi="Times New Roman"/>
          <w:sz w:val="24"/>
          <w:szCs w:val="24"/>
        </w:rPr>
        <w:t>HR</w:t>
      </w:r>
      <w:r w:rsidR="00801363" w:rsidRPr="00EE6F58">
        <w:rPr>
          <w:rFonts w:ascii="Times New Roman" w:hAnsi="Times New Roman"/>
          <w:sz w:val="24"/>
          <w:szCs w:val="24"/>
        </w:rPr>
        <w:t xml:space="preserve"> </w:t>
      </w:r>
      <w:r w:rsidR="00565D05" w:rsidRPr="00EE6F58">
        <w:rPr>
          <w:rFonts w:ascii="Times New Roman" w:hAnsi="Times New Roman"/>
          <w:sz w:val="24"/>
          <w:szCs w:val="24"/>
        </w:rPr>
        <w:t xml:space="preserve">- </w:t>
      </w:r>
      <w:r w:rsidRPr="00EE6F58">
        <w:rPr>
          <w:rFonts w:ascii="Times New Roman" w:hAnsi="Times New Roman"/>
          <w:sz w:val="24"/>
          <w:szCs w:val="24"/>
        </w:rPr>
        <w:t>Convocatoria a Asamblea</w:t>
      </w:r>
      <w:r w:rsidR="006B4BAF" w:rsidRPr="00EE6F58">
        <w:rPr>
          <w:rFonts w:ascii="Times New Roman" w:hAnsi="Times New Roman"/>
          <w:sz w:val="24"/>
          <w:szCs w:val="24"/>
        </w:rPr>
        <w:t xml:space="preserve"> General </w:t>
      </w:r>
      <w:r w:rsidR="006D658D">
        <w:rPr>
          <w:rFonts w:ascii="Times New Roman" w:hAnsi="Times New Roman"/>
          <w:sz w:val="24"/>
          <w:szCs w:val="24"/>
        </w:rPr>
        <w:t>Extraordinaria de tenedores de Obligaciones Negociables</w:t>
      </w:r>
      <w:r w:rsidR="009D44A7">
        <w:rPr>
          <w:rFonts w:ascii="Times New Roman" w:hAnsi="Times New Roman"/>
          <w:sz w:val="24"/>
          <w:szCs w:val="24"/>
        </w:rPr>
        <w:t>.</w:t>
      </w:r>
    </w:p>
    <w:p w14:paraId="77C3F2A7" w14:textId="77777777" w:rsidR="00A73F0F" w:rsidRPr="00EE6F58" w:rsidRDefault="00A73F0F" w:rsidP="005709CB">
      <w:pPr>
        <w:spacing w:after="0" w:line="320" w:lineRule="exact"/>
        <w:jc w:val="right"/>
        <w:rPr>
          <w:rFonts w:ascii="Times New Roman" w:hAnsi="Times New Roman"/>
          <w:sz w:val="24"/>
          <w:szCs w:val="24"/>
        </w:rPr>
      </w:pPr>
    </w:p>
    <w:p w14:paraId="3340D872" w14:textId="77777777" w:rsidR="00C87491" w:rsidRPr="00EE6F58" w:rsidRDefault="00C87491" w:rsidP="005709CB">
      <w:pPr>
        <w:spacing w:after="0" w:line="320" w:lineRule="exact"/>
        <w:jc w:val="both"/>
        <w:rPr>
          <w:rFonts w:ascii="Times New Roman" w:hAnsi="Times New Roman"/>
          <w:sz w:val="24"/>
          <w:szCs w:val="24"/>
        </w:rPr>
      </w:pPr>
    </w:p>
    <w:p w14:paraId="59BC56EB" w14:textId="77777777" w:rsidR="00A73F0F" w:rsidRPr="00EE6F58" w:rsidRDefault="00A73F0F" w:rsidP="005709CB">
      <w:pPr>
        <w:spacing w:after="0" w:line="320" w:lineRule="exact"/>
        <w:jc w:val="both"/>
        <w:rPr>
          <w:rFonts w:ascii="Times New Roman" w:hAnsi="Times New Roman"/>
          <w:sz w:val="24"/>
          <w:szCs w:val="24"/>
        </w:rPr>
      </w:pPr>
      <w:r w:rsidRPr="00EE6F58">
        <w:rPr>
          <w:rFonts w:ascii="Times New Roman" w:hAnsi="Times New Roman"/>
          <w:sz w:val="24"/>
          <w:szCs w:val="24"/>
        </w:rPr>
        <w:t>De mi consideración:</w:t>
      </w:r>
    </w:p>
    <w:p w14:paraId="295F567B" w14:textId="77777777" w:rsidR="00C87491" w:rsidRPr="00EE6F58" w:rsidRDefault="00C87491" w:rsidP="005709CB">
      <w:pPr>
        <w:spacing w:after="0" w:line="320" w:lineRule="exact"/>
        <w:jc w:val="both"/>
        <w:rPr>
          <w:rFonts w:ascii="Times New Roman" w:hAnsi="Times New Roman"/>
          <w:sz w:val="24"/>
          <w:szCs w:val="24"/>
        </w:rPr>
      </w:pPr>
    </w:p>
    <w:p w14:paraId="49856FBF" w14:textId="5A6C7524" w:rsidR="00A73F0F" w:rsidRPr="00EE6F58" w:rsidRDefault="00A73F0F" w:rsidP="005709CB">
      <w:pPr>
        <w:spacing w:after="0" w:line="320" w:lineRule="exact"/>
        <w:jc w:val="both"/>
        <w:rPr>
          <w:rFonts w:ascii="Times New Roman" w:hAnsi="Times New Roman"/>
          <w:sz w:val="24"/>
          <w:szCs w:val="24"/>
        </w:rPr>
      </w:pPr>
      <w:r w:rsidRPr="00EE6F58">
        <w:rPr>
          <w:rFonts w:ascii="Times New Roman" w:hAnsi="Times New Roman"/>
          <w:sz w:val="24"/>
          <w:szCs w:val="24"/>
        </w:rPr>
        <w:tab/>
      </w:r>
      <w:r w:rsidRPr="00EE6F58">
        <w:rPr>
          <w:rFonts w:ascii="Times New Roman" w:hAnsi="Times New Roman"/>
          <w:sz w:val="24"/>
          <w:szCs w:val="24"/>
        </w:rPr>
        <w:tab/>
      </w:r>
      <w:r w:rsidRPr="00EE6F58">
        <w:rPr>
          <w:rFonts w:ascii="Times New Roman" w:hAnsi="Times New Roman"/>
          <w:sz w:val="24"/>
          <w:szCs w:val="24"/>
        </w:rPr>
        <w:tab/>
        <w:t>Tengo el agrado de dirigirme a Uds. en mi carácter de Responsable de Relaciones con el Mercado</w:t>
      </w:r>
      <w:r w:rsidR="009F0595" w:rsidRPr="00EE6F58">
        <w:rPr>
          <w:rFonts w:ascii="Times New Roman" w:hAnsi="Times New Roman"/>
          <w:sz w:val="24"/>
          <w:szCs w:val="24"/>
        </w:rPr>
        <w:t xml:space="preserve"> </w:t>
      </w:r>
      <w:r w:rsidRPr="00EE6F58">
        <w:rPr>
          <w:rFonts w:ascii="Times New Roman" w:hAnsi="Times New Roman"/>
          <w:sz w:val="24"/>
          <w:szCs w:val="24"/>
        </w:rPr>
        <w:t xml:space="preserve">de </w:t>
      </w:r>
      <w:r w:rsidR="00B32A2B" w:rsidRPr="00EE6F58">
        <w:rPr>
          <w:rFonts w:ascii="Times New Roman" w:hAnsi="Times New Roman"/>
          <w:b/>
          <w:bCs/>
          <w:sz w:val="24"/>
          <w:szCs w:val="24"/>
        </w:rPr>
        <w:t>Central Térmica Roca</w:t>
      </w:r>
      <w:r w:rsidRPr="00EE6F58">
        <w:rPr>
          <w:rFonts w:ascii="Times New Roman" w:hAnsi="Times New Roman"/>
          <w:b/>
          <w:sz w:val="24"/>
          <w:szCs w:val="24"/>
        </w:rPr>
        <w:t xml:space="preserve"> S.A.</w:t>
      </w:r>
      <w:r w:rsidRPr="00EE6F58">
        <w:rPr>
          <w:rFonts w:ascii="Times New Roman" w:hAnsi="Times New Roman"/>
          <w:sz w:val="24"/>
          <w:szCs w:val="24"/>
        </w:rPr>
        <w:t xml:space="preserve"> (la “</w:t>
      </w:r>
      <w:r w:rsidRPr="00EE6F58">
        <w:rPr>
          <w:rFonts w:ascii="Times New Roman" w:hAnsi="Times New Roman"/>
          <w:sz w:val="24"/>
          <w:szCs w:val="24"/>
          <w:u w:val="single"/>
        </w:rPr>
        <w:t>Sociedad</w:t>
      </w:r>
      <w:r w:rsidRPr="00EE6F58">
        <w:rPr>
          <w:rFonts w:ascii="Times New Roman" w:hAnsi="Times New Roman"/>
          <w:sz w:val="24"/>
          <w:szCs w:val="24"/>
        </w:rPr>
        <w:t>”) a efectos de informar que el día</w:t>
      </w:r>
      <w:r w:rsidR="00026092" w:rsidRPr="00EE6F58">
        <w:rPr>
          <w:rFonts w:ascii="Times New Roman" w:hAnsi="Times New Roman"/>
          <w:sz w:val="24"/>
          <w:szCs w:val="24"/>
        </w:rPr>
        <w:t xml:space="preserve"> </w:t>
      </w:r>
      <w:r w:rsidR="006D658D">
        <w:rPr>
          <w:rFonts w:ascii="Times New Roman" w:hAnsi="Times New Roman"/>
          <w:sz w:val="24"/>
          <w:szCs w:val="24"/>
        </w:rPr>
        <w:t>10</w:t>
      </w:r>
      <w:r w:rsidR="00026092" w:rsidRPr="00EE6F58">
        <w:rPr>
          <w:rFonts w:ascii="Times New Roman" w:hAnsi="Times New Roman"/>
          <w:sz w:val="24"/>
          <w:szCs w:val="24"/>
        </w:rPr>
        <w:t xml:space="preserve"> de </w:t>
      </w:r>
      <w:r w:rsidR="006D658D">
        <w:rPr>
          <w:rFonts w:ascii="Times New Roman" w:hAnsi="Times New Roman"/>
          <w:sz w:val="24"/>
          <w:szCs w:val="24"/>
        </w:rPr>
        <w:t>junio</w:t>
      </w:r>
      <w:r w:rsidR="00026092" w:rsidRPr="00EE6F58">
        <w:rPr>
          <w:rFonts w:ascii="Times New Roman" w:hAnsi="Times New Roman"/>
          <w:sz w:val="24"/>
          <w:szCs w:val="24"/>
        </w:rPr>
        <w:t xml:space="preserve"> de 20</w:t>
      </w:r>
      <w:r w:rsidR="00961647" w:rsidRPr="00EE6F58">
        <w:rPr>
          <w:rFonts w:ascii="Times New Roman" w:hAnsi="Times New Roman"/>
          <w:sz w:val="24"/>
          <w:szCs w:val="24"/>
        </w:rPr>
        <w:t>2</w:t>
      </w:r>
      <w:r w:rsidR="00EE6F58" w:rsidRPr="00EE6F58">
        <w:rPr>
          <w:rFonts w:ascii="Times New Roman" w:hAnsi="Times New Roman"/>
          <w:sz w:val="24"/>
          <w:szCs w:val="24"/>
        </w:rPr>
        <w:t>1</w:t>
      </w:r>
      <w:r w:rsidRPr="00EE6F58">
        <w:rPr>
          <w:rFonts w:ascii="Times New Roman" w:hAnsi="Times New Roman"/>
          <w:sz w:val="24"/>
          <w:szCs w:val="24"/>
        </w:rPr>
        <w:t xml:space="preserve"> se celebró una reunión de Directorio de la Sociedad, a la cual han comparecido los siguientes miembros titulares del Directorio: </w:t>
      </w:r>
      <w:r w:rsidR="00B32A2B" w:rsidRPr="00EE6F58">
        <w:rPr>
          <w:rFonts w:ascii="Times New Roman" w:hAnsi="Times New Roman"/>
          <w:sz w:val="24"/>
          <w:szCs w:val="24"/>
        </w:rPr>
        <w:t>Armando Losón (h), Guillermo Gonzalo Brun y Julián Pablo Sarti</w:t>
      </w:r>
      <w:r w:rsidRPr="00EE6F58">
        <w:rPr>
          <w:rFonts w:ascii="Times New Roman" w:hAnsi="Times New Roman"/>
          <w:sz w:val="24"/>
          <w:szCs w:val="24"/>
        </w:rPr>
        <w:t xml:space="preserve">, existiendo el quórum estatutario suficiente para sesionar. Asimismo, se encontraba presente el Sr. Marcelo Pablo Lerner en representación de la Comisión Fiscalizadora. En la referida reunión de Directorio se resolvió por unanimidad de los presentes convocar a </w:t>
      </w:r>
      <w:r w:rsidRPr="00EE6F58">
        <w:rPr>
          <w:rFonts w:ascii="Times New Roman" w:hAnsi="Times New Roman"/>
          <w:b/>
          <w:sz w:val="24"/>
          <w:szCs w:val="24"/>
        </w:rPr>
        <w:t>Asamblea General</w:t>
      </w:r>
      <w:r w:rsidR="00026092" w:rsidRPr="00EE6F58">
        <w:rPr>
          <w:rFonts w:ascii="Times New Roman" w:hAnsi="Times New Roman"/>
          <w:b/>
          <w:sz w:val="24"/>
          <w:szCs w:val="24"/>
        </w:rPr>
        <w:t xml:space="preserve"> </w:t>
      </w:r>
      <w:r w:rsidR="006D658D">
        <w:rPr>
          <w:rFonts w:ascii="Times New Roman" w:hAnsi="Times New Roman"/>
          <w:b/>
          <w:sz w:val="24"/>
          <w:szCs w:val="24"/>
        </w:rPr>
        <w:t>Extrao</w:t>
      </w:r>
      <w:r w:rsidRPr="00EE6F58">
        <w:rPr>
          <w:rFonts w:ascii="Times New Roman" w:hAnsi="Times New Roman"/>
          <w:b/>
          <w:sz w:val="24"/>
          <w:szCs w:val="24"/>
        </w:rPr>
        <w:t>rdinaria</w:t>
      </w:r>
      <w:r w:rsidR="006D658D">
        <w:rPr>
          <w:rFonts w:ascii="Times New Roman" w:hAnsi="Times New Roman"/>
          <w:b/>
          <w:sz w:val="24"/>
          <w:szCs w:val="24"/>
        </w:rPr>
        <w:t xml:space="preserve"> de tenedores de Obligaciones Negociables</w:t>
      </w:r>
      <w:r w:rsidRPr="00EE6F58">
        <w:rPr>
          <w:rFonts w:ascii="Times New Roman" w:hAnsi="Times New Roman"/>
          <w:b/>
          <w:sz w:val="24"/>
          <w:szCs w:val="24"/>
        </w:rPr>
        <w:t xml:space="preserve"> para el día </w:t>
      </w:r>
      <w:r w:rsidR="006D658D">
        <w:rPr>
          <w:rFonts w:ascii="Times New Roman" w:hAnsi="Times New Roman"/>
          <w:b/>
          <w:sz w:val="24"/>
          <w:szCs w:val="24"/>
        </w:rPr>
        <w:t>30</w:t>
      </w:r>
      <w:r w:rsidRPr="00EE6F58">
        <w:rPr>
          <w:rFonts w:ascii="Times New Roman" w:hAnsi="Times New Roman"/>
          <w:b/>
          <w:bCs/>
          <w:sz w:val="24"/>
          <w:szCs w:val="24"/>
        </w:rPr>
        <w:t xml:space="preserve"> de </w:t>
      </w:r>
      <w:r w:rsidR="00EE6F58" w:rsidRPr="00EE6F58">
        <w:rPr>
          <w:rFonts w:ascii="Times New Roman" w:hAnsi="Times New Roman"/>
          <w:b/>
          <w:bCs/>
          <w:sz w:val="24"/>
          <w:szCs w:val="24"/>
        </w:rPr>
        <w:t>junio</w:t>
      </w:r>
      <w:r w:rsidR="005B3652" w:rsidRPr="00EE6F58">
        <w:rPr>
          <w:rFonts w:ascii="Times New Roman" w:hAnsi="Times New Roman"/>
          <w:b/>
          <w:bCs/>
          <w:sz w:val="24"/>
          <w:szCs w:val="24"/>
        </w:rPr>
        <w:t xml:space="preserve"> </w:t>
      </w:r>
      <w:r w:rsidRPr="00EE6F58">
        <w:rPr>
          <w:rFonts w:ascii="Times New Roman" w:hAnsi="Times New Roman"/>
          <w:b/>
          <w:bCs/>
          <w:sz w:val="24"/>
          <w:szCs w:val="24"/>
        </w:rPr>
        <w:t>de 20</w:t>
      </w:r>
      <w:r w:rsidR="00961647" w:rsidRPr="00EE6F58">
        <w:rPr>
          <w:rFonts w:ascii="Times New Roman" w:hAnsi="Times New Roman"/>
          <w:b/>
          <w:bCs/>
          <w:sz w:val="24"/>
          <w:szCs w:val="24"/>
        </w:rPr>
        <w:t>2</w:t>
      </w:r>
      <w:r w:rsidR="00FE068B" w:rsidRPr="00EE6F58">
        <w:rPr>
          <w:rFonts w:ascii="Times New Roman" w:hAnsi="Times New Roman"/>
          <w:b/>
          <w:bCs/>
          <w:sz w:val="24"/>
          <w:szCs w:val="24"/>
        </w:rPr>
        <w:t>1</w:t>
      </w:r>
      <w:r w:rsidRPr="00EE6F58">
        <w:rPr>
          <w:rFonts w:ascii="Times New Roman" w:hAnsi="Times New Roman"/>
          <w:b/>
          <w:bCs/>
          <w:sz w:val="24"/>
          <w:szCs w:val="24"/>
        </w:rPr>
        <w:t xml:space="preserve"> a las </w:t>
      </w:r>
      <w:r w:rsidR="00AE52AF" w:rsidRPr="00EE6F58">
        <w:rPr>
          <w:rFonts w:ascii="Times New Roman" w:hAnsi="Times New Roman"/>
          <w:b/>
          <w:bCs/>
          <w:sz w:val="24"/>
          <w:szCs w:val="24"/>
        </w:rPr>
        <w:t>1</w:t>
      </w:r>
      <w:r w:rsidR="006D658D">
        <w:rPr>
          <w:rFonts w:ascii="Times New Roman" w:hAnsi="Times New Roman"/>
          <w:b/>
          <w:bCs/>
          <w:sz w:val="24"/>
          <w:szCs w:val="24"/>
        </w:rPr>
        <w:t>1</w:t>
      </w:r>
      <w:r w:rsidR="00EE6F58" w:rsidRPr="00EE6F58">
        <w:rPr>
          <w:rFonts w:ascii="Times New Roman" w:hAnsi="Times New Roman"/>
          <w:b/>
          <w:bCs/>
          <w:sz w:val="24"/>
          <w:szCs w:val="24"/>
        </w:rPr>
        <w:t>:</w:t>
      </w:r>
      <w:r w:rsidR="00B32A2B" w:rsidRPr="00EE6F58">
        <w:rPr>
          <w:rFonts w:ascii="Times New Roman" w:hAnsi="Times New Roman"/>
          <w:b/>
          <w:bCs/>
          <w:sz w:val="24"/>
          <w:szCs w:val="24"/>
        </w:rPr>
        <w:t>3</w:t>
      </w:r>
      <w:r w:rsidR="00B45C1F" w:rsidRPr="00EE6F58">
        <w:rPr>
          <w:rFonts w:ascii="Times New Roman" w:hAnsi="Times New Roman"/>
          <w:b/>
          <w:bCs/>
          <w:sz w:val="24"/>
          <w:szCs w:val="24"/>
        </w:rPr>
        <w:t>0</w:t>
      </w:r>
      <w:r w:rsidRPr="00EE6F58">
        <w:rPr>
          <w:rFonts w:ascii="Times New Roman" w:hAnsi="Times New Roman"/>
          <w:b/>
          <w:bCs/>
          <w:sz w:val="24"/>
          <w:szCs w:val="24"/>
        </w:rPr>
        <w:t xml:space="preserve"> horas</w:t>
      </w:r>
      <w:r w:rsidRPr="00EE6F58">
        <w:rPr>
          <w:rFonts w:ascii="Times New Roman" w:hAnsi="Times New Roman"/>
          <w:sz w:val="24"/>
          <w:szCs w:val="24"/>
        </w:rPr>
        <w:t xml:space="preserve"> a celebrarse en la sede social sit</w:t>
      </w:r>
      <w:r w:rsidR="00026092" w:rsidRPr="00EE6F58">
        <w:rPr>
          <w:rFonts w:ascii="Times New Roman" w:hAnsi="Times New Roman"/>
          <w:sz w:val="24"/>
          <w:szCs w:val="24"/>
        </w:rPr>
        <w:t>a</w:t>
      </w:r>
      <w:r w:rsidRPr="00EE6F58">
        <w:rPr>
          <w:rFonts w:ascii="Times New Roman" w:hAnsi="Times New Roman"/>
          <w:sz w:val="24"/>
          <w:szCs w:val="24"/>
        </w:rPr>
        <w:t xml:space="preserve"> en Av. Leandro N. Alem 855, piso 14 de esta Ciudad</w:t>
      </w:r>
      <w:r w:rsidR="006D658D">
        <w:rPr>
          <w:rFonts w:ascii="Times New Roman" w:hAnsi="Times New Roman"/>
          <w:sz w:val="24"/>
          <w:szCs w:val="24"/>
        </w:rPr>
        <w:t xml:space="preserve">. </w:t>
      </w:r>
      <w:bookmarkStart w:id="0" w:name="_Hlk74325667"/>
      <w:r w:rsidR="006D658D" w:rsidRPr="006D658D">
        <w:rPr>
          <w:rFonts w:ascii="Times New Roman" w:hAnsi="Times New Roman"/>
          <w:sz w:val="24"/>
          <w:szCs w:val="24"/>
        </w:rPr>
        <w:t xml:space="preserve">En caso que las medidas de restricción de la circulación dictadas por el Gobierno Nacional como consecuencia del COVID-19 se encuentren en vigencia a la fecha en que sería celebrada la asamblea y, por ende, no sea posible celebrarla en forma presencial, ésta se celebrará de forma remota mediante el sistema Microsoft </w:t>
      </w:r>
      <w:proofErr w:type="spellStart"/>
      <w:r w:rsidR="006D658D" w:rsidRPr="006D658D">
        <w:rPr>
          <w:rFonts w:ascii="Times New Roman" w:hAnsi="Times New Roman"/>
          <w:sz w:val="24"/>
          <w:szCs w:val="24"/>
        </w:rPr>
        <w:t>Teams</w:t>
      </w:r>
      <w:proofErr w:type="spellEnd"/>
      <w:r w:rsidR="006D658D" w:rsidRPr="006D658D">
        <w:rPr>
          <w:rFonts w:ascii="Times New Roman" w:hAnsi="Times New Roman"/>
          <w:sz w:val="24"/>
          <w:szCs w:val="24"/>
        </w:rPr>
        <w:t>, que permite: (i) la libre accesibilidad a la asamblea de todos aquellos tenedores o representantes de los tenedores que se hayan registrado a la misma con voz y voto, así como de los directores y síndicos que participen; (</w:t>
      </w:r>
      <w:proofErr w:type="spellStart"/>
      <w:r w:rsidR="006D658D" w:rsidRPr="006D658D">
        <w:rPr>
          <w:rFonts w:ascii="Times New Roman" w:hAnsi="Times New Roman"/>
          <w:sz w:val="24"/>
          <w:szCs w:val="24"/>
        </w:rPr>
        <w:t>ii</w:t>
      </w:r>
      <w:proofErr w:type="spellEnd"/>
      <w:r w:rsidR="006D658D" w:rsidRPr="006D658D">
        <w:rPr>
          <w:rFonts w:ascii="Times New Roman" w:hAnsi="Times New Roman"/>
          <w:sz w:val="24"/>
          <w:szCs w:val="24"/>
        </w:rPr>
        <w:t>) la transmisión simultánea de sonido, imágenes y palabras en el transcurso de toda la reunión; y (</w:t>
      </w:r>
      <w:proofErr w:type="spellStart"/>
      <w:r w:rsidR="006D658D" w:rsidRPr="006D658D">
        <w:rPr>
          <w:rFonts w:ascii="Times New Roman" w:hAnsi="Times New Roman"/>
          <w:sz w:val="24"/>
          <w:szCs w:val="24"/>
        </w:rPr>
        <w:t>iii</w:t>
      </w:r>
      <w:proofErr w:type="spellEnd"/>
      <w:r w:rsidR="006D658D" w:rsidRPr="006D658D">
        <w:rPr>
          <w:rFonts w:ascii="Times New Roman" w:hAnsi="Times New Roman"/>
          <w:sz w:val="24"/>
          <w:szCs w:val="24"/>
        </w:rPr>
        <w:t xml:space="preserve">) la grabación de la asamblea en soporte digital; todo ello conforme lo previsto en la normativa aplicable para las reuniones celebradas a distancia. </w:t>
      </w:r>
      <w:r w:rsidR="006D658D">
        <w:rPr>
          <w:rFonts w:ascii="Times New Roman" w:hAnsi="Times New Roman"/>
          <w:sz w:val="24"/>
          <w:szCs w:val="24"/>
        </w:rPr>
        <w:t>En la asamblea se dará tratamiento a</w:t>
      </w:r>
      <w:r w:rsidRPr="00EE6F58">
        <w:rPr>
          <w:rFonts w:ascii="Times New Roman" w:hAnsi="Times New Roman"/>
          <w:sz w:val="24"/>
          <w:szCs w:val="24"/>
        </w:rPr>
        <w:t>l siguiente Orden del Día:</w:t>
      </w:r>
    </w:p>
    <w:bookmarkEnd w:id="0"/>
    <w:p w14:paraId="1F1CBBAB" w14:textId="77777777" w:rsidR="00335C74" w:rsidRPr="00EE6F58" w:rsidRDefault="00335C74" w:rsidP="005709CB">
      <w:pPr>
        <w:spacing w:after="0" w:line="320" w:lineRule="exact"/>
        <w:jc w:val="both"/>
        <w:rPr>
          <w:rFonts w:ascii="Times New Roman" w:hAnsi="Times New Roman"/>
          <w:sz w:val="24"/>
          <w:szCs w:val="24"/>
        </w:rPr>
      </w:pPr>
    </w:p>
    <w:p w14:paraId="57A1E375" w14:textId="43412D2E" w:rsidR="00EE6F58" w:rsidRPr="00EE6F58" w:rsidRDefault="00EE6F58" w:rsidP="00EE6F58">
      <w:pPr>
        <w:tabs>
          <w:tab w:val="left" w:pos="426"/>
        </w:tabs>
        <w:spacing w:after="0" w:line="360" w:lineRule="auto"/>
        <w:jc w:val="both"/>
        <w:rPr>
          <w:rFonts w:ascii="Times New Roman" w:eastAsia="Arial Unicode MS" w:hAnsi="Times New Roman" w:cs="Arial Unicode MS"/>
          <w:b/>
          <w:bCs/>
          <w:color w:val="000000"/>
          <w:sz w:val="24"/>
          <w:szCs w:val="24"/>
          <w:u w:color="000000"/>
          <w:lang w:val="es-ES_tradnl"/>
        </w:rPr>
      </w:pPr>
      <w:r w:rsidRPr="00EE6F58">
        <w:rPr>
          <w:rFonts w:ascii="Times New Roman" w:eastAsia="Arial Unicode MS" w:hAnsi="Times New Roman" w:cs="Arial Unicode MS"/>
          <w:b/>
          <w:bCs/>
          <w:color w:val="000000"/>
          <w:sz w:val="24"/>
          <w:szCs w:val="24"/>
          <w:u w:color="000000"/>
          <w:lang w:val="es-ES_tradnl"/>
        </w:rPr>
        <w:t xml:space="preserve">1) </w:t>
      </w:r>
      <w:r w:rsidR="006D658D" w:rsidRPr="006D658D">
        <w:rPr>
          <w:rFonts w:ascii="Times New Roman" w:eastAsia="Arial Unicode MS" w:hAnsi="Times New Roman" w:cs="Arial Unicode MS"/>
          <w:b/>
          <w:bCs/>
          <w:i/>
          <w:iCs/>
          <w:color w:val="000000"/>
          <w:sz w:val="24"/>
          <w:szCs w:val="24"/>
          <w:u w:color="000000"/>
        </w:rPr>
        <w:t xml:space="preserve">Consideración, de corresponder, de la celebración de la Asamblea de Tenedores a distancia en los términos de las Resolución General </w:t>
      </w:r>
      <w:proofErr w:type="spellStart"/>
      <w:r w:rsidR="006D658D" w:rsidRPr="006D658D">
        <w:rPr>
          <w:rFonts w:ascii="Times New Roman" w:eastAsia="Arial Unicode MS" w:hAnsi="Times New Roman" w:cs="Arial Unicode MS"/>
          <w:b/>
          <w:bCs/>
          <w:i/>
          <w:iCs/>
          <w:color w:val="000000"/>
          <w:sz w:val="24"/>
          <w:szCs w:val="24"/>
          <w:u w:color="000000"/>
        </w:rPr>
        <w:t>Nº</w:t>
      </w:r>
      <w:proofErr w:type="spellEnd"/>
      <w:r w:rsidR="006D658D" w:rsidRPr="006D658D">
        <w:rPr>
          <w:rFonts w:ascii="Times New Roman" w:eastAsia="Arial Unicode MS" w:hAnsi="Times New Roman" w:cs="Arial Unicode MS"/>
          <w:b/>
          <w:bCs/>
          <w:i/>
          <w:iCs/>
          <w:color w:val="000000"/>
          <w:sz w:val="24"/>
          <w:szCs w:val="24"/>
          <w:u w:color="000000"/>
        </w:rPr>
        <w:t xml:space="preserve"> 830/2020 de la CNV y sus modificatorias</w:t>
      </w:r>
      <w:r w:rsidRPr="00EE6F58">
        <w:rPr>
          <w:rFonts w:ascii="Times New Roman" w:eastAsia="Arial Unicode MS" w:hAnsi="Times New Roman" w:cs="Arial Unicode MS"/>
          <w:b/>
          <w:bCs/>
          <w:color w:val="000000"/>
          <w:sz w:val="24"/>
          <w:szCs w:val="24"/>
          <w:u w:color="000000"/>
          <w:lang w:val="es-ES_tradnl"/>
        </w:rPr>
        <w:t>;</w:t>
      </w:r>
    </w:p>
    <w:p w14:paraId="789FE794" w14:textId="0B82BE2E" w:rsidR="00EE6F58" w:rsidRPr="00EE6F58" w:rsidRDefault="00EE6F58" w:rsidP="00EE6F58">
      <w:pPr>
        <w:tabs>
          <w:tab w:val="left" w:pos="426"/>
        </w:tabs>
        <w:spacing w:after="0" w:line="360" w:lineRule="auto"/>
        <w:jc w:val="both"/>
        <w:rPr>
          <w:rFonts w:ascii="Times New Roman" w:eastAsia="Arial Unicode MS" w:hAnsi="Times New Roman" w:cs="Arial Unicode MS"/>
          <w:b/>
          <w:bCs/>
          <w:color w:val="000000"/>
          <w:sz w:val="24"/>
          <w:szCs w:val="24"/>
          <w:u w:color="000000"/>
          <w:lang w:val="es-ES_tradnl"/>
        </w:rPr>
      </w:pPr>
      <w:r w:rsidRPr="00EE6F58">
        <w:rPr>
          <w:rFonts w:ascii="Times New Roman" w:eastAsia="Arial Unicode MS" w:hAnsi="Times New Roman" w:cs="Arial Unicode MS"/>
          <w:b/>
          <w:bCs/>
          <w:color w:val="000000"/>
          <w:sz w:val="24"/>
          <w:szCs w:val="24"/>
          <w:u w:color="000000"/>
          <w:lang w:val="es-ES_tradnl"/>
        </w:rPr>
        <w:t xml:space="preserve">2) </w:t>
      </w:r>
      <w:r w:rsidR="006D658D" w:rsidRPr="006D658D">
        <w:rPr>
          <w:rFonts w:ascii="Times New Roman" w:eastAsia="Arial Unicode MS" w:hAnsi="Times New Roman" w:cs="Arial Unicode MS"/>
          <w:b/>
          <w:bCs/>
          <w:i/>
          <w:iCs/>
          <w:color w:val="000000"/>
          <w:sz w:val="24"/>
          <w:szCs w:val="24"/>
          <w:u w:color="000000"/>
        </w:rPr>
        <w:t>Designación de Tenedores para suscribir el acta</w:t>
      </w:r>
      <w:r>
        <w:rPr>
          <w:rFonts w:ascii="Times New Roman" w:eastAsia="Arial Unicode MS" w:hAnsi="Times New Roman" w:cs="Arial Unicode MS"/>
          <w:b/>
          <w:bCs/>
          <w:color w:val="000000"/>
          <w:sz w:val="24"/>
          <w:szCs w:val="24"/>
          <w:u w:color="000000"/>
          <w:lang w:val="es-ES_tradnl"/>
        </w:rPr>
        <w:t>;</w:t>
      </w:r>
      <w:r w:rsidRPr="00EE6F58">
        <w:rPr>
          <w:rFonts w:ascii="Times New Roman" w:eastAsia="Arial Unicode MS" w:hAnsi="Times New Roman" w:cs="Arial Unicode MS"/>
          <w:b/>
          <w:bCs/>
          <w:color w:val="000000"/>
          <w:sz w:val="24"/>
          <w:szCs w:val="24"/>
          <w:u w:color="000000"/>
          <w:lang w:val="es-ES_tradnl"/>
        </w:rPr>
        <w:t xml:space="preserve"> </w:t>
      </w:r>
    </w:p>
    <w:p w14:paraId="2983FE12" w14:textId="5DCFAEE5" w:rsidR="00EE6F58" w:rsidRPr="00EE6F58" w:rsidRDefault="00EE6F58" w:rsidP="00EE6F58">
      <w:pPr>
        <w:tabs>
          <w:tab w:val="left" w:pos="426"/>
        </w:tabs>
        <w:spacing w:after="0" w:line="360" w:lineRule="auto"/>
        <w:jc w:val="both"/>
        <w:rPr>
          <w:rFonts w:ascii="Times New Roman" w:eastAsia="Arial Unicode MS" w:hAnsi="Times New Roman" w:cs="Arial Unicode MS"/>
          <w:b/>
          <w:bCs/>
          <w:color w:val="000000"/>
          <w:sz w:val="24"/>
          <w:szCs w:val="24"/>
          <w:u w:color="000000"/>
          <w:lang w:val="es-ES_tradnl"/>
        </w:rPr>
      </w:pPr>
      <w:r w:rsidRPr="00EE6F58">
        <w:rPr>
          <w:rFonts w:ascii="Times New Roman" w:eastAsia="Arial Unicode MS" w:hAnsi="Times New Roman" w:cs="Arial Unicode MS"/>
          <w:b/>
          <w:bCs/>
          <w:color w:val="000000"/>
          <w:sz w:val="24"/>
          <w:szCs w:val="24"/>
          <w:u w:color="000000"/>
          <w:lang w:val="es-ES_tradnl"/>
        </w:rPr>
        <w:t xml:space="preserve">3) </w:t>
      </w:r>
      <w:r w:rsidR="006D658D" w:rsidRPr="006D658D">
        <w:rPr>
          <w:rFonts w:ascii="Times New Roman" w:eastAsia="Arial Unicode MS" w:hAnsi="Times New Roman" w:cs="Arial Unicode MS"/>
          <w:b/>
          <w:bCs/>
          <w:i/>
          <w:iCs/>
          <w:color w:val="000000"/>
          <w:sz w:val="24"/>
          <w:szCs w:val="24"/>
          <w:u w:color="000000"/>
        </w:rPr>
        <w:t xml:space="preserve">Designación del </w:t>
      </w:r>
      <w:proofErr w:type="gramStart"/>
      <w:r w:rsidR="006D658D" w:rsidRPr="006D658D">
        <w:rPr>
          <w:rFonts w:ascii="Times New Roman" w:eastAsia="Arial Unicode MS" w:hAnsi="Times New Roman" w:cs="Arial Unicode MS"/>
          <w:b/>
          <w:bCs/>
          <w:i/>
          <w:iCs/>
          <w:color w:val="000000"/>
          <w:sz w:val="24"/>
          <w:szCs w:val="24"/>
          <w:u w:color="000000"/>
        </w:rPr>
        <w:t>Presidente</w:t>
      </w:r>
      <w:proofErr w:type="gramEnd"/>
      <w:r w:rsidR="006D658D" w:rsidRPr="006D658D">
        <w:rPr>
          <w:rFonts w:ascii="Times New Roman" w:eastAsia="Arial Unicode MS" w:hAnsi="Times New Roman" w:cs="Arial Unicode MS"/>
          <w:b/>
          <w:bCs/>
          <w:i/>
          <w:iCs/>
          <w:color w:val="000000"/>
          <w:sz w:val="24"/>
          <w:szCs w:val="24"/>
          <w:u w:color="000000"/>
        </w:rPr>
        <w:t xml:space="preserve"> de la Asamblea</w:t>
      </w:r>
      <w:r w:rsidR="006D658D">
        <w:rPr>
          <w:rFonts w:ascii="Times New Roman" w:eastAsia="Arial Unicode MS" w:hAnsi="Times New Roman" w:cs="Arial Unicode MS"/>
          <w:b/>
          <w:bCs/>
          <w:i/>
          <w:iCs/>
          <w:color w:val="000000"/>
          <w:sz w:val="24"/>
          <w:szCs w:val="24"/>
          <w:u w:color="000000"/>
        </w:rPr>
        <w:t>;</w:t>
      </w:r>
    </w:p>
    <w:p w14:paraId="002FA54F" w14:textId="77777777" w:rsidR="006D658D" w:rsidRPr="006D658D" w:rsidRDefault="00EE6F58" w:rsidP="006D658D">
      <w:pPr>
        <w:tabs>
          <w:tab w:val="left" w:pos="426"/>
        </w:tabs>
        <w:spacing w:line="360" w:lineRule="auto"/>
        <w:rPr>
          <w:rFonts w:ascii="Times New Roman" w:eastAsia="Arial Unicode MS" w:hAnsi="Times New Roman" w:cs="Arial Unicode MS"/>
          <w:b/>
          <w:bCs/>
          <w:i/>
          <w:iCs/>
          <w:color w:val="000000"/>
          <w:sz w:val="24"/>
          <w:szCs w:val="24"/>
          <w:u w:color="000000"/>
        </w:rPr>
      </w:pPr>
      <w:r w:rsidRPr="00EE6F58">
        <w:rPr>
          <w:rFonts w:ascii="Times New Roman" w:eastAsia="Arial Unicode MS" w:hAnsi="Times New Roman" w:cs="Arial Unicode MS"/>
          <w:b/>
          <w:bCs/>
          <w:color w:val="000000"/>
          <w:sz w:val="24"/>
          <w:szCs w:val="24"/>
          <w:u w:color="000000"/>
          <w:lang w:val="es-ES_tradnl"/>
        </w:rPr>
        <w:lastRenderedPageBreak/>
        <w:t xml:space="preserve">4) </w:t>
      </w:r>
      <w:r w:rsidR="006D658D" w:rsidRPr="006D658D">
        <w:rPr>
          <w:rFonts w:ascii="Times New Roman" w:eastAsia="Arial Unicode MS" w:hAnsi="Times New Roman" w:cs="Arial Unicode MS"/>
          <w:b/>
          <w:bCs/>
          <w:i/>
          <w:iCs/>
          <w:color w:val="000000"/>
          <w:sz w:val="24"/>
          <w:szCs w:val="24"/>
          <w:u w:color="000000"/>
          <w:lang w:val="es-ES"/>
        </w:rPr>
        <w:t>Consideración de ciertas modificaciones a los términos y condiciones del contrato de emisión de las Obligaciones Negociables con vencimiento en 2023 (el “</w:t>
      </w:r>
      <w:r w:rsidR="006D658D" w:rsidRPr="006D658D">
        <w:rPr>
          <w:rFonts w:ascii="Times New Roman" w:eastAsia="Arial Unicode MS" w:hAnsi="Times New Roman" w:cs="Arial Unicode MS"/>
          <w:b/>
          <w:bCs/>
          <w:i/>
          <w:iCs/>
          <w:color w:val="000000"/>
          <w:sz w:val="24"/>
          <w:szCs w:val="24"/>
          <w:u w:val="single" w:color="000000"/>
          <w:lang w:val="es-ES"/>
        </w:rPr>
        <w:t>Contrato de Fideicomiso</w:t>
      </w:r>
      <w:r w:rsidR="006D658D" w:rsidRPr="006D658D">
        <w:rPr>
          <w:rFonts w:ascii="Times New Roman" w:eastAsia="Arial Unicode MS" w:hAnsi="Times New Roman" w:cs="Arial Unicode MS"/>
          <w:b/>
          <w:bCs/>
          <w:i/>
          <w:iCs/>
          <w:color w:val="000000"/>
          <w:sz w:val="24"/>
          <w:szCs w:val="24"/>
          <w:u w:color="000000"/>
          <w:lang w:val="es-ES"/>
        </w:rPr>
        <w:t>”); y</w:t>
      </w:r>
    </w:p>
    <w:p w14:paraId="69C31F59" w14:textId="2D935C2D" w:rsidR="00EE6F58" w:rsidRPr="00EE6F58" w:rsidRDefault="00EE6F58" w:rsidP="006D658D">
      <w:pPr>
        <w:tabs>
          <w:tab w:val="left" w:pos="426"/>
        </w:tabs>
        <w:spacing w:after="0" w:line="360" w:lineRule="auto"/>
        <w:jc w:val="both"/>
        <w:rPr>
          <w:rFonts w:ascii="Times New Roman" w:eastAsia="Arial Unicode MS" w:hAnsi="Times New Roman" w:cs="Arial Unicode MS"/>
          <w:b/>
          <w:color w:val="000000"/>
          <w:sz w:val="24"/>
          <w:szCs w:val="24"/>
          <w:u w:color="000000"/>
        </w:rPr>
      </w:pPr>
      <w:r w:rsidRPr="00EE6F58">
        <w:rPr>
          <w:rFonts w:ascii="Times New Roman" w:eastAsia="Arial Unicode MS" w:hAnsi="Times New Roman" w:cs="Arial Unicode MS"/>
          <w:b/>
          <w:bCs/>
          <w:color w:val="000000"/>
          <w:sz w:val="24"/>
          <w:szCs w:val="24"/>
          <w:u w:color="000000"/>
          <w:lang w:val="es-ES_tradnl"/>
        </w:rPr>
        <w:t xml:space="preserve">5) </w:t>
      </w:r>
      <w:r w:rsidR="006D658D" w:rsidRPr="006D658D">
        <w:rPr>
          <w:rFonts w:ascii="Times New Roman" w:eastAsia="Arial Unicode MS" w:hAnsi="Times New Roman" w:cs="Arial Unicode MS"/>
          <w:b/>
          <w:bCs/>
          <w:i/>
          <w:iCs/>
          <w:color w:val="000000"/>
          <w:sz w:val="24"/>
          <w:szCs w:val="24"/>
          <w:u w:color="000000"/>
          <w:lang w:val="es-ES"/>
        </w:rPr>
        <w:t>Otorgamiento de autorizaciones para celebrar una enmienda al Contrato de Fideicomiso que refleje las modificaciones que se aprueben en virtud del punto (4) y cualquier otro documento que evidencie el consentimiento de los tenedores a las modificaciones anteriores, y a realizar cualquier otro acto adicional que resulte necesario o conveniente para la implementación de las modificaciones, incluyendo cualquier presentación adicional</w:t>
      </w:r>
      <w:r w:rsidRPr="00EE6F58">
        <w:rPr>
          <w:rFonts w:ascii="Times New Roman" w:eastAsia="Arial Unicode MS" w:hAnsi="Times New Roman" w:cs="Arial Unicode MS"/>
          <w:b/>
          <w:color w:val="000000"/>
          <w:sz w:val="24"/>
          <w:szCs w:val="24"/>
          <w:u w:color="000000"/>
        </w:rPr>
        <w:t xml:space="preserve">. </w:t>
      </w:r>
    </w:p>
    <w:p w14:paraId="687ACD13" w14:textId="77777777" w:rsidR="00B32A2B" w:rsidRPr="00EE6F58" w:rsidRDefault="00B32A2B" w:rsidP="00B32A2B">
      <w:pPr>
        <w:widowControl w:val="0"/>
        <w:spacing w:after="0" w:line="320" w:lineRule="exact"/>
        <w:jc w:val="both"/>
        <w:rPr>
          <w:rFonts w:ascii="Times New Roman" w:hAnsi="Times New Roman"/>
          <w:sz w:val="24"/>
          <w:szCs w:val="24"/>
        </w:rPr>
      </w:pPr>
    </w:p>
    <w:p w14:paraId="66185151" w14:textId="77777777" w:rsidR="00A73F0F" w:rsidRPr="00EE6F58" w:rsidRDefault="00A73F0F" w:rsidP="005709CB">
      <w:pPr>
        <w:widowControl w:val="0"/>
        <w:spacing w:after="0" w:line="320" w:lineRule="exact"/>
        <w:jc w:val="both"/>
        <w:rPr>
          <w:rFonts w:ascii="Times New Roman" w:hAnsi="Times New Roman"/>
          <w:sz w:val="24"/>
          <w:szCs w:val="24"/>
        </w:rPr>
      </w:pPr>
      <w:r w:rsidRPr="00EE6F58">
        <w:rPr>
          <w:rFonts w:ascii="Times New Roman" w:hAnsi="Times New Roman"/>
          <w:sz w:val="24"/>
          <w:szCs w:val="24"/>
        </w:rPr>
        <w:tab/>
      </w:r>
      <w:r w:rsidRPr="00EE6F58">
        <w:rPr>
          <w:rFonts w:ascii="Times New Roman" w:hAnsi="Times New Roman"/>
          <w:sz w:val="24"/>
          <w:szCs w:val="24"/>
        </w:rPr>
        <w:tab/>
      </w:r>
      <w:r w:rsidRPr="00EE6F58">
        <w:rPr>
          <w:rFonts w:ascii="Times New Roman" w:hAnsi="Times New Roman"/>
          <w:sz w:val="24"/>
          <w:szCs w:val="24"/>
        </w:rPr>
        <w:tab/>
      </w:r>
      <w:r w:rsidR="00335C74" w:rsidRPr="00EE6F58">
        <w:rPr>
          <w:rFonts w:ascii="Times New Roman" w:hAnsi="Times New Roman"/>
          <w:sz w:val="24"/>
          <w:szCs w:val="24"/>
        </w:rPr>
        <w:tab/>
      </w:r>
      <w:r w:rsidRPr="00EE6F58">
        <w:rPr>
          <w:rFonts w:ascii="Times New Roman" w:hAnsi="Times New Roman"/>
          <w:sz w:val="24"/>
          <w:szCs w:val="24"/>
        </w:rPr>
        <w:t>Sin otro particular, saludo a Ustedes atentamente.</w:t>
      </w:r>
    </w:p>
    <w:p w14:paraId="35751AAD" w14:textId="77777777" w:rsidR="00A73F0F" w:rsidRPr="00EE6F58" w:rsidRDefault="00A73F0F" w:rsidP="005709CB">
      <w:pPr>
        <w:spacing w:after="0" w:line="320" w:lineRule="exact"/>
        <w:ind w:left="1418" w:firstLine="709"/>
        <w:jc w:val="both"/>
        <w:rPr>
          <w:rFonts w:ascii="Times New Roman" w:hAnsi="Times New Roman"/>
          <w:sz w:val="24"/>
          <w:szCs w:val="24"/>
        </w:rPr>
      </w:pPr>
    </w:p>
    <w:p w14:paraId="688D3610" w14:textId="32417ECD" w:rsidR="00026092" w:rsidRPr="00EE6F58" w:rsidRDefault="00026092" w:rsidP="005709CB">
      <w:pPr>
        <w:spacing w:after="0" w:line="320" w:lineRule="exact"/>
        <w:ind w:left="1418" w:firstLine="709"/>
        <w:jc w:val="both"/>
        <w:rPr>
          <w:rFonts w:ascii="Times New Roman" w:hAnsi="Times New Roman"/>
          <w:sz w:val="24"/>
          <w:szCs w:val="24"/>
        </w:rPr>
      </w:pPr>
    </w:p>
    <w:p w14:paraId="700FC9CE" w14:textId="77777777" w:rsidR="0082320C" w:rsidRPr="00EE6F58" w:rsidRDefault="0082320C" w:rsidP="005709CB">
      <w:pPr>
        <w:spacing w:after="0" w:line="320" w:lineRule="exact"/>
        <w:ind w:left="1418" w:firstLine="709"/>
        <w:jc w:val="both"/>
        <w:rPr>
          <w:rFonts w:ascii="Times New Roman" w:hAnsi="Times New Roman"/>
          <w:sz w:val="24"/>
          <w:szCs w:val="24"/>
        </w:rPr>
      </w:pPr>
    </w:p>
    <w:p w14:paraId="0C5FEE24" w14:textId="77777777" w:rsidR="00A73F0F" w:rsidRPr="00EE6F58" w:rsidRDefault="00A73F0F" w:rsidP="005709CB">
      <w:pPr>
        <w:spacing w:after="0" w:line="320" w:lineRule="exact"/>
        <w:contextualSpacing/>
        <w:jc w:val="center"/>
        <w:rPr>
          <w:rFonts w:ascii="Times New Roman" w:hAnsi="Times New Roman"/>
          <w:sz w:val="24"/>
          <w:szCs w:val="24"/>
        </w:rPr>
      </w:pPr>
      <w:r w:rsidRPr="00EE6F58">
        <w:rPr>
          <w:rFonts w:ascii="Times New Roman" w:hAnsi="Times New Roman"/>
          <w:sz w:val="24"/>
          <w:szCs w:val="24"/>
        </w:rPr>
        <w:t>____________________________</w:t>
      </w:r>
    </w:p>
    <w:p w14:paraId="573F84E3" w14:textId="7A66B9AD" w:rsidR="00A73F0F" w:rsidRPr="00EE6F58" w:rsidRDefault="00EA5983" w:rsidP="005709CB">
      <w:pPr>
        <w:spacing w:after="0" w:line="320" w:lineRule="exact"/>
        <w:jc w:val="center"/>
        <w:rPr>
          <w:rFonts w:ascii="Times New Roman" w:hAnsi="Times New Roman"/>
          <w:sz w:val="24"/>
          <w:szCs w:val="24"/>
        </w:rPr>
      </w:pPr>
      <w:r w:rsidRPr="00EE6F58">
        <w:rPr>
          <w:rFonts w:ascii="Times New Roman" w:hAnsi="Times New Roman"/>
          <w:sz w:val="24"/>
          <w:szCs w:val="24"/>
        </w:rPr>
        <w:t>Guillermo Gonzalo Brun</w:t>
      </w:r>
    </w:p>
    <w:p w14:paraId="3AD9DFF1" w14:textId="4C2D764C" w:rsidR="003F24E1" w:rsidRPr="00EE6F58" w:rsidRDefault="00A73F0F" w:rsidP="005709CB">
      <w:pPr>
        <w:spacing w:after="0" w:line="320" w:lineRule="exact"/>
        <w:jc w:val="center"/>
        <w:rPr>
          <w:rFonts w:ascii="Times New Roman" w:hAnsi="Times New Roman"/>
          <w:sz w:val="24"/>
          <w:szCs w:val="24"/>
        </w:rPr>
      </w:pPr>
      <w:r w:rsidRPr="00EE6F58">
        <w:rPr>
          <w:rFonts w:ascii="Times New Roman" w:hAnsi="Times New Roman"/>
          <w:sz w:val="24"/>
          <w:szCs w:val="24"/>
        </w:rPr>
        <w:t xml:space="preserve">Responsable de Relaciones </w:t>
      </w:r>
      <w:r w:rsidR="00335C74" w:rsidRPr="00EE6F58">
        <w:rPr>
          <w:rFonts w:ascii="Times New Roman" w:hAnsi="Times New Roman"/>
          <w:sz w:val="24"/>
          <w:szCs w:val="24"/>
        </w:rPr>
        <w:t>con el Mercado</w:t>
      </w:r>
    </w:p>
    <w:p w14:paraId="5370F478" w14:textId="77777777" w:rsidR="002E3AF8" w:rsidRPr="00A73F0F" w:rsidRDefault="002E3AF8" w:rsidP="00026092">
      <w:pPr>
        <w:spacing w:after="0" w:line="360" w:lineRule="auto"/>
        <w:jc w:val="center"/>
        <w:rPr>
          <w:rFonts w:ascii="Times New Roman" w:hAnsi="Times New Roman"/>
        </w:rPr>
      </w:pPr>
    </w:p>
    <w:sectPr w:rsidR="002E3AF8" w:rsidRPr="00A73F0F" w:rsidSect="005D1564">
      <w:headerReference w:type="default" r:id="rId7"/>
      <w:pgSz w:w="11907" w:h="16839" w:code="9"/>
      <w:pgMar w:top="1644"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32DFF" w14:textId="77777777" w:rsidR="00157D99" w:rsidRDefault="00157D99">
      <w:pPr>
        <w:spacing w:after="0" w:line="240" w:lineRule="auto"/>
      </w:pPr>
      <w:r>
        <w:separator/>
      </w:r>
    </w:p>
  </w:endnote>
  <w:endnote w:type="continuationSeparator" w:id="0">
    <w:p w14:paraId="344075D4" w14:textId="77777777" w:rsidR="00157D99" w:rsidRDefault="00157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ABD26" w14:textId="77777777" w:rsidR="00157D99" w:rsidRDefault="00157D99">
      <w:pPr>
        <w:spacing w:after="0" w:line="240" w:lineRule="auto"/>
      </w:pPr>
      <w:r>
        <w:separator/>
      </w:r>
    </w:p>
  </w:footnote>
  <w:footnote w:type="continuationSeparator" w:id="0">
    <w:p w14:paraId="285D166A" w14:textId="77777777" w:rsidR="00157D99" w:rsidRDefault="00157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220DB" w14:textId="6E3F9C99" w:rsidR="00D42434" w:rsidRDefault="00B32A2B" w:rsidP="002314A8">
    <w:pPr>
      <w:pStyle w:val="Encabezado"/>
      <w:jc w:val="center"/>
    </w:pPr>
    <w:r>
      <w:rPr>
        <w:noProof/>
        <w:lang w:eastAsia="es-AR"/>
      </w:rPr>
      <w:drawing>
        <wp:inline distT="0" distB="0" distL="0" distR="0" wp14:anchorId="40FBCADA" wp14:editId="16A1D774">
          <wp:extent cx="2689225" cy="729615"/>
          <wp:effectExtent l="0" t="0" r="0" b="0"/>
          <wp:docPr id="2"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401FD"/>
    <w:multiLevelType w:val="hybridMultilevel"/>
    <w:tmpl w:val="5322B768"/>
    <w:lvl w:ilvl="0" w:tplc="040A0011">
      <w:start w:val="1"/>
      <w:numFmt w:val="decimal"/>
      <w:lvlText w:val="%1)"/>
      <w:lvlJc w:val="left"/>
      <w:pPr>
        <w:ind w:left="644" w:hanging="360"/>
      </w:pPr>
    </w:lvl>
    <w:lvl w:ilvl="1" w:tplc="040A0019">
      <w:start w:val="1"/>
      <w:numFmt w:val="lowerLetter"/>
      <w:lvlText w:val="%2."/>
      <w:lvlJc w:val="left"/>
      <w:pPr>
        <w:ind w:left="1364" w:hanging="360"/>
      </w:pPr>
    </w:lvl>
    <w:lvl w:ilvl="2" w:tplc="040A001B">
      <w:start w:val="1"/>
      <w:numFmt w:val="lowerRoman"/>
      <w:lvlText w:val="%3."/>
      <w:lvlJc w:val="right"/>
      <w:pPr>
        <w:ind w:left="2084" w:hanging="180"/>
      </w:pPr>
    </w:lvl>
    <w:lvl w:ilvl="3" w:tplc="040A000F">
      <w:start w:val="1"/>
      <w:numFmt w:val="decimal"/>
      <w:lvlText w:val="%4."/>
      <w:lvlJc w:val="left"/>
      <w:pPr>
        <w:ind w:left="2804" w:hanging="360"/>
      </w:pPr>
    </w:lvl>
    <w:lvl w:ilvl="4" w:tplc="040A0019">
      <w:start w:val="1"/>
      <w:numFmt w:val="lowerLetter"/>
      <w:lvlText w:val="%5."/>
      <w:lvlJc w:val="left"/>
      <w:pPr>
        <w:ind w:left="3524" w:hanging="360"/>
      </w:pPr>
    </w:lvl>
    <w:lvl w:ilvl="5" w:tplc="040A001B">
      <w:start w:val="1"/>
      <w:numFmt w:val="lowerRoman"/>
      <w:lvlText w:val="%6."/>
      <w:lvlJc w:val="right"/>
      <w:pPr>
        <w:ind w:left="4244" w:hanging="180"/>
      </w:pPr>
    </w:lvl>
    <w:lvl w:ilvl="6" w:tplc="040A000F">
      <w:start w:val="1"/>
      <w:numFmt w:val="decimal"/>
      <w:lvlText w:val="%7."/>
      <w:lvlJc w:val="left"/>
      <w:pPr>
        <w:ind w:left="4964" w:hanging="360"/>
      </w:pPr>
    </w:lvl>
    <w:lvl w:ilvl="7" w:tplc="040A0019">
      <w:start w:val="1"/>
      <w:numFmt w:val="lowerLetter"/>
      <w:lvlText w:val="%8."/>
      <w:lvlJc w:val="left"/>
      <w:pPr>
        <w:ind w:left="5684" w:hanging="360"/>
      </w:pPr>
    </w:lvl>
    <w:lvl w:ilvl="8" w:tplc="040A001B">
      <w:start w:val="1"/>
      <w:numFmt w:val="lowerRoman"/>
      <w:lvlText w:val="%9."/>
      <w:lvlJc w:val="right"/>
      <w:pPr>
        <w:ind w:left="6404" w:hanging="180"/>
      </w:pPr>
    </w:lvl>
  </w:abstractNum>
  <w:abstractNum w:abstractNumId="1" w15:restartNumberingAfterBreak="0">
    <w:nsid w:val="686251C6"/>
    <w:multiLevelType w:val="hybridMultilevel"/>
    <w:tmpl w:val="8D649E6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0F"/>
    <w:rsid w:val="00020166"/>
    <w:rsid w:val="00026092"/>
    <w:rsid w:val="000703F8"/>
    <w:rsid w:val="001369C4"/>
    <w:rsid w:val="00156C8B"/>
    <w:rsid w:val="00157D99"/>
    <w:rsid w:val="00161324"/>
    <w:rsid w:val="00161E89"/>
    <w:rsid w:val="00174634"/>
    <w:rsid w:val="001B4716"/>
    <w:rsid w:val="001D0983"/>
    <w:rsid w:val="001E61C6"/>
    <w:rsid w:val="0020786B"/>
    <w:rsid w:val="002314A8"/>
    <w:rsid w:val="002E3AF8"/>
    <w:rsid w:val="00316B9D"/>
    <w:rsid w:val="00335C74"/>
    <w:rsid w:val="003804CF"/>
    <w:rsid w:val="003A0763"/>
    <w:rsid w:val="003F24E1"/>
    <w:rsid w:val="00411DB5"/>
    <w:rsid w:val="00445B4F"/>
    <w:rsid w:val="004467BE"/>
    <w:rsid w:val="00484122"/>
    <w:rsid w:val="00496E52"/>
    <w:rsid w:val="004A0ADC"/>
    <w:rsid w:val="00523204"/>
    <w:rsid w:val="00565D05"/>
    <w:rsid w:val="005709CB"/>
    <w:rsid w:val="005B3652"/>
    <w:rsid w:val="005D1564"/>
    <w:rsid w:val="005E390B"/>
    <w:rsid w:val="0062315B"/>
    <w:rsid w:val="00651E30"/>
    <w:rsid w:val="00681DB8"/>
    <w:rsid w:val="00687D38"/>
    <w:rsid w:val="00690FE5"/>
    <w:rsid w:val="006B4BAF"/>
    <w:rsid w:val="006D658D"/>
    <w:rsid w:val="006F2237"/>
    <w:rsid w:val="006F7AC2"/>
    <w:rsid w:val="00701536"/>
    <w:rsid w:val="0077681E"/>
    <w:rsid w:val="007B5C59"/>
    <w:rsid w:val="00801363"/>
    <w:rsid w:val="0082320C"/>
    <w:rsid w:val="008C7D5B"/>
    <w:rsid w:val="008D50AF"/>
    <w:rsid w:val="00961647"/>
    <w:rsid w:val="009C0C50"/>
    <w:rsid w:val="009C2A08"/>
    <w:rsid w:val="009D44A7"/>
    <w:rsid w:val="009F0595"/>
    <w:rsid w:val="009F3DF5"/>
    <w:rsid w:val="00A022BA"/>
    <w:rsid w:val="00A60B67"/>
    <w:rsid w:val="00A73F0F"/>
    <w:rsid w:val="00A77303"/>
    <w:rsid w:val="00A77727"/>
    <w:rsid w:val="00A931C6"/>
    <w:rsid w:val="00AE49AE"/>
    <w:rsid w:val="00AE52AF"/>
    <w:rsid w:val="00AE70C1"/>
    <w:rsid w:val="00B32A2B"/>
    <w:rsid w:val="00B45C1F"/>
    <w:rsid w:val="00C736EB"/>
    <w:rsid w:val="00C87491"/>
    <w:rsid w:val="00D42434"/>
    <w:rsid w:val="00DD6AED"/>
    <w:rsid w:val="00DE67FC"/>
    <w:rsid w:val="00E32753"/>
    <w:rsid w:val="00EA5983"/>
    <w:rsid w:val="00EE6F58"/>
    <w:rsid w:val="00F07938"/>
    <w:rsid w:val="00F447BD"/>
    <w:rsid w:val="00FE0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7868"/>
  <w15:chartTrackingRefBased/>
  <w15:docId w15:val="{622055CE-D52B-4160-9BBA-BA44B699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F0F"/>
    <w:pPr>
      <w:spacing w:after="200" w:line="276" w:lineRule="auto"/>
    </w:pPr>
    <w:rPr>
      <w:sz w:val="22"/>
      <w:szCs w:val="22"/>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F0F"/>
    <w:pPr>
      <w:tabs>
        <w:tab w:val="center" w:pos="4419"/>
        <w:tab w:val="right" w:pos="8838"/>
      </w:tabs>
      <w:spacing w:after="0" w:line="240" w:lineRule="auto"/>
    </w:pPr>
  </w:style>
  <w:style w:type="character" w:customStyle="1" w:styleId="EncabezadoCar">
    <w:name w:val="Encabezado Car"/>
    <w:link w:val="Encabezado"/>
    <w:uiPriority w:val="99"/>
    <w:rsid w:val="00A73F0F"/>
    <w:rPr>
      <w:rFonts w:ascii="Calibri" w:eastAsia="Calibri" w:hAnsi="Calibri" w:cs="Times New Roman"/>
    </w:rPr>
  </w:style>
  <w:style w:type="paragraph" w:styleId="Prrafodelista">
    <w:name w:val="List Paragraph"/>
    <w:basedOn w:val="Normal"/>
    <w:uiPriority w:val="34"/>
    <w:qFormat/>
    <w:rsid w:val="00A73F0F"/>
    <w:pPr>
      <w:ind w:left="720"/>
      <w:contextualSpacing/>
    </w:pPr>
  </w:style>
  <w:style w:type="paragraph" w:styleId="Textodeglobo">
    <w:name w:val="Balloon Text"/>
    <w:basedOn w:val="Normal"/>
    <w:link w:val="TextodegloboCar"/>
    <w:uiPriority w:val="99"/>
    <w:semiHidden/>
    <w:unhideWhenUsed/>
    <w:rsid w:val="006F2237"/>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6F2237"/>
    <w:rPr>
      <w:rFonts w:ascii="Segoe UI" w:hAnsi="Segoe UI" w:cs="Segoe UI"/>
      <w:sz w:val="18"/>
      <w:szCs w:val="18"/>
      <w:lang w:eastAsia="en-US"/>
    </w:rPr>
  </w:style>
  <w:style w:type="paragraph" w:styleId="Piedepgina">
    <w:name w:val="footer"/>
    <w:basedOn w:val="Normal"/>
    <w:link w:val="PiedepginaCar"/>
    <w:uiPriority w:val="99"/>
    <w:unhideWhenUsed/>
    <w:rsid w:val="00B45C1F"/>
    <w:pPr>
      <w:tabs>
        <w:tab w:val="center" w:pos="4419"/>
        <w:tab w:val="right" w:pos="8838"/>
      </w:tabs>
    </w:pPr>
  </w:style>
  <w:style w:type="character" w:customStyle="1" w:styleId="PiedepginaCar">
    <w:name w:val="Pie de página Car"/>
    <w:link w:val="Piedepgina"/>
    <w:uiPriority w:val="99"/>
    <w:rsid w:val="00B45C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3</cp:revision>
  <cp:lastPrinted>2021-03-16T14:16:00Z</cp:lastPrinted>
  <dcterms:created xsi:type="dcterms:W3CDTF">2021-06-11T20:36:00Z</dcterms:created>
  <dcterms:modified xsi:type="dcterms:W3CDTF">2021-06-11T20:43:00Z</dcterms:modified>
</cp:coreProperties>
</file>