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8462F" w14:textId="77777777" w:rsidR="00051507" w:rsidRPr="00966D5D" w:rsidRDefault="00051507" w:rsidP="00051507">
      <w:pPr>
        <w:keepNext/>
        <w:spacing w:line="360" w:lineRule="auto"/>
        <w:ind w:right="-1"/>
        <w:contextualSpacing/>
        <w:outlineLvl w:val="0"/>
        <w:rPr>
          <w:rFonts w:eastAsia="Times New Roman" w:cs="Times New Roman"/>
          <w:b/>
          <w:bCs/>
          <w:color w:val="auto"/>
          <w:kern w:val="32"/>
          <w:sz w:val="22"/>
          <w:szCs w:val="22"/>
          <w:u w:val="single"/>
          <w:lang w:val="es-AR" w:eastAsia="es-ES"/>
        </w:rPr>
      </w:pPr>
      <w:bookmarkStart w:id="0" w:name="_Hlk97734755"/>
      <w:bookmarkEnd w:id="0"/>
      <w:r w:rsidRPr="00966D5D">
        <w:rPr>
          <w:rFonts w:eastAsia="Times New Roman" w:cs="Times New Roman"/>
          <w:b/>
          <w:bCs/>
          <w:color w:val="auto"/>
          <w:kern w:val="32"/>
          <w:sz w:val="22"/>
          <w:szCs w:val="22"/>
          <w:u w:val="single"/>
          <w:lang w:val="es-AR" w:eastAsia="es-ES"/>
        </w:rPr>
        <w:t xml:space="preserve">ACTA DE DIRECTORIO </w:t>
      </w:r>
    </w:p>
    <w:p w14:paraId="73B9686A" w14:textId="77777777" w:rsidR="00051507" w:rsidRDefault="00051507" w:rsidP="00051507">
      <w:pPr>
        <w:spacing w:line="320" w:lineRule="exact"/>
        <w:jc w:val="both"/>
        <w:rPr>
          <w:bCs/>
          <w:sz w:val="24"/>
          <w:szCs w:val="24"/>
        </w:rPr>
      </w:pPr>
      <w:r w:rsidRPr="00EF533D">
        <w:rPr>
          <w:sz w:val="24"/>
          <w:szCs w:val="24"/>
          <w:lang w:val="es-AR"/>
        </w:rPr>
        <w:t xml:space="preserve">En la Ciudad Autónoma de Buenos Aires, a los 10 días del mes de marzo de 2022, siendo las </w:t>
      </w:r>
      <w:r>
        <w:rPr>
          <w:sz w:val="24"/>
          <w:szCs w:val="24"/>
          <w:lang w:val="es-AR"/>
        </w:rPr>
        <w:t>10:0</w:t>
      </w:r>
      <w:r w:rsidRPr="00EF533D">
        <w:rPr>
          <w:sz w:val="24"/>
          <w:szCs w:val="24"/>
          <w:lang w:val="es-AR"/>
        </w:rPr>
        <w:t>0</w:t>
      </w:r>
      <w:r>
        <w:rPr>
          <w:sz w:val="24"/>
          <w:szCs w:val="24"/>
          <w:lang w:val="es-AR"/>
        </w:rPr>
        <w:t>, se reúnen por videoconferencia</w:t>
      </w:r>
      <w:r w:rsidRPr="00EF533D">
        <w:rPr>
          <w:sz w:val="24"/>
          <w:szCs w:val="24"/>
          <w:lang w:val="es-AR"/>
        </w:rPr>
        <w:t xml:space="preserve"> </w:t>
      </w:r>
      <w:r w:rsidRPr="006524B3">
        <w:rPr>
          <w:sz w:val="24"/>
          <w:szCs w:val="24"/>
          <w:lang w:val="es-AR"/>
        </w:rPr>
        <w:t>de acuerdo con lo expresamente autorizado por la Resolución General 830/2020 de la Comisión Nacional de Valores</w:t>
      </w:r>
      <w:r>
        <w:rPr>
          <w:sz w:val="24"/>
          <w:szCs w:val="24"/>
          <w:lang w:val="es-AR"/>
        </w:rPr>
        <w:t xml:space="preserve"> y su Criterio Interpretativo 80</w:t>
      </w:r>
      <w:r w:rsidRPr="006524B3">
        <w:rPr>
          <w:sz w:val="24"/>
          <w:szCs w:val="24"/>
          <w:lang w:val="es-AR"/>
        </w:rPr>
        <w:t xml:space="preserve"> (la “</w:t>
      </w:r>
      <w:r w:rsidRPr="006524B3">
        <w:rPr>
          <w:sz w:val="24"/>
          <w:szCs w:val="24"/>
          <w:u w:val="single"/>
          <w:lang w:val="es-AR"/>
        </w:rPr>
        <w:t>Resolución</w:t>
      </w:r>
      <w:r w:rsidRPr="006524B3">
        <w:rPr>
          <w:sz w:val="24"/>
          <w:szCs w:val="24"/>
          <w:lang w:val="es-AR"/>
        </w:rPr>
        <w:t xml:space="preserve">”), los miembros del Directorio de </w:t>
      </w:r>
      <w:r>
        <w:rPr>
          <w:b/>
          <w:bCs/>
          <w:sz w:val="24"/>
          <w:szCs w:val="24"/>
          <w:lang w:val="es-AR"/>
        </w:rPr>
        <w:t>CENTRAL TÉRMICA ROCA</w:t>
      </w:r>
      <w:r w:rsidRPr="006524B3">
        <w:rPr>
          <w:b/>
          <w:bCs/>
          <w:sz w:val="24"/>
          <w:szCs w:val="24"/>
          <w:lang w:val="es-AR"/>
        </w:rPr>
        <w:t xml:space="preserve"> S.A.</w:t>
      </w:r>
      <w:r w:rsidRPr="006524B3">
        <w:rPr>
          <w:sz w:val="24"/>
          <w:szCs w:val="24"/>
          <w:lang w:val="es-AR"/>
        </w:rPr>
        <w:t xml:space="preserve"> (en adelante, la “</w:t>
      </w:r>
      <w:r w:rsidRPr="00D90F71">
        <w:rPr>
          <w:sz w:val="24"/>
          <w:szCs w:val="24"/>
          <w:u w:val="single"/>
          <w:lang w:val="es-AR"/>
        </w:rPr>
        <w:t>Sociedad</w:t>
      </w:r>
      <w:r w:rsidRPr="006524B3">
        <w:rPr>
          <w:sz w:val="24"/>
          <w:szCs w:val="24"/>
          <w:lang w:val="es-AR"/>
        </w:rPr>
        <w:t>”), cuyos nombres figuran al pie de la presente. Asisten los siguientes miembros del Directorio, quienes se encuentran en su domicilio real: Armando Losón (h), Guillermo G. Brun</w:t>
      </w:r>
      <w:r>
        <w:rPr>
          <w:sz w:val="24"/>
          <w:szCs w:val="24"/>
          <w:lang w:val="es-AR"/>
        </w:rPr>
        <w:t xml:space="preserve"> y</w:t>
      </w:r>
      <w:r w:rsidRPr="006524B3">
        <w:rPr>
          <w:sz w:val="24"/>
          <w:szCs w:val="24"/>
          <w:lang w:val="es-AR"/>
        </w:rPr>
        <w:t xml:space="preserve"> Julián P. Sarti. Asiste también por videoconferencia a la reunión el Síndico Titular, Dr. Marcelo Pablo Lerner en representación de la Comisión Fiscalizadora. Preside la reunión el Sr. Armando Losón (h), quien manifiesta que la presente reunión será celebrada de manera no presencial por medio de la aplicación Microsoft </w:t>
      </w:r>
      <w:proofErr w:type="spellStart"/>
      <w:r w:rsidRPr="006524B3">
        <w:rPr>
          <w:sz w:val="24"/>
          <w:szCs w:val="24"/>
          <w:lang w:val="es-AR"/>
        </w:rPr>
        <w:t>Teams</w:t>
      </w:r>
      <w:proofErr w:type="spellEnd"/>
      <w:r w:rsidRPr="006524B3">
        <w:rPr>
          <w:sz w:val="24"/>
          <w:szCs w:val="24"/>
          <w:lang w:val="es-AR"/>
        </w:rPr>
        <w:t xml:space="preserve">, conforme los requisitos establecidos en la Resolución, siempre y cuando los Sres. </w:t>
      </w:r>
      <w:proofErr w:type="gramStart"/>
      <w:r w:rsidRPr="006524B3">
        <w:rPr>
          <w:sz w:val="24"/>
          <w:szCs w:val="24"/>
          <w:lang w:val="es-AR"/>
        </w:rPr>
        <w:t>Directores</w:t>
      </w:r>
      <w:proofErr w:type="gramEnd"/>
      <w:r w:rsidRPr="006524B3">
        <w:rPr>
          <w:sz w:val="24"/>
          <w:szCs w:val="24"/>
          <w:lang w:val="es-AR"/>
        </w:rPr>
        <w:t xml:space="preserve"> aprueben la utilización del medio mencionado, y de conformidad con los requisitos que se expondrán en el primer punto del Orden del Día. El Sr. </w:t>
      </w:r>
      <w:proofErr w:type="gramStart"/>
      <w:r w:rsidRPr="006524B3">
        <w:rPr>
          <w:sz w:val="24"/>
          <w:szCs w:val="24"/>
          <w:lang w:val="es-AR"/>
        </w:rPr>
        <w:t>Presidente</w:t>
      </w:r>
      <w:proofErr w:type="gramEnd"/>
      <w:r w:rsidRPr="006524B3">
        <w:rPr>
          <w:sz w:val="24"/>
          <w:szCs w:val="24"/>
          <w:lang w:val="es-AR"/>
        </w:rPr>
        <w:t xml:space="preserve"> informa a los presentes que dentro de los 5 (cinco) días de celebrada la presente </w:t>
      </w:r>
      <w:r>
        <w:rPr>
          <w:sz w:val="24"/>
          <w:szCs w:val="24"/>
          <w:lang w:val="es-AR"/>
        </w:rPr>
        <w:t>reunión</w:t>
      </w:r>
      <w:r w:rsidRPr="006524B3">
        <w:rPr>
          <w:sz w:val="24"/>
          <w:szCs w:val="24"/>
          <w:lang w:val="es-AR"/>
        </w:rPr>
        <w:t>, el Gerente de Asuntos Legales procederá a labrar y circular por correo electrónico acta de la misma a la totalidad de los Sres. Directores y el Síndico, y</w:t>
      </w:r>
      <w:r>
        <w:rPr>
          <w:sz w:val="24"/>
          <w:szCs w:val="24"/>
          <w:lang w:val="es-AR"/>
        </w:rPr>
        <w:t xml:space="preserve"> </w:t>
      </w:r>
      <w:r w:rsidRPr="00960CFA">
        <w:rPr>
          <w:sz w:val="24"/>
          <w:szCs w:val="24"/>
          <w:lang w:val="es-AR"/>
        </w:rPr>
        <w:t>que posteriormente se procederá a circular el acta correspondiente para su firma y posterior transcripción en el Libro de Actas de Directorio de la Sociedad, de acuerdo con los requisitos y formalidades requeridos en sus estatutos</w:t>
      </w:r>
      <w:r w:rsidRPr="006524B3">
        <w:rPr>
          <w:sz w:val="24"/>
          <w:szCs w:val="24"/>
          <w:lang w:val="es-AR"/>
        </w:rPr>
        <w:t xml:space="preserve">. Luego de verificar que se encuentra reunido el quórum legal y estatutario requerido, el Sr. </w:t>
      </w:r>
      <w:proofErr w:type="gramStart"/>
      <w:r w:rsidRPr="006524B3">
        <w:rPr>
          <w:sz w:val="24"/>
          <w:szCs w:val="24"/>
          <w:lang w:val="es-AR"/>
        </w:rPr>
        <w:t>Presidente</w:t>
      </w:r>
      <w:proofErr w:type="gramEnd"/>
      <w:r w:rsidRPr="006524B3">
        <w:rPr>
          <w:sz w:val="24"/>
          <w:szCs w:val="24"/>
          <w:lang w:val="es-AR"/>
        </w:rPr>
        <w:t xml:space="preserve"> somete a consideración de los presentes el primer punto del Orden del Día: </w:t>
      </w:r>
      <w:r w:rsidRPr="00A74C73">
        <w:rPr>
          <w:b/>
          <w:bCs/>
          <w:sz w:val="24"/>
          <w:szCs w:val="24"/>
          <w:lang w:val="es-AR"/>
        </w:rPr>
        <w:t>1)</w:t>
      </w:r>
      <w:r w:rsidRPr="006524B3">
        <w:rPr>
          <w:sz w:val="24"/>
          <w:szCs w:val="24"/>
          <w:lang w:val="es-AR"/>
        </w:rPr>
        <w:t xml:space="preserve"> </w:t>
      </w:r>
      <w:r w:rsidRPr="00A74C73">
        <w:rPr>
          <w:b/>
          <w:bCs/>
          <w:sz w:val="24"/>
          <w:szCs w:val="24"/>
          <w:u w:val="single"/>
          <w:lang w:val="es-AR"/>
        </w:rPr>
        <w:t xml:space="preserve">Consideración de la utilización de la aplicación “Microsoft </w:t>
      </w:r>
      <w:proofErr w:type="spellStart"/>
      <w:r w:rsidRPr="00A74C73">
        <w:rPr>
          <w:b/>
          <w:bCs/>
          <w:sz w:val="24"/>
          <w:szCs w:val="24"/>
          <w:u w:val="single"/>
          <w:lang w:val="es-AR"/>
        </w:rPr>
        <w:t>Teams</w:t>
      </w:r>
      <w:proofErr w:type="spellEnd"/>
      <w:r w:rsidRPr="00A74C73">
        <w:rPr>
          <w:b/>
          <w:bCs/>
          <w:sz w:val="24"/>
          <w:szCs w:val="24"/>
          <w:u w:val="single"/>
          <w:lang w:val="es-AR"/>
        </w:rPr>
        <w:t>” para realizar la reunión de directorio a distancia.</w:t>
      </w:r>
      <w:r w:rsidRPr="006524B3">
        <w:rPr>
          <w:sz w:val="24"/>
          <w:szCs w:val="24"/>
          <w:lang w:val="es-AR"/>
        </w:rPr>
        <w:t xml:space="preserve"> En uso de la palabra, el Sr. </w:t>
      </w:r>
      <w:proofErr w:type="gramStart"/>
      <w:r w:rsidRPr="006524B3">
        <w:rPr>
          <w:sz w:val="24"/>
          <w:szCs w:val="24"/>
          <w:lang w:val="es-AR"/>
        </w:rPr>
        <w:t>Presidente</w:t>
      </w:r>
      <w:proofErr w:type="gramEnd"/>
      <w:r w:rsidRPr="006524B3">
        <w:rPr>
          <w:sz w:val="24"/>
          <w:szCs w:val="24"/>
          <w:lang w:val="es-AR"/>
        </w:rPr>
        <w:t xml:space="preserve"> informa que, </w:t>
      </w:r>
      <w:r>
        <w:rPr>
          <w:sz w:val="24"/>
          <w:szCs w:val="24"/>
          <w:lang w:val="es-AR"/>
        </w:rPr>
        <w:t>de conformidad con lo expuesto en los considerandos de la presente, resulta necesario llevar a cabo la presente reunión a distancia por lo que mociona para que se apruebe</w:t>
      </w:r>
      <w:r w:rsidRPr="006524B3">
        <w:rPr>
          <w:sz w:val="24"/>
          <w:szCs w:val="24"/>
          <w:lang w:val="es-AR"/>
        </w:rPr>
        <w:t xml:space="preserve"> la utilización de la aplicación</w:t>
      </w:r>
      <w:r>
        <w:rPr>
          <w:sz w:val="24"/>
          <w:szCs w:val="24"/>
          <w:lang w:val="es-AR"/>
        </w:rPr>
        <w:t xml:space="preserve"> Microsoft </w:t>
      </w:r>
      <w:proofErr w:type="spellStart"/>
      <w:r>
        <w:rPr>
          <w:sz w:val="24"/>
          <w:szCs w:val="24"/>
          <w:lang w:val="es-AR"/>
        </w:rPr>
        <w:t>Teams</w:t>
      </w:r>
      <w:proofErr w:type="spellEnd"/>
      <w:r>
        <w:rPr>
          <w:sz w:val="24"/>
          <w:szCs w:val="24"/>
          <w:lang w:val="es-AR"/>
        </w:rPr>
        <w:t xml:space="preserve"> y se celebre la reunión</w:t>
      </w:r>
      <w:r w:rsidRPr="006524B3">
        <w:rPr>
          <w:sz w:val="24"/>
          <w:szCs w:val="24"/>
          <w:lang w:val="es-AR"/>
        </w:rPr>
        <w:t xml:space="preserve"> bajo los recaudos</w:t>
      </w:r>
      <w:r>
        <w:rPr>
          <w:sz w:val="24"/>
          <w:szCs w:val="24"/>
          <w:lang w:val="es-AR"/>
        </w:rPr>
        <w:t xml:space="preserve"> previstos en la Resolución.</w:t>
      </w:r>
      <w:r w:rsidRPr="006524B3">
        <w:rPr>
          <w:sz w:val="24"/>
          <w:szCs w:val="24"/>
          <w:lang w:val="es-AR"/>
        </w:rPr>
        <w:t xml:space="preserve"> Seguidamente, los Sres. </w:t>
      </w:r>
      <w:proofErr w:type="gramStart"/>
      <w:r w:rsidRPr="006524B3">
        <w:rPr>
          <w:sz w:val="24"/>
          <w:szCs w:val="24"/>
          <w:lang w:val="es-AR"/>
        </w:rPr>
        <w:t>Directores</w:t>
      </w:r>
      <w:proofErr w:type="gramEnd"/>
      <w:r w:rsidRPr="006524B3">
        <w:rPr>
          <w:sz w:val="24"/>
          <w:szCs w:val="24"/>
          <w:lang w:val="es-AR"/>
        </w:rPr>
        <w:t xml:space="preserve"> </w:t>
      </w:r>
      <w:r w:rsidRPr="00310458">
        <w:rPr>
          <w:b/>
          <w:bCs/>
          <w:sz w:val="24"/>
          <w:szCs w:val="24"/>
          <w:u w:val="single"/>
          <w:lang w:val="es-AR"/>
        </w:rPr>
        <w:t>RESUELVEN</w:t>
      </w:r>
      <w:r w:rsidRPr="006524B3">
        <w:rPr>
          <w:sz w:val="24"/>
          <w:szCs w:val="24"/>
          <w:lang w:val="es-AR"/>
        </w:rPr>
        <w:t xml:space="preserve"> aprobar por unanimidad</w:t>
      </w:r>
      <w:r>
        <w:rPr>
          <w:sz w:val="24"/>
          <w:szCs w:val="24"/>
          <w:lang w:val="es-AR"/>
        </w:rPr>
        <w:t xml:space="preserve"> de los presentes</w:t>
      </w:r>
      <w:r w:rsidRPr="006524B3">
        <w:rPr>
          <w:sz w:val="24"/>
          <w:szCs w:val="24"/>
          <w:lang w:val="es-AR"/>
        </w:rPr>
        <w:t xml:space="preserve"> la</w:t>
      </w:r>
      <w:r>
        <w:rPr>
          <w:sz w:val="24"/>
          <w:szCs w:val="24"/>
          <w:lang w:val="es-AR"/>
        </w:rPr>
        <w:t xml:space="preserve">s mociones efectuadas por </w:t>
      </w:r>
      <w:r w:rsidRPr="006524B3">
        <w:rPr>
          <w:sz w:val="24"/>
          <w:szCs w:val="24"/>
          <w:lang w:val="es-AR"/>
        </w:rPr>
        <w:t xml:space="preserve">el Sr. Presidente. </w:t>
      </w:r>
      <w:r>
        <w:rPr>
          <w:sz w:val="24"/>
          <w:szCs w:val="24"/>
          <w:lang w:val="es-AR"/>
        </w:rPr>
        <w:t xml:space="preserve">A continuación, se somete a consideración de los presentes, el segundo punto del Orden del Día: </w:t>
      </w:r>
      <w:r w:rsidRPr="00310458">
        <w:rPr>
          <w:b/>
          <w:bCs/>
          <w:sz w:val="24"/>
          <w:szCs w:val="24"/>
          <w:lang w:val="es-AR"/>
        </w:rPr>
        <w:t>2)</w:t>
      </w:r>
      <w:r>
        <w:rPr>
          <w:sz w:val="24"/>
          <w:szCs w:val="24"/>
          <w:lang w:val="es-AR"/>
        </w:rPr>
        <w:t xml:space="preserve"> </w:t>
      </w:r>
      <w:r w:rsidRPr="00026C67">
        <w:rPr>
          <w:b/>
          <w:bCs/>
          <w:sz w:val="24"/>
          <w:szCs w:val="24"/>
          <w:u w:val="single"/>
          <w:lang w:val="es-AR"/>
        </w:rPr>
        <w:t>C</w:t>
      </w:r>
      <w:r w:rsidRPr="00026C67">
        <w:rPr>
          <w:b/>
          <w:bCs/>
          <w:sz w:val="24"/>
          <w:szCs w:val="24"/>
          <w:u w:val="single"/>
        </w:rPr>
        <w:t>onsideración de la documentación por el ejercicio económico de la Sociedad, cerrado al 31 de diciembre de 2021.</w:t>
      </w:r>
      <w:r w:rsidRPr="00EF533D">
        <w:rPr>
          <w:sz w:val="24"/>
          <w:szCs w:val="24"/>
        </w:rPr>
        <w:t xml:space="preserve"> E</w:t>
      </w:r>
      <w:r>
        <w:rPr>
          <w:sz w:val="24"/>
          <w:szCs w:val="24"/>
        </w:rPr>
        <w:t>n tal sentido, e</w:t>
      </w:r>
      <w:r w:rsidRPr="00EF533D">
        <w:rPr>
          <w:sz w:val="24"/>
          <w:szCs w:val="24"/>
        </w:rPr>
        <w:t xml:space="preserve">xpresa </w:t>
      </w:r>
      <w:r>
        <w:rPr>
          <w:sz w:val="24"/>
          <w:szCs w:val="24"/>
        </w:rPr>
        <w:t xml:space="preserve">el Sr. </w:t>
      </w:r>
      <w:proofErr w:type="gramStart"/>
      <w:r>
        <w:rPr>
          <w:sz w:val="24"/>
          <w:szCs w:val="24"/>
        </w:rPr>
        <w:t>Presidente</w:t>
      </w:r>
      <w:proofErr w:type="gramEnd"/>
      <w:r w:rsidRPr="00EF533D">
        <w:rPr>
          <w:sz w:val="24"/>
          <w:szCs w:val="24"/>
        </w:rPr>
        <w:t xml:space="preserve"> que, atento a que dicha documentación obra en poder de los señores Directores con anticipación suficiente a esta reunión y no habiéndose formulado ninguna objeción a la misma hasta el presente, propone se la tenga por leída y aprobada. Sometida la moción a votación, el Directorio </w:t>
      </w:r>
      <w:r w:rsidRPr="00EF533D">
        <w:rPr>
          <w:b/>
          <w:bCs/>
          <w:sz w:val="24"/>
          <w:szCs w:val="24"/>
          <w:u w:val="single"/>
        </w:rPr>
        <w:t>RESUELVE</w:t>
      </w:r>
      <w:r w:rsidRPr="00EF533D">
        <w:rPr>
          <w:sz w:val="24"/>
          <w:szCs w:val="24"/>
        </w:rPr>
        <w:t xml:space="preserve"> aprobar por unanimidad de los presentes los siguientes elementos: a) la </w:t>
      </w:r>
      <w:r w:rsidRPr="00EF533D">
        <w:rPr>
          <w:bCs/>
          <w:sz w:val="24"/>
          <w:szCs w:val="24"/>
        </w:rPr>
        <w:t>Memoria, que se transcribe a continuación:</w:t>
      </w:r>
    </w:p>
    <w:p w14:paraId="2AE7A791" w14:textId="77777777" w:rsidR="00051507" w:rsidRPr="00A74C73" w:rsidRDefault="00051507" w:rsidP="00051507">
      <w:pPr>
        <w:spacing w:line="320" w:lineRule="exact"/>
        <w:jc w:val="both"/>
        <w:rPr>
          <w:sz w:val="24"/>
          <w:szCs w:val="24"/>
          <w:lang w:val="es-AR"/>
        </w:rPr>
      </w:pPr>
    </w:p>
    <w:p w14:paraId="14141F4C" w14:textId="77777777" w:rsidR="00051507" w:rsidRPr="00896C5A" w:rsidRDefault="00051507" w:rsidP="00051507">
      <w:pPr>
        <w:jc w:val="center"/>
        <w:rPr>
          <w:b/>
          <w:u w:val="single"/>
        </w:rPr>
      </w:pPr>
      <w:r w:rsidRPr="001C13A7">
        <w:rPr>
          <w:b/>
          <w:color w:val="auto"/>
          <w:sz w:val="22"/>
          <w:szCs w:val="22"/>
          <w:u w:val="single"/>
        </w:rPr>
        <w:t>“</w:t>
      </w:r>
      <w:r w:rsidRPr="00896C5A">
        <w:rPr>
          <w:b/>
          <w:u w:val="single"/>
        </w:rPr>
        <w:t>Memoria Ejercicio 2021</w:t>
      </w:r>
    </w:p>
    <w:p w14:paraId="6301743C" w14:textId="77777777" w:rsidR="00051507" w:rsidRPr="00896C5A" w:rsidRDefault="00051507" w:rsidP="00051507">
      <w:pPr>
        <w:spacing w:after="100" w:afterAutospacing="1" w:line="240" w:lineRule="exact"/>
        <w:jc w:val="both"/>
        <w:rPr>
          <w:bCs/>
        </w:rPr>
      </w:pPr>
      <w:r w:rsidRPr="00896C5A">
        <w:rPr>
          <w:bCs/>
        </w:rPr>
        <w:t>Sres. Accionistas de CTR,</w:t>
      </w:r>
    </w:p>
    <w:p w14:paraId="49D50287"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r w:rsidRPr="00F90239">
        <w:rPr>
          <w:rFonts w:eastAsia="Wingdings"/>
        </w:rPr>
        <w:t>En cumplimiento con disposiciones legales y estatuarias vigentes, el Directorio somete a vuestra consideración la presente Memoria, la Reseña Informativa, los Estados Financieros, Estados de Resultados Integrales, Estados de Cambios en el Patrimonio, Estados de Flujos de Efectivo, Notas a los Estados Financieros, correspondientes al ejercicio económico finalizado el 31 de diciembre de 2021.</w:t>
      </w:r>
    </w:p>
    <w:p w14:paraId="0BCEE1FE" w14:textId="77777777" w:rsidR="00051507" w:rsidRPr="00F90239"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1AC084CC" w14:textId="77777777" w:rsidR="00051507" w:rsidRPr="00131411" w:rsidRDefault="00051507" w:rsidP="00051507">
      <w:pPr>
        <w:pStyle w:val="Ttulo2"/>
        <w:numPr>
          <w:ilvl w:val="0"/>
          <w:numId w:val="37"/>
        </w:numPr>
        <w:ind w:left="0" w:firstLine="0"/>
      </w:pPr>
      <w:bookmarkStart w:id="1" w:name="_Toc63686707"/>
      <w:r>
        <w:rPr>
          <w:color w:val="8496B0" w:themeColor="text2" w:themeTint="99"/>
          <w:sz w:val="20"/>
        </w:rPr>
        <w:t>A</w:t>
      </w:r>
      <w:r w:rsidRPr="00BB14D3">
        <w:rPr>
          <w:color w:val="8496B0" w:themeColor="text2" w:themeTint="99"/>
          <w:sz w:val="20"/>
        </w:rPr>
        <w:t>CTIVIDAD DE LA COMPAÑÍA</w:t>
      </w:r>
      <w:bookmarkEnd w:id="1"/>
      <w:r w:rsidRPr="00BB14D3">
        <w:rPr>
          <w:bCs w:val="0"/>
          <w:color w:val="8496B0" w:themeColor="text2" w:themeTint="99"/>
          <w:sz w:val="20"/>
        </w:rPr>
        <w:fldChar w:fldCharType="begin"/>
      </w:r>
      <w:r w:rsidRPr="00BB14D3">
        <w:rPr>
          <w:color w:val="8496B0" w:themeColor="text2" w:themeTint="99"/>
          <w:sz w:val="20"/>
        </w:rPr>
        <w:instrText xml:space="preserve"> XE "ACTIVIDAD DE LA COMPAÑÍA" </w:instrText>
      </w:r>
      <w:r w:rsidRPr="00BB14D3">
        <w:rPr>
          <w:bCs w:val="0"/>
          <w:color w:val="8496B0" w:themeColor="text2" w:themeTint="99"/>
          <w:sz w:val="20"/>
        </w:rPr>
        <w:fldChar w:fldCharType="end"/>
      </w:r>
      <w:r w:rsidRPr="00BB14D3">
        <w:rPr>
          <w:bCs w:val="0"/>
          <w:color w:val="8496B0" w:themeColor="text2" w:themeTint="99"/>
          <w:sz w:val="20"/>
        </w:rPr>
        <w:fldChar w:fldCharType="begin"/>
      </w:r>
      <w:r w:rsidRPr="00BB14D3">
        <w:rPr>
          <w:color w:val="8496B0" w:themeColor="text2" w:themeTint="99"/>
          <w:sz w:val="20"/>
        </w:rPr>
        <w:instrText xml:space="preserve"> XE "ACTIVIDAD DE LA COMPAÑÍA" </w:instrText>
      </w:r>
      <w:r w:rsidRPr="00BB14D3">
        <w:rPr>
          <w:bCs w:val="0"/>
          <w:color w:val="8496B0" w:themeColor="text2" w:themeTint="99"/>
          <w:sz w:val="20"/>
        </w:rPr>
        <w:fldChar w:fldCharType="end"/>
      </w:r>
      <w:r w:rsidRPr="00BB14D3">
        <w:rPr>
          <w:bCs w:val="0"/>
          <w:color w:val="8496B0" w:themeColor="text2" w:themeTint="99"/>
          <w:sz w:val="20"/>
        </w:rPr>
        <w:fldChar w:fldCharType="begin"/>
      </w:r>
      <w:r w:rsidRPr="00BB14D3">
        <w:rPr>
          <w:color w:val="8496B0" w:themeColor="text2" w:themeTint="99"/>
          <w:sz w:val="20"/>
        </w:rPr>
        <w:instrText xml:space="preserve"> XE "ACTIVIDAD DE LA COMPAÑÍA" </w:instrText>
      </w:r>
      <w:r w:rsidRPr="00BB14D3">
        <w:rPr>
          <w:bCs w:val="0"/>
          <w:color w:val="8496B0" w:themeColor="text2" w:themeTint="99"/>
          <w:sz w:val="20"/>
        </w:rPr>
        <w:fldChar w:fldCharType="end"/>
      </w:r>
      <w:r w:rsidRPr="00BB14D3">
        <w:rPr>
          <w:color w:val="8496B0" w:themeColor="text2" w:themeTint="99"/>
          <w:sz w:val="20"/>
        </w:rPr>
        <w:t xml:space="preserve">  </w:t>
      </w:r>
    </w:p>
    <w:p w14:paraId="66B35070"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0821B9B9" w14:textId="77777777" w:rsidR="00051507" w:rsidRPr="00315FA1" w:rsidRDefault="00051507" w:rsidP="00051507">
      <w:pPr>
        <w:jc w:val="both"/>
        <w:rPr>
          <w:rFonts w:eastAsia="Times New Roman"/>
        </w:rPr>
      </w:pPr>
      <w:r w:rsidRPr="00315FA1">
        <w:rPr>
          <w:rFonts w:eastAsia="Times New Roman"/>
        </w:rPr>
        <w:t xml:space="preserve">CTR, es una sociedad cuya actividad principal es la generación y venta de energía eléctrica. La capacidad nominal instalada es de 190 MW, bajo la Resolución SE 220/07 y Resolución SE 440/2021. </w:t>
      </w:r>
    </w:p>
    <w:p w14:paraId="10DEAA4D" w14:textId="77777777" w:rsidR="00051507" w:rsidRPr="00315FA1" w:rsidRDefault="00051507" w:rsidP="00051507">
      <w:pPr>
        <w:jc w:val="both"/>
        <w:rPr>
          <w:rFonts w:eastAsia="Times New Roman"/>
        </w:rPr>
      </w:pPr>
      <w:r w:rsidRPr="00315FA1">
        <w:rPr>
          <w:rFonts w:eastAsia="Times New Roman"/>
        </w:rPr>
        <w:t xml:space="preserve">En el año 2011, el Grupo Albanesi a través de CTR adquirió una central ubicada en las proximidades de la ciudad de Gral. Roca, provincia de Río Negro, sobre la ruta Provincial </w:t>
      </w:r>
      <w:proofErr w:type="spellStart"/>
      <w:r w:rsidRPr="00315FA1">
        <w:rPr>
          <w:rFonts w:eastAsia="Times New Roman"/>
        </w:rPr>
        <w:t>Nº</w:t>
      </w:r>
      <w:proofErr w:type="spellEnd"/>
      <w:r w:rsidRPr="00315FA1">
        <w:rPr>
          <w:rFonts w:eastAsia="Times New Roman"/>
        </w:rPr>
        <w:t xml:space="preserve"> 6, km 11,1, (la “Central”) que se encontraba indisponible desde el año 2009. </w:t>
      </w:r>
    </w:p>
    <w:p w14:paraId="49381960" w14:textId="77777777" w:rsidR="00051507" w:rsidRPr="00315FA1" w:rsidRDefault="00051507" w:rsidP="00051507">
      <w:pPr>
        <w:jc w:val="both"/>
        <w:rPr>
          <w:rFonts w:eastAsia="Times New Roman"/>
        </w:rPr>
      </w:pPr>
      <w:r w:rsidRPr="00315FA1">
        <w:rPr>
          <w:rFonts w:eastAsia="Times New Roman"/>
        </w:rPr>
        <w:t xml:space="preserve">La participación en el capital social accionario de CTR está conformada un 75% por </w:t>
      </w:r>
      <w:r>
        <w:rPr>
          <w:rFonts w:eastAsia="Times New Roman"/>
        </w:rPr>
        <w:t>GMSA</w:t>
      </w:r>
      <w:r w:rsidRPr="00315FA1">
        <w:rPr>
          <w:rFonts w:eastAsia="Times New Roman"/>
        </w:rPr>
        <w:t xml:space="preserve"> y el 25% restante por </w:t>
      </w:r>
      <w:proofErr w:type="spellStart"/>
      <w:r w:rsidRPr="00315FA1">
        <w:rPr>
          <w:rFonts w:eastAsia="Times New Roman"/>
        </w:rPr>
        <w:t>Tefu</w:t>
      </w:r>
      <w:proofErr w:type="spellEnd"/>
      <w:r w:rsidRPr="00315FA1">
        <w:rPr>
          <w:rFonts w:eastAsia="Times New Roman"/>
        </w:rPr>
        <w:t xml:space="preserve"> S.A.</w:t>
      </w:r>
    </w:p>
    <w:p w14:paraId="083243B5" w14:textId="77777777" w:rsidR="00051507" w:rsidRPr="00315FA1" w:rsidRDefault="00051507" w:rsidP="00051507">
      <w:pPr>
        <w:jc w:val="both"/>
        <w:rPr>
          <w:rFonts w:eastAsia="Times New Roman"/>
        </w:rPr>
      </w:pPr>
      <w:bookmarkStart w:id="2" w:name="_Hlk95721546"/>
      <w:r w:rsidRPr="00315FA1">
        <w:rPr>
          <w:rFonts w:eastAsia="Times New Roman"/>
        </w:rPr>
        <w:t>El Grupo Albanesi posee a la fecha de firma de los presentes estados financieros una capacidad instalada total de 1.520 MW, ampliándose con 416 MW adicionales contando todos los nuevos proyectos adjudicados.</w:t>
      </w:r>
      <w:bookmarkEnd w:id="2"/>
    </w:p>
    <w:p w14:paraId="0B5C2357" w14:textId="77777777" w:rsidR="00051507" w:rsidRPr="00315FA1" w:rsidRDefault="00051507" w:rsidP="00051507">
      <w:pPr>
        <w:jc w:val="both"/>
        <w:rPr>
          <w:rFonts w:eastAsia="Times New Roman"/>
        </w:rPr>
      </w:pPr>
      <w:r w:rsidRPr="00315FA1">
        <w:rPr>
          <w:rFonts w:eastAsia="Times New Roman"/>
        </w:rPr>
        <w:t>El Grupo Albanesi se insertó en el mercado energético en 2004 con la adquisición de la central térmica Luis Piedra Buena S.A. De esta forma el desarrollo del mercado eléctrico paso a formar parte de uno de los objetivos principales del Grupo.</w:t>
      </w:r>
    </w:p>
    <w:p w14:paraId="68C47700" w14:textId="77777777" w:rsidR="00051507" w:rsidRDefault="00051507" w:rsidP="00051507">
      <w:pPr>
        <w:jc w:val="both"/>
      </w:pPr>
      <w:r>
        <w:rPr>
          <w:noProof/>
        </w:rPr>
        <w:lastRenderedPageBreak/>
        <w:drawing>
          <wp:inline distT="0" distB="0" distL="0" distR="0" wp14:anchorId="2E29A448" wp14:editId="0E9021E5">
            <wp:extent cx="5873261" cy="3708174"/>
            <wp:effectExtent l="0" t="0" r="0" b="6985"/>
            <wp:docPr id="35" name="Imagen 35"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Escala de tiempo&#10;&#10;Descripción generada automáticamente"/>
                    <pic:cNvPicPr/>
                  </pic:nvPicPr>
                  <pic:blipFill>
                    <a:blip r:embed="rId8"/>
                    <a:stretch>
                      <a:fillRect/>
                    </a:stretch>
                  </pic:blipFill>
                  <pic:spPr>
                    <a:xfrm>
                      <a:off x="0" y="0"/>
                      <a:ext cx="5884459" cy="3715244"/>
                    </a:xfrm>
                    <a:prstGeom prst="rect">
                      <a:avLst/>
                    </a:prstGeom>
                  </pic:spPr>
                </pic:pic>
              </a:graphicData>
            </a:graphic>
          </wp:inline>
        </w:drawing>
      </w:r>
    </w:p>
    <w:p w14:paraId="54163642" w14:textId="77777777" w:rsidR="00051507" w:rsidRDefault="00051507" w:rsidP="00051507">
      <w:pPr>
        <w:jc w:val="center"/>
      </w:pPr>
    </w:p>
    <w:p w14:paraId="732C5418" w14:textId="77777777" w:rsidR="00051507" w:rsidRPr="00131411" w:rsidRDefault="00051507" w:rsidP="00051507">
      <w:pPr>
        <w:jc w:val="both"/>
        <w:rPr>
          <w:lang w:val="es-ES"/>
        </w:rPr>
      </w:pPr>
    </w:p>
    <w:p w14:paraId="06A31FEC" w14:textId="77777777" w:rsidR="00051507" w:rsidRPr="00B16720" w:rsidRDefault="00051507" w:rsidP="00051507">
      <w:pPr>
        <w:pStyle w:val="Ttulo2"/>
        <w:numPr>
          <w:ilvl w:val="0"/>
          <w:numId w:val="37"/>
        </w:numPr>
        <w:autoSpaceDE w:val="0"/>
        <w:autoSpaceDN w:val="0"/>
        <w:spacing w:after="100" w:afterAutospacing="1" w:line="360" w:lineRule="exact"/>
        <w:ind w:left="0" w:firstLine="0"/>
        <w:jc w:val="both"/>
        <w:rPr>
          <w:bCs w:val="0"/>
          <w:color w:val="8496B0" w:themeColor="text2" w:themeTint="99"/>
          <w:sz w:val="20"/>
        </w:rPr>
      </w:pPr>
      <w:bookmarkStart w:id="3" w:name="_Toc63686708"/>
      <w:r w:rsidRPr="00131411">
        <w:rPr>
          <w:color w:val="8496B0" w:themeColor="text2" w:themeTint="99"/>
          <w:sz w:val="20"/>
        </w:rPr>
        <w:t>CONTEXTO MACROECONÓMICO</w:t>
      </w:r>
      <w:bookmarkEnd w:id="3"/>
      <w:r w:rsidRPr="00131411">
        <w:rPr>
          <w:bCs w:val="0"/>
          <w:color w:val="8496B0" w:themeColor="text2" w:themeTint="99"/>
          <w:sz w:val="20"/>
        </w:rPr>
        <w:fldChar w:fldCharType="begin"/>
      </w:r>
      <w:r w:rsidRPr="00131411">
        <w:rPr>
          <w:color w:val="8496B0" w:themeColor="text2" w:themeTint="99"/>
          <w:sz w:val="20"/>
        </w:rPr>
        <w:instrText xml:space="preserve"> XE "CONTEXTO MACROECONÓMICO" </w:instrText>
      </w:r>
      <w:r w:rsidRPr="00131411">
        <w:rPr>
          <w:bCs w:val="0"/>
          <w:color w:val="8496B0" w:themeColor="text2" w:themeTint="99"/>
          <w:sz w:val="20"/>
        </w:rPr>
        <w:fldChar w:fldCharType="end"/>
      </w:r>
      <w:r w:rsidRPr="00131411">
        <w:rPr>
          <w:bCs w:val="0"/>
          <w:color w:val="8496B0" w:themeColor="text2" w:themeTint="99"/>
          <w:sz w:val="20"/>
        </w:rPr>
        <w:fldChar w:fldCharType="begin"/>
      </w:r>
      <w:r w:rsidRPr="00131411">
        <w:rPr>
          <w:color w:val="8496B0" w:themeColor="text2" w:themeTint="99"/>
          <w:sz w:val="20"/>
        </w:rPr>
        <w:instrText xml:space="preserve"> XE "CONTEXTO MACROECONÓMICO" </w:instrText>
      </w:r>
      <w:r w:rsidRPr="00131411">
        <w:rPr>
          <w:bCs w:val="0"/>
          <w:color w:val="8496B0" w:themeColor="text2" w:themeTint="99"/>
          <w:sz w:val="20"/>
        </w:rPr>
        <w:fldChar w:fldCharType="end"/>
      </w:r>
      <w:r w:rsidRPr="00131411">
        <w:rPr>
          <w:color w:val="8496B0" w:themeColor="text2" w:themeTint="99"/>
          <w:sz w:val="20"/>
        </w:rPr>
        <w:t xml:space="preserve"> </w:t>
      </w:r>
      <w:bookmarkStart w:id="4" w:name="_Hlk32325536"/>
      <w:bookmarkStart w:id="5" w:name="_Hlk63689675"/>
    </w:p>
    <w:p w14:paraId="3B0C564F"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b/>
          <w:bCs/>
        </w:rPr>
      </w:pPr>
      <w:r w:rsidRPr="00896C5A">
        <w:rPr>
          <w:rFonts w:eastAsia="Wingdings"/>
          <w:b/>
          <w:bCs/>
        </w:rPr>
        <w:t>Contexto internacional</w:t>
      </w:r>
    </w:p>
    <w:p w14:paraId="6357E9AB"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b/>
          <w:bCs/>
        </w:rPr>
      </w:pPr>
    </w:p>
    <w:p w14:paraId="3EAC1E36"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pPr>
      <w:r w:rsidRPr="00896C5A">
        <w:t xml:space="preserve">Se prevé que el crecimiento mundial se modere de 5,9% en 2021 a 4,4% en 2022; según informe de octubre 2021 del </w:t>
      </w:r>
      <w:proofErr w:type="spellStart"/>
      <w:r w:rsidRPr="00896C5A">
        <w:t>World</w:t>
      </w:r>
      <w:proofErr w:type="spellEnd"/>
      <w:r w:rsidRPr="00896C5A">
        <w:t xml:space="preserve"> </w:t>
      </w:r>
      <w:proofErr w:type="spellStart"/>
      <w:r w:rsidRPr="00896C5A">
        <w:t>Economic</w:t>
      </w:r>
      <w:proofErr w:type="spellEnd"/>
      <w:r w:rsidRPr="00896C5A">
        <w:t xml:space="preserve"> Outlook de Fondo Monetario Internacional (FMI). </w:t>
      </w:r>
    </w:p>
    <w:p w14:paraId="6C0FD654"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pPr>
      <w:r w:rsidRPr="00896C5A">
        <w:t xml:space="preserve">Para la economía mundial, el año 2022 arranca en condiciones más débiles de lo esperado. A medida que avanza la nueva variante ómicron del virus que provoca la COVID-19, los países han vuelto a instituir restricciones a la movilidad. </w:t>
      </w:r>
    </w:p>
    <w:p w14:paraId="369E571E"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pPr>
      <w:r w:rsidRPr="00896C5A">
        <w:t xml:space="preserve">Los riesgos para las proyecciones de base mundiales se inclinan a la baja. La aparición de nuevas variantes del virus causante de la COVID-19 podría prolongar la pandemia y volver a plantear problemas económicos. Además, las perturbaciones de las cadenas de suministro, la volatilidad de los precios de la energía y presiones salariales específicas generan gran incertidumbre en torno a la trayectoria de la inflación y de las políticas. A medida que suban las tasas de política monetaria de las economías avanzadas, podrían surgir riesgos para la estabilidad financiera, así como para los flujos de capital, las monedas y la situación fiscal de las economías de mercados emergentes y en desarrollo, especialmente teniendo en cuenta que los niveles de deuda se incrementaron significativamente en los dos últimos años. Podrían materializarse otros riesgos mundiales dado que las tensiones geopolíticas siguen siendo agudas, y la actual emergencia climática sigue arrastrando una fuerte probabilidad de grandes catástrofes naturales. </w:t>
      </w:r>
    </w:p>
    <w:p w14:paraId="7380E473"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pPr>
      <w:r w:rsidRPr="00896C5A">
        <w:t xml:space="preserve">En vista de que la pandemia continúa azotando, el énfasis en una estrategia sanitaria mundial es más destacado que nunca. El acceso mundial a vacunas, pruebas de detección y tratamientos es fundamental para conjurar el riesgo de nuevas variantes peligrosas del virus. Eso requiere una mayor producción de suministros, así como mejores sistemas de entrega dentro de los países y una distribución internacional más equitativa. La política monetaria de muchos países tendrá que continuar endureciéndose para contener las presiones inflacionarias, en tanto que la política fiscal —con un margen de maniobra más limitado que en otros momentos de la pandemia— tendrá que priorizar el gasto sanitario y social, centrando el apoyo en los más afectados. En este contexto, la cooperación internacional será esencial para preservar el acceso a la liquidez y agilizar reestructuraciones ordenadas de la deuda cuando sean necesarias. Sigue siendo imperativo invertir en políticas climáticas para alejar el riesgo de un cambio climático catastrófico. </w:t>
      </w:r>
    </w:p>
    <w:p w14:paraId="32C905B7"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b/>
          <w:bCs/>
        </w:rPr>
      </w:pPr>
      <w:r w:rsidRPr="00896C5A">
        <w:rPr>
          <w:rFonts w:eastAsia="Wingdings"/>
          <w:b/>
          <w:bCs/>
        </w:rPr>
        <w:t>Contexto regional</w:t>
      </w:r>
    </w:p>
    <w:p w14:paraId="64ED13B9"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b/>
          <w:bCs/>
        </w:rPr>
      </w:pPr>
    </w:p>
    <w:p w14:paraId="761A7CAA"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r w:rsidRPr="00896C5A">
        <w:rPr>
          <w:rFonts w:eastAsia="Wingdings"/>
        </w:rPr>
        <w:t xml:space="preserve">Muchos países de América Latina duramente golpeados por la pandemia enfrentaron desaceleraciones muy profundas. Se estima una recuperación del producto para el 2021 de 6,8% mientras que se proyecta 2,4% en el 2022 y 2,6% en el 2023. </w:t>
      </w:r>
    </w:p>
    <w:p w14:paraId="712D8B81"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b/>
          <w:bCs/>
        </w:rPr>
      </w:pPr>
    </w:p>
    <w:p w14:paraId="7B4DB68A"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b/>
          <w:bCs/>
        </w:rPr>
      </w:pPr>
      <w:r w:rsidRPr="00896C5A">
        <w:rPr>
          <w:rFonts w:eastAsia="Wingdings"/>
          <w:b/>
          <w:bCs/>
        </w:rPr>
        <w:t>Argentina</w:t>
      </w:r>
    </w:p>
    <w:p w14:paraId="6F60D4E0"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b/>
          <w:bCs/>
        </w:rPr>
      </w:pPr>
    </w:p>
    <w:p w14:paraId="70D3823E"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r w:rsidRPr="00896C5A">
        <w:rPr>
          <w:rFonts w:eastAsia="Wingdings"/>
        </w:rPr>
        <w:t xml:space="preserve">La recuperación de Argentina de 2021 se estima que fue un 10% según informe de enero 2022 del </w:t>
      </w:r>
      <w:proofErr w:type="spellStart"/>
      <w:r w:rsidRPr="00896C5A">
        <w:rPr>
          <w:rFonts w:eastAsia="Wingdings"/>
        </w:rPr>
        <w:t>World</w:t>
      </w:r>
      <w:proofErr w:type="spellEnd"/>
      <w:r w:rsidRPr="00896C5A">
        <w:rPr>
          <w:rFonts w:eastAsia="Wingdings"/>
        </w:rPr>
        <w:t xml:space="preserve"> </w:t>
      </w:r>
      <w:proofErr w:type="spellStart"/>
      <w:r w:rsidRPr="00896C5A">
        <w:rPr>
          <w:rFonts w:eastAsia="Wingdings"/>
        </w:rPr>
        <w:t>Economic</w:t>
      </w:r>
      <w:proofErr w:type="spellEnd"/>
      <w:r w:rsidRPr="00896C5A">
        <w:rPr>
          <w:rFonts w:eastAsia="Wingdings"/>
        </w:rPr>
        <w:t xml:space="preserve"> Outlook de FMI. El FMI proyecta un crecimiento 3% en el 2022 y 2,5% en el 2023.</w:t>
      </w:r>
    </w:p>
    <w:p w14:paraId="7D3881E0"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r w:rsidRPr="00896C5A">
        <w:rPr>
          <w:noProof/>
        </w:rPr>
        <w:drawing>
          <wp:anchor distT="0" distB="0" distL="114300" distR="114300" simplePos="0" relativeHeight="251659264" behindDoc="1" locked="0" layoutInCell="1" allowOverlap="1" wp14:anchorId="4A710976" wp14:editId="6D84C157">
            <wp:simplePos x="0" y="0"/>
            <wp:positionH relativeFrom="margin">
              <wp:posOffset>1290320</wp:posOffset>
            </wp:positionH>
            <wp:positionV relativeFrom="paragraph">
              <wp:posOffset>5080</wp:posOffset>
            </wp:positionV>
            <wp:extent cx="2524564" cy="1112520"/>
            <wp:effectExtent l="0" t="0" r="9525" b="11430"/>
            <wp:wrapNone/>
            <wp:docPr id="22" name="Gráfico 22">
              <a:extLst xmlns:a="http://schemas.openxmlformats.org/drawingml/2006/main">
                <a:ext uri="{FF2B5EF4-FFF2-40B4-BE49-F238E27FC236}">
                  <a16:creationId xmlns:a16="http://schemas.microsoft.com/office/drawing/2014/main" id="{678BFC2A-1C0F-496E-BCFC-901262A2A4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7BDB6A3A"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2B873D04"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7E3C855C"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72D5227D"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r w:rsidRPr="00896C5A">
        <w:rPr>
          <w:rFonts w:eastAsia="Wingdings"/>
        </w:rPr>
        <w:lastRenderedPageBreak/>
        <w:t>La actividad económica de Argentina acumulada hasta noviembre 2021 – medida por el EMAE (Estimador Mensual de Actividad Económica), tuvo un incremento de 10,3% respecto al acumulado del mismo período de 2020.</w:t>
      </w:r>
    </w:p>
    <w:p w14:paraId="75991037"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0C100319"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r w:rsidRPr="00896C5A">
        <w:rPr>
          <w:rFonts w:eastAsia="Wingdings"/>
        </w:rPr>
        <w:t xml:space="preserve">En la misma dirección, y </w:t>
      </w:r>
      <w:proofErr w:type="gramStart"/>
      <w:r w:rsidRPr="00896C5A">
        <w:rPr>
          <w:rFonts w:eastAsia="Wingdings"/>
        </w:rPr>
        <w:t>de acuerdo al</w:t>
      </w:r>
      <w:proofErr w:type="gramEnd"/>
      <w:r w:rsidRPr="00896C5A">
        <w:rPr>
          <w:rFonts w:eastAsia="Wingdings"/>
        </w:rPr>
        <w:t xml:space="preserve"> Informe de Avance del Nivel de Actividad que elabora el </w:t>
      </w:r>
      <w:proofErr w:type="spellStart"/>
      <w:r w:rsidRPr="00896C5A">
        <w:rPr>
          <w:rFonts w:eastAsia="Wingdings"/>
        </w:rPr>
        <w:t>Indec</w:t>
      </w:r>
      <w:proofErr w:type="spellEnd"/>
      <w:r w:rsidRPr="00896C5A">
        <w:rPr>
          <w:rFonts w:eastAsia="Wingdings"/>
        </w:rPr>
        <w:t xml:space="preserve">, el producto interno bruto (PIB), en el tercer trimestre de 2021, muestra un crecimiento de 11,9% con relación al mismo período del año anterior. </w:t>
      </w:r>
    </w:p>
    <w:p w14:paraId="5D5385F6"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68470AD4"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r w:rsidRPr="00896C5A">
        <w:rPr>
          <w:rFonts w:eastAsia="Wingdings"/>
        </w:rPr>
        <w:t>El PIB desestacionalizado del tercer trimestre de 2021, con respecto al segundo trimestre de 2021, arroja una variación de 4,1%, mientras que la tendencia ciclo muestra una variación positiva de 1,2%.</w:t>
      </w:r>
    </w:p>
    <w:p w14:paraId="08774667"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62D499A9"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r w:rsidRPr="00896C5A">
        <w:rPr>
          <w:rFonts w:eastAsia="Wingdings"/>
        </w:rPr>
        <w:t xml:space="preserve">La evolución macroeconómica del tercer trimestre de 2021 determinó, una variación en la oferta global, medida a precios del año 2004, de 14,5% con respecto al mismo período del año anterior, debido a un crecimiento de 11,9% del PIB y a la variación de 26,2% en las importaciones de bienes y servicios reales. </w:t>
      </w:r>
    </w:p>
    <w:p w14:paraId="1117C3BC"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57BCC6E2"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r w:rsidRPr="00896C5A">
        <w:rPr>
          <w:rFonts w:eastAsia="Wingdings"/>
        </w:rPr>
        <w:t xml:space="preserve">En la demanda global se observó un incremento de 21,2% en la formación bruta de capital fijo, el consumo privado creció 12,1%, el consumo público ascendió 11,5% y las exportaciones de bienes y servicios reales registraron un incremento de 18,8%. </w:t>
      </w:r>
    </w:p>
    <w:p w14:paraId="00269FCD"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64CD2AD3"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r w:rsidRPr="00896C5A">
        <w:rPr>
          <w:rFonts w:eastAsia="Wingdings"/>
        </w:rPr>
        <w:t>En términos desestacionalizados, con respecto al segundo trimestre de 2021, las importaciones crecieron 1,7%, el consumo privado registró un incremento de 2,8%, el consumo público aumentó 3,4%, la formación bruta de capital fijo tuvo una variación de -1,2% mientras que las exportaciones se incrementaron 7,3%.</w:t>
      </w:r>
    </w:p>
    <w:p w14:paraId="2DF0D911"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0BC41F12"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r w:rsidRPr="00896C5A">
        <w:rPr>
          <w:rFonts w:eastAsia="Wingdings"/>
        </w:rPr>
        <w:t>En lo que respecta a la actividad industrial medida por el Índice de producción industrial manufacturero (IPI manufacturero), en noviembre de 2021, muestra una suba de 10,1% respecto a igual mes de 2020. El acumulado enero-noviembre de 2021 presenta un incremento de 16,3% respecto a igual período de 2020. Por su parte, el índice de la serie desestacionalizada muestra una variación positiva de 4,8% respecto al mes anterior y la índice serie tendencia-ciclo registra una variación positiva de 0,5% respecto al mes anterior.</w:t>
      </w:r>
    </w:p>
    <w:p w14:paraId="7DE8AA5C"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61DC8DCC"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r w:rsidRPr="00896C5A">
        <w:rPr>
          <w:rFonts w:eastAsia="Wingdings"/>
        </w:rPr>
        <w:t>Respecto a la evolución de los precios, de acuerdo el IPC (Índice de Precios Consumidor) alcanzó un 50,9% acumulado en 2021 (INDEC) versus un 36,1% para el 2020. A continuación, se detalla la inflación de los últimos 5 años.</w:t>
      </w:r>
    </w:p>
    <w:p w14:paraId="6538A70B"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noProof/>
        </w:rPr>
      </w:pPr>
      <w:r w:rsidRPr="00896C5A">
        <w:rPr>
          <w:noProof/>
        </w:rPr>
        <w:drawing>
          <wp:anchor distT="0" distB="0" distL="114300" distR="114300" simplePos="0" relativeHeight="251660288" behindDoc="1" locked="0" layoutInCell="1" allowOverlap="1" wp14:anchorId="18FA1FC4" wp14:editId="4EA1711A">
            <wp:simplePos x="0" y="0"/>
            <wp:positionH relativeFrom="margin">
              <wp:align>center</wp:align>
            </wp:positionH>
            <wp:positionV relativeFrom="paragraph">
              <wp:posOffset>180975</wp:posOffset>
            </wp:positionV>
            <wp:extent cx="4419600" cy="2857500"/>
            <wp:effectExtent l="0" t="0" r="0" b="0"/>
            <wp:wrapNone/>
            <wp:docPr id="23" name="Gráfico 23">
              <a:extLst xmlns:a="http://schemas.openxmlformats.org/drawingml/2006/main">
                <a:ext uri="{FF2B5EF4-FFF2-40B4-BE49-F238E27FC236}">
                  <a16:creationId xmlns:a16="http://schemas.microsoft.com/office/drawing/2014/main" id="{84431778-4F2A-4AE9-B8FC-76C2A2FD8A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496D4C54"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01160B9C"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45C81206"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27684C6B"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67487AD0"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629C6483"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24C8E576"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4A179A9C"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06933C1A"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5975545C"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05323FFE"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73CD9C55"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31F35766"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5F6CBAE5"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694AD109"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76422B0C"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637A50F6"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6680D2E5"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cs="HelveticaNeueLT Std"/>
          <w:sz w:val="17"/>
          <w:szCs w:val="17"/>
        </w:rPr>
      </w:pPr>
      <w:r w:rsidRPr="00896C5A">
        <w:rPr>
          <w:rFonts w:eastAsia="Wingdings"/>
        </w:rPr>
        <w:t>Según el informe del INDEC del Intercambio Comercial Argentino, en los doce meses de 2021, las exportaciones alcanzaron 77.934 millones de dólares y las importaciones 63.184 millones de dólares. El intercambio comercial (exportaciones más importaciones) alcanzó un total de 141.118 millones de dólares, el mayor nivel desde 2013 (150.405 millones de dólares).</w:t>
      </w:r>
      <w:r w:rsidRPr="00896C5A">
        <w:rPr>
          <w:rStyle w:val="A9"/>
        </w:rPr>
        <w:t xml:space="preserve"> </w:t>
      </w:r>
      <w:r w:rsidRPr="00896C5A">
        <w:rPr>
          <w:rFonts w:eastAsia="Wingdings"/>
        </w:rPr>
        <w:t>Las exportaciones de 2021 registraron un incremento de 42,0% respecto a 2020 y el valor alcanzado solo es superado en la serie histórica por los niveles correspondientes a 2012 y 2011 (79.982 y 82.981 millones de dólares, respectivamente). Este resultado fue consecuencia de un desempeño muy dinámico de todos los rubros. Las importaciones registraron un incremento interanual de 49,2%. El saldo comercial alcanzó los 14.750 millones de dólares (el segundo mayor después del registrado en 2019), beneficiado por el favorable comportamiento de los términos del intercambio. En efecto, mientras que los precios de las exportaciones argentinas crecieron 25,8% y las cantidades se incrementaron 12,9%, las importaciones exhibieron un comportamiento inverso, con incrementos de 14,7% en los precios y 30,1% en las cantidades. Entre los principales socios comerciales lideraron, como es habitual, Brasil, China y Estados Unidos. En 2021 se destacaron también los desempeños de India, que alcanzó el cuarto lugar merced a un fuerte incremento (71,5%) de sus compras a la Argentina; y Chile, país con el cual se logró el mayor superávit (3.486 millones de dólares), con un incremento de 48,3% respecto de 2020.</w:t>
      </w:r>
    </w:p>
    <w:p w14:paraId="772779BF"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40769D6E" w14:textId="77777777" w:rsidR="00051507" w:rsidRPr="00896C5A" w:rsidRDefault="00051507" w:rsidP="00051507">
      <w:pPr>
        <w:tabs>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r w:rsidRPr="00896C5A">
        <w:rPr>
          <w:rFonts w:eastAsia="Wingdings"/>
        </w:rPr>
        <w:t>El tipo de cambio oficial mayorista concluyó el 2021 en $102,72 por lo que la devaluación acumulada en 2021 alcanzó el 22%.</w:t>
      </w:r>
    </w:p>
    <w:p w14:paraId="21826758" w14:textId="77777777" w:rsidR="00051507" w:rsidRPr="00896C5A" w:rsidRDefault="00051507" w:rsidP="00051507">
      <w:pPr>
        <w:tabs>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22C36167" w14:textId="77777777" w:rsidR="00051507" w:rsidRPr="00896C5A" w:rsidRDefault="00051507" w:rsidP="00051507">
      <w:pPr>
        <w:tabs>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r w:rsidRPr="00896C5A">
        <w:rPr>
          <w:rFonts w:eastAsia="Wingdings"/>
        </w:rPr>
        <w:t>Según el informe monetario mensual del BCRA, en diciembre la Base Monetaria se ubicó en $3.394 miles de millones lo que implicó un aumento nominal promedio mensual de 7,8%</w:t>
      </w:r>
    </w:p>
    <w:p w14:paraId="3C7C7C5E"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0EBBF4B9" w14:textId="77777777" w:rsidR="00051507" w:rsidRPr="00896C5A" w:rsidRDefault="00051507" w:rsidP="00051507">
      <w:pPr>
        <w:tabs>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r w:rsidRPr="00896C5A">
        <w:rPr>
          <w:rFonts w:eastAsia="Wingdings"/>
        </w:rPr>
        <w:t>Las Reservas Internacionales del BCRA finalizaron en diciembre con un saldo de US$39.582 millones, reflejando una disminución de US$1.947 millones respecto a fines de noviembre. Cabe señalar que la mayor parte de la caída observada en el mes respondió al pago de capital realizado al FMI en el marco del Stand-</w:t>
      </w:r>
      <w:proofErr w:type="spellStart"/>
      <w:r w:rsidRPr="00896C5A">
        <w:rPr>
          <w:rFonts w:eastAsia="Wingdings"/>
        </w:rPr>
        <w:t>By</w:t>
      </w:r>
      <w:proofErr w:type="spellEnd"/>
      <w:r w:rsidRPr="00896C5A">
        <w:rPr>
          <w:rFonts w:eastAsia="Wingdings"/>
        </w:rPr>
        <w:t xml:space="preserve"> </w:t>
      </w:r>
      <w:proofErr w:type="spellStart"/>
      <w:r w:rsidRPr="00896C5A">
        <w:rPr>
          <w:rFonts w:eastAsia="Wingdings"/>
        </w:rPr>
        <w:t>Agreement</w:t>
      </w:r>
      <w:proofErr w:type="spellEnd"/>
      <w:r w:rsidRPr="00896C5A">
        <w:rPr>
          <w:rFonts w:eastAsia="Wingdings"/>
        </w:rPr>
        <w:t xml:space="preserve"> (SBA) por unos US$1.850 millones. De este modo, las Reservas Internacionales acumularon en el año una suba de US$195 millones.</w:t>
      </w:r>
    </w:p>
    <w:p w14:paraId="5BA81720"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b/>
          <w:bCs/>
        </w:rPr>
      </w:pPr>
    </w:p>
    <w:bookmarkEnd w:id="4"/>
    <w:bookmarkEnd w:id="5"/>
    <w:p w14:paraId="5A8C101F"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b/>
          <w:bCs/>
        </w:rPr>
      </w:pPr>
      <w:r w:rsidRPr="00896C5A">
        <w:rPr>
          <w:rFonts w:eastAsia="Wingdings"/>
          <w:b/>
          <w:bCs/>
        </w:rPr>
        <w:t>Características estructurales del sector energético</w:t>
      </w:r>
    </w:p>
    <w:p w14:paraId="4A536BDF"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b/>
          <w:bCs/>
        </w:rPr>
      </w:pPr>
    </w:p>
    <w:p w14:paraId="7D5E3874"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r w:rsidRPr="00896C5A">
        <w:rPr>
          <w:rFonts w:eastAsia="Wingdings"/>
        </w:rPr>
        <w:t xml:space="preserve">La demanda y consumo energético en la Argentina mantiene un coeficiente de correlación positivo con el Producto Bruto Interno, que significa que a mayor crecimiento económico la demanda energética consolidada de todos los productos energéticos también se incrementa. La evolución inversa también se cumple con menor intensidad, ya que a disminución de la actividad económica se corresponde una reducción en el consumo energético de menor magnitud. </w:t>
      </w:r>
    </w:p>
    <w:p w14:paraId="22A8B04E"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3C80650C"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El crecimiento histórico del consumo energético tuvo un promedio anual de 2.5% desde 1959 hasta 2021</w:t>
      </w:r>
      <w:r w:rsidRPr="00896C5A">
        <w:rPr>
          <w:rFonts w:eastAsia="Wingdings"/>
          <w:vertAlign w:val="superscript"/>
        </w:rPr>
        <w:footnoteReference w:id="2"/>
      </w:r>
      <w:r w:rsidRPr="00896C5A">
        <w:rPr>
          <w:rFonts w:eastAsia="Wingdings"/>
        </w:rPr>
        <w:t>, y un promedio anual normalizado de solo 0.6% anual desde la Gran Crisis de 2002. La importante caída de consumo energético y del PBI en 2020 de -6.6% y -9.9% respectivamente, tuvo una reversión relevante en 2021 con estimados de +6.6% y +9.0%. La relevancia de la recuperación es importante, máxime cuando se concentra principalmente desde mediados de 2021. No obstante, el consumo energético tiene una evolución pobre en la última década.</w:t>
      </w:r>
    </w:p>
    <w:p w14:paraId="24B1467E" w14:textId="77777777" w:rsidR="00051507" w:rsidRPr="00896C5A" w:rsidRDefault="00051507" w:rsidP="00051507">
      <w:pPr>
        <w:pStyle w:val="Sangradetextonormal"/>
        <w:ind w:left="284"/>
        <w:jc w:val="center"/>
        <w:rPr>
          <w:rFonts w:ascii="Arial" w:hAnsi="Arial" w:cs="Arial"/>
          <w:lang w:val="es-AR" w:eastAsia="es-ES"/>
        </w:rPr>
      </w:pPr>
      <w:r w:rsidRPr="00896C5A">
        <w:rPr>
          <w:rFonts w:ascii="Arial" w:hAnsi="Arial" w:cs="Arial"/>
          <w:noProof/>
          <w:lang w:val="es-AR" w:eastAsia="es-ES"/>
        </w:rPr>
        <w:drawing>
          <wp:inline distT="0" distB="0" distL="0" distR="0" wp14:anchorId="227CD68D" wp14:editId="2A3FAC7A">
            <wp:extent cx="3907155" cy="2224822"/>
            <wp:effectExtent l="0" t="0" r="0" b="4445"/>
            <wp:docPr id="14" name="Imagen 14"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Gráfico, Gráfico de líneas&#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19684" cy="2231956"/>
                    </a:xfrm>
                    <a:prstGeom prst="rect">
                      <a:avLst/>
                    </a:prstGeom>
                    <a:noFill/>
                  </pic:spPr>
                </pic:pic>
              </a:graphicData>
            </a:graphic>
          </wp:inline>
        </w:drawing>
      </w:r>
    </w:p>
    <w:p w14:paraId="3FEA0E0A"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En 2018 la recesión económica – con contracción de -2.6% respecto al buen nivel económico de 2017 con +2.8% - y meses de verano con temperaturas inferiores a las del año previo, tuvieron impacto en la demanda de energía que se redujo 6.0% respecto a 2017. En 2019 pese a la nueva caída del PBI de -2.1% respecto a 2018, se produjo un incremento en el consumo energético de 2.2% respecto a 2018 influido por tarifas de gas y electricidad congeladas desde inicios de año, y precios de combustibles congelados desde agosto 2019. </w:t>
      </w:r>
    </w:p>
    <w:p w14:paraId="11296D4D" w14:textId="77777777" w:rsidR="00051507" w:rsidRPr="00826A90"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Las consecuencias derivadas de las medidas de restricción impuestas para contener los efectos de la pandemia COVID 19 desde marzo 2020, impactaron en forma contundente en la economía argentina. Durante 2020, la crisis económica debido a las medidas de aislamiento derivó finalmente en una contracción económica histórica de -9.9%. La reducción en el consumo energético también fue histórica, con contracción de -8.6% pese a las bajas temperaturas del invierno </w:t>
      </w:r>
      <w:proofErr w:type="gramStart"/>
      <w:r w:rsidRPr="00896C5A">
        <w:rPr>
          <w:rFonts w:eastAsia="Wingdings"/>
        </w:rPr>
        <w:t>en relación al</w:t>
      </w:r>
      <w:proofErr w:type="gramEnd"/>
      <w:r w:rsidRPr="00896C5A">
        <w:rPr>
          <w:rFonts w:eastAsia="Wingdings"/>
        </w:rPr>
        <w:t xml:space="preserve"> invierno 2019.  </w:t>
      </w:r>
    </w:p>
    <w:p w14:paraId="7D52EA60"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Arial" w:hAnsi="Arial" w:cs="Arial"/>
          <w:noProof/>
        </w:rPr>
      </w:pPr>
      <w:r w:rsidRPr="00896C5A">
        <w:rPr>
          <w:rFonts w:ascii="Arial" w:hAnsi="Arial" w:cs="Arial"/>
          <w:noProof/>
          <w:lang w:eastAsia="es-ES"/>
        </w:rPr>
        <w:drawing>
          <wp:anchor distT="0" distB="0" distL="114300" distR="114300" simplePos="0" relativeHeight="251661312" behindDoc="1" locked="0" layoutInCell="1" allowOverlap="1" wp14:anchorId="67C88235" wp14:editId="12382CCF">
            <wp:simplePos x="0" y="0"/>
            <wp:positionH relativeFrom="margin">
              <wp:align>center</wp:align>
            </wp:positionH>
            <wp:positionV relativeFrom="paragraph">
              <wp:posOffset>-2189</wp:posOffset>
            </wp:positionV>
            <wp:extent cx="3983275" cy="2371725"/>
            <wp:effectExtent l="0" t="0" r="0" b="0"/>
            <wp:wrapNone/>
            <wp:docPr id="21" name="Imagen 2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Gráfico&#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3275" cy="2371725"/>
                    </a:xfrm>
                    <a:prstGeom prst="rect">
                      <a:avLst/>
                    </a:prstGeom>
                    <a:noFill/>
                  </pic:spPr>
                </pic:pic>
              </a:graphicData>
            </a:graphic>
          </wp:anchor>
        </w:drawing>
      </w:r>
    </w:p>
    <w:p w14:paraId="70F6690C"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Arial" w:hAnsi="Arial" w:cs="Arial"/>
          <w:noProof/>
        </w:rPr>
      </w:pPr>
    </w:p>
    <w:p w14:paraId="3828DB16"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Arial" w:hAnsi="Arial" w:cs="Arial"/>
          <w:noProof/>
        </w:rPr>
      </w:pPr>
    </w:p>
    <w:p w14:paraId="126999DC"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Arial" w:hAnsi="Arial" w:cs="Arial"/>
          <w:noProof/>
        </w:rPr>
      </w:pPr>
    </w:p>
    <w:p w14:paraId="78404F9B"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Arial" w:hAnsi="Arial" w:cs="Arial"/>
          <w:noProof/>
        </w:rPr>
      </w:pPr>
    </w:p>
    <w:p w14:paraId="563AE079"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Arial" w:hAnsi="Arial" w:cs="Arial"/>
          <w:noProof/>
        </w:rPr>
      </w:pPr>
    </w:p>
    <w:p w14:paraId="2BC262D7"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Arial" w:hAnsi="Arial" w:cs="Arial"/>
          <w:noProof/>
        </w:rPr>
      </w:pPr>
    </w:p>
    <w:p w14:paraId="5B56A6A0"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Arial" w:hAnsi="Arial" w:cs="Arial"/>
          <w:noProof/>
        </w:rPr>
      </w:pPr>
    </w:p>
    <w:p w14:paraId="26431DC5"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77D9D9A4"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7B7F68ED"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61E95225"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4F012DA2"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7B4071AC"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7255BACF"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La economía se recupera con crecimiento estimado en +9.0% anual según consultoras especializadas en análisis económico. Las primeras estimaciones que elabora G&amp;G Energy </w:t>
      </w:r>
      <w:proofErr w:type="spellStart"/>
      <w:r w:rsidRPr="00896C5A">
        <w:rPr>
          <w:rFonts w:eastAsia="Wingdings"/>
        </w:rPr>
        <w:t>Consultants</w:t>
      </w:r>
      <w:proofErr w:type="spellEnd"/>
      <w:r w:rsidRPr="00896C5A">
        <w:rPr>
          <w:rFonts w:eastAsia="Wingdings"/>
        </w:rPr>
        <w:t xml:space="preserve"> para el consumo de energía en 2021 muestran fuerte incremento de +6.6% con temperaturas dentro de parámetros históricos en meses de verano y de invierno.  </w:t>
      </w:r>
    </w:p>
    <w:p w14:paraId="5DEC839E"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55823E4E"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ascii="Arial" w:hAnsi="Arial" w:cs="Arial"/>
          <w:noProof/>
          <w:lang w:eastAsia="es-ES"/>
        </w:rPr>
        <w:lastRenderedPageBreak/>
        <w:drawing>
          <wp:anchor distT="0" distB="0" distL="114300" distR="114300" simplePos="0" relativeHeight="251662336" behindDoc="1" locked="0" layoutInCell="1" allowOverlap="1" wp14:anchorId="101BB6DA" wp14:editId="12427EC6">
            <wp:simplePos x="0" y="0"/>
            <wp:positionH relativeFrom="margin">
              <wp:align>center</wp:align>
            </wp:positionH>
            <wp:positionV relativeFrom="paragraph">
              <wp:posOffset>89981</wp:posOffset>
            </wp:positionV>
            <wp:extent cx="3927475" cy="2120370"/>
            <wp:effectExtent l="0" t="0" r="0" b="0"/>
            <wp:wrapNone/>
            <wp:docPr id="31" name="Imagen 31"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Gráfico, Gráfico de dispersión&#10;&#10;Descripción generada automá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27475" cy="2120370"/>
                    </a:xfrm>
                    <a:prstGeom prst="rect">
                      <a:avLst/>
                    </a:prstGeom>
                    <a:noFill/>
                  </pic:spPr>
                </pic:pic>
              </a:graphicData>
            </a:graphic>
          </wp:anchor>
        </w:drawing>
      </w:r>
    </w:p>
    <w:p w14:paraId="009D247C"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278D5CF9"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75349193"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7CC1A6ED"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2C2DD7B2"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75B89C68"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46552C54"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4C9277BE"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2A089D13"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277EAEB5"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42011033"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3DD74214"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La reducción en el consumo de energía primaria de los últimos años hasta el inicio de la pandemia en 2020 que se resalta en el gráfico anterior culmina el proceso de estancamiento económico que se verifica desde 2011. Entre 2016 y 2018, el estancamiento en el consumo energético fue influido por el proceso de recomposición de tarifas de gas y electricidad. Este impacto fue superado por la crisis económica histórica de 2020, evidenciando de algún modo que la evolución de la economía impacta de modo más decisivo en este el consumo energético. Por esto, sería de esperar que las tarifas energéticas se recompongan cuando se reanude el crecimiento económico del país, ya que la política de ajuste tarifario no necesariamente influye decisivamente en la marcha económica.</w:t>
      </w:r>
    </w:p>
    <w:p w14:paraId="060ED309"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El crecimiento del consumo energético en varios años de la primera década del siglo XXI fue resultado de un crecimiento económico elevado, que no fue motorizado tanto por un crecimiento del consumo del sector Industrial sino preponderantemente por los sectores Residencial y Comercial en su demanda de diversos productos energéticos, como se advierte en los parámetros del consumo gasífero, de naftas y especialmente de electricidad. El estancamiento económico en que se ha desenvuelto la economía argentina desde 2011 con alternancia entre años positivos y negativos de similar nivel, redujo las tasas de crecimiento del consumo energético que se habían mostrado aumentos importantes por sobre la media histórica entre 2003 y 2011. Probablemente los niveles tarifarios de combustibles, gas y electricidad deprimidos de aquellos años hayan incentivado el consumo energético en este periodo, aunque probaron ser insostenibles para la macroeconomía argentina.</w:t>
      </w:r>
    </w:p>
    <w:p w14:paraId="01C2A49D"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La elasticidad del consumo energético con relación al PBI</w:t>
      </w:r>
      <w:r w:rsidRPr="00896C5A">
        <w:rPr>
          <w:rFonts w:eastAsia="Wingdings"/>
          <w:vertAlign w:val="superscript"/>
        </w:rPr>
        <w:footnoteReference w:id="3"/>
      </w:r>
      <w:r w:rsidRPr="00896C5A">
        <w:rPr>
          <w:rFonts w:eastAsia="Wingdings"/>
          <w:vertAlign w:val="superscript"/>
        </w:rPr>
        <w:t xml:space="preserve"> </w:t>
      </w:r>
      <w:r w:rsidRPr="00896C5A">
        <w:rPr>
          <w:rFonts w:eastAsia="Wingdings"/>
        </w:rPr>
        <w:t xml:space="preserve">en los últimos dos grandes ciclos político-económicos – década de 1990 y de 2000-2020 - es inferior a décadas previas. Las restricciones a la demanda energética por suministro insuficiente, y la necesidad de importar energía para complementar la oferta doméstica, tuvieron impacto en la economía y en el sector Industrial en particular. </w:t>
      </w:r>
    </w:p>
    <w:p w14:paraId="2331D22F"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Si existiera un proceso de crecimiento económico sólido en el futuro, sin dudas la necesidad de abastecimiento energético será creciente y mayor al de los últimos veinte años.</w:t>
      </w:r>
    </w:p>
    <w:p w14:paraId="495922ED" w14:textId="77777777" w:rsidR="00051507" w:rsidRPr="00896C5A" w:rsidRDefault="00051507" w:rsidP="00051507">
      <w:pPr>
        <w:pStyle w:val="Sangradetextonormal"/>
        <w:spacing w:after="240"/>
        <w:ind w:left="289"/>
        <w:jc w:val="center"/>
        <w:rPr>
          <w:rFonts w:ascii="Arial" w:hAnsi="Arial" w:cs="Arial"/>
          <w:lang w:val="es-AR" w:eastAsia="es-ES"/>
        </w:rPr>
      </w:pPr>
      <w:r w:rsidRPr="00896C5A">
        <w:rPr>
          <w:noProof/>
        </w:rPr>
        <w:drawing>
          <wp:inline distT="0" distB="0" distL="0" distR="0" wp14:anchorId="1C06208A" wp14:editId="321B00DC">
            <wp:extent cx="5900420" cy="17716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0420" cy="1771650"/>
                    </a:xfrm>
                    <a:prstGeom prst="rect">
                      <a:avLst/>
                    </a:prstGeom>
                    <a:noFill/>
                    <a:ln>
                      <a:noFill/>
                    </a:ln>
                  </pic:spPr>
                </pic:pic>
              </a:graphicData>
            </a:graphic>
          </wp:inline>
        </w:drawing>
      </w:r>
    </w:p>
    <w:p w14:paraId="7B9DC45F"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Las restricciones de abastecimiento de productos energéticos como el gas natural en el último ciclo de crecimiento económico hasta 2011, junto con crecimiento moderado de demanda energética en términos amplios</w:t>
      </w:r>
      <w:r w:rsidRPr="00896C5A">
        <w:rPr>
          <w:rFonts w:eastAsia="Wingdings"/>
          <w:vertAlign w:val="superscript"/>
        </w:rPr>
        <w:footnoteReference w:id="4"/>
      </w:r>
      <w:r w:rsidRPr="00896C5A">
        <w:rPr>
          <w:rFonts w:eastAsia="Wingdings"/>
        </w:rPr>
        <w:t>, generaron problemas en el suministro efectivo de la demanda. La prioridad de abastecimiento de consumidores del segmento Residencial-Comercial de gas y electricidad junto a la recuperación industrial de pequeña y mediana relevancia dio lugar a restricciones y menor crecimiento del consumo energético de grandes consumidores.</w:t>
      </w:r>
    </w:p>
    <w:p w14:paraId="6E836E64" w14:textId="77777777" w:rsidR="00051507" w:rsidRPr="00896C5A" w:rsidRDefault="00051507" w:rsidP="00051507">
      <w:pPr>
        <w:pStyle w:val="Sangradetextonormal"/>
        <w:spacing w:after="240"/>
        <w:ind w:left="284"/>
        <w:jc w:val="center"/>
        <w:rPr>
          <w:rFonts w:ascii="Arial" w:hAnsi="Arial" w:cs="Arial"/>
          <w:lang w:val="es-AR" w:eastAsia="es-ES"/>
        </w:rPr>
      </w:pPr>
      <w:r w:rsidRPr="00896C5A">
        <w:rPr>
          <w:rFonts w:ascii="Arial" w:hAnsi="Arial" w:cs="Arial"/>
          <w:noProof/>
          <w:lang w:val="es-AR" w:eastAsia="es-ES"/>
        </w:rPr>
        <w:lastRenderedPageBreak/>
        <w:drawing>
          <wp:inline distT="0" distB="0" distL="0" distR="0" wp14:anchorId="50FCD0A3" wp14:editId="0DDCD974">
            <wp:extent cx="3891280" cy="2193020"/>
            <wp:effectExtent l="0" t="0" r="0" b="0"/>
            <wp:docPr id="39" name="Imagen 39"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Gráfico&#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02739" cy="2199478"/>
                    </a:xfrm>
                    <a:prstGeom prst="rect">
                      <a:avLst/>
                    </a:prstGeom>
                    <a:noFill/>
                  </pic:spPr>
                </pic:pic>
              </a:graphicData>
            </a:graphic>
          </wp:inline>
        </w:drawing>
      </w:r>
    </w:p>
    <w:p w14:paraId="432ED229"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La estructura del consumo primario energético en la Argentina es dependiente de los hidrocarburos, con 86.8% en 2016, 86.5% en 2017, 85.8% en 2018, 86.1% en 2019; y 85.4% en 2020.</w:t>
      </w:r>
    </w:p>
    <w:p w14:paraId="76415505"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Estimamos cambios poco significativos en 2021, probablemente en 86% por la reducción de oferta hidroeléctrica compensada solo parcialmente por el crecimiento de fuentes renovables en abastecimiento eléctrico</w:t>
      </w:r>
      <w:r w:rsidRPr="00896C5A">
        <w:rPr>
          <w:rFonts w:eastAsia="Wingdings"/>
          <w:vertAlign w:val="superscript"/>
        </w:rPr>
        <w:footnoteReference w:id="5"/>
      </w:r>
      <w:r w:rsidRPr="00896C5A">
        <w:rPr>
          <w:rFonts w:eastAsia="Wingdings"/>
          <w:vertAlign w:val="superscript"/>
        </w:rPr>
        <w:t>.</w:t>
      </w:r>
    </w:p>
    <w:p w14:paraId="436790C2"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ascii="Arial" w:hAnsi="Arial" w:cs="Arial"/>
          <w:lang w:eastAsia="es-ES"/>
        </w:rPr>
      </w:pPr>
      <w:r w:rsidRPr="00896C5A">
        <w:rPr>
          <w:rFonts w:eastAsia="Wingdings"/>
        </w:rPr>
        <w:t xml:space="preserve">Este porcentaje de fuentes de origen fósil se ha reducido levemente en los últimos años por la obligación impuesta a los refinadores que abastecen combustibles de incorporar porcentajes de biodiesel y bioetanol en su producción de combustibles fósiles como gas </w:t>
      </w:r>
      <w:proofErr w:type="spellStart"/>
      <w:r w:rsidRPr="00896C5A">
        <w:rPr>
          <w:rFonts w:eastAsia="Wingdings"/>
        </w:rPr>
        <w:t>oil</w:t>
      </w:r>
      <w:proofErr w:type="spellEnd"/>
      <w:r w:rsidRPr="00896C5A">
        <w:rPr>
          <w:rFonts w:eastAsia="Wingdings"/>
        </w:rPr>
        <w:t xml:space="preserve"> y naftas, como también en la incorporación de decenas de plantas de generación eléctrica eólica y solar, especialmente en 2019, 2020 y 2021. Para 2022 y 2023, consideramos que el proceso de incorporación de plantas eléctricas de fuentes renovables se detendrá, y el rol de hidrocarburos fósiles deberá aumentar levemente si aumenta el consumo energético como consideramos que sucederá.</w:t>
      </w:r>
    </w:p>
    <w:p w14:paraId="77294AB3" w14:textId="77777777" w:rsidR="00051507" w:rsidRPr="00896C5A" w:rsidRDefault="00051507" w:rsidP="00051507">
      <w:pPr>
        <w:pStyle w:val="Sangradetextonormal"/>
        <w:spacing w:after="240"/>
        <w:ind w:left="284"/>
        <w:jc w:val="center"/>
        <w:rPr>
          <w:rFonts w:ascii="Arial" w:hAnsi="Arial" w:cs="Arial"/>
          <w:lang w:val="es-AR" w:eastAsia="es-ES"/>
        </w:rPr>
      </w:pPr>
      <w:r w:rsidRPr="00896C5A">
        <w:rPr>
          <w:rFonts w:ascii="Arial" w:hAnsi="Arial" w:cs="Arial"/>
          <w:noProof/>
          <w:lang w:val="es-AR"/>
        </w:rPr>
        <w:drawing>
          <wp:inline distT="0" distB="0" distL="0" distR="0" wp14:anchorId="6C8F019E" wp14:editId="453DF95E">
            <wp:extent cx="3914372" cy="2800350"/>
            <wp:effectExtent l="0" t="0" r="0" b="0"/>
            <wp:docPr id="1171" name="Imagen 117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 name="Imagen 1171" descr="Diagrama&#10;&#10;Descripción generada automá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0334" cy="2811769"/>
                    </a:xfrm>
                    <a:prstGeom prst="rect">
                      <a:avLst/>
                    </a:prstGeom>
                    <a:noFill/>
                  </pic:spPr>
                </pic:pic>
              </a:graphicData>
            </a:graphic>
          </wp:inline>
        </w:drawing>
      </w:r>
    </w:p>
    <w:p w14:paraId="0623A845"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La característica estructural de tan alta dependencia de derivados del petróleo y del gas natural se da en pocos países, que coincidentemente poseen grandes reservas de petróleo y gas. Si bien la Argentina no posee grandes reservas convencionales de petróleo y gas natural </w:t>
      </w:r>
      <w:proofErr w:type="gramStart"/>
      <w:r w:rsidRPr="00896C5A">
        <w:rPr>
          <w:rFonts w:eastAsia="Wingdings"/>
        </w:rPr>
        <w:t>en relación a</w:t>
      </w:r>
      <w:proofErr w:type="gramEnd"/>
      <w:r w:rsidRPr="00896C5A">
        <w:rPr>
          <w:rFonts w:eastAsia="Wingdings"/>
        </w:rPr>
        <w:t xml:space="preserve"> su demanda interna, posee potencial relevante en recursos no convencionales de gas y petróleo. Por la naturaleza, característica y costo de las inversiones necesarias, existe dificultad de modificar la estructura de consumo primario energético en el corto plazo en favor de fuentes hidroeléctricas o renovables. Igualmente, diferentes Gobiernos mantuvieron objetivos ambiciosos de incremento de fuentes renovables en el abastecimiento eléctrico, limitados desde 2020 por financiamiento escaso y limitaciones de transmisión eléctrica.</w:t>
      </w:r>
    </w:p>
    <w:p w14:paraId="20FB20A2"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La participación elevada del gas natural en el consumo energético primario – 53.2% en 2018, 54.5% en 2019, 54.7% en 2020 y un estimado de 55.8% en 2021 -, fluctúa anualmente en función de las cantidades importadas de gas natural desde Bolivia, de Gas Natural Licuado (GNL) de diverso origen, y de producción local de distintas cuentas para satisfacer la demanda. A pesar de la mayor producción local que se manifestó plenamente en los inviernos 2018 y especialmente 2019, y de las importaciones de gas desde Bolivia y LNG, la demanda potencial de gas natural se encuentra aun parcialmente insatisfecha en invierno en el segmento industrial y en el segmento de generación termoeléctrica</w:t>
      </w:r>
      <w:r w:rsidRPr="00896C5A">
        <w:rPr>
          <w:rFonts w:eastAsia="Wingdings"/>
          <w:vertAlign w:val="superscript"/>
        </w:rPr>
        <w:footnoteReference w:id="6"/>
      </w:r>
      <w:r w:rsidRPr="00896C5A">
        <w:rPr>
          <w:rFonts w:eastAsia="Wingdings"/>
          <w:vertAlign w:val="superscript"/>
        </w:rPr>
        <w:t>.</w:t>
      </w:r>
      <w:r w:rsidRPr="00896C5A">
        <w:rPr>
          <w:rFonts w:eastAsia="Wingdings"/>
        </w:rPr>
        <w:t xml:space="preserve"> </w:t>
      </w:r>
    </w:p>
    <w:p w14:paraId="5D1F97DA"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En el invierno 2020 se evidenció una situación de mayor déficit de oferta por la importante reducción de producción comercial local de gas, que se mitigó parcialmente por la recuperación vigorosa de cuenca Neuquina en el invierno 2021.</w:t>
      </w:r>
    </w:p>
    <w:p w14:paraId="20117E75" w14:textId="77777777" w:rsidR="00051507" w:rsidRPr="00896C5A" w:rsidRDefault="00051507" w:rsidP="00051507">
      <w:pPr>
        <w:pStyle w:val="Sangradetextonormal"/>
        <w:spacing w:after="240"/>
        <w:ind w:left="284"/>
        <w:jc w:val="center"/>
        <w:rPr>
          <w:rFonts w:ascii="Arial" w:hAnsi="Arial" w:cs="Arial"/>
          <w:lang w:val="es-AR" w:eastAsia="es-ES"/>
        </w:rPr>
      </w:pPr>
      <w:r w:rsidRPr="00896C5A">
        <w:rPr>
          <w:rFonts w:ascii="Arial" w:hAnsi="Arial" w:cs="Arial"/>
          <w:noProof/>
          <w:lang w:val="es-AR" w:eastAsia="es-ES"/>
        </w:rPr>
        <w:lastRenderedPageBreak/>
        <w:drawing>
          <wp:inline distT="0" distB="0" distL="0" distR="0" wp14:anchorId="7594656F" wp14:editId="59044ECE">
            <wp:extent cx="3924300" cy="2237802"/>
            <wp:effectExtent l="0" t="0" r="0" b="0"/>
            <wp:docPr id="42" name="Imagen 42"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Gráfico, Gráfico de líneas&#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37165" cy="2245138"/>
                    </a:xfrm>
                    <a:prstGeom prst="rect">
                      <a:avLst/>
                    </a:prstGeom>
                    <a:noFill/>
                  </pic:spPr>
                </pic:pic>
              </a:graphicData>
            </a:graphic>
          </wp:inline>
        </w:drawing>
      </w:r>
    </w:p>
    <w:p w14:paraId="5A2D166F"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El Consumo Energético Final en la Argentina – esto es, el Consumo Primario Energético neto de las pérdidas en el sistema de producción y transporte de los productos primarios y de la transformación en productos energético-finales, se distribuye en forma equilibrada entre transporte, segmento industrial y residencial/comercial. Esta distribución es similar a otros países en desarrollo con territorio extenso y tamaño medio de población. </w:t>
      </w:r>
    </w:p>
    <w:p w14:paraId="0EC2888E" w14:textId="77777777" w:rsidR="00051507" w:rsidRPr="00896C5A" w:rsidRDefault="00051507" w:rsidP="00051507">
      <w:pPr>
        <w:pStyle w:val="Sangradetextonormal"/>
        <w:spacing w:after="240"/>
        <w:ind w:left="284"/>
        <w:jc w:val="center"/>
        <w:rPr>
          <w:rFonts w:ascii="Arial" w:hAnsi="Arial" w:cs="Arial"/>
          <w:lang w:val="es-AR" w:eastAsia="es-ES"/>
        </w:rPr>
      </w:pPr>
      <w:r w:rsidRPr="00896C5A">
        <w:rPr>
          <w:rFonts w:ascii="Arial" w:hAnsi="Arial" w:cs="Arial"/>
          <w:noProof/>
          <w:lang w:val="es-AR"/>
        </w:rPr>
        <w:drawing>
          <wp:inline distT="0" distB="0" distL="0" distR="0" wp14:anchorId="15501BDE" wp14:editId="3D49BDC2">
            <wp:extent cx="3951970" cy="2609850"/>
            <wp:effectExtent l="0" t="0" r="0" b="0"/>
            <wp:docPr id="1177" name="Imagen 117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 name="Imagen 1177" descr="Diagrama&#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63665" cy="2617573"/>
                    </a:xfrm>
                    <a:prstGeom prst="rect">
                      <a:avLst/>
                    </a:prstGeom>
                    <a:noFill/>
                  </pic:spPr>
                </pic:pic>
              </a:graphicData>
            </a:graphic>
          </wp:inline>
        </w:drawing>
      </w:r>
    </w:p>
    <w:p w14:paraId="57FD5619"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Como síntesis, pueden detallarse las siguientes características particulares de la demanda y oferta energética en la Argentina:</w:t>
      </w:r>
    </w:p>
    <w:p w14:paraId="2CDCE4DC" w14:textId="77777777" w:rsidR="00051507" w:rsidRPr="00896C5A" w:rsidRDefault="00051507" w:rsidP="00051507">
      <w:pPr>
        <w:pStyle w:val="Prrafodelista"/>
        <w:numPr>
          <w:ilvl w:val="0"/>
          <w:numId w:val="31"/>
        </w:num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contextualSpacing/>
        <w:jc w:val="both"/>
        <w:rPr>
          <w:rFonts w:ascii="Times New Roman" w:eastAsia="Wingdings" w:hAnsi="Times New Roman"/>
        </w:rPr>
      </w:pPr>
      <w:r w:rsidRPr="00896C5A">
        <w:rPr>
          <w:rFonts w:ascii="Times New Roman" w:eastAsia="Wingdings" w:hAnsi="Times New Roman"/>
        </w:rPr>
        <w:t xml:space="preserve">Estructura atípicamente sesgada hacia el Petróleo y Gas, que es solo característica de los grandes exportadores de hidrocarburos como Medio Oriente, Rusia, países exportadores de LNG de África, o Venezuela. </w:t>
      </w:r>
    </w:p>
    <w:p w14:paraId="3144955A" w14:textId="77777777" w:rsidR="00051507" w:rsidRPr="00896C5A" w:rsidRDefault="00051507" w:rsidP="00051507">
      <w:pPr>
        <w:pStyle w:val="Prrafodelista"/>
        <w:numPr>
          <w:ilvl w:val="0"/>
          <w:numId w:val="31"/>
        </w:num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contextualSpacing/>
        <w:jc w:val="both"/>
        <w:rPr>
          <w:rFonts w:ascii="Times New Roman" w:eastAsia="Wingdings" w:hAnsi="Times New Roman"/>
        </w:rPr>
      </w:pPr>
      <w:r w:rsidRPr="00896C5A">
        <w:rPr>
          <w:rFonts w:ascii="Times New Roman" w:eastAsia="Wingdings" w:hAnsi="Times New Roman"/>
        </w:rPr>
        <w:t xml:space="preserve">Adicionalmente, posee la particularidad que entre 55 y 56% del consumo primario interno de energía se basa en gas natural con participación relevante en el consumo a pesar de las restricciones a la demanda potencial de este producto energético en invierno. La restricción de abastecimiento final de gas lleva a la sustitución por otros combustibles en generación eléctrica y algunas industrias, y a restricciones directas a la actividad industrial en algunas ramas industriales. </w:t>
      </w:r>
    </w:p>
    <w:p w14:paraId="2F2277D6" w14:textId="77777777" w:rsidR="00051507" w:rsidRPr="00896C5A" w:rsidRDefault="00051507" w:rsidP="00051507">
      <w:pPr>
        <w:pStyle w:val="Prrafodelista"/>
        <w:numPr>
          <w:ilvl w:val="0"/>
          <w:numId w:val="31"/>
        </w:num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contextualSpacing/>
        <w:jc w:val="both"/>
        <w:rPr>
          <w:rFonts w:ascii="Times New Roman" w:eastAsia="Wingdings" w:hAnsi="Times New Roman"/>
        </w:rPr>
      </w:pPr>
      <w:r w:rsidRPr="00896C5A">
        <w:rPr>
          <w:rFonts w:ascii="Times New Roman" w:eastAsia="Wingdings" w:hAnsi="Times New Roman"/>
        </w:rPr>
        <w:t>Esta penetración del gas en el consumo energético es importante a nivel mundial y superada solo por pocos países que tienen grandes producciones excedentes de gas natural.</w:t>
      </w:r>
    </w:p>
    <w:p w14:paraId="585C13EC" w14:textId="77777777" w:rsidR="00051507" w:rsidRPr="00896C5A" w:rsidRDefault="00051507" w:rsidP="00051507">
      <w:pPr>
        <w:pStyle w:val="Prrafodelista"/>
        <w:numPr>
          <w:ilvl w:val="0"/>
          <w:numId w:val="31"/>
        </w:num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contextualSpacing/>
        <w:jc w:val="both"/>
        <w:rPr>
          <w:rFonts w:ascii="Times New Roman" w:eastAsia="Wingdings" w:hAnsi="Times New Roman"/>
        </w:rPr>
      </w:pPr>
      <w:r w:rsidRPr="00896C5A">
        <w:rPr>
          <w:rFonts w:ascii="Times New Roman" w:eastAsia="Wingdings" w:hAnsi="Times New Roman"/>
        </w:rPr>
        <w:t>Reducción en la oferta energética local en gas natural y petróleo durante el 2020 e inicios de 2021, en consonancia con reducción adicional de la demanda interna tras años de estancamiento. Se evidencia una fuerte reversión de esta tendencia desde mediados de 2021 con reversión de la oferta de hidrocarburos en la cuenca Neuquina, y reducción extendida en las restantes cuencas productivas de petróleo y gas del país.</w:t>
      </w:r>
    </w:p>
    <w:p w14:paraId="5F753400" w14:textId="77777777" w:rsidR="00051507" w:rsidRPr="00896C5A" w:rsidRDefault="00051507" w:rsidP="00051507">
      <w:pPr>
        <w:pStyle w:val="Prrafodelista"/>
        <w:numPr>
          <w:ilvl w:val="0"/>
          <w:numId w:val="31"/>
        </w:num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contextualSpacing/>
        <w:jc w:val="both"/>
        <w:rPr>
          <w:rFonts w:ascii="Times New Roman" w:eastAsia="Wingdings" w:hAnsi="Times New Roman"/>
        </w:rPr>
      </w:pPr>
      <w:r w:rsidRPr="00896C5A">
        <w:rPr>
          <w:rFonts w:ascii="Times New Roman" w:eastAsia="Wingdings" w:hAnsi="Times New Roman"/>
        </w:rPr>
        <w:t xml:space="preserve">La reducción de inversión afectada por la crisis económica y sanitaria en 2020 llevó a la implementación de un plan de incentivos a la producción de gas lanzado a fin de 2020, que permitió detener el proceso de caída productiva y permitir la saturación de capacidad de transporte de gas desde cuenca Neuquina.  </w:t>
      </w:r>
    </w:p>
    <w:p w14:paraId="2E58DA17" w14:textId="77777777" w:rsidR="00051507" w:rsidRPr="00896C5A" w:rsidRDefault="00051507" w:rsidP="00051507">
      <w:pPr>
        <w:pStyle w:val="Prrafodelista"/>
        <w:numPr>
          <w:ilvl w:val="0"/>
          <w:numId w:val="31"/>
        </w:num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contextualSpacing/>
        <w:jc w:val="both"/>
        <w:rPr>
          <w:rFonts w:ascii="Times New Roman" w:eastAsia="Wingdings" w:hAnsi="Times New Roman"/>
        </w:rPr>
      </w:pPr>
      <w:r w:rsidRPr="00896C5A">
        <w:rPr>
          <w:rFonts w:ascii="Times New Roman" w:eastAsia="Wingdings" w:hAnsi="Times New Roman"/>
        </w:rPr>
        <w:t>A la demanda menor a la histórica que se produjo en 2020 en los segmentos Industrial, Transporte y Comercial tanto en gas como en electricidad, le sucedió una recuperación importante en 2021 que a final de año ya supera los últimos meses de 2019 previo a la pandemia.</w:t>
      </w:r>
    </w:p>
    <w:p w14:paraId="21B36206" w14:textId="77777777" w:rsidR="00051507" w:rsidRPr="00896C5A" w:rsidRDefault="00051507" w:rsidP="00051507">
      <w:pPr>
        <w:pStyle w:val="Prrafodelista"/>
        <w:numPr>
          <w:ilvl w:val="0"/>
          <w:numId w:val="31"/>
        </w:num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contextualSpacing/>
        <w:jc w:val="both"/>
        <w:rPr>
          <w:rFonts w:ascii="Times New Roman" w:eastAsia="Wingdings" w:hAnsi="Times New Roman"/>
        </w:rPr>
      </w:pPr>
      <w:r w:rsidRPr="00896C5A">
        <w:rPr>
          <w:rFonts w:ascii="Times New Roman" w:eastAsia="Wingdings" w:hAnsi="Times New Roman"/>
        </w:rPr>
        <w:t>El congelamiento de tarifas de gas y electricidad dispuesto mediante Decretos de Necesidad y Urgencia de diciembre 2019 se extendió durante el 2020 y solo tuvo un ajuste de 9% en el primer semestre de 2021. La recuperación económica junto al congelamiento tarifario y de precios de combustibles hasta enero 2022, reitera el proceso de aumento de demanda en el segundo semestre de 2021 e inicios de 2022.</w:t>
      </w:r>
    </w:p>
    <w:p w14:paraId="79C44676"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b/>
          <w:bCs/>
        </w:rPr>
      </w:pPr>
    </w:p>
    <w:p w14:paraId="79D0053D"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b/>
          <w:bCs/>
        </w:rPr>
      </w:pPr>
    </w:p>
    <w:p w14:paraId="3C65F669"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b/>
          <w:bCs/>
        </w:rPr>
      </w:pPr>
    </w:p>
    <w:p w14:paraId="2EAB00B9"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b/>
          <w:bCs/>
        </w:rPr>
      </w:pPr>
      <w:r w:rsidRPr="00896C5A">
        <w:rPr>
          <w:rFonts w:eastAsia="Wingdings"/>
          <w:b/>
          <w:bCs/>
        </w:rPr>
        <w:t xml:space="preserve">SUMINISTRO DE ENERGÍA ELÉCTRICA Y ESTRUCTURA DE DEMANDA </w:t>
      </w:r>
    </w:p>
    <w:p w14:paraId="7147863B"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b/>
          <w:bCs/>
        </w:rPr>
      </w:pPr>
    </w:p>
    <w:p w14:paraId="5FF57B25"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El parque de generación eléctrica en la Argentina evolucionó de modo dispar a lo largo de la historia, con diferentes períodos de incremento de la oferta en respuesta a las políticas imperantes para satisfacer la demanda de energía eléctrica. </w:t>
      </w:r>
    </w:p>
    <w:p w14:paraId="67822211"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CAMMESA reporta la existencia de 42.989 MW nominales instalados y habilitados comercialmente a fin de 2021, con un incremento neto de 2.5% en 2021 equivalente a 1.038 MW, tras 5.7% de 2020 respecto al fin de 2019. Este incremento es menor a los 2.244 MW de 2020 tras 1.166 MW o 3.0% respecto a 2018 en la disponibilidad nominal</w:t>
      </w:r>
      <w:r w:rsidRPr="00896C5A">
        <w:rPr>
          <w:rFonts w:eastAsia="Wingdings"/>
          <w:vertAlign w:val="superscript"/>
        </w:rPr>
        <w:footnoteReference w:id="7"/>
      </w:r>
      <w:r w:rsidRPr="00896C5A">
        <w:rPr>
          <w:rFonts w:eastAsia="Wingdings"/>
        </w:rPr>
        <w:t xml:space="preserve"> de fin de 2019.</w:t>
      </w:r>
    </w:p>
    <w:p w14:paraId="0661C809"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Una característica importante es que las incorporaciones son de equipamiento nuevo, por lo cual poseen disponibilidad efectiva elevada, y por tanto la potencia disponible operativa estimada por G&amp;G Energy </w:t>
      </w:r>
      <w:proofErr w:type="spellStart"/>
      <w:r w:rsidRPr="00896C5A">
        <w:rPr>
          <w:rFonts w:eastAsia="Wingdings"/>
        </w:rPr>
        <w:t>Consultants</w:t>
      </w:r>
      <w:proofErr w:type="spellEnd"/>
      <w:r w:rsidRPr="00896C5A">
        <w:rPr>
          <w:rFonts w:eastAsia="Wingdings"/>
        </w:rPr>
        <w:t xml:space="preserve"> previo al verano 2021/2022 se encontraba en torno a 32.000 MW, incluyendo una reserva rotante del orden de 1.900 MW. Sin embargo, el brusco aumento de indisponibilidad en diciembre 2021 y enero 2022 llegó a cerca de 8.000-9.000 MW algunos días debido a la reducida remuneración que reciben las unidades que no cuentan con contratos a término. Diversas unidades térmicas en mantenimiento y con limitaciones de combustibles, en adición a limitaciones a la disponibilidad técnica del parque nuclear y menor </w:t>
      </w:r>
      <w:proofErr w:type="spellStart"/>
      <w:r w:rsidRPr="00896C5A">
        <w:rPr>
          <w:rFonts w:eastAsia="Wingdings"/>
        </w:rPr>
        <w:t>hidraulicidad</w:t>
      </w:r>
      <w:proofErr w:type="spellEnd"/>
      <w:r w:rsidRPr="00896C5A">
        <w:rPr>
          <w:rFonts w:eastAsia="Wingdings"/>
        </w:rPr>
        <w:t xml:space="preserve"> en represas hidroeléctricas por grave sequía</w:t>
      </w:r>
      <w:r w:rsidRPr="00896C5A">
        <w:rPr>
          <w:rFonts w:eastAsia="Wingdings"/>
          <w:vertAlign w:val="superscript"/>
        </w:rPr>
        <w:footnoteReference w:id="8"/>
      </w:r>
      <w:r w:rsidRPr="00896C5A">
        <w:rPr>
          <w:rFonts w:eastAsia="Wingdings"/>
        </w:rPr>
        <w:t xml:space="preserve">. G&amp;G Energy </w:t>
      </w:r>
      <w:proofErr w:type="spellStart"/>
      <w:r w:rsidRPr="00896C5A">
        <w:rPr>
          <w:rFonts w:eastAsia="Wingdings"/>
        </w:rPr>
        <w:t>Consultants</w:t>
      </w:r>
      <w:proofErr w:type="spellEnd"/>
      <w:r w:rsidRPr="00896C5A">
        <w:rPr>
          <w:rFonts w:eastAsia="Wingdings"/>
        </w:rPr>
        <w:t xml:space="preserve"> estima que, en condiciones de adecuada remuneración al parque de unidades sin contrato, la disponibilidad se acerca a 32.000 MW. </w:t>
      </w:r>
    </w:p>
    <w:p w14:paraId="7043BD49"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A diferencia de 2017 y 2018 en que se incorporó una cantidad importante de unidades pequeñas de motores</w:t>
      </w:r>
      <w:r w:rsidRPr="00896C5A">
        <w:rPr>
          <w:rFonts w:eastAsia="Wingdings"/>
          <w:vertAlign w:val="superscript"/>
        </w:rPr>
        <w:footnoteReference w:id="9"/>
      </w:r>
      <w:r w:rsidRPr="00896C5A">
        <w:rPr>
          <w:rFonts w:eastAsia="Wingdings"/>
        </w:rPr>
        <w:t xml:space="preserve"> y unidades TG en respuesta a la contratación lanzada por la Resolución 21/2016, en 2019 comenzaron a incorporarse cierres de ciclos combinados o unidades TV en ciclos de cogeneración como el de CT Renova bajo Resolución 287/2017. En 2019 ingresaron unidades TG por solo 159 MW comparado con 1.254 MW en 2018; en 2020 se redujo el parque de unidades TG en 1.097 MW principalmente por cierre de ciclos abiertos a ciclos combinados bajo la Resolución 287/2017. En 2019 se habían incorporado 210 MW en cierre de ciclos combinados comparado con 598 MW en 2018, y en 2020 el incremento fue sustancial con la adición de 1.875 MW en esta categoría de potencia. </w:t>
      </w:r>
    </w:p>
    <w:p w14:paraId="71C18650"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En 2019 se produjo el ingreso sustancial de 1.128 MW nominales de fuentes renovables – principalmente eólicas - comparado con 709 MW en 2018, y en 2020 a pesar de restricciones operativas en la construcción, se incorporaron otros 1.407 MW renovables principalmente eólicas. No hubo incorporación de potencia nuclear, y la potencia nominal de centrales hidroeléctricas mejoró en 22 MW en 2019 y otro tanto en 2020 por repotenciación de algunos turbos grupos. En 2020 se incorporaron algunas unidades TG a ciclos combinados, unidades renovables y retiro de unidades diésel y motores.</w:t>
      </w:r>
    </w:p>
    <w:p w14:paraId="284AA160" w14:textId="77777777" w:rsidR="00051507" w:rsidRPr="00896C5A" w:rsidRDefault="00051507" w:rsidP="00051507">
      <w:pPr>
        <w:pStyle w:val="Textoindependiente"/>
        <w:jc w:val="center"/>
        <w:rPr>
          <w:sz w:val="20"/>
          <w:lang w:val="es-AR"/>
        </w:rPr>
      </w:pPr>
      <w:r w:rsidRPr="00896C5A">
        <w:rPr>
          <w:rFonts w:ascii="Arial" w:hAnsi="Arial" w:cs="Arial"/>
          <w:noProof/>
          <w:lang w:val="es-AR" w:eastAsia="es-AR"/>
        </w:rPr>
        <w:drawing>
          <wp:inline distT="0" distB="0" distL="0" distR="0" wp14:anchorId="51019876" wp14:editId="4542D0AA">
            <wp:extent cx="2775857" cy="2295551"/>
            <wp:effectExtent l="0" t="0" r="5715" b="0"/>
            <wp:docPr id="1093" name="Picture 1093" descr="Imagen que contiene c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 name="Picture 1093" descr="Imagen que contiene cd&#10;&#10;Descripción generada automáticament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79387" cy="2298470"/>
                    </a:xfrm>
                    <a:prstGeom prst="rect">
                      <a:avLst/>
                    </a:prstGeom>
                    <a:noFill/>
                  </pic:spPr>
                </pic:pic>
              </a:graphicData>
            </a:graphic>
          </wp:inline>
        </w:drawing>
      </w:r>
    </w:p>
    <w:p w14:paraId="521DB285"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Las restricciones financieras del Estado condicionan el ritmo de incorporación de centrales como hidroeléctricas o nucleares, debido a su elevado monto de inversión y largos plazos de ejecución. Las recurrentes crisis fiscales del Estado, obligan a demoras y/o cancelaciones de estos grandes proyectos. Por esta razón, sucesivos gobiernos optan por favorecer la incorporación de unidades de generación termoeléctrica de menor monto de inversión y plazo más corto de incorporación, aunque requiriendo el consumo de gas natural y combustibles líquidos. Como usualmente la producción de estos combustibles existió en forma previsible y creciente en la Argentina – como volvió a suceder en 2018 y 2019 por mayor inversión en gas natural por desarrollo comercial de </w:t>
      </w:r>
      <w:proofErr w:type="spellStart"/>
      <w:r w:rsidRPr="00896C5A">
        <w:rPr>
          <w:rFonts w:eastAsia="Wingdings"/>
        </w:rPr>
        <w:t>tight</w:t>
      </w:r>
      <w:proofErr w:type="spellEnd"/>
      <w:r w:rsidRPr="00896C5A">
        <w:rPr>
          <w:rFonts w:eastAsia="Wingdings"/>
        </w:rPr>
        <w:t xml:space="preserve"> gas y </w:t>
      </w:r>
      <w:proofErr w:type="spellStart"/>
      <w:r w:rsidRPr="00896C5A">
        <w:rPr>
          <w:rFonts w:eastAsia="Wingdings"/>
        </w:rPr>
        <w:t>shale</w:t>
      </w:r>
      <w:proofErr w:type="spellEnd"/>
      <w:r w:rsidRPr="00896C5A">
        <w:rPr>
          <w:rFonts w:eastAsia="Wingdings"/>
        </w:rPr>
        <w:t xml:space="preserve"> gas -, su provisión no representaba necesariamente un inconveniente restrictivo en el pasado. No obstante, esta política de incorporación de generación termoeléctrica encontró crecientes restricciones de provisión de combustibles fósiles de producción local entre 2004 y 2014, en particular gas natural. </w:t>
      </w:r>
    </w:p>
    <w:p w14:paraId="58567F91"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El Gobierno entre 2016 y 2019 lanzó un programa agresivo de contratación de nueva potencia de generación, tanto de origen termoeléctrico como también de fuentes renovables. La incorporación de oferta se logró mediante contratos de disponibilidad de potencia y remuneración de despacho de energía para el caso de unidades térmicas de 10 y 15 años de extensión con remuneraciones en dólares estadunidenses. También se incorporaron unidades mediante contratos de largo plazo de 20 años de compra de la energía disponible con CAMMESA en el caso de unidades de generación eólica, solar, biomasa y pequeñas centrales hidroeléctricas.</w:t>
      </w:r>
    </w:p>
    <w:p w14:paraId="0968C30F"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b/>
          <w:bCs/>
        </w:rPr>
      </w:pPr>
      <w:r w:rsidRPr="00896C5A">
        <w:rPr>
          <w:rFonts w:eastAsia="Wingdings"/>
          <w:b/>
          <w:bCs/>
        </w:rPr>
        <w:t>Capacidad Nominal de Generación</w:t>
      </w:r>
    </w:p>
    <w:p w14:paraId="130FC0B6"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b/>
          <w:bCs/>
        </w:rPr>
      </w:pPr>
    </w:p>
    <w:p w14:paraId="5E60CAAD"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La Potencia Instalada Nominal está concentrada en generación termoeléctrica, aunque el nivel de indisponibilidad de </w:t>
      </w:r>
      <w:proofErr w:type="gramStart"/>
      <w:r w:rsidRPr="00896C5A">
        <w:rPr>
          <w:rFonts w:eastAsia="Wingdings"/>
        </w:rPr>
        <w:t>la misma</w:t>
      </w:r>
      <w:proofErr w:type="gramEnd"/>
      <w:r w:rsidRPr="00896C5A">
        <w:rPr>
          <w:rFonts w:eastAsia="Wingdings"/>
        </w:rPr>
        <w:t xml:space="preserve"> es relativamente elevado en relación a otras fuentes de generación, a excepción de la nuclear que evidencia indisponibilidad recurrente por mantenimientos programados e intempestivos. Una cantidad no menor de unidades de potencia termoeléctrica muestra indisponibilidad de forma recurrente y no se encuentra en condiciones confiables para ser despachada, incluyendo el período de invierno en que las restricciones de combustibles reducen la potencia efectiva disponible. </w:t>
      </w:r>
    </w:p>
    <w:p w14:paraId="424C3068"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7FE9CC49"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474F09CD"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b/>
          <w:bCs/>
        </w:rPr>
      </w:pPr>
    </w:p>
    <w:p w14:paraId="3E37CBEC" w14:textId="77777777" w:rsidR="00051507" w:rsidRPr="00896C5A" w:rsidRDefault="00051507" w:rsidP="00051507">
      <w:pPr>
        <w:pStyle w:val="Textoindependiente"/>
        <w:jc w:val="both"/>
        <w:rPr>
          <w:sz w:val="20"/>
          <w:lang w:val="es-AR"/>
        </w:rPr>
      </w:pPr>
    </w:p>
    <w:p w14:paraId="7D96FD63" w14:textId="77777777" w:rsidR="00051507" w:rsidRPr="00896C5A" w:rsidRDefault="00051507" w:rsidP="00051507">
      <w:pPr>
        <w:pStyle w:val="Textoindependiente"/>
        <w:jc w:val="both"/>
        <w:rPr>
          <w:sz w:val="20"/>
          <w:lang w:val="es-AR"/>
        </w:rPr>
      </w:pPr>
    </w:p>
    <w:p w14:paraId="2483CB4F" w14:textId="77777777" w:rsidR="00051507" w:rsidRPr="00896C5A" w:rsidRDefault="00051507" w:rsidP="00051507">
      <w:pPr>
        <w:pStyle w:val="Textoindependiente"/>
        <w:jc w:val="both"/>
        <w:rPr>
          <w:sz w:val="20"/>
          <w:lang w:val="es-AR"/>
        </w:rPr>
      </w:pPr>
    </w:p>
    <w:p w14:paraId="6F1B516A" w14:textId="77777777" w:rsidR="00051507" w:rsidRPr="00896C5A" w:rsidRDefault="00051507" w:rsidP="00051507">
      <w:pPr>
        <w:pStyle w:val="Textoindependiente"/>
        <w:jc w:val="both"/>
        <w:rPr>
          <w:sz w:val="20"/>
          <w:lang w:val="es-AR"/>
        </w:rPr>
      </w:pPr>
    </w:p>
    <w:p w14:paraId="060F46CC" w14:textId="77777777" w:rsidR="00051507" w:rsidRPr="00896C5A" w:rsidRDefault="00051507" w:rsidP="00051507">
      <w:pPr>
        <w:pStyle w:val="Textoindependiente"/>
        <w:jc w:val="both"/>
        <w:rPr>
          <w:sz w:val="20"/>
          <w:lang w:val="es-AR"/>
        </w:rPr>
      </w:pPr>
      <w:r w:rsidRPr="00896C5A">
        <w:rPr>
          <w:rFonts w:ascii="Arial" w:hAnsi="Arial" w:cs="Arial"/>
          <w:noProof/>
          <w:lang w:eastAsia="es-AR"/>
        </w:rPr>
        <w:drawing>
          <wp:anchor distT="0" distB="0" distL="114300" distR="114300" simplePos="0" relativeHeight="251663360" behindDoc="1" locked="0" layoutInCell="1" allowOverlap="1" wp14:anchorId="2F4BF5E1" wp14:editId="102496B4">
            <wp:simplePos x="0" y="0"/>
            <wp:positionH relativeFrom="page">
              <wp:align>center</wp:align>
            </wp:positionH>
            <wp:positionV relativeFrom="paragraph">
              <wp:posOffset>-5675</wp:posOffset>
            </wp:positionV>
            <wp:extent cx="3973857" cy="2135328"/>
            <wp:effectExtent l="0" t="0" r="7620" b="0"/>
            <wp:wrapNone/>
            <wp:docPr id="1095" name="Picture 1095"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Picture 1095" descr="Gráfico, Gráfico de barras&#10;&#10;Descripción generada automáticament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73857" cy="2135328"/>
                    </a:xfrm>
                    <a:prstGeom prst="rect">
                      <a:avLst/>
                    </a:prstGeom>
                    <a:noFill/>
                  </pic:spPr>
                </pic:pic>
              </a:graphicData>
            </a:graphic>
          </wp:anchor>
        </w:drawing>
      </w:r>
    </w:p>
    <w:p w14:paraId="131BBA2F" w14:textId="77777777" w:rsidR="00051507" w:rsidRPr="00896C5A" w:rsidRDefault="00051507" w:rsidP="00051507">
      <w:pPr>
        <w:pStyle w:val="Textoindependiente"/>
        <w:jc w:val="both"/>
        <w:rPr>
          <w:sz w:val="20"/>
          <w:lang w:val="es-AR"/>
        </w:rPr>
      </w:pPr>
    </w:p>
    <w:p w14:paraId="29C247C9" w14:textId="77777777" w:rsidR="00051507" w:rsidRPr="00896C5A" w:rsidRDefault="00051507" w:rsidP="00051507">
      <w:pPr>
        <w:pStyle w:val="Textoindependiente"/>
        <w:jc w:val="both"/>
        <w:rPr>
          <w:sz w:val="20"/>
          <w:lang w:val="es-AR"/>
        </w:rPr>
      </w:pPr>
    </w:p>
    <w:p w14:paraId="1D48B207" w14:textId="77777777" w:rsidR="00051507" w:rsidRPr="00896C5A" w:rsidRDefault="00051507" w:rsidP="00051507">
      <w:pPr>
        <w:pStyle w:val="Textoindependiente"/>
        <w:jc w:val="both"/>
        <w:rPr>
          <w:sz w:val="20"/>
          <w:lang w:val="es-AR"/>
        </w:rPr>
      </w:pPr>
    </w:p>
    <w:p w14:paraId="08E27F61" w14:textId="77777777" w:rsidR="00051507" w:rsidRPr="00896C5A" w:rsidRDefault="00051507" w:rsidP="00051507">
      <w:pPr>
        <w:pStyle w:val="Textoindependiente"/>
        <w:jc w:val="both"/>
        <w:rPr>
          <w:sz w:val="20"/>
          <w:lang w:val="es-AR"/>
        </w:rPr>
      </w:pPr>
    </w:p>
    <w:p w14:paraId="743D4EA1" w14:textId="77777777" w:rsidR="00051507" w:rsidRPr="00896C5A" w:rsidRDefault="00051507" w:rsidP="00051507">
      <w:pPr>
        <w:pStyle w:val="Textoindependiente"/>
        <w:jc w:val="both"/>
        <w:rPr>
          <w:sz w:val="20"/>
          <w:lang w:val="es-AR"/>
        </w:rPr>
      </w:pPr>
    </w:p>
    <w:p w14:paraId="6EFE5EA3" w14:textId="77777777" w:rsidR="00051507" w:rsidRPr="00896C5A" w:rsidRDefault="00051507" w:rsidP="00051507">
      <w:pPr>
        <w:pStyle w:val="Textoindependiente"/>
        <w:jc w:val="both"/>
        <w:rPr>
          <w:sz w:val="20"/>
          <w:lang w:val="es-AR"/>
        </w:rPr>
      </w:pPr>
    </w:p>
    <w:p w14:paraId="2F817FA3" w14:textId="77777777" w:rsidR="00051507" w:rsidRPr="00896C5A" w:rsidRDefault="00051507" w:rsidP="00051507">
      <w:pPr>
        <w:pStyle w:val="Textoindependiente"/>
        <w:jc w:val="both"/>
        <w:rPr>
          <w:sz w:val="20"/>
          <w:lang w:val="es-AR"/>
        </w:rPr>
      </w:pPr>
    </w:p>
    <w:p w14:paraId="160A63C3" w14:textId="77777777" w:rsidR="00051507" w:rsidRPr="00896C5A" w:rsidRDefault="00051507" w:rsidP="00051507">
      <w:pPr>
        <w:pStyle w:val="Textoindependiente"/>
        <w:jc w:val="center"/>
        <w:rPr>
          <w:sz w:val="20"/>
          <w:lang w:val="es-AR"/>
        </w:rPr>
      </w:pPr>
      <w:r w:rsidRPr="00896C5A">
        <w:rPr>
          <w:noProof/>
          <w:sz w:val="20"/>
          <w:lang w:val="es-AR"/>
        </w:rPr>
        <w:drawing>
          <wp:inline distT="0" distB="0" distL="0" distR="0" wp14:anchorId="66B62253" wp14:editId="744FA710">
            <wp:extent cx="5383530" cy="2377440"/>
            <wp:effectExtent l="0" t="0" r="7620" b="3810"/>
            <wp:docPr id="24" name="Imagen 24" descr="Pantalla de computador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Pantalla de computadora&#10;&#10;Descripción generada automáticamente con confianza baj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83530" cy="2377440"/>
                    </a:xfrm>
                    <a:prstGeom prst="rect">
                      <a:avLst/>
                    </a:prstGeom>
                    <a:noFill/>
                  </pic:spPr>
                </pic:pic>
              </a:graphicData>
            </a:graphic>
          </wp:inline>
        </w:drawing>
      </w:r>
    </w:p>
    <w:p w14:paraId="27A1F79F"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G&amp;G Energy </w:t>
      </w:r>
      <w:proofErr w:type="spellStart"/>
      <w:r w:rsidRPr="00896C5A">
        <w:rPr>
          <w:rFonts w:eastAsia="Wingdings"/>
        </w:rPr>
        <w:t>Consultants</w:t>
      </w:r>
      <w:proofErr w:type="spellEnd"/>
      <w:r w:rsidRPr="00896C5A">
        <w:rPr>
          <w:rFonts w:eastAsia="Wingdings"/>
        </w:rPr>
        <w:t xml:space="preserve"> estima que, al fin de 2021 e inicios de 2022, la potencia efectiva disponible – que es menor a la nominal declarada por las razones ya citadas - llegó al orden de 32.000 MW incluyendo reserva rotante de 1.900 MW -, que no pudo ser utilizada en toda su magnitud durante la ola de muy altas temperaturas de enero 2022 debido a la preocupante indisponibilidad operativa y técnica por baja remuneración al parque que despacha en condición spot. </w:t>
      </w:r>
    </w:p>
    <w:p w14:paraId="0BA5690E"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El récord de demanda de potencia para un Día Hábil del lunes 25 de enero 2021 fue superado con sucesivos registros máximos el 29 de diciembre 2021, pero especialmente en los días de temperaturas máximas de más de 41°C en CABA y mayores en Santa Fe, en una ola de calor en la región central del país. </w:t>
      </w:r>
    </w:p>
    <w:p w14:paraId="63BBECD7"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El último registro máximo se dio finalmente el viernes 14 de enero de 2022 con incremento de 6.7% (4.108 MW de aumento) respecto al del 25 de enero de 2021, alcanzando 28.231 MW con restricciones forzadas y programadas de difícil estimación. El sábado 15 de enero de 2022 también de muy alta temperatura se superó el récord de consumo de potencia para un sábado con nada menos que 26.719 MW y un aumento extraordinario de 18.2% (4.108 MW de aumento) respecto al que se mantenía desde el 23 de enero de 2021. </w:t>
      </w:r>
    </w:p>
    <w:p w14:paraId="3B79DB22"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La ola de calor llevó a que se superaran los registros de consumo de energía diaria. El viernes 14 de enero de 2022 se superó el récord de demanda de energía para un día hábil con 575.9 </w:t>
      </w:r>
      <w:proofErr w:type="spellStart"/>
      <w:r w:rsidRPr="00896C5A">
        <w:rPr>
          <w:rFonts w:eastAsia="Wingdings"/>
        </w:rPr>
        <w:t>MWh</w:t>
      </w:r>
      <w:proofErr w:type="spellEnd"/>
      <w:r w:rsidRPr="00896C5A">
        <w:rPr>
          <w:rFonts w:eastAsia="Wingdings"/>
        </w:rPr>
        <w:t xml:space="preserve">, un 5.8% mayor al de enero de 2019. El sábado 15 y domingo 16 de enero de 2022 se superaron los registros de energía para fines de semana con 559.0 </w:t>
      </w:r>
      <w:proofErr w:type="spellStart"/>
      <w:r w:rsidRPr="00896C5A">
        <w:rPr>
          <w:rFonts w:eastAsia="Wingdings"/>
        </w:rPr>
        <w:t>MWh</w:t>
      </w:r>
      <w:proofErr w:type="spellEnd"/>
      <w:r w:rsidRPr="00896C5A">
        <w:rPr>
          <w:rFonts w:eastAsia="Wingdings"/>
        </w:rPr>
        <w:t xml:space="preserve"> y 478.9 </w:t>
      </w:r>
      <w:proofErr w:type="spellStart"/>
      <w:r w:rsidRPr="00896C5A">
        <w:rPr>
          <w:rFonts w:eastAsia="Wingdings"/>
        </w:rPr>
        <w:t>MWh</w:t>
      </w:r>
      <w:proofErr w:type="spellEnd"/>
      <w:r w:rsidRPr="00896C5A">
        <w:rPr>
          <w:rFonts w:eastAsia="Wingdings"/>
        </w:rPr>
        <w:t xml:space="preserve"> respectivamente.</w:t>
      </w:r>
    </w:p>
    <w:p w14:paraId="4CD877D3" w14:textId="77777777" w:rsidR="00051507" w:rsidRPr="00896C5A" w:rsidRDefault="00051507" w:rsidP="00051507">
      <w:pPr>
        <w:pStyle w:val="Textoindependiente"/>
        <w:jc w:val="both"/>
        <w:rPr>
          <w:sz w:val="20"/>
          <w:lang w:val="es-AR"/>
        </w:rPr>
      </w:pPr>
    </w:p>
    <w:p w14:paraId="2779B6A4" w14:textId="77777777" w:rsidR="00051507" w:rsidRPr="00896C5A" w:rsidRDefault="00051507" w:rsidP="00051507">
      <w:pPr>
        <w:pStyle w:val="Textoindependiente"/>
        <w:jc w:val="center"/>
        <w:rPr>
          <w:sz w:val="20"/>
          <w:lang w:val="es-AR"/>
        </w:rPr>
      </w:pPr>
    </w:p>
    <w:p w14:paraId="03607505"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r w:rsidRPr="00896C5A">
        <w:rPr>
          <w:noProof/>
        </w:rPr>
        <w:lastRenderedPageBreak/>
        <w:drawing>
          <wp:anchor distT="0" distB="0" distL="114300" distR="114300" simplePos="0" relativeHeight="251664384" behindDoc="1" locked="0" layoutInCell="1" allowOverlap="1" wp14:anchorId="2EC8F3A5" wp14:editId="6E37CAE5">
            <wp:simplePos x="0" y="0"/>
            <wp:positionH relativeFrom="page">
              <wp:align>center</wp:align>
            </wp:positionH>
            <wp:positionV relativeFrom="paragraph">
              <wp:posOffset>8133</wp:posOffset>
            </wp:positionV>
            <wp:extent cx="5900420" cy="1874520"/>
            <wp:effectExtent l="0" t="0" r="508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00420" cy="1874520"/>
                    </a:xfrm>
                    <a:prstGeom prst="rect">
                      <a:avLst/>
                    </a:prstGeom>
                    <a:noFill/>
                    <a:ln>
                      <a:noFill/>
                    </a:ln>
                  </pic:spPr>
                </pic:pic>
              </a:graphicData>
            </a:graphic>
          </wp:anchor>
        </w:drawing>
      </w:r>
    </w:p>
    <w:p w14:paraId="2675E037"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13275595"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670AE010"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2742A2BA"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4269760A"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62E22783"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1912AA2E"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7C17552A"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rPr>
      </w:pPr>
    </w:p>
    <w:p w14:paraId="262B1DC7"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Como se mencionó, en enero de 2022 se alcanzaron registros máximos de potencia eléctrica, aunque sin excedentes de capacidad de generación a diferencia de años pasados, por la extraordinaria indisponibilidad que se presentó de 8.191 MW térmicos más 505 MW hidroeléctricos y 230 MW nucleares. Se destaca que esta indisponibilidad impidió mantener el registro récord del parque termoeléctrico en el despacho de 17.274 MW el 25 de enero de 2021, llegando a 16.408 MW el 14 de enero de 2022 con solo 411 MW en condiciones de disponibilidad remanente, que no fueron utilizados para evitar posibles interrupciones imprevistas.</w:t>
      </w:r>
    </w:p>
    <w:p w14:paraId="5F2215F6"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La escasez de reserva de generación eléctrica que se verificó en inviernos y veranos hasta 2016, fue resuelta con la incorporación de una cantidad importante de potencia. Durante los días fríos de los inviernos 2019 y 2020 se comprobó que la incorporación de nueva potencia eléctrica, que se acentuó tras el programa de inversiones desde 2016, modificó la situación con amplia capacidad disponible solo afectada por disponibilidad de combustibles. Sin embargo, la insuficiente remuneración de potencia y energía a unidades fuera de contrato a término sumado a la finalización de contratos bajo regímenes anteriores constituye un factor relevante en la acumulación de indisponibilidad de estas unidades que impidieron el abastecimiento confiable en enero 2022.</w:t>
      </w:r>
    </w:p>
    <w:p w14:paraId="39B160D3"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La indisponibilidad termoeléctrica que había mejorado, no se sostuvo en enero 2022 ya que los generadores con unidades que no cuentan con contratos a término con CAMMESA no pudieron sostener las inversiones en mantenimiento necesarias que habían logrado hasta 2018/2019, en que comenzó a reducirse la remuneración que perciben. </w:t>
      </w:r>
    </w:p>
    <w:p w14:paraId="64DC4C0D"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ascii="Arial" w:hAnsi="Arial" w:cs="Arial"/>
          <w:noProof/>
        </w:rPr>
        <w:drawing>
          <wp:anchor distT="0" distB="0" distL="114300" distR="114300" simplePos="0" relativeHeight="251665408" behindDoc="1" locked="0" layoutInCell="1" allowOverlap="1" wp14:anchorId="6D6F97BE" wp14:editId="6D1D4B3B">
            <wp:simplePos x="0" y="0"/>
            <wp:positionH relativeFrom="margin">
              <wp:align>center</wp:align>
            </wp:positionH>
            <wp:positionV relativeFrom="paragraph">
              <wp:posOffset>168977</wp:posOffset>
            </wp:positionV>
            <wp:extent cx="3933825" cy="2203528"/>
            <wp:effectExtent l="0" t="0" r="0" b="6350"/>
            <wp:wrapNone/>
            <wp:docPr id="1163" name="Imagen 1163"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 name="Imagen 1163" descr="Gráfico, Gráfico de barras&#10;&#10;Descripción generada automáticamen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33825" cy="2203528"/>
                    </a:xfrm>
                    <a:prstGeom prst="rect">
                      <a:avLst/>
                    </a:prstGeom>
                    <a:noFill/>
                  </pic:spPr>
                </pic:pic>
              </a:graphicData>
            </a:graphic>
          </wp:anchor>
        </w:drawing>
      </w:r>
    </w:p>
    <w:p w14:paraId="725E80E9" w14:textId="77777777" w:rsidR="00051507" w:rsidRPr="00896C5A" w:rsidRDefault="00051507" w:rsidP="00051507">
      <w:pPr>
        <w:pStyle w:val="Textoindependiente"/>
        <w:rPr>
          <w:sz w:val="20"/>
          <w:lang w:val="es-AR"/>
        </w:rPr>
      </w:pPr>
    </w:p>
    <w:p w14:paraId="2E8463F4" w14:textId="77777777" w:rsidR="00051507" w:rsidRPr="00896C5A" w:rsidRDefault="00051507" w:rsidP="00051507">
      <w:pPr>
        <w:pStyle w:val="Textoindependiente"/>
        <w:rPr>
          <w:sz w:val="20"/>
          <w:lang w:val="es-AR"/>
        </w:rPr>
      </w:pPr>
    </w:p>
    <w:p w14:paraId="27FB647B" w14:textId="77777777" w:rsidR="00051507" w:rsidRPr="00896C5A" w:rsidRDefault="00051507" w:rsidP="00051507">
      <w:pPr>
        <w:pStyle w:val="Textoindependiente"/>
        <w:rPr>
          <w:sz w:val="20"/>
          <w:lang w:val="es-AR"/>
        </w:rPr>
      </w:pPr>
    </w:p>
    <w:p w14:paraId="724A782E" w14:textId="77777777" w:rsidR="00051507" w:rsidRPr="00896C5A" w:rsidRDefault="00051507" w:rsidP="00051507">
      <w:pPr>
        <w:pStyle w:val="Textoindependiente"/>
        <w:rPr>
          <w:sz w:val="20"/>
          <w:lang w:val="es-AR"/>
        </w:rPr>
      </w:pPr>
    </w:p>
    <w:p w14:paraId="2DF17113" w14:textId="77777777" w:rsidR="00051507" w:rsidRPr="00896C5A" w:rsidRDefault="00051507" w:rsidP="00051507">
      <w:pPr>
        <w:pStyle w:val="Textoindependiente"/>
        <w:rPr>
          <w:sz w:val="20"/>
          <w:lang w:val="es-AR"/>
        </w:rPr>
      </w:pPr>
    </w:p>
    <w:p w14:paraId="228BC331" w14:textId="77777777" w:rsidR="00051507" w:rsidRPr="00896C5A" w:rsidRDefault="00051507" w:rsidP="00051507">
      <w:pPr>
        <w:pStyle w:val="Textoindependiente"/>
        <w:rPr>
          <w:sz w:val="20"/>
          <w:lang w:val="es-AR"/>
        </w:rPr>
      </w:pPr>
    </w:p>
    <w:p w14:paraId="66CBE7BF" w14:textId="77777777" w:rsidR="00051507" w:rsidRPr="00896C5A" w:rsidRDefault="00051507" w:rsidP="00051507">
      <w:pPr>
        <w:pStyle w:val="Textoindependiente"/>
        <w:rPr>
          <w:sz w:val="20"/>
          <w:lang w:val="es-AR"/>
        </w:rPr>
      </w:pPr>
    </w:p>
    <w:p w14:paraId="37866606"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3A04D3A4"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6637FDC9"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0D10059A"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3AB3A8E8"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19639C75" w14:textId="77777777" w:rsidR="00051507"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1D75F59E"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El incremento de potencia disponible efectiva había mejorado sensiblemente hasta 2021 con el ingreso de centrales nuevas. En 2021 se destaca la incorporación de la unidad de cogeneración de Terminal 6 en que participa Central Puerto S.A., y la operación estable de la cogeneración de Renova en la que participa el Grupo Albanesi. En 2022 permanece en construcción el gran ciclo combinado de Ensenada de Barragán de Pampa Energía-YPF y el de Brigadier Lopez de Central Puerto. </w:t>
      </w:r>
    </w:p>
    <w:p w14:paraId="515C8251"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Las empresas del Grupo Albanesi participaron de modo relevante en varias centrales con el cumplimiento de incorporación de potencia en general en plazos convenidos con nuevas unidades ingresadas. La última central de este proceso inversor fue la citada unidad de cogeneración Renova en 2021 (Central Térmica Cogeneración </w:t>
      </w:r>
      <w:proofErr w:type="spellStart"/>
      <w:r w:rsidRPr="00896C5A">
        <w:rPr>
          <w:rFonts w:eastAsia="Wingdings"/>
        </w:rPr>
        <w:t>Timbúes</w:t>
      </w:r>
      <w:proofErr w:type="spellEnd"/>
      <w:r w:rsidRPr="00896C5A">
        <w:rPr>
          <w:rFonts w:eastAsia="Wingdings"/>
        </w:rPr>
        <w:t xml:space="preserve">). </w:t>
      </w:r>
    </w:p>
    <w:p w14:paraId="6500480C"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La nueva capacidad de generación incorporada en 2019 responde en parte mínima a la licitación pública internacional convocada por la Resolución SEE 21/2016 de la Secretaría de Energía Eléctrica del Ministerio de Energía y Minería, en el que el Grupo Albanesi resultó adjudicatario de ofertas por 420 MW. Las centrales adjudicadas bajo dicha Resolución 21 ya se encuentran completadas. El Grupo Albanesi participó activamente con las siguientes centrales:</w:t>
      </w:r>
    </w:p>
    <w:p w14:paraId="56D8E068" w14:textId="77777777" w:rsidR="00051507" w:rsidRPr="00896C5A" w:rsidRDefault="00051507" w:rsidP="00051507">
      <w:pPr>
        <w:pStyle w:val="Textoindependiente"/>
        <w:numPr>
          <w:ilvl w:val="0"/>
          <w:numId w:val="5"/>
        </w:numPr>
        <w:spacing w:after="120"/>
        <w:ind w:left="0" w:firstLine="0"/>
        <w:jc w:val="both"/>
        <w:rPr>
          <w:sz w:val="20"/>
          <w:lang w:val="es-AR"/>
        </w:rPr>
      </w:pPr>
      <w:r w:rsidRPr="00896C5A">
        <w:rPr>
          <w:sz w:val="20"/>
          <w:lang w:val="es-AR"/>
        </w:rPr>
        <w:t>CTE de GMSA fue habilitada comercialmente en septiembre 2017, con dos turbinas Siemens SGT800 de 50 MW cada una, y una tercera turbina de 50 MW también incorporada en 2018.</w:t>
      </w:r>
    </w:p>
    <w:p w14:paraId="5925CCC6" w14:textId="77777777" w:rsidR="00051507" w:rsidRPr="00896C5A" w:rsidRDefault="00051507" w:rsidP="00051507">
      <w:pPr>
        <w:pStyle w:val="Textoindependiente"/>
        <w:numPr>
          <w:ilvl w:val="0"/>
          <w:numId w:val="5"/>
        </w:numPr>
        <w:spacing w:after="120"/>
        <w:ind w:left="0" w:firstLine="0"/>
        <w:jc w:val="both"/>
        <w:rPr>
          <w:sz w:val="20"/>
          <w:lang w:val="es-AR"/>
        </w:rPr>
      </w:pPr>
      <w:r w:rsidRPr="00896C5A">
        <w:rPr>
          <w:sz w:val="20"/>
          <w:lang w:val="es-AR"/>
        </w:rPr>
        <w:t>CTI de GMSA obtuvo la habilitación comercial de una turbina Siemens SGT800 de 50 MW adicional en agosto 2017, y la segunda turbina adicional de similar potencia en 2018.</w:t>
      </w:r>
    </w:p>
    <w:p w14:paraId="1A2D9D5A" w14:textId="77777777" w:rsidR="00051507" w:rsidRPr="00896C5A" w:rsidRDefault="00051507" w:rsidP="00051507">
      <w:pPr>
        <w:pStyle w:val="Textoindependiente"/>
        <w:numPr>
          <w:ilvl w:val="0"/>
          <w:numId w:val="5"/>
        </w:numPr>
        <w:spacing w:after="120"/>
        <w:ind w:left="0" w:firstLine="0"/>
        <w:jc w:val="both"/>
        <w:rPr>
          <w:sz w:val="20"/>
          <w:lang w:val="es-AR"/>
        </w:rPr>
      </w:pPr>
      <w:proofErr w:type="spellStart"/>
      <w:r w:rsidRPr="00896C5A">
        <w:rPr>
          <w:sz w:val="20"/>
          <w:lang w:val="es-AR"/>
        </w:rPr>
        <w:t>CTRi</w:t>
      </w:r>
      <w:proofErr w:type="spellEnd"/>
      <w:r w:rsidRPr="00896C5A">
        <w:rPr>
          <w:sz w:val="20"/>
          <w:lang w:val="es-AR"/>
        </w:rPr>
        <w:t xml:space="preserve"> de GMSA obtuvo la habilitación comercial de una nueva turbina Siemens SGT800 de 50 MW en mayo 2017, adicional a 40 MW existentes. </w:t>
      </w:r>
    </w:p>
    <w:p w14:paraId="62FA3BDE" w14:textId="77777777" w:rsidR="00051507" w:rsidRPr="00896C5A" w:rsidRDefault="00051507" w:rsidP="00051507">
      <w:pPr>
        <w:pStyle w:val="Textoindependiente"/>
        <w:numPr>
          <w:ilvl w:val="0"/>
          <w:numId w:val="5"/>
        </w:numPr>
        <w:spacing w:after="120"/>
        <w:ind w:left="0" w:firstLine="0"/>
        <w:jc w:val="both"/>
        <w:rPr>
          <w:sz w:val="20"/>
          <w:lang w:val="es-AR"/>
        </w:rPr>
      </w:pPr>
      <w:r w:rsidRPr="00896C5A">
        <w:rPr>
          <w:sz w:val="20"/>
          <w:lang w:val="es-AR"/>
        </w:rPr>
        <w:t>CTMM de GMSA incorporó 100 MW de potencia nominal en julio 2017, que se agregaron a 250 MW preexistentes.</w:t>
      </w:r>
    </w:p>
    <w:p w14:paraId="34D79A00" w14:textId="77777777" w:rsidR="00051507" w:rsidRPr="00896C5A" w:rsidRDefault="00051507" w:rsidP="00051507">
      <w:pPr>
        <w:pStyle w:val="Textoindependiente"/>
        <w:numPr>
          <w:ilvl w:val="0"/>
          <w:numId w:val="5"/>
        </w:numPr>
        <w:spacing w:after="120"/>
        <w:ind w:left="0" w:firstLine="0"/>
        <w:jc w:val="both"/>
        <w:rPr>
          <w:sz w:val="20"/>
          <w:lang w:val="es-AR"/>
        </w:rPr>
      </w:pPr>
      <w:r w:rsidRPr="00896C5A">
        <w:rPr>
          <w:sz w:val="20"/>
          <w:lang w:val="es-AR"/>
        </w:rPr>
        <w:lastRenderedPageBreak/>
        <w:t>En CTRO se implementó el cierre a ciclo combinado incorporando una unidad turbo vapor de 60 MW en 2018 a la turbina a gas de 130 MW preexistente.</w:t>
      </w:r>
    </w:p>
    <w:p w14:paraId="4E3BD07C"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Adicionalmente, diferentes empresas del Grupo Albanesi fueron adjudicadas con contratos a término con CAMMESA para expandir su potencia en los próximos años. En el marco de la licitación pública internacional para cierre de ciclo combinado y cogeneración eléctrica convocada la Resolución SEE 287-E/2017 de la Secretaría de Energía Eléctrica del Ministerio de Energía y Minería, el Grupo Albanesi resultó adjudicado con 3 proyectos para instalar 351 MW de nueva capacidad, junto a otras unidades de diferentes empresas. Albanesi logró la operación plena de la denominada cogeneración Renova en Santa Fe a pesar de la interrupción de financiamiento al país desde la crisis de 2018/2019. El grupo Albanesi participó en el proceso de incorporación de capacidad de generación bajo Resolución SEE 287-E/2017, con las siguientes centrales: </w:t>
      </w:r>
    </w:p>
    <w:p w14:paraId="67BA00C2" w14:textId="77777777" w:rsidR="00051507" w:rsidRPr="00896C5A" w:rsidRDefault="00051507" w:rsidP="00051507">
      <w:pPr>
        <w:pStyle w:val="Textoindependiente"/>
        <w:numPr>
          <w:ilvl w:val="0"/>
          <w:numId w:val="5"/>
        </w:numPr>
        <w:spacing w:after="120"/>
        <w:ind w:left="0" w:firstLine="0"/>
        <w:jc w:val="both"/>
        <w:rPr>
          <w:sz w:val="20"/>
          <w:lang w:val="es-AR"/>
        </w:rPr>
      </w:pPr>
      <w:r w:rsidRPr="00896C5A">
        <w:rPr>
          <w:sz w:val="20"/>
          <w:lang w:val="es-AR"/>
        </w:rPr>
        <w:t xml:space="preserve">El proyecto de cogeneración de la Central Térmica Cogeneración </w:t>
      </w:r>
      <w:proofErr w:type="spellStart"/>
      <w:r w:rsidRPr="00896C5A">
        <w:rPr>
          <w:sz w:val="20"/>
          <w:lang w:val="es-AR"/>
        </w:rPr>
        <w:t>Timbúes</w:t>
      </w:r>
      <w:proofErr w:type="spellEnd"/>
      <w:r w:rsidRPr="00896C5A">
        <w:rPr>
          <w:sz w:val="20"/>
          <w:lang w:val="es-AR"/>
        </w:rPr>
        <w:t xml:space="preserve"> de 172 MW en la provincia de Santa Fe, en asociación con Renova – productor de aceite y </w:t>
      </w:r>
      <w:proofErr w:type="spellStart"/>
      <w:r w:rsidRPr="00896C5A">
        <w:rPr>
          <w:sz w:val="20"/>
          <w:lang w:val="es-AR"/>
        </w:rPr>
        <w:t>crushing</w:t>
      </w:r>
      <w:proofErr w:type="spellEnd"/>
      <w:r w:rsidRPr="00896C5A">
        <w:rPr>
          <w:sz w:val="20"/>
          <w:lang w:val="es-AR"/>
        </w:rPr>
        <w:t xml:space="preserve"> de soja - que se encuentra en operación desde 2019 y a plena capacidad completa en 2021</w:t>
      </w:r>
    </w:p>
    <w:p w14:paraId="65BBF8E7" w14:textId="77777777" w:rsidR="00051507" w:rsidRPr="00896C5A" w:rsidRDefault="00051507" w:rsidP="00051507">
      <w:pPr>
        <w:pStyle w:val="Textoindependiente"/>
        <w:numPr>
          <w:ilvl w:val="0"/>
          <w:numId w:val="5"/>
        </w:numPr>
        <w:spacing w:after="120"/>
        <w:ind w:left="0" w:firstLine="0"/>
        <w:jc w:val="both"/>
        <w:rPr>
          <w:sz w:val="20"/>
          <w:lang w:val="es-AR"/>
        </w:rPr>
      </w:pPr>
      <w:r w:rsidRPr="00896C5A">
        <w:rPr>
          <w:sz w:val="20"/>
          <w:lang w:val="es-AR"/>
        </w:rPr>
        <w:t>Cierre de Ciclo por 125 MW adicionales con unidades turbo vapor en la CTMM, en Córdoba, en proceso de obtención de financiamiento.</w:t>
      </w:r>
    </w:p>
    <w:p w14:paraId="77489B5E" w14:textId="77777777" w:rsidR="00051507" w:rsidRPr="00EE4AFB" w:rsidRDefault="00051507" w:rsidP="00051507">
      <w:pPr>
        <w:pStyle w:val="Textoindependiente"/>
        <w:numPr>
          <w:ilvl w:val="0"/>
          <w:numId w:val="5"/>
        </w:numPr>
        <w:spacing w:after="120"/>
        <w:ind w:left="0" w:firstLine="0"/>
        <w:jc w:val="both"/>
        <w:rPr>
          <w:sz w:val="20"/>
          <w:lang w:val="es-AR"/>
        </w:rPr>
      </w:pPr>
      <w:r w:rsidRPr="00896C5A">
        <w:rPr>
          <w:sz w:val="20"/>
          <w:lang w:val="es-AR"/>
        </w:rPr>
        <w:t>Cierre de Ciclo por 150 MW en unidades turbo vapor en la CTE, en Buenos Aires.</w:t>
      </w:r>
    </w:p>
    <w:p w14:paraId="377D631B"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La Demanda Bruta de Electricidad para mercado interno y externo – incluyendo las pérdidas en el sistema de transmisión y distribución y el consumo propio en unidades de generación rotante –, ha visto crecer el suministro termoeléctrico en forma notoria en las últimas décadas, acompañado con un suave incremento de la oferta hidroeléctrica por la incorporación de la etapa final de la CH </w:t>
      </w:r>
      <w:proofErr w:type="spellStart"/>
      <w:r w:rsidRPr="00896C5A">
        <w:rPr>
          <w:rFonts w:eastAsia="Wingdings"/>
        </w:rPr>
        <w:t>Yacyretá</w:t>
      </w:r>
      <w:proofErr w:type="spellEnd"/>
      <w:r w:rsidRPr="00896C5A">
        <w:rPr>
          <w:rFonts w:eastAsia="Wingdings"/>
        </w:rPr>
        <w:t xml:space="preserve"> en paulatino incremento de su cota de generación desde el 2006.</w:t>
      </w:r>
    </w:p>
    <w:p w14:paraId="604FC352" w14:textId="77777777" w:rsidR="00051507" w:rsidRPr="00896C5A" w:rsidRDefault="00051507" w:rsidP="00051507">
      <w:pPr>
        <w:pStyle w:val="Sangradetextonormal"/>
        <w:spacing w:after="240"/>
        <w:jc w:val="center"/>
        <w:rPr>
          <w:rFonts w:ascii="Arial" w:hAnsi="Arial" w:cs="Arial"/>
          <w:lang w:val="es-AR" w:eastAsia="es-ES"/>
        </w:rPr>
      </w:pPr>
      <w:r w:rsidRPr="00896C5A">
        <w:rPr>
          <w:rFonts w:ascii="Arial" w:hAnsi="Arial" w:cs="Arial"/>
          <w:noProof/>
          <w:lang w:val="es-AR"/>
        </w:rPr>
        <w:drawing>
          <wp:anchor distT="0" distB="0" distL="114300" distR="114300" simplePos="0" relativeHeight="251666432" behindDoc="1" locked="0" layoutInCell="1" allowOverlap="1" wp14:anchorId="17DC1657" wp14:editId="7151BD7A">
            <wp:simplePos x="0" y="0"/>
            <wp:positionH relativeFrom="margin">
              <wp:posOffset>1677670</wp:posOffset>
            </wp:positionH>
            <wp:positionV relativeFrom="paragraph">
              <wp:posOffset>2542431</wp:posOffset>
            </wp:positionV>
            <wp:extent cx="2764972" cy="2764972"/>
            <wp:effectExtent l="0" t="0" r="0" b="0"/>
            <wp:wrapNone/>
            <wp:docPr id="1088" name="Picture 1088"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Picture 1088" descr="Gráfico&#10;&#10;Descripción generada automáticamen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64972" cy="2764972"/>
                    </a:xfrm>
                    <a:prstGeom prst="rect">
                      <a:avLst/>
                    </a:prstGeom>
                    <a:noFill/>
                  </pic:spPr>
                </pic:pic>
              </a:graphicData>
            </a:graphic>
            <wp14:sizeRelH relativeFrom="page">
              <wp14:pctWidth>0</wp14:pctWidth>
            </wp14:sizeRelH>
            <wp14:sizeRelV relativeFrom="page">
              <wp14:pctHeight>0</wp14:pctHeight>
            </wp14:sizeRelV>
          </wp:anchor>
        </w:drawing>
      </w:r>
      <w:r w:rsidRPr="00896C5A">
        <w:rPr>
          <w:rFonts w:ascii="Arial" w:hAnsi="Arial" w:cs="Arial"/>
          <w:noProof/>
          <w:lang w:val="es-AR"/>
        </w:rPr>
        <w:drawing>
          <wp:inline distT="0" distB="0" distL="0" distR="0" wp14:anchorId="67DEE229" wp14:editId="6C972E03">
            <wp:extent cx="3943971" cy="2385109"/>
            <wp:effectExtent l="0" t="0" r="0" b="0"/>
            <wp:docPr id="1089" name="Picture 1089"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Picture 1089" descr="Gráfico&#10;&#10;Descripción generada automáticament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60951" cy="2395377"/>
                    </a:xfrm>
                    <a:prstGeom prst="rect">
                      <a:avLst/>
                    </a:prstGeom>
                    <a:noFill/>
                  </pic:spPr>
                </pic:pic>
              </a:graphicData>
            </a:graphic>
          </wp:inline>
        </w:drawing>
      </w:r>
    </w:p>
    <w:p w14:paraId="6F0509B0" w14:textId="77777777" w:rsidR="00051507" w:rsidRPr="00896C5A" w:rsidRDefault="00051507" w:rsidP="00051507">
      <w:pPr>
        <w:pStyle w:val="Sangradetextonormal"/>
        <w:spacing w:after="240"/>
        <w:ind w:left="284"/>
        <w:jc w:val="center"/>
        <w:rPr>
          <w:rFonts w:ascii="Arial" w:hAnsi="Arial" w:cs="Arial"/>
          <w:lang w:val="es-AR" w:eastAsia="es-ES"/>
        </w:rPr>
      </w:pPr>
    </w:p>
    <w:p w14:paraId="2F518A2B"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662E5661"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1AB4C160"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236B3633"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630B1073"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3A830862"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4FE57410"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30A26933"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61AA85C5"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65DAB1E7"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11E7D4DF"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05DE1C59"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34F231B0"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4A68FEFC"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390ADF6A"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La demanda de energía eléctrica mostró entre 2016 y 2020 un </w:t>
      </w:r>
      <w:proofErr w:type="spellStart"/>
      <w:r w:rsidRPr="00896C5A">
        <w:rPr>
          <w:rFonts w:eastAsia="Wingdings"/>
        </w:rPr>
        <w:t>desaceleramiento</w:t>
      </w:r>
      <w:proofErr w:type="spellEnd"/>
      <w:r w:rsidRPr="00896C5A">
        <w:rPr>
          <w:rFonts w:eastAsia="Wingdings"/>
        </w:rPr>
        <w:t xml:space="preserve"> de su tendencia al crecimiento, con un agravamiento en 2019 en parte influido por temperaturas invernales moderadas. En 2020, la contribución de exportaciones importantes a Brasil en los últimos meses permitió mostrar un repunte de 1.2% respecto a 2019, aunque la demanda del mercado interno se redujo. La tendencia de largo plazo muestra morigeración de la demanda de electricidad en períodos de caída de la economía como 2016, 2018, 2019 y especialmente 2020, con influencia de los ajustes tarifarios que se implementaron hasta febrero 2019 para mejorar parcialmente la cobertura del costo de abastecimiento eléctrico. En 2020 el efecto de las medidas para controlar la pandemia COVID 19 produjeron una reducción de demanda especialmente en segmentos industrial y comercial. </w:t>
      </w:r>
    </w:p>
    <w:p w14:paraId="7129C57D"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La demanda interna bruta de electricidad se redujo -2.9% en 2019, y -1.0% en 2020. La reactivación económica de 2021 con apertura de actividades llevó a una expansión de la demanda interna importante de +4.9%. Si se computan las exportaciones eléctricas a Brasil principalmente, la expansión de demanda agregada fue +5.4% en 2021 tras +1.1% de 2020.</w:t>
      </w:r>
    </w:p>
    <w:p w14:paraId="6A8A4066"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54D569C9"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b/>
          <w:bCs/>
        </w:rPr>
      </w:pPr>
      <w:r w:rsidRPr="00896C5A">
        <w:rPr>
          <w:rFonts w:eastAsia="Wingdings"/>
          <w:b/>
          <w:bCs/>
        </w:rPr>
        <w:lastRenderedPageBreak/>
        <w:t xml:space="preserve">Demanda de energía eléctrica </w:t>
      </w:r>
    </w:p>
    <w:p w14:paraId="1A4830F8"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rFonts w:eastAsia="Wingdings"/>
          <w:b/>
          <w:bCs/>
        </w:rPr>
      </w:pPr>
    </w:p>
    <w:p w14:paraId="5E8B519D"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CAMMESA divide a la Argentina en Regiones que presentan características similares desde el punto de vista de la demanda, de las características </w:t>
      </w:r>
      <w:proofErr w:type="gramStart"/>
      <w:r w:rsidRPr="00896C5A">
        <w:rPr>
          <w:rFonts w:eastAsia="Wingdings"/>
        </w:rPr>
        <w:t>socio-económicas</w:t>
      </w:r>
      <w:proofErr w:type="gramEnd"/>
      <w:r w:rsidRPr="00896C5A">
        <w:rPr>
          <w:rFonts w:eastAsia="Wingdings"/>
        </w:rPr>
        <w:t xml:space="preserve"> y de la integración de cada subsistema eléctrico. </w:t>
      </w:r>
    </w:p>
    <w:p w14:paraId="21C6E4BB"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La demanda se localiza muy concentrada en el área CABA-Gran Buenos Aires-Litoral, que reúne el 61.4% de la demanda eléctrica total del país en 2020; estimamos cambios menores en 2021 y una participación de 62% al reabrirse actividades principalmente en el Gran Buenos Aires. Si bien las tasas de crecimiento en otras regiones como Noroeste, Comahue y Patagonia son superiores al resto de las regiones del país, los cambios de la presente estructura no serán materiales en el futuro por lo cual las inversiones de abastecimiento eléctrico se concentrarán en estas regiones.</w:t>
      </w:r>
    </w:p>
    <w:p w14:paraId="6641949A"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En 2021, la estimación de G&amp;G Energy </w:t>
      </w:r>
      <w:proofErr w:type="spellStart"/>
      <w:r w:rsidRPr="00896C5A">
        <w:rPr>
          <w:rFonts w:eastAsia="Wingdings"/>
        </w:rPr>
        <w:t>Consultants</w:t>
      </w:r>
      <w:proofErr w:type="spellEnd"/>
      <w:r w:rsidRPr="00896C5A">
        <w:rPr>
          <w:rFonts w:eastAsia="Wingdings"/>
        </w:rPr>
        <w:t xml:space="preserve"> indica una fuerte reversión de la demanda bruta interna con +4.9% con congelamiento tarifario y reactivación económica. Consideramos que las tasas de crecimiento de la demanda interna de electricidad serán similares a las históricas cuando la economía retome una senda de tras los dos años últimos de variaciones notables y fuera de lo habitual. </w:t>
      </w:r>
    </w:p>
    <w:p w14:paraId="7CEEBA66"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6D71CED1"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42181A31"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r w:rsidRPr="00896C5A">
        <w:rPr>
          <w:rFonts w:ascii="Arial" w:hAnsi="Arial" w:cs="Arial"/>
          <w:noProof/>
        </w:rPr>
        <w:drawing>
          <wp:anchor distT="0" distB="0" distL="114300" distR="114300" simplePos="0" relativeHeight="251667456" behindDoc="1" locked="0" layoutInCell="1" allowOverlap="1" wp14:anchorId="7ECD113D" wp14:editId="1C1B3D95">
            <wp:simplePos x="0" y="0"/>
            <wp:positionH relativeFrom="margin">
              <wp:posOffset>1060353</wp:posOffset>
            </wp:positionH>
            <wp:positionV relativeFrom="paragraph">
              <wp:posOffset>-238956</wp:posOffset>
            </wp:positionV>
            <wp:extent cx="3886200" cy="2239981"/>
            <wp:effectExtent l="0" t="0" r="0" b="8255"/>
            <wp:wrapNone/>
            <wp:docPr id="26" name="Picture 3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1" descr="Gráfico, Gráfico de líneas&#10;&#10;Descripción generada automáticamen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86200" cy="2239981"/>
                    </a:xfrm>
                    <a:prstGeom prst="rect">
                      <a:avLst/>
                    </a:prstGeom>
                    <a:noFill/>
                  </pic:spPr>
                </pic:pic>
              </a:graphicData>
            </a:graphic>
          </wp:anchor>
        </w:drawing>
      </w:r>
    </w:p>
    <w:p w14:paraId="31B1A3CA"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06E55BFF"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2806F06C"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2D422E36"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5EF39253"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414169A5"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057EC393"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6B218FB4"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0192DA2A"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79C834C7"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109DA6FD"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La reducción de la demanda de energía puede advertirse en la evolución del promedio móvil de doce meses, que muestra la inercia del proceso hasta mitad de 2019, incipiente recuperación posterior, y renovada caída por efecto del aislamiento social de 2020 e inicio de 2021. El repunte sostenido y ascendente de los últimos meses se extenderá con similar tendencia hasta el invierno 2022 al menos.</w:t>
      </w:r>
    </w:p>
    <w:p w14:paraId="0B1BFE1F"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r w:rsidRPr="00896C5A">
        <w:rPr>
          <w:noProof/>
          <w:lang w:eastAsia="es-ES"/>
        </w:rPr>
        <w:drawing>
          <wp:anchor distT="0" distB="0" distL="114300" distR="114300" simplePos="0" relativeHeight="251668480" behindDoc="1" locked="0" layoutInCell="1" allowOverlap="1" wp14:anchorId="5C1650AC" wp14:editId="5F21C4A1">
            <wp:simplePos x="0" y="0"/>
            <wp:positionH relativeFrom="margin">
              <wp:align>center</wp:align>
            </wp:positionH>
            <wp:positionV relativeFrom="paragraph">
              <wp:posOffset>102289</wp:posOffset>
            </wp:positionV>
            <wp:extent cx="3907790" cy="2292350"/>
            <wp:effectExtent l="0" t="0" r="0" b="0"/>
            <wp:wrapNone/>
            <wp:docPr id="27" name="Imagen 27"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Gráfico&#10;&#10;Descripción generada automáticament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07790" cy="2292350"/>
                    </a:xfrm>
                    <a:prstGeom prst="rect">
                      <a:avLst/>
                    </a:prstGeom>
                    <a:noFill/>
                  </pic:spPr>
                </pic:pic>
              </a:graphicData>
            </a:graphic>
          </wp:anchor>
        </w:drawing>
      </w:r>
    </w:p>
    <w:p w14:paraId="4BF0A64E"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6A28DD45"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3CBD7F3A"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4CC6A1C5"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7B38EA44"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51801B87"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3AACE861"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165B9F04"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53F024C2"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3EBF0B2E"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421CC258"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6458939E"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3523F296"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autoSpaceDE w:val="0"/>
        <w:autoSpaceDN w:val="0"/>
        <w:spacing w:line="280" w:lineRule="exact"/>
        <w:ind w:right="28"/>
        <w:jc w:val="both"/>
        <w:rPr>
          <w:lang w:eastAsia="es-ES"/>
        </w:rPr>
      </w:pPr>
    </w:p>
    <w:p w14:paraId="3F1E2455" w14:textId="77777777" w:rsidR="00051507" w:rsidRPr="00896C5A" w:rsidRDefault="00051507" w:rsidP="00051507">
      <w:pPr>
        <w:pStyle w:val="Sangradetextonormal"/>
        <w:ind w:left="0"/>
        <w:jc w:val="center"/>
        <w:rPr>
          <w:lang w:val="es-AR" w:eastAsia="es-ES"/>
        </w:rPr>
      </w:pPr>
    </w:p>
    <w:p w14:paraId="0264A16E" w14:textId="77777777" w:rsidR="00051507" w:rsidRPr="00896C5A" w:rsidRDefault="00051507" w:rsidP="00051507">
      <w:pPr>
        <w:pStyle w:val="Sangradetextonormal"/>
        <w:ind w:left="0"/>
        <w:jc w:val="center"/>
        <w:rPr>
          <w:lang w:val="es-AR" w:eastAsia="es-ES"/>
        </w:rPr>
      </w:pPr>
      <w:r w:rsidRPr="00896C5A">
        <w:rPr>
          <w:noProof/>
          <w:lang w:val="es-AR" w:eastAsia="es-ES"/>
        </w:rPr>
        <w:drawing>
          <wp:inline distT="0" distB="0" distL="0" distR="0" wp14:anchorId="2D812EC7" wp14:editId="4FEC5D69">
            <wp:extent cx="3883660" cy="2115185"/>
            <wp:effectExtent l="0" t="0" r="2540" b="0"/>
            <wp:docPr id="28" name="Imagen 28"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Gráfico, Gráfico de barras&#10;&#10;Descripción generada automáticament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83660" cy="2115185"/>
                    </a:xfrm>
                    <a:prstGeom prst="rect">
                      <a:avLst/>
                    </a:prstGeom>
                    <a:noFill/>
                  </pic:spPr>
                </pic:pic>
              </a:graphicData>
            </a:graphic>
          </wp:inline>
        </w:drawing>
      </w:r>
    </w:p>
    <w:p w14:paraId="6991B68D" w14:textId="77777777" w:rsidR="00051507" w:rsidRPr="00896C5A" w:rsidRDefault="00051507" w:rsidP="00051507">
      <w:pPr>
        <w:pStyle w:val="Sangradetextonormal"/>
        <w:ind w:left="0"/>
        <w:jc w:val="center"/>
        <w:rPr>
          <w:lang w:val="es-AR" w:eastAsia="es-ES"/>
        </w:rPr>
      </w:pPr>
    </w:p>
    <w:p w14:paraId="161524E8"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Un análisis interanual directo – a diferencia del promedio móvil de doce meses, que es útil para advertir cambios de tendencia - muestra tasas de crecimiento de 5 a 10% durante el 2010 e inicios de 2011, con abrupta desaceleración incluyendo valores negativos en 2012 e inicios de 2013, retomando alto crecimiento tras el invierno 2012. Diciembre 2013 y enero 2014 muestran reacciones espectaculares de </w:t>
      </w:r>
      <w:r w:rsidRPr="00896C5A">
        <w:rPr>
          <w:rFonts w:eastAsia="Wingdings"/>
        </w:rPr>
        <w:lastRenderedPageBreak/>
        <w:t xml:space="preserve">la demanda residencial y comercial ante la ola de calor que afectó a la zona central de la Argentina en dichos periodos, que en diciembre 2014 se revirtió con una fuerte caída de demanda al normalizarse las temperaturas. </w:t>
      </w:r>
    </w:p>
    <w:p w14:paraId="44358F0E"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ascii="Arial" w:hAnsi="Arial" w:cs="Arial"/>
          <w:noProof/>
        </w:rPr>
        <w:drawing>
          <wp:anchor distT="0" distB="0" distL="114300" distR="114300" simplePos="0" relativeHeight="251669504" behindDoc="1" locked="0" layoutInCell="1" allowOverlap="1" wp14:anchorId="39C86C2C" wp14:editId="58EAA475">
            <wp:simplePos x="0" y="0"/>
            <wp:positionH relativeFrom="margin">
              <wp:align>center</wp:align>
            </wp:positionH>
            <wp:positionV relativeFrom="paragraph">
              <wp:posOffset>6350</wp:posOffset>
            </wp:positionV>
            <wp:extent cx="3943031" cy="2233340"/>
            <wp:effectExtent l="0" t="0" r="635" b="0"/>
            <wp:wrapNone/>
            <wp:docPr id="48" name="Picture 48"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áfico&#10;&#10;Descripción generada automáticament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43031" cy="2233340"/>
                    </a:xfrm>
                    <a:prstGeom prst="rect">
                      <a:avLst/>
                    </a:prstGeom>
                    <a:noFill/>
                  </pic:spPr>
                </pic:pic>
              </a:graphicData>
            </a:graphic>
          </wp:anchor>
        </w:drawing>
      </w:r>
    </w:p>
    <w:p w14:paraId="55BDDD75"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6FE5B561"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5A6C4F4F"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082B7A52"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07004F7E"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31F654FD"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p>
    <w:p w14:paraId="52273AF0" w14:textId="77777777" w:rsidR="00051507" w:rsidRPr="00896C5A" w:rsidRDefault="00051507" w:rsidP="00051507">
      <w:pPr>
        <w:pStyle w:val="Sangradetextonormal"/>
        <w:spacing w:after="240"/>
        <w:ind w:left="0"/>
        <w:rPr>
          <w:lang w:val="es-AR"/>
        </w:rPr>
      </w:pPr>
    </w:p>
    <w:p w14:paraId="460CD889" w14:textId="77777777" w:rsidR="00051507" w:rsidRPr="00896C5A" w:rsidRDefault="00051507" w:rsidP="00051507">
      <w:pPr>
        <w:pStyle w:val="Sangradetextonormal"/>
        <w:spacing w:after="240"/>
        <w:ind w:left="0"/>
        <w:jc w:val="center"/>
        <w:rPr>
          <w:lang w:val="es-AR"/>
        </w:rPr>
      </w:pPr>
      <w:r w:rsidRPr="00896C5A">
        <w:rPr>
          <w:noProof/>
          <w:lang w:val="es-AR"/>
        </w:rPr>
        <w:drawing>
          <wp:inline distT="0" distB="0" distL="0" distR="0" wp14:anchorId="3CB3F97E" wp14:editId="5F771A35">
            <wp:extent cx="2932430" cy="2023745"/>
            <wp:effectExtent l="0" t="0" r="1270" b="0"/>
            <wp:docPr id="29" name="Imagen 29" descr="Diagra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Diagrama&#10;&#10;Descripción generada automáticamente con confianza baj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32430" cy="2023745"/>
                    </a:xfrm>
                    <a:prstGeom prst="rect">
                      <a:avLst/>
                    </a:prstGeom>
                    <a:noFill/>
                  </pic:spPr>
                </pic:pic>
              </a:graphicData>
            </a:graphic>
          </wp:inline>
        </w:drawing>
      </w:r>
    </w:p>
    <w:p w14:paraId="75DBE751"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 xml:space="preserve">En 2019 se produjo una reducción de -2.9% en la demanda anual de energía eléctrica. El segmento de demanda eléctrica residencial se contrajo -2.0% en 2019 tras expansión de 2.0% en 2018, influida por las temperaturas de invierno y verano. En 2017 la demanda eléctrica de este segmento se había reducido -2.0% por efecto de ajustes tarifarios y temperaturas moderadas en verano e invierno, tras 3.0% en 2016 respecto a 2015, un registro mayor al 2.1% del recesivo 2014 respecto al 2013, pero inferior al 7.7% del 2015. En 2020 se registró un fuerte aumento de 8.1% por el congelamiento tarifario y el aislamiento social, con más personas en sus domicilios. En 2021 estimamos que el consumo del segmento residencial aumentó +1.3% a pesar de menor número de personas en sus domicilios, influido por la reactivación económica y el congelamiento tarifario. </w:t>
      </w:r>
    </w:p>
    <w:p w14:paraId="10460FAE"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El segmento de demanda eléctrica comercial creció 3.2% en 2016 respecto a 2015, mayor al 0.2% de 2014, e inferior al 3.8% del 2015.  En 2017, este segmento se redujo -0.4% y en 2018 otro -0.4%. En 2019 la tendencia se acentuó a -3.2%. Probablemente los ajustes tarifarios iniciados en febrero 2016 en energía eléctrica – seguidos de ajustes en gas natural en abril 2016 -, afectan en parte a la demanda de consumidores. En 2020 se registró una fuerte contracción de -5.3% por la grave crisis económica que afecta a estos consumidores, con reversión parcial de +4.4% en 2021.</w:t>
      </w:r>
    </w:p>
    <w:p w14:paraId="6AD4466C" w14:textId="77777777" w:rsidR="00051507" w:rsidRPr="00896C5A" w:rsidRDefault="00051507" w:rsidP="00051507">
      <w:pPr>
        <w:pStyle w:val="Sangradetextonormal"/>
        <w:spacing w:after="240"/>
        <w:ind w:left="0"/>
        <w:jc w:val="center"/>
        <w:rPr>
          <w:lang w:val="es-AR" w:eastAsia="es-ES"/>
        </w:rPr>
      </w:pPr>
      <w:r w:rsidRPr="00896C5A">
        <w:rPr>
          <w:noProof/>
          <w:lang w:val="es-AR" w:eastAsia="es-ES"/>
        </w:rPr>
        <w:drawing>
          <wp:inline distT="0" distB="0" distL="0" distR="0" wp14:anchorId="77354F5F" wp14:editId="5332F3D6">
            <wp:extent cx="3907790" cy="2286000"/>
            <wp:effectExtent l="0" t="0" r="0" b="0"/>
            <wp:docPr id="30" name="Imagen 30"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Gráfico, Gráfico de líneas&#10;&#10;Descripción generada automáticament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07790" cy="2286000"/>
                    </a:xfrm>
                    <a:prstGeom prst="rect">
                      <a:avLst/>
                    </a:prstGeom>
                    <a:noFill/>
                  </pic:spPr>
                </pic:pic>
              </a:graphicData>
            </a:graphic>
          </wp:inline>
        </w:drawing>
      </w:r>
    </w:p>
    <w:p w14:paraId="6C9E909F"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rPr>
        <w:t>La caída de actividad industrial finalizó a inicios de 2017 y el incremento de actividad se extendió hasta inicios de 2018, en que nuevamente se inició una contracción relevante con aceleramiento en los últimos meses de ese año. En 2016 el segmento Industrial había mostrado reducción de demanda eléctrica de -4.7% tras un modesto +0.8% de 2015. En 2017 la reactivación industrial arrojó un aumento de demanda eléctrica de 2.0%, en tanto 2018 finalizó con -1.3% con guarismos interanuales muy negativos de -5.8% y -9.7% en noviembre y diciembre 2018. En 2019 la tendencia recesiva se acentuó hasta mitad de año, con una contracción anual de -3.6%, resaltándose la recuperación de algunos meses. En 2020 se registró una fuerte contracción de -11.3% por la grave crisis económica, con recuperación desde fin de año al comparar con malos meses de 2019. En 2021 la reversión fue muy importante con +13.1% situando el consumo de este segmento por sobre el fin de 2019.</w:t>
      </w:r>
    </w:p>
    <w:p w14:paraId="1A1F197A" w14:textId="77777777" w:rsidR="00051507" w:rsidRPr="00896C5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896C5A">
        <w:rPr>
          <w:rFonts w:eastAsia="Wingdings"/>
          <w:noProof/>
        </w:rPr>
        <w:drawing>
          <wp:anchor distT="0" distB="0" distL="114300" distR="114300" simplePos="0" relativeHeight="251670528" behindDoc="1" locked="0" layoutInCell="1" allowOverlap="1" wp14:anchorId="64C12A30" wp14:editId="617C5E49">
            <wp:simplePos x="0" y="0"/>
            <wp:positionH relativeFrom="margin">
              <wp:align>center</wp:align>
            </wp:positionH>
            <wp:positionV relativeFrom="paragraph">
              <wp:posOffset>103302</wp:posOffset>
            </wp:positionV>
            <wp:extent cx="3926205" cy="2310765"/>
            <wp:effectExtent l="0" t="0" r="0" b="0"/>
            <wp:wrapNone/>
            <wp:docPr id="43" name="Imagen 43"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Gráfico&#10;&#10;Descripción generada automáticament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26205" cy="2310765"/>
                    </a:xfrm>
                    <a:prstGeom prst="rect">
                      <a:avLst/>
                    </a:prstGeom>
                    <a:noFill/>
                  </pic:spPr>
                </pic:pic>
              </a:graphicData>
            </a:graphic>
          </wp:anchor>
        </w:drawing>
      </w:r>
    </w:p>
    <w:p w14:paraId="36211E95" w14:textId="77777777" w:rsidR="00051507" w:rsidRPr="0041147D" w:rsidRDefault="00051507" w:rsidP="00051507">
      <w:pPr>
        <w:pStyle w:val="Sangradetextonormal"/>
        <w:spacing w:after="240"/>
        <w:ind w:left="0"/>
        <w:jc w:val="center"/>
        <w:rPr>
          <w:lang w:val="es-AR" w:eastAsia="es-ES"/>
        </w:rPr>
      </w:pPr>
    </w:p>
    <w:p w14:paraId="2F9F1BFD" w14:textId="77777777" w:rsidR="00051507" w:rsidRPr="0041147D" w:rsidRDefault="00051507" w:rsidP="00051507">
      <w:pPr>
        <w:pStyle w:val="Sangradetextonormal"/>
        <w:spacing w:after="240"/>
        <w:ind w:left="0"/>
        <w:jc w:val="center"/>
        <w:rPr>
          <w:lang w:val="es-AR" w:eastAsia="es-ES"/>
        </w:rPr>
      </w:pPr>
    </w:p>
    <w:p w14:paraId="060174EE" w14:textId="77777777" w:rsidR="00051507" w:rsidRPr="00022E5F" w:rsidRDefault="00051507" w:rsidP="00051507">
      <w:pPr>
        <w:rPr>
          <w:lang w:eastAsia="es-ES"/>
        </w:rPr>
      </w:pPr>
      <w:r w:rsidRPr="0041147D">
        <w:rPr>
          <w:lang w:eastAsia="es-ES"/>
        </w:rPr>
        <w:lastRenderedPageBreak/>
        <w:br w:type="page"/>
      </w:r>
    </w:p>
    <w:p w14:paraId="00EF94E6" w14:textId="77777777" w:rsidR="00051507" w:rsidRPr="00BB14D3" w:rsidRDefault="00051507" w:rsidP="00051507">
      <w:pPr>
        <w:pStyle w:val="Ttulo2"/>
        <w:numPr>
          <w:ilvl w:val="0"/>
          <w:numId w:val="37"/>
        </w:numPr>
        <w:autoSpaceDE w:val="0"/>
        <w:autoSpaceDN w:val="0"/>
        <w:spacing w:line="240" w:lineRule="exact"/>
        <w:ind w:left="0" w:firstLine="0"/>
        <w:jc w:val="both"/>
        <w:rPr>
          <w:bCs w:val="0"/>
          <w:color w:val="8496B0" w:themeColor="text2" w:themeTint="99"/>
          <w:sz w:val="20"/>
        </w:rPr>
      </w:pPr>
      <w:bookmarkStart w:id="6" w:name="_Toc63686709"/>
      <w:bookmarkStart w:id="7" w:name="_Hlk95142238"/>
      <w:r w:rsidRPr="00131411">
        <w:rPr>
          <w:color w:val="8496B0" w:themeColor="text2" w:themeTint="99"/>
          <w:sz w:val="20"/>
        </w:rPr>
        <w:lastRenderedPageBreak/>
        <w:t>PUNTOS DESTACADOS DEL EJERCICIO 20</w:t>
      </w:r>
      <w:r>
        <w:rPr>
          <w:color w:val="8496B0" w:themeColor="text2" w:themeTint="99"/>
          <w:sz w:val="20"/>
        </w:rPr>
        <w:t>2</w:t>
      </w:r>
      <w:bookmarkEnd w:id="6"/>
      <w:r>
        <w:rPr>
          <w:color w:val="8496B0" w:themeColor="text2" w:themeTint="99"/>
          <w:sz w:val="20"/>
        </w:rPr>
        <w:t>1</w:t>
      </w:r>
      <w:r w:rsidRPr="00BB14D3">
        <w:rPr>
          <w:b w:val="0"/>
          <w:sz w:val="20"/>
        </w:rPr>
        <w:fldChar w:fldCharType="begin"/>
      </w:r>
      <w:r w:rsidRPr="00BB14D3">
        <w:rPr>
          <w:sz w:val="20"/>
        </w:rPr>
        <w:instrText xml:space="preserve"> XE "PUNTOS DESTACADOS DEL EJERCICIO 2014" </w:instrText>
      </w:r>
      <w:r w:rsidRPr="00BB14D3">
        <w:rPr>
          <w:b w:val="0"/>
          <w:sz w:val="20"/>
        </w:rPr>
        <w:fldChar w:fldCharType="end"/>
      </w:r>
      <w:r w:rsidRPr="00BB14D3">
        <w:rPr>
          <w:b w:val="0"/>
          <w:sz w:val="20"/>
        </w:rPr>
        <w:fldChar w:fldCharType="begin"/>
      </w:r>
      <w:r w:rsidRPr="00BB14D3">
        <w:rPr>
          <w:sz w:val="20"/>
        </w:rPr>
        <w:instrText xml:space="preserve"> XE "PUNTOS DESTACADOS DEL EJERCICIO 2014" </w:instrText>
      </w:r>
      <w:r w:rsidRPr="00BB14D3">
        <w:rPr>
          <w:b w:val="0"/>
          <w:sz w:val="20"/>
        </w:rPr>
        <w:fldChar w:fldCharType="end"/>
      </w:r>
    </w:p>
    <w:p w14:paraId="022FE525" w14:textId="77777777" w:rsidR="00051507" w:rsidRDefault="00051507" w:rsidP="00051507">
      <w:pPr>
        <w:pStyle w:val="Prrafodelista"/>
        <w:spacing w:after="100" w:afterAutospacing="1" w:line="240" w:lineRule="exact"/>
        <w:ind w:left="360"/>
        <w:jc w:val="both"/>
        <w:rPr>
          <w:rFonts w:ascii="Times New Roman" w:hAnsi="Times New Roman"/>
          <w:b/>
          <w:u w:val="single"/>
          <w:lang w:val="es-ES"/>
        </w:rPr>
      </w:pPr>
    </w:p>
    <w:p w14:paraId="027668A8" w14:textId="77777777" w:rsidR="00051507" w:rsidRPr="00131411" w:rsidRDefault="00051507" w:rsidP="00051507">
      <w:pPr>
        <w:pStyle w:val="Prrafodelista"/>
        <w:numPr>
          <w:ilvl w:val="1"/>
          <w:numId w:val="2"/>
        </w:numPr>
        <w:spacing w:after="100" w:afterAutospacing="1" w:line="240" w:lineRule="exact"/>
        <w:contextualSpacing/>
        <w:jc w:val="both"/>
        <w:rPr>
          <w:rFonts w:ascii="Times New Roman" w:hAnsi="Times New Roman"/>
          <w:b/>
          <w:u w:val="single"/>
          <w:lang w:val="es-ES"/>
        </w:rPr>
      </w:pPr>
      <w:r w:rsidRPr="00131411">
        <w:rPr>
          <w:rFonts w:ascii="Times New Roman" w:hAnsi="Times New Roman"/>
          <w:b/>
          <w:u w:val="single"/>
          <w:lang w:val="es-ES"/>
        </w:rPr>
        <w:t xml:space="preserve">Energía Eléctrica </w:t>
      </w:r>
    </w:p>
    <w:p w14:paraId="13999417" w14:textId="77777777" w:rsidR="00051507" w:rsidRPr="00131411" w:rsidRDefault="00051507" w:rsidP="00051507">
      <w:pPr>
        <w:pStyle w:val="Prrafodelista"/>
        <w:autoSpaceDE w:val="0"/>
        <w:autoSpaceDN w:val="0"/>
        <w:spacing w:after="0" w:line="240" w:lineRule="exact"/>
        <w:ind w:left="284"/>
        <w:jc w:val="both"/>
        <w:rPr>
          <w:rFonts w:ascii="Times New Roman" w:hAnsi="Times New Roman"/>
          <w:b/>
          <w:color w:val="0070C0"/>
          <w:u w:val="single"/>
        </w:rPr>
      </w:pPr>
    </w:p>
    <w:p w14:paraId="05D2F126" w14:textId="77777777" w:rsidR="00051507" w:rsidRPr="00826A90" w:rsidRDefault="00051507" w:rsidP="00051507">
      <w:pPr>
        <w:ind w:right="-232"/>
        <w:jc w:val="both"/>
        <w:rPr>
          <w:rFonts w:eastAsia="Wingdings"/>
        </w:rPr>
      </w:pPr>
      <w:r w:rsidRPr="00826A90">
        <w:rPr>
          <w:rFonts w:eastAsia="Wingdings"/>
        </w:rPr>
        <w:t>Durante el año 2021, la demanda de energía eléctrica se incrementó en un 5,07% comparado con el año anterior.  El incremento más importante se reflejó en el segundo y tercer trimestre con un 10,61% y 8,61% respectivamente de 2021. El aumento de la demanda industrial durante el segundo y tercer trimestre de 2021 alcanzó el 23,39% y 12,24% respectivamente. La demanda residencial aumentó 6,32% en 2021.</w:t>
      </w:r>
    </w:p>
    <w:p w14:paraId="087A016B" w14:textId="77777777" w:rsidR="00051507" w:rsidRPr="00826A90" w:rsidRDefault="00051507" w:rsidP="00051507">
      <w:pPr>
        <w:ind w:right="-232"/>
        <w:jc w:val="both"/>
        <w:rPr>
          <w:rFonts w:eastAsia="Wingdings"/>
        </w:rPr>
      </w:pPr>
    </w:p>
    <w:p w14:paraId="4B952BB4" w14:textId="77777777" w:rsidR="00051507" w:rsidRPr="00826A90" w:rsidRDefault="00051507" w:rsidP="00051507">
      <w:pPr>
        <w:ind w:right="-232"/>
        <w:jc w:val="both"/>
        <w:rPr>
          <w:rFonts w:eastAsia="Wingdings"/>
        </w:rPr>
      </w:pPr>
      <w:r w:rsidRPr="00826A90">
        <w:rPr>
          <w:rFonts w:eastAsia="Wingdings"/>
        </w:rPr>
        <w:t xml:space="preserve">En el año 2021, CTR mantuvo una disponibilidad promedio del 90%. La energía generada durante el 2021 por las unidades fue de 1.150.909 </w:t>
      </w:r>
      <w:proofErr w:type="spellStart"/>
      <w:r w:rsidRPr="00826A90">
        <w:rPr>
          <w:rFonts w:eastAsia="Wingdings"/>
        </w:rPr>
        <w:t>MWh</w:t>
      </w:r>
      <w:proofErr w:type="spellEnd"/>
      <w:r w:rsidRPr="00826A90">
        <w:rPr>
          <w:rFonts w:eastAsia="Wingdings"/>
        </w:rPr>
        <w:t>.</w:t>
      </w:r>
    </w:p>
    <w:p w14:paraId="34BA7D52" w14:textId="77777777" w:rsidR="00051507" w:rsidRPr="00312D54" w:rsidRDefault="00051507" w:rsidP="00051507">
      <w:pPr>
        <w:ind w:right="-232"/>
        <w:jc w:val="both"/>
      </w:pPr>
    </w:p>
    <w:p w14:paraId="71667FF6" w14:textId="77777777" w:rsidR="00051507" w:rsidRPr="00131411" w:rsidRDefault="00051507" w:rsidP="00051507">
      <w:pPr>
        <w:pStyle w:val="Prrafodelista"/>
        <w:numPr>
          <w:ilvl w:val="1"/>
          <w:numId w:val="2"/>
        </w:numPr>
        <w:spacing w:after="100" w:afterAutospacing="1" w:line="240" w:lineRule="exact"/>
        <w:contextualSpacing/>
        <w:jc w:val="both"/>
        <w:rPr>
          <w:rFonts w:ascii="Times New Roman" w:hAnsi="Times New Roman"/>
          <w:b/>
          <w:u w:val="single"/>
          <w:lang w:val="es-ES"/>
        </w:rPr>
      </w:pPr>
      <w:r w:rsidRPr="00131411">
        <w:rPr>
          <w:rFonts w:ascii="Times New Roman" w:hAnsi="Times New Roman"/>
          <w:b/>
          <w:u w:val="single"/>
          <w:lang w:val="es-ES"/>
        </w:rPr>
        <w:t>Mantenimiento</w:t>
      </w:r>
    </w:p>
    <w:p w14:paraId="04480405" w14:textId="77777777" w:rsidR="00051507" w:rsidRPr="00896C5A" w:rsidRDefault="00051507" w:rsidP="00051507">
      <w:pPr>
        <w:ind w:right="-232"/>
        <w:jc w:val="both"/>
      </w:pPr>
      <w:bookmarkStart w:id="8" w:name="_Hlk506977750"/>
      <w:r w:rsidRPr="00896C5A">
        <w:t xml:space="preserve">El objetivo de las tareas de mantenimiento durante el ejercicio fue el de mantener la disponibilidad del ciclo combinado. </w:t>
      </w:r>
    </w:p>
    <w:p w14:paraId="59CEECD6" w14:textId="77777777" w:rsidR="00051507" w:rsidRPr="00896C5A" w:rsidRDefault="00051507" w:rsidP="00051507">
      <w:pPr>
        <w:ind w:right="-232"/>
        <w:jc w:val="both"/>
      </w:pPr>
    </w:p>
    <w:p w14:paraId="7260B058" w14:textId="77777777" w:rsidR="00051507" w:rsidRPr="00896C5A" w:rsidRDefault="00051507" w:rsidP="00051507">
      <w:pPr>
        <w:ind w:right="-232"/>
        <w:jc w:val="both"/>
      </w:pPr>
      <w:r w:rsidRPr="00896C5A">
        <w:t>El plan de mantenimiento abarcó tanto a la UG, el HRSG, como a los equipos auxiliares y edilicios.</w:t>
      </w:r>
    </w:p>
    <w:p w14:paraId="025A21AC" w14:textId="77777777" w:rsidR="00051507" w:rsidRPr="00896C5A" w:rsidRDefault="00051507" w:rsidP="00051507">
      <w:pPr>
        <w:ind w:right="-232"/>
        <w:jc w:val="both"/>
      </w:pPr>
    </w:p>
    <w:p w14:paraId="56CA8725" w14:textId="77777777" w:rsidR="00051507" w:rsidRPr="00896C5A" w:rsidRDefault="00051507" w:rsidP="00051507">
      <w:pPr>
        <w:ind w:right="-232"/>
        <w:jc w:val="both"/>
      </w:pPr>
      <w:r w:rsidRPr="00896C5A">
        <w:t xml:space="preserve">Durante el ejercicio se han llevado a cabo el mantenimiento medio, en las turbinas a gas, denominado “CI” correspondiente a las 16000 FFHH según las recomendaciones del manual del fabricante. </w:t>
      </w:r>
    </w:p>
    <w:p w14:paraId="32AF711C" w14:textId="77777777" w:rsidR="00051507" w:rsidRPr="00896C5A" w:rsidRDefault="00051507" w:rsidP="00051507">
      <w:pPr>
        <w:ind w:right="-232"/>
        <w:jc w:val="both"/>
      </w:pPr>
    </w:p>
    <w:p w14:paraId="0F930169" w14:textId="77777777" w:rsidR="00051507" w:rsidRPr="00C85568" w:rsidRDefault="00051507" w:rsidP="00051507">
      <w:pPr>
        <w:ind w:right="-232"/>
        <w:jc w:val="both"/>
      </w:pPr>
      <w:r w:rsidRPr="00896C5A">
        <w:t>Asimismo, se mantuvieron vigentes los acuerdos de asistencia remota y local de GE</w:t>
      </w:r>
    </w:p>
    <w:bookmarkEnd w:id="7"/>
    <w:p w14:paraId="15A9E281" w14:textId="77777777" w:rsidR="00051507" w:rsidRPr="00131411" w:rsidRDefault="00051507" w:rsidP="00051507">
      <w:pPr>
        <w:ind w:right="-232"/>
        <w:jc w:val="both"/>
        <w:rPr>
          <w:lang w:val="es-ES"/>
        </w:rPr>
      </w:pPr>
    </w:p>
    <w:bookmarkEnd w:id="8"/>
    <w:p w14:paraId="31631BAC" w14:textId="77777777" w:rsidR="00051507" w:rsidRPr="00131411" w:rsidRDefault="00051507" w:rsidP="00051507">
      <w:pPr>
        <w:pStyle w:val="Prrafodelista"/>
        <w:numPr>
          <w:ilvl w:val="1"/>
          <w:numId w:val="2"/>
        </w:numPr>
        <w:spacing w:after="0" w:line="240" w:lineRule="exact"/>
        <w:contextualSpacing/>
        <w:jc w:val="both"/>
        <w:rPr>
          <w:rFonts w:ascii="Times New Roman" w:hAnsi="Times New Roman"/>
          <w:b/>
          <w:lang w:val="es-ES"/>
        </w:rPr>
      </w:pPr>
      <w:r w:rsidRPr="00131411">
        <w:rPr>
          <w:rFonts w:ascii="Times New Roman" w:hAnsi="Times New Roman"/>
          <w:b/>
          <w:u w:val="single"/>
          <w:lang w:val="es-ES"/>
        </w:rPr>
        <w:t>Medio Ambiente</w:t>
      </w:r>
    </w:p>
    <w:p w14:paraId="422960CA" w14:textId="77777777" w:rsidR="00051507" w:rsidRPr="00131411" w:rsidRDefault="00051507" w:rsidP="00051507">
      <w:pPr>
        <w:pStyle w:val="Sangradetextonormal"/>
        <w:ind w:left="0"/>
        <w:rPr>
          <w:b/>
          <w:lang w:val="es-AR" w:eastAsia="es-ES"/>
        </w:rPr>
      </w:pPr>
    </w:p>
    <w:p w14:paraId="4872EDEA" w14:textId="77777777" w:rsidR="00051507" w:rsidRPr="001F336C" w:rsidRDefault="00051507" w:rsidP="00051507">
      <w:pPr>
        <w:pStyle w:val="Sangradetextonormal"/>
        <w:ind w:left="0"/>
        <w:rPr>
          <w:b/>
          <w:lang w:val="es-AR" w:eastAsia="es-ES"/>
        </w:rPr>
      </w:pPr>
      <w:bookmarkStart w:id="9" w:name="_Hlk28940889"/>
      <w:r>
        <w:rPr>
          <w:b/>
          <w:lang w:val="es-AR" w:eastAsia="es-ES"/>
        </w:rPr>
        <w:tab/>
      </w:r>
      <w:r w:rsidRPr="001F336C">
        <w:rPr>
          <w:b/>
          <w:lang w:val="es-AR" w:eastAsia="es-ES"/>
        </w:rPr>
        <w:t xml:space="preserve">Sistema de Gestión Ambiental Corporativo </w:t>
      </w:r>
    </w:p>
    <w:p w14:paraId="7C1DFD40" w14:textId="77777777" w:rsidR="00051507" w:rsidRDefault="00051507" w:rsidP="00051507">
      <w:pPr>
        <w:pStyle w:val="Sangradetextonormal"/>
        <w:ind w:left="0"/>
        <w:rPr>
          <w:b/>
          <w:lang w:val="es-AR" w:eastAsia="es-ES"/>
        </w:rPr>
      </w:pPr>
    </w:p>
    <w:p w14:paraId="258978E3"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 xml:space="preserve">La certificación ISO 14001:2015 del Sistema de Gestión Ambiental del Grupo se encuentra disponible basado en una implementación corporativa que alcanza a las Sociedades: GROSA, CTR, AESA y GMSA con sus centrales térmicas: CTMM, </w:t>
      </w:r>
      <w:proofErr w:type="spellStart"/>
      <w:r w:rsidRPr="00896C5A">
        <w:rPr>
          <w:color w:val="000000" w:themeColor="text1"/>
          <w:lang w:val="es-ES"/>
        </w:rPr>
        <w:t>CTRi</w:t>
      </w:r>
      <w:proofErr w:type="spellEnd"/>
      <w:r w:rsidRPr="00896C5A">
        <w:rPr>
          <w:color w:val="000000" w:themeColor="text1"/>
          <w:lang w:val="es-ES"/>
        </w:rPr>
        <w:t>, CTI, CTLB, CTF y CTE. Dentro de este conjunto, es importante destacar:</w:t>
      </w:r>
    </w:p>
    <w:p w14:paraId="25EF6107" w14:textId="77777777" w:rsidR="00051507" w:rsidRPr="00896C5A" w:rsidRDefault="00051507" w:rsidP="00051507">
      <w:pPr>
        <w:spacing w:after="100" w:afterAutospacing="1" w:line="240" w:lineRule="exact"/>
        <w:contextualSpacing/>
        <w:jc w:val="both"/>
        <w:rPr>
          <w:color w:val="000000" w:themeColor="text1"/>
          <w:lang w:val="es-ES"/>
        </w:rPr>
      </w:pPr>
    </w:p>
    <w:p w14:paraId="6B6A04BC" w14:textId="77777777" w:rsidR="00051507" w:rsidRPr="00896C5A" w:rsidRDefault="00051507" w:rsidP="00051507">
      <w:pPr>
        <w:numPr>
          <w:ilvl w:val="0"/>
          <w:numId w:val="25"/>
        </w:numPr>
        <w:spacing w:after="100" w:afterAutospacing="1" w:line="240" w:lineRule="exact"/>
        <w:ind w:left="426"/>
        <w:contextualSpacing/>
        <w:jc w:val="both"/>
        <w:rPr>
          <w:color w:val="000000" w:themeColor="text1"/>
          <w:lang w:val="es-ES"/>
        </w:rPr>
      </w:pPr>
      <w:r w:rsidRPr="00896C5A">
        <w:rPr>
          <w:color w:val="000000" w:themeColor="text1"/>
          <w:lang w:val="es-ES"/>
        </w:rPr>
        <w:t>GMSA, CTMM cuenta además con un Sistema de Gestión de Calidad certificado bajo Norma ISO 9001:2015 e implementado de manera integrada con su Sistema de Gestión Ambiental.</w:t>
      </w:r>
    </w:p>
    <w:p w14:paraId="5D448D2B" w14:textId="77777777" w:rsidR="00051507" w:rsidRPr="00896C5A" w:rsidRDefault="00051507" w:rsidP="00051507">
      <w:pPr>
        <w:numPr>
          <w:ilvl w:val="0"/>
          <w:numId w:val="25"/>
        </w:numPr>
        <w:spacing w:after="100" w:afterAutospacing="1" w:line="240" w:lineRule="exact"/>
        <w:ind w:left="426"/>
        <w:contextualSpacing/>
        <w:jc w:val="both"/>
        <w:rPr>
          <w:color w:val="000000" w:themeColor="text1"/>
          <w:lang w:val="es-ES"/>
        </w:rPr>
      </w:pPr>
      <w:r w:rsidRPr="00896C5A">
        <w:rPr>
          <w:color w:val="000000" w:themeColor="text1"/>
          <w:lang w:val="es-ES"/>
        </w:rPr>
        <w:t xml:space="preserve">GMSA, CTE obtuvo en diciembre de 2021 la certificación ISO 45001:2018 de Seguridad y Salud en el trabajo, </w:t>
      </w:r>
    </w:p>
    <w:p w14:paraId="29E8819D" w14:textId="77777777" w:rsidR="00051507" w:rsidRPr="00896C5A" w:rsidRDefault="00051507" w:rsidP="00051507">
      <w:pPr>
        <w:spacing w:after="100" w:afterAutospacing="1" w:line="240" w:lineRule="exact"/>
        <w:contextualSpacing/>
        <w:jc w:val="both"/>
        <w:rPr>
          <w:color w:val="000000" w:themeColor="text1"/>
          <w:lang w:val="es-ES"/>
        </w:rPr>
      </w:pPr>
    </w:p>
    <w:p w14:paraId="57C13974"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 xml:space="preserve">Este tipo de gestión ambiental destacada especialmente por su carácter corporativo permite proceder unificada y coordinadamente en todos los sitios de trabajo aunando criterios para la determinación de los aspectos ambientales de la actividad, sus evaluaciones de significancia y los controles operacionales adoptados en respuesta. </w:t>
      </w:r>
    </w:p>
    <w:p w14:paraId="2AC5F3AE" w14:textId="77777777" w:rsidR="00051507" w:rsidRPr="00896C5A" w:rsidRDefault="00051507" w:rsidP="00051507">
      <w:pPr>
        <w:spacing w:after="100" w:afterAutospacing="1" w:line="240" w:lineRule="exact"/>
        <w:contextualSpacing/>
        <w:jc w:val="both"/>
        <w:rPr>
          <w:color w:val="000000" w:themeColor="text1"/>
          <w:lang w:val="es-ES"/>
        </w:rPr>
      </w:pPr>
    </w:p>
    <w:p w14:paraId="07221A34"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Sustentado en una documentación predominantemente estandarizada e implementada en un marco de trabajo apoyado en el desempeño solidario y cooperativo entre las partes, se ha logrado en el tiempo un crecimiento conjunto sostenido, sujeto a revisiones periódicas de desempeño y procesos de mejora continua.</w:t>
      </w:r>
    </w:p>
    <w:p w14:paraId="4253F503" w14:textId="77777777" w:rsidR="00051507" w:rsidRPr="00896C5A" w:rsidRDefault="00051507" w:rsidP="00051507">
      <w:pPr>
        <w:spacing w:after="100" w:afterAutospacing="1" w:line="240" w:lineRule="exact"/>
        <w:contextualSpacing/>
        <w:jc w:val="both"/>
        <w:rPr>
          <w:color w:val="000000" w:themeColor="text1"/>
          <w:lang w:val="es-ES"/>
        </w:rPr>
      </w:pPr>
    </w:p>
    <w:p w14:paraId="29EB4FCE" w14:textId="77777777" w:rsidR="00051507" w:rsidRPr="00896C5A" w:rsidRDefault="00051507" w:rsidP="00051507">
      <w:pPr>
        <w:jc w:val="both"/>
        <w:rPr>
          <w:color w:val="000000" w:themeColor="text1"/>
          <w:lang w:eastAsia="es-ES"/>
        </w:rPr>
      </w:pPr>
      <w:r w:rsidRPr="00896C5A">
        <w:rPr>
          <w:color w:val="000000" w:themeColor="text1"/>
          <w:lang w:eastAsia="es-ES"/>
        </w:rPr>
        <w:t>Los beneficios fundamentales, obtenidos a partir de lo expresado, pueden evidenciarse en aspectos como:</w:t>
      </w:r>
    </w:p>
    <w:p w14:paraId="436151E6" w14:textId="77777777" w:rsidR="00051507" w:rsidRPr="00896C5A" w:rsidRDefault="00051507" w:rsidP="00051507">
      <w:pPr>
        <w:jc w:val="both"/>
        <w:rPr>
          <w:color w:val="000000" w:themeColor="text1"/>
          <w:lang w:eastAsia="es-ES"/>
        </w:rPr>
      </w:pPr>
    </w:p>
    <w:p w14:paraId="078FCA03" w14:textId="77777777" w:rsidR="00051507" w:rsidRPr="00896C5A" w:rsidRDefault="00051507" w:rsidP="00051507">
      <w:pPr>
        <w:numPr>
          <w:ilvl w:val="0"/>
          <w:numId w:val="6"/>
        </w:numPr>
        <w:spacing w:line="276" w:lineRule="auto"/>
        <w:ind w:left="0" w:firstLine="0"/>
        <w:jc w:val="both"/>
        <w:rPr>
          <w:color w:val="000000" w:themeColor="text1"/>
          <w:lang w:eastAsia="es-ES"/>
        </w:rPr>
      </w:pPr>
      <w:r w:rsidRPr="00896C5A">
        <w:rPr>
          <w:color w:val="000000" w:themeColor="text1"/>
          <w:lang w:eastAsia="es-ES"/>
        </w:rPr>
        <w:t>La concientización ambiental y el involucramiento del personal en el cumplimiento de los objetivos establecidos.</w:t>
      </w:r>
    </w:p>
    <w:p w14:paraId="32458652" w14:textId="77777777" w:rsidR="00051507" w:rsidRPr="00896C5A" w:rsidRDefault="00051507" w:rsidP="00051507">
      <w:pPr>
        <w:numPr>
          <w:ilvl w:val="0"/>
          <w:numId w:val="6"/>
        </w:numPr>
        <w:spacing w:line="276" w:lineRule="auto"/>
        <w:ind w:left="0" w:firstLine="0"/>
        <w:jc w:val="both"/>
        <w:rPr>
          <w:color w:val="000000" w:themeColor="text1"/>
          <w:lang w:eastAsia="es-ES"/>
        </w:rPr>
      </w:pPr>
      <w:r w:rsidRPr="00896C5A">
        <w:rPr>
          <w:color w:val="000000" w:themeColor="text1"/>
          <w:lang w:eastAsia="es-ES"/>
        </w:rPr>
        <w:t>La importancia prioritaria brindada al ejercicio de la gestión preventiva.</w:t>
      </w:r>
    </w:p>
    <w:p w14:paraId="303EB83B" w14:textId="77777777" w:rsidR="00051507" w:rsidRPr="00896C5A" w:rsidRDefault="00051507" w:rsidP="00051507">
      <w:pPr>
        <w:numPr>
          <w:ilvl w:val="0"/>
          <w:numId w:val="6"/>
        </w:numPr>
        <w:spacing w:line="276" w:lineRule="auto"/>
        <w:ind w:left="709" w:hanging="709"/>
        <w:jc w:val="both"/>
        <w:rPr>
          <w:color w:val="000000" w:themeColor="text1"/>
          <w:lang w:eastAsia="es-ES"/>
        </w:rPr>
      </w:pPr>
      <w:r w:rsidRPr="00896C5A">
        <w:rPr>
          <w:color w:val="000000" w:themeColor="text1"/>
          <w:lang w:eastAsia="es-ES"/>
        </w:rPr>
        <w:t>La ausencia histórica de incidentes ambientales producto de una cultura de trabajo arraigada en profundos valores éticos y profesionales.</w:t>
      </w:r>
    </w:p>
    <w:p w14:paraId="712E6B00" w14:textId="77777777" w:rsidR="00051507" w:rsidRPr="00896C5A" w:rsidRDefault="00051507" w:rsidP="00051507">
      <w:pPr>
        <w:numPr>
          <w:ilvl w:val="0"/>
          <w:numId w:val="6"/>
        </w:numPr>
        <w:spacing w:line="276" w:lineRule="auto"/>
        <w:ind w:left="709" w:hanging="709"/>
        <w:jc w:val="both"/>
        <w:rPr>
          <w:color w:val="000000" w:themeColor="text1"/>
          <w:lang w:eastAsia="es-ES"/>
        </w:rPr>
      </w:pPr>
      <w:r w:rsidRPr="00896C5A">
        <w:rPr>
          <w:color w:val="000000" w:themeColor="text1"/>
          <w:lang w:eastAsia="es-ES"/>
        </w:rPr>
        <w:t xml:space="preserve"> El eficiente proceder demostrado frente a las acciones correctivas necesarias y la erradicación definitiva de sus causas raíz, la contención segura de los riesgos y el logro de nuevas oportunidades de mejora.</w:t>
      </w:r>
    </w:p>
    <w:p w14:paraId="1CCBC85A" w14:textId="77777777" w:rsidR="00051507" w:rsidRPr="00896C5A" w:rsidRDefault="00051507" w:rsidP="00051507">
      <w:pPr>
        <w:numPr>
          <w:ilvl w:val="0"/>
          <w:numId w:val="6"/>
        </w:numPr>
        <w:spacing w:line="276" w:lineRule="auto"/>
        <w:ind w:left="0" w:firstLine="0"/>
        <w:jc w:val="both"/>
        <w:rPr>
          <w:color w:val="000000" w:themeColor="text1"/>
          <w:lang w:eastAsia="es-ES"/>
        </w:rPr>
      </w:pPr>
      <w:r w:rsidRPr="00896C5A">
        <w:rPr>
          <w:color w:val="000000" w:themeColor="text1"/>
          <w:lang w:eastAsia="es-ES"/>
        </w:rPr>
        <w:t>La atención en tiempo y forma brindada al cumplimiento de los requisitos legales.</w:t>
      </w:r>
    </w:p>
    <w:p w14:paraId="50D1E728" w14:textId="77777777" w:rsidR="00051507" w:rsidRPr="00896C5A" w:rsidRDefault="00051507" w:rsidP="00051507">
      <w:pPr>
        <w:numPr>
          <w:ilvl w:val="0"/>
          <w:numId w:val="6"/>
        </w:numPr>
        <w:spacing w:line="276" w:lineRule="auto"/>
        <w:ind w:left="709" w:hanging="709"/>
        <w:jc w:val="both"/>
        <w:rPr>
          <w:color w:val="000000" w:themeColor="text1"/>
          <w:lang w:eastAsia="es-ES"/>
        </w:rPr>
      </w:pPr>
      <w:r w:rsidRPr="00896C5A">
        <w:rPr>
          <w:color w:val="000000" w:themeColor="text1"/>
          <w:lang w:eastAsia="es-ES"/>
        </w:rPr>
        <w:t xml:space="preserve">La superación en la gestión de los aspectos ambientales de la actividad con especial consideración de sus ciclos de vida y los intereses implicados de sostenibilidad ambiental. </w:t>
      </w:r>
    </w:p>
    <w:p w14:paraId="1F9DC7CB" w14:textId="77777777" w:rsidR="00051507" w:rsidRPr="00896C5A" w:rsidRDefault="00051507" w:rsidP="00051507">
      <w:pPr>
        <w:numPr>
          <w:ilvl w:val="0"/>
          <w:numId w:val="6"/>
        </w:numPr>
        <w:spacing w:line="276" w:lineRule="auto"/>
        <w:ind w:left="709" w:hanging="709"/>
        <w:jc w:val="both"/>
        <w:rPr>
          <w:color w:val="000000" w:themeColor="text1"/>
          <w:lang w:eastAsia="es-ES"/>
        </w:rPr>
      </w:pPr>
      <w:r w:rsidRPr="00896C5A">
        <w:rPr>
          <w:color w:val="000000" w:themeColor="text1"/>
          <w:lang w:eastAsia="es-ES"/>
        </w:rPr>
        <w:t>La eficacia, fluidez y claridad de las comunicaciones internas para el tratamiento oportuno de las necesidades y desafíos de gestión.</w:t>
      </w:r>
    </w:p>
    <w:p w14:paraId="03067D8F" w14:textId="77777777" w:rsidR="00051507" w:rsidRPr="00896C5A" w:rsidRDefault="00051507" w:rsidP="00051507">
      <w:pPr>
        <w:numPr>
          <w:ilvl w:val="0"/>
          <w:numId w:val="6"/>
        </w:numPr>
        <w:spacing w:line="276" w:lineRule="auto"/>
        <w:ind w:left="709" w:hanging="709"/>
        <w:jc w:val="both"/>
        <w:rPr>
          <w:color w:val="000000" w:themeColor="text1"/>
          <w:lang w:eastAsia="es-ES"/>
        </w:rPr>
      </w:pPr>
      <w:r w:rsidRPr="00896C5A">
        <w:rPr>
          <w:color w:val="000000" w:themeColor="text1"/>
          <w:lang w:eastAsia="es-ES"/>
        </w:rPr>
        <w:t>La preocupación y atención dada a los intereses y expectativas de la comunidad y otras partes externas interesadas.</w:t>
      </w:r>
    </w:p>
    <w:p w14:paraId="2B0B7D04" w14:textId="77777777" w:rsidR="00051507" w:rsidRPr="00896C5A" w:rsidRDefault="00051507" w:rsidP="00051507">
      <w:pPr>
        <w:numPr>
          <w:ilvl w:val="0"/>
          <w:numId w:val="6"/>
        </w:numPr>
        <w:spacing w:line="276" w:lineRule="auto"/>
        <w:ind w:left="709" w:hanging="709"/>
        <w:jc w:val="both"/>
        <w:rPr>
          <w:color w:val="000000" w:themeColor="text1"/>
          <w:lang w:eastAsia="es-ES"/>
        </w:rPr>
      </w:pPr>
      <w:r w:rsidRPr="00896C5A">
        <w:rPr>
          <w:color w:val="000000" w:themeColor="text1"/>
          <w:lang w:eastAsia="es-ES"/>
        </w:rPr>
        <w:t>La estricta regularidad mantenida en el seguimiento y análisis de los parámetros ambientales.</w:t>
      </w:r>
    </w:p>
    <w:p w14:paraId="72C7C06B" w14:textId="77777777" w:rsidR="00051507" w:rsidRPr="00896C5A" w:rsidRDefault="00051507" w:rsidP="00051507">
      <w:pPr>
        <w:numPr>
          <w:ilvl w:val="0"/>
          <w:numId w:val="6"/>
        </w:numPr>
        <w:spacing w:line="276" w:lineRule="auto"/>
        <w:ind w:left="709" w:hanging="709"/>
        <w:jc w:val="both"/>
        <w:rPr>
          <w:color w:val="000000" w:themeColor="text1"/>
          <w:lang w:eastAsia="es-ES"/>
        </w:rPr>
      </w:pPr>
      <w:r w:rsidRPr="00896C5A">
        <w:rPr>
          <w:color w:val="000000" w:themeColor="text1"/>
          <w:lang w:eastAsia="es-ES"/>
        </w:rPr>
        <w:t>Los esfuerzos dedicados, con resultados meritorios, en la preservación del orden, la higiene y el cuidado estético de los espacios naturales.</w:t>
      </w:r>
    </w:p>
    <w:p w14:paraId="742DC207" w14:textId="77777777" w:rsidR="00051507" w:rsidRPr="00896C5A" w:rsidRDefault="00051507" w:rsidP="00051507">
      <w:pPr>
        <w:jc w:val="both"/>
        <w:rPr>
          <w:lang w:eastAsia="es-ES"/>
        </w:rPr>
      </w:pPr>
    </w:p>
    <w:p w14:paraId="1A797BCF"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Durante octubre de 2021 se concretó un nuevo proceso de auditoría externa a cargo de IRAM que permitió lograr la recertificación de los Sistemas de Gestión (Calidad en CTMM y Medio ambiente a nivel de Grupo en el área generación de energía eléctrica) por un nuevo período de tres años.</w:t>
      </w:r>
    </w:p>
    <w:p w14:paraId="418F7204" w14:textId="77777777" w:rsidR="00051507" w:rsidRPr="00896C5A" w:rsidRDefault="00051507" w:rsidP="00051507">
      <w:pPr>
        <w:pStyle w:val="Prrafodelista"/>
        <w:numPr>
          <w:ilvl w:val="1"/>
          <w:numId w:val="2"/>
        </w:numPr>
        <w:spacing w:after="100" w:afterAutospacing="1" w:line="240" w:lineRule="exact"/>
        <w:ind w:left="426" w:hanging="426"/>
        <w:contextualSpacing/>
        <w:jc w:val="both"/>
        <w:rPr>
          <w:rFonts w:ascii="Times New Roman" w:hAnsi="Times New Roman"/>
          <w:b/>
          <w:u w:val="single"/>
        </w:rPr>
      </w:pPr>
      <w:bookmarkStart w:id="10" w:name="_Hlk1685378"/>
      <w:r w:rsidRPr="00896C5A">
        <w:rPr>
          <w:rFonts w:ascii="Times New Roman" w:hAnsi="Times New Roman"/>
          <w:b/>
          <w:u w:val="single"/>
        </w:rPr>
        <w:t xml:space="preserve">Recursos Humanos </w:t>
      </w:r>
    </w:p>
    <w:p w14:paraId="3715D7AC"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lastRenderedPageBreak/>
        <w:t>Un año atravesado por la pandemia nos puso en el desafío de encontrar de la manera más eficiente posible una adecuación a los planes trazados previamente para la función.</w:t>
      </w:r>
    </w:p>
    <w:p w14:paraId="5BFFC19E" w14:textId="77777777" w:rsidR="00051507" w:rsidRPr="00896C5A" w:rsidRDefault="00051507" w:rsidP="00051507">
      <w:pPr>
        <w:spacing w:after="100" w:afterAutospacing="1" w:line="240" w:lineRule="exact"/>
        <w:contextualSpacing/>
        <w:jc w:val="both"/>
        <w:rPr>
          <w:color w:val="000000" w:themeColor="text1"/>
          <w:lang w:val="es-ES"/>
        </w:rPr>
      </w:pPr>
    </w:p>
    <w:p w14:paraId="7DB3A5F5"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 xml:space="preserve">La continuidad de las medidas de restricción implementadas y la demostración de la efectividad de un modelo de organización con presencia rotativa de los equipos de trabajo en casa central nos impulsaron de manera definitiva para la adopción de una organización de trabajo flexible que se hizo realidad después de la mitad de año y que hoy funciona de manera plena con la colaboración de todo el personal y la coordinación del Management de la compañía. </w:t>
      </w:r>
    </w:p>
    <w:p w14:paraId="6FF2A6DB" w14:textId="77777777" w:rsidR="00051507" w:rsidRPr="00896C5A" w:rsidRDefault="00051507" w:rsidP="00051507">
      <w:pPr>
        <w:spacing w:after="100" w:afterAutospacing="1" w:line="240" w:lineRule="exact"/>
        <w:contextualSpacing/>
        <w:jc w:val="both"/>
        <w:rPr>
          <w:color w:val="000000" w:themeColor="text1"/>
          <w:lang w:val="es-ES"/>
        </w:rPr>
      </w:pPr>
    </w:p>
    <w:p w14:paraId="4AF80D54"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Dicho sistema de organización de trabajo flexible de adhesión voluntaria consiste en un esquema “hibrido de 3 x 2” 3 días en la oficina y 2 días en el domicilio del empleado.</w:t>
      </w:r>
    </w:p>
    <w:p w14:paraId="29242D67" w14:textId="77777777" w:rsidR="00051507" w:rsidRPr="00896C5A" w:rsidRDefault="00051507" w:rsidP="00051507">
      <w:pPr>
        <w:spacing w:after="100" w:afterAutospacing="1" w:line="240" w:lineRule="exact"/>
        <w:contextualSpacing/>
        <w:jc w:val="both"/>
        <w:rPr>
          <w:color w:val="000000" w:themeColor="text1"/>
          <w:lang w:val="es-ES"/>
        </w:rPr>
      </w:pPr>
    </w:p>
    <w:p w14:paraId="6BEE92BF"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 xml:space="preserve">Este cambio que consideramos “bisagra” en la vida de la empresa disparó acciones de adecuación de diferente naturaleza en nuestro Programa de Beneficios y de Formación entre otros, así también como de infraestructura, destacando cambios importantes a nivel de </w:t>
      </w:r>
      <w:proofErr w:type="spellStart"/>
      <w:r w:rsidRPr="00896C5A">
        <w:rPr>
          <w:color w:val="000000" w:themeColor="text1"/>
          <w:lang w:val="es-ES"/>
        </w:rPr>
        <w:t>lay</w:t>
      </w:r>
      <w:proofErr w:type="spellEnd"/>
      <w:r w:rsidRPr="00896C5A">
        <w:rPr>
          <w:color w:val="000000" w:themeColor="text1"/>
          <w:lang w:val="es-ES"/>
        </w:rPr>
        <w:t xml:space="preserve"> </w:t>
      </w:r>
      <w:proofErr w:type="spellStart"/>
      <w:r w:rsidRPr="00896C5A">
        <w:rPr>
          <w:color w:val="000000" w:themeColor="text1"/>
          <w:lang w:val="es-ES"/>
        </w:rPr>
        <w:t>out</w:t>
      </w:r>
      <w:proofErr w:type="spellEnd"/>
      <w:r w:rsidRPr="00896C5A">
        <w:rPr>
          <w:color w:val="000000" w:themeColor="text1"/>
          <w:lang w:val="es-ES"/>
        </w:rPr>
        <w:t>, comunicaciones, ergonomía y condiciones de trabajo.</w:t>
      </w:r>
    </w:p>
    <w:p w14:paraId="3A808A6B" w14:textId="77777777" w:rsidR="00051507" w:rsidRPr="00896C5A" w:rsidRDefault="00051507" w:rsidP="00051507">
      <w:pPr>
        <w:spacing w:after="100" w:afterAutospacing="1" w:line="240" w:lineRule="exact"/>
        <w:contextualSpacing/>
        <w:jc w:val="both"/>
        <w:rPr>
          <w:color w:val="000000" w:themeColor="text1"/>
          <w:lang w:val="es-ES"/>
        </w:rPr>
      </w:pPr>
    </w:p>
    <w:p w14:paraId="704B0D66"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Tanto para este colectivo laboral como para el resto de las actividades declaradas como esenciales el objetivo sigue siendo el de “Asegurar la operatividad de la Empresa garantizando la preservación de la salud y bienestar de nuestro personal y sus familias”.</w:t>
      </w:r>
    </w:p>
    <w:p w14:paraId="0A4DFCCA" w14:textId="77777777" w:rsidR="00051507" w:rsidRPr="00896C5A" w:rsidRDefault="00051507" w:rsidP="00051507">
      <w:pPr>
        <w:pStyle w:val="Sangradetextonormal"/>
        <w:ind w:left="0"/>
        <w:rPr>
          <w:b/>
          <w:bCs/>
          <w:u w:val="single"/>
          <w:lang w:val="es-AR" w:eastAsia="es-ES"/>
        </w:rPr>
      </w:pPr>
      <w:r w:rsidRPr="00896C5A">
        <w:rPr>
          <w:b/>
          <w:bCs/>
          <w:u w:val="single"/>
          <w:lang w:val="es-AR" w:eastAsia="es-ES"/>
        </w:rPr>
        <w:t>Comunicación al personal y Sistemas de información de RRHH</w:t>
      </w:r>
    </w:p>
    <w:p w14:paraId="6CE7993D" w14:textId="77777777" w:rsidR="00051507" w:rsidRPr="00896C5A" w:rsidRDefault="00051507" w:rsidP="00051507">
      <w:pPr>
        <w:pStyle w:val="Sangradetextonormal"/>
        <w:ind w:left="0"/>
        <w:rPr>
          <w:b/>
          <w:bCs/>
          <w:lang w:val="es-AR" w:eastAsia="es-ES"/>
        </w:rPr>
      </w:pPr>
    </w:p>
    <w:p w14:paraId="0BEE9A6C"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Se continúan utilizando todos los canales de comunicación para la comunicación de las medidas implementadas y concientizar sobre los cuidados y prevención en relación con la pandemia y la cuarentena.</w:t>
      </w:r>
    </w:p>
    <w:p w14:paraId="5BA6CC04" w14:textId="77777777" w:rsidR="00051507" w:rsidRPr="00896C5A" w:rsidRDefault="00051507" w:rsidP="00051507">
      <w:pPr>
        <w:pStyle w:val="Sangradetextonormal"/>
        <w:ind w:left="0"/>
        <w:rPr>
          <w:lang w:val="es-AR" w:eastAsia="es-ES"/>
        </w:rPr>
      </w:pPr>
      <w:r w:rsidRPr="00896C5A">
        <w:rPr>
          <w:lang w:val="es-AR" w:eastAsia="es-ES"/>
        </w:rPr>
        <w:t>Canales disponibles:</w:t>
      </w:r>
    </w:p>
    <w:p w14:paraId="28EDAACB" w14:textId="77777777" w:rsidR="00051507" w:rsidRPr="00896C5A" w:rsidRDefault="00051507" w:rsidP="00051507">
      <w:pPr>
        <w:pStyle w:val="Sangradetextonormal"/>
        <w:numPr>
          <w:ilvl w:val="0"/>
          <w:numId w:val="27"/>
        </w:numPr>
        <w:spacing w:after="0"/>
        <w:ind w:left="720" w:hanging="360"/>
        <w:jc w:val="both"/>
        <w:rPr>
          <w:lang w:val="es-AR" w:eastAsia="es-ES"/>
        </w:rPr>
      </w:pPr>
      <w:proofErr w:type="spellStart"/>
      <w:r w:rsidRPr="00896C5A">
        <w:rPr>
          <w:lang w:val="es-AR" w:eastAsia="es-ES"/>
        </w:rPr>
        <w:t>Newsletter</w:t>
      </w:r>
      <w:proofErr w:type="spellEnd"/>
      <w:r w:rsidRPr="00896C5A">
        <w:rPr>
          <w:lang w:val="es-AR" w:eastAsia="es-ES"/>
        </w:rPr>
        <w:t xml:space="preserve"> RH+</w:t>
      </w:r>
    </w:p>
    <w:p w14:paraId="40BDF275" w14:textId="77777777" w:rsidR="00051507" w:rsidRPr="00896C5A" w:rsidRDefault="00051507" w:rsidP="00051507">
      <w:pPr>
        <w:pStyle w:val="Sangradetextonormal"/>
        <w:numPr>
          <w:ilvl w:val="0"/>
          <w:numId w:val="27"/>
        </w:numPr>
        <w:spacing w:after="0"/>
        <w:ind w:left="720" w:hanging="360"/>
        <w:jc w:val="both"/>
        <w:rPr>
          <w:lang w:val="es-AR" w:eastAsia="es-ES"/>
        </w:rPr>
      </w:pPr>
      <w:r w:rsidRPr="00896C5A">
        <w:rPr>
          <w:lang w:val="es-AR" w:eastAsia="es-ES"/>
        </w:rPr>
        <w:t xml:space="preserve">Portal SAP </w:t>
      </w:r>
      <w:proofErr w:type="spellStart"/>
      <w:r w:rsidRPr="00896C5A">
        <w:rPr>
          <w:lang w:val="es-AR" w:eastAsia="es-ES"/>
        </w:rPr>
        <w:t>Jam</w:t>
      </w:r>
      <w:proofErr w:type="spellEnd"/>
    </w:p>
    <w:p w14:paraId="520B3BA2" w14:textId="77777777" w:rsidR="00051507" w:rsidRPr="00896C5A" w:rsidRDefault="00051507" w:rsidP="00051507">
      <w:pPr>
        <w:pStyle w:val="Sangradetextonormal"/>
        <w:numPr>
          <w:ilvl w:val="0"/>
          <w:numId w:val="27"/>
        </w:numPr>
        <w:spacing w:after="0"/>
        <w:ind w:left="720" w:hanging="360"/>
        <w:jc w:val="both"/>
        <w:rPr>
          <w:lang w:val="es-AR" w:eastAsia="es-ES"/>
        </w:rPr>
      </w:pPr>
      <w:r w:rsidRPr="00896C5A">
        <w:rPr>
          <w:lang w:val="es-AR" w:eastAsia="es-ES"/>
        </w:rPr>
        <w:t>E mail</w:t>
      </w:r>
    </w:p>
    <w:p w14:paraId="13FB9A7C" w14:textId="77777777" w:rsidR="00051507" w:rsidRPr="00896C5A" w:rsidRDefault="00051507" w:rsidP="00051507">
      <w:pPr>
        <w:pStyle w:val="Sangradetextonormal"/>
        <w:numPr>
          <w:ilvl w:val="0"/>
          <w:numId w:val="27"/>
        </w:numPr>
        <w:spacing w:after="0"/>
        <w:ind w:left="720" w:hanging="360"/>
        <w:jc w:val="both"/>
        <w:rPr>
          <w:lang w:val="es-AR" w:eastAsia="es-ES"/>
        </w:rPr>
      </w:pPr>
      <w:r w:rsidRPr="00896C5A">
        <w:rPr>
          <w:lang w:val="es-AR" w:eastAsia="es-ES"/>
        </w:rPr>
        <w:t xml:space="preserve">El Programa de Gestión del Desempeño se realizó totalmente </w:t>
      </w:r>
      <w:proofErr w:type="spellStart"/>
      <w:r w:rsidRPr="00896C5A">
        <w:rPr>
          <w:lang w:val="es-AR" w:eastAsia="es-ES"/>
        </w:rPr>
        <w:t>on</w:t>
      </w:r>
      <w:proofErr w:type="spellEnd"/>
      <w:r w:rsidRPr="00896C5A">
        <w:rPr>
          <w:lang w:val="es-AR" w:eastAsia="es-ES"/>
        </w:rPr>
        <w:t xml:space="preserve"> line a través de la plataforma </w:t>
      </w:r>
      <w:proofErr w:type="spellStart"/>
      <w:r w:rsidRPr="00896C5A">
        <w:rPr>
          <w:lang w:val="es-AR" w:eastAsia="es-ES"/>
        </w:rPr>
        <w:t>Succes</w:t>
      </w:r>
      <w:proofErr w:type="spellEnd"/>
      <w:r w:rsidRPr="00896C5A">
        <w:rPr>
          <w:lang w:val="es-AR" w:eastAsia="es-ES"/>
        </w:rPr>
        <w:t xml:space="preserve"> </w:t>
      </w:r>
      <w:proofErr w:type="spellStart"/>
      <w:r w:rsidRPr="00896C5A">
        <w:rPr>
          <w:lang w:val="es-AR" w:eastAsia="es-ES"/>
        </w:rPr>
        <w:t>Factors</w:t>
      </w:r>
      <w:proofErr w:type="spellEnd"/>
      <w:r w:rsidRPr="00896C5A">
        <w:rPr>
          <w:lang w:val="es-AR" w:eastAsia="es-ES"/>
        </w:rPr>
        <w:t xml:space="preserve"> </w:t>
      </w:r>
    </w:p>
    <w:p w14:paraId="3662385A" w14:textId="77777777" w:rsidR="00051507" w:rsidRPr="00896C5A" w:rsidRDefault="00051507" w:rsidP="00051507">
      <w:pPr>
        <w:pStyle w:val="Sangradetextonormal"/>
        <w:numPr>
          <w:ilvl w:val="0"/>
          <w:numId w:val="27"/>
        </w:numPr>
        <w:spacing w:after="0"/>
        <w:ind w:left="720" w:hanging="360"/>
        <w:jc w:val="both"/>
        <w:rPr>
          <w:lang w:val="es-AR" w:eastAsia="es-ES"/>
        </w:rPr>
      </w:pPr>
      <w:r w:rsidRPr="00896C5A">
        <w:rPr>
          <w:lang w:val="es-AR" w:eastAsia="es-ES"/>
        </w:rPr>
        <w:t xml:space="preserve">Se integro a la plataforma </w:t>
      </w:r>
      <w:proofErr w:type="spellStart"/>
      <w:r w:rsidRPr="00896C5A">
        <w:rPr>
          <w:lang w:val="es-AR" w:eastAsia="es-ES"/>
        </w:rPr>
        <w:t>Succes</w:t>
      </w:r>
      <w:proofErr w:type="spellEnd"/>
      <w:r w:rsidRPr="00896C5A">
        <w:rPr>
          <w:lang w:val="es-AR" w:eastAsia="es-ES"/>
        </w:rPr>
        <w:t xml:space="preserve"> </w:t>
      </w:r>
      <w:proofErr w:type="spellStart"/>
      <w:r w:rsidRPr="00896C5A">
        <w:rPr>
          <w:lang w:val="es-AR" w:eastAsia="es-ES"/>
        </w:rPr>
        <w:t>Factors</w:t>
      </w:r>
      <w:proofErr w:type="spellEnd"/>
      <w:r w:rsidRPr="00896C5A">
        <w:rPr>
          <w:lang w:val="es-AR" w:eastAsia="es-ES"/>
        </w:rPr>
        <w:t xml:space="preserve"> una herramienta para el seguimiento de la situación COVID, así como la declaración del avance del pan de vacunación de cada empleado</w:t>
      </w:r>
    </w:p>
    <w:p w14:paraId="71189C19" w14:textId="77777777" w:rsidR="00051507" w:rsidRPr="00896C5A" w:rsidRDefault="00051507" w:rsidP="00051507">
      <w:pPr>
        <w:pStyle w:val="Sangradetextonormal"/>
        <w:ind w:left="0"/>
        <w:rPr>
          <w:lang w:val="es-AR" w:eastAsia="es-ES"/>
        </w:rPr>
      </w:pPr>
    </w:p>
    <w:p w14:paraId="58296F41" w14:textId="77777777" w:rsidR="00051507" w:rsidRPr="00896C5A" w:rsidRDefault="00051507" w:rsidP="00051507">
      <w:pPr>
        <w:pStyle w:val="Sangradetextonormal"/>
        <w:ind w:left="0"/>
        <w:rPr>
          <w:b/>
          <w:bCs/>
          <w:u w:val="single"/>
          <w:lang w:val="es-AR" w:eastAsia="es-ES"/>
        </w:rPr>
      </w:pPr>
      <w:r w:rsidRPr="00896C5A">
        <w:rPr>
          <w:b/>
          <w:bCs/>
          <w:u w:val="single"/>
          <w:lang w:val="es-AR" w:eastAsia="es-ES"/>
        </w:rPr>
        <w:t>Empleos</w:t>
      </w:r>
    </w:p>
    <w:p w14:paraId="489DFA56" w14:textId="77777777" w:rsidR="00051507" w:rsidRPr="00896C5A" w:rsidRDefault="00051507" w:rsidP="00051507">
      <w:pPr>
        <w:pStyle w:val="Sangradetextonormal"/>
        <w:ind w:left="0"/>
        <w:rPr>
          <w:b/>
          <w:bCs/>
          <w:lang w:val="es-AR" w:eastAsia="es-ES"/>
        </w:rPr>
      </w:pPr>
    </w:p>
    <w:p w14:paraId="6F999A65"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El nivel de empleos totales del Grupo se mantuvo estable, descendiendo un 2,48 % respecto del año anterior.</w:t>
      </w:r>
    </w:p>
    <w:p w14:paraId="72C4F6C5" w14:textId="77777777" w:rsidR="00051507" w:rsidRPr="00896C5A" w:rsidRDefault="00051507" w:rsidP="00051507">
      <w:pPr>
        <w:spacing w:after="100" w:afterAutospacing="1" w:line="240" w:lineRule="exact"/>
        <w:contextualSpacing/>
        <w:jc w:val="both"/>
        <w:rPr>
          <w:color w:val="000000" w:themeColor="text1"/>
          <w:lang w:val="es-ES"/>
        </w:rPr>
      </w:pPr>
    </w:p>
    <w:p w14:paraId="093BDAEE"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A través de nuestro programa de movilidad interna “MOBI” se pusieron en oferta 8 posiciones para reemplazos por rotaciones y se incorporaron 21 personas de fuente externa fundamentalmente por reemplazos. 60 % de ellas en Operaciones y el otro 40 % en Casa Central.</w:t>
      </w:r>
    </w:p>
    <w:p w14:paraId="584A9D93" w14:textId="77777777" w:rsidR="00051507" w:rsidRPr="00896C5A" w:rsidRDefault="00051507" w:rsidP="00051507">
      <w:pPr>
        <w:pStyle w:val="Sangradetextonormal"/>
        <w:ind w:left="0"/>
        <w:rPr>
          <w:i/>
          <w:iCs/>
          <w:lang w:val="es-AR" w:eastAsia="es-ES"/>
        </w:rPr>
      </w:pPr>
      <w:r w:rsidRPr="00896C5A">
        <w:rPr>
          <w:i/>
          <w:iCs/>
          <w:lang w:val="es-AR" w:eastAsia="es-ES"/>
        </w:rPr>
        <w:t>Indicadores de Rotación</w:t>
      </w:r>
    </w:p>
    <w:p w14:paraId="418BE452" w14:textId="77777777" w:rsidR="00051507" w:rsidRPr="00896C5A" w:rsidRDefault="00051507" w:rsidP="00051507">
      <w:pPr>
        <w:pStyle w:val="Sangradetextonormal"/>
        <w:ind w:left="0"/>
        <w:rPr>
          <w:lang w:val="es-AR" w:eastAsia="es-ES"/>
        </w:rPr>
      </w:pPr>
      <w:r w:rsidRPr="00896C5A">
        <w:rPr>
          <w:lang w:val="es-AR" w:eastAsia="es-ES"/>
        </w:rPr>
        <w:t>7 vacantes fueron cubiertas con búsquedas internas. La tasa de rotación en 2021 fue del 4, 3 %</w:t>
      </w:r>
    </w:p>
    <w:p w14:paraId="2EC3086A" w14:textId="77777777" w:rsidR="00051507" w:rsidRPr="00896C5A" w:rsidRDefault="00051507" w:rsidP="00051507">
      <w:pPr>
        <w:pStyle w:val="Sangradetextonormal"/>
        <w:ind w:left="0"/>
        <w:rPr>
          <w:lang w:val="es-AR" w:eastAsia="es-ES"/>
        </w:rPr>
      </w:pPr>
    </w:p>
    <w:p w14:paraId="0B269032" w14:textId="77777777" w:rsidR="00051507" w:rsidRPr="00896C5A" w:rsidRDefault="00051507" w:rsidP="00051507">
      <w:pPr>
        <w:pStyle w:val="Sangradetextonormal"/>
        <w:ind w:left="0"/>
        <w:rPr>
          <w:b/>
          <w:bCs/>
          <w:u w:val="single"/>
          <w:lang w:val="es-AR" w:eastAsia="es-ES"/>
        </w:rPr>
      </w:pPr>
      <w:r w:rsidRPr="00896C5A">
        <w:rPr>
          <w:b/>
          <w:bCs/>
          <w:u w:val="single"/>
          <w:lang w:val="es-AR" w:eastAsia="es-ES"/>
        </w:rPr>
        <w:t xml:space="preserve">Capacitación </w:t>
      </w:r>
    </w:p>
    <w:p w14:paraId="61767ECA" w14:textId="77777777" w:rsidR="00051507" w:rsidRPr="00896C5A" w:rsidRDefault="00051507" w:rsidP="00051507">
      <w:pPr>
        <w:spacing w:after="100" w:afterAutospacing="1" w:line="240" w:lineRule="exact"/>
        <w:contextualSpacing/>
        <w:jc w:val="both"/>
        <w:rPr>
          <w:color w:val="000000" w:themeColor="text1"/>
          <w:lang w:val="es-ES"/>
        </w:rPr>
      </w:pPr>
    </w:p>
    <w:p w14:paraId="19EB072B"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 xml:space="preserve">Se impartieron más de 20.000 horas de Capacitación distribuidas en disciplinas blandas destinadas al </w:t>
      </w:r>
      <w:proofErr w:type="spellStart"/>
      <w:r w:rsidRPr="00896C5A">
        <w:rPr>
          <w:color w:val="000000" w:themeColor="text1"/>
          <w:lang w:val="es-ES"/>
        </w:rPr>
        <w:t>management</w:t>
      </w:r>
      <w:proofErr w:type="spellEnd"/>
      <w:r w:rsidRPr="00896C5A">
        <w:rPr>
          <w:color w:val="000000" w:themeColor="text1"/>
          <w:lang w:val="es-ES"/>
        </w:rPr>
        <w:t xml:space="preserve"> y mandos medios. La formación continua en idiomas, </w:t>
      </w:r>
      <w:proofErr w:type="spellStart"/>
      <w:r w:rsidRPr="00896C5A">
        <w:rPr>
          <w:color w:val="000000" w:themeColor="text1"/>
          <w:lang w:val="es-ES"/>
        </w:rPr>
        <w:t>Compliance</w:t>
      </w:r>
      <w:proofErr w:type="spellEnd"/>
      <w:r w:rsidRPr="00896C5A">
        <w:rPr>
          <w:color w:val="000000" w:themeColor="text1"/>
          <w:lang w:val="es-ES"/>
        </w:rPr>
        <w:t>, habilidades Directivas y el Staff, además de la formación continua en idiomas y el desarrollo de competencias técnicas, Seguridad, Higiene y condiciones de trabajo y habilidades técnicas y de especialización para acompañar la evolución en el contenido de los puestos de trabajo que abarcan a todos los niveles de la organización.</w:t>
      </w:r>
    </w:p>
    <w:p w14:paraId="687EB2CB" w14:textId="77777777" w:rsidR="00051507" w:rsidRPr="00896C5A" w:rsidRDefault="00051507" w:rsidP="00051507">
      <w:pPr>
        <w:pStyle w:val="Sangradetextonormal"/>
        <w:ind w:left="0"/>
        <w:rPr>
          <w:b/>
          <w:bCs/>
          <w:u w:val="single"/>
          <w:lang w:val="es-AR" w:eastAsia="es-ES"/>
        </w:rPr>
      </w:pPr>
      <w:r w:rsidRPr="00896C5A">
        <w:rPr>
          <w:b/>
          <w:bCs/>
          <w:u w:val="single"/>
          <w:lang w:val="es-AR" w:eastAsia="es-ES"/>
        </w:rPr>
        <w:t>Bienestar y motivación</w:t>
      </w:r>
    </w:p>
    <w:p w14:paraId="5F9DFC19" w14:textId="77777777" w:rsidR="00051507" w:rsidRPr="00896C5A" w:rsidRDefault="00051507" w:rsidP="00051507">
      <w:pPr>
        <w:pStyle w:val="Sangradetextonormal"/>
        <w:ind w:left="0"/>
        <w:rPr>
          <w:b/>
          <w:bCs/>
          <w:u w:val="single"/>
          <w:lang w:val="es-AR" w:eastAsia="es-ES"/>
        </w:rPr>
      </w:pPr>
    </w:p>
    <w:p w14:paraId="4ADD2991"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 xml:space="preserve">Basado en el objetivo permanente de mejora la “Experiencia del empleado” se introdujeron modificaciones diversas en nuestro programa de Beneficios entre ellos se destacan la incorporación de la plataforma </w:t>
      </w:r>
      <w:proofErr w:type="spellStart"/>
      <w:r w:rsidRPr="00896C5A">
        <w:rPr>
          <w:color w:val="000000" w:themeColor="text1"/>
          <w:lang w:val="es-ES"/>
        </w:rPr>
        <w:t>Gympass</w:t>
      </w:r>
      <w:proofErr w:type="spellEnd"/>
      <w:r w:rsidRPr="00896C5A">
        <w:rPr>
          <w:color w:val="000000" w:themeColor="text1"/>
          <w:lang w:val="es-ES"/>
        </w:rPr>
        <w:t xml:space="preserve"> a nivel nacional que permite el acceso a diferentes programas de bienestar para el empleado y su grupo familiar, así como el acceso a programa y gimnasios en la mayoría de las localizaciones donde opera el grupo.</w:t>
      </w:r>
    </w:p>
    <w:p w14:paraId="21907B64" w14:textId="77777777" w:rsidR="00051507" w:rsidRPr="00896C5A" w:rsidRDefault="00051507" w:rsidP="00051507">
      <w:pPr>
        <w:spacing w:after="100" w:afterAutospacing="1" w:line="240" w:lineRule="exact"/>
        <w:contextualSpacing/>
        <w:jc w:val="both"/>
        <w:rPr>
          <w:color w:val="000000" w:themeColor="text1"/>
          <w:lang w:val="es-ES"/>
        </w:rPr>
      </w:pPr>
    </w:p>
    <w:p w14:paraId="3EDA6B64"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 xml:space="preserve">A través del </w:t>
      </w:r>
      <w:proofErr w:type="spellStart"/>
      <w:r w:rsidRPr="00896C5A">
        <w:rPr>
          <w:color w:val="000000" w:themeColor="text1"/>
          <w:lang w:val="es-ES"/>
        </w:rPr>
        <w:t>Newsletter</w:t>
      </w:r>
      <w:proofErr w:type="spellEnd"/>
      <w:r w:rsidRPr="00896C5A">
        <w:rPr>
          <w:color w:val="000000" w:themeColor="text1"/>
          <w:lang w:val="es-ES"/>
        </w:rPr>
        <w:t xml:space="preserve"> RH+ se continuó con la dinámica de contenidos orientados a acompañar el equilibrio entre la vida laboral y profesional en el trabajo remoto. </w:t>
      </w:r>
    </w:p>
    <w:p w14:paraId="5C56C0C8" w14:textId="77777777" w:rsidR="00051507" w:rsidRPr="00896C5A" w:rsidRDefault="00051507" w:rsidP="00051507">
      <w:pPr>
        <w:pStyle w:val="Sangradetextonormal"/>
        <w:numPr>
          <w:ilvl w:val="0"/>
          <w:numId w:val="28"/>
        </w:numPr>
        <w:spacing w:after="0"/>
        <w:ind w:left="1080" w:hanging="720"/>
        <w:jc w:val="both"/>
        <w:rPr>
          <w:lang w:val="es-AR" w:eastAsia="es-ES"/>
        </w:rPr>
      </w:pPr>
      <w:r w:rsidRPr="00896C5A">
        <w:rPr>
          <w:lang w:val="es-AR" w:eastAsia="es-ES"/>
        </w:rPr>
        <w:lastRenderedPageBreak/>
        <w:t>Notas sobre ergonomía, seguridad y condiciones de trabajo</w:t>
      </w:r>
    </w:p>
    <w:p w14:paraId="072E9040" w14:textId="77777777" w:rsidR="00051507" w:rsidRPr="00896C5A" w:rsidRDefault="00051507" w:rsidP="00051507">
      <w:pPr>
        <w:pStyle w:val="Sangradetextonormal"/>
        <w:numPr>
          <w:ilvl w:val="0"/>
          <w:numId w:val="28"/>
        </w:numPr>
        <w:spacing w:after="0"/>
        <w:ind w:left="1080" w:hanging="720"/>
        <w:jc w:val="both"/>
        <w:rPr>
          <w:lang w:val="es-AR" w:eastAsia="es-ES"/>
        </w:rPr>
      </w:pPr>
      <w:r w:rsidRPr="00896C5A">
        <w:rPr>
          <w:lang w:val="es-AR" w:eastAsia="es-ES"/>
        </w:rPr>
        <w:t>Notas sobre comida saludable</w:t>
      </w:r>
    </w:p>
    <w:p w14:paraId="2060A7B1" w14:textId="77777777" w:rsidR="00051507" w:rsidRPr="00896C5A" w:rsidRDefault="00051507" w:rsidP="00051507">
      <w:pPr>
        <w:pStyle w:val="Sangradetextonormal"/>
        <w:numPr>
          <w:ilvl w:val="0"/>
          <w:numId w:val="28"/>
        </w:numPr>
        <w:spacing w:after="0"/>
        <w:ind w:left="1080" w:hanging="720"/>
        <w:jc w:val="both"/>
        <w:rPr>
          <w:lang w:val="es-AR" w:eastAsia="es-ES"/>
        </w:rPr>
      </w:pPr>
      <w:r w:rsidRPr="00896C5A">
        <w:rPr>
          <w:lang w:val="es-AR" w:eastAsia="es-ES"/>
        </w:rPr>
        <w:t>Manejo del stress</w:t>
      </w:r>
    </w:p>
    <w:p w14:paraId="370DECDF" w14:textId="77777777" w:rsidR="00051507" w:rsidRPr="00896C5A" w:rsidRDefault="00051507" w:rsidP="00051507">
      <w:pPr>
        <w:pStyle w:val="Sangradetextonormal"/>
        <w:rPr>
          <w:lang w:val="es-AR" w:eastAsia="es-ES"/>
        </w:rPr>
      </w:pPr>
    </w:p>
    <w:p w14:paraId="2C44EA00"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 xml:space="preserve">Se incorporó el beneficio de vianda a través de la herramienta Restaurant </w:t>
      </w:r>
      <w:proofErr w:type="spellStart"/>
      <w:r w:rsidRPr="00896C5A">
        <w:rPr>
          <w:color w:val="000000" w:themeColor="text1"/>
          <w:lang w:val="es-ES"/>
        </w:rPr>
        <w:t>Card</w:t>
      </w:r>
      <w:proofErr w:type="spellEnd"/>
      <w:r w:rsidRPr="00896C5A">
        <w:rPr>
          <w:color w:val="000000" w:themeColor="text1"/>
          <w:lang w:val="es-ES"/>
        </w:rPr>
        <w:t xml:space="preserve"> que permite el acceso a la red de restaurantes adheridos al programa en la zona de influencia de Casa central.</w:t>
      </w:r>
    </w:p>
    <w:p w14:paraId="6AD1C44F" w14:textId="77777777" w:rsidR="00051507" w:rsidRPr="00896C5A" w:rsidRDefault="00051507" w:rsidP="00051507">
      <w:pPr>
        <w:spacing w:after="100" w:afterAutospacing="1" w:line="240" w:lineRule="exact"/>
        <w:contextualSpacing/>
        <w:jc w:val="both"/>
        <w:rPr>
          <w:color w:val="000000" w:themeColor="text1"/>
          <w:lang w:val="es-ES"/>
        </w:rPr>
      </w:pPr>
    </w:p>
    <w:p w14:paraId="0C650164"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Se doto a todo el personal adherido al sistema de trabajo flexible de Notebook para el desempeño del trabajo remoto, junto a los accesorios necesarios para el desarrollo de la actividad en condiciones seguras desde el punto de vista ergonómico y para la protección del activo (</w:t>
      </w:r>
      <w:proofErr w:type="gramStart"/>
      <w:r w:rsidRPr="00896C5A">
        <w:rPr>
          <w:color w:val="000000" w:themeColor="text1"/>
          <w:lang w:val="es-ES"/>
        </w:rPr>
        <w:t>Mouse</w:t>
      </w:r>
      <w:proofErr w:type="gramEnd"/>
      <w:r w:rsidRPr="00896C5A">
        <w:rPr>
          <w:color w:val="000000" w:themeColor="text1"/>
          <w:lang w:val="es-ES"/>
        </w:rPr>
        <w:t xml:space="preserve"> </w:t>
      </w:r>
      <w:proofErr w:type="spellStart"/>
      <w:r w:rsidRPr="00896C5A">
        <w:rPr>
          <w:color w:val="000000" w:themeColor="text1"/>
          <w:lang w:val="es-ES"/>
        </w:rPr>
        <w:t>pad</w:t>
      </w:r>
      <w:proofErr w:type="spellEnd"/>
      <w:r w:rsidRPr="00896C5A">
        <w:rPr>
          <w:color w:val="000000" w:themeColor="text1"/>
          <w:lang w:val="es-ES"/>
        </w:rPr>
        <w:t xml:space="preserve">, </w:t>
      </w:r>
      <w:proofErr w:type="spellStart"/>
      <w:r w:rsidRPr="00896C5A">
        <w:rPr>
          <w:color w:val="000000" w:themeColor="text1"/>
          <w:lang w:val="es-ES"/>
        </w:rPr>
        <w:t>Headset</w:t>
      </w:r>
      <w:proofErr w:type="spellEnd"/>
      <w:r w:rsidRPr="00896C5A">
        <w:rPr>
          <w:color w:val="000000" w:themeColor="text1"/>
          <w:lang w:val="es-ES"/>
        </w:rPr>
        <w:t>, tablero Inalámbrico y Mochila).</w:t>
      </w:r>
    </w:p>
    <w:p w14:paraId="19F30204" w14:textId="77777777" w:rsidR="00051507" w:rsidRPr="00896C5A" w:rsidRDefault="00051507" w:rsidP="00051507">
      <w:pPr>
        <w:spacing w:after="100" w:afterAutospacing="1" w:line="240" w:lineRule="exact"/>
        <w:contextualSpacing/>
        <w:jc w:val="both"/>
        <w:rPr>
          <w:color w:val="000000" w:themeColor="text1"/>
          <w:lang w:val="es-ES"/>
        </w:rPr>
      </w:pPr>
    </w:p>
    <w:p w14:paraId="1AA11F22"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Implementación de boxes individuales para el guardado de efectos personales luego de la utilización de puestos de trabajo flexibles.</w:t>
      </w:r>
    </w:p>
    <w:p w14:paraId="3234205D" w14:textId="77777777" w:rsidR="00051507" w:rsidRPr="00896C5A" w:rsidRDefault="00051507" w:rsidP="00051507">
      <w:pPr>
        <w:pStyle w:val="Sangradetextonormal"/>
        <w:ind w:left="0"/>
        <w:rPr>
          <w:b/>
          <w:bCs/>
          <w:u w:val="single"/>
          <w:lang w:val="es-AR" w:eastAsia="es-ES"/>
        </w:rPr>
      </w:pPr>
      <w:r w:rsidRPr="00896C5A">
        <w:rPr>
          <w:b/>
          <w:bCs/>
          <w:u w:val="single"/>
          <w:lang w:val="es-AR" w:eastAsia="es-ES"/>
        </w:rPr>
        <w:t>Infraestructura y conectividad para los puestos de trabajo flexibles</w:t>
      </w:r>
    </w:p>
    <w:p w14:paraId="14CA4E6E" w14:textId="77777777" w:rsidR="00051507" w:rsidRPr="00896C5A" w:rsidRDefault="00051507" w:rsidP="00051507">
      <w:pPr>
        <w:pStyle w:val="Sangradetextonormal"/>
        <w:ind w:left="0"/>
        <w:rPr>
          <w:b/>
          <w:bCs/>
          <w:u w:val="single"/>
          <w:lang w:val="es-AR" w:eastAsia="es-ES"/>
        </w:rPr>
      </w:pPr>
    </w:p>
    <w:p w14:paraId="302F7FBE"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Para hacer realidad la organización de trabajo flexible el área de tecnología incorporó a todos los puestos de trabajo los elementos de conexión necesarios para que cada puesto que será compartido por diferentes personas tenga el estándar en términos ergonómicos, seguridad y comunicación requeridos.</w:t>
      </w:r>
    </w:p>
    <w:p w14:paraId="29447531" w14:textId="77777777" w:rsidR="00051507" w:rsidRPr="00896C5A" w:rsidRDefault="00051507" w:rsidP="00051507">
      <w:pPr>
        <w:spacing w:after="100" w:afterAutospacing="1" w:line="240" w:lineRule="exact"/>
        <w:contextualSpacing/>
        <w:jc w:val="both"/>
        <w:rPr>
          <w:color w:val="000000" w:themeColor="text1"/>
          <w:lang w:val="es-ES"/>
        </w:rPr>
      </w:pPr>
    </w:p>
    <w:p w14:paraId="4250921F"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 xml:space="preserve">Se integro una aplicación para la reserva de puestos flexibles para todo el personal de sede central. </w:t>
      </w:r>
    </w:p>
    <w:p w14:paraId="28028761" w14:textId="77777777" w:rsidR="00051507" w:rsidRPr="00896C5A" w:rsidRDefault="00051507" w:rsidP="00051507">
      <w:pPr>
        <w:pStyle w:val="Sangradetextonormal"/>
        <w:ind w:left="0"/>
        <w:rPr>
          <w:b/>
          <w:bCs/>
          <w:u w:val="single"/>
          <w:lang w:val="es-AR" w:eastAsia="es-ES"/>
        </w:rPr>
      </w:pPr>
      <w:r w:rsidRPr="00896C5A">
        <w:rPr>
          <w:b/>
          <w:bCs/>
          <w:u w:val="single"/>
          <w:lang w:val="es-AR" w:eastAsia="es-ES"/>
        </w:rPr>
        <w:t>Prevención y funcionamiento en cada lugar donde se desarrollan actividades presenciales</w:t>
      </w:r>
    </w:p>
    <w:p w14:paraId="04105F18" w14:textId="77777777" w:rsidR="00051507" w:rsidRPr="00896C5A" w:rsidRDefault="00051507" w:rsidP="00051507">
      <w:pPr>
        <w:pStyle w:val="Sangradetextonormal"/>
        <w:ind w:left="0"/>
        <w:rPr>
          <w:b/>
          <w:bCs/>
          <w:u w:val="single"/>
          <w:lang w:val="es-AR" w:eastAsia="es-ES"/>
        </w:rPr>
      </w:pPr>
    </w:p>
    <w:p w14:paraId="031CE0CF" w14:textId="77777777" w:rsidR="00051507" w:rsidRPr="00896C5A" w:rsidRDefault="00051507" w:rsidP="00051507">
      <w:pPr>
        <w:pStyle w:val="Sangradetextonormal"/>
        <w:numPr>
          <w:ilvl w:val="0"/>
          <w:numId w:val="30"/>
        </w:numPr>
        <w:spacing w:after="0"/>
        <w:ind w:left="720" w:hanging="360"/>
        <w:jc w:val="both"/>
        <w:rPr>
          <w:lang w:val="es-AR" w:eastAsia="es-ES"/>
        </w:rPr>
      </w:pPr>
      <w:r w:rsidRPr="00896C5A">
        <w:rPr>
          <w:lang w:val="es-AR" w:eastAsia="es-ES"/>
        </w:rPr>
        <w:t>Mantenimiento y actualización continua de Protocolo COVID 19 tanto para Operaciones como para Casa Central.</w:t>
      </w:r>
    </w:p>
    <w:p w14:paraId="05E90473" w14:textId="77777777" w:rsidR="00051507" w:rsidRPr="00896C5A" w:rsidRDefault="00051507" w:rsidP="00051507">
      <w:pPr>
        <w:pStyle w:val="Sangradetextonormal"/>
        <w:ind w:left="0"/>
        <w:rPr>
          <w:lang w:val="es-AR" w:eastAsia="es-ES"/>
        </w:rPr>
      </w:pPr>
    </w:p>
    <w:p w14:paraId="575C5970" w14:textId="77777777" w:rsidR="00051507" w:rsidRPr="00896C5A" w:rsidRDefault="00051507" w:rsidP="00051507">
      <w:pPr>
        <w:pStyle w:val="Sangradetextonormal"/>
        <w:numPr>
          <w:ilvl w:val="0"/>
          <w:numId w:val="30"/>
        </w:numPr>
        <w:spacing w:after="0"/>
        <w:ind w:left="720" w:hanging="360"/>
        <w:jc w:val="both"/>
        <w:rPr>
          <w:lang w:val="es-AR" w:eastAsia="es-ES"/>
        </w:rPr>
      </w:pPr>
      <w:r w:rsidRPr="00896C5A">
        <w:rPr>
          <w:lang w:val="es-AR" w:eastAsia="es-ES"/>
        </w:rPr>
        <w:t>Provisión de elementos de protección personal</w:t>
      </w:r>
    </w:p>
    <w:p w14:paraId="0CE00E39" w14:textId="77777777" w:rsidR="00051507" w:rsidRPr="00896C5A" w:rsidRDefault="00051507" w:rsidP="00051507">
      <w:pPr>
        <w:pStyle w:val="Prrafodelista"/>
        <w:numPr>
          <w:ilvl w:val="0"/>
          <w:numId w:val="29"/>
        </w:numPr>
        <w:spacing w:after="0" w:line="240" w:lineRule="auto"/>
        <w:rPr>
          <w:rFonts w:ascii="Times New Roman" w:eastAsia="Times New Roman" w:hAnsi="Times New Roman"/>
        </w:rPr>
      </w:pPr>
      <w:r w:rsidRPr="00896C5A">
        <w:rPr>
          <w:rFonts w:ascii="Times New Roman" w:eastAsia="Times New Roman" w:hAnsi="Times New Roman"/>
        </w:rPr>
        <w:t>Tapa Boca para todo el personal.</w:t>
      </w:r>
    </w:p>
    <w:p w14:paraId="0A8E6485" w14:textId="77777777" w:rsidR="00051507" w:rsidRPr="00896C5A" w:rsidRDefault="00051507" w:rsidP="00051507">
      <w:pPr>
        <w:pStyle w:val="Prrafodelista"/>
        <w:numPr>
          <w:ilvl w:val="0"/>
          <w:numId w:val="29"/>
        </w:numPr>
        <w:spacing w:after="0" w:line="240" w:lineRule="auto"/>
        <w:rPr>
          <w:rFonts w:ascii="Times New Roman" w:eastAsia="Times New Roman" w:hAnsi="Times New Roman"/>
        </w:rPr>
      </w:pPr>
      <w:r w:rsidRPr="00896C5A">
        <w:rPr>
          <w:rFonts w:ascii="Times New Roman" w:eastAsia="Times New Roman" w:hAnsi="Times New Roman"/>
        </w:rPr>
        <w:t>Alcohol en Gel y Alcohol Líquido para pulverización de ropa.</w:t>
      </w:r>
    </w:p>
    <w:p w14:paraId="13B3048E" w14:textId="77777777" w:rsidR="00051507" w:rsidRPr="00896C5A" w:rsidRDefault="00051507" w:rsidP="00051507">
      <w:pPr>
        <w:pStyle w:val="Prrafodelista"/>
        <w:numPr>
          <w:ilvl w:val="0"/>
          <w:numId w:val="29"/>
        </w:numPr>
        <w:spacing w:after="0" w:line="240" w:lineRule="auto"/>
        <w:rPr>
          <w:rFonts w:ascii="Times New Roman" w:eastAsia="Times New Roman" w:hAnsi="Times New Roman"/>
        </w:rPr>
      </w:pPr>
      <w:r w:rsidRPr="00896C5A">
        <w:rPr>
          <w:rFonts w:ascii="Times New Roman" w:eastAsia="Times New Roman" w:hAnsi="Times New Roman"/>
        </w:rPr>
        <w:t>Guantes de látex (desechables) y tipo Mapa para el personal de Limpieza y Maestranza.</w:t>
      </w:r>
    </w:p>
    <w:p w14:paraId="55C284F1" w14:textId="77777777" w:rsidR="00051507" w:rsidRPr="00896C5A" w:rsidRDefault="00051507" w:rsidP="00051507">
      <w:pPr>
        <w:pStyle w:val="Prrafodelista"/>
        <w:spacing w:after="0" w:line="240" w:lineRule="auto"/>
        <w:ind w:left="1080"/>
        <w:rPr>
          <w:rFonts w:ascii="Times New Roman" w:eastAsia="Times New Roman" w:hAnsi="Times New Roman"/>
        </w:rPr>
      </w:pPr>
    </w:p>
    <w:p w14:paraId="2272E4B9" w14:textId="77777777" w:rsidR="00051507" w:rsidRPr="00896C5A" w:rsidRDefault="00051507" w:rsidP="00051507">
      <w:pPr>
        <w:pStyle w:val="Sangradetextonormal"/>
        <w:numPr>
          <w:ilvl w:val="0"/>
          <w:numId w:val="30"/>
        </w:numPr>
        <w:spacing w:after="0"/>
        <w:ind w:left="720" w:hanging="360"/>
        <w:jc w:val="both"/>
        <w:rPr>
          <w:lang w:val="es-AR" w:eastAsia="es-ES"/>
        </w:rPr>
      </w:pPr>
      <w:r w:rsidRPr="00896C5A">
        <w:rPr>
          <w:lang w:val="es-AR" w:eastAsia="es-ES"/>
        </w:rPr>
        <w:t>Prevención, Asepsia y Control Sanitario</w:t>
      </w:r>
    </w:p>
    <w:p w14:paraId="2CBD5883" w14:textId="77777777" w:rsidR="00051507" w:rsidRPr="00896C5A" w:rsidRDefault="00051507" w:rsidP="00051507">
      <w:pPr>
        <w:pStyle w:val="Prrafodelista"/>
        <w:numPr>
          <w:ilvl w:val="0"/>
          <w:numId w:val="29"/>
        </w:numPr>
        <w:spacing w:after="0" w:line="240" w:lineRule="auto"/>
        <w:rPr>
          <w:rFonts w:ascii="Times New Roman" w:eastAsia="Times New Roman" w:hAnsi="Times New Roman"/>
        </w:rPr>
      </w:pPr>
      <w:r w:rsidRPr="00896C5A">
        <w:rPr>
          <w:rFonts w:ascii="Times New Roman" w:eastAsia="Times New Roman" w:hAnsi="Times New Roman"/>
        </w:rPr>
        <w:t>Termómetros digitales para el Control de Temperatura a distancia, en cada sitio.</w:t>
      </w:r>
    </w:p>
    <w:p w14:paraId="76F9621E" w14:textId="77777777" w:rsidR="00051507" w:rsidRPr="00896C5A" w:rsidRDefault="00051507" w:rsidP="00051507">
      <w:pPr>
        <w:pStyle w:val="Prrafodelista"/>
        <w:numPr>
          <w:ilvl w:val="0"/>
          <w:numId w:val="29"/>
        </w:numPr>
        <w:spacing w:after="0" w:line="240" w:lineRule="auto"/>
        <w:rPr>
          <w:rFonts w:ascii="Times New Roman" w:eastAsia="Times New Roman" w:hAnsi="Times New Roman"/>
        </w:rPr>
      </w:pPr>
      <w:r w:rsidRPr="00896C5A">
        <w:rPr>
          <w:rFonts w:ascii="Times New Roman" w:eastAsia="Times New Roman" w:hAnsi="Times New Roman"/>
        </w:rPr>
        <w:t>Alfombras Sanitizantes para calzados al ingreso de cada Piso con alfombra adicional para secado.</w:t>
      </w:r>
    </w:p>
    <w:p w14:paraId="58361282" w14:textId="77777777" w:rsidR="00051507" w:rsidRPr="00896C5A" w:rsidRDefault="00051507" w:rsidP="00051507">
      <w:pPr>
        <w:pStyle w:val="Prrafodelista"/>
        <w:numPr>
          <w:ilvl w:val="0"/>
          <w:numId w:val="29"/>
        </w:numPr>
        <w:spacing w:after="0" w:line="240" w:lineRule="auto"/>
        <w:rPr>
          <w:rFonts w:ascii="Times New Roman" w:eastAsia="Times New Roman" w:hAnsi="Times New Roman"/>
        </w:rPr>
      </w:pPr>
      <w:r w:rsidRPr="00896C5A">
        <w:rPr>
          <w:rFonts w:ascii="Times New Roman" w:eastAsia="Times New Roman" w:hAnsi="Times New Roman"/>
        </w:rPr>
        <w:t>Detectores Visuales Luminosos al Ingreso de cada baño para dar cumplimiento con lo establecido.</w:t>
      </w:r>
    </w:p>
    <w:p w14:paraId="2D70D793" w14:textId="77777777" w:rsidR="00051507" w:rsidRPr="00896C5A" w:rsidRDefault="00051507" w:rsidP="00051507">
      <w:pPr>
        <w:pStyle w:val="Prrafodelista"/>
        <w:numPr>
          <w:ilvl w:val="0"/>
          <w:numId w:val="29"/>
        </w:numPr>
        <w:spacing w:after="0" w:line="240" w:lineRule="auto"/>
        <w:rPr>
          <w:rFonts w:ascii="Times New Roman" w:eastAsia="Times New Roman" w:hAnsi="Times New Roman"/>
        </w:rPr>
      </w:pPr>
      <w:r w:rsidRPr="00896C5A">
        <w:rPr>
          <w:rFonts w:ascii="Times New Roman" w:eastAsia="Times New Roman" w:hAnsi="Times New Roman"/>
        </w:rPr>
        <w:t>Elementos para la manipulación de alimentos no perecederos (</w:t>
      </w:r>
      <w:proofErr w:type="spellStart"/>
      <w:r w:rsidRPr="00896C5A">
        <w:rPr>
          <w:rFonts w:ascii="Times New Roman" w:eastAsia="Times New Roman" w:hAnsi="Times New Roman"/>
        </w:rPr>
        <w:t>Ej</w:t>
      </w:r>
      <w:proofErr w:type="spellEnd"/>
      <w:r w:rsidRPr="00896C5A">
        <w:rPr>
          <w:rFonts w:ascii="Times New Roman" w:eastAsia="Times New Roman" w:hAnsi="Times New Roman"/>
        </w:rPr>
        <w:t>: pinzas de acero inoxidable + guantes de nylon transparente de 1,5 micrones descartables).</w:t>
      </w:r>
    </w:p>
    <w:p w14:paraId="5D0AEDC7" w14:textId="77777777" w:rsidR="00051507" w:rsidRPr="00896C5A" w:rsidRDefault="00051507" w:rsidP="00051507">
      <w:pPr>
        <w:pStyle w:val="Prrafodelista"/>
        <w:spacing w:after="0" w:line="240" w:lineRule="auto"/>
        <w:ind w:left="1080"/>
        <w:rPr>
          <w:rFonts w:ascii="Times New Roman" w:eastAsia="Times New Roman" w:hAnsi="Times New Roman"/>
        </w:rPr>
      </w:pPr>
    </w:p>
    <w:p w14:paraId="0750E129" w14:textId="77777777" w:rsidR="00051507" w:rsidRPr="00896C5A" w:rsidRDefault="00051507" w:rsidP="00051507">
      <w:pPr>
        <w:pStyle w:val="Sangradetextonormal"/>
        <w:numPr>
          <w:ilvl w:val="0"/>
          <w:numId w:val="30"/>
        </w:numPr>
        <w:spacing w:after="0"/>
        <w:ind w:left="720" w:hanging="360"/>
        <w:jc w:val="both"/>
        <w:rPr>
          <w:lang w:val="es-AR" w:eastAsia="es-ES"/>
        </w:rPr>
      </w:pPr>
      <w:r w:rsidRPr="00896C5A">
        <w:rPr>
          <w:lang w:val="es-AR" w:eastAsia="es-ES"/>
        </w:rPr>
        <w:t>Casa central</w:t>
      </w:r>
    </w:p>
    <w:p w14:paraId="44DA8AA8" w14:textId="77777777" w:rsidR="00051507" w:rsidRPr="00896C5A" w:rsidRDefault="00051507" w:rsidP="00051507">
      <w:pPr>
        <w:pStyle w:val="Prrafodelista"/>
        <w:numPr>
          <w:ilvl w:val="0"/>
          <w:numId w:val="29"/>
        </w:numPr>
        <w:spacing w:after="0" w:line="240" w:lineRule="auto"/>
        <w:rPr>
          <w:rFonts w:ascii="Times New Roman" w:eastAsia="Times New Roman" w:hAnsi="Times New Roman"/>
        </w:rPr>
      </w:pPr>
      <w:r w:rsidRPr="00896C5A">
        <w:rPr>
          <w:rFonts w:ascii="Times New Roman" w:eastAsia="Times New Roman" w:hAnsi="Times New Roman"/>
        </w:rPr>
        <w:t>Limpieza y Desinfección de Alfombras.</w:t>
      </w:r>
    </w:p>
    <w:p w14:paraId="0F0621AE" w14:textId="77777777" w:rsidR="00051507" w:rsidRPr="00896C5A" w:rsidRDefault="00051507" w:rsidP="00051507">
      <w:pPr>
        <w:pStyle w:val="Prrafodelista"/>
        <w:numPr>
          <w:ilvl w:val="0"/>
          <w:numId w:val="29"/>
        </w:numPr>
        <w:spacing w:after="0" w:line="240" w:lineRule="auto"/>
        <w:rPr>
          <w:rFonts w:ascii="Times New Roman" w:eastAsia="Times New Roman" w:hAnsi="Times New Roman"/>
        </w:rPr>
      </w:pPr>
      <w:r w:rsidRPr="00896C5A">
        <w:rPr>
          <w:rFonts w:ascii="Times New Roman" w:eastAsia="Times New Roman" w:hAnsi="Times New Roman"/>
        </w:rPr>
        <w:t>Sanitización de ambientes mediante el uso de Amonio Cuaternario Pulverizado.</w:t>
      </w:r>
    </w:p>
    <w:p w14:paraId="7946D118" w14:textId="77777777" w:rsidR="00051507" w:rsidRPr="00896C5A" w:rsidRDefault="00051507" w:rsidP="00051507">
      <w:pPr>
        <w:rPr>
          <w:rFonts w:eastAsia="Times New Roman"/>
        </w:rPr>
      </w:pPr>
    </w:p>
    <w:p w14:paraId="2CD09176" w14:textId="77777777" w:rsidR="00051507" w:rsidRPr="00896C5A" w:rsidRDefault="00051507" w:rsidP="00051507">
      <w:pPr>
        <w:pStyle w:val="Sangradetextonormal"/>
        <w:ind w:left="0"/>
        <w:rPr>
          <w:lang w:val="es-AR" w:eastAsia="es-ES"/>
        </w:rPr>
      </w:pPr>
      <w:r w:rsidRPr="00896C5A">
        <w:rPr>
          <w:lang w:val="es-AR" w:eastAsia="es-ES"/>
        </w:rPr>
        <w:t>Todas estas medidas están en curso y van siendo ajustadas en función de la dinámica que se va presentado en cada sitio.</w:t>
      </w:r>
    </w:p>
    <w:p w14:paraId="58692C90" w14:textId="77777777" w:rsidR="00051507" w:rsidRPr="00896C5A" w:rsidRDefault="00051507" w:rsidP="00051507">
      <w:pPr>
        <w:pStyle w:val="Sangradetextonormal"/>
        <w:ind w:left="0"/>
        <w:rPr>
          <w:lang w:val="es-AR" w:eastAsia="es-ES"/>
        </w:rPr>
      </w:pPr>
    </w:p>
    <w:p w14:paraId="55DF8234" w14:textId="77777777" w:rsidR="00051507" w:rsidRPr="00896C5A" w:rsidRDefault="00051507" w:rsidP="00051507">
      <w:pPr>
        <w:pStyle w:val="Sangradetextonormal"/>
        <w:ind w:left="0"/>
        <w:rPr>
          <w:b/>
          <w:bCs/>
          <w:u w:val="single"/>
          <w:lang w:val="es-AR" w:eastAsia="es-ES"/>
        </w:rPr>
      </w:pPr>
      <w:r w:rsidRPr="00896C5A">
        <w:rPr>
          <w:b/>
          <w:bCs/>
          <w:u w:val="single"/>
          <w:lang w:val="es-AR" w:eastAsia="es-ES"/>
        </w:rPr>
        <w:t>Sustentabilidad/RSE</w:t>
      </w:r>
    </w:p>
    <w:p w14:paraId="7A92E253" w14:textId="77777777" w:rsidR="00051507" w:rsidRPr="00896C5A" w:rsidRDefault="00051507" w:rsidP="00051507">
      <w:pPr>
        <w:pStyle w:val="Sangradetextonormal"/>
        <w:ind w:left="0"/>
        <w:rPr>
          <w:b/>
          <w:bCs/>
          <w:u w:val="single"/>
          <w:lang w:val="es-AR" w:eastAsia="es-ES"/>
        </w:rPr>
      </w:pPr>
    </w:p>
    <w:p w14:paraId="70017765" w14:textId="77777777" w:rsidR="00051507" w:rsidRPr="00896C5A" w:rsidRDefault="00051507" w:rsidP="00051507">
      <w:pPr>
        <w:rPr>
          <w:rFonts w:eastAsia="Times New Roman"/>
          <w:b/>
          <w:bCs/>
          <w:i/>
          <w:iCs/>
        </w:rPr>
      </w:pPr>
      <w:r w:rsidRPr="00896C5A">
        <w:rPr>
          <w:rFonts w:eastAsia="Times New Roman"/>
          <w:b/>
          <w:bCs/>
          <w:i/>
          <w:iCs/>
        </w:rPr>
        <w:t>Balance Social</w:t>
      </w:r>
    </w:p>
    <w:p w14:paraId="034E579B" w14:textId="77777777" w:rsidR="00051507" w:rsidRPr="00896C5A" w:rsidRDefault="00051507" w:rsidP="00051507">
      <w:pPr>
        <w:rPr>
          <w:rFonts w:eastAsia="Times New Roman"/>
          <w:b/>
          <w:bCs/>
        </w:rPr>
      </w:pPr>
    </w:p>
    <w:p w14:paraId="6F8376CD"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Un año más contribuyendo de manera continua al desarrollo de las comunidades donde operamos seguimos apoyando los siguientes proyectos educativos y de inclusión social</w:t>
      </w:r>
    </w:p>
    <w:p w14:paraId="217177BC" w14:textId="77777777" w:rsidR="00051507" w:rsidRPr="00896C5A" w:rsidRDefault="00051507" w:rsidP="00051507">
      <w:pPr>
        <w:spacing w:after="100" w:afterAutospacing="1" w:line="240" w:lineRule="exact"/>
        <w:contextualSpacing/>
        <w:jc w:val="both"/>
        <w:rPr>
          <w:color w:val="000000" w:themeColor="text1"/>
          <w:lang w:val="es-ES"/>
        </w:rPr>
      </w:pPr>
    </w:p>
    <w:p w14:paraId="190B2903"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GENERACION MEDITERRANEA S.A. – Santiago del Estero</w:t>
      </w:r>
    </w:p>
    <w:p w14:paraId="5C311707"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Fundación Grano de Mostaza.</w:t>
      </w:r>
    </w:p>
    <w:p w14:paraId="624D578F" w14:textId="77777777" w:rsidR="00051507" w:rsidRPr="00896C5A" w:rsidRDefault="00051507" w:rsidP="00051507">
      <w:pPr>
        <w:spacing w:after="100" w:afterAutospacing="1" w:line="240" w:lineRule="exact"/>
        <w:contextualSpacing/>
        <w:jc w:val="both"/>
        <w:rPr>
          <w:color w:val="000000" w:themeColor="text1"/>
          <w:lang w:val="es-ES"/>
        </w:rPr>
      </w:pPr>
    </w:p>
    <w:p w14:paraId="4C24F7FE"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GENERACION MEDITERRANEA S.A. – La Rioja</w:t>
      </w:r>
    </w:p>
    <w:p w14:paraId="414AAC75"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 xml:space="preserve">Fundación Padre </w:t>
      </w:r>
      <w:proofErr w:type="spellStart"/>
      <w:r w:rsidRPr="00896C5A">
        <w:rPr>
          <w:color w:val="000000" w:themeColor="text1"/>
          <w:lang w:val="es-ES"/>
        </w:rPr>
        <w:t>Praolini</w:t>
      </w:r>
      <w:proofErr w:type="spellEnd"/>
    </w:p>
    <w:p w14:paraId="68C6CE88" w14:textId="77777777" w:rsidR="00051507" w:rsidRPr="00896C5A" w:rsidRDefault="00051507" w:rsidP="00051507">
      <w:pPr>
        <w:spacing w:after="100" w:afterAutospacing="1" w:line="240" w:lineRule="exact"/>
        <w:contextualSpacing/>
        <w:jc w:val="both"/>
        <w:rPr>
          <w:color w:val="000000" w:themeColor="text1"/>
          <w:lang w:val="es-ES"/>
        </w:rPr>
      </w:pPr>
    </w:p>
    <w:p w14:paraId="2DEE22EE"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GENERACION MEDITERRANEA S.A. – Rio Cuarto – Córdoba</w:t>
      </w:r>
    </w:p>
    <w:p w14:paraId="23BED10A" w14:textId="77777777" w:rsidR="00051507" w:rsidRPr="00896C5A" w:rsidRDefault="00051507" w:rsidP="00051507">
      <w:pPr>
        <w:spacing w:after="100" w:afterAutospacing="1" w:line="240" w:lineRule="exact"/>
        <w:contextualSpacing/>
        <w:jc w:val="both"/>
        <w:rPr>
          <w:color w:val="000000" w:themeColor="text1"/>
          <w:lang w:val="es-ES"/>
        </w:rPr>
      </w:pPr>
      <w:r w:rsidRPr="00896C5A">
        <w:rPr>
          <w:color w:val="000000" w:themeColor="text1"/>
          <w:lang w:val="es-ES"/>
        </w:rPr>
        <w:t xml:space="preserve">Colegio General Ignacio </w:t>
      </w:r>
      <w:proofErr w:type="spellStart"/>
      <w:r w:rsidRPr="00896C5A">
        <w:rPr>
          <w:color w:val="000000" w:themeColor="text1"/>
          <w:lang w:val="es-ES"/>
        </w:rPr>
        <w:t>Foteringham</w:t>
      </w:r>
      <w:proofErr w:type="spellEnd"/>
    </w:p>
    <w:p w14:paraId="6A663888" w14:textId="77777777" w:rsidR="00051507" w:rsidRPr="00896C5A" w:rsidRDefault="00051507" w:rsidP="00051507">
      <w:pPr>
        <w:rPr>
          <w:rFonts w:eastAsia="Times New Roman"/>
          <w:b/>
          <w:bCs/>
        </w:rPr>
      </w:pPr>
    </w:p>
    <w:p w14:paraId="6E93B9AE" w14:textId="77777777" w:rsidR="00051507" w:rsidRPr="00896C5A" w:rsidRDefault="00051507" w:rsidP="00051507">
      <w:pPr>
        <w:rPr>
          <w:rFonts w:eastAsia="Times New Roman"/>
          <w:b/>
          <w:bCs/>
          <w:i/>
          <w:iCs/>
        </w:rPr>
      </w:pPr>
      <w:r w:rsidRPr="00896C5A">
        <w:rPr>
          <w:rFonts w:eastAsia="Times New Roman"/>
          <w:b/>
          <w:bCs/>
          <w:i/>
          <w:iCs/>
        </w:rPr>
        <w:t xml:space="preserve">Donación de material informático a instituciones Educativas </w:t>
      </w:r>
    </w:p>
    <w:p w14:paraId="34474737" w14:textId="77777777" w:rsidR="00051507" w:rsidRPr="00896C5A" w:rsidRDefault="00051507" w:rsidP="00051507">
      <w:pPr>
        <w:rPr>
          <w:rFonts w:eastAsia="Times New Roman"/>
          <w:b/>
          <w:bCs/>
        </w:rPr>
      </w:pPr>
    </w:p>
    <w:p w14:paraId="2D83DE53" w14:textId="77777777" w:rsidR="00051507" w:rsidRPr="00896C5A" w:rsidRDefault="00051507" w:rsidP="00051507">
      <w:pPr>
        <w:rPr>
          <w:lang w:eastAsia="es-ES"/>
        </w:rPr>
      </w:pPr>
      <w:proofErr w:type="spellStart"/>
      <w:r w:rsidRPr="00896C5A">
        <w:rPr>
          <w:lang w:eastAsia="es-ES"/>
        </w:rPr>
        <w:lastRenderedPageBreak/>
        <w:t>Timbues</w:t>
      </w:r>
      <w:proofErr w:type="spellEnd"/>
      <w:r w:rsidRPr="00896C5A">
        <w:rPr>
          <w:lang w:eastAsia="es-ES"/>
        </w:rPr>
        <w:t xml:space="preserve"> – Santa Fe</w:t>
      </w:r>
    </w:p>
    <w:p w14:paraId="36F4EBB9" w14:textId="77777777" w:rsidR="00051507" w:rsidRPr="00896C5A" w:rsidRDefault="00051507" w:rsidP="00051507">
      <w:pPr>
        <w:rPr>
          <w:lang w:eastAsia="es-ES"/>
        </w:rPr>
      </w:pPr>
      <w:r w:rsidRPr="00896C5A">
        <w:rPr>
          <w:lang w:eastAsia="es-ES"/>
        </w:rPr>
        <w:t>General Roca – Río Negro</w:t>
      </w:r>
    </w:p>
    <w:p w14:paraId="6D03DC50" w14:textId="77777777" w:rsidR="00051507" w:rsidRPr="00896C5A" w:rsidRDefault="00051507" w:rsidP="00051507">
      <w:pPr>
        <w:rPr>
          <w:lang w:eastAsia="es-ES"/>
        </w:rPr>
      </w:pPr>
      <w:r w:rsidRPr="00896C5A">
        <w:rPr>
          <w:lang w:eastAsia="es-ES"/>
        </w:rPr>
        <w:t>San Miguel de Tucumán – Tucumán</w:t>
      </w:r>
    </w:p>
    <w:p w14:paraId="4827ED89" w14:textId="77777777" w:rsidR="00051507" w:rsidRPr="00896C5A" w:rsidRDefault="00051507" w:rsidP="00051507">
      <w:pPr>
        <w:rPr>
          <w:lang w:eastAsia="es-ES"/>
        </w:rPr>
      </w:pPr>
      <w:r w:rsidRPr="00896C5A">
        <w:rPr>
          <w:lang w:eastAsia="es-ES"/>
        </w:rPr>
        <w:t>Ezeiza – Buenos Aires</w:t>
      </w:r>
    </w:p>
    <w:p w14:paraId="3ED08001" w14:textId="77777777" w:rsidR="00051507" w:rsidRPr="00896C5A" w:rsidRDefault="00051507" w:rsidP="00051507">
      <w:pPr>
        <w:rPr>
          <w:lang w:eastAsia="es-ES"/>
        </w:rPr>
      </w:pPr>
      <w:proofErr w:type="spellStart"/>
      <w:r w:rsidRPr="00896C5A">
        <w:rPr>
          <w:lang w:eastAsia="es-ES"/>
        </w:rPr>
        <w:t>Frias</w:t>
      </w:r>
      <w:proofErr w:type="spellEnd"/>
      <w:r w:rsidRPr="00896C5A">
        <w:rPr>
          <w:lang w:eastAsia="es-ES"/>
        </w:rPr>
        <w:t xml:space="preserve"> – Santiago del Estero</w:t>
      </w:r>
    </w:p>
    <w:p w14:paraId="5FCB7B08" w14:textId="77777777" w:rsidR="00051507" w:rsidRPr="00896C5A" w:rsidRDefault="00051507" w:rsidP="00051507">
      <w:pPr>
        <w:rPr>
          <w:lang w:eastAsia="es-ES"/>
        </w:rPr>
      </w:pPr>
      <w:r w:rsidRPr="00896C5A">
        <w:rPr>
          <w:lang w:eastAsia="es-ES"/>
        </w:rPr>
        <w:t>Rio Cuarto – Córdoba</w:t>
      </w:r>
    </w:p>
    <w:p w14:paraId="1C3BC57D" w14:textId="77777777" w:rsidR="00051507" w:rsidRPr="00896C5A" w:rsidRDefault="00051507" w:rsidP="00051507">
      <w:pPr>
        <w:rPr>
          <w:rFonts w:eastAsia="Times New Roman"/>
          <w:b/>
          <w:bCs/>
        </w:rPr>
      </w:pPr>
    </w:p>
    <w:p w14:paraId="3C140F3F" w14:textId="77777777" w:rsidR="00051507" w:rsidRPr="00896C5A" w:rsidRDefault="00051507" w:rsidP="00051507">
      <w:pPr>
        <w:rPr>
          <w:rFonts w:eastAsia="Times New Roman"/>
          <w:b/>
          <w:bCs/>
          <w:i/>
          <w:iCs/>
        </w:rPr>
      </w:pPr>
      <w:r w:rsidRPr="00896C5A">
        <w:rPr>
          <w:rFonts w:eastAsia="Times New Roman"/>
          <w:b/>
          <w:bCs/>
          <w:i/>
          <w:iCs/>
        </w:rPr>
        <w:t>Proyectos Solidarios de Voluntariado Corporativo</w:t>
      </w:r>
    </w:p>
    <w:p w14:paraId="6899BE9F" w14:textId="77777777" w:rsidR="00051507" w:rsidRPr="00896C5A" w:rsidRDefault="00051507" w:rsidP="00051507">
      <w:pPr>
        <w:rPr>
          <w:rFonts w:eastAsia="Times New Roman"/>
          <w:b/>
          <w:bCs/>
          <w:i/>
          <w:iCs/>
        </w:rPr>
      </w:pPr>
    </w:p>
    <w:p w14:paraId="6D32D8B0" w14:textId="77777777" w:rsidR="00051507" w:rsidRPr="00896C5A" w:rsidRDefault="00051507" w:rsidP="00051507">
      <w:pPr>
        <w:rPr>
          <w:lang w:eastAsia="es-ES"/>
        </w:rPr>
      </w:pPr>
      <w:r w:rsidRPr="00896C5A">
        <w:rPr>
          <w:lang w:eastAsia="es-ES"/>
        </w:rPr>
        <w:t>Iniciativas de nuestro personal de mandos medios como proyectos en el marco del programa de formación de habilidades blandas, con apoyo logístico del Grupo.</w:t>
      </w:r>
    </w:p>
    <w:p w14:paraId="52AFCC9A" w14:textId="77777777" w:rsidR="00051507" w:rsidRPr="00896C5A" w:rsidRDefault="00051507" w:rsidP="00051507">
      <w:pPr>
        <w:pStyle w:val="Prrafodelista"/>
        <w:spacing w:after="0" w:line="240" w:lineRule="auto"/>
        <w:rPr>
          <w:rFonts w:ascii="Times New Roman" w:eastAsia="Times New Roman" w:hAnsi="Times New Roman"/>
        </w:rPr>
      </w:pPr>
    </w:p>
    <w:p w14:paraId="3D4902BE" w14:textId="77777777" w:rsidR="00051507" w:rsidRPr="00896C5A" w:rsidRDefault="00051507" w:rsidP="00051507">
      <w:pPr>
        <w:pStyle w:val="Prrafodelista"/>
        <w:numPr>
          <w:ilvl w:val="0"/>
          <w:numId w:val="30"/>
        </w:numPr>
        <w:spacing w:after="0" w:line="240" w:lineRule="auto"/>
        <w:ind w:hanging="360"/>
        <w:contextualSpacing/>
        <w:rPr>
          <w:rFonts w:ascii="Times New Roman" w:eastAsia="Times New Roman" w:hAnsi="Times New Roman"/>
        </w:rPr>
      </w:pPr>
      <w:r w:rsidRPr="00896C5A">
        <w:rPr>
          <w:rFonts w:ascii="Times New Roman" w:eastAsia="Times New Roman" w:hAnsi="Times New Roman"/>
        </w:rPr>
        <w:t xml:space="preserve">Donación de comestibles no perecederos y/o elementos de limpieza a </w:t>
      </w:r>
      <w:proofErr w:type="spellStart"/>
      <w:r w:rsidRPr="00896C5A">
        <w:rPr>
          <w:rFonts w:ascii="Times New Roman" w:eastAsia="Times New Roman" w:hAnsi="Times New Roman"/>
        </w:rPr>
        <w:t>ONG´s</w:t>
      </w:r>
      <w:proofErr w:type="spellEnd"/>
      <w:r w:rsidRPr="00896C5A">
        <w:rPr>
          <w:rFonts w:ascii="Times New Roman" w:eastAsia="Times New Roman" w:hAnsi="Times New Roman"/>
        </w:rPr>
        <w:t xml:space="preserve"> en las distintas localidades identificadas por los grupos de trabajo.</w:t>
      </w:r>
    </w:p>
    <w:p w14:paraId="34FB01D9" w14:textId="77777777" w:rsidR="00051507" w:rsidRPr="00896C5A" w:rsidRDefault="00051507" w:rsidP="00051507">
      <w:pPr>
        <w:rPr>
          <w:rFonts w:eastAsia="Times New Roman"/>
          <w:b/>
          <w:bCs/>
        </w:rPr>
      </w:pPr>
    </w:p>
    <w:p w14:paraId="1C82BEF8" w14:textId="77777777" w:rsidR="00051507" w:rsidRPr="00896C5A" w:rsidRDefault="00051507" w:rsidP="00051507">
      <w:pPr>
        <w:rPr>
          <w:color w:val="000000" w:themeColor="text1"/>
          <w:lang w:val="es-ES"/>
        </w:rPr>
      </w:pPr>
      <w:r w:rsidRPr="00896C5A">
        <w:rPr>
          <w:color w:val="000000" w:themeColor="text1"/>
          <w:lang w:val="es-ES"/>
        </w:rPr>
        <w:t xml:space="preserve">Centro </w:t>
      </w:r>
      <w:proofErr w:type="spellStart"/>
      <w:r w:rsidRPr="00896C5A">
        <w:rPr>
          <w:color w:val="000000" w:themeColor="text1"/>
          <w:lang w:val="es-ES"/>
        </w:rPr>
        <w:t>Conin</w:t>
      </w:r>
      <w:proofErr w:type="spellEnd"/>
      <w:r w:rsidRPr="00896C5A">
        <w:rPr>
          <w:color w:val="000000" w:themeColor="text1"/>
          <w:lang w:val="es-ES"/>
        </w:rPr>
        <w:t xml:space="preserve"> – Rio Cuarto – Córdoba</w:t>
      </w:r>
    </w:p>
    <w:p w14:paraId="5EE50177" w14:textId="77777777" w:rsidR="00051507" w:rsidRPr="00896C5A" w:rsidRDefault="00051507" w:rsidP="00051507">
      <w:pPr>
        <w:rPr>
          <w:color w:val="000000" w:themeColor="text1"/>
          <w:lang w:val="es-ES"/>
        </w:rPr>
      </w:pPr>
      <w:r w:rsidRPr="00896C5A">
        <w:rPr>
          <w:color w:val="000000" w:themeColor="text1"/>
          <w:lang w:val="es-ES"/>
        </w:rPr>
        <w:t xml:space="preserve">Asociación </w:t>
      </w:r>
      <w:proofErr w:type="spellStart"/>
      <w:r w:rsidRPr="00896C5A">
        <w:rPr>
          <w:color w:val="000000" w:themeColor="text1"/>
          <w:lang w:val="es-ES"/>
        </w:rPr>
        <w:t>Sumampeña</w:t>
      </w:r>
      <w:proofErr w:type="spellEnd"/>
      <w:r w:rsidRPr="00896C5A">
        <w:rPr>
          <w:color w:val="000000" w:themeColor="text1"/>
          <w:lang w:val="es-ES"/>
        </w:rPr>
        <w:t xml:space="preserve"> – </w:t>
      </w:r>
      <w:proofErr w:type="spellStart"/>
      <w:r w:rsidRPr="00896C5A">
        <w:rPr>
          <w:color w:val="000000" w:themeColor="text1"/>
          <w:lang w:val="es-ES"/>
        </w:rPr>
        <w:t>Frias</w:t>
      </w:r>
      <w:proofErr w:type="spellEnd"/>
      <w:r w:rsidRPr="00896C5A">
        <w:rPr>
          <w:color w:val="000000" w:themeColor="text1"/>
          <w:lang w:val="es-ES"/>
        </w:rPr>
        <w:t xml:space="preserve"> y La Banda – Santiago del Estero</w:t>
      </w:r>
    </w:p>
    <w:p w14:paraId="1276161D" w14:textId="77777777" w:rsidR="00051507" w:rsidRPr="00896C5A" w:rsidRDefault="00051507" w:rsidP="00051507">
      <w:pPr>
        <w:rPr>
          <w:color w:val="000000" w:themeColor="text1"/>
          <w:lang w:val="es-ES"/>
        </w:rPr>
      </w:pPr>
      <w:r w:rsidRPr="00896C5A">
        <w:rPr>
          <w:color w:val="000000" w:themeColor="text1"/>
          <w:lang w:val="es-ES"/>
        </w:rPr>
        <w:t>Fundación Proyectar Esperanza – General Roca – Río Negro</w:t>
      </w:r>
    </w:p>
    <w:p w14:paraId="573B0EE1" w14:textId="77777777" w:rsidR="00051507" w:rsidRPr="00896C5A" w:rsidRDefault="00051507" w:rsidP="00051507">
      <w:pPr>
        <w:rPr>
          <w:color w:val="000000" w:themeColor="text1"/>
          <w:lang w:val="es-ES"/>
        </w:rPr>
      </w:pPr>
      <w:r w:rsidRPr="00896C5A">
        <w:rPr>
          <w:color w:val="000000" w:themeColor="text1"/>
          <w:lang w:val="es-ES"/>
        </w:rPr>
        <w:t>Proyecto “Llegando a vos” – Ezeiza – Buenos Aires</w:t>
      </w:r>
    </w:p>
    <w:p w14:paraId="0FB6BE5C" w14:textId="77777777" w:rsidR="00051507" w:rsidRPr="00896C5A" w:rsidRDefault="00051507" w:rsidP="00051507">
      <w:pPr>
        <w:rPr>
          <w:color w:val="000000" w:themeColor="text1"/>
          <w:lang w:val="es-ES"/>
        </w:rPr>
      </w:pPr>
      <w:r w:rsidRPr="00896C5A">
        <w:rPr>
          <w:color w:val="000000" w:themeColor="text1"/>
          <w:lang w:val="es-ES"/>
        </w:rPr>
        <w:t xml:space="preserve">Fundación Camino junto a fundación </w:t>
      </w:r>
      <w:proofErr w:type="spellStart"/>
      <w:r w:rsidRPr="00896C5A">
        <w:rPr>
          <w:color w:val="000000" w:themeColor="text1"/>
          <w:lang w:val="es-ES"/>
        </w:rPr>
        <w:t>Conin</w:t>
      </w:r>
      <w:proofErr w:type="spellEnd"/>
      <w:r w:rsidRPr="00896C5A">
        <w:rPr>
          <w:color w:val="000000" w:themeColor="text1"/>
          <w:lang w:val="es-ES"/>
        </w:rPr>
        <w:t xml:space="preserve"> – Rosario – Santa Fe</w:t>
      </w:r>
    </w:p>
    <w:p w14:paraId="70B1831F" w14:textId="77777777" w:rsidR="00051507" w:rsidRPr="00896C5A" w:rsidRDefault="00051507" w:rsidP="00051507">
      <w:pPr>
        <w:rPr>
          <w:lang w:eastAsia="es-ES"/>
        </w:rPr>
      </w:pPr>
      <w:r w:rsidRPr="00896C5A">
        <w:rPr>
          <w:lang w:eastAsia="es-ES"/>
        </w:rPr>
        <w:t>Hogar de niños Nuestro Hogar – La Matanza – Buenos Aires</w:t>
      </w:r>
    </w:p>
    <w:p w14:paraId="650022D6" w14:textId="77777777" w:rsidR="00051507" w:rsidRPr="00896C5A" w:rsidRDefault="00051507" w:rsidP="00051507">
      <w:pPr>
        <w:ind w:left="708"/>
        <w:rPr>
          <w:rFonts w:eastAsia="Times New Roman"/>
          <w:b/>
          <w:bCs/>
        </w:rPr>
      </w:pPr>
    </w:p>
    <w:p w14:paraId="51455F35" w14:textId="77777777" w:rsidR="00051507" w:rsidRPr="00896C5A" w:rsidRDefault="00051507" w:rsidP="00051507">
      <w:pPr>
        <w:pStyle w:val="Prrafodelista"/>
        <w:numPr>
          <w:ilvl w:val="0"/>
          <w:numId w:val="30"/>
        </w:numPr>
        <w:spacing w:after="0" w:line="240" w:lineRule="auto"/>
        <w:ind w:hanging="360"/>
        <w:contextualSpacing/>
        <w:rPr>
          <w:rFonts w:ascii="Times New Roman" w:eastAsia="Times New Roman" w:hAnsi="Times New Roman"/>
        </w:rPr>
      </w:pPr>
      <w:r w:rsidRPr="00896C5A">
        <w:rPr>
          <w:rFonts w:ascii="Times New Roman" w:eastAsia="Times New Roman" w:hAnsi="Times New Roman"/>
        </w:rPr>
        <w:t xml:space="preserve">Distribución de raciones saludables a través de Banco de Alimentos </w:t>
      </w:r>
    </w:p>
    <w:p w14:paraId="6D624A92" w14:textId="77777777" w:rsidR="00051507" w:rsidRPr="00896C5A" w:rsidRDefault="00051507" w:rsidP="00051507">
      <w:pPr>
        <w:ind w:left="708"/>
        <w:rPr>
          <w:rFonts w:eastAsia="Times New Roman"/>
          <w:b/>
          <w:bCs/>
        </w:rPr>
      </w:pPr>
    </w:p>
    <w:p w14:paraId="6ED3A677" w14:textId="77777777" w:rsidR="00051507" w:rsidRPr="00896C5A" w:rsidRDefault="00051507" w:rsidP="00051507">
      <w:pPr>
        <w:rPr>
          <w:lang w:eastAsia="es-ES"/>
        </w:rPr>
      </w:pPr>
      <w:r w:rsidRPr="00896C5A">
        <w:rPr>
          <w:lang w:eastAsia="es-ES"/>
        </w:rPr>
        <w:t>Rio Cuarto – Córdoba</w:t>
      </w:r>
    </w:p>
    <w:p w14:paraId="48A624EE" w14:textId="77777777" w:rsidR="00051507" w:rsidRPr="00896C5A" w:rsidRDefault="00051507" w:rsidP="00051507">
      <w:pPr>
        <w:ind w:left="708"/>
        <w:rPr>
          <w:rFonts w:eastAsia="Times New Roman"/>
          <w:b/>
          <w:bCs/>
        </w:rPr>
      </w:pPr>
    </w:p>
    <w:p w14:paraId="28E3A87C" w14:textId="77777777" w:rsidR="00051507" w:rsidRPr="00896C5A" w:rsidRDefault="00051507" w:rsidP="00051507">
      <w:pPr>
        <w:pStyle w:val="Prrafodelista"/>
        <w:numPr>
          <w:ilvl w:val="0"/>
          <w:numId w:val="30"/>
        </w:numPr>
        <w:spacing w:after="0" w:line="240" w:lineRule="auto"/>
        <w:ind w:hanging="360"/>
        <w:contextualSpacing/>
        <w:rPr>
          <w:rFonts w:ascii="Times New Roman" w:eastAsia="Times New Roman" w:hAnsi="Times New Roman"/>
        </w:rPr>
      </w:pPr>
      <w:r w:rsidRPr="00896C5A">
        <w:rPr>
          <w:rFonts w:ascii="Times New Roman" w:eastAsia="Times New Roman" w:hAnsi="Times New Roman"/>
        </w:rPr>
        <w:t>Donación de indumentaria Deportiva a CSD y - Cultural Santa Magdalena</w:t>
      </w:r>
    </w:p>
    <w:p w14:paraId="40C377B6" w14:textId="77777777" w:rsidR="00051507" w:rsidRPr="00896C5A" w:rsidRDefault="00051507" w:rsidP="00051507">
      <w:pPr>
        <w:rPr>
          <w:rFonts w:eastAsia="Times New Roman"/>
          <w:b/>
          <w:bCs/>
        </w:rPr>
      </w:pPr>
    </w:p>
    <w:p w14:paraId="25D452B7" w14:textId="77777777" w:rsidR="00051507" w:rsidRPr="00896C5A" w:rsidRDefault="00051507" w:rsidP="00051507">
      <w:pPr>
        <w:rPr>
          <w:lang w:eastAsia="es-ES"/>
        </w:rPr>
      </w:pPr>
      <w:r w:rsidRPr="00896C5A">
        <w:rPr>
          <w:lang w:eastAsia="es-ES"/>
        </w:rPr>
        <w:t>Guernica – Buenos Aires</w:t>
      </w:r>
    </w:p>
    <w:p w14:paraId="5D7608E6" w14:textId="77777777" w:rsidR="00051507" w:rsidRPr="00896C5A" w:rsidRDefault="00051507" w:rsidP="00051507">
      <w:pPr>
        <w:pStyle w:val="Prrafodelista"/>
        <w:spacing w:line="280" w:lineRule="exact"/>
        <w:ind w:left="0"/>
        <w:jc w:val="both"/>
        <w:rPr>
          <w:rFonts w:ascii="Times New Roman" w:hAnsi="Times New Roman"/>
          <w:color w:val="000000" w:themeColor="text1"/>
          <w:lang w:val="es-ES"/>
        </w:rPr>
      </w:pPr>
    </w:p>
    <w:p w14:paraId="14405844" w14:textId="77777777" w:rsidR="00051507" w:rsidRPr="00896C5A" w:rsidRDefault="00051507" w:rsidP="00051507">
      <w:pPr>
        <w:pStyle w:val="Prrafodelista"/>
        <w:numPr>
          <w:ilvl w:val="1"/>
          <w:numId w:val="2"/>
        </w:numPr>
        <w:spacing w:after="100" w:afterAutospacing="1" w:line="240" w:lineRule="exact"/>
        <w:ind w:left="426" w:hanging="426"/>
        <w:contextualSpacing/>
        <w:jc w:val="both"/>
        <w:rPr>
          <w:rFonts w:ascii="Times New Roman" w:hAnsi="Times New Roman"/>
          <w:b/>
        </w:rPr>
      </w:pPr>
      <w:bookmarkStart w:id="11" w:name="_Hlk1677902"/>
      <w:r w:rsidRPr="00896C5A">
        <w:rPr>
          <w:rFonts w:ascii="Times New Roman" w:hAnsi="Times New Roman"/>
          <w:b/>
          <w:u w:val="single"/>
        </w:rPr>
        <w:t>Sistemas y Comunicaciones</w:t>
      </w:r>
    </w:p>
    <w:p w14:paraId="0386F416" w14:textId="77777777" w:rsidR="00051507" w:rsidRPr="00896C5A" w:rsidRDefault="00051507" w:rsidP="00051507">
      <w:pPr>
        <w:pStyle w:val="Prrafodelista"/>
        <w:spacing w:after="100" w:afterAutospacing="1" w:line="240" w:lineRule="exact"/>
        <w:ind w:left="426"/>
        <w:jc w:val="both"/>
        <w:rPr>
          <w:rFonts w:ascii="Times New Roman" w:hAnsi="Times New Roman"/>
          <w:b/>
        </w:rPr>
      </w:pPr>
    </w:p>
    <w:p w14:paraId="6B4E9920" w14:textId="77777777" w:rsidR="00051507" w:rsidRPr="00896C5A" w:rsidRDefault="00051507" w:rsidP="00051507">
      <w:pPr>
        <w:pStyle w:val="Prrafodelista"/>
        <w:spacing w:line="280" w:lineRule="exact"/>
        <w:ind w:left="0"/>
        <w:jc w:val="both"/>
        <w:rPr>
          <w:rFonts w:ascii="Times New Roman" w:hAnsi="Times New Roman"/>
          <w:color w:val="000000" w:themeColor="text1"/>
          <w:lang w:val="es-ES" w:eastAsia="en-US"/>
        </w:rPr>
      </w:pPr>
      <w:r w:rsidRPr="00896C5A">
        <w:rPr>
          <w:rFonts w:ascii="Times New Roman" w:hAnsi="Times New Roman"/>
          <w:color w:val="000000" w:themeColor="text1"/>
          <w:lang w:val="es-ES"/>
        </w:rPr>
        <w:t>Durante el año 2021, el área de Sistemas y Comunicaciones continuó brindando mantenimiento, desarrollo, implementación, innovación y soluciones asociadas a aplicaciones, tecnología, telecomunicaciones, seguridad de la información y procesos, garantizando un adecuado nivel de servicio y cubriendo las necesidades del negocio de la compañía, aún en el contexto social respecto de la pandemia por COVID-19.</w:t>
      </w:r>
    </w:p>
    <w:p w14:paraId="4155561D" w14:textId="77777777" w:rsidR="00051507" w:rsidRPr="00896C5A" w:rsidRDefault="00051507" w:rsidP="00051507">
      <w:pPr>
        <w:pStyle w:val="Prrafodelista"/>
        <w:spacing w:line="280" w:lineRule="exact"/>
        <w:ind w:left="0"/>
        <w:jc w:val="both"/>
        <w:rPr>
          <w:rFonts w:ascii="Times New Roman" w:hAnsi="Times New Roman"/>
          <w:color w:val="000000" w:themeColor="text1"/>
          <w:lang w:val="es-ES"/>
        </w:rPr>
      </w:pPr>
    </w:p>
    <w:p w14:paraId="01D5692F" w14:textId="77777777" w:rsidR="00051507" w:rsidRPr="00826A90" w:rsidRDefault="00051507" w:rsidP="00051507">
      <w:pPr>
        <w:pStyle w:val="Prrafodelista"/>
        <w:spacing w:line="280" w:lineRule="exact"/>
        <w:ind w:left="0"/>
        <w:jc w:val="both"/>
        <w:rPr>
          <w:rFonts w:ascii="Times New Roman" w:hAnsi="Times New Roman"/>
          <w:color w:val="000000" w:themeColor="text1"/>
          <w:lang w:val="es-ES"/>
        </w:rPr>
      </w:pPr>
      <w:r w:rsidRPr="00896C5A">
        <w:rPr>
          <w:rFonts w:ascii="Times New Roman" w:hAnsi="Times New Roman"/>
          <w:color w:val="000000" w:themeColor="text1"/>
          <w:lang w:val="es-ES"/>
        </w:rPr>
        <w:t>Cabe destacar que el área cuenta con políticas y procedimientos acordes a normas y estándares internacionales los cuales son monitoreados en forma continua a fin de controlar el cumplimiento de los objetivos del sector, los controles internos, como así también asegurar la calidad y la mejora continua.</w:t>
      </w:r>
    </w:p>
    <w:p w14:paraId="7330F0F6" w14:textId="77777777" w:rsidR="00051507" w:rsidRPr="00896C5A" w:rsidRDefault="00051507" w:rsidP="00051507">
      <w:pPr>
        <w:rPr>
          <w:lang w:val="es-ES"/>
        </w:rPr>
      </w:pPr>
      <w:r w:rsidRPr="00896C5A">
        <w:rPr>
          <w:lang w:val="es-ES"/>
        </w:rPr>
        <w:t>Los proyectos y objetivos logrados durante el año 2021 se resumen a continuación:</w:t>
      </w:r>
    </w:p>
    <w:p w14:paraId="3798F2C0" w14:textId="77777777" w:rsidR="00051507" w:rsidRPr="00896C5A" w:rsidRDefault="00051507" w:rsidP="00051507">
      <w:pPr>
        <w:rPr>
          <w:lang w:val="es-ES"/>
        </w:rPr>
      </w:pPr>
    </w:p>
    <w:p w14:paraId="01A57104"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 xml:space="preserve">Se realizaron mejoras y ampliaciones en el sistema contra incendios </w:t>
      </w:r>
      <w:proofErr w:type="gramStart"/>
      <w:r w:rsidRPr="00896C5A">
        <w:rPr>
          <w:rFonts w:ascii="Times New Roman" w:hAnsi="Times New Roman"/>
          <w:color w:val="000000" w:themeColor="text1"/>
          <w:lang w:val="es-ES"/>
        </w:rPr>
        <w:t>del data</w:t>
      </w:r>
      <w:proofErr w:type="gramEnd"/>
      <w:r w:rsidRPr="00896C5A">
        <w:rPr>
          <w:rFonts w:ascii="Times New Roman" w:hAnsi="Times New Roman"/>
          <w:color w:val="000000" w:themeColor="text1"/>
          <w:lang w:val="es-ES"/>
        </w:rPr>
        <w:t xml:space="preserve"> center corporativo, con el propósito de mejorar la seguridad del mismo.</w:t>
      </w:r>
    </w:p>
    <w:p w14:paraId="42ED61F2"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 xml:space="preserve">Se realizó el conexionado del grupo electrógeno </w:t>
      </w:r>
      <w:proofErr w:type="gramStart"/>
      <w:r w:rsidRPr="00896C5A">
        <w:rPr>
          <w:rFonts w:ascii="Times New Roman" w:hAnsi="Times New Roman"/>
          <w:color w:val="000000" w:themeColor="text1"/>
          <w:lang w:val="es-ES"/>
        </w:rPr>
        <w:t>del data</w:t>
      </w:r>
      <w:proofErr w:type="gramEnd"/>
      <w:r w:rsidRPr="00896C5A">
        <w:rPr>
          <w:rFonts w:ascii="Times New Roman" w:hAnsi="Times New Roman"/>
          <w:color w:val="000000" w:themeColor="text1"/>
          <w:lang w:val="es-ES"/>
        </w:rPr>
        <w:t xml:space="preserve"> center corporativo por fibra óptica, para contar con monitoreo remoto y alertas de funcionamiento, para un control proactivo del funcionamiento del equipo. </w:t>
      </w:r>
    </w:p>
    <w:p w14:paraId="27D3634C"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Se realizo la migración de los servidores SAP, a nuevo equipamiento HP, teniendo una mejora tanto tecnológica como de seguridad del equipamiento.</w:t>
      </w:r>
    </w:p>
    <w:p w14:paraId="73952C81"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Se renovaron y ampliaron las licencias de Windows 10.</w:t>
      </w:r>
    </w:p>
    <w:p w14:paraId="3CD93F29"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Se adquirieron 25 laptops para recambio de equipos obsoletos y nuevas asignaciones por nueva modalidad de trabajo remoto.</w:t>
      </w:r>
    </w:p>
    <w:p w14:paraId="7558C9C1"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 xml:space="preserve">Se actualizaron 22 </w:t>
      </w:r>
      <w:proofErr w:type="spellStart"/>
      <w:r w:rsidRPr="00896C5A">
        <w:rPr>
          <w:rFonts w:ascii="Times New Roman" w:hAnsi="Times New Roman"/>
          <w:color w:val="000000" w:themeColor="text1"/>
          <w:lang w:val="es-ES"/>
        </w:rPr>
        <w:t>PCs</w:t>
      </w:r>
      <w:proofErr w:type="spellEnd"/>
      <w:r w:rsidRPr="00896C5A">
        <w:rPr>
          <w:rFonts w:ascii="Times New Roman" w:hAnsi="Times New Roman"/>
          <w:color w:val="000000" w:themeColor="text1"/>
          <w:lang w:val="es-ES"/>
        </w:rPr>
        <w:t xml:space="preserve"> que quedaron disponibles por su reemplazo por laptops y se enviaron a las distintas centrales. </w:t>
      </w:r>
    </w:p>
    <w:p w14:paraId="6A40E45A"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Se instalaron 150 monitores de 27 pulgadas en todos los puestos de trabajo, junto a la instalación de periscopios con tomas eléctricos, para favorecer el nuevo esquema de trabajo móvil en los pisos.</w:t>
      </w:r>
    </w:p>
    <w:p w14:paraId="5685389F"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Se actualizaron y renovaron 73 celulares de la flota corporativa.</w:t>
      </w:r>
    </w:p>
    <w:p w14:paraId="4FDA0321"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Se ampliaron y mejoraron los sistemas comerciales, obteniendo nuevas funcionalidades para la gestión diaria.</w:t>
      </w:r>
    </w:p>
    <w:p w14:paraId="79B6DAE2"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 xml:space="preserve">Se desarrollaron nuevos reportes tanto en nuevas tecnologías como ser </w:t>
      </w:r>
      <w:proofErr w:type="spellStart"/>
      <w:r w:rsidRPr="00896C5A">
        <w:rPr>
          <w:rFonts w:ascii="Times New Roman" w:hAnsi="Times New Roman"/>
          <w:color w:val="000000" w:themeColor="text1"/>
          <w:lang w:val="es-ES"/>
        </w:rPr>
        <w:t>Power</w:t>
      </w:r>
      <w:proofErr w:type="spellEnd"/>
      <w:r w:rsidRPr="00896C5A">
        <w:rPr>
          <w:rFonts w:ascii="Times New Roman" w:hAnsi="Times New Roman"/>
          <w:color w:val="000000" w:themeColor="text1"/>
          <w:lang w:val="es-ES"/>
        </w:rPr>
        <w:t xml:space="preserve"> BI, como en las existentes, como ser Business </w:t>
      </w:r>
      <w:proofErr w:type="spellStart"/>
      <w:r w:rsidRPr="00896C5A">
        <w:rPr>
          <w:rFonts w:ascii="Times New Roman" w:hAnsi="Times New Roman"/>
          <w:color w:val="000000" w:themeColor="text1"/>
          <w:lang w:val="es-ES"/>
        </w:rPr>
        <w:t>Object</w:t>
      </w:r>
      <w:proofErr w:type="spellEnd"/>
      <w:r w:rsidRPr="00896C5A">
        <w:rPr>
          <w:rFonts w:ascii="Times New Roman" w:hAnsi="Times New Roman"/>
          <w:color w:val="000000" w:themeColor="text1"/>
          <w:lang w:val="es-ES"/>
        </w:rPr>
        <w:t>.</w:t>
      </w:r>
    </w:p>
    <w:p w14:paraId="76F7FE65"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 xml:space="preserve">Se automatizo el proceso de llamados a rondas de inversión, con tecnología de </w:t>
      </w:r>
      <w:proofErr w:type="spellStart"/>
      <w:r w:rsidRPr="00896C5A">
        <w:rPr>
          <w:rFonts w:ascii="Times New Roman" w:hAnsi="Times New Roman"/>
          <w:color w:val="000000" w:themeColor="text1"/>
          <w:lang w:val="es-ES"/>
        </w:rPr>
        <w:t>Power</w:t>
      </w:r>
      <w:proofErr w:type="spellEnd"/>
      <w:r w:rsidRPr="00896C5A">
        <w:rPr>
          <w:rFonts w:ascii="Times New Roman" w:hAnsi="Times New Roman"/>
          <w:color w:val="000000" w:themeColor="text1"/>
          <w:lang w:val="es-ES"/>
        </w:rPr>
        <w:t xml:space="preserve"> </w:t>
      </w:r>
      <w:proofErr w:type="spellStart"/>
      <w:r w:rsidRPr="00896C5A">
        <w:rPr>
          <w:rFonts w:ascii="Times New Roman" w:hAnsi="Times New Roman"/>
          <w:color w:val="000000" w:themeColor="text1"/>
          <w:lang w:val="es-ES"/>
        </w:rPr>
        <w:t>Automate</w:t>
      </w:r>
      <w:proofErr w:type="spellEnd"/>
      <w:r w:rsidRPr="00896C5A">
        <w:rPr>
          <w:rFonts w:ascii="Times New Roman" w:hAnsi="Times New Roman"/>
          <w:color w:val="000000" w:themeColor="text1"/>
          <w:lang w:val="es-ES"/>
        </w:rPr>
        <w:t>.</w:t>
      </w:r>
    </w:p>
    <w:p w14:paraId="22E750EB"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Se realizó la estandarización de extracción y consumo de datos SAP (</w:t>
      </w:r>
      <w:proofErr w:type="spellStart"/>
      <w:r w:rsidRPr="00896C5A">
        <w:rPr>
          <w:rFonts w:ascii="Times New Roman" w:hAnsi="Times New Roman"/>
          <w:color w:val="000000" w:themeColor="text1"/>
          <w:lang w:val="es-ES"/>
        </w:rPr>
        <w:t>OCs</w:t>
      </w:r>
      <w:proofErr w:type="spellEnd"/>
      <w:r w:rsidRPr="00896C5A">
        <w:rPr>
          <w:rFonts w:ascii="Times New Roman" w:hAnsi="Times New Roman"/>
          <w:color w:val="000000" w:themeColor="text1"/>
          <w:lang w:val="es-ES"/>
        </w:rPr>
        <w:t xml:space="preserve">, </w:t>
      </w:r>
      <w:proofErr w:type="spellStart"/>
      <w:r w:rsidRPr="00896C5A">
        <w:rPr>
          <w:rFonts w:ascii="Times New Roman" w:hAnsi="Times New Roman"/>
          <w:color w:val="000000" w:themeColor="text1"/>
          <w:lang w:val="es-ES"/>
        </w:rPr>
        <w:t>OIs</w:t>
      </w:r>
      <w:proofErr w:type="spellEnd"/>
      <w:r w:rsidRPr="00896C5A">
        <w:rPr>
          <w:rFonts w:ascii="Times New Roman" w:hAnsi="Times New Roman"/>
          <w:color w:val="000000" w:themeColor="text1"/>
          <w:lang w:val="es-ES"/>
        </w:rPr>
        <w:t>, Pagos, PM).</w:t>
      </w:r>
    </w:p>
    <w:p w14:paraId="1F181453"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 xml:space="preserve">Se desarrollaron más de 120 mejoras a los programas de gestión utilizados diariamente. </w:t>
      </w:r>
    </w:p>
    <w:p w14:paraId="79D07C88" w14:textId="77777777" w:rsidR="00051507" w:rsidRPr="00896C5A" w:rsidRDefault="00051507" w:rsidP="00051507">
      <w:pPr>
        <w:pStyle w:val="Prrafodelista"/>
        <w:spacing w:line="280" w:lineRule="exact"/>
        <w:ind w:left="0"/>
        <w:jc w:val="both"/>
        <w:rPr>
          <w:rFonts w:ascii="Times New Roman" w:hAnsi="Times New Roman"/>
          <w:color w:val="000000" w:themeColor="text1"/>
          <w:lang w:val="es-ES"/>
        </w:rPr>
      </w:pPr>
    </w:p>
    <w:p w14:paraId="4E465914" w14:textId="77777777" w:rsidR="00051507" w:rsidRPr="00896C5A" w:rsidRDefault="00051507" w:rsidP="00051507">
      <w:pPr>
        <w:pStyle w:val="Prrafodelista"/>
        <w:spacing w:line="280" w:lineRule="exact"/>
        <w:ind w:left="0"/>
        <w:jc w:val="both"/>
        <w:rPr>
          <w:rFonts w:ascii="Times New Roman" w:hAnsi="Times New Roman"/>
          <w:color w:val="000000" w:themeColor="text1"/>
          <w:lang w:val="es-ES"/>
        </w:rPr>
      </w:pPr>
      <w:r w:rsidRPr="00896C5A">
        <w:rPr>
          <w:rFonts w:ascii="Times New Roman" w:hAnsi="Times New Roman"/>
          <w:color w:val="000000" w:themeColor="text1"/>
          <w:lang w:val="es-ES"/>
        </w:rPr>
        <w:lastRenderedPageBreak/>
        <w:t xml:space="preserve">Cómo objetivo para el 2022, la Gerencia de Sistemas y Tecnologías de la Información continuará con el proceso de inversión tendiente a mejorar la productividad y la eficiencia de los procesos existentes, como así también la incorporación de tecnologías innovadoras, permitiendo de esta manera continuar con el proceso de mejora de las acciones enfocadas a garantizar la seguridad, confidencialidad, integridad y disponibilidad de la información. </w:t>
      </w:r>
    </w:p>
    <w:p w14:paraId="7BD42EDA" w14:textId="77777777" w:rsidR="00051507" w:rsidRPr="00896C5A" w:rsidRDefault="00051507" w:rsidP="00051507">
      <w:pPr>
        <w:rPr>
          <w:lang w:val="es-ES"/>
        </w:rPr>
      </w:pPr>
      <w:r w:rsidRPr="00896C5A">
        <w:rPr>
          <w:lang w:val="es-ES"/>
        </w:rPr>
        <w:t>Algunos de los proyectos para el año 2022 son:</w:t>
      </w:r>
    </w:p>
    <w:p w14:paraId="16165231" w14:textId="77777777" w:rsidR="00051507" w:rsidRPr="00896C5A" w:rsidRDefault="00051507" w:rsidP="00051507"/>
    <w:p w14:paraId="715BD1FA"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 xml:space="preserve">Desarrollo de portal de aplicaciones para utilización dinámica de SAP. (Aprobación de gastos, liberar pedidos, </w:t>
      </w:r>
      <w:proofErr w:type="spellStart"/>
      <w:r w:rsidRPr="00896C5A">
        <w:rPr>
          <w:rFonts w:ascii="Times New Roman" w:hAnsi="Times New Roman"/>
          <w:color w:val="000000" w:themeColor="text1"/>
          <w:lang w:val="es-ES"/>
        </w:rPr>
        <w:t>etc</w:t>
      </w:r>
      <w:proofErr w:type="spellEnd"/>
      <w:r w:rsidRPr="00896C5A">
        <w:rPr>
          <w:rFonts w:ascii="Times New Roman" w:hAnsi="Times New Roman"/>
          <w:color w:val="000000" w:themeColor="text1"/>
          <w:lang w:val="es-ES"/>
        </w:rPr>
        <w:t>).</w:t>
      </w:r>
    </w:p>
    <w:p w14:paraId="6A935C27"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 xml:space="preserve">Implementación de un data </w:t>
      </w:r>
      <w:proofErr w:type="spellStart"/>
      <w:r w:rsidRPr="00896C5A">
        <w:rPr>
          <w:rFonts w:ascii="Times New Roman" w:hAnsi="Times New Roman"/>
          <w:color w:val="000000" w:themeColor="text1"/>
          <w:lang w:val="es-ES"/>
        </w:rPr>
        <w:t>wharehouse</w:t>
      </w:r>
      <w:proofErr w:type="spellEnd"/>
      <w:r w:rsidRPr="00896C5A">
        <w:rPr>
          <w:rFonts w:ascii="Times New Roman" w:hAnsi="Times New Roman"/>
          <w:color w:val="000000" w:themeColor="text1"/>
          <w:lang w:val="es-ES"/>
        </w:rPr>
        <w:t xml:space="preserve"> corporativo, para lograr integrar y combinar datos de distintas fuentes.</w:t>
      </w:r>
    </w:p>
    <w:p w14:paraId="32433995"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Desarrollo de plataforma de gestión de clientes y contratos de GAS.</w:t>
      </w:r>
    </w:p>
    <w:p w14:paraId="5804D4CE"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Continuar con la actualización del parque de PC, laptop y celulares.</w:t>
      </w:r>
    </w:p>
    <w:p w14:paraId="4C64CE35"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Ampliación y mejoramiento de los sistemas comerciales y de facturación de energía.</w:t>
      </w:r>
    </w:p>
    <w:p w14:paraId="5247AC42"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 xml:space="preserve">Implementación de un Software para monitoreo proactivo de equipos (Cámaras, Servidores, Equipos de Comunicación, </w:t>
      </w:r>
      <w:proofErr w:type="spellStart"/>
      <w:r w:rsidRPr="00896C5A">
        <w:rPr>
          <w:rFonts w:ascii="Times New Roman" w:hAnsi="Times New Roman"/>
          <w:color w:val="000000" w:themeColor="text1"/>
          <w:lang w:val="es-ES"/>
        </w:rPr>
        <w:t>etc</w:t>
      </w:r>
      <w:proofErr w:type="spellEnd"/>
      <w:r w:rsidRPr="00896C5A">
        <w:rPr>
          <w:rFonts w:ascii="Times New Roman" w:hAnsi="Times New Roman"/>
          <w:color w:val="000000" w:themeColor="text1"/>
          <w:lang w:val="es-ES"/>
        </w:rPr>
        <w:t>).</w:t>
      </w:r>
    </w:p>
    <w:p w14:paraId="22A83420"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Ampliación y mejoramiento de los sistemas comerciales y de facturación de energía.</w:t>
      </w:r>
    </w:p>
    <w:p w14:paraId="29E4626E" w14:textId="77777777" w:rsidR="00051507" w:rsidRPr="00896C5A" w:rsidRDefault="00051507" w:rsidP="00051507">
      <w:pPr>
        <w:pStyle w:val="Prrafodelista"/>
        <w:numPr>
          <w:ilvl w:val="0"/>
          <w:numId w:val="26"/>
        </w:numPr>
        <w:spacing w:line="280" w:lineRule="exact"/>
        <w:contextualSpacing/>
        <w:jc w:val="both"/>
        <w:rPr>
          <w:rFonts w:ascii="Times New Roman" w:hAnsi="Times New Roman"/>
          <w:color w:val="000000" w:themeColor="text1"/>
          <w:lang w:val="es-ES"/>
        </w:rPr>
      </w:pPr>
      <w:r w:rsidRPr="00896C5A">
        <w:rPr>
          <w:rFonts w:ascii="Times New Roman" w:hAnsi="Times New Roman"/>
          <w:color w:val="000000" w:themeColor="text1"/>
          <w:lang w:val="es-ES"/>
        </w:rPr>
        <w:t>Ampliación del sistema CCTV.</w:t>
      </w:r>
    </w:p>
    <w:bookmarkEnd w:id="11"/>
    <w:p w14:paraId="39A0CF48" w14:textId="77777777" w:rsidR="00051507" w:rsidRPr="00896C5A" w:rsidRDefault="00051507" w:rsidP="00051507">
      <w:pPr>
        <w:rPr>
          <w:lang w:val="es-ES"/>
        </w:rPr>
      </w:pPr>
    </w:p>
    <w:p w14:paraId="693CD545" w14:textId="77777777" w:rsidR="00051507" w:rsidRPr="00896C5A" w:rsidRDefault="00051507" w:rsidP="00051507">
      <w:pPr>
        <w:pStyle w:val="Prrafodelista"/>
        <w:numPr>
          <w:ilvl w:val="1"/>
          <w:numId w:val="2"/>
        </w:numPr>
        <w:spacing w:after="100" w:afterAutospacing="1" w:line="240" w:lineRule="exact"/>
        <w:ind w:left="426" w:hanging="426"/>
        <w:contextualSpacing/>
        <w:jc w:val="both"/>
        <w:rPr>
          <w:rFonts w:ascii="Times New Roman" w:hAnsi="Times New Roman"/>
          <w:b/>
        </w:rPr>
      </w:pPr>
      <w:r w:rsidRPr="00896C5A">
        <w:rPr>
          <w:rFonts w:ascii="Times New Roman" w:hAnsi="Times New Roman"/>
          <w:b/>
          <w:u w:val="single"/>
        </w:rPr>
        <w:t>Programa de Integridad</w:t>
      </w:r>
      <w:bookmarkEnd w:id="10"/>
    </w:p>
    <w:p w14:paraId="5DCEA948" w14:textId="77777777" w:rsidR="00051507" w:rsidRPr="00896C5A" w:rsidRDefault="00051507" w:rsidP="00051507">
      <w:pPr>
        <w:spacing w:line="280" w:lineRule="exact"/>
        <w:jc w:val="both"/>
        <w:rPr>
          <w:color w:val="000000" w:themeColor="text1"/>
          <w:lang w:val="es-ES"/>
        </w:rPr>
      </w:pPr>
      <w:r w:rsidRPr="00896C5A">
        <w:rPr>
          <w:color w:val="000000" w:themeColor="text1"/>
          <w:lang w:val="es-ES"/>
        </w:rPr>
        <w:t xml:space="preserve">El Directorio, con fecha 16 de agosto de 2018, aprobó el Programa de Integridad de la Compañía </w:t>
      </w:r>
      <w:r w:rsidRPr="00896C5A">
        <w:rPr>
          <w:color w:val="000000" w:themeColor="text1"/>
          <w:lang w:eastAsia="es-ES"/>
        </w:rPr>
        <w:t>(el “Programa de Integridad” o el “Programa”)</w:t>
      </w:r>
      <w:r w:rsidRPr="00896C5A">
        <w:rPr>
          <w:color w:val="000000" w:themeColor="text1"/>
          <w:lang w:val="es-ES"/>
        </w:rPr>
        <w:t xml:space="preserve">, a través del cual se robusteció el Código de Ética y Conducta (el “Código”) y se implementaron diversas políticas, entre ellas, una Política Anticorrupción, de Presentación en Licitaciones y Concursos y una Política de Relacionamiento con funcionarios Públicos. Asimismo, se estableció una Línea Ética para denuncias que es confidencial, puede ser anónima y es accesible tanto para empleados de Albanesi como para terceros. La misma es </w:t>
      </w:r>
      <w:r w:rsidRPr="00896C5A">
        <w:rPr>
          <w:color w:val="000000" w:themeColor="text1"/>
          <w:lang w:eastAsia="es-ES"/>
        </w:rPr>
        <w:t xml:space="preserve">administrada por la firma PricewaterhouseCoopers (“PwC”). </w:t>
      </w:r>
      <w:r w:rsidRPr="00896C5A">
        <w:rPr>
          <w:rFonts w:eastAsia="Times New Roman"/>
        </w:rPr>
        <w:t>El Código y la Línea se encuentran disponibles en el sitio web de Albanesi (</w:t>
      </w:r>
      <w:hyperlink r:id="rId33" w:history="1">
        <w:r w:rsidRPr="00896C5A">
          <w:rPr>
            <w:rStyle w:val="Hipervnculo"/>
          </w:rPr>
          <w:t>http://www.albanesi.com.ar/programa-integridad.php</w:t>
        </w:r>
      </w:hyperlink>
      <w:r w:rsidRPr="00896C5A">
        <w:rPr>
          <w:rFonts w:eastAsia="Times New Roman"/>
        </w:rPr>
        <w:t xml:space="preserve">). </w:t>
      </w:r>
      <w:r w:rsidRPr="00896C5A">
        <w:rPr>
          <w:bCs/>
          <w:lang w:val="es-VE"/>
        </w:rPr>
        <w:t xml:space="preserve">El detalle de los cuatro canales de denuncia disponibles puede consultarse en el siguiente sitio web: </w:t>
      </w:r>
      <w:hyperlink r:id="rId34" w:history="1">
        <w:r w:rsidRPr="00896C5A">
          <w:rPr>
            <w:rStyle w:val="Hipervnculo"/>
          </w:rPr>
          <w:t>http://www.albanesi.com.ar/linea-etica.php</w:t>
        </w:r>
      </w:hyperlink>
    </w:p>
    <w:p w14:paraId="5C411A9A" w14:textId="77777777" w:rsidR="00051507" w:rsidRPr="00896C5A" w:rsidRDefault="00051507" w:rsidP="00051507">
      <w:pPr>
        <w:spacing w:line="280" w:lineRule="exact"/>
        <w:jc w:val="both"/>
        <w:rPr>
          <w:color w:val="000000" w:themeColor="text1"/>
          <w:lang w:val="es-ES"/>
        </w:rPr>
      </w:pPr>
      <w:r w:rsidRPr="00896C5A">
        <w:rPr>
          <w:color w:val="000000" w:themeColor="text1"/>
          <w:lang w:val="es-ES"/>
        </w:rPr>
        <w:t xml:space="preserve">Posteriormente, se elaboraron políticas adicionales, tales como la Política de Donaciones, Becas y Patrocinios, una Política de Confidencialidad y Uso de Herramientas de Trabajo y una Política de </w:t>
      </w:r>
      <w:proofErr w:type="spellStart"/>
      <w:r w:rsidRPr="00896C5A">
        <w:rPr>
          <w:color w:val="000000" w:themeColor="text1"/>
          <w:lang w:val="es-ES"/>
        </w:rPr>
        <w:t>Due</w:t>
      </w:r>
      <w:proofErr w:type="spellEnd"/>
      <w:r w:rsidRPr="00896C5A">
        <w:rPr>
          <w:color w:val="000000" w:themeColor="text1"/>
          <w:lang w:val="es-ES"/>
        </w:rPr>
        <w:t xml:space="preserve"> </w:t>
      </w:r>
      <w:proofErr w:type="spellStart"/>
      <w:r w:rsidRPr="00896C5A">
        <w:rPr>
          <w:color w:val="000000" w:themeColor="text1"/>
          <w:lang w:val="es-ES"/>
        </w:rPr>
        <w:t>Diligence</w:t>
      </w:r>
      <w:proofErr w:type="spellEnd"/>
      <w:r w:rsidRPr="00896C5A">
        <w:rPr>
          <w:color w:val="000000" w:themeColor="text1"/>
          <w:lang w:val="es-ES"/>
        </w:rPr>
        <w:t xml:space="preserve"> de Terceros, complementaria de una herramienta de Gestión de Riesgos de Integridad de Proveedores (“GRIP”) desarrollada con el soporte de PwC. </w:t>
      </w:r>
    </w:p>
    <w:p w14:paraId="48A671EB" w14:textId="77777777" w:rsidR="00051507" w:rsidRPr="00896C5A" w:rsidRDefault="00051507" w:rsidP="00051507">
      <w:pPr>
        <w:spacing w:line="280" w:lineRule="exact"/>
        <w:jc w:val="both"/>
        <w:rPr>
          <w:color w:val="000000" w:themeColor="text1"/>
          <w:lang w:val="es-ES"/>
        </w:rPr>
      </w:pPr>
      <w:r w:rsidRPr="00896C5A">
        <w:rPr>
          <w:color w:val="000000" w:themeColor="text1"/>
          <w:lang w:val="es-ES"/>
        </w:rPr>
        <w:t>Asimismo, el Programa cuenta con tres registros: (i) Regalos, (</w:t>
      </w:r>
      <w:proofErr w:type="spellStart"/>
      <w:r w:rsidRPr="00896C5A">
        <w:rPr>
          <w:color w:val="000000" w:themeColor="text1"/>
          <w:lang w:val="es-ES"/>
        </w:rPr>
        <w:t>ii</w:t>
      </w:r>
      <w:proofErr w:type="spellEnd"/>
      <w:r w:rsidRPr="00896C5A">
        <w:rPr>
          <w:color w:val="000000" w:themeColor="text1"/>
          <w:lang w:val="es-ES"/>
        </w:rPr>
        <w:t>) Relacionamiento con funcionarios Públicos y (</w:t>
      </w:r>
      <w:proofErr w:type="spellStart"/>
      <w:r w:rsidRPr="00896C5A">
        <w:rPr>
          <w:color w:val="000000" w:themeColor="text1"/>
          <w:lang w:val="es-ES"/>
        </w:rPr>
        <w:t>iii</w:t>
      </w:r>
      <w:proofErr w:type="spellEnd"/>
      <w:r w:rsidRPr="00896C5A">
        <w:rPr>
          <w:color w:val="000000" w:themeColor="text1"/>
          <w:lang w:val="es-ES"/>
        </w:rPr>
        <w:t xml:space="preserve">) Conflictos de Interés; de uso mandatorio para nuestros empleados. </w:t>
      </w:r>
    </w:p>
    <w:p w14:paraId="346D1465" w14:textId="77777777" w:rsidR="00051507" w:rsidRPr="00896C5A" w:rsidRDefault="00051507" w:rsidP="00051507">
      <w:pPr>
        <w:spacing w:line="280" w:lineRule="exact"/>
        <w:jc w:val="both"/>
        <w:rPr>
          <w:color w:val="000000" w:themeColor="text1"/>
          <w:lang w:val="es-ES"/>
        </w:rPr>
      </w:pPr>
      <w:r w:rsidRPr="00896C5A">
        <w:rPr>
          <w:color w:val="000000" w:themeColor="text1"/>
          <w:lang w:val="es-ES"/>
        </w:rPr>
        <w:t xml:space="preserve">El Código estableció la formación de un Comité de Ética (el "Comité"), que se encuentra a cargo del tratamiento de los temas relacionados con cualquier comportamiento que pueda ser contrario al Programa de Integridad. El 9 de septiembre de 2020 el Directorio de la Compañía aprobó la reforma del Reglamento del Comité de Ética, así como la designación de un Oficial de Ética y Cumplimiento y la renovación de los miembros del Comité, cuyo cargo es anual. Actualmente, conforme a la designación aprobada por el órgano de administración, el 8 de septiembre de 2021, dicho Comité está conformado por el Gerente Corporativo de Legales &amp; </w:t>
      </w:r>
      <w:proofErr w:type="spellStart"/>
      <w:r w:rsidRPr="00896C5A">
        <w:rPr>
          <w:color w:val="000000" w:themeColor="text1"/>
          <w:lang w:val="es-ES"/>
        </w:rPr>
        <w:t>Compliance</w:t>
      </w:r>
      <w:proofErr w:type="spellEnd"/>
      <w:r w:rsidRPr="00896C5A">
        <w:rPr>
          <w:color w:val="000000" w:themeColor="text1"/>
          <w:lang w:val="es-ES"/>
        </w:rPr>
        <w:t xml:space="preserve">, el Gerente Corporativo de Auditoría Interna y un director de algunas de las Compañías, independiente de los accionistas del Grupo. </w:t>
      </w:r>
    </w:p>
    <w:p w14:paraId="57B4403B" w14:textId="77777777" w:rsidR="00051507" w:rsidRPr="00896C5A" w:rsidRDefault="00051507" w:rsidP="00051507">
      <w:pPr>
        <w:spacing w:line="280" w:lineRule="exact"/>
        <w:jc w:val="both"/>
        <w:rPr>
          <w:color w:val="000000" w:themeColor="text1"/>
          <w:lang w:val="es-ES"/>
        </w:rPr>
      </w:pPr>
      <w:r w:rsidRPr="00896C5A">
        <w:rPr>
          <w:color w:val="000000" w:themeColor="text1"/>
          <w:lang w:val="es-ES"/>
        </w:rPr>
        <w:t xml:space="preserve">El 3 de mayo de 2021 el Directorio aprobó un Protocolo de Investigaciones a fin de prever el tratamiento de las denuncias recibidas por la Línea y establecer las responsabilidades y protecciones que le corresponden a cada una de las personas involucradas en tal procedimiento.   </w:t>
      </w:r>
    </w:p>
    <w:p w14:paraId="3910F399" w14:textId="77777777" w:rsidR="00051507" w:rsidRPr="007425A2" w:rsidRDefault="00051507" w:rsidP="00051507">
      <w:pPr>
        <w:spacing w:line="280" w:lineRule="exact"/>
        <w:jc w:val="both"/>
        <w:rPr>
          <w:color w:val="000000" w:themeColor="text1"/>
          <w:lang w:val="es-ES"/>
        </w:rPr>
      </w:pPr>
      <w:r w:rsidRPr="00896C5A">
        <w:rPr>
          <w:color w:val="000000" w:themeColor="text1"/>
          <w:lang w:val="es-ES"/>
        </w:rPr>
        <w:t xml:space="preserve">Asimismo, la Compañía desarrolla un Plan de Capacitación permanente, integrado por cursos presenciales y virtuales para todos los empleados, directores y accionistas, incluyendo la implementación de pastillas comunicacionales sobre temáticas específicas en las diferentes cuestiones que hacen a esta materia como, por ejemplo, durante el presente ejercicio, el relacionamiento con funcionarios públicos y las alertas </w:t>
      </w:r>
      <w:proofErr w:type="gramStart"/>
      <w:r w:rsidRPr="00896C5A">
        <w:rPr>
          <w:color w:val="000000" w:themeColor="text1"/>
          <w:lang w:val="es-ES"/>
        </w:rPr>
        <w:t>a</w:t>
      </w:r>
      <w:proofErr w:type="gramEnd"/>
      <w:r w:rsidRPr="00896C5A">
        <w:rPr>
          <w:color w:val="000000" w:themeColor="text1"/>
          <w:lang w:val="es-ES"/>
        </w:rPr>
        <w:t xml:space="preserve"> tener en cuenta en el proceso de compras y </w:t>
      </w:r>
      <w:r w:rsidRPr="007425A2">
        <w:rPr>
          <w:color w:val="000000" w:themeColor="text1"/>
          <w:lang w:val="es-ES"/>
        </w:rPr>
        <w:t xml:space="preserve">contrataciones. </w:t>
      </w:r>
      <w:bookmarkEnd w:id="9"/>
    </w:p>
    <w:p w14:paraId="5A5DF817" w14:textId="77777777" w:rsidR="00051507" w:rsidRPr="007425A2" w:rsidRDefault="00051507" w:rsidP="00051507">
      <w:pPr>
        <w:pStyle w:val="Prrafodelista"/>
        <w:numPr>
          <w:ilvl w:val="1"/>
          <w:numId w:val="2"/>
        </w:numPr>
        <w:spacing w:after="100" w:afterAutospacing="1" w:line="240" w:lineRule="exact"/>
        <w:contextualSpacing/>
        <w:jc w:val="both"/>
        <w:rPr>
          <w:rFonts w:ascii="Times New Roman" w:hAnsi="Times New Roman"/>
          <w:b/>
          <w:u w:val="single"/>
        </w:rPr>
      </w:pPr>
      <w:r w:rsidRPr="007425A2">
        <w:rPr>
          <w:rFonts w:ascii="Times New Roman" w:hAnsi="Times New Roman"/>
          <w:b/>
          <w:u w:val="single"/>
        </w:rPr>
        <w:t xml:space="preserve">Situación Financiera  </w:t>
      </w:r>
    </w:p>
    <w:p w14:paraId="62037D72" w14:textId="77777777" w:rsidR="00051507" w:rsidRPr="007425A2" w:rsidRDefault="00051507" w:rsidP="00051507">
      <w:pPr>
        <w:pStyle w:val="Prrafodelista"/>
        <w:ind w:left="0"/>
        <w:jc w:val="both"/>
        <w:rPr>
          <w:rFonts w:ascii="Times New Roman" w:hAnsi="Times New Roman"/>
          <w:lang w:val="es-ES"/>
        </w:rPr>
      </w:pPr>
      <w:bookmarkStart w:id="12" w:name="_Hlk1641817"/>
    </w:p>
    <w:p w14:paraId="3AF05841" w14:textId="77777777" w:rsidR="00051507" w:rsidRDefault="00051507" w:rsidP="00051507">
      <w:pPr>
        <w:pStyle w:val="Prrafodelista"/>
        <w:ind w:left="0"/>
        <w:jc w:val="both"/>
        <w:rPr>
          <w:rFonts w:ascii="Times New Roman" w:hAnsi="Times New Roman"/>
          <w:lang w:val="es-ES"/>
        </w:rPr>
      </w:pPr>
      <w:r w:rsidRPr="007425A2">
        <w:rPr>
          <w:rFonts w:ascii="Times New Roman" w:hAnsi="Times New Roman"/>
          <w:lang w:val="es-ES"/>
        </w:rPr>
        <w:t>La deuda bancaria y financiera de la Sociedad al 31 de diciembre del 202</w:t>
      </w:r>
      <w:r>
        <w:rPr>
          <w:rFonts w:ascii="Times New Roman" w:hAnsi="Times New Roman"/>
          <w:lang w:val="es-ES"/>
        </w:rPr>
        <w:t>1</w:t>
      </w:r>
      <w:r w:rsidRPr="007425A2">
        <w:rPr>
          <w:rFonts w:ascii="Times New Roman" w:hAnsi="Times New Roman"/>
          <w:lang w:val="es-ES"/>
        </w:rPr>
        <w:t xml:space="preserve"> se encontraba estructurada de la siguiente forma:</w:t>
      </w:r>
    </w:p>
    <w:p w14:paraId="31768749" w14:textId="77777777" w:rsidR="00051507" w:rsidRPr="007425A2" w:rsidRDefault="00051507" w:rsidP="00051507">
      <w:pPr>
        <w:pStyle w:val="Prrafodelista"/>
        <w:ind w:left="0"/>
        <w:jc w:val="both"/>
        <w:rPr>
          <w:rFonts w:ascii="Times New Roman" w:hAnsi="Times New Roman"/>
          <w:lang w:val="es-ES"/>
        </w:rPr>
      </w:pPr>
      <w:r w:rsidRPr="00C21CE0">
        <w:rPr>
          <w:noProof/>
        </w:rPr>
        <w:t xml:space="preserve"> </w:t>
      </w:r>
      <w:r>
        <w:rPr>
          <w:noProof/>
        </w:rPr>
        <w:drawing>
          <wp:inline distT="0" distB="0" distL="0" distR="0" wp14:anchorId="7B39F11B" wp14:editId="78E389CC">
            <wp:extent cx="3889814" cy="2310560"/>
            <wp:effectExtent l="0" t="0" r="0" b="0"/>
            <wp:docPr id="37" name="Imagen 3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Tabla&#10;&#10;Descripción generada automáticamente"/>
                    <pic:cNvPicPr/>
                  </pic:nvPicPr>
                  <pic:blipFill>
                    <a:blip r:embed="rId35"/>
                    <a:stretch>
                      <a:fillRect/>
                    </a:stretch>
                  </pic:blipFill>
                  <pic:spPr>
                    <a:xfrm>
                      <a:off x="0" y="0"/>
                      <a:ext cx="3903162" cy="2318488"/>
                    </a:xfrm>
                    <a:prstGeom prst="rect">
                      <a:avLst/>
                    </a:prstGeom>
                  </pic:spPr>
                </pic:pic>
              </a:graphicData>
            </a:graphic>
          </wp:inline>
        </w:drawing>
      </w:r>
    </w:p>
    <w:p w14:paraId="2B30D4E9" w14:textId="77777777" w:rsidR="00051507" w:rsidRPr="00896C5A" w:rsidRDefault="00051507" w:rsidP="00051507">
      <w:pPr>
        <w:pStyle w:val="Prrafodelista"/>
        <w:ind w:left="0"/>
        <w:jc w:val="both"/>
        <w:rPr>
          <w:rFonts w:ascii="Times New Roman" w:hAnsi="Times New Roman"/>
          <w:highlight w:val="yellow"/>
          <w:lang w:val="es-ES"/>
        </w:rPr>
      </w:pPr>
    </w:p>
    <w:p w14:paraId="0B64BCE0" w14:textId="77777777" w:rsidR="00051507" w:rsidRPr="00A54C9D" w:rsidRDefault="00051507" w:rsidP="00051507">
      <w:pPr>
        <w:pStyle w:val="Prrafodelista"/>
        <w:numPr>
          <w:ilvl w:val="0"/>
          <w:numId w:val="7"/>
        </w:numPr>
        <w:ind w:left="284" w:hanging="284"/>
        <w:contextualSpacing/>
        <w:jc w:val="both"/>
        <w:rPr>
          <w:rFonts w:ascii="Times New Roman" w:hAnsi="Times New Roman"/>
          <w:b/>
          <w:lang w:val="es-ES"/>
        </w:rPr>
      </w:pPr>
      <w:bookmarkStart w:id="13" w:name="_Hlk506977830"/>
      <w:bookmarkEnd w:id="12"/>
      <w:r w:rsidRPr="00A54C9D">
        <w:rPr>
          <w:rFonts w:ascii="Times New Roman" w:hAnsi="Times New Roman"/>
          <w:b/>
          <w:lang w:val="es-ES"/>
        </w:rPr>
        <w:t xml:space="preserve">Breve comentario sobre las actividades de la emisora, incluyendo referencias a situaciones relevantes posteriores al cierre del ejercicio </w:t>
      </w:r>
      <w:r w:rsidRPr="00A54C9D">
        <w:rPr>
          <w:rFonts w:ascii="Times New Roman" w:hAnsi="Times New Roman"/>
          <w:bCs/>
          <w:lang w:val="es-ES"/>
        </w:rPr>
        <w:t>(en miles de pesos)</w:t>
      </w:r>
    </w:p>
    <w:p w14:paraId="32AE82C4" w14:textId="77777777" w:rsidR="00051507" w:rsidRPr="00EE4AFB" w:rsidRDefault="00051507" w:rsidP="00051507">
      <w:pPr>
        <w:spacing w:line="280" w:lineRule="exact"/>
        <w:jc w:val="both"/>
        <w:rPr>
          <w:color w:val="000000" w:themeColor="text1"/>
          <w:lang w:val="es-ES"/>
        </w:rPr>
      </w:pPr>
      <w:r w:rsidRPr="00043E47">
        <w:rPr>
          <w:color w:val="000000" w:themeColor="text1"/>
          <w:lang w:val="es-ES"/>
        </w:rPr>
        <w:t xml:space="preserve">De conformidad con lo dispuesto por la Resolución General </w:t>
      </w:r>
      <w:proofErr w:type="spellStart"/>
      <w:r w:rsidRPr="00043E47">
        <w:rPr>
          <w:color w:val="000000" w:themeColor="text1"/>
          <w:lang w:val="es-ES"/>
        </w:rPr>
        <w:t>Nº</w:t>
      </w:r>
      <w:proofErr w:type="spellEnd"/>
      <w:r w:rsidRPr="00043E47">
        <w:rPr>
          <w:color w:val="000000" w:themeColor="text1"/>
          <w:lang w:val="es-ES"/>
        </w:rPr>
        <w:t xml:space="preserve"> 368/01 y sus modificaciones de la CNV, se expone a continuación un análisis de los resultados de las operaciones de CTR y de su situación patrimonial y financiera, que debe ser leído junto con los estados financieros que se acompañan.</w:t>
      </w:r>
    </w:p>
    <w:tbl>
      <w:tblPr>
        <w:tblW w:w="7860" w:type="dxa"/>
        <w:tblCellMar>
          <w:left w:w="70" w:type="dxa"/>
          <w:right w:w="70" w:type="dxa"/>
        </w:tblCellMar>
        <w:tblLook w:val="04A0" w:firstRow="1" w:lastRow="0" w:firstColumn="1" w:lastColumn="0" w:noHBand="0" w:noVBand="1"/>
      </w:tblPr>
      <w:tblGrid>
        <w:gridCol w:w="3260"/>
        <w:gridCol w:w="1321"/>
        <w:gridCol w:w="1321"/>
        <w:gridCol w:w="185"/>
        <w:gridCol w:w="826"/>
        <w:gridCol w:w="1014"/>
      </w:tblGrid>
      <w:tr w:rsidR="00051507" w:rsidRPr="00640AB7" w14:paraId="646379D0" w14:textId="77777777" w:rsidTr="00DF5625">
        <w:trPr>
          <w:trHeight w:val="525"/>
        </w:trPr>
        <w:tc>
          <w:tcPr>
            <w:tcW w:w="3260" w:type="dxa"/>
            <w:tcBorders>
              <w:top w:val="nil"/>
              <w:left w:val="nil"/>
              <w:bottom w:val="nil"/>
              <w:right w:val="nil"/>
            </w:tcBorders>
            <w:shd w:val="clear" w:color="auto" w:fill="auto"/>
            <w:noWrap/>
            <w:vAlign w:val="bottom"/>
            <w:hideMark/>
          </w:tcPr>
          <w:p w14:paraId="6BDB652E" w14:textId="77777777" w:rsidR="00051507" w:rsidRPr="00640AB7" w:rsidRDefault="00051507" w:rsidP="00DF5625">
            <w:pPr>
              <w:rPr>
                <w:sz w:val="24"/>
                <w:szCs w:val="24"/>
              </w:rPr>
            </w:pPr>
          </w:p>
        </w:tc>
        <w:tc>
          <w:tcPr>
            <w:tcW w:w="4600" w:type="dxa"/>
            <w:gridSpan w:val="5"/>
            <w:tcBorders>
              <w:top w:val="nil"/>
              <w:left w:val="nil"/>
              <w:bottom w:val="nil"/>
              <w:right w:val="nil"/>
            </w:tcBorders>
            <w:shd w:val="clear" w:color="auto" w:fill="auto"/>
            <w:vAlign w:val="center"/>
            <w:hideMark/>
          </w:tcPr>
          <w:p w14:paraId="5AC57698" w14:textId="77777777" w:rsidR="00051507" w:rsidRPr="00640AB7" w:rsidRDefault="00051507" w:rsidP="00DF5625">
            <w:pPr>
              <w:jc w:val="center"/>
              <w:rPr>
                <w:b/>
                <w:bCs/>
                <w:sz w:val="18"/>
                <w:szCs w:val="18"/>
              </w:rPr>
            </w:pPr>
            <w:r w:rsidRPr="00640AB7">
              <w:rPr>
                <w:b/>
                <w:bCs/>
                <w:sz w:val="18"/>
                <w:szCs w:val="18"/>
              </w:rPr>
              <w:t xml:space="preserve"> Ejercicio finalizado el 31 de diciembre de: </w:t>
            </w:r>
          </w:p>
        </w:tc>
      </w:tr>
      <w:tr w:rsidR="00051507" w:rsidRPr="00640AB7" w14:paraId="3285F205" w14:textId="77777777" w:rsidTr="00DF5625">
        <w:trPr>
          <w:trHeight w:val="260"/>
        </w:trPr>
        <w:tc>
          <w:tcPr>
            <w:tcW w:w="3260" w:type="dxa"/>
            <w:tcBorders>
              <w:top w:val="nil"/>
              <w:left w:val="nil"/>
              <w:bottom w:val="nil"/>
              <w:right w:val="nil"/>
            </w:tcBorders>
            <w:shd w:val="clear" w:color="auto" w:fill="auto"/>
            <w:noWrap/>
            <w:vAlign w:val="bottom"/>
            <w:hideMark/>
          </w:tcPr>
          <w:p w14:paraId="5744FD2C" w14:textId="77777777" w:rsidR="00051507" w:rsidRPr="00640AB7" w:rsidRDefault="00051507" w:rsidP="00DF5625">
            <w:pPr>
              <w:jc w:val="center"/>
              <w:rPr>
                <w:b/>
                <w:bCs/>
                <w:sz w:val="18"/>
                <w:szCs w:val="18"/>
              </w:rPr>
            </w:pP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16E4F" w14:textId="77777777" w:rsidR="00051507" w:rsidRPr="00640AB7" w:rsidRDefault="00051507" w:rsidP="00DF5625">
            <w:pPr>
              <w:jc w:val="center"/>
              <w:rPr>
                <w:b/>
                <w:bCs/>
                <w:sz w:val="18"/>
                <w:szCs w:val="18"/>
              </w:rPr>
            </w:pPr>
            <w:r w:rsidRPr="00640AB7">
              <w:rPr>
                <w:b/>
                <w:bCs/>
                <w:sz w:val="18"/>
                <w:szCs w:val="18"/>
              </w:rPr>
              <w:t>2021</w:t>
            </w:r>
          </w:p>
        </w:tc>
        <w:tc>
          <w:tcPr>
            <w:tcW w:w="1321" w:type="dxa"/>
            <w:tcBorders>
              <w:top w:val="single" w:sz="4" w:space="0" w:color="auto"/>
              <w:left w:val="nil"/>
              <w:bottom w:val="single" w:sz="4" w:space="0" w:color="auto"/>
              <w:right w:val="single" w:sz="4" w:space="0" w:color="auto"/>
            </w:tcBorders>
            <w:shd w:val="clear" w:color="auto" w:fill="auto"/>
            <w:noWrap/>
            <w:vAlign w:val="center"/>
            <w:hideMark/>
          </w:tcPr>
          <w:p w14:paraId="0DE180B4" w14:textId="77777777" w:rsidR="00051507" w:rsidRPr="00640AB7" w:rsidRDefault="00051507" w:rsidP="00DF5625">
            <w:pPr>
              <w:jc w:val="center"/>
              <w:rPr>
                <w:b/>
                <w:bCs/>
                <w:sz w:val="18"/>
                <w:szCs w:val="18"/>
              </w:rPr>
            </w:pPr>
            <w:r w:rsidRPr="00640AB7">
              <w:rPr>
                <w:b/>
                <w:bCs/>
                <w:sz w:val="18"/>
                <w:szCs w:val="18"/>
              </w:rPr>
              <w:t>2020</w:t>
            </w:r>
          </w:p>
        </w:tc>
        <w:tc>
          <w:tcPr>
            <w:tcW w:w="118" w:type="dxa"/>
            <w:tcBorders>
              <w:top w:val="nil"/>
              <w:left w:val="nil"/>
              <w:bottom w:val="nil"/>
              <w:right w:val="nil"/>
            </w:tcBorders>
            <w:shd w:val="clear" w:color="000000" w:fill="FFFFFF"/>
            <w:noWrap/>
            <w:vAlign w:val="center"/>
            <w:hideMark/>
          </w:tcPr>
          <w:p w14:paraId="1F132F1E" w14:textId="77777777" w:rsidR="00051507" w:rsidRPr="00640AB7" w:rsidRDefault="00051507" w:rsidP="00DF5625">
            <w:pPr>
              <w:jc w:val="right"/>
              <w:rPr>
                <w:b/>
                <w:bCs/>
                <w:sz w:val="18"/>
                <w:szCs w:val="18"/>
              </w:rPr>
            </w:pPr>
            <w:r w:rsidRPr="00640AB7">
              <w:rPr>
                <w:b/>
                <w:bCs/>
                <w:sz w:val="18"/>
                <w:szCs w:val="18"/>
              </w:rPr>
              <w:t> </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34E71" w14:textId="77777777" w:rsidR="00051507" w:rsidRPr="00640AB7" w:rsidRDefault="00051507" w:rsidP="00DF5625">
            <w:pPr>
              <w:jc w:val="center"/>
              <w:rPr>
                <w:b/>
                <w:bCs/>
                <w:sz w:val="18"/>
                <w:szCs w:val="18"/>
              </w:rPr>
            </w:pPr>
            <w:r w:rsidRPr="00640AB7">
              <w:rPr>
                <w:b/>
                <w:bCs/>
                <w:sz w:val="18"/>
                <w:szCs w:val="18"/>
              </w:rPr>
              <w:t xml:space="preserve"> Var. </w:t>
            </w:r>
          </w:p>
        </w:tc>
        <w:tc>
          <w:tcPr>
            <w:tcW w:w="1014" w:type="dxa"/>
            <w:tcBorders>
              <w:top w:val="single" w:sz="4" w:space="0" w:color="auto"/>
              <w:left w:val="nil"/>
              <w:bottom w:val="single" w:sz="4" w:space="0" w:color="auto"/>
              <w:right w:val="single" w:sz="4" w:space="0" w:color="auto"/>
            </w:tcBorders>
            <w:shd w:val="clear" w:color="auto" w:fill="auto"/>
            <w:noWrap/>
            <w:vAlign w:val="center"/>
            <w:hideMark/>
          </w:tcPr>
          <w:p w14:paraId="1FE515E7" w14:textId="77777777" w:rsidR="00051507" w:rsidRPr="00640AB7" w:rsidRDefault="00051507" w:rsidP="00DF5625">
            <w:pPr>
              <w:jc w:val="center"/>
              <w:rPr>
                <w:b/>
                <w:bCs/>
                <w:sz w:val="18"/>
                <w:szCs w:val="18"/>
              </w:rPr>
            </w:pPr>
            <w:r w:rsidRPr="00640AB7">
              <w:rPr>
                <w:b/>
                <w:bCs/>
                <w:sz w:val="18"/>
                <w:szCs w:val="18"/>
              </w:rPr>
              <w:t xml:space="preserve"> Var. % </w:t>
            </w:r>
          </w:p>
        </w:tc>
      </w:tr>
      <w:tr w:rsidR="00051507" w:rsidRPr="00640AB7" w14:paraId="72F0C313" w14:textId="77777777" w:rsidTr="00DF5625">
        <w:trPr>
          <w:trHeight w:val="285"/>
        </w:trPr>
        <w:tc>
          <w:tcPr>
            <w:tcW w:w="3260" w:type="dxa"/>
            <w:tcBorders>
              <w:top w:val="nil"/>
              <w:left w:val="nil"/>
              <w:bottom w:val="nil"/>
              <w:right w:val="nil"/>
            </w:tcBorders>
            <w:shd w:val="clear" w:color="auto" w:fill="auto"/>
            <w:noWrap/>
            <w:vAlign w:val="bottom"/>
            <w:hideMark/>
          </w:tcPr>
          <w:p w14:paraId="57A27F02" w14:textId="77777777" w:rsidR="00051507" w:rsidRPr="00640AB7" w:rsidRDefault="00051507" w:rsidP="00DF5625">
            <w:pPr>
              <w:jc w:val="center"/>
              <w:rPr>
                <w:b/>
                <w:bCs/>
                <w:sz w:val="18"/>
                <w:szCs w:val="18"/>
              </w:rPr>
            </w:pPr>
          </w:p>
        </w:tc>
        <w:tc>
          <w:tcPr>
            <w:tcW w:w="2642" w:type="dxa"/>
            <w:gridSpan w:val="2"/>
            <w:tcBorders>
              <w:top w:val="nil"/>
              <w:left w:val="nil"/>
              <w:bottom w:val="nil"/>
              <w:right w:val="nil"/>
            </w:tcBorders>
            <w:shd w:val="clear" w:color="auto" w:fill="auto"/>
            <w:noWrap/>
            <w:vAlign w:val="center"/>
            <w:hideMark/>
          </w:tcPr>
          <w:p w14:paraId="0FEF5DB9" w14:textId="77777777" w:rsidR="00051507" w:rsidRPr="00640AB7" w:rsidRDefault="00051507" w:rsidP="00DF5625">
            <w:pPr>
              <w:jc w:val="center"/>
              <w:rPr>
                <w:sz w:val="18"/>
                <w:szCs w:val="18"/>
              </w:rPr>
            </w:pPr>
            <w:r w:rsidRPr="00640AB7">
              <w:rPr>
                <w:sz w:val="18"/>
                <w:szCs w:val="18"/>
              </w:rPr>
              <w:t xml:space="preserve"> </w:t>
            </w:r>
            <w:proofErr w:type="spellStart"/>
            <w:r w:rsidRPr="00640AB7">
              <w:rPr>
                <w:sz w:val="18"/>
                <w:szCs w:val="18"/>
              </w:rPr>
              <w:t>MWh</w:t>
            </w:r>
            <w:proofErr w:type="spellEnd"/>
            <w:r w:rsidRPr="00640AB7">
              <w:rPr>
                <w:sz w:val="18"/>
                <w:szCs w:val="18"/>
              </w:rPr>
              <w:t xml:space="preserve"> </w:t>
            </w:r>
          </w:p>
        </w:tc>
        <w:tc>
          <w:tcPr>
            <w:tcW w:w="118" w:type="dxa"/>
            <w:tcBorders>
              <w:top w:val="nil"/>
              <w:left w:val="nil"/>
              <w:bottom w:val="nil"/>
              <w:right w:val="nil"/>
            </w:tcBorders>
            <w:shd w:val="clear" w:color="auto" w:fill="auto"/>
            <w:noWrap/>
            <w:vAlign w:val="bottom"/>
            <w:hideMark/>
          </w:tcPr>
          <w:p w14:paraId="6CEB4E8E" w14:textId="77777777" w:rsidR="00051507" w:rsidRPr="00640AB7" w:rsidRDefault="00051507" w:rsidP="00DF5625">
            <w:pPr>
              <w:jc w:val="center"/>
              <w:rPr>
                <w:sz w:val="18"/>
                <w:szCs w:val="18"/>
              </w:rPr>
            </w:pPr>
          </w:p>
        </w:tc>
        <w:tc>
          <w:tcPr>
            <w:tcW w:w="826" w:type="dxa"/>
            <w:tcBorders>
              <w:top w:val="nil"/>
              <w:left w:val="nil"/>
              <w:bottom w:val="nil"/>
              <w:right w:val="nil"/>
            </w:tcBorders>
            <w:shd w:val="clear" w:color="auto" w:fill="auto"/>
            <w:noWrap/>
            <w:vAlign w:val="bottom"/>
            <w:hideMark/>
          </w:tcPr>
          <w:p w14:paraId="1A31A150" w14:textId="77777777" w:rsidR="00051507" w:rsidRPr="00640AB7" w:rsidRDefault="00051507" w:rsidP="00DF5625"/>
        </w:tc>
        <w:tc>
          <w:tcPr>
            <w:tcW w:w="1014" w:type="dxa"/>
            <w:tcBorders>
              <w:top w:val="nil"/>
              <w:left w:val="nil"/>
              <w:bottom w:val="nil"/>
              <w:right w:val="nil"/>
            </w:tcBorders>
            <w:shd w:val="clear" w:color="auto" w:fill="auto"/>
            <w:noWrap/>
            <w:vAlign w:val="bottom"/>
            <w:hideMark/>
          </w:tcPr>
          <w:p w14:paraId="7D063A1F" w14:textId="77777777" w:rsidR="00051507" w:rsidRPr="00640AB7" w:rsidRDefault="00051507" w:rsidP="00DF5625"/>
        </w:tc>
      </w:tr>
      <w:tr w:rsidR="00051507" w:rsidRPr="00640AB7" w14:paraId="0BDA6978" w14:textId="77777777" w:rsidTr="00DF5625">
        <w:trPr>
          <w:trHeight w:val="260"/>
        </w:trPr>
        <w:tc>
          <w:tcPr>
            <w:tcW w:w="3260" w:type="dxa"/>
            <w:tcBorders>
              <w:top w:val="nil"/>
              <w:left w:val="nil"/>
              <w:bottom w:val="nil"/>
              <w:right w:val="nil"/>
            </w:tcBorders>
            <w:shd w:val="clear" w:color="auto" w:fill="auto"/>
            <w:noWrap/>
            <w:vAlign w:val="center"/>
            <w:hideMark/>
          </w:tcPr>
          <w:p w14:paraId="1978AE02" w14:textId="77777777" w:rsidR="00051507" w:rsidRPr="00640AB7" w:rsidRDefault="00051507" w:rsidP="00DF5625">
            <w:pPr>
              <w:rPr>
                <w:b/>
                <w:bCs/>
                <w:sz w:val="18"/>
                <w:szCs w:val="18"/>
              </w:rPr>
            </w:pPr>
            <w:r w:rsidRPr="00640AB7">
              <w:rPr>
                <w:b/>
                <w:bCs/>
                <w:sz w:val="18"/>
                <w:szCs w:val="18"/>
              </w:rPr>
              <w:t xml:space="preserve"> Ventas por tipo de mercado </w:t>
            </w:r>
          </w:p>
        </w:tc>
        <w:tc>
          <w:tcPr>
            <w:tcW w:w="1321" w:type="dxa"/>
            <w:tcBorders>
              <w:top w:val="nil"/>
              <w:left w:val="nil"/>
              <w:bottom w:val="nil"/>
              <w:right w:val="nil"/>
            </w:tcBorders>
            <w:shd w:val="clear" w:color="000000" w:fill="FFFFFF"/>
            <w:noWrap/>
            <w:vAlign w:val="bottom"/>
            <w:hideMark/>
          </w:tcPr>
          <w:p w14:paraId="45B8512D" w14:textId="77777777" w:rsidR="00051507" w:rsidRPr="00640AB7" w:rsidRDefault="00051507" w:rsidP="00DF5625">
            <w:pPr>
              <w:rPr>
                <w:sz w:val="18"/>
                <w:szCs w:val="18"/>
              </w:rPr>
            </w:pPr>
            <w:r w:rsidRPr="00640AB7">
              <w:rPr>
                <w:sz w:val="18"/>
                <w:szCs w:val="18"/>
              </w:rPr>
              <w:t> </w:t>
            </w:r>
          </w:p>
        </w:tc>
        <w:tc>
          <w:tcPr>
            <w:tcW w:w="1321" w:type="dxa"/>
            <w:tcBorders>
              <w:top w:val="nil"/>
              <w:left w:val="nil"/>
              <w:bottom w:val="nil"/>
              <w:right w:val="nil"/>
            </w:tcBorders>
            <w:shd w:val="clear" w:color="auto" w:fill="auto"/>
            <w:noWrap/>
            <w:vAlign w:val="bottom"/>
            <w:hideMark/>
          </w:tcPr>
          <w:p w14:paraId="4B0F0C01" w14:textId="77777777" w:rsidR="00051507" w:rsidRPr="00640AB7" w:rsidRDefault="00051507" w:rsidP="00DF5625">
            <w:pPr>
              <w:rPr>
                <w:sz w:val="18"/>
                <w:szCs w:val="18"/>
              </w:rPr>
            </w:pPr>
          </w:p>
        </w:tc>
        <w:tc>
          <w:tcPr>
            <w:tcW w:w="118" w:type="dxa"/>
            <w:tcBorders>
              <w:top w:val="nil"/>
              <w:left w:val="nil"/>
              <w:bottom w:val="nil"/>
              <w:right w:val="nil"/>
            </w:tcBorders>
            <w:shd w:val="clear" w:color="auto" w:fill="auto"/>
            <w:noWrap/>
            <w:vAlign w:val="bottom"/>
            <w:hideMark/>
          </w:tcPr>
          <w:p w14:paraId="1B4C6858" w14:textId="77777777" w:rsidR="00051507" w:rsidRPr="00640AB7" w:rsidRDefault="00051507" w:rsidP="00DF5625"/>
        </w:tc>
        <w:tc>
          <w:tcPr>
            <w:tcW w:w="826" w:type="dxa"/>
            <w:tcBorders>
              <w:top w:val="nil"/>
              <w:left w:val="nil"/>
              <w:bottom w:val="nil"/>
              <w:right w:val="nil"/>
            </w:tcBorders>
            <w:shd w:val="clear" w:color="auto" w:fill="auto"/>
            <w:noWrap/>
            <w:vAlign w:val="bottom"/>
            <w:hideMark/>
          </w:tcPr>
          <w:p w14:paraId="5D4BB39C" w14:textId="77777777" w:rsidR="00051507" w:rsidRPr="00640AB7" w:rsidRDefault="00051507" w:rsidP="00DF5625"/>
        </w:tc>
        <w:tc>
          <w:tcPr>
            <w:tcW w:w="1014" w:type="dxa"/>
            <w:tcBorders>
              <w:top w:val="nil"/>
              <w:left w:val="nil"/>
              <w:bottom w:val="nil"/>
              <w:right w:val="nil"/>
            </w:tcBorders>
            <w:shd w:val="clear" w:color="auto" w:fill="auto"/>
            <w:noWrap/>
            <w:vAlign w:val="bottom"/>
            <w:hideMark/>
          </w:tcPr>
          <w:p w14:paraId="3C3657FD" w14:textId="77777777" w:rsidR="00051507" w:rsidRPr="00640AB7" w:rsidRDefault="00051507" w:rsidP="00DF5625"/>
        </w:tc>
      </w:tr>
      <w:tr w:rsidR="00051507" w:rsidRPr="00640AB7" w14:paraId="43D8CB29" w14:textId="77777777" w:rsidTr="00DF5625">
        <w:trPr>
          <w:trHeight w:val="260"/>
        </w:trPr>
        <w:tc>
          <w:tcPr>
            <w:tcW w:w="3260" w:type="dxa"/>
            <w:tcBorders>
              <w:top w:val="nil"/>
              <w:left w:val="nil"/>
              <w:bottom w:val="nil"/>
              <w:right w:val="nil"/>
            </w:tcBorders>
            <w:shd w:val="clear" w:color="auto" w:fill="auto"/>
            <w:noWrap/>
            <w:vAlign w:val="center"/>
            <w:hideMark/>
          </w:tcPr>
          <w:p w14:paraId="550CCAED" w14:textId="77777777" w:rsidR="00051507" w:rsidRPr="00640AB7" w:rsidRDefault="00051507" w:rsidP="00DF5625">
            <w:pPr>
              <w:rPr>
                <w:sz w:val="18"/>
                <w:szCs w:val="18"/>
              </w:rPr>
            </w:pPr>
            <w:r w:rsidRPr="00640AB7">
              <w:rPr>
                <w:sz w:val="18"/>
                <w:szCs w:val="18"/>
              </w:rPr>
              <w:t xml:space="preserve"> Venta de Energía Res. 220 </w:t>
            </w:r>
          </w:p>
        </w:tc>
        <w:tc>
          <w:tcPr>
            <w:tcW w:w="1321" w:type="dxa"/>
            <w:tcBorders>
              <w:top w:val="nil"/>
              <w:left w:val="nil"/>
              <w:bottom w:val="nil"/>
              <w:right w:val="nil"/>
            </w:tcBorders>
            <w:shd w:val="clear" w:color="000000" w:fill="FFFFFF"/>
            <w:noWrap/>
            <w:vAlign w:val="center"/>
            <w:hideMark/>
          </w:tcPr>
          <w:p w14:paraId="66D1D7FD" w14:textId="77777777" w:rsidR="00051507" w:rsidRPr="00640AB7" w:rsidRDefault="00051507" w:rsidP="00DF5625">
            <w:pPr>
              <w:jc w:val="right"/>
              <w:rPr>
                <w:sz w:val="18"/>
                <w:szCs w:val="18"/>
              </w:rPr>
            </w:pPr>
            <w:r w:rsidRPr="00640AB7">
              <w:rPr>
                <w:sz w:val="18"/>
                <w:szCs w:val="18"/>
              </w:rPr>
              <w:t xml:space="preserve">  1.147.631 </w:t>
            </w:r>
          </w:p>
        </w:tc>
        <w:tc>
          <w:tcPr>
            <w:tcW w:w="1321" w:type="dxa"/>
            <w:tcBorders>
              <w:top w:val="nil"/>
              <w:left w:val="nil"/>
              <w:bottom w:val="nil"/>
              <w:right w:val="nil"/>
            </w:tcBorders>
            <w:shd w:val="clear" w:color="000000" w:fill="FFFFFF"/>
            <w:noWrap/>
            <w:vAlign w:val="center"/>
            <w:hideMark/>
          </w:tcPr>
          <w:p w14:paraId="1B57E259" w14:textId="77777777" w:rsidR="00051507" w:rsidRPr="00640AB7" w:rsidRDefault="00051507" w:rsidP="00DF5625">
            <w:pPr>
              <w:jc w:val="right"/>
              <w:rPr>
                <w:sz w:val="18"/>
                <w:szCs w:val="18"/>
              </w:rPr>
            </w:pPr>
            <w:r w:rsidRPr="00640AB7">
              <w:rPr>
                <w:sz w:val="18"/>
                <w:szCs w:val="18"/>
              </w:rPr>
              <w:t xml:space="preserve">  1.143.947 </w:t>
            </w:r>
          </w:p>
        </w:tc>
        <w:tc>
          <w:tcPr>
            <w:tcW w:w="118" w:type="dxa"/>
            <w:tcBorders>
              <w:top w:val="nil"/>
              <w:left w:val="nil"/>
              <w:bottom w:val="nil"/>
              <w:right w:val="nil"/>
            </w:tcBorders>
            <w:shd w:val="clear" w:color="000000" w:fill="FFFFFF"/>
            <w:noWrap/>
            <w:vAlign w:val="center"/>
            <w:hideMark/>
          </w:tcPr>
          <w:p w14:paraId="15933738" w14:textId="77777777" w:rsidR="00051507" w:rsidRPr="00640AB7" w:rsidRDefault="00051507" w:rsidP="00DF5625">
            <w:pPr>
              <w:jc w:val="right"/>
              <w:rPr>
                <w:sz w:val="18"/>
                <w:szCs w:val="18"/>
              </w:rPr>
            </w:pPr>
            <w:r w:rsidRPr="00640AB7">
              <w:rPr>
                <w:sz w:val="18"/>
                <w:szCs w:val="18"/>
              </w:rPr>
              <w:t> </w:t>
            </w:r>
          </w:p>
        </w:tc>
        <w:tc>
          <w:tcPr>
            <w:tcW w:w="826" w:type="dxa"/>
            <w:tcBorders>
              <w:top w:val="nil"/>
              <w:left w:val="nil"/>
              <w:bottom w:val="nil"/>
              <w:right w:val="nil"/>
            </w:tcBorders>
            <w:shd w:val="clear" w:color="000000" w:fill="FFFFFF"/>
            <w:noWrap/>
            <w:vAlign w:val="center"/>
            <w:hideMark/>
          </w:tcPr>
          <w:p w14:paraId="4BBA0C60" w14:textId="77777777" w:rsidR="00051507" w:rsidRPr="00640AB7" w:rsidRDefault="00051507" w:rsidP="00DF5625">
            <w:pPr>
              <w:jc w:val="right"/>
              <w:rPr>
                <w:sz w:val="18"/>
                <w:szCs w:val="18"/>
              </w:rPr>
            </w:pPr>
            <w:r w:rsidRPr="00640AB7">
              <w:rPr>
                <w:sz w:val="18"/>
                <w:szCs w:val="18"/>
              </w:rPr>
              <w:t xml:space="preserve">  3.684 </w:t>
            </w:r>
          </w:p>
        </w:tc>
        <w:tc>
          <w:tcPr>
            <w:tcW w:w="1014" w:type="dxa"/>
            <w:tcBorders>
              <w:top w:val="nil"/>
              <w:left w:val="nil"/>
              <w:bottom w:val="nil"/>
              <w:right w:val="nil"/>
            </w:tcBorders>
            <w:shd w:val="clear" w:color="000000" w:fill="FFFFFF"/>
            <w:noWrap/>
            <w:vAlign w:val="center"/>
            <w:hideMark/>
          </w:tcPr>
          <w:p w14:paraId="3B799F15" w14:textId="77777777" w:rsidR="00051507" w:rsidRPr="00640AB7" w:rsidRDefault="00051507" w:rsidP="00DF5625">
            <w:pPr>
              <w:jc w:val="right"/>
              <w:rPr>
                <w:sz w:val="18"/>
                <w:szCs w:val="18"/>
              </w:rPr>
            </w:pPr>
            <w:r w:rsidRPr="00640AB7">
              <w:rPr>
                <w:sz w:val="18"/>
                <w:szCs w:val="18"/>
              </w:rPr>
              <w:t>0%</w:t>
            </w:r>
          </w:p>
        </w:tc>
      </w:tr>
      <w:tr w:rsidR="00051507" w:rsidRPr="00640AB7" w14:paraId="4C765BB3" w14:textId="77777777" w:rsidTr="00DF5625">
        <w:trPr>
          <w:trHeight w:val="260"/>
        </w:trPr>
        <w:tc>
          <w:tcPr>
            <w:tcW w:w="3260" w:type="dxa"/>
            <w:tcBorders>
              <w:top w:val="nil"/>
              <w:left w:val="nil"/>
              <w:bottom w:val="nil"/>
              <w:right w:val="nil"/>
            </w:tcBorders>
            <w:shd w:val="clear" w:color="auto" w:fill="auto"/>
            <w:noWrap/>
            <w:vAlign w:val="center"/>
            <w:hideMark/>
          </w:tcPr>
          <w:p w14:paraId="6EF6B843" w14:textId="77777777" w:rsidR="00051507" w:rsidRPr="00640AB7" w:rsidRDefault="00051507" w:rsidP="00DF5625">
            <w:pPr>
              <w:rPr>
                <w:sz w:val="18"/>
                <w:szCs w:val="18"/>
              </w:rPr>
            </w:pPr>
            <w:r w:rsidRPr="00640AB7">
              <w:rPr>
                <w:sz w:val="18"/>
                <w:szCs w:val="18"/>
              </w:rPr>
              <w:t xml:space="preserve"> Venta de Energía Res. 95 mod. más spot </w:t>
            </w:r>
          </w:p>
        </w:tc>
        <w:tc>
          <w:tcPr>
            <w:tcW w:w="1321" w:type="dxa"/>
            <w:tcBorders>
              <w:top w:val="nil"/>
              <w:left w:val="nil"/>
              <w:bottom w:val="nil"/>
              <w:right w:val="nil"/>
            </w:tcBorders>
            <w:shd w:val="clear" w:color="000000" w:fill="FFFFFF"/>
            <w:noWrap/>
            <w:vAlign w:val="center"/>
            <w:hideMark/>
          </w:tcPr>
          <w:p w14:paraId="0A07D06A" w14:textId="77777777" w:rsidR="00051507" w:rsidRPr="00640AB7" w:rsidRDefault="00051507" w:rsidP="00DF5625">
            <w:pPr>
              <w:jc w:val="right"/>
              <w:rPr>
                <w:sz w:val="18"/>
                <w:szCs w:val="18"/>
              </w:rPr>
            </w:pPr>
            <w:r w:rsidRPr="00640AB7">
              <w:rPr>
                <w:sz w:val="18"/>
                <w:szCs w:val="18"/>
              </w:rPr>
              <w:t xml:space="preserve">  3.279 </w:t>
            </w:r>
          </w:p>
        </w:tc>
        <w:tc>
          <w:tcPr>
            <w:tcW w:w="1321" w:type="dxa"/>
            <w:tcBorders>
              <w:top w:val="nil"/>
              <w:left w:val="nil"/>
              <w:bottom w:val="nil"/>
              <w:right w:val="nil"/>
            </w:tcBorders>
            <w:shd w:val="clear" w:color="000000" w:fill="FFFFFF"/>
            <w:noWrap/>
            <w:vAlign w:val="center"/>
            <w:hideMark/>
          </w:tcPr>
          <w:p w14:paraId="68D31F8A" w14:textId="77777777" w:rsidR="00051507" w:rsidRPr="00640AB7" w:rsidRDefault="00051507" w:rsidP="00DF5625">
            <w:pPr>
              <w:jc w:val="right"/>
              <w:rPr>
                <w:sz w:val="18"/>
                <w:szCs w:val="18"/>
              </w:rPr>
            </w:pPr>
            <w:r w:rsidRPr="00640AB7">
              <w:rPr>
                <w:sz w:val="18"/>
                <w:szCs w:val="18"/>
              </w:rPr>
              <w:t xml:space="preserve">  2.772 </w:t>
            </w:r>
          </w:p>
        </w:tc>
        <w:tc>
          <w:tcPr>
            <w:tcW w:w="118" w:type="dxa"/>
            <w:tcBorders>
              <w:top w:val="nil"/>
              <w:left w:val="nil"/>
              <w:bottom w:val="nil"/>
              <w:right w:val="nil"/>
            </w:tcBorders>
            <w:shd w:val="clear" w:color="000000" w:fill="FFFFFF"/>
            <w:noWrap/>
            <w:vAlign w:val="center"/>
            <w:hideMark/>
          </w:tcPr>
          <w:p w14:paraId="066DD158" w14:textId="77777777" w:rsidR="00051507" w:rsidRPr="00640AB7" w:rsidRDefault="00051507" w:rsidP="00DF5625">
            <w:pPr>
              <w:jc w:val="right"/>
              <w:rPr>
                <w:sz w:val="18"/>
                <w:szCs w:val="18"/>
              </w:rPr>
            </w:pPr>
            <w:r w:rsidRPr="00640AB7">
              <w:rPr>
                <w:sz w:val="18"/>
                <w:szCs w:val="18"/>
              </w:rPr>
              <w:t> </w:t>
            </w:r>
          </w:p>
        </w:tc>
        <w:tc>
          <w:tcPr>
            <w:tcW w:w="826" w:type="dxa"/>
            <w:tcBorders>
              <w:top w:val="nil"/>
              <w:left w:val="nil"/>
              <w:bottom w:val="nil"/>
              <w:right w:val="nil"/>
            </w:tcBorders>
            <w:shd w:val="clear" w:color="000000" w:fill="FFFFFF"/>
            <w:noWrap/>
            <w:vAlign w:val="center"/>
            <w:hideMark/>
          </w:tcPr>
          <w:p w14:paraId="3E04D923" w14:textId="77777777" w:rsidR="00051507" w:rsidRPr="00640AB7" w:rsidRDefault="00051507" w:rsidP="00DF5625">
            <w:pPr>
              <w:jc w:val="right"/>
              <w:rPr>
                <w:sz w:val="18"/>
                <w:szCs w:val="18"/>
              </w:rPr>
            </w:pPr>
            <w:r w:rsidRPr="00640AB7">
              <w:rPr>
                <w:sz w:val="18"/>
                <w:szCs w:val="18"/>
              </w:rPr>
              <w:t xml:space="preserve">  507 </w:t>
            </w:r>
          </w:p>
        </w:tc>
        <w:tc>
          <w:tcPr>
            <w:tcW w:w="1014" w:type="dxa"/>
            <w:tcBorders>
              <w:top w:val="nil"/>
              <w:left w:val="nil"/>
              <w:bottom w:val="nil"/>
              <w:right w:val="nil"/>
            </w:tcBorders>
            <w:shd w:val="clear" w:color="000000" w:fill="FFFFFF"/>
            <w:noWrap/>
            <w:vAlign w:val="center"/>
            <w:hideMark/>
          </w:tcPr>
          <w:p w14:paraId="5B0AE815" w14:textId="77777777" w:rsidR="00051507" w:rsidRPr="00640AB7" w:rsidRDefault="00051507" w:rsidP="00DF5625">
            <w:pPr>
              <w:jc w:val="right"/>
              <w:rPr>
                <w:sz w:val="18"/>
                <w:szCs w:val="18"/>
              </w:rPr>
            </w:pPr>
            <w:r w:rsidRPr="00640AB7">
              <w:rPr>
                <w:sz w:val="18"/>
                <w:szCs w:val="18"/>
              </w:rPr>
              <w:t>18%</w:t>
            </w:r>
          </w:p>
        </w:tc>
      </w:tr>
      <w:tr w:rsidR="00051507" w:rsidRPr="00640AB7" w14:paraId="44DB4ADB" w14:textId="77777777" w:rsidTr="00DF5625">
        <w:trPr>
          <w:trHeight w:val="260"/>
        </w:trPr>
        <w:tc>
          <w:tcPr>
            <w:tcW w:w="3260" w:type="dxa"/>
            <w:tcBorders>
              <w:top w:val="nil"/>
              <w:left w:val="nil"/>
              <w:bottom w:val="nil"/>
              <w:right w:val="nil"/>
            </w:tcBorders>
            <w:shd w:val="clear" w:color="auto" w:fill="auto"/>
            <w:noWrap/>
            <w:vAlign w:val="bottom"/>
            <w:hideMark/>
          </w:tcPr>
          <w:p w14:paraId="73A8B558" w14:textId="77777777" w:rsidR="00051507" w:rsidRPr="00640AB7" w:rsidRDefault="00051507" w:rsidP="00DF5625">
            <w:pPr>
              <w:jc w:val="right"/>
              <w:rPr>
                <w:sz w:val="18"/>
                <w:szCs w:val="18"/>
              </w:rPr>
            </w:pPr>
          </w:p>
        </w:tc>
        <w:tc>
          <w:tcPr>
            <w:tcW w:w="1321" w:type="dxa"/>
            <w:tcBorders>
              <w:top w:val="single" w:sz="4" w:space="0" w:color="auto"/>
              <w:left w:val="nil"/>
              <w:bottom w:val="nil"/>
              <w:right w:val="nil"/>
            </w:tcBorders>
            <w:shd w:val="clear" w:color="000000" w:fill="FFFFFF"/>
            <w:noWrap/>
            <w:vAlign w:val="center"/>
            <w:hideMark/>
          </w:tcPr>
          <w:p w14:paraId="2A41F093" w14:textId="77777777" w:rsidR="00051507" w:rsidRPr="00640AB7" w:rsidRDefault="00051507" w:rsidP="00DF5625">
            <w:pPr>
              <w:jc w:val="right"/>
              <w:rPr>
                <w:b/>
                <w:bCs/>
                <w:sz w:val="18"/>
                <w:szCs w:val="18"/>
              </w:rPr>
            </w:pPr>
            <w:r w:rsidRPr="00640AB7">
              <w:rPr>
                <w:b/>
                <w:bCs/>
                <w:sz w:val="18"/>
                <w:szCs w:val="18"/>
              </w:rPr>
              <w:t xml:space="preserve">  1.150.910 </w:t>
            </w:r>
          </w:p>
        </w:tc>
        <w:tc>
          <w:tcPr>
            <w:tcW w:w="1321" w:type="dxa"/>
            <w:tcBorders>
              <w:top w:val="single" w:sz="4" w:space="0" w:color="auto"/>
              <w:left w:val="nil"/>
              <w:bottom w:val="nil"/>
              <w:right w:val="nil"/>
            </w:tcBorders>
            <w:shd w:val="clear" w:color="000000" w:fill="FFFFFF"/>
            <w:noWrap/>
            <w:vAlign w:val="center"/>
            <w:hideMark/>
          </w:tcPr>
          <w:p w14:paraId="3EB6F7C4" w14:textId="77777777" w:rsidR="00051507" w:rsidRPr="00640AB7" w:rsidRDefault="00051507" w:rsidP="00DF5625">
            <w:pPr>
              <w:jc w:val="right"/>
              <w:rPr>
                <w:b/>
                <w:bCs/>
                <w:sz w:val="18"/>
                <w:szCs w:val="18"/>
              </w:rPr>
            </w:pPr>
            <w:r w:rsidRPr="00640AB7">
              <w:rPr>
                <w:b/>
                <w:bCs/>
                <w:sz w:val="18"/>
                <w:szCs w:val="18"/>
              </w:rPr>
              <w:t xml:space="preserve">  1.146.719 </w:t>
            </w:r>
          </w:p>
        </w:tc>
        <w:tc>
          <w:tcPr>
            <w:tcW w:w="118" w:type="dxa"/>
            <w:tcBorders>
              <w:top w:val="nil"/>
              <w:left w:val="nil"/>
              <w:bottom w:val="nil"/>
              <w:right w:val="nil"/>
            </w:tcBorders>
            <w:shd w:val="clear" w:color="auto" w:fill="auto"/>
            <w:noWrap/>
            <w:vAlign w:val="bottom"/>
            <w:hideMark/>
          </w:tcPr>
          <w:p w14:paraId="0C4BF52B" w14:textId="77777777" w:rsidR="00051507" w:rsidRPr="00640AB7" w:rsidRDefault="00051507" w:rsidP="00DF5625">
            <w:pPr>
              <w:jc w:val="right"/>
              <w:rPr>
                <w:b/>
                <w:bCs/>
                <w:sz w:val="18"/>
                <w:szCs w:val="18"/>
              </w:rPr>
            </w:pPr>
          </w:p>
        </w:tc>
        <w:tc>
          <w:tcPr>
            <w:tcW w:w="826" w:type="dxa"/>
            <w:tcBorders>
              <w:top w:val="single" w:sz="4" w:space="0" w:color="auto"/>
              <w:left w:val="nil"/>
              <w:bottom w:val="nil"/>
              <w:right w:val="nil"/>
            </w:tcBorders>
            <w:shd w:val="clear" w:color="000000" w:fill="FFFFFF"/>
            <w:noWrap/>
            <w:vAlign w:val="center"/>
            <w:hideMark/>
          </w:tcPr>
          <w:p w14:paraId="590939BA" w14:textId="77777777" w:rsidR="00051507" w:rsidRPr="00640AB7" w:rsidRDefault="00051507" w:rsidP="00DF5625">
            <w:pPr>
              <w:jc w:val="right"/>
              <w:rPr>
                <w:b/>
                <w:bCs/>
                <w:sz w:val="18"/>
                <w:szCs w:val="18"/>
              </w:rPr>
            </w:pPr>
            <w:r w:rsidRPr="00640AB7">
              <w:rPr>
                <w:b/>
                <w:bCs/>
                <w:sz w:val="18"/>
                <w:szCs w:val="18"/>
              </w:rPr>
              <w:t xml:space="preserve">  4.191 </w:t>
            </w:r>
          </w:p>
        </w:tc>
        <w:tc>
          <w:tcPr>
            <w:tcW w:w="1014" w:type="dxa"/>
            <w:tcBorders>
              <w:top w:val="single" w:sz="4" w:space="0" w:color="auto"/>
              <w:left w:val="nil"/>
              <w:bottom w:val="nil"/>
              <w:right w:val="nil"/>
            </w:tcBorders>
            <w:shd w:val="clear" w:color="000000" w:fill="FFFFFF"/>
            <w:noWrap/>
            <w:vAlign w:val="center"/>
            <w:hideMark/>
          </w:tcPr>
          <w:p w14:paraId="51F87CDF" w14:textId="77777777" w:rsidR="00051507" w:rsidRPr="00640AB7" w:rsidRDefault="00051507" w:rsidP="00DF5625">
            <w:pPr>
              <w:jc w:val="right"/>
              <w:rPr>
                <w:b/>
                <w:bCs/>
                <w:sz w:val="18"/>
                <w:szCs w:val="18"/>
              </w:rPr>
            </w:pPr>
            <w:r w:rsidRPr="00640AB7">
              <w:rPr>
                <w:b/>
                <w:bCs/>
                <w:sz w:val="18"/>
                <w:szCs w:val="18"/>
              </w:rPr>
              <w:t>0%</w:t>
            </w:r>
          </w:p>
        </w:tc>
      </w:tr>
    </w:tbl>
    <w:p w14:paraId="2BD39737" w14:textId="77777777" w:rsidR="00051507" w:rsidRPr="00896C5A" w:rsidRDefault="00051507" w:rsidP="00051507">
      <w:pPr>
        <w:widowControl w:val="0"/>
        <w:autoSpaceDE w:val="0"/>
        <w:autoSpaceDN w:val="0"/>
        <w:adjustRightInd w:val="0"/>
        <w:spacing w:before="32"/>
        <w:rPr>
          <w:highlight w:val="yellow"/>
        </w:rPr>
      </w:pPr>
    </w:p>
    <w:p w14:paraId="6F5CE2C8" w14:textId="77777777" w:rsidR="00051507" w:rsidRPr="00896C5A" w:rsidRDefault="00051507" w:rsidP="00051507">
      <w:pPr>
        <w:widowControl w:val="0"/>
        <w:autoSpaceDE w:val="0"/>
        <w:autoSpaceDN w:val="0"/>
        <w:adjustRightInd w:val="0"/>
        <w:spacing w:line="224" w:lineRule="exact"/>
        <w:ind w:right="76"/>
        <w:jc w:val="both"/>
        <w:rPr>
          <w:highlight w:val="yellow"/>
        </w:rPr>
      </w:pPr>
    </w:p>
    <w:p w14:paraId="59750FA3" w14:textId="77777777" w:rsidR="00051507" w:rsidRPr="00A54C9D" w:rsidRDefault="00051507" w:rsidP="00051507">
      <w:pPr>
        <w:jc w:val="both"/>
        <w:rPr>
          <w:spacing w:val="1"/>
        </w:rPr>
      </w:pPr>
      <w:r w:rsidRPr="00A54C9D">
        <w:rPr>
          <w:spacing w:val="1"/>
        </w:rPr>
        <w:t>A continuación, se incluyen las ventas para cada mercado (en miles de pesos):</w:t>
      </w:r>
    </w:p>
    <w:tbl>
      <w:tblPr>
        <w:tblW w:w="7860" w:type="dxa"/>
        <w:tblCellMar>
          <w:left w:w="70" w:type="dxa"/>
          <w:right w:w="70" w:type="dxa"/>
        </w:tblCellMar>
        <w:tblLook w:val="04A0" w:firstRow="1" w:lastRow="0" w:firstColumn="1" w:lastColumn="0" w:noHBand="0" w:noVBand="1"/>
      </w:tblPr>
      <w:tblGrid>
        <w:gridCol w:w="3260"/>
        <w:gridCol w:w="1245"/>
        <w:gridCol w:w="1244"/>
        <w:gridCol w:w="185"/>
        <w:gridCol w:w="1044"/>
        <w:gridCol w:w="956"/>
      </w:tblGrid>
      <w:tr w:rsidR="00051507" w:rsidRPr="00AD03D1" w14:paraId="59B50154" w14:textId="77777777" w:rsidTr="00DF5625">
        <w:trPr>
          <w:trHeight w:val="540"/>
        </w:trPr>
        <w:tc>
          <w:tcPr>
            <w:tcW w:w="3260" w:type="dxa"/>
            <w:tcBorders>
              <w:top w:val="nil"/>
              <w:left w:val="nil"/>
              <w:bottom w:val="nil"/>
              <w:right w:val="nil"/>
            </w:tcBorders>
            <w:shd w:val="clear" w:color="auto" w:fill="auto"/>
            <w:noWrap/>
            <w:vAlign w:val="bottom"/>
            <w:hideMark/>
          </w:tcPr>
          <w:p w14:paraId="7AE5B927" w14:textId="77777777" w:rsidR="00051507" w:rsidRPr="00AD03D1" w:rsidRDefault="00051507" w:rsidP="00DF5625">
            <w:pPr>
              <w:rPr>
                <w:sz w:val="24"/>
                <w:szCs w:val="24"/>
              </w:rPr>
            </w:pPr>
          </w:p>
        </w:tc>
        <w:tc>
          <w:tcPr>
            <w:tcW w:w="4600" w:type="dxa"/>
            <w:gridSpan w:val="5"/>
            <w:tcBorders>
              <w:top w:val="nil"/>
              <w:left w:val="nil"/>
              <w:bottom w:val="nil"/>
              <w:right w:val="nil"/>
            </w:tcBorders>
            <w:shd w:val="clear" w:color="auto" w:fill="auto"/>
            <w:vAlign w:val="center"/>
            <w:hideMark/>
          </w:tcPr>
          <w:p w14:paraId="59FCFE4F" w14:textId="77777777" w:rsidR="00051507" w:rsidRPr="00AD03D1" w:rsidRDefault="00051507" w:rsidP="00DF5625">
            <w:pPr>
              <w:jc w:val="center"/>
              <w:rPr>
                <w:b/>
                <w:bCs/>
                <w:sz w:val="18"/>
                <w:szCs w:val="18"/>
              </w:rPr>
            </w:pPr>
            <w:r w:rsidRPr="00AD03D1">
              <w:rPr>
                <w:b/>
                <w:bCs/>
                <w:sz w:val="18"/>
                <w:szCs w:val="18"/>
              </w:rPr>
              <w:t xml:space="preserve"> Ejercicio finalizado el 31 de diciembre de: </w:t>
            </w:r>
          </w:p>
        </w:tc>
      </w:tr>
      <w:tr w:rsidR="00051507" w:rsidRPr="00AD03D1" w14:paraId="13F78B6B" w14:textId="77777777" w:rsidTr="00DF5625">
        <w:trPr>
          <w:trHeight w:val="260"/>
        </w:trPr>
        <w:tc>
          <w:tcPr>
            <w:tcW w:w="3260" w:type="dxa"/>
            <w:tcBorders>
              <w:top w:val="nil"/>
              <w:left w:val="nil"/>
              <w:bottom w:val="nil"/>
              <w:right w:val="nil"/>
            </w:tcBorders>
            <w:shd w:val="clear" w:color="auto" w:fill="auto"/>
            <w:noWrap/>
            <w:vAlign w:val="bottom"/>
            <w:hideMark/>
          </w:tcPr>
          <w:p w14:paraId="1000CB2F" w14:textId="77777777" w:rsidR="00051507" w:rsidRPr="00AD03D1" w:rsidRDefault="00051507" w:rsidP="00DF5625">
            <w:pPr>
              <w:jc w:val="center"/>
              <w:rPr>
                <w:b/>
                <w:bCs/>
                <w:sz w:val="18"/>
                <w:szCs w:val="18"/>
              </w:rPr>
            </w:pP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F917C" w14:textId="77777777" w:rsidR="00051507" w:rsidRPr="00AD03D1" w:rsidRDefault="00051507" w:rsidP="00DF5625">
            <w:pPr>
              <w:jc w:val="center"/>
              <w:rPr>
                <w:b/>
                <w:bCs/>
                <w:sz w:val="18"/>
                <w:szCs w:val="18"/>
              </w:rPr>
            </w:pPr>
            <w:r w:rsidRPr="00AD03D1">
              <w:rPr>
                <w:b/>
                <w:bCs/>
                <w:sz w:val="18"/>
                <w:szCs w:val="18"/>
              </w:rPr>
              <w:t>2021</w:t>
            </w:r>
          </w:p>
        </w:tc>
        <w:tc>
          <w:tcPr>
            <w:tcW w:w="1244" w:type="dxa"/>
            <w:tcBorders>
              <w:top w:val="single" w:sz="4" w:space="0" w:color="auto"/>
              <w:left w:val="nil"/>
              <w:bottom w:val="single" w:sz="4" w:space="0" w:color="auto"/>
              <w:right w:val="single" w:sz="4" w:space="0" w:color="auto"/>
            </w:tcBorders>
            <w:shd w:val="clear" w:color="auto" w:fill="auto"/>
            <w:noWrap/>
            <w:vAlign w:val="center"/>
            <w:hideMark/>
          </w:tcPr>
          <w:p w14:paraId="7DFCF97E" w14:textId="77777777" w:rsidR="00051507" w:rsidRPr="00AD03D1" w:rsidRDefault="00051507" w:rsidP="00DF5625">
            <w:pPr>
              <w:jc w:val="center"/>
              <w:rPr>
                <w:b/>
                <w:bCs/>
                <w:sz w:val="18"/>
                <w:szCs w:val="18"/>
              </w:rPr>
            </w:pPr>
            <w:r w:rsidRPr="00AD03D1">
              <w:rPr>
                <w:b/>
                <w:bCs/>
                <w:sz w:val="18"/>
                <w:szCs w:val="18"/>
              </w:rPr>
              <w:t>2020</w:t>
            </w:r>
          </w:p>
        </w:tc>
        <w:tc>
          <w:tcPr>
            <w:tcW w:w="111" w:type="dxa"/>
            <w:tcBorders>
              <w:top w:val="nil"/>
              <w:left w:val="nil"/>
              <w:bottom w:val="nil"/>
              <w:right w:val="nil"/>
            </w:tcBorders>
            <w:shd w:val="clear" w:color="000000" w:fill="FFFFFF"/>
            <w:noWrap/>
            <w:vAlign w:val="center"/>
            <w:hideMark/>
          </w:tcPr>
          <w:p w14:paraId="6CFC407F" w14:textId="77777777" w:rsidR="00051507" w:rsidRPr="00AD03D1" w:rsidRDefault="00051507" w:rsidP="00DF5625">
            <w:pPr>
              <w:jc w:val="right"/>
              <w:rPr>
                <w:b/>
                <w:bCs/>
                <w:sz w:val="18"/>
                <w:szCs w:val="18"/>
              </w:rPr>
            </w:pPr>
            <w:r w:rsidRPr="00AD03D1">
              <w:rPr>
                <w:b/>
                <w:bCs/>
                <w:sz w:val="18"/>
                <w:szCs w:val="18"/>
              </w:rPr>
              <w:t> </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32D5E" w14:textId="77777777" w:rsidR="00051507" w:rsidRPr="00AD03D1" w:rsidRDefault="00051507" w:rsidP="00DF5625">
            <w:pPr>
              <w:jc w:val="center"/>
              <w:rPr>
                <w:b/>
                <w:bCs/>
                <w:sz w:val="18"/>
                <w:szCs w:val="18"/>
              </w:rPr>
            </w:pPr>
            <w:r w:rsidRPr="00AD03D1">
              <w:rPr>
                <w:b/>
                <w:bCs/>
                <w:sz w:val="18"/>
                <w:szCs w:val="18"/>
              </w:rPr>
              <w:t xml:space="preserve"> Var. </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14:paraId="403031E9" w14:textId="77777777" w:rsidR="00051507" w:rsidRPr="00AD03D1" w:rsidRDefault="00051507" w:rsidP="00DF5625">
            <w:pPr>
              <w:jc w:val="center"/>
              <w:rPr>
                <w:b/>
                <w:bCs/>
                <w:sz w:val="18"/>
                <w:szCs w:val="18"/>
              </w:rPr>
            </w:pPr>
            <w:r w:rsidRPr="00AD03D1">
              <w:rPr>
                <w:b/>
                <w:bCs/>
                <w:sz w:val="18"/>
                <w:szCs w:val="18"/>
              </w:rPr>
              <w:t xml:space="preserve"> Var. % </w:t>
            </w:r>
          </w:p>
        </w:tc>
      </w:tr>
      <w:tr w:rsidR="00051507" w:rsidRPr="00AD03D1" w14:paraId="391030EB" w14:textId="77777777" w:rsidTr="00DF5625">
        <w:trPr>
          <w:trHeight w:val="260"/>
        </w:trPr>
        <w:tc>
          <w:tcPr>
            <w:tcW w:w="3260" w:type="dxa"/>
            <w:tcBorders>
              <w:top w:val="nil"/>
              <w:left w:val="nil"/>
              <w:bottom w:val="nil"/>
              <w:right w:val="nil"/>
            </w:tcBorders>
            <w:shd w:val="clear" w:color="auto" w:fill="auto"/>
            <w:noWrap/>
            <w:vAlign w:val="bottom"/>
            <w:hideMark/>
          </w:tcPr>
          <w:p w14:paraId="1AAC3E32" w14:textId="77777777" w:rsidR="00051507" w:rsidRPr="00AD03D1" w:rsidRDefault="00051507" w:rsidP="00DF5625">
            <w:pPr>
              <w:jc w:val="center"/>
              <w:rPr>
                <w:b/>
                <w:bCs/>
                <w:sz w:val="18"/>
                <w:szCs w:val="18"/>
              </w:rPr>
            </w:pPr>
          </w:p>
        </w:tc>
        <w:tc>
          <w:tcPr>
            <w:tcW w:w="2489" w:type="dxa"/>
            <w:gridSpan w:val="2"/>
            <w:tcBorders>
              <w:top w:val="nil"/>
              <w:left w:val="nil"/>
              <w:bottom w:val="nil"/>
              <w:right w:val="nil"/>
            </w:tcBorders>
            <w:shd w:val="clear" w:color="auto" w:fill="auto"/>
            <w:noWrap/>
            <w:vAlign w:val="center"/>
            <w:hideMark/>
          </w:tcPr>
          <w:p w14:paraId="5CDAD217" w14:textId="77777777" w:rsidR="00051507" w:rsidRPr="00AD03D1" w:rsidRDefault="00051507" w:rsidP="00DF5625">
            <w:pPr>
              <w:jc w:val="center"/>
              <w:rPr>
                <w:sz w:val="18"/>
                <w:szCs w:val="18"/>
              </w:rPr>
            </w:pPr>
            <w:r w:rsidRPr="00AD03D1">
              <w:rPr>
                <w:sz w:val="18"/>
                <w:szCs w:val="18"/>
              </w:rPr>
              <w:t xml:space="preserve"> (en miles de pesos) </w:t>
            </w:r>
          </w:p>
        </w:tc>
        <w:tc>
          <w:tcPr>
            <w:tcW w:w="111" w:type="dxa"/>
            <w:tcBorders>
              <w:top w:val="nil"/>
              <w:left w:val="nil"/>
              <w:bottom w:val="nil"/>
              <w:right w:val="nil"/>
            </w:tcBorders>
            <w:shd w:val="clear" w:color="auto" w:fill="auto"/>
            <w:noWrap/>
            <w:vAlign w:val="bottom"/>
            <w:hideMark/>
          </w:tcPr>
          <w:p w14:paraId="51BA9299" w14:textId="77777777" w:rsidR="00051507" w:rsidRPr="00AD03D1" w:rsidRDefault="00051507" w:rsidP="00DF5625">
            <w:pPr>
              <w:jc w:val="center"/>
              <w:rPr>
                <w:sz w:val="18"/>
                <w:szCs w:val="18"/>
              </w:rPr>
            </w:pPr>
          </w:p>
        </w:tc>
        <w:tc>
          <w:tcPr>
            <w:tcW w:w="1044" w:type="dxa"/>
            <w:tcBorders>
              <w:top w:val="nil"/>
              <w:left w:val="nil"/>
              <w:bottom w:val="nil"/>
              <w:right w:val="nil"/>
            </w:tcBorders>
            <w:shd w:val="clear" w:color="auto" w:fill="auto"/>
            <w:noWrap/>
            <w:vAlign w:val="bottom"/>
            <w:hideMark/>
          </w:tcPr>
          <w:p w14:paraId="7D96D40A" w14:textId="77777777" w:rsidR="00051507" w:rsidRPr="00AD03D1" w:rsidRDefault="00051507" w:rsidP="00DF5625"/>
        </w:tc>
        <w:tc>
          <w:tcPr>
            <w:tcW w:w="956" w:type="dxa"/>
            <w:tcBorders>
              <w:top w:val="nil"/>
              <w:left w:val="nil"/>
              <w:bottom w:val="nil"/>
              <w:right w:val="nil"/>
            </w:tcBorders>
            <w:shd w:val="clear" w:color="auto" w:fill="auto"/>
            <w:noWrap/>
            <w:vAlign w:val="bottom"/>
            <w:hideMark/>
          </w:tcPr>
          <w:p w14:paraId="1E518962" w14:textId="77777777" w:rsidR="00051507" w:rsidRPr="00AD03D1" w:rsidRDefault="00051507" w:rsidP="00DF5625"/>
        </w:tc>
      </w:tr>
      <w:tr w:rsidR="00051507" w:rsidRPr="00AD03D1" w14:paraId="5BDB57F9" w14:textId="77777777" w:rsidTr="00DF5625">
        <w:trPr>
          <w:trHeight w:val="260"/>
        </w:trPr>
        <w:tc>
          <w:tcPr>
            <w:tcW w:w="3260" w:type="dxa"/>
            <w:tcBorders>
              <w:top w:val="nil"/>
              <w:left w:val="nil"/>
              <w:bottom w:val="nil"/>
              <w:right w:val="nil"/>
            </w:tcBorders>
            <w:shd w:val="clear" w:color="auto" w:fill="auto"/>
            <w:noWrap/>
            <w:vAlign w:val="center"/>
            <w:hideMark/>
          </w:tcPr>
          <w:p w14:paraId="3D3189AD" w14:textId="77777777" w:rsidR="00051507" w:rsidRPr="00AD03D1" w:rsidRDefault="00051507" w:rsidP="00DF5625">
            <w:pPr>
              <w:rPr>
                <w:b/>
                <w:bCs/>
                <w:sz w:val="18"/>
                <w:szCs w:val="18"/>
              </w:rPr>
            </w:pPr>
            <w:r w:rsidRPr="00AD03D1">
              <w:rPr>
                <w:b/>
                <w:bCs/>
                <w:sz w:val="18"/>
                <w:szCs w:val="18"/>
              </w:rPr>
              <w:t xml:space="preserve"> Ventas por tipo de mercado </w:t>
            </w:r>
          </w:p>
        </w:tc>
        <w:tc>
          <w:tcPr>
            <w:tcW w:w="1245" w:type="dxa"/>
            <w:tcBorders>
              <w:top w:val="nil"/>
              <w:left w:val="nil"/>
              <w:bottom w:val="nil"/>
              <w:right w:val="nil"/>
            </w:tcBorders>
            <w:shd w:val="clear" w:color="000000" w:fill="FFFFFF"/>
            <w:noWrap/>
            <w:vAlign w:val="bottom"/>
            <w:hideMark/>
          </w:tcPr>
          <w:p w14:paraId="307B97AD" w14:textId="77777777" w:rsidR="00051507" w:rsidRPr="00AD03D1" w:rsidRDefault="00051507" w:rsidP="00DF5625">
            <w:pPr>
              <w:rPr>
                <w:sz w:val="18"/>
                <w:szCs w:val="18"/>
              </w:rPr>
            </w:pPr>
            <w:r w:rsidRPr="00AD03D1">
              <w:rPr>
                <w:sz w:val="18"/>
                <w:szCs w:val="18"/>
              </w:rPr>
              <w:t> </w:t>
            </w:r>
          </w:p>
        </w:tc>
        <w:tc>
          <w:tcPr>
            <w:tcW w:w="1244" w:type="dxa"/>
            <w:tcBorders>
              <w:top w:val="nil"/>
              <w:left w:val="nil"/>
              <w:bottom w:val="nil"/>
              <w:right w:val="nil"/>
            </w:tcBorders>
            <w:shd w:val="clear" w:color="auto" w:fill="auto"/>
            <w:noWrap/>
            <w:vAlign w:val="bottom"/>
            <w:hideMark/>
          </w:tcPr>
          <w:p w14:paraId="10769BEC" w14:textId="77777777" w:rsidR="00051507" w:rsidRPr="00AD03D1" w:rsidRDefault="00051507" w:rsidP="00DF5625">
            <w:pPr>
              <w:rPr>
                <w:sz w:val="18"/>
                <w:szCs w:val="18"/>
              </w:rPr>
            </w:pPr>
          </w:p>
        </w:tc>
        <w:tc>
          <w:tcPr>
            <w:tcW w:w="111" w:type="dxa"/>
            <w:tcBorders>
              <w:top w:val="nil"/>
              <w:left w:val="nil"/>
              <w:bottom w:val="nil"/>
              <w:right w:val="nil"/>
            </w:tcBorders>
            <w:shd w:val="clear" w:color="auto" w:fill="auto"/>
            <w:noWrap/>
            <w:vAlign w:val="bottom"/>
            <w:hideMark/>
          </w:tcPr>
          <w:p w14:paraId="31485892" w14:textId="77777777" w:rsidR="00051507" w:rsidRPr="00AD03D1" w:rsidRDefault="00051507" w:rsidP="00DF5625"/>
        </w:tc>
        <w:tc>
          <w:tcPr>
            <w:tcW w:w="1044" w:type="dxa"/>
            <w:tcBorders>
              <w:top w:val="nil"/>
              <w:left w:val="nil"/>
              <w:bottom w:val="nil"/>
              <w:right w:val="nil"/>
            </w:tcBorders>
            <w:shd w:val="clear" w:color="auto" w:fill="auto"/>
            <w:noWrap/>
            <w:vAlign w:val="bottom"/>
            <w:hideMark/>
          </w:tcPr>
          <w:p w14:paraId="3F7A967B" w14:textId="77777777" w:rsidR="00051507" w:rsidRPr="00AD03D1" w:rsidRDefault="00051507" w:rsidP="00DF5625"/>
        </w:tc>
        <w:tc>
          <w:tcPr>
            <w:tcW w:w="956" w:type="dxa"/>
            <w:tcBorders>
              <w:top w:val="nil"/>
              <w:left w:val="nil"/>
              <w:bottom w:val="nil"/>
              <w:right w:val="nil"/>
            </w:tcBorders>
            <w:shd w:val="clear" w:color="auto" w:fill="auto"/>
            <w:noWrap/>
            <w:vAlign w:val="bottom"/>
            <w:hideMark/>
          </w:tcPr>
          <w:p w14:paraId="5CEBC46C" w14:textId="77777777" w:rsidR="00051507" w:rsidRPr="00AD03D1" w:rsidRDefault="00051507" w:rsidP="00DF5625"/>
        </w:tc>
      </w:tr>
      <w:tr w:rsidR="00051507" w:rsidRPr="00AD03D1" w14:paraId="62408C5B" w14:textId="77777777" w:rsidTr="00DF5625">
        <w:trPr>
          <w:trHeight w:val="260"/>
        </w:trPr>
        <w:tc>
          <w:tcPr>
            <w:tcW w:w="3260" w:type="dxa"/>
            <w:tcBorders>
              <w:top w:val="nil"/>
              <w:left w:val="nil"/>
              <w:bottom w:val="nil"/>
              <w:right w:val="nil"/>
            </w:tcBorders>
            <w:shd w:val="clear" w:color="auto" w:fill="auto"/>
            <w:noWrap/>
            <w:vAlign w:val="center"/>
            <w:hideMark/>
          </w:tcPr>
          <w:p w14:paraId="08CAC526" w14:textId="77777777" w:rsidR="00051507" w:rsidRPr="00AD03D1" w:rsidRDefault="00051507" w:rsidP="00DF5625">
            <w:pPr>
              <w:rPr>
                <w:sz w:val="18"/>
                <w:szCs w:val="18"/>
              </w:rPr>
            </w:pPr>
            <w:r w:rsidRPr="00AD03D1">
              <w:rPr>
                <w:sz w:val="18"/>
                <w:szCs w:val="18"/>
              </w:rPr>
              <w:t xml:space="preserve"> Venta de Energía Res. 220 </w:t>
            </w:r>
          </w:p>
        </w:tc>
        <w:tc>
          <w:tcPr>
            <w:tcW w:w="1245" w:type="dxa"/>
            <w:tcBorders>
              <w:top w:val="nil"/>
              <w:left w:val="nil"/>
              <w:bottom w:val="nil"/>
              <w:right w:val="nil"/>
            </w:tcBorders>
            <w:shd w:val="clear" w:color="000000" w:fill="FFFFFF"/>
            <w:noWrap/>
            <w:vAlign w:val="center"/>
            <w:hideMark/>
          </w:tcPr>
          <w:p w14:paraId="65FA068A" w14:textId="77777777" w:rsidR="00051507" w:rsidRPr="00AD03D1" w:rsidRDefault="00051507" w:rsidP="00DF5625">
            <w:pPr>
              <w:jc w:val="right"/>
              <w:rPr>
                <w:sz w:val="18"/>
                <w:szCs w:val="18"/>
              </w:rPr>
            </w:pPr>
            <w:r w:rsidRPr="00AD03D1">
              <w:rPr>
                <w:sz w:val="18"/>
                <w:szCs w:val="18"/>
              </w:rPr>
              <w:t xml:space="preserve">  4.037.907 </w:t>
            </w:r>
          </w:p>
        </w:tc>
        <w:tc>
          <w:tcPr>
            <w:tcW w:w="1244" w:type="dxa"/>
            <w:tcBorders>
              <w:top w:val="nil"/>
              <w:left w:val="nil"/>
              <w:bottom w:val="nil"/>
              <w:right w:val="nil"/>
            </w:tcBorders>
            <w:shd w:val="clear" w:color="000000" w:fill="FFFFFF"/>
            <w:noWrap/>
            <w:vAlign w:val="center"/>
            <w:hideMark/>
          </w:tcPr>
          <w:p w14:paraId="43D9BDC4" w14:textId="77777777" w:rsidR="00051507" w:rsidRPr="00AD03D1" w:rsidRDefault="00051507" w:rsidP="00DF5625">
            <w:pPr>
              <w:jc w:val="right"/>
              <w:rPr>
                <w:sz w:val="18"/>
                <w:szCs w:val="18"/>
              </w:rPr>
            </w:pPr>
            <w:r w:rsidRPr="00AD03D1">
              <w:rPr>
                <w:sz w:val="18"/>
                <w:szCs w:val="18"/>
              </w:rPr>
              <w:t xml:space="preserve">  3.243.216 </w:t>
            </w:r>
          </w:p>
        </w:tc>
        <w:tc>
          <w:tcPr>
            <w:tcW w:w="111" w:type="dxa"/>
            <w:tcBorders>
              <w:top w:val="nil"/>
              <w:left w:val="nil"/>
              <w:bottom w:val="nil"/>
              <w:right w:val="nil"/>
            </w:tcBorders>
            <w:shd w:val="clear" w:color="000000" w:fill="FFFFFF"/>
            <w:noWrap/>
            <w:vAlign w:val="center"/>
            <w:hideMark/>
          </w:tcPr>
          <w:p w14:paraId="1351D5AF" w14:textId="77777777" w:rsidR="00051507" w:rsidRPr="00AD03D1" w:rsidRDefault="00051507" w:rsidP="00DF5625">
            <w:pPr>
              <w:jc w:val="right"/>
              <w:rPr>
                <w:sz w:val="18"/>
                <w:szCs w:val="18"/>
              </w:rPr>
            </w:pPr>
            <w:r w:rsidRPr="00AD03D1">
              <w:rPr>
                <w:sz w:val="18"/>
                <w:szCs w:val="18"/>
              </w:rPr>
              <w:t> </w:t>
            </w:r>
          </w:p>
        </w:tc>
        <w:tc>
          <w:tcPr>
            <w:tcW w:w="1044" w:type="dxa"/>
            <w:tcBorders>
              <w:top w:val="nil"/>
              <w:left w:val="nil"/>
              <w:bottom w:val="nil"/>
              <w:right w:val="nil"/>
            </w:tcBorders>
            <w:shd w:val="clear" w:color="000000" w:fill="FFFFFF"/>
            <w:noWrap/>
            <w:vAlign w:val="center"/>
            <w:hideMark/>
          </w:tcPr>
          <w:p w14:paraId="457F4702" w14:textId="77777777" w:rsidR="00051507" w:rsidRPr="00AD03D1" w:rsidRDefault="00051507" w:rsidP="00DF5625">
            <w:pPr>
              <w:jc w:val="right"/>
              <w:rPr>
                <w:sz w:val="18"/>
                <w:szCs w:val="18"/>
              </w:rPr>
            </w:pPr>
            <w:r w:rsidRPr="00AD03D1">
              <w:rPr>
                <w:sz w:val="18"/>
                <w:szCs w:val="18"/>
              </w:rPr>
              <w:t xml:space="preserve">  794.691 </w:t>
            </w:r>
          </w:p>
        </w:tc>
        <w:tc>
          <w:tcPr>
            <w:tcW w:w="956" w:type="dxa"/>
            <w:tcBorders>
              <w:top w:val="nil"/>
              <w:left w:val="nil"/>
              <w:bottom w:val="nil"/>
              <w:right w:val="nil"/>
            </w:tcBorders>
            <w:shd w:val="clear" w:color="000000" w:fill="FFFFFF"/>
            <w:noWrap/>
            <w:vAlign w:val="center"/>
            <w:hideMark/>
          </w:tcPr>
          <w:p w14:paraId="3ED3E68D" w14:textId="77777777" w:rsidR="00051507" w:rsidRPr="00AD03D1" w:rsidRDefault="00051507" w:rsidP="00DF5625">
            <w:pPr>
              <w:jc w:val="right"/>
              <w:rPr>
                <w:sz w:val="18"/>
                <w:szCs w:val="18"/>
              </w:rPr>
            </w:pPr>
            <w:r w:rsidRPr="00AD03D1">
              <w:rPr>
                <w:sz w:val="18"/>
                <w:szCs w:val="18"/>
              </w:rPr>
              <w:t>25%</w:t>
            </w:r>
          </w:p>
        </w:tc>
      </w:tr>
      <w:tr w:rsidR="00051507" w:rsidRPr="00AD03D1" w14:paraId="407F7E3A" w14:textId="77777777" w:rsidTr="00DF5625">
        <w:trPr>
          <w:trHeight w:val="260"/>
        </w:trPr>
        <w:tc>
          <w:tcPr>
            <w:tcW w:w="3260" w:type="dxa"/>
            <w:tcBorders>
              <w:top w:val="nil"/>
              <w:left w:val="nil"/>
              <w:bottom w:val="nil"/>
              <w:right w:val="nil"/>
            </w:tcBorders>
            <w:shd w:val="clear" w:color="auto" w:fill="auto"/>
            <w:noWrap/>
            <w:vAlign w:val="center"/>
            <w:hideMark/>
          </w:tcPr>
          <w:p w14:paraId="615576CB" w14:textId="77777777" w:rsidR="00051507" w:rsidRPr="00AD03D1" w:rsidRDefault="00051507" w:rsidP="00DF5625">
            <w:pPr>
              <w:rPr>
                <w:sz w:val="18"/>
                <w:szCs w:val="18"/>
              </w:rPr>
            </w:pPr>
            <w:r w:rsidRPr="00AD03D1">
              <w:rPr>
                <w:sz w:val="18"/>
                <w:szCs w:val="18"/>
              </w:rPr>
              <w:t xml:space="preserve"> Venta de Energía Res. 95 mod. más spot </w:t>
            </w:r>
          </w:p>
        </w:tc>
        <w:tc>
          <w:tcPr>
            <w:tcW w:w="1245" w:type="dxa"/>
            <w:tcBorders>
              <w:top w:val="nil"/>
              <w:left w:val="nil"/>
              <w:bottom w:val="nil"/>
              <w:right w:val="nil"/>
            </w:tcBorders>
            <w:shd w:val="clear" w:color="000000" w:fill="FFFFFF"/>
            <w:noWrap/>
            <w:vAlign w:val="center"/>
            <w:hideMark/>
          </w:tcPr>
          <w:p w14:paraId="26BB2DA1" w14:textId="77777777" w:rsidR="00051507" w:rsidRPr="00AD03D1" w:rsidRDefault="00051507" w:rsidP="00DF5625">
            <w:pPr>
              <w:jc w:val="right"/>
              <w:rPr>
                <w:sz w:val="18"/>
                <w:szCs w:val="18"/>
              </w:rPr>
            </w:pPr>
            <w:r w:rsidRPr="00AD03D1">
              <w:rPr>
                <w:sz w:val="18"/>
                <w:szCs w:val="18"/>
              </w:rPr>
              <w:t xml:space="preserve">  20.162 </w:t>
            </w:r>
          </w:p>
        </w:tc>
        <w:tc>
          <w:tcPr>
            <w:tcW w:w="1244" w:type="dxa"/>
            <w:tcBorders>
              <w:top w:val="nil"/>
              <w:left w:val="nil"/>
              <w:bottom w:val="nil"/>
              <w:right w:val="nil"/>
            </w:tcBorders>
            <w:shd w:val="clear" w:color="000000" w:fill="FFFFFF"/>
            <w:noWrap/>
            <w:vAlign w:val="center"/>
            <w:hideMark/>
          </w:tcPr>
          <w:p w14:paraId="75D231D5" w14:textId="77777777" w:rsidR="00051507" w:rsidRPr="00AD03D1" w:rsidRDefault="00051507" w:rsidP="00DF5625">
            <w:pPr>
              <w:jc w:val="right"/>
              <w:rPr>
                <w:sz w:val="18"/>
                <w:szCs w:val="18"/>
              </w:rPr>
            </w:pPr>
            <w:r w:rsidRPr="00AD03D1">
              <w:rPr>
                <w:sz w:val="18"/>
                <w:szCs w:val="18"/>
              </w:rPr>
              <w:t xml:space="preserve">  8.782 </w:t>
            </w:r>
          </w:p>
        </w:tc>
        <w:tc>
          <w:tcPr>
            <w:tcW w:w="111" w:type="dxa"/>
            <w:tcBorders>
              <w:top w:val="nil"/>
              <w:left w:val="nil"/>
              <w:bottom w:val="nil"/>
              <w:right w:val="nil"/>
            </w:tcBorders>
            <w:shd w:val="clear" w:color="000000" w:fill="FFFFFF"/>
            <w:noWrap/>
            <w:vAlign w:val="center"/>
            <w:hideMark/>
          </w:tcPr>
          <w:p w14:paraId="1BCEA900" w14:textId="77777777" w:rsidR="00051507" w:rsidRPr="00AD03D1" w:rsidRDefault="00051507" w:rsidP="00DF5625">
            <w:pPr>
              <w:jc w:val="right"/>
              <w:rPr>
                <w:sz w:val="18"/>
                <w:szCs w:val="18"/>
              </w:rPr>
            </w:pPr>
            <w:r w:rsidRPr="00AD03D1">
              <w:rPr>
                <w:sz w:val="18"/>
                <w:szCs w:val="18"/>
              </w:rPr>
              <w:t> </w:t>
            </w:r>
          </w:p>
        </w:tc>
        <w:tc>
          <w:tcPr>
            <w:tcW w:w="1044" w:type="dxa"/>
            <w:tcBorders>
              <w:top w:val="nil"/>
              <w:left w:val="nil"/>
              <w:bottom w:val="nil"/>
              <w:right w:val="nil"/>
            </w:tcBorders>
            <w:shd w:val="clear" w:color="000000" w:fill="FFFFFF"/>
            <w:noWrap/>
            <w:vAlign w:val="center"/>
            <w:hideMark/>
          </w:tcPr>
          <w:p w14:paraId="623618C6" w14:textId="77777777" w:rsidR="00051507" w:rsidRPr="00AD03D1" w:rsidRDefault="00051507" w:rsidP="00DF5625">
            <w:pPr>
              <w:jc w:val="right"/>
              <w:rPr>
                <w:sz w:val="18"/>
                <w:szCs w:val="18"/>
              </w:rPr>
            </w:pPr>
            <w:r w:rsidRPr="00AD03D1">
              <w:rPr>
                <w:sz w:val="18"/>
                <w:szCs w:val="18"/>
              </w:rPr>
              <w:t xml:space="preserve">  11.380 </w:t>
            </w:r>
          </w:p>
        </w:tc>
        <w:tc>
          <w:tcPr>
            <w:tcW w:w="956" w:type="dxa"/>
            <w:tcBorders>
              <w:top w:val="nil"/>
              <w:left w:val="nil"/>
              <w:bottom w:val="nil"/>
              <w:right w:val="nil"/>
            </w:tcBorders>
            <w:shd w:val="clear" w:color="000000" w:fill="FFFFFF"/>
            <w:noWrap/>
            <w:vAlign w:val="center"/>
            <w:hideMark/>
          </w:tcPr>
          <w:p w14:paraId="50615179" w14:textId="77777777" w:rsidR="00051507" w:rsidRPr="00AD03D1" w:rsidRDefault="00051507" w:rsidP="00DF5625">
            <w:pPr>
              <w:jc w:val="right"/>
              <w:rPr>
                <w:sz w:val="18"/>
                <w:szCs w:val="18"/>
              </w:rPr>
            </w:pPr>
            <w:r w:rsidRPr="00AD03D1">
              <w:rPr>
                <w:sz w:val="18"/>
                <w:szCs w:val="18"/>
              </w:rPr>
              <w:t>0%</w:t>
            </w:r>
          </w:p>
        </w:tc>
      </w:tr>
      <w:tr w:rsidR="00051507" w:rsidRPr="00AD03D1" w14:paraId="69DEC184" w14:textId="77777777" w:rsidTr="00DF5625">
        <w:trPr>
          <w:trHeight w:val="260"/>
        </w:trPr>
        <w:tc>
          <w:tcPr>
            <w:tcW w:w="3260" w:type="dxa"/>
            <w:tcBorders>
              <w:top w:val="nil"/>
              <w:left w:val="nil"/>
              <w:bottom w:val="nil"/>
              <w:right w:val="nil"/>
            </w:tcBorders>
            <w:shd w:val="clear" w:color="auto" w:fill="auto"/>
            <w:noWrap/>
            <w:vAlign w:val="center"/>
            <w:hideMark/>
          </w:tcPr>
          <w:p w14:paraId="761A46CB" w14:textId="77777777" w:rsidR="00051507" w:rsidRPr="00AD03D1" w:rsidRDefault="00051507" w:rsidP="00DF5625">
            <w:pPr>
              <w:jc w:val="right"/>
              <w:rPr>
                <w:sz w:val="18"/>
                <w:szCs w:val="18"/>
              </w:rPr>
            </w:pPr>
          </w:p>
        </w:tc>
        <w:tc>
          <w:tcPr>
            <w:tcW w:w="1245" w:type="dxa"/>
            <w:tcBorders>
              <w:top w:val="single" w:sz="4" w:space="0" w:color="auto"/>
              <w:left w:val="nil"/>
              <w:bottom w:val="nil"/>
              <w:right w:val="nil"/>
            </w:tcBorders>
            <w:shd w:val="clear" w:color="000000" w:fill="FFFFFF"/>
            <w:noWrap/>
            <w:vAlign w:val="center"/>
            <w:hideMark/>
          </w:tcPr>
          <w:p w14:paraId="691ABDC6" w14:textId="77777777" w:rsidR="00051507" w:rsidRPr="00AD03D1" w:rsidRDefault="00051507" w:rsidP="00DF5625">
            <w:pPr>
              <w:jc w:val="right"/>
              <w:rPr>
                <w:b/>
                <w:bCs/>
                <w:sz w:val="18"/>
                <w:szCs w:val="18"/>
              </w:rPr>
            </w:pPr>
            <w:r w:rsidRPr="00AD03D1">
              <w:rPr>
                <w:b/>
                <w:bCs/>
                <w:sz w:val="18"/>
                <w:szCs w:val="18"/>
              </w:rPr>
              <w:t xml:space="preserve">  4.058.069 </w:t>
            </w:r>
          </w:p>
        </w:tc>
        <w:tc>
          <w:tcPr>
            <w:tcW w:w="1244" w:type="dxa"/>
            <w:tcBorders>
              <w:top w:val="single" w:sz="4" w:space="0" w:color="auto"/>
              <w:left w:val="nil"/>
              <w:bottom w:val="nil"/>
              <w:right w:val="nil"/>
            </w:tcBorders>
            <w:shd w:val="clear" w:color="000000" w:fill="FFFFFF"/>
            <w:noWrap/>
            <w:vAlign w:val="center"/>
            <w:hideMark/>
          </w:tcPr>
          <w:p w14:paraId="41EF41A7" w14:textId="77777777" w:rsidR="00051507" w:rsidRPr="00AD03D1" w:rsidRDefault="00051507" w:rsidP="00DF5625">
            <w:pPr>
              <w:jc w:val="right"/>
              <w:rPr>
                <w:b/>
                <w:bCs/>
                <w:sz w:val="18"/>
                <w:szCs w:val="18"/>
              </w:rPr>
            </w:pPr>
            <w:r w:rsidRPr="00AD03D1">
              <w:rPr>
                <w:b/>
                <w:bCs/>
                <w:sz w:val="18"/>
                <w:szCs w:val="18"/>
              </w:rPr>
              <w:t xml:space="preserve">  3.251.998 </w:t>
            </w:r>
          </w:p>
        </w:tc>
        <w:tc>
          <w:tcPr>
            <w:tcW w:w="111" w:type="dxa"/>
            <w:tcBorders>
              <w:top w:val="nil"/>
              <w:left w:val="nil"/>
              <w:bottom w:val="nil"/>
              <w:right w:val="nil"/>
            </w:tcBorders>
            <w:shd w:val="clear" w:color="auto" w:fill="auto"/>
            <w:noWrap/>
            <w:vAlign w:val="bottom"/>
            <w:hideMark/>
          </w:tcPr>
          <w:p w14:paraId="12B66CA7" w14:textId="77777777" w:rsidR="00051507" w:rsidRPr="00AD03D1" w:rsidRDefault="00051507" w:rsidP="00DF5625">
            <w:pPr>
              <w:jc w:val="right"/>
              <w:rPr>
                <w:b/>
                <w:bCs/>
                <w:sz w:val="18"/>
                <w:szCs w:val="18"/>
              </w:rPr>
            </w:pPr>
          </w:p>
        </w:tc>
        <w:tc>
          <w:tcPr>
            <w:tcW w:w="1044" w:type="dxa"/>
            <w:tcBorders>
              <w:top w:val="single" w:sz="4" w:space="0" w:color="auto"/>
              <w:left w:val="nil"/>
              <w:bottom w:val="nil"/>
              <w:right w:val="nil"/>
            </w:tcBorders>
            <w:shd w:val="clear" w:color="000000" w:fill="FFFFFF"/>
            <w:noWrap/>
            <w:vAlign w:val="center"/>
            <w:hideMark/>
          </w:tcPr>
          <w:p w14:paraId="7B72F2FE" w14:textId="77777777" w:rsidR="00051507" w:rsidRPr="00AD03D1" w:rsidRDefault="00051507" w:rsidP="00DF5625">
            <w:pPr>
              <w:jc w:val="right"/>
              <w:rPr>
                <w:b/>
                <w:bCs/>
                <w:sz w:val="18"/>
                <w:szCs w:val="18"/>
              </w:rPr>
            </w:pPr>
            <w:r w:rsidRPr="00AD03D1">
              <w:rPr>
                <w:b/>
                <w:bCs/>
                <w:sz w:val="18"/>
                <w:szCs w:val="18"/>
              </w:rPr>
              <w:t xml:space="preserve">  806.071 </w:t>
            </w:r>
          </w:p>
        </w:tc>
        <w:tc>
          <w:tcPr>
            <w:tcW w:w="956" w:type="dxa"/>
            <w:tcBorders>
              <w:top w:val="single" w:sz="4" w:space="0" w:color="auto"/>
              <w:left w:val="nil"/>
              <w:bottom w:val="nil"/>
              <w:right w:val="nil"/>
            </w:tcBorders>
            <w:shd w:val="clear" w:color="000000" w:fill="FFFFFF"/>
            <w:noWrap/>
            <w:vAlign w:val="center"/>
            <w:hideMark/>
          </w:tcPr>
          <w:p w14:paraId="03E1008D" w14:textId="77777777" w:rsidR="00051507" w:rsidRPr="00AD03D1" w:rsidRDefault="00051507" w:rsidP="00DF5625">
            <w:pPr>
              <w:jc w:val="right"/>
              <w:rPr>
                <w:b/>
                <w:bCs/>
                <w:sz w:val="18"/>
                <w:szCs w:val="18"/>
              </w:rPr>
            </w:pPr>
            <w:r w:rsidRPr="00AD03D1">
              <w:rPr>
                <w:b/>
                <w:bCs/>
                <w:sz w:val="18"/>
                <w:szCs w:val="18"/>
              </w:rPr>
              <w:t>25%</w:t>
            </w:r>
          </w:p>
        </w:tc>
      </w:tr>
    </w:tbl>
    <w:p w14:paraId="21B2C9CF" w14:textId="77777777" w:rsidR="00051507" w:rsidRPr="00896C5A" w:rsidRDefault="00051507" w:rsidP="00051507">
      <w:pPr>
        <w:widowControl w:val="0"/>
        <w:autoSpaceDE w:val="0"/>
        <w:autoSpaceDN w:val="0"/>
        <w:adjustRightInd w:val="0"/>
        <w:spacing w:before="32"/>
        <w:rPr>
          <w:spacing w:val="-1"/>
          <w:highlight w:val="yellow"/>
        </w:rPr>
      </w:pPr>
    </w:p>
    <w:p w14:paraId="62F4D068" w14:textId="77777777" w:rsidR="00051507" w:rsidRPr="00896C5A" w:rsidRDefault="00051507" w:rsidP="00051507">
      <w:pPr>
        <w:widowControl w:val="0"/>
        <w:autoSpaceDE w:val="0"/>
        <w:autoSpaceDN w:val="0"/>
        <w:adjustRightInd w:val="0"/>
        <w:spacing w:before="32"/>
        <w:rPr>
          <w:spacing w:val="-1"/>
          <w:highlight w:val="yellow"/>
        </w:rPr>
      </w:pPr>
    </w:p>
    <w:p w14:paraId="64EC0730" w14:textId="77777777" w:rsidR="00051507" w:rsidRPr="00896C5A" w:rsidRDefault="00051507" w:rsidP="00051507">
      <w:pPr>
        <w:widowControl w:val="0"/>
        <w:autoSpaceDE w:val="0"/>
        <w:autoSpaceDN w:val="0"/>
        <w:adjustRightInd w:val="0"/>
        <w:spacing w:before="32"/>
        <w:rPr>
          <w:spacing w:val="-1"/>
          <w:highlight w:val="yellow"/>
        </w:rPr>
      </w:pPr>
    </w:p>
    <w:p w14:paraId="4DDC9B5F" w14:textId="77777777" w:rsidR="00051507" w:rsidRPr="00896C5A" w:rsidRDefault="00051507" w:rsidP="00051507">
      <w:pPr>
        <w:widowControl w:val="0"/>
        <w:autoSpaceDE w:val="0"/>
        <w:autoSpaceDN w:val="0"/>
        <w:adjustRightInd w:val="0"/>
        <w:spacing w:before="32"/>
        <w:rPr>
          <w:spacing w:val="-1"/>
          <w:highlight w:val="yellow"/>
        </w:rPr>
      </w:pPr>
    </w:p>
    <w:p w14:paraId="23416AAC" w14:textId="77777777" w:rsidR="00051507" w:rsidRPr="00896C5A" w:rsidRDefault="00051507" w:rsidP="00051507">
      <w:pPr>
        <w:widowControl w:val="0"/>
        <w:autoSpaceDE w:val="0"/>
        <w:autoSpaceDN w:val="0"/>
        <w:adjustRightInd w:val="0"/>
        <w:spacing w:before="32"/>
        <w:rPr>
          <w:spacing w:val="-1"/>
          <w:highlight w:val="yellow"/>
        </w:rPr>
      </w:pPr>
    </w:p>
    <w:p w14:paraId="1FA61630" w14:textId="77777777" w:rsidR="00051507" w:rsidRPr="00A54C9D" w:rsidRDefault="00051507" w:rsidP="00051507">
      <w:pPr>
        <w:rPr>
          <w:spacing w:val="-1"/>
        </w:rPr>
      </w:pPr>
    </w:p>
    <w:p w14:paraId="41ADF0C6" w14:textId="77777777" w:rsidR="00051507" w:rsidRPr="00A54C9D" w:rsidRDefault="00051507" w:rsidP="00051507">
      <w:pPr>
        <w:widowControl w:val="0"/>
        <w:autoSpaceDE w:val="0"/>
        <w:autoSpaceDN w:val="0"/>
        <w:adjustRightInd w:val="0"/>
        <w:spacing w:before="40"/>
        <w:rPr>
          <w:spacing w:val="2"/>
        </w:rPr>
      </w:pPr>
      <w:r w:rsidRPr="00A54C9D">
        <w:rPr>
          <w:spacing w:val="2"/>
        </w:rPr>
        <w:t>R</w:t>
      </w:r>
      <w:r w:rsidRPr="00A54C9D">
        <w:rPr>
          <w:spacing w:val="-2"/>
        </w:rPr>
        <w:t>e</w:t>
      </w:r>
      <w:r w:rsidRPr="00A54C9D">
        <w:t>s</w:t>
      </w:r>
      <w:r w:rsidRPr="00A54C9D">
        <w:rPr>
          <w:spacing w:val="-1"/>
        </w:rPr>
        <w:t>u</w:t>
      </w:r>
      <w:r w:rsidRPr="00A54C9D">
        <w:rPr>
          <w:spacing w:val="1"/>
        </w:rPr>
        <w:t>l</w:t>
      </w:r>
      <w:r w:rsidRPr="00A54C9D">
        <w:rPr>
          <w:spacing w:val="-1"/>
        </w:rPr>
        <w:t>t</w:t>
      </w:r>
      <w:r w:rsidRPr="00A54C9D">
        <w:rPr>
          <w:spacing w:val="1"/>
        </w:rPr>
        <w:t>a</w:t>
      </w:r>
      <w:r w:rsidRPr="00A54C9D">
        <w:rPr>
          <w:spacing w:val="-1"/>
        </w:rPr>
        <w:t>d</w:t>
      </w:r>
      <w:r w:rsidRPr="00A54C9D">
        <w:rPr>
          <w:spacing w:val="1"/>
        </w:rPr>
        <w:t>o</w:t>
      </w:r>
      <w:r w:rsidRPr="00A54C9D">
        <w:t xml:space="preserve">s de los ejercicios finalizados </w:t>
      </w:r>
      <w:r w:rsidRPr="00A54C9D">
        <w:rPr>
          <w:spacing w:val="1"/>
        </w:rPr>
        <w:t>e</w:t>
      </w:r>
      <w:r w:rsidRPr="00A54C9D">
        <w:t>l</w:t>
      </w:r>
      <w:r w:rsidRPr="00A54C9D">
        <w:rPr>
          <w:spacing w:val="-1"/>
        </w:rPr>
        <w:t xml:space="preserve"> </w:t>
      </w:r>
      <w:r w:rsidRPr="00A54C9D">
        <w:rPr>
          <w:spacing w:val="1"/>
        </w:rPr>
        <w:t xml:space="preserve">31 de diciembre de 2021 </w:t>
      </w:r>
      <w:r w:rsidRPr="00A54C9D">
        <w:t xml:space="preserve">y </w:t>
      </w:r>
      <w:r w:rsidRPr="00A54C9D">
        <w:rPr>
          <w:spacing w:val="1"/>
        </w:rPr>
        <w:t>2020 (en millones de pesos)</w:t>
      </w:r>
      <w:r w:rsidRPr="00A54C9D">
        <w:rPr>
          <w:w w:val="120"/>
        </w:rPr>
        <w:t>:</w:t>
      </w:r>
      <w:r w:rsidRPr="00A54C9D">
        <w:rPr>
          <w:spacing w:val="2"/>
        </w:rPr>
        <w:t xml:space="preserve"> </w:t>
      </w:r>
    </w:p>
    <w:p w14:paraId="48FAC4C1" w14:textId="77777777" w:rsidR="00051507" w:rsidRPr="00896C5A" w:rsidRDefault="00051507" w:rsidP="00051507">
      <w:pPr>
        <w:widowControl w:val="0"/>
        <w:autoSpaceDE w:val="0"/>
        <w:autoSpaceDN w:val="0"/>
        <w:adjustRightInd w:val="0"/>
        <w:spacing w:before="40"/>
        <w:rPr>
          <w:spacing w:val="2"/>
          <w:highlight w:val="yellow"/>
        </w:rPr>
      </w:pPr>
    </w:p>
    <w:tbl>
      <w:tblPr>
        <w:tblW w:w="10513" w:type="dxa"/>
        <w:jc w:val="center"/>
        <w:tblCellMar>
          <w:left w:w="70" w:type="dxa"/>
          <w:right w:w="70" w:type="dxa"/>
        </w:tblCellMar>
        <w:tblLook w:val="04A0" w:firstRow="1" w:lastRow="0" w:firstColumn="1" w:lastColumn="0" w:noHBand="0" w:noVBand="1"/>
      </w:tblPr>
      <w:tblGrid>
        <w:gridCol w:w="908"/>
        <w:gridCol w:w="3960"/>
        <w:gridCol w:w="1456"/>
        <w:gridCol w:w="146"/>
        <w:gridCol w:w="1456"/>
        <w:gridCol w:w="146"/>
        <w:gridCol w:w="1240"/>
        <w:gridCol w:w="185"/>
        <w:gridCol w:w="1020"/>
      </w:tblGrid>
      <w:tr w:rsidR="00051507" w:rsidRPr="00AD03D1" w14:paraId="7225D4E2" w14:textId="77777777" w:rsidTr="00DF5625">
        <w:trPr>
          <w:trHeight w:val="420"/>
          <w:jc w:val="center"/>
        </w:trPr>
        <w:tc>
          <w:tcPr>
            <w:tcW w:w="908" w:type="dxa"/>
            <w:tcBorders>
              <w:top w:val="nil"/>
              <w:left w:val="nil"/>
              <w:bottom w:val="nil"/>
              <w:right w:val="nil"/>
            </w:tcBorders>
            <w:shd w:val="clear" w:color="auto" w:fill="auto"/>
            <w:noWrap/>
            <w:vAlign w:val="bottom"/>
            <w:hideMark/>
          </w:tcPr>
          <w:p w14:paraId="575AFE5F" w14:textId="77777777" w:rsidR="00051507" w:rsidRPr="00AD03D1" w:rsidRDefault="00051507" w:rsidP="00DF5625">
            <w:pPr>
              <w:rPr>
                <w:sz w:val="24"/>
                <w:szCs w:val="24"/>
              </w:rPr>
            </w:pPr>
          </w:p>
        </w:tc>
        <w:tc>
          <w:tcPr>
            <w:tcW w:w="3960" w:type="dxa"/>
            <w:tcBorders>
              <w:top w:val="nil"/>
              <w:left w:val="nil"/>
              <w:bottom w:val="nil"/>
              <w:right w:val="nil"/>
            </w:tcBorders>
            <w:shd w:val="clear" w:color="auto" w:fill="auto"/>
            <w:noWrap/>
            <w:vAlign w:val="bottom"/>
            <w:hideMark/>
          </w:tcPr>
          <w:p w14:paraId="58DD6FAE" w14:textId="77777777" w:rsidR="00051507" w:rsidRPr="00AD03D1" w:rsidRDefault="00051507" w:rsidP="00DF5625"/>
        </w:tc>
        <w:tc>
          <w:tcPr>
            <w:tcW w:w="3058" w:type="dxa"/>
            <w:gridSpan w:val="3"/>
            <w:vMerge w:val="restart"/>
            <w:tcBorders>
              <w:top w:val="nil"/>
              <w:left w:val="nil"/>
              <w:bottom w:val="nil"/>
              <w:right w:val="nil"/>
            </w:tcBorders>
            <w:shd w:val="clear" w:color="auto" w:fill="auto"/>
            <w:vAlign w:val="center"/>
            <w:hideMark/>
          </w:tcPr>
          <w:p w14:paraId="42125900" w14:textId="77777777" w:rsidR="00051507" w:rsidRPr="00AD03D1" w:rsidRDefault="00051507" w:rsidP="00DF5625">
            <w:pPr>
              <w:jc w:val="center"/>
              <w:rPr>
                <w:b/>
                <w:bCs/>
                <w:sz w:val="18"/>
                <w:szCs w:val="18"/>
              </w:rPr>
            </w:pPr>
            <w:r w:rsidRPr="00AD03D1">
              <w:rPr>
                <w:b/>
                <w:bCs/>
                <w:sz w:val="18"/>
                <w:szCs w:val="18"/>
              </w:rPr>
              <w:t>Ejercicio finalizado el 31 de diciembre de:</w:t>
            </w:r>
          </w:p>
        </w:tc>
        <w:tc>
          <w:tcPr>
            <w:tcW w:w="146" w:type="dxa"/>
            <w:tcBorders>
              <w:top w:val="nil"/>
              <w:left w:val="nil"/>
              <w:bottom w:val="nil"/>
              <w:right w:val="nil"/>
            </w:tcBorders>
            <w:shd w:val="clear" w:color="auto" w:fill="auto"/>
            <w:noWrap/>
            <w:vAlign w:val="bottom"/>
            <w:hideMark/>
          </w:tcPr>
          <w:p w14:paraId="54ED3954" w14:textId="77777777" w:rsidR="00051507" w:rsidRPr="00AD03D1" w:rsidRDefault="00051507" w:rsidP="00DF5625">
            <w:pPr>
              <w:jc w:val="center"/>
              <w:rPr>
                <w:b/>
                <w:bCs/>
                <w:sz w:val="18"/>
                <w:szCs w:val="18"/>
              </w:rPr>
            </w:pPr>
          </w:p>
        </w:tc>
        <w:tc>
          <w:tcPr>
            <w:tcW w:w="1240" w:type="dxa"/>
            <w:tcBorders>
              <w:top w:val="nil"/>
              <w:left w:val="nil"/>
              <w:bottom w:val="nil"/>
              <w:right w:val="nil"/>
            </w:tcBorders>
            <w:shd w:val="clear" w:color="auto" w:fill="auto"/>
            <w:noWrap/>
            <w:vAlign w:val="bottom"/>
            <w:hideMark/>
          </w:tcPr>
          <w:p w14:paraId="2BBD2DAC" w14:textId="77777777" w:rsidR="00051507" w:rsidRPr="00AD03D1" w:rsidRDefault="00051507" w:rsidP="00DF5625"/>
        </w:tc>
        <w:tc>
          <w:tcPr>
            <w:tcW w:w="181" w:type="dxa"/>
            <w:tcBorders>
              <w:top w:val="nil"/>
              <w:left w:val="nil"/>
              <w:bottom w:val="nil"/>
              <w:right w:val="nil"/>
            </w:tcBorders>
            <w:shd w:val="clear" w:color="auto" w:fill="auto"/>
            <w:noWrap/>
            <w:vAlign w:val="bottom"/>
            <w:hideMark/>
          </w:tcPr>
          <w:p w14:paraId="138DF761" w14:textId="77777777" w:rsidR="00051507" w:rsidRPr="00AD03D1" w:rsidRDefault="00051507" w:rsidP="00DF5625"/>
        </w:tc>
        <w:tc>
          <w:tcPr>
            <w:tcW w:w="1020" w:type="dxa"/>
            <w:tcBorders>
              <w:top w:val="nil"/>
              <w:left w:val="nil"/>
              <w:bottom w:val="nil"/>
              <w:right w:val="nil"/>
            </w:tcBorders>
            <w:shd w:val="clear" w:color="auto" w:fill="auto"/>
            <w:noWrap/>
            <w:vAlign w:val="bottom"/>
            <w:hideMark/>
          </w:tcPr>
          <w:p w14:paraId="4857FA30" w14:textId="77777777" w:rsidR="00051507" w:rsidRPr="00AD03D1" w:rsidRDefault="00051507" w:rsidP="00DF5625"/>
        </w:tc>
      </w:tr>
      <w:tr w:rsidR="00051507" w:rsidRPr="00AD03D1" w14:paraId="7EC2CD06" w14:textId="77777777" w:rsidTr="00DF5625">
        <w:trPr>
          <w:trHeight w:val="95"/>
          <w:jc w:val="center"/>
        </w:trPr>
        <w:tc>
          <w:tcPr>
            <w:tcW w:w="908" w:type="dxa"/>
            <w:tcBorders>
              <w:top w:val="nil"/>
              <w:left w:val="nil"/>
              <w:bottom w:val="nil"/>
              <w:right w:val="nil"/>
            </w:tcBorders>
            <w:shd w:val="clear" w:color="auto" w:fill="auto"/>
            <w:noWrap/>
            <w:vAlign w:val="bottom"/>
            <w:hideMark/>
          </w:tcPr>
          <w:p w14:paraId="3064CCF3" w14:textId="77777777" w:rsidR="00051507" w:rsidRPr="00AD03D1" w:rsidRDefault="00051507" w:rsidP="00DF5625"/>
        </w:tc>
        <w:tc>
          <w:tcPr>
            <w:tcW w:w="3960" w:type="dxa"/>
            <w:tcBorders>
              <w:top w:val="nil"/>
              <w:left w:val="nil"/>
              <w:bottom w:val="nil"/>
              <w:right w:val="nil"/>
            </w:tcBorders>
            <w:shd w:val="clear" w:color="auto" w:fill="auto"/>
            <w:noWrap/>
            <w:vAlign w:val="bottom"/>
            <w:hideMark/>
          </w:tcPr>
          <w:p w14:paraId="26176104" w14:textId="77777777" w:rsidR="00051507" w:rsidRPr="00AD03D1" w:rsidRDefault="00051507" w:rsidP="00DF5625"/>
        </w:tc>
        <w:tc>
          <w:tcPr>
            <w:tcW w:w="3058" w:type="dxa"/>
            <w:gridSpan w:val="3"/>
            <w:vMerge/>
            <w:tcBorders>
              <w:top w:val="nil"/>
              <w:left w:val="nil"/>
              <w:bottom w:val="nil"/>
              <w:right w:val="nil"/>
            </w:tcBorders>
            <w:vAlign w:val="center"/>
            <w:hideMark/>
          </w:tcPr>
          <w:p w14:paraId="69F1AF04" w14:textId="77777777" w:rsidR="00051507" w:rsidRPr="00AD03D1" w:rsidRDefault="00051507" w:rsidP="00DF5625">
            <w:pPr>
              <w:rPr>
                <w:b/>
                <w:bCs/>
                <w:sz w:val="18"/>
                <w:szCs w:val="18"/>
              </w:rPr>
            </w:pPr>
          </w:p>
        </w:tc>
        <w:tc>
          <w:tcPr>
            <w:tcW w:w="146" w:type="dxa"/>
            <w:tcBorders>
              <w:top w:val="nil"/>
              <w:left w:val="nil"/>
              <w:bottom w:val="nil"/>
              <w:right w:val="nil"/>
            </w:tcBorders>
            <w:shd w:val="clear" w:color="auto" w:fill="auto"/>
            <w:noWrap/>
            <w:vAlign w:val="bottom"/>
            <w:hideMark/>
          </w:tcPr>
          <w:p w14:paraId="77D4211D" w14:textId="77777777" w:rsidR="00051507" w:rsidRPr="00AD03D1" w:rsidRDefault="00051507" w:rsidP="00DF5625"/>
        </w:tc>
        <w:tc>
          <w:tcPr>
            <w:tcW w:w="1240" w:type="dxa"/>
            <w:tcBorders>
              <w:top w:val="nil"/>
              <w:left w:val="nil"/>
              <w:bottom w:val="nil"/>
              <w:right w:val="nil"/>
            </w:tcBorders>
            <w:shd w:val="clear" w:color="auto" w:fill="auto"/>
            <w:noWrap/>
            <w:vAlign w:val="bottom"/>
            <w:hideMark/>
          </w:tcPr>
          <w:p w14:paraId="20074E9F" w14:textId="77777777" w:rsidR="00051507" w:rsidRPr="00AD03D1" w:rsidRDefault="00051507" w:rsidP="00DF5625"/>
        </w:tc>
        <w:tc>
          <w:tcPr>
            <w:tcW w:w="181" w:type="dxa"/>
            <w:tcBorders>
              <w:top w:val="nil"/>
              <w:left w:val="nil"/>
              <w:bottom w:val="nil"/>
              <w:right w:val="nil"/>
            </w:tcBorders>
            <w:shd w:val="clear" w:color="auto" w:fill="auto"/>
            <w:noWrap/>
            <w:vAlign w:val="bottom"/>
            <w:hideMark/>
          </w:tcPr>
          <w:p w14:paraId="535FF19E" w14:textId="77777777" w:rsidR="00051507" w:rsidRPr="00AD03D1" w:rsidRDefault="00051507" w:rsidP="00DF5625"/>
        </w:tc>
        <w:tc>
          <w:tcPr>
            <w:tcW w:w="1020" w:type="dxa"/>
            <w:tcBorders>
              <w:top w:val="nil"/>
              <w:left w:val="nil"/>
              <w:bottom w:val="nil"/>
              <w:right w:val="nil"/>
            </w:tcBorders>
            <w:shd w:val="clear" w:color="auto" w:fill="auto"/>
            <w:noWrap/>
            <w:vAlign w:val="bottom"/>
            <w:hideMark/>
          </w:tcPr>
          <w:p w14:paraId="22C51BA8" w14:textId="77777777" w:rsidR="00051507" w:rsidRPr="00AD03D1" w:rsidRDefault="00051507" w:rsidP="00DF5625"/>
        </w:tc>
      </w:tr>
      <w:tr w:rsidR="00051507" w:rsidRPr="00AD03D1" w14:paraId="7BDC5D3A" w14:textId="77777777" w:rsidTr="00DF5625">
        <w:trPr>
          <w:trHeight w:val="210"/>
          <w:jc w:val="center"/>
        </w:trPr>
        <w:tc>
          <w:tcPr>
            <w:tcW w:w="908" w:type="dxa"/>
            <w:tcBorders>
              <w:top w:val="nil"/>
              <w:left w:val="nil"/>
              <w:bottom w:val="nil"/>
              <w:right w:val="nil"/>
            </w:tcBorders>
            <w:shd w:val="clear" w:color="auto" w:fill="auto"/>
            <w:noWrap/>
            <w:vAlign w:val="bottom"/>
            <w:hideMark/>
          </w:tcPr>
          <w:p w14:paraId="12406CF2" w14:textId="77777777" w:rsidR="00051507" w:rsidRPr="00AD03D1" w:rsidRDefault="00051507" w:rsidP="00DF5625"/>
        </w:tc>
        <w:tc>
          <w:tcPr>
            <w:tcW w:w="3960" w:type="dxa"/>
            <w:tcBorders>
              <w:top w:val="nil"/>
              <w:left w:val="nil"/>
              <w:bottom w:val="nil"/>
              <w:right w:val="nil"/>
            </w:tcBorders>
            <w:shd w:val="clear" w:color="auto" w:fill="auto"/>
            <w:noWrap/>
            <w:vAlign w:val="bottom"/>
            <w:hideMark/>
          </w:tcPr>
          <w:p w14:paraId="4CA04CDD" w14:textId="77777777" w:rsidR="00051507" w:rsidRPr="00AD03D1" w:rsidRDefault="00051507" w:rsidP="00DF5625"/>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1A908" w14:textId="77777777" w:rsidR="00051507" w:rsidRPr="00AD03D1" w:rsidRDefault="00051507" w:rsidP="00DF5625">
            <w:pPr>
              <w:jc w:val="center"/>
              <w:rPr>
                <w:b/>
                <w:bCs/>
                <w:sz w:val="18"/>
                <w:szCs w:val="18"/>
              </w:rPr>
            </w:pPr>
            <w:r w:rsidRPr="00AD03D1">
              <w:rPr>
                <w:b/>
                <w:bCs/>
                <w:sz w:val="18"/>
                <w:szCs w:val="18"/>
              </w:rPr>
              <w:t>2021</w:t>
            </w:r>
          </w:p>
        </w:tc>
        <w:tc>
          <w:tcPr>
            <w:tcW w:w="146" w:type="dxa"/>
            <w:tcBorders>
              <w:top w:val="nil"/>
              <w:left w:val="nil"/>
              <w:bottom w:val="nil"/>
              <w:right w:val="nil"/>
            </w:tcBorders>
            <w:shd w:val="clear" w:color="auto" w:fill="auto"/>
            <w:noWrap/>
            <w:vAlign w:val="bottom"/>
            <w:hideMark/>
          </w:tcPr>
          <w:p w14:paraId="06AE5D38" w14:textId="77777777" w:rsidR="00051507" w:rsidRPr="00AD03D1" w:rsidRDefault="00051507" w:rsidP="00DF5625">
            <w:pPr>
              <w:jc w:val="center"/>
              <w:rPr>
                <w:b/>
                <w:bCs/>
                <w:sz w:val="18"/>
                <w:szCs w:val="18"/>
              </w:rPr>
            </w:pP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AE17E" w14:textId="77777777" w:rsidR="00051507" w:rsidRPr="00AD03D1" w:rsidRDefault="00051507" w:rsidP="00DF5625">
            <w:pPr>
              <w:jc w:val="center"/>
              <w:rPr>
                <w:b/>
                <w:bCs/>
                <w:sz w:val="18"/>
                <w:szCs w:val="18"/>
              </w:rPr>
            </w:pPr>
            <w:r w:rsidRPr="00AD03D1">
              <w:rPr>
                <w:b/>
                <w:bCs/>
                <w:sz w:val="18"/>
                <w:szCs w:val="18"/>
              </w:rPr>
              <w:t>2020</w:t>
            </w:r>
          </w:p>
        </w:tc>
        <w:tc>
          <w:tcPr>
            <w:tcW w:w="146" w:type="dxa"/>
            <w:tcBorders>
              <w:top w:val="nil"/>
              <w:left w:val="nil"/>
              <w:bottom w:val="nil"/>
              <w:right w:val="nil"/>
            </w:tcBorders>
            <w:shd w:val="clear" w:color="auto" w:fill="auto"/>
            <w:noWrap/>
            <w:vAlign w:val="bottom"/>
            <w:hideMark/>
          </w:tcPr>
          <w:p w14:paraId="6FE988CB" w14:textId="77777777" w:rsidR="00051507" w:rsidRPr="00AD03D1" w:rsidRDefault="00051507" w:rsidP="00DF5625">
            <w:pPr>
              <w:jc w:val="center"/>
              <w:rPr>
                <w:b/>
                <w:bCs/>
                <w:sz w:val="18"/>
                <w:szCs w:val="18"/>
              </w:rPr>
            </w:pP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1D4C5" w14:textId="77777777" w:rsidR="00051507" w:rsidRPr="00AD03D1" w:rsidRDefault="00051507" w:rsidP="00DF5625">
            <w:pPr>
              <w:jc w:val="center"/>
              <w:rPr>
                <w:b/>
                <w:bCs/>
                <w:sz w:val="18"/>
                <w:szCs w:val="18"/>
              </w:rPr>
            </w:pPr>
            <w:r w:rsidRPr="00AD03D1">
              <w:rPr>
                <w:b/>
                <w:bCs/>
                <w:sz w:val="18"/>
                <w:szCs w:val="18"/>
              </w:rPr>
              <w:t>Var.</w:t>
            </w:r>
          </w:p>
        </w:tc>
        <w:tc>
          <w:tcPr>
            <w:tcW w:w="181" w:type="dxa"/>
            <w:tcBorders>
              <w:top w:val="nil"/>
              <w:left w:val="nil"/>
              <w:bottom w:val="nil"/>
              <w:right w:val="nil"/>
            </w:tcBorders>
            <w:shd w:val="clear" w:color="auto" w:fill="auto"/>
            <w:noWrap/>
            <w:vAlign w:val="bottom"/>
            <w:hideMark/>
          </w:tcPr>
          <w:p w14:paraId="2BBC81AE" w14:textId="77777777" w:rsidR="00051507" w:rsidRPr="00AD03D1" w:rsidRDefault="00051507" w:rsidP="00DF5625">
            <w:pPr>
              <w:jc w:val="center"/>
              <w:rPr>
                <w:b/>
                <w:bCs/>
                <w:sz w:val="18"/>
                <w:szCs w:val="18"/>
              </w:rPr>
            </w:pP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7AA47" w14:textId="77777777" w:rsidR="00051507" w:rsidRPr="00AD03D1" w:rsidRDefault="00051507" w:rsidP="00DF5625">
            <w:pPr>
              <w:jc w:val="center"/>
              <w:rPr>
                <w:b/>
                <w:bCs/>
                <w:sz w:val="18"/>
                <w:szCs w:val="18"/>
              </w:rPr>
            </w:pPr>
            <w:r w:rsidRPr="00AD03D1">
              <w:rPr>
                <w:b/>
                <w:bCs/>
                <w:sz w:val="18"/>
                <w:szCs w:val="18"/>
              </w:rPr>
              <w:t>Var. %</w:t>
            </w:r>
          </w:p>
        </w:tc>
      </w:tr>
      <w:tr w:rsidR="00051507" w:rsidRPr="00AD03D1" w14:paraId="1B4431F4" w14:textId="77777777" w:rsidTr="00DF5625">
        <w:trPr>
          <w:trHeight w:val="260"/>
          <w:jc w:val="center"/>
        </w:trPr>
        <w:tc>
          <w:tcPr>
            <w:tcW w:w="4868" w:type="dxa"/>
            <w:gridSpan w:val="2"/>
            <w:tcBorders>
              <w:top w:val="nil"/>
              <w:left w:val="nil"/>
              <w:bottom w:val="nil"/>
              <w:right w:val="nil"/>
            </w:tcBorders>
            <w:shd w:val="clear" w:color="auto" w:fill="auto"/>
            <w:noWrap/>
            <w:vAlign w:val="center"/>
            <w:hideMark/>
          </w:tcPr>
          <w:p w14:paraId="4FF16897" w14:textId="77777777" w:rsidR="00051507" w:rsidRPr="00AD03D1" w:rsidRDefault="00051507" w:rsidP="00DF5625">
            <w:pPr>
              <w:rPr>
                <w:sz w:val="18"/>
                <w:szCs w:val="18"/>
              </w:rPr>
            </w:pPr>
            <w:r w:rsidRPr="00AD03D1">
              <w:rPr>
                <w:sz w:val="18"/>
                <w:szCs w:val="18"/>
              </w:rPr>
              <w:t xml:space="preserve">  Ventas de energía</w:t>
            </w:r>
          </w:p>
        </w:tc>
        <w:tc>
          <w:tcPr>
            <w:tcW w:w="1456" w:type="dxa"/>
            <w:tcBorders>
              <w:top w:val="nil"/>
              <w:left w:val="nil"/>
              <w:bottom w:val="nil"/>
              <w:right w:val="nil"/>
            </w:tcBorders>
            <w:shd w:val="clear" w:color="000000" w:fill="FFFFFF"/>
            <w:noWrap/>
            <w:vAlign w:val="center"/>
            <w:hideMark/>
          </w:tcPr>
          <w:p w14:paraId="7B463FB2" w14:textId="77777777" w:rsidR="00051507" w:rsidRPr="00AD03D1" w:rsidRDefault="00051507" w:rsidP="00DF5625">
            <w:pPr>
              <w:jc w:val="right"/>
              <w:rPr>
                <w:sz w:val="18"/>
                <w:szCs w:val="18"/>
              </w:rPr>
            </w:pPr>
            <w:r w:rsidRPr="00AD03D1">
              <w:rPr>
                <w:sz w:val="18"/>
                <w:szCs w:val="18"/>
              </w:rPr>
              <w:t>4.058.069</w:t>
            </w:r>
          </w:p>
        </w:tc>
        <w:tc>
          <w:tcPr>
            <w:tcW w:w="146" w:type="dxa"/>
            <w:tcBorders>
              <w:top w:val="nil"/>
              <w:left w:val="nil"/>
              <w:bottom w:val="nil"/>
              <w:right w:val="nil"/>
            </w:tcBorders>
            <w:shd w:val="clear" w:color="auto" w:fill="auto"/>
            <w:noWrap/>
            <w:vAlign w:val="bottom"/>
            <w:hideMark/>
          </w:tcPr>
          <w:p w14:paraId="51067D82"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center"/>
            <w:hideMark/>
          </w:tcPr>
          <w:p w14:paraId="0109C929" w14:textId="77777777" w:rsidR="00051507" w:rsidRPr="00AD03D1" w:rsidRDefault="00051507" w:rsidP="00DF5625">
            <w:pPr>
              <w:jc w:val="right"/>
              <w:rPr>
                <w:sz w:val="18"/>
                <w:szCs w:val="18"/>
              </w:rPr>
            </w:pPr>
            <w:r w:rsidRPr="00AD03D1">
              <w:rPr>
                <w:sz w:val="18"/>
                <w:szCs w:val="18"/>
              </w:rPr>
              <w:t>3.251.998</w:t>
            </w:r>
          </w:p>
        </w:tc>
        <w:tc>
          <w:tcPr>
            <w:tcW w:w="146" w:type="dxa"/>
            <w:tcBorders>
              <w:top w:val="nil"/>
              <w:left w:val="nil"/>
              <w:bottom w:val="nil"/>
              <w:right w:val="nil"/>
            </w:tcBorders>
            <w:shd w:val="clear" w:color="auto" w:fill="auto"/>
            <w:noWrap/>
            <w:vAlign w:val="bottom"/>
            <w:hideMark/>
          </w:tcPr>
          <w:p w14:paraId="6F76D0B4"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bottom"/>
            <w:hideMark/>
          </w:tcPr>
          <w:p w14:paraId="3C318D0B" w14:textId="77777777" w:rsidR="00051507" w:rsidRPr="00AD03D1" w:rsidRDefault="00051507" w:rsidP="00DF5625">
            <w:pPr>
              <w:jc w:val="right"/>
              <w:rPr>
                <w:sz w:val="18"/>
                <w:szCs w:val="18"/>
              </w:rPr>
            </w:pPr>
            <w:r w:rsidRPr="00AD03D1">
              <w:rPr>
                <w:sz w:val="18"/>
                <w:szCs w:val="18"/>
              </w:rPr>
              <w:t>806.071</w:t>
            </w:r>
          </w:p>
        </w:tc>
        <w:tc>
          <w:tcPr>
            <w:tcW w:w="181" w:type="dxa"/>
            <w:tcBorders>
              <w:top w:val="nil"/>
              <w:left w:val="nil"/>
              <w:bottom w:val="nil"/>
              <w:right w:val="nil"/>
            </w:tcBorders>
            <w:shd w:val="clear" w:color="auto" w:fill="auto"/>
            <w:noWrap/>
            <w:vAlign w:val="bottom"/>
            <w:hideMark/>
          </w:tcPr>
          <w:p w14:paraId="53FCA38E"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1E1B6025" w14:textId="77777777" w:rsidR="00051507" w:rsidRPr="00AD03D1" w:rsidRDefault="00051507" w:rsidP="00DF5625">
            <w:pPr>
              <w:jc w:val="right"/>
              <w:rPr>
                <w:sz w:val="18"/>
                <w:szCs w:val="18"/>
              </w:rPr>
            </w:pPr>
            <w:r w:rsidRPr="00AD03D1">
              <w:rPr>
                <w:sz w:val="18"/>
                <w:szCs w:val="18"/>
              </w:rPr>
              <w:t>25%</w:t>
            </w:r>
          </w:p>
        </w:tc>
      </w:tr>
      <w:tr w:rsidR="00051507" w:rsidRPr="00AD03D1" w14:paraId="5C2AD62D" w14:textId="77777777" w:rsidTr="00DF5625">
        <w:trPr>
          <w:trHeight w:val="275"/>
          <w:jc w:val="center"/>
        </w:trPr>
        <w:tc>
          <w:tcPr>
            <w:tcW w:w="4868" w:type="dxa"/>
            <w:gridSpan w:val="2"/>
            <w:tcBorders>
              <w:top w:val="nil"/>
              <w:left w:val="nil"/>
              <w:bottom w:val="nil"/>
              <w:right w:val="nil"/>
            </w:tcBorders>
            <w:shd w:val="clear" w:color="auto" w:fill="auto"/>
            <w:noWrap/>
            <w:vAlign w:val="center"/>
            <w:hideMark/>
          </w:tcPr>
          <w:p w14:paraId="223D0E32" w14:textId="77777777" w:rsidR="00051507" w:rsidRPr="00AD03D1" w:rsidRDefault="00051507" w:rsidP="00DF5625">
            <w:pPr>
              <w:rPr>
                <w:b/>
                <w:bCs/>
                <w:sz w:val="18"/>
                <w:szCs w:val="18"/>
              </w:rPr>
            </w:pPr>
            <w:r w:rsidRPr="00AD03D1">
              <w:rPr>
                <w:b/>
                <w:bCs/>
                <w:sz w:val="18"/>
                <w:szCs w:val="18"/>
              </w:rPr>
              <w:t>Ventas netas</w:t>
            </w:r>
          </w:p>
        </w:tc>
        <w:tc>
          <w:tcPr>
            <w:tcW w:w="1456" w:type="dxa"/>
            <w:tcBorders>
              <w:top w:val="single" w:sz="4" w:space="0" w:color="auto"/>
              <w:left w:val="nil"/>
              <w:bottom w:val="single" w:sz="4" w:space="0" w:color="auto"/>
              <w:right w:val="nil"/>
            </w:tcBorders>
            <w:shd w:val="clear" w:color="auto" w:fill="auto"/>
            <w:noWrap/>
            <w:vAlign w:val="bottom"/>
            <w:hideMark/>
          </w:tcPr>
          <w:p w14:paraId="1B56629E" w14:textId="77777777" w:rsidR="00051507" w:rsidRPr="00AD03D1" w:rsidRDefault="00051507" w:rsidP="00DF5625">
            <w:pPr>
              <w:jc w:val="right"/>
              <w:rPr>
                <w:b/>
                <w:bCs/>
                <w:sz w:val="18"/>
                <w:szCs w:val="18"/>
              </w:rPr>
            </w:pPr>
            <w:r w:rsidRPr="00AD03D1">
              <w:rPr>
                <w:b/>
                <w:bCs/>
                <w:sz w:val="18"/>
                <w:szCs w:val="18"/>
              </w:rPr>
              <w:t>4.058.069</w:t>
            </w:r>
          </w:p>
        </w:tc>
        <w:tc>
          <w:tcPr>
            <w:tcW w:w="146" w:type="dxa"/>
            <w:tcBorders>
              <w:top w:val="nil"/>
              <w:left w:val="nil"/>
              <w:bottom w:val="nil"/>
              <w:right w:val="nil"/>
            </w:tcBorders>
            <w:shd w:val="clear" w:color="auto" w:fill="auto"/>
            <w:noWrap/>
            <w:vAlign w:val="bottom"/>
            <w:hideMark/>
          </w:tcPr>
          <w:p w14:paraId="5C1201B1" w14:textId="77777777" w:rsidR="00051507" w:rsidRPr="00AD03D1" w:rsidRDefault="00051507" w:rsidP="00DF5625">
            <w:pPr>
              <w:jc w:val="right"/>
              <w:rPr>
                <w:b/>
                <w:bCs/>
                <w:sz w:val="18"/>
                <w:szCs w:val="18"/>
              </w:rPr>
            </w:pPr>
          </w:p>
        </w:tc>
        <w:tc>
          <w:tcPr>
            <w:tcW w:w="1456" w:type="dxa"/>
            <w:tcBorders>
              <w:top w:val="single" w:sz="4" w:space="0" w:color="auto"/>
              <w:left w:val="nil"/>
              <w:bottom w:val="single" w:sz="4" w:space="0" w:color="auto"/>
              <w:right w:val="nil"/>
            </w:tcBorders>
            <w:shd w:val="clear" w:color="auto" w:fill="auto"/>
            <w:noWrap/>
            <w:vAlign w:val="bottom"/>
            <w:hideMark/>
          </w:tcPr>
          <w:p w14:paraId="39D7C947" w14:textId="77777777" w:rsidR="00051507" w:rsidRPr="00AD03D1" w:rsidRDefault="00051507" w:rsidP="00DF5625">
            <w:pPr>
              <w:jc w:val="right"/>
              <w:rPr>
                <w:b/>
                <w:bCs/>
                <w:sz w:val="18"/>
                <w:szCs w:val="18"/>
              </w:rPr>
            </w:pPr>
            <w:r w:rsidRPr="00AD03D1">
              <w:rPr>
                <w:b/>
                <w:bCs/>
                <w:sz w:val="18"/>
                <w:szCs w:val="18"/>
              </w:rPr>
              <w:t>3.251.998</w:t>
            </w:r>
          </w:p>
        </w:tc>
        <w:tc>
          <w:tcPr>
            <w:tcW w:w="146" w:type="dxa"/>
            <w:tcBorders>
              <w:top w:val="nil"/>
              <w:left w:val="nil"/>
              <w:bottom w:val="nil"/>
              <w:right w:val="nil"/>
            </w:tcBorders>
            <w:shd w:val="clear" w:color="auto" w:fill="auto"/>
            <w:noWrap/>
            <w:vAlign w:val="bottom"/>
            <w:hideMark/>
          </w:tcPr>
          <w:p w14:paraId="26518ACD" w14:textId="77777777" w:rsidR="00051507" w:rsidRPr="00AD03D1" w:rsidRDefault="00051507" w:rsidP="00DF5625">
            <w:pPr>
              <w:jc w:val="right"/>
              <w:rPr>
                <w:b/>
                <w:bCs/>
                <w:sz w:val="18"/>
                <w:szCs w:val="18"/>
              </w:rPr>
            </w:pPr>
          </w:p>
        </w:tc>
        <w:tc>
          <w:tcPr>
            <w:tcW w:w="1240" w:type="dxa"/>
            <w:tcBorders>
              <w:top w:val="single" w:sz="4" w:space="0" w:color="auto"/>
              <w:left w:val="nil"/>
              <w:bottom w:val="single" w:sz="4" w:space="0" w:color="auto"/>
              <w:right w:val="nil"/>
            </w:tcBorders>
            <w:shd w:val="clear" w:color="auto" w:fill="auto"/>
            <w:noWrap/>
            <w:vAlign w:val="bottom"/>
            <w:hideMark/>
          </w:tcPr>
          <w:p w14:paraId="2146A46E" w14:textId="77777777" w:rsidR="00051507" w:rsidRPr="00AD03D1" w:rsidRDefault="00051507" w:rsidP="00DF5625">
            <w:pPr>
              <w:jc w:val="right"/>
              <w:rPr>
                <w:b/>
                <w:bCs/>
                <w:sz w:val="18"/>
                <w:szCs w:val="18"/>
              </w:rPr>
            </w:pPr>
            <w:r w:rsidRPr="00AD03D1">
              <w:rPr>
                <w:b/>
                <w:bCs/>
                <w:sz w:val="18"/>
                <w:szCs w:val="18"/>
              </w:rPr>
              <w:t>806.071</w:t>
            </w:r>
          </w:p>
        </w:tc>
        <w:tc>
          <w:tcPr>
            <w:tcW w:w="181" w:type="dxa"/>
            <w:tcBorders>
              <w:top w:val="nil"/>
              <w:left w:val="nil"/>
              <w:bottom w:val="nil"/>
              <w:right w:val="nil"/>
            </w:tcBorders>
            <w:shd w:val="clear" w:color="auto" w:fill="auto"/>
            <w:noWrap/>
            <w:vAlign w:val="bottom"/>
            <w:hideMark/>
          </w:tcPr>
          <w:p w14:paraId="2E1ECE27" w14:textId="77777777" w:rsidR="00051507" w:rsidRPr="00AD03D1" w:rsidRDefault="00051507" w:rsidP="00DF5625">
            <w:pPr>
              <w:jc w:val="right"/>
              <w:rPr>
                <w:b/>
                <w:bCs/>
                <w:sz w:val="18"/>
                <w:szCs w:val="18"/>
              </w:rPr>
            </w:pPr>
          </w:p>
        </w:tc>
        <w:tc>
          <w:tcPr>
            <w:tcW w:w="1020" w:type="dxa"/>
            <w:tcBorders>
              <w:top w:val="single" w:sz="4" w:space="0" w:color="auto"/>
              <w:left w:val="nil"/>
              <w:bottom w:val="single" w:sz="4" w:space="0" w:color="auto"/>
              <w:right w:val="nil"/>
            </w:tcBorders>
            <w:shd w:val="clear" w:color="auto" w:fill="auto"/>
            <w:noWrap/>
            <w:vAlign w:val="center"/>
            <w:hideMark/>
          </w:tcPr>
          <w:p w14:paraId="6ED77EDD" w14:textId="77777777" w:rsidR="00051507" w:rsidRPr="00AD03D1" w:rsidRDefault="00051507" w:rsidP="00DF5625">
            <w:pPr>
              <w:jc w:val="right"/>
              <w:rPr>
                <w:b/>
                <w:bCs/>
                <w:sz w:val="18"/>
                <w:szCs w:val="18"/>
              </w:rPr>
            </w:pPr>
            <w:r w:rsidRPr="00AD03D1">
              <w:rPr>
                <w:b/>
                <w:bCs/>
                <w:sz w:val="18"/>
                <w:szCs w:val="18"/>
              </w:rPr>
              <w:t>25%</w:t>
            </w:r>
          </w:p>
        </w:tc>
      </w:tr>
      <w:tr w:rsidR="00051507" w:rsidRPr="00AD03D1" w14:paraId="0FC7D710" w14:textId="77777777" w:rsidTr="00DF5625">
        <w:trPr>
          <w:trHeight w:val="75"/>
          <w:jc w:val="center"/>
        </w:trPr>
        <w:tc>
          <w:tcPr>
            <w:tcW w:w="908" w:type="dxa"/>
            <w:tcBorders>
              <w:top w:val="nil"/>
              <w:left w:val="nil"/>
              <w:bottom w:val="nil"/>
              <w:right w:val="nil"/>
            </w:tcBorders>
            <w:shd w:val="clear" w:color="auto" w:fill="auto"/>
            <w:noWrap/>
            <w:vAlign w:val="center"/>
            <w:hideMark/>
          </w:tcPr>
          <w:p w14:paraId="726759C8" w14:textId="77777777" w:rsidR="00051507" w:rsidRPr="00AD03D1" w:rsidRDefault="00051507" w:rsidP="00DF5625">
            <w:pPr>
              <w:jc w:val="right"/>
              <w:rPr>
                <w:b/>
                <w:bCs/>
                <w:sz w:val="18"/>
                <w:szCs w:val="18"/>
              </w:rPr>
            </w:pPr>
          </w:p>
        </w:tc>
        <w:tc>
          <w:tcPr>
            <w:tcW w:w="3960" w:type="dxa"/>
            <w:tcBorders>
              <w:top w:val="nil"/>
              <w:left w:val="nil"/>
              <w:bottom w:val="nil"/>
              <w:right w:val="nil"/>
            </w:tcBorders>
            <w:shd w:val="clear" w:color="auto" w:fill="auto"/>
            <w:noWrap/>
            <w:vAlign w:val="center"/>
            <w:hideMark/>
          </w:tcPr>
          <w:p w14:paraId="01EC3AE8" w14:textId="77777777" w:rsidR="00051507" w:rsidRPr="00AD03D1" w:rsidRDefault="00051507" w:rsidP="00DF5625"/>
        </w:tc>
        <w:tc>
          <w:tcPr>
            <w:tcW w:w="1456" w:type="dxa"/>
            <w:tcBorders>
              <w:top w:val="nil"/>
              <w:left w:val="nil"/>
              <w:bottom w:val="nil"/>
              <w:right w:val="nil"/>
            </w:tcBorders>
            <w:shd w:val="clear" w:color="000000" w:fill="FFFFFF"/>
            <w:noWrap/>
            <w:vAlign w:val="center"/>
            <w:hideMark/>
          </w:tcPr>
          <w:p w14:paraId="5E9C8376" w14:textId="77777777" w:rsidR="00051507" w:rsidRPr="00AD03D1" w:rsidRDefault="00051507" w:rsidP="00DF5625">
            <w:pPr>
              <w:rPr>
                <w:sz w:val="18"/>
                <w:szCs w:val="18"/>
              </w:rPr>
            </w:pPr>
            <w:r w:rsidRPr="00AD03D1">
              <w:rPr>
                <w:sz w:val="18"/>
                <w:szCs w:val="18"/>
              </w:rPr>
              <w:t> </w:t>
            </w:r>
          </w:p>
        </w:tc>
        <w:tc>
          <w:tcPr>
            <w:tcW w:w="146" w:type="dxa"/>
            <w:tcBorders>
              <w:top w:val="nil"/>
              <w:left w:val="nil"/>
              <w:bottom w:val="nil"/>
              <w:right w:val="nil"/>
            </w:tcBorders>
            <w:shd w:val="clear" w:color="auto" w:fill="auto"/>
            <w:noWrap/>
            <w:vAlign w:val="center"/>
            <w:hideMark/>
          </w:tcPr>
          <w:p w14:paraId="356C3404" w14:textId="77777777" w:rsidR="00051507" w:rsidRPr="00AD03D1" w:rsidRDefault="00051507" w:rsidP="00DF5625">
            <w:pPr>
              <w:rPr>
                <w:sz w:val="18"/>
                <w:szCs w:val="18"/>
              </w:rPr>
            </w:pPr>
          </w:p>
        </w:tc>
        <w:tc>
          <w:tcPr>
            <w:tcW w:w="1456" w:type="dxa"/>
            <w:tcBorders>
              <w:top w:val="nil"/>
              <w:left w:val="nil"/>
              <w:bottom w:val="nil"/>
              <w:right w:val="nil"/>
            </w:tcBorders>
            <w:shd w:val="clear" w:color="000000" w:fill="FFFFFF"/>
            <w:noWrap/>
            <w:vAlign w:val="center"/>
            <w:hideMark/>
          </w:tcPr>
          <w:p w14:paraId="13144862" w14:textId="77777777" w:rsidR="00051507" w:rsidRPr="00AD03D1" w:rsidRDefault="00051507" w:rsidP="00DF5625">
            <w:pPr>
              <w:rPr>
                <w:sz w:val="18"/>
                <w:szCs w:val="18"/>
              </w:rPr>
            </w:pPr>
            <w:r w:rsidRPr="00AD03D1">
              <w:rPr>
                <w:sz w:val="18"/>
                <w:szCs w:val="18"/>
              </w:rPr>
              <w:t> </w:t>
            </w:r>
          </w:p>
        </w:tc>
        <w:tc>
          <w:tcPr>
            <w:tcW w:w="146" w:type="dxa"/>
            <w:tcBorders>
              <w:top w:val="nil"/>
              <w:left w:val="nil"/>
              <w:bottom w:val="nil"/>
              <w:right w:val="nil"/>
            </w:tcBorders>
            <w:shd w:val="clear" w:color="auto" w:fill="auto"/>
            <w:noWrap/>
            <w:vAlign w:val="center"/>
            <w:hideMark/>
          </w:tcPr>
          <w:p w14:paraId="0C29A3A8" w14:textId="77777777" w:rsidR="00051507" w:rsidRPr="00AD03D1" w:rsidRDefault="00051507" w:rsidP="00DF5625">
            <w:pPr>
              <w:rPr>
                <w:sz w:val="18"/>
                <w:szCs w:val="18"/>
              </w:rPr>
            </w:pPr>
          </w:p>
        </w:tc>
        <w:tc>
          <w:tcPr>
            <w:tcW w:w="1240" w:type="dxa"/>
            <w:tcBorders>
              <w:top w:val="nil"/>
              <w:left w:val="nil"/>
              <w:bottom w:val="nil"/>
              <w:right w:val="nil"/>
            </w:tcBorders>
            <w:shd w:val="clear" w:color="auto" w:fill="auto"/>
            <w:noWrap/>
            <w:vAlign w:val="center"/>
            <w:hideMark/>
          </w:tcPr>
          <w:p w14:paraId="34782585" w14:textId="77777777" w:rsidR="00051507" w:rsidRPr="00AD03D1" w:rsidRDefault="00051507" w:rsidP="00DF5625"/>
        </w:tc>
        <w:tc>
          <w:tcPr>
            <w:tcW w:w="181" w:type="dxa"/>
            <w:tcBorders>
              <w:top w:val="nil"/>
              <w:left w:val="nil"/>
              <w:bottom w:val="nil"/>
              <w:right w:val="nil"/>
            </w:tcBorders>
            <w:shd w:val="clear" w:color="auto" w:fill="auto"/>
            <w:noWrap/>
            <w:vAlign w:val="center"/>
            <w:hideMark/>
          </w:tcPr>
          <w:p w14:paraId="00442FB8" w14:textId="77777777" w:rsidR="00051507" w:rsidRPr="00AD03D1" w:rsidRDefault="00051507" w:rsidP="00DF5625"/>
        </w:tc>
        <w:tc>
          <w:tcPr>
            <w:tcW w:w="1020" w:type="dxa"/>
            <w:tcBorders>
              <w:top w:val="nil"/>
              <w:left w:val="nil"/>
              <w:bottom w:val="nil"/>
              <w:right w:val="nil"/>
            </w:tcBorders>
            <w:shd w:val="clear" w:color="auto" w:fill="auto"/>
            <w:noWrap/>
            <w:vAlign w:val="center"/>
            <w:hideMark/>
          </w:tcPr>
          <w:p w14:paraId="52E7557F" w14:textId="77777777" w:rsidR="00051507" w:rsidRPr="00AD03D1" w:rsidRDefault="00051507" w:rsidP="00DF5625"/>
        </w:tc>
      </w:tr>
      <w:tr w:rsidR="00051507" w:rsidRPr="00AD03D1" w14:paraId="6ABD78A9" w14:textId="77777777" w:rsidTr="00DF5625">
        <w:trPr>
          <w:trHeight w:val="240"/>
          <w:jc w:val="center"/>
        </w:trPr>
        <w:tc>
          <w:tcPr>
            <w:tcW w:w="4868" w:type="dxa"/>
            <w:gridSpan w:val="2"/>
            <w:tcBorders>
              <w:top w:val="nil"/>
              <w:left w:val="nil"/>
              <w:bottom w:val="nil"/>
              <w:right w:val="nil"/>
            </w:tcBorders>
            <w:shd w:val="clear" w:color="auto" w:fill="auto"/>
            <w:noWrap/>
            <w:vAlign w:val="center"/>
            <w:hideMark/>
          </w:tcPr>
          <w:p w14:paraId="00922E39" w14:textId="77777777" w:rsidR="00051507" w:rsidRPr="00AD03D1" w:rsidRDefault="00051507" w:rsidP="00DF5625">
            <w:pPr>
              <w:rPr>
                <w:sz w:val="18"/>
                <w:szCs w:val="18"/>
              </w:rPr>
            </w:pPr>
            <w:r w:rsidRPr="00AD03D1">
              <w:rPr>
                <w:sz w:val="18"/>
                <w:szCs w:val="18"/>
              </w:rPr>
              <w:t xml:space="preserve">  Compra de energía eléctrica</w:t>
            </w:r>
          </w:p>
        </w:tc>
        <w:tc>
          <w:tcPr>
            <w:tcW w:w="1456" w:type="dxa"/>
            <w:tcBorders>
              <w:top w:val="nil"/>
              <w:left w:val="nil"/>
              <w:bottom w:val="nil"/>
              <w:right w:val="nil"/>
            </w:tcBorders>
            <w:shd w:val="clear" w:color="000000" w:fill="FFFFFF"/>
            <w:noWrap/>
            <w:vAlign w:val="center"/>
            <w:hideMark/>
          </w:tcPr>
          <w:p w14:paraId="0303F709" w14:textId="77777777" w:rsidR="00051507" w:rsidRPr="00AD03D1" w:rsidRDefault="00051507" w:rsidP="00DF5625">
            <w:pPr>
              <w:jc w:val="right"/>
              <w:rPr>
                <w:sz w:val="18"/>
                <w:szCs w:val="18"/>
              </w:rPr>
            </w:pPr>
            <w:r w:rsidRPr="00AD03D1">
              <w:rPr>
                <w:sz w:val="18"/>
                <w:szCs w:val="18"/>
              </w:rPr>
              <w:t>(44.821)</w:t>
            </w:r>
          </w:p>
        </w:tc>
        <w:tc>
          <w:tcPr>
            <w:tcW w:w="146" w:type="dxa"/>
            <w:tcBorders>
              <w:top w:val="nil"/>
              <w:left w:val="nil"/>
              <w:bottom w:val="nil"/>
              <w:right w:val="nil"/>
            </w:tcBorders>
            <w:shd w:val="clear" w:color="auto" w:fill="auto"/>
            <w:noWrap/>
            <w:vAlign w:val="bottom"/>
            <w:hideMark/>
          </w:tcPr>
          <w:p w14:paraId="4A28BBD5"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center"/>
            <w:hideMark/>
          </w:tcPr>
          <w:p w14:paraId="17BABC20" w14:textId="77777777" w:rsidR="00051507" w:rsidRPr="00AD03D1" w:rsidRDefault="00051507" w:rsidP="00DF5625">
            <w:pPr>
              <w:jc w:val="right"/>
              <w:rPr>
                <w:sz w:val="18"/>
                <w:szCs w:val="18"/>
              </w:rPr>
            </w:pPr>
            <w:r w:rsidRPr="00AD03D1">
              <w:rPr>
                <w:sz w:val="18"/>
                <w:szCs w:val="18"/>
              </w:rPr>
              <w:t>(19.638)</w:t>
            </w:r>
          </w:p>
        </w:tc>
        <w:tc>
          <w:tcPr>
            <w:tcW w:w="146" w:type="dxa"/>
            <w:tcBorders>
              <w:top w:val="nil"/>
              <w:left w:val="nil"/>
              <w:bottom w:val="nil"/>
              <w:right w:val="nil"/>
            </w:tcBorders>
            <w:shd w:val="clear" w:color="auto" w:fill="auto"/>
            <w:noWrap/>
            <w:vAlign w:val="bottom"/>
            <w:hideMark/>
          </w:tcPr>
          <w:p w14:paraId="71CFC567"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bottom"/>
            <w:hideMark/>
          </w:tcPr>
          <w:p w14:paraId="4AD4FFF2" w14:textId="77777777" w:rsidR="00051507" w:rsidRPr="00AD03D1" w:rsidRDefault="00051507" w:rsidP="00DF5625">
            <w:pPr>
              <w:jc w:val="right"/>
              <w:rPr>
                <w:sz w:val="18"/>
                <w:szCs w:val="18"/>
              </w:rPr>
            </w:pPr>
            <w:r w:rsidRPr="00AD03D1">
              <w:rPr>
                <w:sz w:val="18"/>
                <w:szCs w:val="18"/>
              </w:rPr>
              <w:t>(25.183)</w:t>
            </w:r>
          </w:p>
        </w:tc>
        <w:tc>
          <w:tcPr>
            <w:tcW w:w="181" w:type="dxa"/>
            <w:tcBorders>
              <w:top w:val="nil"/>
              <w:left w:val="nil"/>
              <w:bottom w:val="nil"/>
              <w:right w:val="nil"/>
            </w:tcBorders>
            <w:shd w:val="clear" w:color="auto" w:fill="auto"/>
            <w:noWrap/>
            <w:vAlign w:val="bottom"/>
            <w:hideMark/>
          </w:tcPr>
          <w:p w14:paraId="686BC6BF"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09B47371" w14:textId="77777777" w:rsidR="00051507" w:rsidRPr="00AD03D1" w:rsidRDefault="00051507" w:rsidP="00DF5625">
            <w:pPr>
              <w:jc w:val="right"/>
              <w:rPr>
                <w:sz w:val="18"/>
                <w:szCs w:val="18"/>
              </w:rPr>
            </w:pPr>
            <w:r w:rsidRPr="00AD03D1">
              <w:rPr>
                <w:sz w:val="18"/>
                <w:szCs w:val="18"/>
              </w:rPr>
              <w:t>128%</w:t>
            </w:r>
          </w:p>
        </w:tc>
      </w:tr>
      <w:tr w:rsidR="00051507" w:rsidRPr="00AD03D1" w14:paraId="7AEE6BAF" w14:textId="77777777" w:rsidTr="00DF5625">
        <w:trPr>
          <w:trHeight w:val="260"/>
          <w:jc w:val="center"/>
        </w:trPr>
        <w:tc>
          <w:tcPr>
            <w:tcW w:w="4868" w:type="dxa"/>
            <w:gridSpan w:val="2"/>
            <w:tcBorders>
              <w:top w:val="nil"/>
              <w:left w:val="nil"/>
              <w:bottom w:val="nil"/>
              <w:right w:val="nil"/>
            </w:tcBorders>
            <w:shd w:val="clear" w:color="auto" w:fill="auto"/>
            <w:noWrap/>
            <w:vAlign w:val="center"/>
            <w:hideMark/>
          </w:tcPr>
          <w:p w14:paraId="01CAD798" w14:textId="77777777" w:rsidR="00051507" w:rsidRPr="00AD03D1" w:rsidRDefault="00051507" w:rsidP="00DF5625">
            <w:pPr>
              <w:rPr>
                <w:sz w:val="18"/>
                <w:szCs w:val="18"/>
              </w:rPr>
            </w:pPr>
            <w:r w:rsidRPr="00AD03D1">
              <w:rPr>
                <w:sz w:val="18"/>
                <w:szCs w:val="18"/>
              </w:rPr>
              <w:t xml:space="preserve">  Sueldos, cargas sociales y beneficios al personal</w:t>
            </w:r>
          </w:p>
        </w:tc>
        <w:tc>
          <w:tcPr>
            <w:tcW w:w="1456" w:type="dxa"/>
            <w:tcBorders>
              <w:top w:val="nil"/>
              <w:left w:val="nil"/>
              <w:bottom w:val="nil"/>
              <w:right w:val="nil"/>
            </w:tcBorders>
            <w:shd w:val="clear" w:color="000000" w:fill="FFFFFF"/>
            <w:noWrap/>
            <w:vAlign w:val="bottom"/>
            <w:hideMark/>
          </w:tcPr>
          <w:p w14:paraId="5DBDA0C8" w14:textId="77777777" w:rsidR="00051507" w:rsidRPr="00AD03D1" w:rsidRDefault="00051507" w:rsidP="00DF5625">
            <w:pPr>
              <w:jc w:val="right"/>
              <w:rPr>
                <w:sz w:val="18"/>
                <w:szCs w:val="18"/>
              </w:rPr>
            </w:pPr>
            <w:r w:rsidRPr="00AD03D1">
              <w:rPr>
                <w:sz w:val="18"/>
                <w:szCs w:val="18"/>
              </w:rPr>
              <w:t>(150.462)</w:t>
            </w:r>
          </w:p>
        </w:tc>
        <w:tc>
          <w:tcPr>
            <w:tcW w:w="146" w:type="dxa"/>
            <w:tcBorders>
              <w:top w:val="nil"/>
              <w:left w:val="nil"/>
              <w:bottom w:val="nil"/>
              <w:right w:val="nil"/>
            </w:tcBorders>
            <w:shd w:val="clear" w:color="auto" w:fill="auto"/>
            <w:noWrap/>
            <w:vAlign w:val="bottom"/>
            <w:hideMark/>
          </w:tcPr>
          <w:p w14:paraId="4ECE0C33"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bottom"/>
            <w:hideMark/>
          </w:tcPr>
          <w:p w14:paraId="51B6CE74" w14:textId="77777777" w:rsidR="00051507" w:rsidRPr="00AD03D1" w:rsidRDefault="00051507" w:rsidP="00DF5625">
            <w:pPr>
              <w:jc w:val="right"/>
              <w:rPr>
                <w:sz w:val="18"/>
                <w:szCs w:val="18"/>
              </w:rPr>
            </w:pPr>
            <w:r w:rsidRPr="00AD03D1">
              <w:rPr>
                <w:sz w:val="18"/>
                <w:szCs w:val="18"/>
              </w:rPr>
              <w:t>(119.963)</w:t>
            </w:r>
          </w:p>
        </w:tc>
        <w:tc>
          <w:tcPr>
            <w:tcW w:w="146" w:type="dxa"/>
            <w:tcBorders>
              <w:top w:val="nil"/>
              <w:left w:val="nil"/>
              <w:bottom w:val="nil"/>
              <w:right w:val="nil"/>
            </w:tcBorders>
            <w:shd w:val="clear" w:color="auto" w:fill="auto"/>
            <w:noWrap/>
            <w:vAlign w:val="bottom"/>
            <w:hideMark/>
          </w:tcPr>
          <w:p w14:paraId="6D1B0E61"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bottom"/>
            <w:hideMark/>
          </w:tcPr>
          <w:p w14:paraId="4203A210" w14:textId="77777777" w:rsidR="00051507" w:rsidRPr="00AD03D1" w:rsidRDefault="00051507" w:rsidP="00DF5625">
            <w:pPr>
              <w:jc w:val="right"/>
              <w:rPr>
                <w:sz w:val="18"/>
                <w:szCs w:val="18"/>
              </w:rPr>
            </w:pPr>
            <w:r w:rsidRPr="00AD03D1">
              <w:rPr>
                <w:sz w:val="18"/>
                <w:szCs w:val="18"/>
              </w:rPr>
              <w:t>(30.499)</w:t>
            </w:r>
          </w:p>
        </w:tc>
        <w:tc>
          <w:tcPr>
            <w:tcW w:w="181" w:type="dxa"/>
            <w:tcBorders>
              <w:top w:val="nil"/>
              <w:left w:val="nil"/>
              <w:bottom w:val="nil"/>
              <w:right w:val="nil"/>
            </w:tcBorders>
            <w:shd w:val="clear" w:color="auto" w:fill="auto"/>
            <w:noWrap/>
            <w:vAlign w:val="bottom"/>
            <w:hideMark/>
          </w:tcPr>
          <w:p w14:paraId="206D1F59"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15586384" w14:textId="77777777" w:rsidR="00051507" w:rsidRPr="00AD03D1" w:rsidRDefault="00051507" w:rsidP="00DF5625">
            <w:pPr>
              <w:jc w:val="right"/>
              <w:rPr>
                <w:sz w:val="18"/>
                <w:szCs w:val="18"/>
              </w:rPr>
            </w:pPr>
            <w:r w:rsidRPr="00AD03D1">
              <w:rPr>
                <w:sz w:val="18"/>
                <w:szCs w:val="18"/>
              </w:rPr>
              <w:t>25%</w:t>
            </w:r>
          </w:p>
        </w:tc>
      </w:tr>
      <w:tr w:rsidR="00051507" w:rsidRPr="00AD03D1" w14:paraId="6871A1AC" w14:textId="77777777" w:rsidTr="00DF5625">
        <w:trPr>
          <w:trHeight w:val="260"/>
          <w:jc w:val="center"/>
        </w:trPr>
        <w:tc>
          <w:tcPr>
            <w:tcW w:w="4868" w:type="dxa"/>
            <w:gridSpan w:val="2"/>
            <w:tcBorders>
              <w:top w:val="nil"/>
              <w:left w:val="nil"/>
              <w:bottom w:val="nil"/>
              <w:right w:val="nil"/>
            </w:tcBorders>
            <w:shd w:val="clear" w:color="auto" w:fill="auto"/>
            <w:noWrap/>
            <w:vAlign w:val="center"/>
            <w:hideMark/>
          </w:tcPr>
          <w:p w14:paraId="27A60346" w14:textId="77777777" w:rsidR="00051507" w:rsidRPr="00AD03D1" w:rsidRDefault="00051507" w:rsidP="00DF5625">
            <w:pPr>
              <w:rPr>
                <w:sz w:val="18"/>
                <w:szCs w:val="18"/>
              </w:rPr>
            </w:pPr>
            <w:r w:rsidRPr="00AD03D1">
              <w:rPr>
                <w:sz w:val="18"/>
                <w:szCs w:val="18"/>
              </w:rPr>
              <w:t xml:space="preserve">  Planes de beneficios definidos</w:t>
            </w:r>
          </w:p>
        </w:tc>
        <w:tc>
          <w:tcPr>
            <w:tcW w:w="1456" w:type="dxa"/>
            <w:tcBorders>
              <w:top w:val="nil"/>
              <w:left w:val="nil"/>
              <w:bottom w:val="nil"/>
              <w:right w:val="nil"/>
            </w:tcBorders>
            <w:shd w:val="clear" w:color="000000" w:fill="FFFFFF"/>
            <w:noWrap/>
            <w:vAlign w:val="center"/>
            <w:hideMark/>
          </w:tcPr>
          <w:p w14:paraId="26D86115" w14:textId="77777777" w:rsidR="00051507" w:rsidRPr="00AD03D1" w:rsidRDefault="00051507" w:rsidP="00DF5625">
            <w:pPr>
              <w:jc w:val="right"/>
              <w:rPr>
                <w:sz w:val="18"/>
                <w:szCs w:val="18"/>
              </w:rPr>
            </w:pPr>
            <w:r w:rsidRPr="00AD03D1">
              <w:rPr>
                <w:sz w:val="18"/>
                <w:szCs w:val="18"/>
              </w:rPr>
              <w:t>(1.633)</w:t>
            </w:r>
          </w:p>
        </w:tc>
        <w:tc>
          <w:tcPr>
            <w:tcW w:w="146" w:type="dxa"/>
            <w:tcBorders>
              <w:top w:val="nil"/>
              <w:left w:val="nil"/>
              <w:bottom w:val="nil"/>
              <w:right w:val="nil"/>
            </w:tcBorders>
            <w:shd w:val="clear" w:color="auto" w:fill="auto"/>
            <w:noWrap/>
            <w:vAlign w:val="bottom"/>
            <w:hideMark/>
          </w:tcPr>
          <w:p w14:paraId="56113580"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center"/>
            <w:hideMark/>
          </w:tcPr>
          <w:p w14:paraId="6D3E454A" w14:textId="77777777" w:rsidR="00051507" w:rsidRPr="00AD03D1" w:rsidRDefault="00051507" w:rsidP="00DF5625">
            <w:pPr>
              <w:jc w:val="right"/>
              <w:rPr>
                <w:sz w:val="18"/>
                <w:szCs w:val="18"/>
              </w:rPr>
            </w:pPr>
            <w:r w:rsidRPr="00AD03D1">
              <w:rPr>
                <w:sz w:val="18"/>
                <w:szCs w:val="18"/>
              </w:rPr>
              <w:t>(1.428)</w:t>
            </w:r>
          </w:p>
        </w:tc>
        <w:tc>
          <w:tcPr>
            <w:tcW w:w="146" w:type="dxa"/>
            <w:tcBorders>
              <w:top w:val="nil"/>
              <w:left w:val="nil"/>
              <w:bottom w:val="nil"/>
              <w:right w:val="nil"/>
            </w:tcBorders>
            <w:shd w:val="clear" w:color="auto" w:fill="auto"/>
            <w:noWrap/>
            <w:vAlign w:val="bottom"/>
            <w:hideMark/>
          </w:tcPr>
          <w:p w14:paraId="08F52744"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center"/>
            <w:hideMark/>
          </w:tcPr>
          <w:p w14:paraId="3FF00716" w14:textId="77777777" w:rsidR="00051507" w:rsidRPr="00AD03D1" w:rsidRDefault="00051507" w:rsidP="00DF5625">
            <w:pPr>
              <w:jc w:val="right"/>
              <w:rPr>
                <w:sz w:val="18"/>
                <w:szCs w:val="18"/>
              </w:rPr>
            </w:pPr>
            <w:r w:rsidRPr="00AD03D1">
              <w:rPr>
                <w:sz w:val="18"/>
                <w:szCs w:val="18"/>
              </w:rPr>
              <w:t>(205)</w:t>
            </w:r>
          </w:p>
        </w:tc>
        <w:tc>
          <w:tcPr>
            <w:tcW w:w="181" w:type="dxa"/>
            <w:tcBorders>
              <w:top w:val="nil"/>
              <w:left w:val="nil"/>
              <w:bottom w:val="nil"/>
              <w:right w:val="nil"/>
            </w:tcBorders>
            <w:shd w:val="clear" w:color="auto" w:fill="auto"/>
            <w:noWrap/>
            <w:vAlign w:val="bottom"/>
            <w:hideMark/>
          </w:tcPr>
          <w:p w14:paraId="764CB759"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7822C1CC" w14:textId="77777777" w:rsidR="00051507" w:rsidRPr="00AD03D1" w:rsidRDefault="00051507" w:rsidP="00DF5625">
            <w:pPr>
              <w:jc w:val="right"/>
              <w:rPr>
                <w:sz w:val="18"/>
                <w:szCs w:val="18"/>
              </w:rPr>
            </w:pPr>
            <w:r w:rsidRPr="00AD03D1">
              <w:rPr>
                <w:sz w:val="18"/>
                <w:szCs w:val="18"/>
              </w:rPr>
              <w:t>14%</w:t>
            </w:r>
          </w:p>
        </w:tc>
      </w:tr>
      <w:tr w:rsidR="00051507" w:rsidRPr="00AD03D1" w14:paraId="3B7BE42A" w14:textId="77777777" w:rsidTr="00DF5625">
        <w:trPr>
          <w:trHeight w:val="260"/>
          <w:jc w:val="center"/>
        </w:trPr>
        <w:tc>
          <w:tcPr>
            <w:tcW w:w="4868" w:type="dxa"/>
            <w:gridSpan w:val="2"/>
            <w:tcBorders>
              <w:top w:val="nil"/>
              <w:left w:val="nil"/>
              <w:bottom w:val="nil"/>
              <w:right w:val="nil"/>
            </w:tcBorders>
            <w:shd w:val="clear" w:color="auto" w:fill="auto"/>
            <w:noWrap/>
            <w:vAlign w:val="center"/>
            <w:hideMark/>
          </w:tcPr>
          <w:p w14:paraId="6A543958" w14:textId="77777777" w:rsidR="00051507" w:rsidRPr="00AD03D1" w:rsidRDefault="00051507" w:rsidP="00DF5625">
            <w:pPr>
              <w:rPr>
                <w:sz w:val="18"/>
                <w:szCs w:val="18"/>
              </w:rPr>
            </w:pPr>
            <w:r w:rsidRPr="00AD03D1">
              <w:rPr>
                <w:sz w:val="18"/>
                <w:szCs w:val="18"/>
              </w:rPr>
              <w:t xml:space="preserve">  Servicios de mantenimiento</w:t>
            </w:r>
          </w:p>
        </w:tc>
        <w:tc>
          <w:tcPr>
            <w:tcW w:w="1456" w:type="dxa"/>
            <w:tcBorders>
              <w:top w:val="nil"/>
              <w:left w:val="nil"/>
              <w:bottom w:val="nil"/>
              <w:right w:val="nil"/>
            </w:tcBorders>
            <w:shd w:val="clear" w:color="000000" w:fill="FFFFFF"/>
            <w:noWrap/>
            <w:vAlign w:val="bottom"/>
            <w:hideMark/>
          </w:tcPr>
          <w:p w14:paraId="3C28DA75" w14:textId="77777777" w:rsidR="00051507" w:rsidRPr="00AD03D1" w:rsidRDefault="00051507" w:rsidP="00DF5625">
            <w:pPr>
              <w:jc w:val="right"/>
              <w:rPr>
                <w:sz w:val="18"/>
                <w:szCs w:val="18"/>
              </w:rPr>
            </w:pPr>
            <w:r w:rsidRPr="00AD03D1">
              <w:rPr>
                <w:sz w:val="18"/>
                <w:szCs w:val="18"/>
              </w:rPr>
              <w:t>(67.439)</w:t>
            </w:r>
          </w:p>
        </w:tc>
        <w:tc>
          <w:tcPr>
            <w:tcW w:w="146" w:type="dxa"/>
            <w:tcBorders>
              <w:top w:val="nil"/>
              <w:left w:val="nil"/>
              <w:bottom w:val="nil"/>
              <w:right w:val="nil"/>
            </w:tcBorders>
            <w:shd w:val="clear" w:color="auto" w:fill="auto"/>
            <w:noWrap/>
            <w:vAlign w:val="bottom"/>
            <w:hideMark/>
          </w:tcPr>
          <w:p w14:paraId="06518D27"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bottom"/>
            <w:hideMark/>
          </w:tcPr>
          <w:p w14:paraId="01A0D20F" w14:textId="77777777" w:rsidR="00051507" w:rsidRPr="00AD03D1" w:rsidRDefault="00051507" w:rsidP="00DF5625">
            <w:pPr>
              <w:jc w:val="right"/>
              <w:rPr>
                <w:sz w:val="18"/>
                <w:szCs w:val="18"/>
              </w:rPr>
            </w:pPr>
            <w:r w:rsidRPr="00AD03D1">
              <w:rPr>
                <w:sz w:val="18"/>
                <w:szCs w:val="18"/>
              </w:rPr>
              <w:t>(40.283)</w:t>
            </w:r>
          </w:p>
        </w:tc>
        <w:tc>
          <w:tcPr>
            <w:tcW w:w="146" w:type="dxa"/>
            <w:tcBorders>
              <w:top w:val="nil"/>
              <w:left w:val="nil"/>
              <w:bottom w:val="nil"/>
              <w:right w:val="nil"/>
            </w:tcBorders>
            <w:shd w:val="clear" w:color="auto" w:fill="auto"/>
            <w:noWrap/>
            <w:vAlign w:val="bottom"/>
            <w:hideMark/>
          </w:tcPr>
          <w:p w14:paraId="11A74878"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center"/>
            <w:hideMark/>
          </w:tcPr>
          <w:p w14:paraId="5993CDDA" w14:textId="77777777" w:rsidR="00051507" w:rsidRPr="00AD03D1" w:rsidRDefault="00051507" w:rsidP="00DF5625">
            <w:pPr>
              <w:jc w:val="right"/>
              <w:rPr>
                <w:sz w:val="18"/>
                <w:szCs w:val="18"/>
              </w:rPr>
            </w:pPr>
            <w:r w:rsidRPr="00AD03D1">
              <w:rPr>
                <w:sz w:val="18"/>
                <w:szCs w:val="18"/>
              </w:rPr>
              <w:t>(27.156)</w:t>
            </w:r>
          </w:p>
        </w:tc>
        <w:tc>
          <w:tcPr>
            <w:tcW w:w="181" w:type="dxa"/>
            <w:tcBorders>
              <w:top w:val="nil"/>
              <w:left w:val="nil"/>
              <w:bottom w:val="nil"/>
              <w:right w:val="nil"/>
            </w:tcBorders>
            <w:shd w:val="clear" w:color="auto" w:fill="auto"/>
            <w:noWrap/>
            <w:vAlign w:val="bottom"/>
            <w:hideMark/>
          </w:tcPr>
          <w:p w14:paraId="164D1A9F"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27030FA5" w14:textId="77777777" w:rsidR="00051507" w:rsidRPr="00AD03D1" w:rsidRDefault="00051507" w:rsidP="00DF5625">
            <w:pPr>
              <w:jc w:val="right"/>
              <w:rPr>
                <w:sz w:val="18"/>
                <w:szCs w:val="18"/>
              </w:rPr>
            </w:pPr>
            <w:r w:rsidRPr="00AD03D1">
              <w:rPr>
                <w:sz w:val="18"/>
                <w:szCs w:val="18"/>
              </w:rPr>
              <w:t>67%</w:t>
            </w:r>
          </w:p>
        </w:tc>
      </w:tr>
      <w:tr w:rsidR="00051507" w:rsidRPr="00AD03D1" w14:paraId="0FA160C5" w14:textId="77777777" w:rsidTr="00DF5625">
        <w:trPr>
          <w:trHeight w:val="260"/>
          <w:jc w:val="center"/>
        </w:trPr>
        <w:tc>
          <w:tcPr>
            <w:tcW w:w="4868" w:type="dxa"/>
            <w:gridSpan w:val="2"/>
            <w:tcBorders>
              <w:top w:val="nil"/>
              <w:left w:val="nil"/>
              <w:bottom w:val="nil"/>
              <w:right w:val="nil"/>
            </w:tcBorders>
            <w:shd w:val="clear" w:color="auto" w:fill="auto"/>
            <w:noWrap/>
            <w:vAlign w:val="center"/>
            <w:hideMark/>
          </w:tcPr>
          <w:p w14:paraId="1AECF414" w14:textId="77777777" w:rsidR="00051507" w:rsidRPr="00AD03D1" w:rsidRDefault="00051507" w:rsidP="00DF5625">
            <w:pPr>
              <w:rPr>
                <w:sz w:val="18"/>
                <w:szCs w:val="18"/>
              </w:rPr>
            </w:pPr>
            <w:r w:rsidRPr="00AD03D1">
              <w:rPr>
                <w:sz w:val="18"/>
                <w:szCs w:val="18"/>
              </w:rPr>
              <w:t xml:space="preserve">  Depreciación de propiedades, planta y equipo</w:t>
            </w:r>
          </w:p>
        </w:tc>
        <w:tc>
          <w:tcPr>
            <w:tcW w:w="1456" w:type="dxa"/>
            <w:tcBorders>
              <w:top w:val="nil"/>
              <w:left w:val="nil"/>
              <w:bottom w:val="nil"/>
              <w:right w:val="nil"/>
            </w:tcBorders>
            <w:shd w:val="clear" w:color="000000" w:fill="FFFFFF"/>
            <w:noWrap/>
            <w:vAlign w:val="bottom"/>
            <w:hideMark/>
          </w:tcPr>
          <w:p w14:paraId="0F5C6E6C" w14:textId="77777777" w:rsidR="00051507" w:rsidRPr="00AD03D1" w:rsidRDefault="00051507" w:rsidP="00DF5625">
            <w:pPr>
              <w:jc w:val="right"/>
              <w:rPr>
                <w:sz w:val="18"/>
                <w:szCs w:val="18"/>
              </w:rPr>
            </w:pPr>
            <w:r w:rsidRPr="00AD03D1">
              <w:rPr>
                <w:sz w:val="18"/>
                <w:szCs w:val="18"/>
              </w:rPr>
              <w:t>(860.995)</w:t>
            </w:r>
          </w:p>
        </w:tc>
        <w:tc>
          <w:tcPr>
            <w:tcW w:w="146" w:type="dxa"/>
            <w:tcBorders>
              <w:top w:val="nil"/>
              <w:left w:val="nil"/>
              <w:bottom w:val="nil"/>
              <w:right w:val="nil"/>
            </w:tcBorders>
            <w:shd w:val="clear" w:color="auto" w:fill="auto"/>
            <w:noWrap/>
            <w:vAlign w:val="bottom"/>
            <w:hideMark/>
          </w:tcPr>
          <w:p w14:paraId="6804DFD4"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bottom"/>
            <w:hideMark/>
          </w:tcPr>
          <w:p w14:paraId="1E0BA381" w14:textId="77777777" w:rsidR="00051507" w:rsidRPr="00AD03D1" w:rsidRDefault="00051507" w:rsidP="00DF5625">
            <w:pPr>
              <w:jc w:val="right"/>
              <w:rPr>
                <w:sz w:val="18"/>
                <w:szCs w:val="18"/>
              </w:rPr>
            </w:pPr>
            <w:r w:rsidRPr="00AD03D1">
              <w:rPr>
                <w:sz w:val="18"/>
                <w:szCs w:val="18"/>
              </w:rPr>
              <w:t>(704.134)</w:t>
            </w:r>
          </w:p>
        </w:tc>
        <w:tc>
          <w:tcPr>
            <w:tcW w:w="146" w:type="dxa"/>
            <w:tcBorders>
              <w:top w:val="nil"/>
              <w:left w:val="nil"/>
              <w:bottom w:val="nil"/>
              <w:right w:val="nil"/>
            </w:tcBorders>
            <w:shd w:val="clear" w:color="auto" w:fill="auto"/>
            <w:noWrap/>
            <w:vAlign w:val="bottom"/>
            <w:hideMark/>
          </w:tcPr>
          <w:p w14:paraId="3F8C5D63"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bottom"/>
            <w:hideMark/>
          </w:tcPr>
          <w:p w14:paraId="06E76A6C" w14:textId="77777777" w:rsidR="00051507" w:rsidRPr="00AD03D1" w:rsidRDefault="00051507" w:rsidP="00DF5625">
            <w:pPr>
              <w:jc w:val="right"/>
              <w:rPr>
                <w:sz w:val="18"/>
                <w:szCs w:val="18"/>
              </w:rPr>
            </w:pPr>
            <w:r w:rsidRPr="00AD03D1">
              <w:rPr>
                <w:sz w:val="18"/>
                <w:szCs w:val="18"/>
              </w:rPr>
              <w:t>(156.861)</w:t>
            </w:r>
          </w:p>
        </w:tc>
        <w:tc>
          <w:tcPr>
            <w:tcW w:w="181" w:type="dxa"/>
            <w:tcBorders>
              <w:top w:val="nil"/>
              <w:left w:val="nil"/>
              <w:bottom w:val="nil"/>
              <w:right w:val="nil"/>
            </w:tcBorders>
            <w:shd w:val="clear" w:color="auto" w:fill="auto"/>
            <w:noWrap/>
            <w:vAlign w:val="bottom"/>
            <w:hideMark/>
          </w:tcPr>
          <w:p w14:paraId="76EA6156"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18A5119D" w14:textId="77777777" w:rsidR="00051507" w:rsidRPr="00AD03D1" w:rsidRDefault="00051507" w:rsidP="00DF5625">
            <w:pPr>
              <w:jc w:val="right"/>
              <w:rPr>
                <w:sz w:val="18"/>
                <w:szCs w:val="18"/>
              </w:rPr>
            </w:pPr>
            <w:r w:rsidRPr="00AD03D1">
              <w:rPr>
                <w:sz w:val="18"/>
                <w:szCs w:val="18"/>
              </w:rPr>
              <w:t>22%</w:t>
            </w:r>
          </w:p>
        </w:tc>
      </w:tr>
      <w:tr w:rsidR="00051507" w:rsidRPr="00AD03D1" w14:paraId="49FEC4DA" w14:textId="77777777" w:rsidTr="00DF5625">
        <w:trPr>
          <w:trHeight w:val="270"/>
          <w:jc w:val="center"/>
        </w:trPr>
        <w:tc>
          <w:tcPr>
            <w:tcW w:w="4868" w:type="dxa"/>
            <w:gridSpan w:val="2"/>
            <w:tcBorders>
              <w:top w:val="nil"/>
              <w:left w:val="nil"/>
              <w:bottom w:val="nil"/>
              <w:right w:val="nil"/>
            </w:tcBorders>
            <w:shd w:val="clear" w:color="auto" w:fill="auto"/>
            <w:noWrap/>
            <w:vAlign w:val="center"/>
            <w:hideMark/>
          </w:tcPr>
          <w:p w14:paraId="3D0A29E7" w14:textId="77777777" w:rsidR="00051507" w:rsidRPr="00AD03D1" w:rsidRDefault="00051507" w:rsidP="00DF5625">
            <w:pPr>
              <w:rPr>
                <w:sz w:val="18"/>
                <w:szCs w:val="18"/>
              </w:rPr>
            </w:pPr>
            <w:r w:rsidRPr="00AD03D1">
              <w:rPr>
                <w:sz w:val="18"/>
                <w:szCs w:val="18"/>
              </w:rPr>
              <w:t xml:space="preserve">  Vigilancia y portería</w:t>
            </w:r>
          </w:p>
        </w:tc>
        <w:tc>
          <w:tcPr>
            <w:tcW w:w="1456" w:type="dxa"/>
            <w:tcBorders>
              <w:top w:val="nil"/>
              <w:left w:val="nil"/>
              <w:bottom w:val="nil"/>
              <w:right w:val="nil"/>
            </w:tcBorders>
            <w:shd w:val="clear" w:color="000000" w:fill="FFFFFF"/>
            <w:noWrap/>
            <w:vAlign w:val="center"/>
            <w:hideMark/>
          </w:tcPr>
          <w:p w14:paraId="49F64F92" w14:textId="77777777" w:rsidR="00051507" w:rsidRPr="00AD03D1" w:rsidRDefault="00051507" w:rsidP="00DF5625">
            <w:pPr>
              <w:jc w:val="right"/>
              <w:rPr>
                <w:sz w:val="18"/>
                <w:szCs w:val="18"/>
              </w:rPr>
            </w:pPr>
            <w:r w:rsidRPr="00AD03D1">
              <w:rPr>
                <w:sz w:val="18"/>
                <w:szCs w:val="18"/>
              </w:rPr>
              <w:t>(8.757)</w:t>
            </w:r>
          </w:p>
        </w:tc>
        <w:tc>
          <w:tcPr>
            <w:tcW w:w="146" w:type="dxa"/>
            <w:tcBorders>
              <w:top w:val="nil"/>
              <w:left w:val="nil"/>
              <w:bottom w:val="nil"/>
              <w:right w:val="nil"/>
            </w:tcBorders>
            <w:shd w:val="clear" w:color="auto" w:fill="auto"/>
            <w:noWrap/>
            <w:vAlign w:val="bottom"/>
            <w:hideMark/>
          </w:tcPr>
          <w:p w14:paraId="095766EA"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center"/>
            <w:hideMark/>
          </w:tcPr>
          <w:p w14:paraId="7913CE6F" w14:textId="77777777" w:rsidR="00051507" w:rsidRPr="00AD03D1" w:rsidRDefault="00051507" w:rsidP="00DF5625">
            <w:pPr>
              <w:jc w:val="right"/>
              <w:rPr>
                <w:sz w:val="18"/>
                <w:szCs w:val="18"/>
              </w:rPr>
            </w:pPr>
            <w:r w:rsidRPr="00AD03D1">
              <w:rPr>
                <w:sz w:val="18"/>
                <w:szCs w:val="18"/>
              </w:rPr>
              <w:t>(8.584)</w:t>
            </w:r>
          </w:p>
        </w:tc>
        <w:tc>
          <w:tcPr>
            <w:tcW w:w="146" w:type="dxa"/>
            <w:tcBorders>
              <w:top w:val="nil"/>
              <w:left w:val="nil"/>
              <w:bottom w:val="nil"/>
              <w:right w:val="nil"/>
            </w:tcBorders>
            <w:shd w:val="clear" w:color="auto" w:fill="auto"/>
            <w:noWrap/>
            <w:vAlign w:val="bottom"/>
            <w:hideMark/>
          </w:tcPr>
          <w:p w14:paraId="07E377B5"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center"/>
            <w:hideMark/>
          </w:tcPr>
          <w:p w14:paraId="3C740623" w14:textId="77777777" w:rsidR="00051507" w:rsidRPr="00AD03D1" w:rsidRDefault="00051507" w:rsidP="00DF5625">
            <w:pPr>
              <w:jc w:val="right"/>
              <w:rPr>
                <w:sz w:val="18"/>
                <w:szCs w:val="18"/>
              </w:rPr>
            </w:pPr>
            <w:r w:rsidRPr="00AD03D1">
              <w:rPr>
                <w:sz w:val="18"/>
                <w:szCs w:val="18"/>
              </w:rPr>
              <w:t>(173)</w:t>
            </w:r>
          </w:p>
        </w:tc>
        <w:tc>
          <w:tcPr>
            <w:tcW w:w="181" w:type="dxa"/>
            <w:tcBorders>
              <w:top w:val="nil"/>
              <w:left w:val="nil"/>
              <w:bottom w:val="nil"/>
              <w:right w:val="nil"/>
            </w:tcBorders>
            <w:shd w:val="clear" w:color="auto" w:fill="auto"/>
            <w:noWrap/>
            <w:vAlign w:val="bottom"/>
            <w:hideMark/>
          </w:tcPr>
          <w:p w14:paraId="4A1C4D13"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3AC59C02" w14:textId="77777777" w:rsidR="00051507" w:rsidRPr="00AD03D1" w:rsidRDefault="00051507" w:rsidP="00DF5625">
            <w:pPr>
              <w:jc w:val="right"/>
              <w:rPr>
                <w:sz w:val="18"/>
                <w:szCs w:val="18"/>
              </w:rPr>
            </w:pPr>
            <w:r w:rsidRPr="00AD03D1">
              <w:rPr>
                <w:sz w:val="18"/>
                <w:szCs w:val="18"/>
              </w:rPr>
              <w:t>2%</w:t>
            </w:r>
          </w:p>
        </w:tc>
      </w:tr>
      <w:tr w:rsidR="00051507" w:rsidRPr="00AD03D1" w14:paraId="3F6AAB30" w14:textId="77777777" w:rsidTr="00DF5625">
        <w:trPr>
          <w:trHeight w:val="300"/>
          <w:jc w:val="center"/>
        </w:trPr>
        <w:tc>
          <w:tcPr>
            <w:tcW w:w="908" w:type="dxa"/>
            <w:tcBorders>
              <w:top w:val="nil"/>
              <w:left w:val="nil"/>
              <w:bottom w:val="nil"/>
              <w:right w:val="nil"/>
            </w:tcBorders>
            <w:shd w:val="clear" w:color="auto" w:fill="auto"/>
            <w:noWrap/>
            <w:vAlign w:val="center"/>
            <w:hideMark/>
          </w:tcPr>
          <w:p w14:paraId="4DD2CE04" w14:textId="77777777" w:rsidR="00051507" w:rsidRPr="00AD03D1" w:rsidRDefault="00051507" w:rsidP="00DF5625">
            <w:pPr>
              <w:rPr>
                <w:sz w:val="18"/>
                <w:szCs w:val="18"/>
              </w:rPr>
            </w:pPr>
            <w:r w:rsidRPr="00AD03D1">
              <w:rPr>
                <w:sz w:val="18"/>
                <w:szCs w:val="18"/>
              </w:rPr>
              <w:t xml:space="preserve">  Seguros</w:t>
            </w:r>
          </w:p>
        </w:tc>
        <w:tc>
          <w:tcPr>
            <w:tcW w:w="3960" w:type="dxa"/>
            <w:tcBorders>
              <w:top w:val="nil"/>
              <w:left w:val="nil"/>
              <w:bottom w:val="nil"/>
              <w:right w:val="nil"/>
            </w:tcBorders>
            <w:shd w:val="clear" w:color="auto" w:fill="auto"/>
            <w:noWrap/>
            <w:vAlign w:val="bottom"/>
            <w:hideMark/>
          </w:tcPr>
          <w:p w14:paraId="2B363BBB" w14:textId="77777777" w:rsidR="00051507" w:rsidRPr="00AD03D1" w:rsidRDefault="00051507" w:rsidP="00DF5625">
            <w:pPr>
              <w:rPr>
                <w:sz w:val="18"/>
                <w:szCs w:val="18"/>
              </w:rPr>
            </w:pPr>
          </w:p>
        </w:tc>
        <w:tc>
          <w:tcPr>
            <w:tcW w:w="1456" w:type="dxa"/>
            <w:tcBorders>
              <w:top w:val="nil"/>
              <w:left w:val="nil"/>
              <w:bottom w:val="nil"/>
              <w:right w:val="nil"/>
            </w:tcBorders>
            <w:shd w:val="clear" w:color="000000" w:fill="FFFFFF"/>
            <w:noWrap/>
            <w:vAlign w:val="bottom"/>
            <w:hideMark/>
          </w:tcPr>
          <w:p w14:paraId="5A9E4B53" w14:textId="77777777" w:rsidR="00051507" w:rsidRPr="00AD03D1" w:rsidRDefault="00051507" w:rsidP="00DF5625">
            <w:pPr>
              <w:jc w:val="right"/>
              <w:rPr>
                <w:sz w:val="18"/>
                <w:szCs w:val="18"/>
              </w:rPr>
            </w:pPr>
            <w:r w:rsidRPr="00AD03D1">
              <w:rPr>
                <w:sz w:val="18"/>
                <w:szCs w:val="18"/>
              </w:rPr>
              <w:t>(50.681)</w:t>
            </w:r>
          </w:p>
        </w:tc>
        <w:tc>
          <w:tcPr>
            <w:tcW w:w="146" w:type="dxa"/>
            <w:tcBorders>
              <w:top w:val="nil"/>
              <w:left w:val="nil"/>
              <w:bottom w:val="nil"/>
              <w:right w:val="nil"/>
            </w:tcBorders>
            <w:shd w:val="clear" w:color="auto" w:fill="auto"/>
            <w:noWrap/>
            <w:vAlign w:val="bottom"/>
            <w:hideMark/>
          </w:tcPr>
          <w:p w14:paraId="05BC998E"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bottom"/>
            <w:hideMark/>
          </w:tcPr>
          <w:p w14:paraId="2F5B8D5E" w14:textId="77777777" w:rsidR="00051507" w:rsidRPr="00AD03D1" w:rsidRDefault="00051507" w:rsidP="00DF5625">
            <w:pPr>
              <w:jc w:val="right"/>
              <w:rPr>
                <w:sz w:val="18"/>
                <w:szCs w:val="18"/>
              </w:rPr>
            </w:pPr>
            <w:r w:rsidRPr="00AD03D1">
              <w:rPr>
                <w:sz w:val="18"/>
                <w:szCs w:val="18"/>
              </w:rPr>
              <w:t>(29.217)</w:t>
            </w:r>
          </w:p>
        </w:tc>
        <w:tc>
          <w:tcPr>
            <w:tcW w:w="146" w:type="dxa"/>
            <w:tcBorders>
              <w:top w:val="nil"/>
              <w:left w:val="nil"/>
              <w:bottom w:val="nil"/>
              <w:right w:val="nil"/>
            </w:tcBorders>
            <w:shd w:val="clear" w:color="auto" w:fill="auto"/>
            <w:noWrap/>
            <w:vAlign w:val="bottom"/>
            <w:hideMark/>
          </w:tcPr>
          <w:p w14:paraId="664B0C23"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center"/>
            <w:hideMark/>
          </w:tcPr>
          <w:p w14:paraId="681D955F" w14:textId="77777777" w:rsidR="00051507" w:rsidRPr="00AD03D1" w:rsidRDefault="00051507" w:rsidP="00DF5625">
            <w:pPr>
              <w:jc w:val="right"/>
              <w:rPr>
                <w:sz w:val="18"/>
                <w:szCs w:val="18"/>
              </w:rPr>
            </w:pPr>
            <w:r w:rsidRPr="00AD03D1">
              <w:rPr>
                <w:sz w:val="18"/>
                <w:szCs w:val="18"/>
              </w:rPr>
              <w:t>(21.464)</w:t>
            </w:r>
          </w:p>
        </w:tc>
        <w:tc>
          <w:tcPr>
            <w:tcW w:w="181" w:type="dxa"/>
            <w:tcBorders>
              <w:top w:val="nil"/>
              <w:left w:val="nil"/>
              <w:bottom w:val="nil"/>
              <w:right w:val="nil"/>
            </w:tcBorders>
            <w:shd w:val="clear" w:color="auto" w:fill="auto"/>
            <w:noWrap/>
            <w:vAlign w:val="bottom"/>
            <w:hideMark/>
          </w:tcPr>
          <w:p w14:paraId="51F8449D"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3C6D127A" w14:textId="77777777" w:rsidR="00051507" w:rsidRPr="00AD03D1" w:rsidRDefault="00051507" w:rsidP="00DF5625">
            <w:pPr>
              <w:jc w:val="right"/>
              <w:rPr>
                <w:sz w:val="18"/>
                <w:szCs w:val="18"/>
              </w:rPr>
            </w:pPr>
            <w:r w:rsidRPr="00AD03D1">
              <w:rPr>
                <w:sz w:val="18"/>
                <w:szCs w:val="18"/>
              </w:rPr>
              <w:t>73%</w:t>
            </w:r>
          </w:p>
        </w:tc>
      </w:tr>
      <w:tr w:rsidR="00051507" w:rsidRPr="00AD03D1" w14:paraId="5212AAB8" w14:textId="77777777" w:rsidTr="00DF5625">
        <w:trPr>
          <w:trHeight w:val="260"/>
          <w:jc w:val="center"/>
        </w:trPr>
        <w:tc>
          <w:tcPr>
            <w:tcW w:w="4868" w:type="dxa"/>
            <w:gridSpan w:val="2"/>
            <w:tcBorders>
              <w:top w:val="nil"/>
              <w:left w:val="nil"/>
              <w:bottom w:val="nil"/>
              <w:right w:val="nil"/>
            </w:tcBorders>
            <w:shd w:val="clear" w:color="auto" w:fill="auto"/>
            <w:noWrap/>
            <w:vAlign w:val="center"/>
            <w:hideMark/>
          </w:tcPr>
          <w:p w14:paraId="7A36143F" w14:textId="77777777" w:rsidR="00051507" w:rsidRPr="00AD03D1" w:rsidRDefault="00051507" w:rsidP="00DF5625">
            <w:pPr>
              <w:rPr>
                <w:sz w:val="18"/>
                <w:szCs w:val="18"/>
              </w:rPr>
            </w:pPr>
            <w:r w:rsidRPr="00AD03D1">
              <w:rPr>
                <w:sz w:val="18"/>
                <w:szCs w:val="18"/>
              </w:rPr>
              <w:t xml:space="preserve">  Impuestos, tasas y contribuciones</w:t>
            </w:r>
          </w:p>
        </w:tc>
        <w:tc>
          <w:tcPr>
            <w:tcW w:w="1456" w:type="dxa"/>
            <w:tcBorders>
              <w:top w:val="nil"/>
              <w:left w:val="nil"/>
              <w:bottom w:val="nil"/>
              <w:right w:val="nil"/>
            </w:tcBorders>
            <w:shd w:val="clear" w:color="000000" w:fill="FFFFFF"/>
            <w:noWrap/>
            <w:vAlign w:val="bottom"/>
            <w:hideMark/>
          </w:tcPr>
          <w:p w14:paraId="07B39D7E" w14:textId="77777777" w:rsidR="00051507" w:rsidRPr="00AD03D1" w:rsidRDefault="00051507" w:rsidP="00DF5625">
            <w:pPr>
              <w:jc w:val="right"/>
              <w:rPr>
                <w:sz w:val="18"/>
                <w:szCs w:val="18"/>
              </w:rPr>
            </w:pPr>
            <w:r w:rsidRPr="00AD03D1">
              <w:rPr>
                <w:sz w:val="18"/>
                <w:szCs w:val="18"/>
              </w:rPr>
              <w:t>(13.702)</w:t>
            </w:r>
          </w:p>
        </w:tc>
        <w:tc>
          <w:tcPr>
            <w:tcW w:w="146" w:type="dxa"/>
            <w:tcBorders>
              <w:top w:val="nil"/>
              <w:left w:val="nil"/>
              <w:bottom w:val="nil"/>
              <w:right w:val="nil"/>
            </w:tcBorders>
            <w:shd w:val="clear" w:color="auto" w:fill="auto"/>
            <w:noWrap/>
            <w:vAlign w:val="bottom"/>
            <w:hideMark/>
          </w:tcPr>
          <w:p w14:paraId="10AD8DC5"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bottom"/>
            <w:hideMark/>
          </w:tcPr>
          <w:p w14:paraId="6D246B5F" w14:textId="77777777" w:rsidR="00051507" w:rsidRPr="00AD03D1" w:rsidRDefault="00051507" w:rsidP="00DF5625">
            <w:pPr>
              <w:jc w:val="right"/>
              <w:rPr>
                <w:sz w:val="18"/>
                <w:szCs w:val="18"/>
              </w:rPr>
            </w:pPr>
            <w:r w:rsidRPr="00AD03D1">
              <w:rPr>
                <w:sz w:val="18"/>
                <w:szCs w:val="18"/>
              </w:rPr>
              <w:t>(10.508)</w:t>
            </w:r>
          </w:p>
        </w:tc>
        <w:tc>
          <w:tcPr>
            <w:tcW w:w="146" w:type="dxa"/>
            <w:tcBorders>
              <w:top w:val="nil"/>
              <w:left w:val="nil"/>
              <w:bottom w:val="nil"/>
              <w:right w:val="nil"/>
            </w:tcBorders>
            <w:shd w:val="clear" w:color="auto" w:fill="auto"/>
            <w:noWrap/>
            <w:vAlign w:val="bottom"/>
            <w:hideMark/>
          </w:tcPr>
          <w:p w14:paraId="29380D2E"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center"/>
            <w:hideMark/>
          </w:tcPr>
          <w:p w14:paraId="665E6650" w14:textId="77777777" w:rsidR="00051507" w:rsidRPr="00AD03D1" w:rsidRDefault="00051507" w:rsidP="00DF5625">
            <w:pPr>
              <w:jc w:val="right"/>
              <w:rPr>
                <w:sz w:val="18"/>
                <w:szCs w:val="18"/>
              </w:rPr>
            </w:pPr>
            <w:r w:rsidRPr="00AD03D1">
              <w:rPr>
                <w:sz w:val="18"/>
                <w:szCs w:val="18"/>
              </w:rPr>
              <w:t>(3.194)</w:t>
            </w:r>
          </w:p>
        </w:tc>
        <w:tc>
          <w:tcPr>
            <w:tcW w:w="181" w:type="dxa"/>
            <w:tcBorders>
              <w:top w:val="nil"/>
              <w:left w:val="nil"/>
              <w:bottom w:val="nil"/>
              <w:right w:val="nil"/>
            </w:tcBorders>
            <w:shd w:val="clear" w:color="auto" w:fill="auto"/>
            <w:noWrap/>
            <w:vAlign w:val="bottom"/>
            <w:hideMark/>
          </w:tcPr>
          <w:p w14:paraId="4E880BA4"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543360BA" w14:textId="77777777" w:rsidR="00051507" w:rsidRPr="00AD03D1" w:rsidRDefault="00051507" w:rsidP="00DF5625">
            <w:pPr>
              <w:jc w:val="right"/>
              <w:rPr>
                <w:sz w:val="18"/>
                <w:szCs w:val="18"/>
              </w:rPr>
            </w:pPr>
            <w:r w:rsidRPr="00AD03D1">
              <w:rPr>
                <w:sz w:val="18"/>
                <w:szCs w:val="18"/>
              </w:rPr>
              <w:t>30%</w:t>
            </w:r>
          </w:p>
        </w:tc>
      </w:tr>
      <w:tr w:rsidR="00051507" w:rsidRPr="00AD03D1" w14:paraId="32903253" w14:textId="77777777" w:rsidTr="00DF5625">
        <w:trPr>
          <w:trHeight w:val="230"/>
          <w:jc w:val="center"/>
        </w:trPr>
        <w:tc>
          <w:tcPr>
            <w:tcW w:w="908" w:type="dxa"/>
            <w:tcBorders>
              <w:top w:val="nil"/>
              <w:left w:val="nil"/>
              <w:bottom w:val="nil"/>
              <w:right w:val="nil"/>
            </w:tcBorders>
            <w:shd w:val="clear" w:color="auto" w:fill="auto"/>
            <w:noWrap/>
            <w:vAlign w:val="center"/>
            <w:hideMark/>
          </w:tcPr>
          <w:p w14:paraId="312C24F1" w14:textId="77777777" w:rsidR="00051507" w:rsidRPr="00AD03D1" w:rsidRDefault="00051507" w:rsidP="00DF5625">
            <w:pPr>
              <w:rPr>
                <w:sz w:val="18"/>
                <w:szCs w:val="18"/>
              </w:rPr>
            </w:pPr>
            <w:r w:rsidRPr="00AD03D1">
              <w:rPr>
                <w:sz w:val="18"/>
                <w:szCs w:val="18"/>
              </w:rPr>
              <w:t xml:space="preserve">  Diversos</w:t>
            </w:r>
          </w:p>
        </w:tc>
        <w:tc>
          <w:tcPr>
            <w:tcW w:w="3960" w:type="dxa"/>
            <w:tcBorders>
              <w:top w:val="nil"/>
              <w:left w:val="nil"/>
              <w:bottom w:val="nil"/>
              <w:right w:val="nil"/>
            </w:tcBorders>
            <w:shd w:val="clear" w:color="auto" w:fill="auto"/>
            <w:noWrap/>
            <w:vAlign w:val="bottom"/>
            <w:hideMark/>
          </w:tcPr>
          <w:p w14:paraId="05921210" w14:textId="77777777" w:rsidR="00051507" w:rsidRPr="00AD03D1" w:rsidRDefault="00051507" w:rsidP="00DF5625">
            <w:pPr>
              <w:rPr>
                <w:sz w:val="18"/>
                <w:szCs w:val="18"/>
              </w:rPr>
            </w:pPr>
          </w:p>
        </w:tc>
        <w:tc>
          <w:tcPr>
            <w:tcW w:w="1456" w:type="dxa"/>
            <w:tcBorders>
              <w:top w:val="nil"/>
              <w:left w:val="nil"/>
              <w:bottom w:val="nil"/>
              <w:right w:val="nil"/>
            </w:tcBorders>
            <w:shd w:val="clear" w:color="000000" w:fill="FFFFFF"/>
            <w:noWrap/>
            <w:vAlign w:val="center"/>
            <w:hideMark/>
          </w:tcPr>
          <w:p w14:paraId="4FCBA17D" w14:textId="77777777" w:rsidR="00051507" w:rsidRPr="00AD03D1" w:rsidRDefault="00051507" w:rsidP="00DF5625">
            <w:pPr>
              <w:jc w:val="right"/>
              <w:rPr>
                <w:sz w:val="18"/>
                <w:szCs w:val="18"/>
              </w:rPr>
            </w:pPr>
            <w:r w:rsidRPr="00AD03D1">
              <w:rPr>
                <w:sz w:val="18"/>
                <w:szCs w:val="18"/>
              </w:rPr>
              <w:t>(15.503)</w:t>
            </w:r>
          </w:p>
        </w:tc>
        <w:tc>
          <w:tcPr>
            <w:tcW w:w="146" w:type="dxa"/>
            <w:tcBorders>
              <w:top w:val="nil"/>
              <w:left w:val="nil"/>
              <w:bottom w:val="nil"/>
              <w:right w:val="nil"/>
            </w:tcBorders>
            <w:shd w:val="clear" w:color="auto" w:fill="auto"/>
            <w:noWrap/>
            <w:vAlign w:val="bottom"/>
            <w:hideMark/>
          </w:tcPr>
          <w:p w14:paraId="51FF22A8"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center"/>
            <w:hideMark/>
          </w:tcPr>
          <w:p w14:paraId="43E17699" w14:textId="77777777" w:rsidR="00051507" w:rsidRPr="00AD03D1" w:rsidRDefault="00051507" w:rsidP="00DF5625">
            <w:pPr>
              <w:jc w:val="right"/>
              <w:rPr>
                <w:sz w:val="18"/>
                <w:szCs w:val="18"/>
              </w:rPr>
            </w:pPr>
            <w:r w:rsidRPr="00AD03D1">
              <w:rPr>
                <w:sz w:val="18"/>
                <w:szCs w:val="18"/>
              </w:rPr>
              <w:t>(10.206)</w:t>
            </w:r>
          </w:p>
        </w:tc>
        <w:tc>
          <w:tcPr>
            <w:tcW w:w="146" w:type="dxa"/>
            <w:tcBorders>
              <w:top w:val="nil"/>
              <w:left w:val="nil"/>
              <w:bottom w:val="nil"/>
              <w:right w:val="nil"/>
            </w:tcBorders>
            <w:shd w:val="clear" w:color="auto" w:fill="auto"/>
            <w:noWrap/>
            <w:vAlign w:val="bottom"/>
            <w:hideMark/>
          </w:tcPr>
          <w:p w14:paraId="3B8FB72E"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center"/>
            <w:hideMark/>
          </w:tcPr>
          <w:p w14:paraId="13733342" w14:textId="77777777" w:rsidR="00051507" w:rsidRPr="00AD03D1" w:rsidRDefault="00051507" w:rsidP="00DF5625">
            <w:pPr>
              <w:jc w:val="right"/>
              <w:rPr>
                <w:sz w:val="18"/>
                <w:szCs w:val="18"/>
              </w:rPr>
            </w:pPr>
            <w:r w:rsidRPr="00AD03D1">
              <w:rPr>
                <w:sz w:val="18"/>
                <w:szCs w:val="18"/>
              </w:rPr>
              <w:t>(5.297)</w:t>
            </w:r>
          </w:p>
        </w:tc>
        <w:tc>
          <w:tcPr>
            <w:tcW w:w="181" w:type="dxa"/>
            <w:tcBorders>
              <w:top w:val="nil"/>
              <w:left w:val="nil"/>
              <w:bottom w:val="nil"/>
              <w:right w:val="nil"/>
            </w:tcBorders>
            <w:shd w:val="clear" w:color="auto" w:fill="auto"/>
            <w:noWrap/>
            <w:vAlign w:val="bottom"/>
            <w:hideMark/>
          </w:tcPr>
          <w:p w14:paraId="458232C2" w14:textId="77777777" w:rsidR="00051507" w:rsidRPr="00AD03D1" w:rsidRDefault="00051507" w:rsidP="00DF5625">
            <w:pPr>
              <w:jc w:val="right"/>
              <w:rPr>
                <w:sz w:val="18"/>
                <w:szCs w:val="18"/>
              </w:rPr>
            </w:pPr>
          </w:p>
        </w:tc>
        <w:tc>
          <w:tcPr>
            <w:tcW w:w="1020" w:type="dxa"/>
            <w:tcBorders>
              <w:top w:val="nil"/>
              <w:left w:val="nil"/>
              <w:bottom w:val="single" w:sz="4" w:space="0" w:color="auto"/>
              <w:right w:val="nil"/>
            </w:tcBorders>
            <w:shd w:val="clear" w:color="auto" w:fill="auto"/>
            <w:noWrap/>
            <w:vAlign w:val="center"/>
            <w:hideMark/>
          </w:tcPr>
          <w:p w14:paraId="2EE216C4" w14:textId="77777777" w:rsidR="00051507" w:rsidRPr="00AD03D1" w:rsidRDefault="00051507" w:rsidP="00DF5625">
            <w:pPr>
              <w:jc w:val="right"/>
              <w:rPr>
                <w:sz w:val="18"/>
                <w:szCs w:val="18"/>
              </w:rPr>
            </w:pPr>
            <w:r w:rsidRPr="00AD03D1">
              <w:rPr>
                <w:sz w:val="18"/>
                <w:szCs w:val="18"/>
              </w:rPr>
              <w:t>52%</w:t>
            </w:r>
          </w:p>
        </w:tc>
      </w:tr>
      <w:tr w:rsidR="00051507" w:rsidRPr="00AD03D1" w14:paraId="21663EE1" w14:textId="77777777" w:rsidTr="00DF5625">
        <w:trPr>
          <w:trHeight w:val="275"/>
          <w:jc w:val="center"/>
        </w:trPr>
        <w:tc>
          <w:tcPr>
            <w:tcW w:w="4868" w:type="dxa"/>
            <w:gridSpan w:val="2"/>
            <w:tcBorders>
              <w:top w:val="nil"/>
              <w:left w:val="nil"/>
              <w:bottom w:val="nil"/>
              <w:right w:val="nil"/>
            </w:tcBorders>
            <w:shd w:val="clear" w:color="auto" w:fill="auto"/>
            <w:noWrap/>
            <w:vAlign w:val="center"/>
            <w:hideMark/>
          </w:tcPr>
          <w:p w14:paraId="60E75AD0" w14:textId="77777777" w:rsidR="00051507" w:rsidRPr="00AD03D1" w:rsidRDefault="00051507" w:rsidP="00DF5625">
            <w:pPr>
              <w:rPr>
                <w:b/>
                <w:bCs/>
                <w:sz w:val="18"/>
                <w:szCs w:val="18"/>
              </w:rPr>
            </w:pPr>
            <w:r w:rsidRPr="00AD03D1">
              <w:rPr>
                <w:b/>
                <w:bCs/>
                <w:sz w:val="18"/>
                <w:szCs w:val="18"/>
              </w:rPr>
              <w:t>Costo de ventas</w:t>
            </w:r>
          </w:p>
        </w:tc>
        <w:tc>
          <w:tcPr>
            <w:tcW w:w="1456" w:type="dxa"/>
            <w:tcBorders>
              <w:top w:val="single" w:sz="4" w:space="0" w:color="auto"/>
              <w:left w:val="nil"/>
              <w:bottom w:val="single" w:sz="4" w:space="0" w:color="auto"/>
              <w:right w:val="nil"/>
            </w:tcBorders>
            <w:shd w:val="clear" w:color="000000" w:fill="FFFFFF"/>
            <w:noWrap/>
            <w:vAlign w:val="center"/>
            <w:hideMark/>
          </w:tcPr>
          <w:p w14:paraId="2693D467" w14:textId="77777777" w:rsidR="00051507" w:rsidRPr="00AD03D1" w:rsidRDefault="00051507" w:rsidP="00DF5625">
            <w:pPr>
              <w:jc w:val="right"/>
              <w:rPr>
                <w:b/>
                <w:bCs/>
                <w:sz w:val="18"/>
                <w:szCs w:val="18"/>
              </w:rPr>
            </w:pPr>
            <w:r w:rsidRPr="00AD03D1">
              <w:rPr>
                <w:b/>
                <w:bCs/>
                <w:sz w:val="18"/>
                <w:szCs w:val="18"/>
              </w:rPr>
              <w:t>(1.213.993)</w:t>
            </w:r>
          </w:p>
        </w:tc>
        <w:tc>
          <w:tcPr>
            <w:tcW w:w="146" w:type="dxa"/>
            <w:tcBorders>
              <w:top w:val="nil"/>
              <w:left w:val="nil"/>
              <w:bottom w:val="nil"/>
              <w:right w:val="nil"/>
            </w:tcBorders>
            <w:shd w:val="clear" w:color="auto" w:fill="auto"/>
            <w:noWrap/>
            <w:vAlign w:val="bottom"/>
            <w:hideMark/>
          </w:tcPr>
          <w:p w14:paraId="10482A0B" w14:textId="77777777" w:rsidR="00051507" w:rsidRPr="00AD03D1" w:rsidRDefault="00051507" w:rsidP="00DF5625">
            <w:pPr>
              <w:jc w:val="right"/>
              <w:rPr>
                <w:b/>
                <w:bCs/>
                <w:sz w:val="18"/>
                <w:szCs w:val="18"/>
              </w:rPr>
            </w:pPr>
          </w:p>
        </w:tc>
        <w:tc>
          <w:tcPr>
            <w:tcW w:w="1456" w:type="dxa"/>
            <w:tcBorders>
              <w:top w:val="single" w:sz="4" w:space="0" w:color="auto"/>
              <w:left w:val="nil"/>
              <w:bottom w:val="single" w:sz="4" w:space="0" w:color="auto"/>
              <w:right w:val="nil"/>
            </w:tcBorders>
            <w:shd w:val="clear" w:color="000000" w:fill="FFFFFF"/>
            <w:noWrap/>
            <w:vAlign w:val="bottom"/>
            <w:hideMark/>
          </w:tcPr>
          <w:p w14:paraId="3B81AB6F" w14:textId="77777777" w:rsidR="00051507" w:rsidRPr="00AD03D1" w:rsidRDefault="00051507" w:rsidP="00DF5625">
            <w:pPr>
              <w:jc w:val="right"/>
              <w:rPr>
                <w:b/>
                <w:bCs/>
                <w:sz w:val="18"/>
                <w:szCs w:val="18"/>
              </w:rPr>
            </w:pPr>
            <w:r w:rsidRPr="00AD03D1">
              <w:rPr>
                <w:b/>
                <w:bCs/>
                <w:sz w:val="18"/>
                <w:szCs w:val="18"/>
              </w:rPr>
              <w:t>(943.961)</w:t>
            </w:r>
          </w:p>
        </w:tc>
        <w:tc>
          <w:tcPr>
            <w:tcW w:w="146" w:type="dxa"/>
            <w:tcBorders>
              <w:top w:val="nil"/>
              <w:left w:val="nil"/>
              <w:bottom w:val="nil"/>
              <w:right w:val="nil"/>
            </w:tcBorders>
            <w:shd w:val="clear" w:color="auto" w:fill="auto"/>
            <w:noWrap/>
            <w:vAlign w:val="bottom"/>
            <w:hideMark/>
          </w:tcPr>
          <w:p w14:paraId="789A8714" w14:textId="77777777" w:rsidR="00051507" w:rsidRPr="00AD03D1" w:rsidRDefault="00051507" w:rsidP="00DF5625">
            <w:pPr>
              <w:jc w:val="right"/>
              <w:rPr>
                <w:b/>
                <w:bCs/>
                <w:sz w:val="18"/>
                <w:szCs w:val="18"/>
              </w:rPr>
            </w:pPr>
          </w:p>
        </w:tc>
        <w:tc>
          <w:tcPr>
            <w:tcW w:w="1240" w:type="dxa"/>
            <w:tcBorders>
              <w:top w:val="single" w:sz="4" w:space="0" w:color="auto"/>
              <w:left w:val="nil"/>
              <w:bottom w:val="single" w:sz="4" w:space="0" w:color="auto"/>
              <w:right w:val="nil"/>
            </w:tcBorders>
            <w:shd w:val="clear" w:color="auto" w:fill="auto"/>
            <w:noWrap/>
            <w:vAlign w:val="bottom"/>
            <w:hideMark/>
          </w:tcPr>
          <w:p w14:paraId="5B3D0E96" w14:textId="77777777" w:rsidR="00051507" w:rsidRPr="00AD03D1" w:rsidRDefault="00051507" w:rsidP="00DF5625">
            <w:pPr>
              <w:jc w:val="right"/>
              <w:rPr>
                <w:b/>
                <w:bCs/>
                <w:sz w:val="18"/>
                <w:szCs w:val="18"/>
              </w:rPr>
            </w:pPr>
            <w:r w:rsidRPr="00AD03D1">
              <w:rPr>
                <w:b/>
                <w:bCs/>
                <w:sz w:val="18"/>
                <w:szCs w:val="18"/>
              </w:rPr>
              <w:t>(270.032)</w:t>
            </w:r>
          </w:p>
        </w:tc>
        <w:tc>
          <w:tcPr>
            <w:tcW w:w="181" w:type="dxa"/>
            <w:tcBorders>
              <w:top w:val="nil"/>
              <w:left w:val="nil"/>
              <w:bottom w:val="nil"/>
              <w:right w:val="nil"/>
            </w:tcBorders>
            <w:shd w:val="clear" w:color="auto" w:fill="auto"/>
            <w:noWrap/>
            <w:vAlign w:val="bottom"/>
            <w:hideMark/>
          </w:tcPr>
          <w:p w14:paraId="5065884D" w14:textId="77777777" w:rsidR="00051507" w:rsidRPr="00AD03D1" w:rsidRDefault="00051507" w:rsidP="00DF5625">
            <w:pPr>
              <w:jc w:val="right"/>
              <w:rPr>
                <w:b/>
                <w:bCs/>
                <w:sz w:val="18"/>
                <w:szCs w:val="18"/>
              </w:rPr>
            </w:pPr>
          </w:p>
        </w:tc>
        <w:tc>
          <w:tcPr>
            <w:tcW w:w="1020" w:type="dxa"/>
            <w:tcBorders>
              <w:top w:val="nil"/>
              <w:left w:val="nil"/>
              <w:bottom w:val="single" w:sz="4" w:space="0" w:color="auto"/>
              <w:right w:val="nil"/>
            </w:tcBorders>
            <w:shd w:val="clear" w:color="auto" w:fill="auto"/>
            <w:noWrap/>
            <w:vAlign w:val="center"/>
            <w:hideMark/>
          </w:tcPr>
          <w:p w14:paraId="622ADCD2" w14:textId="77777777" w:rsidR="00051507" w:rsidRPr="00AD03D1" w:rsidRDefault="00051507" w:rsidP="00DF5625">
            <w:pPr>
              <w:jc w:val="right"/>
              <w:rPr>
                <w:b/>
                <w:bCs/>
                <w:sz w:val="18"/>
                <w:szCs w:val="18"/>
              </w:rPr>
            </w:pPr>
            <w:r w:rsidRPr="00AD03D1">
              <w:rPr>
                <w:b/>
                <w:bCs/>
                <w:sz w:val="18"/>
                <w:szCs w:val="18"/>
              </w:rPr>
              <w:t>29%</w:t>
            </w:r>
          </w:p>
        </w:tc>
      </w:tr>
      <w:tr w:rsidR="00051507" w:rsidRPr="00AD03D1" w14:paraId="35AF3F9E" w14:textId="77777777" w:rsidTr="00DF5625">
        <w:trPr>
          <w:trHeight w:val="265"/>
          <w:jc w:val="center"/>
        </w:trPr>
        <w:tc>
          <w:tcPr>
            <w:tcW w:w="4868" w:type="dxa"/>
            <w:gridSpan w:val="2"/>
            <w:tcBorders>
              <w:top w:val="nil"/>
              <w:left w:val="nil"/>
              <w:bottom w:val="nil"/>
              <w:right w:val="nil"/>
            </w:tcBorders>
            <w:shd w:val="clear" w:color="auto" w:fill="auto"/>
            <w:noWrap/>
            <w:vAlign w:val="center"/>
            <w:hideMark/>
          </w:tcPr>
          <w:p w14:paraId="6A87085D" w14:textId="77777777" w:rsidR="00051507" w:rsidRPr="00AD03D1" w:rsidRDefault="00051507" w:rsidP="00DF5625">
            <w:pPr>
              <w:rPr>
                <w:b/>
                <w:bCs/>
                <w:sz w:val="18"/>
                <w:szCs w:val="18"/>
              </w:rPr>
            </w:pPr>
            <w:r w:rsidRPr="00AD03D1">
              <w:rPr>
                <w:b/>
                <w:bCs/>
                <w:sz w:val="18"/>
                <w:szCs w:val="18"/>
              </w:rPr>
              <w:t>Resultado bruto</w:t>
            </w:r>
          </w:p>
        </w:tc>
        <w:tc>
          <w:tcPr>
            <w:tcW w:w="1456" w:type="dxa"/>
            <w:tcBorders>
              <w:top w:val="single" w:sz="4" w:space="0" w:color="auto"/>
              <w:left w:val="nil"/>
              <w:bottom w:val="double" w:sz="6" w:space="0" w:color="auto"/>
              <w:right w:val="nil"/>
            </w:tcBorders>
            <w:shd w:val="clear" w:color="auto" w:fill="auto"/>
            <w:noWrap/>
            <w:vAlign w:val="bottom"/>
            <w:hideMark/>
          </w:tcPr>
          <w:p w14:paraId="5958D4B0" w14:textId="77777777" w:rsidR="00051507" w:rsidRPr="00AD03D1" w:rsidRDefault="00051507" w:rsidP="00DF5625">
            <w:pPr>
              <w:jc w:val="right"/>
              <w:rPr>
                <w:b/>
                <w:bCs/>
                <w:sz w:val="18"/>
                <w:szCs w:val="18"/>
              </w:rPr>
            </w:pPr>
            <w:r w:rsidRPr="00AD03D1">
              <w:rPr>
                <w:b/>
                <w:bCs/>
                <w:sz w:val="18"/>
                <w:szCs w:val="18"/>
              </w:rPr>
              <w:t>2.844.076</w:t>
            </w:r>
          </w:p>
        </w:tc>
        <w:tc>
          <w:tcPr>
            <w:tcW w:w="146" w:type="dxa"/>
            <w:tcBorders>
              <w:top w:val="nil"/>
              <w:left w:val="nil"/>
              <w:bottom w:val="nil"/>
              <w:right w:val="nil"/>
            </w:tcBorders>
            <w:shd w:val="clear" w:color="auto" w:fill="auto"/>
            <w:noWrap/>
            <w:vAlign w:val="bottom"/>
            <w:hideMark/>
          </w:tcPr>
          <w:p w14:paraId="3FE45C46" w14:textId="77777777" w:rsidR="00051507" w:rsidRPr="00AD03D1" w:rsidRDefault="00051507" w:rsidP="00DF5625">
            <w:pPr>
              <w:jc w:val="right"/>
              <w:rPr>
                <w:b/>
                <w:bCs/>
                <w:sz w:val="18"/>
                <w:szCs w:val="18"/>
              </w:rPr>
            </w:pPr>
          </w:p>
        </w:tc>
        <w:tc>
          <w:tcPr>
            <w:tcW w:w="1456" w:type="dxa"/>
            <w:tcBorders>
              <w:top w:val="single" w:sz="4" w:space="0" w:color="auto"/>
              <w:left w:val="nil"/>
              <w:bottom w:val="double" w:sz="6" w:space="0" w:color="auto"/>
              <w:right w:val="nil"/>
            </w:tcBorders>
            <w:shd w:val="clear" w:color="auto" w:fill="auto"/>
            <w:noWrap/>
            <w:vAlign w:val="bottom"/>
            <w:hideMark/>
          </w:tcPr>
          <w:p w14:paraId="36B4B854" w14:textId="77777777" w:rsidR="00051507" w:rsidRPr="00AD03D1" w:rsidRDefault="00051507" w:rsidP="00DF5625">
            <w:pPr>
              <w:jc w:val="right"/>
              <w:rPr>
                <w:b/>
                <w:bCs/>
                <w:sz w:val="18"/>
                <w:szCs w:val="18"/>
              </w:rPr>
            </w:pPr>
            <w:r w:rsidRPr="00AD03D1">
              <w:rPr>
                <w:b/>
                <w:bCs/>
                <w:sz w:val="18"/>
                <w:szCs w:val="18"/>
              </w:rPr>
              <w:t>2.308.037</w:t>
            </w:r>
          </w:p>
        </w:tc>
        <w:tc>
          <w:tcPr>
            <w:tcW w:w="146" w:type="dxa"/>
            <w:tcBorders>
              <w:top w:val="nil"/>
              <w:left w:val="nil"/>
              <w:bottom w:val="nil"/>
              <w:right w:val="nil"/>
            </w:tcBorders>
            <w:shd w:val="clear" w:color="auto" w:fill="auto"/>
            <w:noWrap/>
            <w:vAlign w:val="bottom"/>
            <w:hideMark/>
          </w:tcPr>
          <w:p w14:paraId="4E10529F" w14:textId="77777777" w:rsidR="00051507" w:rsidRPr="00AD03D1" w:rsidRDefault="00051507" w:rsidP="00DF5625">
            <w:pPr>
              <w:jc w:val="right"/>
              <w:rPr>
                <w:b/>
                <w:bCs/>
                <w:sz w:val="18"/>
                <w:szCs w:val="18"/>
              </w:rPr>
            </w:pPr>
          </w:p>
        </w:tc>
        <w:tc>
          <w:tcPr>
            <w:tcW w:w="1240" w:type="dxa"/>
            <w:tcBorders>
              <w:top w:val="single" w:sz="4" w:space="0" w:color="auto"/>
              <w:left w:val="nil"/>
              <w:bottom w:val="double" w:sz="6" w:space="0" w:color="auto"/>
              <w:right w:val="nil"/>
            </w:tcBorders>
            <w:shd w:val="clear" w:color="auto" w:fill="auto"/>
            <w:noWrap/>
            <w:vAlign w:val="bottom"/>
            <w:hideMark/>
          </w:tcPr>
          <w:p w14:paraId="633E6B03" w14:textId="77777777" w:rsidR="00051507" w:rsidRPr="00AD03D1" w:rsidRDefault="00051507" w:rsidP="00DF5625">
            <w:pPr>
              <w:jc w:val="right"/>
              <w:rPr>
                <w:b/>
                <w:bCs/>
                <w:sz w:val="18"/>
                <w:szCs w:val="18"/>
              </w:rPr>
            </w:pPr>
            <w:r w:rsidRPr="00AD03D1">
              <w:rPr>
                <w:b/>
                <w:bCs/>
                <w:sz w:val="18"/>
                <w:szCs w:val="18"/>
              </w:rPr>
              <w:t>536.039</w:t>
            </w:r>
          </w:p>
        </w:tc>
        <w:tc>
          <w:tcPr>
            <w:tcW w:w="181" w:type="dxa"/>
            <w:tcBorders>
              <w:top w:val="nil"/>
              <w:left w:val="nil"/>
              <w:bottom w:val="double" w:sz="6" w:space="0" w:color="auto"/>
              <w:right w:val="nil"/>
            </w:tcBorders>
            <w:shd w:val="clear" w:color="auto" w:fill="auto"/>
            <w:noWrap/>
            <w:vAlign w:val="bottom"/>
            <w:hideMark/>
          </w:tcPr>
          <w:p w14:paraId="6C9C3657" w14:textId="77777777" w:rsidR="00051507" w:rsidRPr="00AD03D1" w:rsidRDefault="00051507" w:rsidP="00DF5625">
            <w:pPr>
              <w:rPr>
                <w:rFonts w:cs="Calibri"/>
                <w:sz w:val="18"/>
                <w:szCs w:val="18"/>
              </w:rPr>
            </w:pPr>
            <w:r w:rsidRPr="00AD03D1">
              <w:rPr>
                <w:rFonts w:cs="Calibri"/>
                <w:sz w:val="18"/>
                <w:szCs w:val="18"/>
              </w:rPr>
              <w:t> </w:t>
            </w:r>
          </w:p>
        </w:tc>
        <w:tc>
          <w:tcPr>
            <w:tcW w:w="1020" w:type="dxa"/>
            <w:tcBorders>
              <w:top w:val="single" w:sz="4" w:space="0" w:color="auto"/>
              <w:left w:val="nil"/>
              <w:bottom w:val="double" w:sz="6" w:space="0" w:color="auto"/>
              <w:right w:val="nil"/>
            </w:tcBorders>
            <w:shd w:val="clear" w:color="auto" w:fill="auto"/>
            <w:noWrap/>
            <w:vAlign w:val="center"/>
            <w:hideMark/>
          </w:tcPr>
          <w:p w14:paraId="3FDDA928" w14:textId="77777777" w:rsidR="00051507" w:rsidRPr="00AD03D1" w:rsidRDefault="00051507" w:rsidP="00DF5625">
            <w:pPr>
              <w:jc w:val="right"/>
              <w:rPr>
                <w:b/>
                <w:bCs/>
                <w:sz w:val="18"/>
                <w:szCs w:val="18"/>
              </w:rPr>
            </w:pPr>
            <w:r w:rsidRPr="00AD03D1">
              <w:rPr>
                <w:b/>
                <w:bCs/>
                <w:sz w:val="18"/>
                <w:szCs w:val="18"/>
              </w:rPr>
              <w:t>23%</w:t>
            </w:r>
          </w:p>
        </w:tc>
      </w:tr>
      <w:tr w:rsidR="00051507" w:rsidRPr="00AD03D1" w14:paraId="2041B8A4" w14:textId="77777777" w:rsidTr="00DF5625">
        <w:trPr>
          <w:trHeight w:val="60"/>
          <w:jc w:val="center"/>
        </w:trPr>
        <w:tc>
          <w:tcPr>
            <w:tcW w:w="4868" w:type="dxa"/>
            <w:gridSpan w:val="2"/>
            <w:tcBorders>
              <w:top w:val="nil"/>
              <w:left w:val="nil"/>
              <w:bottom w:val="nil"/>
              <w:right w:val="nil"/>
            </w:tcBorders>
            <w:shd w:val="clear" w:color="auto" w:fill="auto"/>
            <w:noWrap/>
            <w:vAlign w:val="bottom"/>
            <w:hideMark/>
          </w:tcPr>
          <w:p w14:paraId="1F28734E" w14:textId="77777777" w:rsidR="00051507" w:rsidRPr="00AD03D1" w:rsidRDefault="00051507" w:rsidP="00DF5625">
            <w:pPr>
              <w:jc w:val="right"/>
              <w:rPr>
                <w:b/>
                <w:bCs/>
                <w:sz w:val="18"/>
                <w:szCs w:val="18"/>
              </w:rPr>
            </w:pPr>
          </w:p>
        </w:tc>
        <w:tc>
          <w:tcPr>
            <w:tcW w:w="1456" w:type="dxa"/>
            <w:tcBorders>
              <w:top w:val="nil"/>
              <w:left w:val="nil"/>
              <w:bottom w:val="nil"/>
              <w:right w:val="nil"/>
            </w:tcBorders>
            <w:shd w:val="clear" w:color="000000" w:fill="FFFFFF"/>
            <w:noWrap/>
            <w:vAlign w:val="bottom"/>
            <w:hideMark/>
          </w:tcPr>
          <w:p w14:paraId="6DDC482E" w14:textId="77777777" w:rsidR="00051507" w:rsidRPr="00AD03D1" w:rsidRDefault="00051507" w:rsidP="00DF5625">
            <w:pPr>
              <w:rPr>
                <w:rFonts w:cs="Calibri"/>
                <w:sz w:val="18"/>
                <w:szCs w:val="18"/>
              </w:rPr>
            </w:pPr>
            <w:r w:rsidRPr="00AD03D1">
              <w:rPr>
                <w:rFonts w:cs="Calibri"/>
                <w:sz w:val="18"/>
                <w:szCs w:val="18"/>
              </w:rPr>
              <w:t> </w:t>
            </w:r>
          </w:p>
        </w:tc>
        <w:tc>
          <w:tcPr>
            <w:tcW w:w="146" w:type="dxa"/>
            <w:tcBorders>
              <w:top w:val="nil"/>
              <w:left w:val="nil"/>
              <w:bottom w:val="nil"/>
              <w:right w:val="nil"/>
            </w:tcBorders>
            <w:shd w:val="clear" w:color="auto" w:fill="auto"/>
            <w:noWrap/>
            <w:vAlign w:val="bottom"/>
            <w:hideMark/>
          </w:tcPr>
          <w:p w14:paraId="36CA0C8A" w14:textId="77777777" w:rsidR="00051507" w:rsidRPr="00AD03D1" w:rsidRDefault="00051507" w:rsidP="00DF5625">
            <w:pPr>
              <w:rPr>
                <w:rFonts w:cs="Calibri"/>
                <w:sz w:val="18"/>
                <w:szCs w:val="18"/>
              </w:rPr>
            </w:pPr>
          </w:p>
        </w:tc>
        <w:tc>
          <w:tcPr>
            <w:tcW w:w="1456" w:type="dxa"/>
            <w:tcBorders>
              <w:top w:val="nil"/>
              <w:left w:val="nil"/>
              <w:bottom w:val="nil"/>
              <w:right w:val="nil"/>
            </w:tcBorders>
            <w:shd w:val="clear" w:color="000000" w:fill="FFFFFF"/>
            <w:noWrap/>
            <w:vAlign w:val="bottom"/>
            <w:hideMark/>
          </w:tcPr>
          <w:p w14:paraId="004FDF7B" w14:textId="77777777" w:rsidR="00051507" w:rsidRPr="00AD03D1" w:rsidRDefault="00051507" w:rsidP="00DF5625">
            <w:pPr>
              <w:rPr>
                <w:rFonts w:cs="Calibri"/>
                <w:sz w:val="18"/>
                <w:szCs w:val="18"/>
              </w:rPr>
            </w:pPr>
            <w:r w:rsidRPr="00AD03D1">
              <w:rPr>
                <w:rFonts w:cs="Calibri"/>
                <w:sz w:val="18"/>
                <w:szCs w:val="18"/>
              </w:rPr>
              <w:t> </w:t>
            </w:r>
          </w:p>
        </w:tc>
        <w:tc>
          <w:tcPr>
            <w:tcW w:w="146" w:type="dxa"/>
            <w:tcBorders>
              <w:top w:val="nil"/>
              <w:left w:val="nil"/>
              <w:bottom w:val="nil"/>
              <w:right w:val="nil"/>
            </w:tcBorders>
            <w:shd w:val="clear" w:color="auto" w:fill="auto"/>
            <w:noWrap/>
            <w:vAlign w:val="bottom"/>
            <w:hideMark/>
          </w:tcPr>
          <w:p w14:paraId="133D20E4" w14:textId="77777777" w:rsidR="00051507" w:rsidRPr="00AD03D1" w:rsidRDefault="00051507" w:rsidP="00DF5625">
            <w:pPr>
              <w:rPr>
                <w:rFonts w:cs="Calibri"/>
                <w:sz w:val="18"/>
                <w:szCs w:val="18"/>
              </w:rPr>
            </w:pPr>
          </w:p>
        </w:tc>
        <w:tc>
          <w:tcPr>
            <w:tcW w:w="1240" w:type="dxa"/>
            <w:tcBorders>
              <w:top w:val="nil"/>
              <w:left w:val="nil"/>
              <w:bottom w:val="nil"/>
              <w:right w:val="nil"/>
            </w:tcBorders>
            <w:shd w:val="clear" w:color="auto" w:fill="auto"/>
            <w:noWrap/>
            <w:vAlign w:val="bottom"/>
            <w:hideMark/>
          </w:tcPr>
          <w:p w14:paraId="2B238EF1" w14:textId="77777777" w:rsidR="00051507" w:rsidRPr="00AD03D1" w:rsidRDefault="00051507" w:rsidP="00DF5625"/>
        </w:tc>
        <w:tc>
          <w:tcPr>
            <w:tcW w:w="181" w:type="dxa"/>
            <w:tcBorders>
              <w:top w:val="nil"/>
              <w:left w:val="nil"/>
              <w:bottom w:val="nil"/>
              <w:right w:val="nil"/>
            </w:tcBorders>
            <w:shd w:val="clear" w:color="auto" w:fill="auto"/>
            <w:noWrap/>
            <w:vAlign w:val="bottom"/>
            <w:hideMark/>
          </w:tcPr>
          <w:p w14:paraId="0E2F79AB" w14:textId="77777777" w:rsidR="00051507" w:rsidRPr="00AD03D1" w:rsidRDefault="00051507" w:rsidP="00DF5625"/>
        </w:tc>
        <w:tc>
          <w:tcPr>
            <w:tcW w:w="1020" w:type="dxa"/>
            <w:tcBorders>
              <w:top w:val="nil"/>
              <w:left w:val="nil"/>
              <w:bottom w:val="nil"/>
              <w:right w:val="nil"/>
            </w:tcBorders>
            <w:shd w:val="clear" w:color="auto" w:fill="auto"/>
            <w:noWrap/>
            <w:vAlign w:val="bottom"/>
            <w:hideMark/>
          </w:tcPr>
          <w:p w14:paraId="4E5B5110" w14:textId="77777777" w:rsidR="00051507" w:rsidRPr="00AD03D1" w:rsidRDefault="00051507" w:rsidP="00DF5625"/>
        </w:tc>
      </w:tr>
      <w:tr w:rsidR="00051507" w:rsidRPr="00AD03D1" w14:paraId="50AD416F" w14:textId="77777777" w:rsidTr="00DF5625">
        <w:trPr>
          <w:trHeight w:val="210"/>
          <w:jc w:val="center"/>
        </w:trPr>
        <w:tc>
          <w:tcPr>
            <w:tcW w:w="4868" w:type="dxa"/>
            <w:gridSpan w:val="2"/>
            <w:tcBorders>
              <w:top w:val="nil"/>
              <w:left w:val="nil"/>
              <w:bottom w:val="nil"/>
              <w:right w:val="nil"/>
            </w:tcBorders>
            <w:shd w:val="clear" w:color="auto" w:fill="auto"/>
            <w:noWrap/>
            <w:vAlign w:val="center"/>
            <w:hideMark/>
          </w:tcPr>
          <w:p w14:paraId="14553FA7" w14:textId="77777777" w:rsidR="00051507" w:rsidRPr="00AD03D1" w:rsidRDefault="00051507" w:rsidP="00DF5625">
            <w:pPr>
              <w:rPr>
                <w:sz w:val="18"/>
                <w:szCs w:val="18"/>
              </w:rPr>
            </w:pPr>
            <w:r w:rsidRPr="00AD03D1">
              <w:rPr>
                <w:sz w:val="18"/>
                <w:szCs w:val="18"/>
              </w:rPr>
              <w:t xml:space="preserve">  Impuestos, tasas y contribuciones</w:t>
            </w:r>
          </w:p>
        </w:tc>
        <w:tc>
          <w:tcPr>
            <w:tcW w:w="1456" w:type="dxa"/>
            <w:tcBorders>
              <w:top w:val="nil"/>
              <w:left w:val="nil"/>
              <w:bottom w:val="nil"/>
              <w:right w:val="nil"/>
            </w:tcBorders>
            <w:shd w:val="clear" w:color="000000" w:fill="FFFFFF"/>
            <w:noWrap/>
            <w:vAlign w:val="center"/>
            <w:hideMark/>
          </w:tcPr>
          <w:p w14:paraId="25779581" w14:textId="77777777" w:rsidR="00051507" w:rsidRPr="00AD03D1" w:rsidRDefault="00051507" w:rsidP="00DF5625">
            <w:pPr>
              <w:jc w:val="right"/>
              <w:rPr>
                <w:sz w:val="18"/>
                <w:szCs w:val="18"/>
              </w:rPr>
            </w:pPr>
            <w:r w:rsidRPr="00AD03D1">
              <w:rPr>
                <w:sz w:val="18"/>
                <w:szCs w:val="18"/>
              </w:rPr>
              <w:t>(47.382)</w:t>
            </w:r>
          </w:p>
        </w:tc>
        <w:tc>
          <w:tcPr>
            <w:tcW w:w="146" w:type="dxa"/>
            <w:tcBorders>
              <w:top w:val="nil"/>
              <w:left w:val="nil"/>
              <w:bottom w:val="nil"/>
              <w:right w:val="nil"/>
            </w:tcBorders>
            <w:shd w:val="clear" w:color="auto" w:fill="auto"/>
            <w:noWrap/>
            <w:vAlign w:val="bottom"/>
            <w:hideMark/>
          </w:tcPr>
          <w:p w14:paraId="77AF334D"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center"/>
            <w:hideMark/>
          </w:tcPr>
          <w:p w14:paraId="17500F14" w14:textId="77777777" w:rsidR="00051507" w:rsidRPr="00AD03D1" w:rsidRDefault="00051507" w:rsidP="00DF5625">
            <w:pPr>
              <w:jc w:val="right"/>
              <w:rPr>
                <w:sz w:val="18"/>
                <w:szCs w:val="18"/>
              </w:rPr>
            </w:pPr>
            <w:r w:rsidRPr="00AD03D1">
              <w:rPr>
                <w:sz w:val="18"/>
                <w:szCs w:val="18"/>
              </w:rPr>
              <w:t>(64.383)</w:t>
            </w:r>
          </w:p>
        </w:tc>
        <w:tc>
          <w:tcPr>
            <w:tcW w:w="146" w:type="dxa"/>
            <w:tcBorders>
              <w:top w:val="nil"/>
              <w:left w:val="nil"/>
              <w:bottom w:val="nil"/>
              <w:right w:val="nil"/>
            </w:tcBorders>
            <w:shd w:val="clear" w:color="auto" w:fill="auto"/>
            <w:noWrap/>
            <w:vAlign w:val="bottom"/>
            <w:hideMark/>
          </w:tcPr>
          <w:p w14:paraId="755F40B6"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center"/>
            <w:hideMark/>
          </w:tcPr>
          <w:p w14:paraId="62428D23" w14:textId="77777777" w:rsidR="00051507" w:rsidRPr="00AD03D1" w:rsidRDefault="00051507" w:rsidP="00DF5625">
            <w:pPr>
              <w:jc w:val="right"/>
              <w:rPr>
                <w:sz w:val="18"/>
                <w:szCs w:val="18"/>
              </w:rPr>
            </w:pPr>
            <w:r w:rsidRPr="00AD03D1">
              <w:rPr>
                <w:sz w:val="18"/>
                <w:szCs w:val="18"/>
              </w:rPr>
              <w:t>17.001</w:t>
            </w:r>
          </w:p>
        </w:tc>
        <w:tc>
          <w:tcPr>
            <w:tcW w:w="181" w:type="dxa"/>
            <w:tcBorders>
              <w:top w:val="nil"/>
              <w:left w:val="nil"/>
              <w:bottom w:val="nil"/>
              <w:right w:val="nil"/>
            </w:tcBorders>
            <w:shd w:val="clear" w:color="auto" w:fill="auto"/>
            <w:noWrap/>
            <w:vAlign w:val="bottom"/>
            <w:hideMark/>
          </w:tcPr>
          <w:p w14:paraId="2E2D5DD8"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1D75F10D" w14:textId="77777777" w:rsidR="00051507" w:rsidRPr="00AD03D1" w:rsidRDefault="00051507" w:rsidP="00DF5625">
            <w:pPr>
              <w:jc w:val="right"/>
              <w:rPr>
                <w:sz w:val="18"/>
                <w:szCs w:val="18"/>
              </w:rPr>
            </w:pPr>
            <w:r w:rsidRPr="00AD03D1">
              <w:rPr>
                <w:sz w:val="18"/>
                <w:szCs w:val="18"/>
              </w:rPr>
              <w:t>(26%)</w:t>
            </w:r>
          </w:p>
        </w:tc>
      </w:tr>
      <w:tr w:rsidR="00051507" w:rsidRPr="00AD03D1" w14:paraId="7AA95EE7" w14:textId="77777777" w:rsidTr="00DF5625">
        <w:trPr>
          <w:trHeight w:val="300"/>
          <w:jc w:val="center"/>
        </w:trPr>
        <w:tc>
          <w:tcPr>
            <w:tcW w:w="4868" w:type="dxa"/>
            <w:gridSpan w:val="2"/>
            <w:tcBorders>
              <w:top w:val="nil"/>
              <w:left w:val="nil"/>
              <w:bottom w:val="nil"/>
              <w:right w:val="nil"/>
            </w:tcBorders>
            <w:shd w:val="clear" w:color="auto" w:fill="auto"/>
            <w:noWrap/>
            <w:vAlign w:val="center"/>
            <w:hideMark/>
          </w:tcPr>
          <w:p w14:paraId="21B424A1" w14:textId="77777777" w:rsidR="00051507" w:rsidRPr="00AD03D1" w:rsidRDefault="00051507" w:rsidP="00DF5625">
            <w:pPr>
              <w:rPr>
                <w:b/>
                <w:bCs/>
                <w:sz w:val="18"/>
                <w:szCs w:val="18"/>
              </w:rPr>
            </w:pPr>
            <w:r w:rsidRPr="00AD03D1">
              <w:rPr>
                <w:b/>
                <w:bCs/>
                <w:sz w:val="18"/>
                <w:szCs w:val="18"/>
              </w:rPr>
              <w:t>Gastos de comercialización</w:t>
            </w:r>
          </w:p>
        </w:tc>
        <w:tc>
          <w:tcPr>
            <w:tcW w:w="1456" w:type="dxa"/>
            <w:tcBorders>
              <w:top w:val="single" w:sz="4" w:space="0" w:color="auto"/>
              <w:left w:val="nil"/>
              <w:bottom w:val="single" w:sz="4" w:space="0" w:color="auto"/>
              <w:right w:val="nil"/>
            </w:tcBorders>
            <w:shd w:val="clear" w:color="000000" w:fill="FFFFFF"/>
            <w:noWrap/>
            <w:vAlign w:val="center"/>
            <w:hideMark/>
          </w:tcPr>
          <w:p w14:paraId="16EDFE25" w14:textId="77777777" w:rsidR="00051507" w:rsidRPr="00AD03D1" w:rsidRDefault="00051507" w:rsidP="00DF5625">
            <w:pPr>
              <w:jc w:val="right"/>
              <w:rPr>
                <w:b/>
                <w:bCs/>
                <w:sz w:val="18"/>
                <w:szCs w:val="18"/>
              </w:rPr>
            </w:pPr>
            <w:r w:rsidRPr="00AD03D1">
              <w:rPr>
                <w:b/>
                <w:bCs/>
                <w:sz w:val="18"/>
                <w:szCs w:val="18"/>
              </w:rPr>
              <w:t>(47.382)</w:t>
            </w:r>
          </w:p>
        </w:tc>
        <w:tc>
          <w:tcPr>
            <w:tcW w:w="146" w:type="dxa"/>
            <w:tcBorders>
              <w:top w:val="nil"/>
              <w:left w:val="nil"/>
              <w:bottom w:val="nil"/>
              <w:right w:val="nil"/>
            </w:tcBorders>
            <w:shd w:val="clear" w:color="auto" w:fill="auto"/>
            <w:noWrap/>
            <w:vAlign w:val="center"/>
            <w:hideMark/>
          </w:tcPr>
          <w:p w14:paraId="433B9A1F" w14:textId="77777777" w:rsidR="00051507" w:rsidRPr="00AD03D1" w:rsidRDefault="00051507" w:rsidP="00DF5625">
            <w:pPr>
              <w:jc w:val="right"/>
              <w:rPr>
                <w:b/>
                <w:bCs/>
                <w:sz w:val="18"/>
                <w:szCs w:val="18"/>
              </w:rPr>
            </w:pPr>
          </w:p>
        </w:tc>
        <w:tc>
          <w:tcPr>
            <w:tcW w:w="1456" w:type="dxa"/>
            <w:tcBorders>
              <w:top w:val="single" w:sz="4" w:space="0" w:color="auto"/>
              <w:left w:val="nil"/>
              <w:bottom w:val="single" w:sz="4" w:space="0" w:color="auto"/>
              <w:right w:val="nil"/>
            </w:tcBorders>
            <w:shd w:val="clear" w:color="000000" w:fill="FFFFFF"/>
            <w:noWrap/>
            <w:vAlign w:val="center"/>
            <w:hideMark/>
          </w:tcPr>
          <w:p w14:paraId="60947871" w14:textId="77777777" w:rsidR="00051507" w:rsidRPr="00AD03D1" w:rsidRDefault="00051507" w:rsidP="00DF5625">
            <w:pPr>
              <w:jc w:val="right"/>
              <w:rPr>
                <w:b/>
                <w:bCs/>
                <w:sz w:val="18"/>
                <w:szCs w:val="18"/>
              </w:rPr>
            </w:pPr>
            <w:r w:rsidRPr="00AD03D1">
              <w:rPr>
                <w:b/>
                <w:bCs/>
                <w:sz w:val="18"/>
                <w:szCs w:val="18"/>
              </w:rPr>
              <w:t>(64.383)</w:t>
            </w:r>
          </w:p>
        </w:tc>
        <w:tc>
          <w:tcPr>
            <w:tcW w:w="146" w:type="dxa"/>
            <w:tcBorders>
              <w:top w:val="nil"/>
              <w:left w:val="nil"/>
              <w:bottom w:val="nil"/>
              <w:right w:val="nil"/>
            </w:tcBorders>
            <w:shd w:val="clear" w:color="auto" w:fill="auto"/>
            <w:noWrap/>
            <w:vAlign w:val="center"/>
            <w:hideMark/>
          </w:tcPr>
          <w:p w14:paraId="3ADD7772" w14:textId="77777777" w:rsidR="00051507" w:rsidRPr="00AD03D1" w:rsidRDefault="00051507" w:rsidP="00DF5625">
            <w:pPr>
              <w:jc w:val="right"/>
              <w:rPr>
                <w:b/>
                <w:bCs/>
                <w:sz w:val="18"/>
                <w:szCs w:val="18"/>
              </w:rPr>
            </w:pPr>
          </w:p>
        </w:tc>
        <w:tc>
          <w:tcPr>
            <w:tcW w:w="1240" w:type="dxa"/>
            <w:tcBorders>
              <w:top w:val="single" w:sz="4" w:space="0" w:color="auto"/>
              <w:left w:val="nil"/>
              <w:bottom w:val="single" w:sz="4" w:space="0" w:color="auto"/>
              <w:right w:val="nil"/>
            </w:tcBorders>
            <w:shd w:val="clear" w:color="auto" w:fill="auto"/>
            <w:noWrap/>
            <w:vAlign w:val="center"/>
            <w:hideMark/>
          </w:tcPr>
          <w:p w14:paraId="5D3C1592" w14:textId="77777777" w:rsidR="00051507" w:rsidRPr="00AD03D1" w:rsidRDefault="00051507" w:rsidP="00DF5625">
            <w:pPr>
              <w:jc w:val="right"/>
              <w:rPr>
                <w:b/>
                <w:bCs/>
                <w:sz w:val="18"/>
                <w:szCs w:val="18"/>
              </w:rPr>
            </w:pPr>
            <w:r w:rsidRPr="00AD03D1">
              <w:rPr>
                <w:b/>
                <w:bCs/>
                <w:sz w:val="18"/>
                <w:szCs w:val="18"/>
              </w:rPr>
              <w:t>17.001</w:t>
            </w:r>
          </w:p>
        </w:tc>
        <w:tc>
          <w:tcPr>
            <w:tcW w:w="181" w:type="dxa"/>
            <w:tcBorders>
              <w:top w:val="nil"/>
              <w:left w:val="nil"/>
              <w:bottom w:val="nil"/>
              <w:right w:val="nil"/>
            </w:tcBorders>
            <w:shd w:val="clear" w:color="auto" w:fill="auto"/>
            <w:noWrap/>
            <w:vAlign w:val="bottom"/>
            <w:hideMark/>
          </w:tcPr>
          <w:p w14:paraId="651474FA" w14:textId="77777777" w:rsidR="00051507" w:rsidRPr="00AD03D1" w:rsidRDefault="00051507" w:rsidP="00DF5625">
            <w:pPr>
              <w:jc w:val="right"/>
              <w:rPr>
                <w:b/>
                <w:bCs/>
                <w:sz w:val="18"/>
                <w:szCs w:val="18"/>
              </w:rPr>
            </w:pPr>
          </w:p>
        </w:tc>
        <w:tc>
          <w:tcPr>
            <w:tcW w:w="1020" w:type="dxa"/>
            <w:tcBorders>
              <w:top w:val="single" w:sz="4" w:space="0" w:color="auto"/>
              <w:left w:val="nil"/>
              <w:bottom w:val="single" w:sz="4" w:space="0" w:color="auto"/>
              <w:right w:val="nil"/>
            </w:tcBorders>
            <w:shd w:val="clear" w:color="auto" w:fill="auto"/>
            <w:noWrap/>
            <w:vAlign w:val="center"/>
            <w:hideMark/>
          </w:tcPr>
          <w:p w14:paraId="5CD88D16" w14:textId="77777777" w:rsidR="00051507" w:rsidRPr="00AD03D1" w:rsidRDefault="00051507" w:rsidP="00DF5625">
            <w:pPr>
              <w:jc w:val="right"/>
              <w:rPr>
                <w:b/>
                <w:bCs/>
                <w:sz w:val="18"/>
                <w:szCs w:val="18"/>
              </w:rPr>
            </w:pPr>
            <w:r w:rsidRPr="00AD03D1">
              <w:rPr>
                <w:b/>
                <w:bCs/>
                <w:sz w:val="18"/>
                <w:szCs w:val="18"/>
              </w:rPr>
              <w:t>(26%)</w:t>
            </w:r>
          </w:p>
        </w:tc>
      </w:tr>
      <w:tr w:rsidR="00051507" w:rsidRPr="00AD03D1" w14:paraId="42279E01" w14:textId="77777777" w:rsidTr="00DF5625">
        <w:trPr>
          <w:trHeight w:val="105"/>
          <w:jc w:val="center"/>
        </w:trPr>
        <w:tc>
          <w:tcPr>
            <w:tcW w:w="908" w:type="dxa"/>
            <w:tcBorders>
              <w:top w:val="nil"/>
              <w:left w:val="nil"/>
              <w:bottom w:val="nil"/>
              <w:right w:val="nil"/>
            </w:tcBorders>
            <w:shd w:val="clear" w:color="auto" w:fill="auto"/>
            <w:noWrap/>
            <w:vAlign w:val="bottom"/>
            <w:hideMark/>
          </w:tcPr>
          <w:p w14:paraId="4EAAC2EC" w14:textId="77777777" w:rsidR="00051507" w:rsidRPr="00AD03D1" w:rsidRDefault="00051507" w:rsidP="00DF5625">
            <w:pPr>
              <w:jc w:val="right"/>
              <w:rPr>
                <w:b/>
                <w:bCs/>
                <w:sz w:val="18"/>
                <w:szCs w:val="18"/>
              </w:rPr>
            </w:pPr>
          </w:p>
        </w:tc>
        <w:tc>
          <w:tcPr>
            <w:tcW w:w="3960" w:type="dxa"/>
            <w:tcBorders>
              <w:top w:val="nil"/>
              <w:left w:val="nil"/>
              <w:bottom w:val="nil"/>
              <w:right w:val="nil"/>
            </w:tcBorders>
            <w:shd w:val="clear" w:color="auto" w:fill="auto"/>
            <w:noWrap/>
            <w:vAlign w:val="bottom"/>
            <w:hideMark/>
          </w:tcPr>
          <w:p w14:paraId="0804AD15" w14:textId="77777777" w:rsidR="00051507" w:rsidRPr="00AD03D1" w:rsidRDefault="00051507" w:rsidP="00DF5625"/>
        </w:tc>
        <w:tc>
          <w:tcPr>
            <w:tcW w:w="1456" w:type="dxa"/>
            <w:tcBorders>
              <w:top w:val="nil"/>
              <w:left w:val="nil"/>
              <w:bottom w:val="nil"/>
              <w:right w:val="nil"/>
            </w:tcBorders>
            <w:shd w:val="clear" w:color="000000" w:fill="FFFFFF"/>
            <w:noWrap/>
            <w:vAlign w:val="bottom"/>
            <w:hideMark/>
          </w:tcPr>
          <w:p w14:paraId="3670ADD6" w14:textId="77777777" w:rsidR="00051507" w:rsidRPr="00AD03D1" w:rsidRDefault="00051507" w:rsidP="00DF5625">
            <w:pPr>
              <w:rPr>
                <w:rFonts w:cs="Calibri"/>
                <w:sz w:val="18"/>
                <w:szCs w:val="18"/>
              </w:rPr>
            </w:pPr>
            <w:r w:rsidRPr="00AD03D1">
              <w:rPr>
                <w:rFonts w:cs="Calibri"/>
                <w:sz w:val="18"/>
                <w:szCs w:val="18"/>
              </w:rPr>
              <w:t> </w:t>
            </w:r>
          </w:p>
        </w:tc>
        <w:tc>
          <w:tcPr>
            <w:tcW w:w="146" w:type="dxa"/>
            <w:tcBorders>
              <w:top w:val="nil"/>
              <w:left w:val="nil"/>
              <w:bottom w:val="nil"/>
              <w:right w:val="nil"/>
            </w:tcBorders>
            <w:shd w:val="clear" w:color="auto" w:fill="auto"/>
            <w:noWrap/>
            <w:vAlign w:val="bottom"/>
            <w:hideMark/>
          </w:tcPr>
          <w:p w14:paraId="1BC9AEDB" w14:textId="77777777" w:rsidR="00051507" w:rsidRPr="00AD03D1" w:rsidRDefault="00051507" w:rsidP="00DF5625">
            <w:pPr>
              <w:rPr>
                <w:rFonts w:cs="Calibri"/>
                <w:sz w:val="18"/>
                <w:szCs w:val="18"/>
              </w:rPr>
            </w:pPr>
          </w:p>
        </w:tc>
        <w:tc>
          <w:tcPr>
            <w:tcW w:w="1456" w:type="dxa"/>
            <w:tcBorders>
              <w:top w:val="nil"/>
              <w:left w:val="nil"/>
              <w:bottom w:val="nil"/>
              <w:right w:val="nil"/>
            </w:tcBorders>
            <w:shd w:val="clear" w:color="000000" w:fill="FFFFFF"/>
            <w:noWrap/>
            <w:vAlign w:val="bottom"/>
            <w:hideMark/>
          </w:tcPr>
          <w:p w14:paraId="2345BF4F" w14:textId="77777777" w:rsidR="00051507" w:rsidRPr="00AD03D1" w:rsidRDefault="00051507" w:rsidP="00DF5625">
            <w:pPr>
              <w:rPr>
                <w:rFonts w:cs="Calibri"/>
                <w:sz w:val="18"/>
                <w:szCs w:val="18"/>
              </w:rPr>
            </w:pPr>
            <w:r w:rsidRPr="00AD03D1">
              <w:rPr>
                <w:rFonts w:cs="Calibri"/>
                <w:sz w:val="18"/>
                <w:szCs w:val="18"/>
              </w:rPr>
              <w:t> </w:t>
            </w:r>
          </w:p>
        </w:tc>
        <w:tc>
          <w:tcPr>
            <w:tcW w:w="146" w:type="dxa"/>
            <w:tcBorders>
              <w:top w:val="nil"/>
              <w:left w:val="nil"/>
              <w:bottom w:val="nil"/>
              <w:right w:val="nil"/>
            </w:tcBorders>
            <w:shd w:val="clear" w:color="auto" w:fill="auto"/>
            <w:noWrap/>
            <w:vAlign w:val="bottom"/>
            <w:hideMark/>
          </w:tcPr>
          <w:p w14:paraId="45C8F292" w14:textId="77777777" w:rsidR="00051507" w:rsidRPr="00AD03D1" w:rsidRDefault="00051507" w:rsidP="00DF5625">
            <w:pPr>
              <w:rPr>
                <w:rFonts w:cs="Calibri"/>
                <w:sz w:val="18"/>
                <w:szCs w:val="18"/>
              </w:rPr>
            </w:pPr>
          </w:p>
        </w:tc>
        <w:tc>
          <w:tcPr>
            <w:tcW w:w="1240" w:type="dxa"/>
            <w:tcBorders>
              <w:top w:val="nil"/>
              <w:left w:val="nil"/>
              <w:bottom w:val="nil"/>
              <w:right w:val="nil"/>
            </w:tcBorders>
            <w:shd w:val="clear" w:color="auto" w:fill="auto"/>
            <w:noWrap/>
            <w:vAlign w:val="bottom"/>
            <w:hideMark/>
          </w:tcPr>
          <w:p w14:paraId="490E9FB5" w14:textId="77777777" w:rsidR="00051507" w:rsidRPr="00AD03D1" w:rsidRDefault="00051507" w:rsidP="00DF5625"/>
        </w:tc>
        <w:tc>
          <w:tcPr>
            <w:tcW w:w="181" w:type="dxa"/>
            <w:tcBorders>
              <w:top w:val="nil"/>
              <w:left w:val="nil"/>
              <w:bottom w:val="nil"/>
              <w:right w:val="nil"/>
            </w:tcBorders>
            <w:shd w:val="clear" w:color="auto" w:fill="auto"/>
            <w:noWrap/>
            <w:vAlign w:val="bottom"/>
            <w:hideMark/>
          </w:tcPr>
          <w:p w14:paraId="5111C655" w14:textId="77777777" w:rsidR="00051507" w:rsidRPr="00AD03D1" w:rsidRDefault="00051507" w:rsidP="00DF5625"/>
        </w:tc>
        <w:tc>
          <w:tcPr>
            <w:tcW w:w="1020" w:type="dxa"/>
            <w:tcBorders>
              <w:top w:val="nil"/>
              <w:left w:val="nil"/>
              <w:bottom w:val="nil"/>
              <w:right w:val="nil"/>
            </w:tcBorders>
            <w:shd w:val="clear" w:color="auto" w:fill="auto"/>
            <w:noWrap/>
            <w:vAlign w:val="bottom"/>
            <w:hideMark/>
          </w:tcPr>
          <w:p w14:paraId="31F29414" w14:textId="77777777" w:rsidR="00051507" w:rsidRPr="00AD03D1" w:rsidRDefault="00051507" w:rsidP="00DF5625"/>
        </w:tc>
      </w:tr>
      <w:tr w:rsidR="00051507" w:rsidRPr="00AD03D1" w14:paraId="4D157FEF" w14:textId="77777777" w:rsidTr="00DF5625">
        <w:trPr>
          <w:trHeight w:val="210"/>
          <w:jc w:val="center"/>
        </w:trPr>
        <w:tc>
          <w:tcPr>
            <w:tcW w:w="4868" w:type="dxa"/>
            <w:gridSpan w:val="2"/>
            <w:tcBorders>
              <w:top w:val="nil"/>
              <w:left w:val="nil"/>
              <w:bottom w:val="nil"/>
              <w:right w:val="nil"/>
            </w:tcBorders>
            <w:shd w:val="clear" w:color="auto" w:fill="auto"/>
            <w:noWrap/>
            <w:vAlign w:val="center"/>
            <w:hideMark/>
          </w:tcPr>
          <w:p w14:paraId="04E564EF" w14:textId="77777777" w:rsidR="00051507" w:rsidRPr="00AD03D1" w:rsidRDefault="00051507" w:rsidP="00DF5625">
            <w:pPr>
              <w:rPr>
                <w:sz w:val="18"/>
                <w:szCs w:val="18"/>
              </w:rPr>
            </w:pPr>
            <w:r w:rsidRPr="00AD03D1">
              <w:rPr>
                <w:sz w:val="18"/>
                <w:szCs w:val="18"/>
              </w:rPr>
              <w:t xml:space="preserve">  Honorarios y retribuciones por servicios</w:t>
            </w:r>
          </w:p>
        </w:tc>
        <w:tc>
          <w:tcPr>
            <w:tcW w:w="1456" w:type="dxa"/>
            <w:tcBorders>
              <w:top w:val="nil"/>
              <w:left w:val="nil"/>
              <w:bottom w:val="nil"/>
              <w:right w:val="nil"/>
            </w:tcBorders>
            <w:shd w:val="clear" w:color="000000" w:fill="FFFFFF"/>
            <w:noWrap/>
            <w:vAlign w:val="center"/>
            <w:hideMark/>
          </w:tcPr>
          <w:p w14:paraId="6F5DCCC2" w14:textId="77777777" w:rsidR="00051507" w:rsidRPr="00AD03D1" w:rsidRDefault="00051507" w:rsidP="00DF5625">
            <w:pPr>
              <w:jc w:val="right"/>
              <w:rPr>
                <w:sz w:val="18"/>
                <w:szCs w:val="18"/>
              </w:rPr>
            </w:pPr>
            <w:r w:rsidRPr="00AD03D1">
              <w:rPr>
                <w:sz w:val="18"/>
                <w:szCs w:val="18"/>
              </w:rPr>
              <w:t>(296.417)</w:t>
            </w:r>
          </w:p>
        </w:tc>
        <w:tc>
          <w:tcPr>
            <w:tcW w:w="146" w:type="dxa"/>
            <w:tcBorders>
              <w:top w:val="nil"/>
              <w:left w:val="nil"/>
              <w:bottom w:val="nil"/>
              <w:right w:val="nil"/>
            </w:tcBorders>
            <w:shd w:val="clear" w:color="auto" w:fill="auto"/>
            <w:noWrap/>
            <w:vAlign w:val="bottom"/>
            <w:hideMark/>
          </w:tcPr>
          <w:p w14:paraId="7C85278F"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center"/>
            <w:hideMark/>
          </w:tcPr>
          <w:p w14:paraId="1B4B872C" w14:textId="77777777" w:rsidR="00051507" w:rsidRPr="00AD03D1" w:rsidRDefault="00051507" w:rsidP="00DF5625">
            <w:pPr>
              <w:jc w:val="right"/>
              <w:rPr>
                <w:sz w:val="18"/>
                <w:szCs w:val="18"/>
              </w:rPr>
            </w:pPr>
            <w:r w:rsidRPr="00AD03D1">
              <w:rPr>
                <w:sz w:val="18"/>
                <w:szCs w:val="18"/>
              </w:rPr>
              <w:t>(205.758)</w:t>
            </w:r>
          </w:p>
        </w:tc>
        <w:tc>
          <w:tcPr>
            <w:tcW w:w="146" w:type="dxa"/>
            <w:tcBorders>
              <w:top w:val="nil"/>
              <w:left w:val="nil"/>
              <w:bottom w:val="nil"/>
              <w:right w:val="nil"/>
            </w:tcBorders>
            <w:shd w:val="clear" w:color="auto" w:fill="auto"/>
            <w:noWrap/>
            <w:vAlign w:val="bottom"/>
            <w:hideMark/>
          </w:tcPr>
          <w:p w14:paraId="3B8D5DF4"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center"/>
            <w:hideMark/>
          </w:tcPr>
          <w:p w14:paraId="395A319B" w14:textId="77777777" w:rsidR="00051507" w:rsidRPr="00AD03D1" w:rsidRDefault="00051507" w:rsidP="00DF5625">
            <w:pPr>
              <w:jc w:val="right"/>
              <w:rPr>
                <w:sz w:val="18"/>
                <w:szCs w:val="18"/>
              </w:rPr>
            </w:pPr>
            <w:r w:rsidRPr="00AD03D1">
              <w:rPr>
                <w:sz w:val="18"/>
                <w:szCs w:val="18"/>
              </w:rPr>
              <w:t>(90.659)</w:t>
            </w:r>
          </w:p>
        </w:tc>
        <w:tc>
          <w:tcPr>
            <w:tcW w:w="181" w:type="dxa"/>
            <w:tcBorders>
              <w:top w:val="nil"/>
              <w:left w:val="nil"/>
              <w:bottom w:val="nil"/>
              <w:right w:val="nil"/>
            </w:tcBorders>
            <w:shd w:val="clear" w:color="auto" w:fill="auto"/>
            <w:noWrap/>
            <w:vAlign w:val="bottom"/>
            <w:hideMark/>
          </w:tcPr>
          <w:p w14:paraId="542DEA96"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008D7030" w14:textId="77777777" w:rsidR="00051507" w:rsidRPr="00AD03D1" w:rsidRDefault="00051507" w:rsidP="00DF5625">
            <w:pPr>
              <w:jc w:val="right"/>
              <w:rPr>
                <w:sz w:val="18"/>
                <w:szCs w:val="18"/>
              </w:rPr>
            </w:pPr>
            <w:r w:rsidRPr="00AD03D1">
              <w:rPr>
                <w:sz w:val="18"/>
                <w:szCs w:val="18"/>
              </w:rPr>
              <w:t>44%</w:t>
            </w:r>
          </w:p>
        </w:tc>
      </w:tr>
      <w:tr w:rsidR="00051507" w:rsidRPr="00AD03D1" w14:paraId="522482FC" w14:textId="77777777" w:rsidTr="00DF5625">
        <w:trPr>
          <w:trHeight w:val="210"/>
          <w:jc w:val="center"/>
        </w:trPr>
        <w:tc>
          <w:tcPr>
            <w:tcW w:w="4868" w:type="dxa"/>
            <w:gridSpan w:val="2"/>
            <w:tcBorders>
              <w:top w:val="nil"/>
              <w:left w:val="nil"/>
              <w:bottom w:val="nil"/>
              <w:right w:val="nil"/>
            </w:tcBorders>
            <w:shd w:val="clear" w:color="auto" w:fill="auto"/>
            <w:noWrap/>
            <w:vAlign w:val="center"/>
            <w:hideMark/>
          </w:tcPr>
          <w:p w14:paraId="4CD9CAE4" w14:textId="77777777" w:rsidR="00051507" w:rsidRPr="00AD03D1" w:rsidRDefault="00051507" w:rsidP="00DF5625">
            <w:pPr>
              <w:rPr>
                <w:sz w:val="18"/>
                <w:szCs w:val="18"/>
              </w:rPr>
            </w:pPr>
            <w:r w:rsidRPr="00AD03D1">
              <w:rPr>
                <w:sz w:val="18"/>
                <w:szCs w:val="18"/>
              </w:rPr>
              <w:t xml:space="preserve">  Honorarios a directores</w:t>
            </w:r>
          </w:p>
        </w:tc>
        <w:tc>
          <w:tcPr>
            <w:tcW w:w="1456" w:type="dxa"/>
            <w:tcBorders>
              <w:top w:val="nil"/>
              <w:left w:val="nil"/>
              <w:bottom w:val="nil"/>
              <w:right w:val="nil"/>
            </w:tcBorders>
            <w:shd w:val="clear" w:color="000000" w:fill="FFFFFF"/>
            <w:noWrap/>
            <w:vAlign w:val="center"/>
            <w:hideMark/>
          </w:tcPr>
          <w:p w14:paraId="5A4974AD" w14:textId="77777777" w:rsidR="00051507" w:rsidRPr="00AD03D1" w:rsidRDefault="00051507" w:rsidP="00DF5625">
            <w:pPr>
              <w:jc w:val="right"/>
              <w:rPr>
                <w:sz w:val="18"/>
                <w:szCs w:val="18"/>
              </w:rPr>
            </w:pPr>
            <w:r w:rsidRPr="00AD03D1">
              <w:rPr>
                <w:sz w:val="18"/>
                <w:szCs w:val="18"/>
              </w:rPr>
              <w:t>(7.576)</w:t>
            </w:r>
          </w:p>
        </w:tc>
        <w:tc>
          <w:tcPr>
            <w:tcW w:w="146" w:type="dxa"/>
            <w:tcBorders>
              <w:top w:val="nil"/>
              <w:left w:val="nil"/>
              <w:bottom w:val="nil"/>
              <w:right w:val="nil"/>
            </w:tcBorders>
            <w:shd w:val="clear" w:color="auto" w:fill="auto"/>
            <w:noWrap/>
            <w:vAlign w:val="bottom"/>
            <w:hideMark/>
          </w:tcPr>
          <w:p w14:paraId="4F0E079C"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center"/>
            <w:hideMark/>
          </w:tcPr>
          <w:p w14:paraId="6846C1B0" w14:textId="77777777" w:rsidR="00051507" w:rsidRPr="00AD03D1" w:rsidRDefault="00051507" w:rsidP="00DF5625">
            <w:pPr>
              <w:jc w:val="right"/>
              <w:rPr>
                <w:b/>
                <w:bCs/>
                <w:sz w:val="18"/>
                <w:szCs w:val="18"/>
              </w:rPr>
            </w:pPr>
            <w:r>
              <w:rPr>
                <w:b/>
                <w:bCs/>
                <w:sz w:val="18"/>
                <w:szCs w:val="18"/>
              </w:rPr>
              <w:t>-</w:t>
            </w:r>
            <w:r w:rsidRPr="00AD03D1">
              <w:rPr>
                <w:b/>
                <w:bCs/>
                <w:sz w:val="18"/>
                <w:szCs w:val="18"/>
              </w:rPr>
              <w:t> </w:t>
            </w:r>
          </w:p>
        </w:tc>
        <w:tc>
          <w:tcPr>
            <w:tcW w:w="146" w:type="dxa"/>
            <w:tcBorders>
              <w:top w:val="nil"/>
              <w:left w:val="nil"/>
              <w:bottom w:val="nil"/>
              <w:right w:val="nil"/>
            </w:tcBorders>
            <w:shd w:val="clear" w:color="auto" w:fill="auto"/>
            <w:noWrap/>
            <w:vAlign w:val="bottom"/>
            <w:hideMark/>
          </w:tcPr>
          <w:p w14:paraId="7D816ADB" w14:textId="77777777" w:rsidR="00051507" w:rsidRPr="00AD03D1" w:rsidRDefault="00051507" w:rsidP="00DF5625">
            <w:pPr>
              <w:jc w:val="right"/>
              <w:rPr>
                <w:b/>
                <w:bCs/>
                <w:sz w:val="18"/>
                <w:szCs w:val="18"/>
              </w:rPr>
            </w:pPr>
          </w:p>
        </w:tc>
        <w:tc>
          <w:tcPr>
            <w:tcW w:w="1240" w:type="dxa"/>
            <w:tcBorders>
              <w:top w:val="nil"/>
              <w:left w:val="nil"/>
              <w:bottom w:val="nil"/>
              <w:right w:val="nil"/>
            </w:tcBorders>
            <w:shd w:val="clear" w:color="auto" w:fill="auto"/>
            <w:noWrap/>
            <w:vAlign w:val="center"/>
            <w:hideMark/>
          </w:tcPr>
          <w:p w14:paraId="68ED3F4E" w14:textId="77777777" w:rsidR="00051507" w:rsidRPr="00AD03D1" w:rsidRDefault="00051507" w:rsidP="00DF5625">
            <w:pPr>
              <w:jc w:val="right"/>
              <w:rPr>
                <w:sz w:val="18"/>
                <w:szCs w:val="18"/>
              </w:rPr>
            </w:pPr>
            <w:r w:rsidRPr="00AD03D1">
              <w:rPr>
                <w:sz w:val="18"/>
                <w:szCs w:val="18"/>
              </w:rPr>
              <w:t>(7.576)</w:t>
            </w:r>
          </w:p>
        </w:tc>
        <w:tc>
          <w:tcPr>
            <w:tcW w:w="181" w:type="dxa"/>
            <w:tcBorders>
              <w:top w:val="nil"/>
              <w:left w:val="nil"/>
              <w:bottom w:val="nil"/>
              <w:right w:val="nil"/>
            </w:tcBorders>
            <w:shd w:val="clear" w:color="auto" w:fill="auto"/>
            <w:noWrap/>
            <w:vAlign w:val="bottom"/>
            <w:hideMark/>
          </w:tcPr>
          <w:p w14:paraId="70A274F7"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236E1B92" w14:textId="77777777" w:rsidR="00051507" w:rsidRPr="00AD03D1" w:rsidRDefault="00051507" w:rsidP="00DF5625">
            <w:pPr>
              <w:jc w:val="right"/>
              <w:rPr>
                <w:sz w:val="18"/>
                <w:szCs w:val="18"/>
              </w:rPr>
            </w:pPr>
            <w:r w:rsidRPr="00AD03D1">
              <w:rPr>
                <w:sz w:val="18"/>
                <w:szCs w:val="18"/>
              </w:rPr>
              <w:t>100%</w:t>
            </w:r>
          </w:p>
        </w:tc>
      </w:tr>
      <w:tr w:rsidR="00051507" w:rsidRPr="00AD03D1" w14:paraId="0DE19B2C" w14:textId="77777777" w:rsidTr="00DF5625">
        <w:trPr>
          <w:trHeight w:val="210"/>
          <w:jc w:val="center"/>
        </w:trPr>
        <w:tc>
          <w:tcPr>
            <w:tcW w:w="4868" w:type="dxa"/>
            <w:gridSpan w:val="2"/>
            <w:tcBorders>
              <w:top w:val="nil"/>
              <w:left w:val="nil"/>
              <w:bottom w:val="nil"/>
              <w:right w:val="nil"/>
            </w:tcBorders>
            <w:shd w:val="clear" w:color="auto" w:fill="auto"/>
            <w:noWrap/>
            <w:vAlign w:val="center"/>
            <w:hideMark/>
          </w:tcPr>
          <w:p w14:paraId="5DC1DA4E" w14:textId="77777777" w:rsidR="00051507" w:rsidRPr="00AD03D1" w:rsidRDefault="00051507" w:rsidP="00DF5625">
            <w:pPr>
              <w:rPr>
                <w:sz w:val="18"/>
                <w:szCs w:val="18"/>
              </w:rPr>
            </w:pPr>
            <w:r w:rsidRPr="00AD03D1">
              <w:rPr>
                <w:sz w:val="18"/>
                <w:szCs w:val="18"/>
              </w:rPr>
              <w:t xml:space="preserve">  Alquileres</w:t>
            </w:r>
          </w:p>
        </w:tc>
        <w:tc>
          <w:tcPr>
            <w:tcW w:w="1456" w:type="dxa"/>
            <w:tcBorders>
              <w:top w:val="nil"/>
              <w:left w:val="nil"/>
              <w:bottom w:val="nil"/>
              <w:right w:val="nil"/>
            </w:tcBorders>
            <w:shd w:val="clear" w:color="000000" w:fill="FFFFFF"/>
            <w:noWrap/>
            <w:vAlign w:val="center"/>
            <w:hideMark/>
          </w:tcPr>
          <w:p w14:paraId="70E0DD97" w14:textId="77777777" w:rsidR="00051507" w:rsidRPr="00AD03D1" w:rsidRDefault="00051507" w:rsidP="00DF5625">
            <w:pPr>
              <w:jc w:val="right"/>
              <w:rPr>
                <w:sz w:val="18"/>
                <w:szCs w:val="18"/>
              </w:rPr>
            </w:pPr>
            <w:r w:rsidRPr="00AD03D1">
              <w:rPr>
                <w:sz w:val="18"/>
                <w:szCs w:val="18"/>
              </w:rPr>
              <w:t>(9.283)</w:t>
            </w:r>
          </w:p>
        </w:tc>
        <w:tc>
          <w:tcPr>
            <w:tcW w:w="146" w:type="dxa"/>
            <w:tcBorders>
              <w:top w:val="nil"/>
              <w:left w:val="nil"/>
              <w:bottom w:val="nil"/>
              <w:right w:val="nil"/>
            </w:tcBorders>
            <w:shd w:val="clear" w:color="auto" w:fill="auto"/>
            <w:noWrap/>
            <w:vAlign w:val="bottom"/>
            <w:hideMark/>
          </w:tcPr>
          <w:p w14:paraId="7DA1E256"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center"/>
            <w:hideMark/>
          </w:tcPr>
          <w:p w14:paraId="46750071" w14:textId="77777777" w:rsidR="00051507" w:rsidRPr="00AD03D1" w:rsidRDefault="00051507" w:rsidP="00DF5625">
            <w:pPr>
              <w:jc w:val="right"/>
              <w:rPr>
                <w:sz w:val="18"/>
                <w:szCs w:val="18"/>
              </w:rPr>
            </w:pPr>
            <w:r w:rsidRPr="00AD03D1">
              <w:rPr>
                <w:sz w:val="18"/>
                <w:szCs w:val="18"/>
              </w:rPr>
              <w:t>(4.544)</w:t>
            </w:r>
          </w:p>
        </w:tc>
        <w:tc>
          <w:tcPr>
            <w:tcW w:w="146" w:type="dxa"/>
            <w:tcBorders>
              <w:top w:val="nil"/>
              <w:left w:val="nil"/>
              <w:bottom w:val="nil"/>
              <w:right w:val="nil"/>
            </w:tcBorders>
            <w:shd w:val="clear" w:color="auto" w:fill="auto"/>
            <w:noWrap/>
            <w:vAlign w:val="bottom"/>
            <w:hideMark/>
          </w:tcPr>
          <w:p w14:paraId="119ECAFE"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center"/>
            <w:hideMark/>
          </w:tcPr>
          <w:p w14:paraId="13DE20E2" w14:textId="77777777" w:rsidR="00051507" w:rsidRPr="00AD03D1" w:rsidRDefault="00051507" w:rsidP="00DF5625">
            <w:pPr>
              <w:jc w:val="right"/>
              <w:rPr>
                <w:sz w:val="18"/>
                <w:szCs w:val="18"/>
              </w:rPr>
            </w:pPr>
            <w:r w:rsidRPr="00AD03D1">
              <w:rPr>
                <w:sz w:val="18"/>
                <w:szCs w:val="18"/>
              </w:rPr>
              <w:t>(4.739)</w:t>
            </w:r>
          </w:p>
        </w:tc>
        <w:tc>
          <w:tcPr>
            <w:tcW w:w="181" w:type="dxa"/>
            <w:tcBorders>
              <w:top w:val="nil"/>
              <w:left w:val="nil"/>
              <w:bottom w:val="nil"/>
              <w:right w:val="nil"/>
            </w:tcBorders>
            <w:shd w:val="clear" w:color="auto" w:fill="auto"/>
            <w:noWrap/>
            <w:vAlign w:val="bottom"/>
            <w:hideMark/>
          </w:tcPr>
          <w:p w14:paraId="4BA030D4"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5B7E0DBB" w14:textId="77777777" w:rsidR="00051507" w:rsidRPr="00AD03D1" w:rsidRDefault="00051507" w:rsidP="00DF5625">
            <w:pPr>
              <w:jc w:val="right"/>
              <w:rPr>
                <w:sz w:val="18"/>
                <w:szCs w:val="18"/>
              </w:rPr>
            </w:pPr>
            <w:r w:rsidRPr="00AD03D1">
              <w:rPr>
                <w:sz w:val="18"/>
                <w:szCs w:val="18"/>
              </w:rPr>
              <w:t>104%</w:t>
            </w:r>
          </w:p>
        </w:tc>
      </w:tr>
      <w:tr w:rsidR="00051507" w:rsidRPr="00AD03D1" w14:paraId="2517E3F1" w14:textId="77777777" w:rsidTr="00DF5625">
        <w:trPr>
          <w:trHeight w:val="210"/>
          <w:jc w:val="center"/>
        </w:trPr>
        <w:tc>
          <w:tcPr>
            <w:tcW w:w="4868" w:type="dxa"/>
            <w:gridSpan w:val="2"/>
            <w:tcBorders>
              <w:top w:val="nil"/>
              <w:left w:val="nil"/>
              <w:bottom w:val="nil"/>
              <w:right w:val="nil"/>
            </w:tcBorders>
            <w:shd w:val="clear" w:color="auto" w:fill="auto"/>
            <w:noWrap/>
            <w:vAlign w:val="center"/>
            <w:hideMark/>
          </w:tcPr>
          <w:p w14:paraId="230AB177" w14:textId="77777777" w:rsidR="00051507" w:rsidRPr="00AD03D1" w:rsidRDefault="00051507" w:rsidP="00DF5625">
            <w:pPr>
              <w:rPr>
                <w:sz w:val="18"/>
                <w:szCs w:val="18"/>
              </w:rPr>
            </w:pPr>
            <w:r w:rsidRPr="00AD03D1">
              <w:rPr>
                <w:sz w:val="18"/>
                <w:szCs w:val="18"/>
              </w:rPr>
              <w:t xml:space="preserve">  Viajes y movilidad y gastos de representación</w:t>
            </w:r>
          </w:p>
        </w:tc>
        <w:tc>
          <w:tcPr>
            <w:tcW w:w="1456" w:type="dxa"/>
            <w:tcBorders>
              <w:top w:val="nil"/>
              <w:left w:val="nil"/>
              <w:bottom w:val="nil"/>
              <w:right w:val="nil"/>
            </w:tcBorders>
            <w:shd w:val="clear" w:color="000000" w:fill="FFFFFF"/>
            <w:noWrap/>
            <w:vAlign w:val="center"/>
            <w:hideMark/>
          </w:tcPr>
          <w:p w14:paraId="6C46EAD5" w14:textId="77777777" w:rsidR="00051507" w:rsidRPr="00AD03D1" w:rsidRDefault="00051507" w:rsidP="00DF5625">
            <w:pPr>
              <w:jc w:val="right"/>
              <w:rPr>
                <w:sz w:val="18"/>
                <w:szCs w:val="18"/>
              </w:rPr>
            </w:pPr>
            <w:r w:rsidRPr="00AD03D1">
              <w:rPr>
                <w:sz w:val="18"/>
                <w:szCs w:val="18"/>
              </w:rPr>
              <w:t>(53)</w:t>
            </w:r>
          </w:p>
        </w:tc>
        <w:tc>
          <w:tcPr>
            <w:tcW w:w="146" w:type="dxa"/>
            <w:tcBorders>
              <w:top w:val="nil"/>
              <w:left w:val="nil"/>
              <w:bottom w:val="nil"/>
              <w:right w:val="nil"/>
            </w:tcBorders>
            <w:shd w:val="clear" w:color="auto" w:fill="auto"/>
            <w:noWrap/>
            <w:vAlign w:val="bottom"/>
            <w:hideMark/>
          </w:tcPr>
          <w:p w14:paraId="77ABEDF4"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center"/>
            <w:hideMark/>
          </w:tcPr>
          <w:p w14:paraId="19D49E28" w14:textId="77777777" w:rsidR="00051507" w:rsidRPr="00AD03D1" w:rsidRDefault="00051507" w:rsidP="00DF5625">
            <w:pPr>
              <w:jc w:val="right"/>
              <w:rPr>
                <w:sz w:val="18"/>
                <w:szCs w:val="18"/>
              </w:rPr>
            </w:pPr>
            <w:r w:rsidRPr="00AD03D1">
              <w:rPr>
                <w:sz w:val="18"/>
                <w:szCs w:val="18"/>
              </w:rPr>
              <w:t>(2.461)</w:t>
            </w:r>
          </w:p>
        </w:tc>
        <w:tc>
          <w:tcPr>
            <w:tcW w:w="146" w:type="dxa"/>
            <w:tcBorders>
              <w:top w:val="nil"/>
              <w:left w:val="nil"/>
              <w:bottom w:val="nil"/>
              <w:right w:val="nil"/>
            </w:tcBorders>
            <w:shd w:val="clear" w:color="auto" w:fill="auto"/>
            <w:noWrap/>
            <w:vAlign w:val="bottom"/>
            <w:hideMark/>
          </w:tcPr>
          <w:p w14:paraId="0CC42965"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center"/>
            <w:hideMark/>
          </w:tcPr>
          <w:p w14:paraId="5C74B865" w14:textId="77777777" w:rsidR="00051507" w:rsidRPr="00AD03D1" w:rsidRDefault="00051507" w:rsidP="00DF5625">
            <w:pPr>
              <w:jc w:val="right"/>
              <w:rPr>
                <w:sz w:val="18"/>
                <w:szCs w:val="18"/>
              </w:rPr>
            </w:pPr>
            <w:r w:rsidRPr="00AD03D1">
              <w:rPr>
                <w:sz w:val="18"/>
                <w:szCs w:val="18"/>
              </w:rPr>
              <w:t>2.408</w:t>
            </w:r>
          </w:p>
        </w:tc>
        <w:tc>
          <w:tcPr>
            <w:tcW w:w="181" w:type="dxa"/>
            <w:tcBorders>
              <w:top w:val="nil"/>
              <w:left w:val="nil"/>
              <w:bottom w:val="nil"/>
              <w:right w:val="nil"/>
            </w:tcBorders>
            <w:shd w:val="clear" w:color="auto" w:fill="auto"/>
            <w:noWrap/>
            <w:vAlign w:val="bottom"/>
            <w:hideMark/>
          </w:tcPr>
          <w:p w14:paraId="04D2D715"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2791F2AF" w14:textId="77777777" w:rsidR="00051507" w:rsidRPr="00AD03D1" w:rsidRDefault="00051507" w:rsidP="00DF5625">
            <w:pPr>
              <w:jc w:val="right"/>
              <w:rPr>
                <w:sz w:val="18"/>
                <w:szCs w:val="18"/>
              </w:rPr>
            </w:pPr>
            <w:r w:rsidRPr="00AD03D1">
              <w:rPr>
                <w:sz w:val="18"/>
                <w:szCs w:val="18"/>
              </w:rPr>
              <w:t>(98%)</w:t>
            </w:r>
          </w:p>
        </w:tc>
      </w:tr>
      <w:tr w:rsidR="00051507" w:rsidRPr="00AD03D1" w14:paraId="766E6FCB" w14:textId="77777777" w:rsidTr="00DF5625">
        <w:trPr>
          <w:trHeight w:val="210"/>
          <w:jc w:val="center"/>
        </w:trPr>
        <w:tc>
          <w:tcPr>
            <w:tcW w:w="4868" w:type="dxa"/>
            <w:gridSpan w:val="2"/>
            <w:tcBorders>
              <w:top w:val="nil"/>
              <w:left w:val="nil"/>
              <w:bottom w:val="nil"/>
              <w:right w:val="nil"/>
            </w:tcBorders>
            <w:shd w:val="clear" w:color="auto" w:fill="auto"/>
            <w:noWrap/>
            <w:vAlign w:val="center"/>
            <w:hideMark/>
          </w:tcPr>
          <w:p w14:paraId="20904927" w14:textId="77777777" w:rsidR="00051507" w:rsidRPr="00AD03D1" w:rsidRDefault="00051507" w:rsidP="00DF5625">
            <w:pPr>
              <w:rPr>
                <w:sz w:val="18"/>
                <w:szCs w:val="18"/>
              </w:rPr>
            </w:pPr>
            <w:r w:rsidRPr="00AD03D1">
              <w:rPr>
                <w:sz w:val="18"/>
                <w:szCs w:val="18"/>
              </w:rPr>
              <w:t xml:space="preserve">  Donaciones</w:t>
            </w:r>
          </w:p>
        </w:tc>
        <w:tc>
          <w:tcPr>
            <w:tcW w:w="1456" w:type="dxa"/>
            <w:tcBorders>
              <w:top w:val="nil"/>
              <w:left w:val="nil"/>
              <w:bottom w:val="nil"/>
              <w:right w:val="nil"/>
            </w:tcBorders>
            <w:shd w:val="clear" w:color="000000" w:fill="FFFFFF"/>
            <w:noWrap/>
            <w:vAlign w:val="center"/>
            <w:hideMark/>
          </w:tcPr>
          <w:p w14:paraId="5A532446" w14:textId="77777777" w:rsidR="00051507" w:rsidRPr="00AD03D1" w:rsidRDefault="00051507" w:rsidP="00DF5625">
            <w:pPr>
              <w:jc w:val="right"/>
              <w:rPr>
                <w:sz w:val="18"/>
                <w:szCs w:val="18"/>
              </w:rPr>
            </w:pPr>
            <w:r>
              <w:rPr>
                <w:sz w:val="18"/>
                <w:szCs w:val="18"/>
              </w:rPr>
              <w:t>-</w:t>
            </w:r>
            <w:r w:rsidRPr="00AD03D1">
              <w:rPr>
                <w:sz w:val="18"/>
                <w:szCs w:val="18"/>
              </w:rPr>
              <w:t> </w:t>
            </w:r>
          </w:p>
        </w:tc>
        <w:tc>
          <w:tcPr>
            <w:tcW w:w="146" w:type="dxa"/>
            <w:tcBorders>
              <w:top w:val="nil"/>
              <w:left w:val="nil"/>
              <w:bottom w:val="nil"/>
              <w:right w:val="nil"/>
            </w:tcBorders>
            <w:shd w:val="clear" w:color="auto" w:fill="auto"/>
            <w:noWrap/>
            <w:vAlign w:val="bottom"/>
            <w:hideMark/>
          </w:tcPr>
          <w:p w14:paraId="42A379BB"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center"/>
            <w:hideMark/>
          </w:tcPr>
          <w:p w14:paraId="1481CEC8" w14:textId="77777777" w:rsidR="00051507" w:rsidRPr="00AD03D1" w:rsidRDefault="00051507" w:rsidP="00DF5625">
            <w:pPr>
              <w:jc w:val="right"/>
              <w:rPr>
                <w:sz w:val="18"/>
                <w:szCs w:val="18"/>
              </w:rPr>
            </w:pPr>
            <w:r w:rsidRPr="00AD03D1">
              <w:rPr>
                <w:sz w:val="18"/>
                <w:szCs w:val="18"/>
              </w:rPr>
              <w:t>(131)</w:t>
            </w:r>
          </w:p>
        </w:tc>
        <w:tc>
          <w:tcPr>
            <w:tcW w:w="146" w:type="dxa"/>
            <w:tcBorders>
              <w:top w:val="nil"/>
              <w:left w:val="nil"/>
              <w:bottom w:val="nil"/>
              <w:right w:val="nil"/>
            </w:tcBorders>
            <w:shd w:val="clear" w:color="auto" w:fill="auto"/>
            <w:noWrap/>
            <w:vAlign w:val="bottom"/>
            <w:hideMark/>
          </w:tcPr>
          <w:p w14:paraId="52E68BF2"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center"/>
            <w:hideMark/>
          </w:tcPr>
          <w:p w14:paraId="7193B314" w14:textId="77777777" w:rsidR="00051507" w:rsidRPr="00AD03D1" w:rsidRDefault="00051507" w:rsidP="00DF5625">
            <w:pPr>
              <w:jc w:val="right"/>
              <w:rPr>
                <w:sz w:val="18"/>
                <w:szCs w:val="18"/>
              </w:rPr>
            </w:pPr>
            <w:r w:rsidRPr="00AD03D1">
              <w:rPr>
                <w:sz w:val="18"/>
                <w:szCs w:val="18"/>
              </w:rPr>
              <w:t>131</w:t>
            </w:r>
          </w:p>
        </w:tc>
        <w:tc>
          <w:tcPr>
            <w:tcW w:w="181" w:type="dxa"/>
            <w:tcBorders>
              <w:top w:val="nil"/>
              <w:left w:val="nil"/>
              <w:bottom w:val="nil"/>
              <w:right w:val="nil"/>
            </w:tcBorders>
            <w:shd w:val="clear" w:color="auto" w:fill="auto"/>
            <w:noWrap/>
            <w:vAlign w:val="bottom"/>
            <w:hideMark/>
          </w:tcPr>
          <w:p w14:paraId="4A4A033F"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146B60D4" w14:textId="77777777" w:rsidR="00051507" w:rsidRPr="00AD03D1" w:rsidRDefault="00051507" w:rsidP="00DF5625">
            <w:pPr>
              <w:jc w:val="right"/>
              <w:rPr>
                <w:sz w:val="18"/>
                <w:szCs w:val="18"/>
              </w:rPr>
            </w:pPr>
            <w:r w:rsidRPr="00AD03D1">
              <w:rPr>
                <w:sz w:val="18"/>
                <w:szCs w:val="18"/>
              </w:rPr>
              <w:t>(100%)</w:t>
            </w:r>
          </w:p>
        </w:tc>
      </w:tr>
      <w:tr w:rsidR="00051507" w:rsidRPr="00AD03D1" w14:paraId="1B896EFA" w14:textId="77777777" w:rsidTr="00DF5625">
        <w:trPr>
          <w:trHeight w:val="210"/>
          <w:jc w:val="center"/>
        </w:trPr>
        <w:tc>
          <w:tcPr>
            <w:tcW w:w="4868" w:type="dxa"/>
            <w:gridSpan w:val="2"/>
            <w:tcBorders>
              <w:top w:val="nil"/>
              <w:left w:val="nil"/>
              <w:bottom w:val="nil"/>
              <w:right w:val="nil"/>
            </w:tcBorders>
            <w:shd w:val="clear" w:color="auto" w:fill="auto"/>
            <w:noWrap/>
            <w:vAlign w:val="center"/>
            <w:hideMark/>
          </w:tcPr>
          <w:p w14:paraId="05C3A33B" w14:textId="77777777" w:rsidR="00051507" w:rsidRPr="00AD03D1" w:rsidRDefault="00051507" w:rsidP="00DF5625">
            <w:pPr>
              <w:rPr>
                <w:sz w:val="18"/>
                <w:szCs w:val="18"/>
              </w:rPr>
            </w:pPr>
            <w:r w:rsidRPr="00AD03D1">
              <w:rPr>
                <w:sz w:val="18"/>
                <w:szCs w:val="18"/>
              </w:rPr>
              <w:t xml:space="preserve">  Diversos</w:t>
            </w:r>
          </w:p>
        </w:tc>
        <w:tc>
          <w:tcPr>
            <w:tcW w:w="1456" w:type="dxa"/>
            <w:tcBorders>
              <w:top w:val="nil"/>
              <w:left w:val="nil"/>
              <w:bottom w:val="nil"/>
              <w:right w:val="nil"/>
            </w:tcBorders>
            <w:shd w:val="clear" w:color="000000" w:fill="FFFFFF"/>
            <w:noWrap/>
            <w:vAlign w:val="center"/>
            <w:hideMark/>
          </w:tcPr>
          <w:p w14:paraId="3D59B1E0" w14:textId="77777777" w:rsidR="00051507" w:rsidRPr="00AD03D1" w:rsidRDefault="00051507" w:rsidP="00DF5625">
            <w:pPr>
              <w:jc w:val="right"/>
              <w:rPr>
                <w:sz w:val="18"/>
                <w:szCs w:val="18"/>
              </w:rPr>
            </w:pPr>
            <w:r w:rsidRPr="00AD03D1">
              <w:rPr>
                <w:sz w:val="18"/>
                <w:szCs w:val="18"/>
              </w:rPr>
              <w:t>(6.857)</w:t>
            </w:r>
          </w:p>
        </w:tc>
        <w:tc>
          <w:tcPr>
            <w:tcW w:w="146" w:type="dxa"/>
            <w:tcBorders>
              <w:top w:val="nil"/>
              <w:left w:val="nil"/>
              <w:bottom w:val="nil"/>
              <w:right w:val="nil"/>
            </w:tcBorders>
            <w:shd w:val="clear" w:color="auto" w:fill="auto"/>
            <w:noWrap/>
            <w:vAlign w:val="bottom"/>
            <w:hideMark/>
          </w:tcPr>
          <w:p w14:paraId="3509B4FE"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center"/>
            <w:hideMark/>
          </w:tcPr>
          <w:p w14:paraId="50714D36" w14:textId="77777777" w:rsidR="00051507" w:rsidRPr="00AD03D1" w:rsidRDefault="00051507" w:rsidP="00DF5625">
            <w:pPr>
              <w:jc w:val="right"/>
              <w:rPr>
                <w:sz w:val="18"/>
                <w:szCs w:val="18"/>
              </w:rPr>
            </w:pPr>
            <w:r w:rsidRPr="00AD03D1">
              <w:rPr>
                <w:sz w:val="18"/>
                <w:szCs w:val="18"/>
              </w:rPr>
              <w:t>(3.660)</w:t>
            </w:r>
          </w:p>
        </w:tc>
        <w:tc>
          <w:tcPr>
            <w:tcW w:w="146" w:type="dxa"/>
            <w:tcBorders>
              <w:top w:val="nil"/>
              <w:left w:val="nil"/>
              <w:bottom w:val="nil"/>
              <w:right w:val="nil"/>
            </w:tcBorders>
            <w:shd w:val="clear" w:color="auto" w:fill="auto"/>
            <w:noWrap/>
            <w:vAlign w:val="bottom"/>
            <w:hideMark/>
          </w:tcPr>
          <w:p w14:paraId="25AC01C3"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center"/>
            <w:hideMark/>
          </w:tcPr>
          <w:p w14:paraId="52CC53F4" w14:textId="77777777" w:rsidR="00051507" w:rsidRPr="00AD03D1" w:rsidRDefault="00051507" w:rsidP="00DF5625">
            <w:pPr>
              <w:jc w:val="right"/>
              <w:rPr>
                <w:sz w:val="18"/>
                <w:szCs w:val="18"/>
              </w:rPr>
            </w:pPr>
            <w:r w:rsidRPr="00AD03D1">
              <w:rPr>
                <w:sz w:val="18"/>
                <w:szCs w:val="18"/>
              </w:rPr>
              <w:t>(3.197)</w:t>
            </w:r>
          </w:p>
        </w:tc>
        <w:tc>
          <w:tcPr>
            <w:tcW w:w="181" w:type="dxa"/>
            <w:tcBorders>
              <w:top w:val="nil"/>
              <w:left w:val="nil"/>
              <w:bottom w:val="nil"/>
              <w:right w:val="nil"/>
            </w:tcBorders>
            <w:shd w:val="clear" w:color="auto" w:fill="auto"/>
            <w:noWrap/>
            <w:vAlign w:val="bottom"/>
            <w:hideMark/>
          </w:tcPr>
          <w:p w14:paraId="03BDA7BD"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1DD8A6F3" w14:textId="77777777" w:rsidR="00051507" w:rsidRPr="00AD03D1" w:rsidRDefault="00051507" w:rsidP="00DF5625">
            <w:pPr>
              <w:jc w:val="right"/>
              <w:rPr>
                <w:sz w:val="18"/>
                <w:szCs w:val="18"/>
              </w:rPr>
            </w:pPr>
            <w:r w:rsidRPr="00AD03D1">
              <w:rPr>
                <w:sz w:val="18"/>
                <w:szCs w:val="18"/>
              </w:rPr>
              <w:t>87%</w:t>
            </w:r>
          </w:p>
        </w:tc>
      </w:tr>
      <w:tr w:rsidR="00051507" w:rsidRPr="00AD03D1" w14:paraId="7BCB1EA1" w14:textId="77777777" w:rsidTr="00DF5625">
        <w:trPr>
          <w:trHeight w:val="288"/>
          <w:jc w:val="center"/>
        </w:trPr>
        <w:tc>
          <w:tcPr>
            <w:tcW w:w="4868" w:type="dxa"/>
            <w:gridSpan w:val="2"/>
            <w:tcBorders>
              <w:top w:val="nil"/>
              <w:left w:val="nil"/>
              <w:bottom w:val="nil"/>
              <w:right w:val="nil"/>
            </w:tcBorders>
            <w:shd w:val="clear" w:color="auto" w:fill="auto"/>
            <w:noWrap/>
            <w:vAlign w:val="center"/>
            <w:hideMark/>
          </w:tcPr>
          <w:p w14:paraId="0273373A" w14:textId="77777777" w:rsidR="00051507" w:rsidRPr="00AD03D1" w:rsidRDefault="00051507" w:rsidP="00DF5625">
            <w:pPr>
              <w:rPr>
                <w:b/>
                <w:bCs/>
                <w:sz w:val="18"/>
                <w:szCs w:val="18"/>
              </w:rPr>
            </w:pPr>
            <w:r w:rsidRPr="00AD03D1">
              <w:rPr>
                <w:b/>
                <w:bCs/>
                <w:sz w:val="18"/>
                <w:szCs w:val="18"/>
              </w:rPr>
              <w:t>Gastos de administración</w:t>
            </w:r>
          </w:p>
        </w:tc>
        <w:tc>
          <w:tcPr>
            <w:tcW w:w="1456" w:type="dxa"/>
            <w:tcBorders>
              <w:top w:val="single" w:sz="4" w:space="0" w:color="auto"/>
              <w:left w:val="nil"/>
              <w:bottom w:val="single" w:sz="4" w:space="0" w:color="auto"/>
              <w:right w:val="nil"/>
            </w:tcBorders>
            <w:shd w:val="clear" w:color="000000" w:fill="FFFFFF"/>
            <w:noWrap/>
            <w:vAlign w:val="center"/>
            <w:hideMark/>
          </w:tcPr>
          <w:p w14:paraId="191A6DB6" w14:textId="77777777" w:rsidR="00051507" w:rsidRPr="00AD03D1" w:rsidRDefault="00051507" w:rsidP="00DF5625">
            <w:pPr>
              <w:jc w:val="right"/>
              <w:rPr>
                <w:b/>
                <w:bCs/>
                <w:sz w:val="18"/>
                <w:szCs w:val="18"/>
              </w:rPr>
            </w:pPr>
            <w:r w:rsidRPr="00AD03D1">
              <w:rPr>
                <w:b/>
                <w:bCs/>
                <w:sz w:val="18"/>
                <w:szCs w:val="18"/>
              </w:rPr>
              <w:t>(320.186)</w:t>
            </w:r>
          </w:p>
        </w:tc>
        <w:tc>
          <w:tcPr>
            <w:tcW w:w="146" w:type="dxa"/>
            <w:tcBorders>
              <w:top w:val="nil"/>
              <w:left w:val="nil"/>
              <w:bottom w:val="nil"/>
              <w:right w:val="nil"/>
            </w:tcBorders>
            <w:shd w:val="clear" w:color="auto" w:fill="auto"/>
            <w:noWrap/>
            <w:vAlign w:val="center"/>
            <w:hideMark/>
          </w:tcPr>
          <w:p w14:paraId="25EF9718" w14:textId="77777777" w:rsidR="00051507" w:rsidRPr="00AD03D1" w:rsidRDefault="00051507" w:rsidP="00DF5625">
            <w:pPr>
              <w:jc w:val="right"/>
              <w:rPr>
                <w:b/>
                <w:bCs/>
                <w:sz w:val="18"/>
                <w:szCs w:val="18"/>
              </w:rPr>
            </w:pPr>
          </w:p>
        </w:tc>
        <w:tc>
          <w:tcPr>
            <w:tcW w:w="1456" w:type="dxa"/>
            <w:tcBorders>
              <w:top w:val="single" w:sz="4" w:space="0" w:color="auto"/>
              <w:left w:val="nil"/>
              <w:bottom w:val="single" w:sz="4" w:space="0" w:color="auto"/>
              <w:right w:val="nil"/>
            </w:tcBorders>
            <w:shd w:val="clear" w:color="000000" w:fill="FFFFFF"/>
            <w:noWrap/>
            <w:vAlign w:val="center"/>
            <w:hideMark/>
          </w:tcPr>
          <w:p w14:paraId="73843222" w14:textId="77777777" w:rsidR="00051507" w:rsidRPr="00AD03D1" w:rsidRDefault="00051507" w:rsidP="00DF5625">
            <w:pPr>
              <w:jc w:val="right"/>
              <w:rPr>
                <w:b/>
                <w:bCs/>
                <w:sz w:val="18"/>
                <w:szCs w:val="18"/>
              </w:rPr>
            </w:pPr>
            <w:r w:rsidRPr="00AD03D1">
              <w:rPr>
                <w:b/>
                <w:bCs/>
                <w:sz w:val="18"/>
                <w:szCs w:val="18"/>
              </w:rPr>
              <w:t>(216.554)</w:t>
            </w:r>
          </w:p>
        </w:tc>
        <w:tc>
          <w:tcPr>
            <w:tcW w:w="146" w:type="dxa"/>
            <w:tcBorders>
              <w:top w:val="nil"/>
              <w:left w:val="nil"/>
              <w:bottom w:val="nil"/>
              <w:right w:val="nil"/>
            </w:tcBorders>
            <w:shd w:val="clear" w:color="auto" w:fill="auto"/>
            <w:noWrap/>
            <w:vAlign w:val="center"/>
            <w:hideMark/>
          </w:tcPr>
          <w:p w14:paraId="318427F5" w14:textId="77777777" w:rsidR="00051507" w:rsidRPr="00AD03D1" w:rsidRDefault="00051507" w:rsidP="00DF5625">
            <w:pPr>
              <w:jc w:val="right"/>
              <w:rPr>
                <w:b/>
                <w:bCs/>
                <w:sz w:val="18"/>
                <w:szCs w:val="18"/>
              </w:rPr>
            </w:pPr>
          </w:p>
        </w:tc>
        <w:tc>
          <w:tcPr>
            <w:tcW w:w="1240" w:type="dxa"/>
            <w:tcBorders>
              <w:top w:val="single" w:sz="4" w:space="0" w:color="auto"/>
              <w:left w:val="nil"/>
              <w:bottom w:val="single" w:sz="4" w:space="0" w:color="auto"/>
              <w:right w:val="nil"/>
            </w:tcBorders>
            <w:shd w:val="clear" w:color="auto" w:fill="auto"/>
            <w:noWrap/>
            <w:vAlign w:val="bottom"/>
            <w:hideMark/>
          </w:tcPr>
          <w:p w14:paraId="35FDA12B" w14:textId="77777777" w:rsidR="00051507" w:rsidRPr="00AD03D1" w:rsidRDefault="00051507" w:rsidP="00DF5625">
            <w:pPr>
              <w:jc w:val="right"/>
              <w:rPr>
                <w:b/>
                <w:bCs/>
                <w:sz w:val="18"/>
                <w:szCs w:val="18"/>
              </w:rPr>
            </w:pPr>
            <w:r w:rsidRPr="00AD03D1">
              <w:rPr>
                <w:b/>
                <w:bCs/>
                <w:sz w:val="18"/>
                <w:szCs w:val="18"/>
              </w:rPr>
              <w:t>(103.632)</w:t>
            </w:r>
          </w:p>
        </w:tc>
        <w:tc>
          <w:tcPr>
            <w:tcW w:w="181" w:type="dxa"/>
            <w:tcBorders>
              <w:top w:val="nil"/>
              <w:left w:val="nil"/>
              <w:bottom w:val="nil"/>
              <w:right w:val="nil"/>
            </w:tcBorders>
            <w:shd w:val="clear" w:color="auto" w:fill="auto"/>
            <w:noWrap/>
            <w:vAlign w:val="bottom"/>
            <w:hideMark/>
          </w:tcPr>
          <w:p w14:paraId="5E1CCD2E" w14:textId="77777777" w:rsidR="00051507" w:rsidRPr="00AD03D1" w:rsidRDefault="00051507" w:rsidP="00DF5625">
            <w:pPr>
              <w:jc w:val="right"/>
              <w:rPr>
                <w:b/>
                <w:bCs/>
                <w:sz w:val="18"/>
                <w:szCs w:val="18"/>
              </w:rPr>
            </w:pPr>
          </w:p>
        </w:tc>
        <w:tc>
          <w:tcPr>
            <w:tcW w:w="1020" w:type="dxa"/>
            <w:tcBorders>
              <w:top w:val="single" w:sz="4" w:space="0" w:color="auto"/>
              <w:left w:val="nil"/>
              <w:bottom w:val="single" w:sz="4" w:space="0" w:color="auto"/>
              <w:right w:val="nil"/>
            </w:tcBorders>
            <w:shd w:val="clear" w:color="auto" w:fill="auto"/>
            <w:noWrap/>
            <w:vAlign w:val="center"/>
            <w:hideMark/>
          </w:tcPr>
          <w:p w14:paraId="11F84065" w14:textId="77777777" w:rsidR="00051507" w:rsidRPr="00AD03D1" w:rsidRDefault="00051507" w:rsidP="00DF5625">
            <w:pPr>
              <w:jc w:val="right"/>
              <w:rPr>
                <w:b/>
                <w:bCs/>
                <w:sz w:val="18"/>
                <w:szCs w:val="18"/>
              </w:rPr>
            </w:pPr>
            <w:r w:rsidRPr="00AD03D1">
              <w:rPr>
                <w:b/>
                <w:bCs/>
                <w:sz w:val="18"/>
                <w:szCs w:val="18"/>
              </w:rPr>
              <w:t>47,9%</w:t>
            </w:r>
          </w:p>
        </w:tc>
      </w:tr>
      <w:tr w:rsidR="00051507" w:rsidRPr="00AD03D1" w14:paraId="7B9F9E50" w14:textId="77777777" w:rsidTr="00DF5625">
        <w:trPr>
          <w:trHeight w:val="260"/>
          <w:jc w:val="center"/>
        </w:trPr>
        <w:tc>
          <w:tcPr>
            <w:tcW w:w="4868" w:type="dxa"/>
            <w:gridSpan w:val="2"/>
            <w:tcBorders>
              <w:top w:val="nil"/>
              <w:left w:val="nil"/>
              <w:bottom w:val="nil"/>
              <w:right w:val="nil"/>
            </w:tcBorders>
            <w:shd w:val="clear" w:color="auto" w:fill="auto"/>
            <w:noWrap/>
            <w:vAlign w:val="center"/>
            <w:hideMark/>
          </w:tcPr>
          <w:p w14:paraId="3A6312AE" w14:textId="77777777" w:rsidR="00051507" w:rsidRPr="00AD03D1" w:rsidRDefault="00051507" w:rsidP="00DF5625">
            <w:pPr>
              <w:rPr>
                <w:sz w:val="18"/>
                <w:szCs w:val="18"/>
              </w:rPr>
            </w:pPr>
            <w:r w:rsidRPr="00AD03D1">
              <w:rPr>
                <w:sz w:val="18"/>
                <w:szCs w:val="18"/>
              </w:rPr>
              <w:t xml:space="preserve">  Otros ingresos operativos</w:t>
            </w:r>
          </w:p>
        </w:tc>
        <w:tc>
          <w:tcPr>
            <w:tcW w:w="1456" w:type="dxa"/>
            <w:tcBorders>
              <w:top w:val="nil"/>
              <w:left w:val="nil"/>
              <w:bottom w:val="nil"/>
              <w:right w:val="nil"/>
            </w:tcBorders>
            <w:shd w:val="clear" w:color="000000" w:fill="FFFFFF"/>
            <w:noWrap/>
            <w:vAlign w:val="center"/>
            <w:hideMark/>
          </w:tcPr>
          <w:p w14:paraId="05D0715C" w14:textId="77777777" w:rsidR="00051507" w:rsidRPr="00AD03D1" w:rsidRDefault="00051507" w:rsidP="00DF5625">
            <w:pPr>
              <w:jc w:val="right"/>
              <w:rPr>
                <w:b/>
                <w:bCs/>
                <w:sz w:val="18"/>
                <w:szCs w:val="18"/>
              </w:rPr>
            </w:pPr>
            <w:r>
              <w:rPr>
                <w:b/>
                <w:bCs/>
                <w:sz w:val="18"/>
                <w:szCs w:val="18"/>
              </w:rPr>
              <w:t>-</w:t>
            </w:r>
            <w:r w:rsidRPr="00AD03D1">
              <w:rPr>
                <w:b/>
                <w:bCs/>
                <w:sz w:val="18"/>
                <w:szCs w:val="18"/>
              </w:rPr>
              <w:t> </w:t>
            </w:r>
          </w:p>
        </w:tc>
        <w:tc>
          <w:tcPr>
            <w:tcW w:w="146" w:type="dxa"/>
            <w:tcBorders>
              <w:top w:val="nil"/>
              <w:left w:val="nil"/>
              <w:bottom w:val="nil"/>
              <w:right w:val="nil"/>
            </w:tcBorders>
            <w:shd w:val="clear" w:color="auto" w:fill="auto"/>
            <w:noWrap/>
            <w:vAlign w:val="bottom"/>
            <w:hideMark/>
          </w:tcPr>
          <w:p w14:paraId="2899893A" w14:textId="77777777" w:rsidR="00051507" w:rsidRPr="00AD03D1" w:rsidRDefault="00051507" w:rsidP="00DF5625">
            <w:pPr>
              <w:jc w:val="right"/>
              <w:rPr>
                <w:b/>
                <w:bCs/>
                <w:sz w:val="18"/>
                <w:szCs w:val="18"/>
              </w:rPr>
            </w:pPr>
          </w:p>
        </w:tc>
        <w:tc>
          <w:tcPr>
            <w:tcW w:w="1456" w:type="dxa"/>
            <w:tcBorders>
              <w:top w:val="nil"/>
              <w:left w:val="nil"/>
              <w:bottom w:val="nil"/>
              <w:right w:val="nil"/>
            </w:tcBorders>
            <w:shd w:val="clear" w:color="000000" w:fill="FFFFFF"/>
            <w:noWrap/>
            <w:vAlign w:val="center"/>
            <w:hideMark/>
          </w:tcPr>
          <w:p w14:paraId="25322F64" w14:textId="77777777" w:rsidR="00051507" w:rsidRPr="00AD03D1" w:rsidRDefault="00051507" w:rsidP="00DF5625">
            <w:pPr>
              <w:jc w:val="right"/>
              <w:rPr>
                <w:sz w:val="18"/>
                <w:szCs w:val="18"/>
              </w:rPr>
            </w:pPr>
            <w:r w:rsidRPr="00AD03D1">
              <w:rPr>
                <w:sz w:val="18"/>
                <w:szCs w:val="18"/>
              </w:rPr>
              <w:t>36.491</w:t>
            </w:r>
          </w:p>
        </w:tc>
        <w:tc>
          <w:tcPr>
            <w:tcW w:w="146" w:type="dxa"/>
            <w:tcBorders>
              <w:top w:val="nil"/>
              <w:left w:val="nil"/>
              <w:bottom w:val="nil"/>
              <w:right w:val="nil"/>
            </w:tcBorders>
            <w:shd w:val="clear" w:color="auto" w:fill="auto"/>
            <w:noWrap/>
            <w:vAlign w:val="bottom"/>
            <w:hideMark/>
          </w:tcPr>
          <w:p w14:paraId="1150E772"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center"/>
            <w:hideMark/>
          </w:tcPr>
          <w:p w14:paraId="67CBCB44" w14:textId="77777777" w:rsidR="00051507" w:rsidRPr="00AD03D1" w:rsidRDefault="00051507" w:rsidP="00DF5625">
            <w:pPr>
              <w:jc w:val="right"/>
              <w:rPr>
                <w:sz w:val="18"/>
                <w:szCs w:val="18"/>
              </w:rPr>
            </w:pPr>
            <w:r w:rsidRPr="00AD03D1">
              <w:rPr>
                <w:sz w:val="18"/>
                <w:szCs w:val="18"/>
              </w:rPr>
              <w:t>(36.491)</w:t>
            </w:r>
          </w:p>
        </w:tc>
        <w:tc>
          <w:tcPr>
            <w:tcW w:w="181" w:type="dxa"/>
            <w:tcBorders>
              <w:top w:val="nil"/>
              <w:left w:val="nil"/>
              <w:bottom w:val="nil"/>
              <w:right w:val="nil"/>
            </w:tcBorders>
            <w:shd w:val="clear" w:color="auto" w:fill="auto"/>
            <w:noWrap/>
            <w:vAlign w:val="bottom"/>
            <w:hideMark/>
          </w:tcPr>
          <w:p w14:paraId="1041DB27"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49812CC7" w14:textId="77777777" w:rsidR="00051507" w:rsidRPr="00AD03D1" w:rsidRDefault="00051507" w:rsidP="00DF5625">
            <w:pPr>
              <w:jc w:val="right"/>
              <w:rPr>
                <w:sz w:val="18"/>
                <w:szCs w:val="18"/>
              </w:rPr>
            </w:pPr>
            <w:r w:rsidRPr="00AD03D1">
              <w:rPr>
                <w:sz w:val="18"/>
                <w:szCs w:val="18"/>
              </w:rPr>
              <w:t>(100%)</w:t>
            </w:r>
          </w:p>
        </w:tc>
      </w:tr>
      <w:tr w:rsidR="00051507" w:rsidRPr="00AD03D1" w14:paraId="216DD8E3" w14:textId="77777777" w:rsidTr="00DF5625">
        <w:trPr>
          <w:trHeight w:val="270"/>
          <w:jc w:val="center"/>
        </w:trPr>
        <w:tc>
          <w:tcPr>
            <w:tcW w:w="4868" w:type="dxa"/>
            <w:gridSpan w:val="2"/>
            <w:tcBorders>
              <w:top w:val="nil"/>
              <w:left w:val="nil"/>
              <w:bottom w:val="nil"/>
              <w:right w:val="nil"/>
            </w:tcBorders>
            <w:shd w:val="clear" w:color="auto" w:fill="auto"/>
            <w:noWrap/>
            <w:vAlign w:val="center"/>
            <w:hideMark/>
          </w:tcPr>
          <w:p w14:paraId="358962F7" w14:textId="77777777" w:rsidR="00051507" w:rsidRPr="00AD03D1" w:rsidRDefault="00051507" w:rsidP="00DF5625">
            <w:pPr>
              <w:rPr>
                <w:sz w:val="18"/>
                <w:szCs w:val="18"/>
              </w:rPr>
            </w:pPr>
            <w:r w:rsidRPr="00AD03D1">
              <w:rPr>
                <w:sz w:val="18"/>
                <w:szCs w:val="18"/>
              </w:rPr>
              <w:t xml:space="preserve">  Otros egresos operativos</w:t>
            </w:r>
          </w:p>
        </w:tc>
        <w:tc>
          <w:tcPr>
            <w:tcW w:w="1456" w:type="dxa"/>
            <w:tcBorders>
              <w:top w:val="nil"/>
              <w:left w:val="nil"/>
              <w:bottom w:val="nil"/>
              <w:right w:val="nil"/>
            </w:tcBorders>
            <w:shd w:val="clear" w:color="auto" w:fill="auto"/>
            <w:noWrap/>
            <w:vAlign w:val="center"/>
            <w:hideMark/>
          </w:tcPr>
          <w:p w14:paraId="72A679F7" w14:textId="77777777" w:rsidR="00051507" w:rsidRPr="00AD03D1" w:rsidRDefault="00051507" w:rsidP="00DF5625">
            <w:pPr>
              <w:jc w:val="right"/>
              <w:rPr>
                <w:sz w:val="18"/>
                <w:szCs w:val="18"/>
              </w:rPr>
            </w:pPr>
            <w:r w:rsidRPr="00AD03D1">
              <w:rPr>
                <w:sz w:val="18"/>
                <w:szCs w:val="18"/>
              </w:rPr>
              <w:t>(17)</w:t>
            </w:r>
          </w:p>
        </w:tc>
        <w:tc>
          <w:tcPr>
            <w:tcW w:w="146" w:type="dxa"/>
            <w:tcBorders>
              <w:top w:val="nil"/>
              <w:left w:val="nil"/>
              <w:bottom w:val="nil"/>
              <w:right w:val="nil"/>
            </w:tcBorders>
            <w:shd w:val="clear" w:color="auto" w:fill="auto"/>
            <w:noWrap/>
            <w:vAlign w:val="bottom"/>
            <w:hideMark/>
          </w:tcPr>
          <w:p w14:paraId="77A1E992"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center"/>
            <w:hideMark/>
          </w:tcPr>
          <w:p w14:paraId="198A7529" w14:textId="77777777" w:rsidR="00051507" w:rsidRPr="00AD03D1" w:rsidRDefault="00051507" w:rsidP="00DF5625">
            <w:pPr>
              <w:jc w:val="right"/>
              <w:rPr>
                <w:sz w:val="18"/>
                <w:szCs w:val="18"/>
              </w:rPr>
            </w:pPr>
            <w:r>
              <w:rPr>
                <w:sz w:val="18"/>
                <w:szCs w:val="18"/>
              </w:rPr>
              <w:t>-</w:t>
            </w:r>
            <w:r w:rsidRPr="00AD03D1">
              <w:rPr>
                <w:sz w:val="18"/>
                <w:szCs w:val="18"/>
              </w:rPr>
              <w:t> </w:t>
            </w:r>
          </w:p>
        </w:tc>
        <w:tc>
          <w:tcPr>
            <w:tcW w:w="146" w:type="dxa"/>
            <w:tcBorders>
              <w:top w:val="nil"/>
              <w:left w:val="nil"/>
              <w:bottom w:val="nil"/>
              <w:right w:val="nil"/>
            </w:tcBorders>
            <w:shd w:val="clear" w:color="auto" w:fill="auto"/>
            <w:noWrap/>
            <w:vAlign w:val="bottom"/>
            <w:hideMark/>
          </w:tcPr>
          <w:p w14:paraId="6FBD67C1"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center"/>
            <w:hideMark/>
          </w:tcPr>
          <w:p w14:paraId="50424A5A" w14:textId="77777777" w:rsidR="00051507" w:rsidRPr="00AD03D1" w:rsidRDefault="00051507" w:rsidP="00DF5625">
            <w:pPr>
              <w:jc w:val="right"/>
              <w:rPr>
                <w:sz w:val="18"/>
                <w:szCs w:val="18"/>
              </w:rPr>
            </w:pPr>
            <w:r w:rsidRPr="00AD03D1">
              <w:rPr>
                <w:sz w:val="18"/>
                <w:szCs w:val="18"/>
              </w:rPr>
              <w:t>(17)</w:t>
            </w:r>
          </w:p>
        </w:tc>
        <w:tc>
          <w:tcPr>
            <w:tcW w:w="181" w:type="dxa"/>
            <w:tcBorders>
              <w:top w:val="nil"/>
              <w:left w:val="nil"/>
              <w:bottom w:val="nil"/>
              <w:right w:val="nil"/>
            </w:tcBorders>
            <w:shd w:val="clear" w:color="auto" w:fill="auto"/>
            <w:noWrap/>
            <w:vAlign w:val="bottom"/>
            <w:hideMark/>
          </w:tcPr>
          <w:p w14:paraId="1A2B46A0"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09411922" w14:textId="77777777" w:rsidR="00051507" w:rsidRPr="00AD03D1" w:rsidRDefault="00051507" w:rsidP="00DF5625">
            <w:pPr>
              <w:jc w:val="right"/>
              <w:rPr>
                <w:sz w:val="18"/>
                <w:szCs w:val="18"/>
              </w:rPr>
            </w:pPr>
            <w:r w:rsidRPr="00AD03D1">
              <w:rPr>
                <w:sz w:val="18"/>
                <w:szCs w:val="18"/>
              </w:rPr>
              <w:t>100%</w:t>
            </w:r>
          </w:p>
        </w:tc>
      </w:tr>
      <w:tr w:rsidR="00051507" w:rsidRPr="00AD03D1" w14:paraId="7228D79C" w14:textId="77777777" w:rsidTr="00DF5625">
        <w:trPr>
          <w:trHeight w:val="275"/>
          <w:jc w:val="center"/>
        </w:trPr>
        <w:tc>
          <w:tcPr>
            <w:tcW w:w="4868" w:type="dxa"/>
            <w:gridSpan w:val="2"/>
            <w:tcBorders>
              <w:top w:val="nil"/>
              <w:left w:val="nil"/>
              <w:bottom w:val="nil"/>
              <w:right w:val="nil"/>
            </w:tcBorders>
            <w:shd w:val="clear" w:color="auto" w:fill="auto"/>
            <w:noWrap/>
            <w:vAlign w:val="center"/>
            <w:hideMark/>
          </w:tcPr>
          <w:p w14:paraId="0E264466" w14:textId="77777777" w:rsidR="00051507" w:rsidRPr="00AD03D1" w:rsidRDefault="00051507" w:rsidP="00DF5625">
            <w:pPr>
              <w:rPr>
                <w:b/>
                <w:bCs/>
                <w:sz w:val="18"/>
                <w:szCs w:val="18"/>
              </w:rPr>
            </w:pPr>
            <w:r w:rsidRPr="00AD03D1">
              <w:rPr>
                <w:b/>
                <w:bCs/>
                <w:sz w:val="18"/>
                <w:szCs w:val="18"/>
              </w:rPr>
              <w:t>Resultado operativo</w:t>
            </w:r>
          </w:p>
        </w:tc>
        <w:tc>
          <w:tcPr>
            <w:tcW w:w="1456" w:type="dxa"/>
            <w:tcBorders>
              <w:top w:val="single" w:sz="4" w:space="0" w:color="auto"/>
              <w:left w:val="nil"/>
              <w:bottom w:val="double" w:sz="6" w:space="0" w:color="auto"/>
              <w:right w:val="nil"/>
            </w:tcBorders>
            <w:shd w:val="clear" w:color="000000" w:fill="FFFFFF"/>
            <w:noWrap/>
            <w:vAlign w:val="bottom"/>
            <w:hideMark/>
          </w:tcPr>
          <w:p w14:paraId="6D1ABEEA" w14:textId="77777777" w:rsidR="00051507" w:rsidRPr="00AD03D1" w:rsidRDefault="00051507" w:rsidP="00DF5625">
            <w:pPr>
              <w:jc w:val="right"/>
              <w:rPr>
                <w:b/>
                <w:bCs/>
                <w:sz w:val="18"/>
                <w:szCs w:val="18"/>
              </w:rPr>
            </w:pPr>
            <w:r w:rsidRPr="00AD03D1">
              <w:rPr>
                <w:b/>
                <w:bCs/>
                <w:sz w:val="18"/>
                <w:szCs w:val="18"/>
              </w:rPr>
              <w:t>2.476.491</w:t>
            </w:r>
          </w:p>
        </w:tc>
        <w:tc>
          <w:tcPr>
            <w:tcW w:w="146" w:type="dxa"/>
            <w:tcBorders>
              <w:top w:val="nil"/>
              <w:left w:val="nil"/>
              <w:bottom w:val="nil"/>
              <w:right w:val="nil"/>
            </w:tcBorders>
            <w:shd w:val="clear" w:color="auto" w:fill="auto"/>
            <w:noWrap/>
            <w:vAlign w:val="bottom"/>
            <w:hideMark/>
          </w:tcPr>
          <w:p w14:paraId="361B0A40" w14:textId="77777777" w:rsidR="00051507" w:rsidRPr="00AD03D1" w:rsidRDefault="00051507" w:rsidP="00DF5625">
            <w:pPr>
              <w:jc w:val="right"/>
              <w:rPr>
                <w:b/>
                <w:bCs/>
                <w:sz w:val="18"/>
                <w:szCs w:val="18"/>
              </w:rPr>
            </w:pPr>
          </w:p>
        </w:tc>
        <w:tc>
          <w:tcPr>
            <w:tcW w:w="1456" w:type="dxa"/>
            <w:tcBorders>
              <w:top w:val="single" w:sz="4" w:space="0" w:color="auto"/>
              <w:left w:val="nil"/>
              <w:bottom w:val="double" w:sz="6" w:space="0" w:color="auto"/>
              <w:right w:val="nil"/>
            </w:tcBorders>
            <w:shd w:val="clear" w:color="000000" w:fill="FFFFFF"/>
            <w:noWrap/>
            <w:vAlign w:val="bottom"/>
            <w:hideMark/>
          </w:tcPr>
          <w:p w14:paraId="4664FAD0" w14:textId="77777777" w:rsidR="00051507" w:rsidRPr="00AD03D1" w:rsidRDefault="00051507" w:rsidP="00DF5625">
            <w:pPr>
              <w:jc w:val="right"/>
              <w:rPr>
                <w:b/>
                <w:bCs/>
                <w:sz w:val="18"/>
                <w:szCs w:val="18"/>
              </w:rPr>
            </w:pPr>
            <w:r w:rsidRPr="00AD03D1">
              <w:rPr>
                <w:b/>
                <w:bCs/>
                <w:sz w:val="18"/>
                <w:szCs w:val="18"/>
              </w:rPr>
              <w:t>2.063.591</w:t>
            </w:r>
          </w:p>
        </w:tc>
        <w:tc>
          <w:tcPr>
            <w:tcW w:w="146" w:type="dxa"/>
            <w:tcBorders>
              <w:top w:val="nil"/>
              <w:left w:val="nil"/>
              <w:bottom w:val="nil"/>
              <w:right w:val="nil"/>
            </w:tcBorders>
            <w:shd w:val="clear" w:color="auto" w:fill="auto"/>
            <w:noWrap/>
            <w:vAlign w:val="bottom"/>
            <w:hideMark/>
          </w:tcPr>
          <w:p w14:paraId="2AF6D4EE" w14:textId="77777777" w:rsidR="00051507" w:rsidRPr="00AD03D1" w:rsidRDefault="00051507" w:rsidP="00DF5625">
            <w:pPr>
              <w:jc w:val="right"/>
              <w:rPr>
                <w:b/>
                <w:bCs/>
                <w:sz w:val="18"/>
                <w:szCs w:val="18"/>
              </w:rPr>
            </w:pPr>
          </w:p>
        </w:tc>
        <w:tc>
          <w:tcPr>
            <w:tcW w:w="1240" w:type="dxa"/>
            <w:tcBorders>
              <w:top w:val="single" w:sz="4" w:space="0" w:color="auto"/>
              <w:left w:val="nil"/>
              <w:bottom w:val="double" w:sz="6" w:space="0" w:color="auto"/>
              <w:right w:val="nil"/>
            </w:tcBorders>
            <w:shd w:val="clear" w:color="auto" w:fill="auto"/>
            <w:noWrap/>
            <w:vAlign w:val="bottom"/>
            <w:hideMark/>
          </w:tcPr>
          <w:p w14:paraId="5A53805B" w14:textId="77777777" w:rsidR="00051507" w:rsidRPr="00AD03D1" w:rsidRDefault="00051507" w:rsidP="00DF5625">
            <w:pPr>
              <w:jc w:val="right"/>
              <w:rPr>
                <w:b/>
                <w:bCs/>
                <w:sz w:val="18"/>
                <w:szCs w:val="18"/>
              </w:rPr>
            </w:pPr>
            <w:r w:rsidRPr="00AD03D1">
              <w:rPr>
                <w:b/>
                <w:bCs/>
                <w:sz w:val="18"/>
                <w:szCs w:val="18"/>
              </w:rPr>
              <w:t>412.900</w:t>
            </w:r>
          </w:p>
        </w:tc>
        <w:tc>
          <w:tcPr>
            <w:tcW w:w="181" w:type="dxa"/>
            <w:tcBorders>
              <w:top w:val="nil"/>
              <w:left w:val="nil"/>
              <w:bottom w:val="nil"/>
              <w:right w:val="nil"/>
            </w:tcBorders>
            <w:shd w:val="clear" w:color="auto" w:fill="auto"/>
            <w:noWrap/>
            <w:vAlign w:val="bottom"/>
            <w:hideMark/>
          </w:tcPr>
          <w:p w14:paraId="5070115A" w14:textId="77777777" w:rsidR="00051507" w:rsidRPr="00AD03D1" w:rsidRDefault="00051507" w:rsidP="00DF5625">
            <w:pPr>
              <w:jc w:val="right"/>
              <w:rPr>
                <w:b/>
                <w:bCs/>
                <w:sz w:val="18"/>
                <w:szCs w:val="18"/>
              </w:rPr>
            </w:pPr>
          </w:p>
        </w:tc>
        <w:tc>
          <w:tcPr>
            <w:tcW w:w="1020" w:type="dxa"/>
            <w:tcBorders>
              <w:top w:val="single" w:sz="4" w:space="0" w:color="auto"/>
              <w:left w:val="nil"/>
              <w:bottom w:val="double" w:sz="6" w:space="0" w:color="auto"/>
              <w:right w:val="nil"/>
            </w:tcBorders>
            <w:shd w:val="clear" w:color="auto" w:fill="auto"/>
            <w:noWrap/>
            <w:vAlign w:val="center"/>
            <w:hideMark/>
          </w:tcPr>
          <w:p w14:paraId="765691EB" w14:textId="77777777" w:rsidR="00051507" w:rsidRPr="00AD03D1" w:rsidRDefault="00051507" w:rsidP="00DF5625">
            <w:pPr>
              <w:jc w:val="right"/>
              <w:rPr>
                <w:b/>
                <w:bCs/>
                <w:sz w:val="18"/>
                <w:szCs w:val="18"/>
              </w:rPr>
            </w:pPr>
            <w:r w:rsidRPr="00AD03D1">
              <w:rPr>
                <w:b/>
                <w:bCs/>
                <w:sz w:val="18"/>
                <w:szCs w:val="18"/>
              </w:rPr>
              <w:t>20%</w:t>
            </w:r>
          </w:p>
        </w:tc>
      </w:tr>
      <w:tr w:rsidR="00051507" w:rsidRPr="00AD03D1" w14:paraId="77702FB8" w14:textId="77777777" w:rsidTr="00DF5625">
        <w:trPr>
          <w:trHeight w:val="13"/>
          <w:jc w:val="center"/>
        </w:trPr>
        <w:tc>
          <w:tcPr>
            <w:tcW w:w="908" w:type="dxa"/>
            <w:tcBorders>
              <w:top w:val="nil"/>
              <w:left w:val="nil"/>
              <w:bottom w:val="nil"/>
              <w:right w:val="nil"/>
            </w:tcBorders>
            <w:shd w:val="clear" w:color="auto" w:fill="auto"/>
            <w:noWrap/>
            <w:vAlign w:val="bottom"/>
            <w:hideMark/>
          </w:tcPr>
          <w:p w14:paraId="23E46399" w14:textId="77777777" w:rsidR="00051507" w:rsidRPr="00AD03D1" w:rsidRDefault="00051507" w:rsidP="00DF5625">
            <w:pPr>
              <w:jc w:val="right"/>
              <w:rPr>
                <w:b/>
                <w:bCs/>
                <w:sz w:val="18"/>
                <w:szCs w:val="18"/>
              </w:rPr>
            </w:pPr>
          </w:p>
        </w:tc>
        <w:tc>
          <w:tcPr>
            <w:tcW w:w="3960" w:type="dxa"/>
            <w:tcBorders>
              <w:top w:val="nil"/>
              <w:left w:val="nil"/>
              <w:bottom w:val="nil"/>
              <w:right w:val="nil"/>
            </w:tcBorders>
            <w:shd w:val="clear" w:color="auto" w:fill="auto"/>
            <w:noWrap/>
            <w:vAlign w:val="bottom"/>
            <w:hideMark/>
          </w:tcPr>
          <w:p w14:paraId="0BCDBC07" w14:textId="77777777" w:rsidR="00051507" w:rsidRPr="00AD03D1" w:rsidRDefault="00051507" w:rsidP="00DF5625"/>
        </w:tc>
        <w:tc>
          <w:tcPr>
            <w:tcW w:w="1456" w:type="dxa"/>
            <w:tcBorders>
              <w:top w:val="nil"/>
              <w:left w:val="nil"/>
              <w:bottom w:val="nil"/>
              <w:right w:val="nil"/>
            </w:tcBorders>
            <w:shd w:val="clear" w:color="000000" w:fill="FFFFFF"/>
            <w:noWrap/>
            <w:vAlign w:val="bottom"/>
            <w:hideMark/>
          </w:tcPr>
          <w:p w14:paraId="6EB30B0B" w14:textId="77777777" w:rsidR="00051507" w:rsidRPr="00AD03D1" w:rsidRDefault="00051507" w:rsidP="00DF5625">
            <w:pPr>
              <w:rPr>
                <w:rFonts w:cs="Calibri"/>
                <w:sz w:val="18"/>
                <w:szCs w:val="18"/>
              </w:rPr>
            </w:pPr>
            <w:r w:rsidRPr="00AD03D1">
              <w:rPr>
                <w:rFonts w:cs="Calibri"/>
                <w:sz w:val="18"/>
                <w:szCs w:val="18"/>
              </w:rPr>
              <w:t> </w:t>
            </w:r>
          </w:p>
        </w:tc>
        <w:tc>
          <w:tcPr>
            <w:tcW w:w="146" w:type="dxa"/>
            <w:tcBorders>
              <w:top w:val="nil"/>
              <w:left w:val="nil"/>
              <w:bottom w:val="nil"/>
              <w:right w:val="nil"/>
            </w:tcBorders>
            <w:shd w:val="clear" w:color="auto" w:fill="auto"/>
            <w:noWrap/>
            <w:vAlign w:val="bottom"/>
            <w:hideMark/>
          </w:tcPr>
          <w:p w14:paraId="65BB8F2B" w14:textId="77777777" w:rsidR="00051507" w:rsidRPr="00AD03D1" w:rsidRDefault="00051507" w:rsidP="00DF5625">
            <w:pPr>
              <w:rPr>
                <w:rFonts w:cs="Calibri"/>
                <w:sz w:val="18"/>
                <w:szCs w:val="18"/>
              </w:rPr>
            </w:pPr>
          </w:p>
        </w:tc>
        <w:tc>
          <w:tcPr>
            <w:tcW w:w="1456" w:type="dxa"/>
            <w:tcBorders>
              <w:top w:val="nil"/>
              <w:left w:val="nil"/>
              <w:bottom w:val="nil"/>
              <w:right w:val="nil"/>
            </w:tcBorders>
            <w:shd w:val="clear" w:color="000000" w:fill="FFFFFF"/>
            <w:noWrap/>
            <w:vAlign w:val="bottom"/>
            <w:hideMark/>
          </w:tcPr>
          <w:p w14:paraId="67704D4B" w14:textId="77777777" w:rsidR="00051507" w:rsidRPr="00AD03D1" w:rsidRDefault="00051507" w:rsidP="00DF5625">
            <w:pPr>
              <w:rPr>
                <w:rFonts w:cs="Calibri"/>
                <w:sz w:val="18"/>
                <w:szCs w:val="18"/>
              </w:rPr>
            </w:pPr>
            <w:r w:rsidRPr="00AD03D1">
              <w:rPr>
                <w:rFonts w:cs="Calibri"/>
                <w:sz w:val="18"/>
                <w:szCs w:val="18"/>
              </w:rPr>
              <w:t> </w:t>
            </w:r>
          </w:p>
        </w:tc>
        <w:tc>
          <w:tcPr>
            <w:tcW w:w="146" w:type="dxa"/>
            <w:tcBorders>
              <w:top w:val="nil"/>
              <w:left w:val="nil"/>
              <w:bottom w:val="nil"/>
              <w:right w:val="nil"/>
            </w:tcBorders>
            <w:shd w:val="clear" w:color="auto" w:fill="auto"/>
            <w:noWrap/>
            <w:vAlign w:val="bottom"/>
            <w:hideMark/>
          </w:tcPr>
          <w:p w14:paraId="5A522CEE" w14:textId="77777777" w:rsidR="00051507" w:rsidRPr="00AD03D1" w:rsidRDefault="00051507" w:rsidP="00DF5625">
            <w:pPr>
              <w:rPr>
                <w:rFonts w:cs="Calibri"/>
                <w:sz w:val="18"/>
                <w:szCs w:val="18"/>
              </w:rPr>
            </w:pPr>
          </w:p>
        </w:tc>
        <w:tc>
          <w:tcPr>
            <w:tcW w:w="1240" w:type="dxa"/>
            <w:tcBorders>
              <w:top w:val="nil"/>
              <w:left w:val="nil"/>
              <w:bottom w:val="nil"/>
              <w:right w:val="nil"/>
            </w:tcBorders>
            <w:shd w:val="clear" w:color="auto" w:fill="auto"/>
            <w:noWrap/>
            <w:vAlign w:val="bottom"/>
            <w:hideMark/>
          </w:tcPr>
          <w:p w14:paraId="1D929BE0" w14:textId="77777777" w:rsidR="00051507" w:rsidRPr="00AD03D1" w:rsidRDefault="00051507" w:rsidP="00DF5625"/>
        </w:tc>
        <w:tc>
          <w:tcPr>
            <w:tcW w:w="181" w:type="dxa"/>
            <w:tcBorders>
              <w:top w:val="nil"/>
              <w:left w:val="nil"/>
              <w:bottom w:val="nil"/>
              <w:right w:val="nil"/>
            </w:tcBorders>
            <w:shd w:val="clear" w:color="auto" w:fill="auto"/>
            <w:noWrap/>
            <w:vAlign w:val="bottom"/>
            <w:hideMark/>
          </w:tcPr>
          <w:p w14:paraId="1C72AC0E" w14:textId="77777777" w:rsidR="00051507" w:rsidRPr="00AD03D1" w:rsidRDefault="00051507" w:rsidP="00DF5625"/>
        </w:tc>
        <w:tc>
          <w:tcPr>
            <w:tcW w:w="1020" w:type="dxa"/>
            <w:tcBorders>
              <w:top w:val="nil"/>
              <w:left w:val="nil"/>
              <w:bottom w:val="nil"/>
              <w:right w:val="nil"/>
            </w:tcBorders>
            <w:shd w:val="clear" w:color="auto" w:fill="auto"/>
            <w:noWrap/>
            <w:vAlign w:val="bottom"/>
            <w:hideMark/>
          </w:tcPr>
          <w:p w14:paraId="763F5A18" w14:textId="77777777" w:rsidR="00051507" w:rsidRPr="00AD03D1" w:rsidRDefault="00051507" w:rsidP="00DF5625"/>
        </w:tc>
      </w:tr>
      <w:tr w:rsidR="00051507" w:rsidRPr="00AD03D1" w14:paraId="13F7C643" w14:textId="77777777" w:rsidTr="00DF5625">
        <w:trPr>
          <w:trHeight w:val="260"/>
          <w:jc w:val="center"/>
        </w:trPr>
        <w:tc>
          <w:tcPr>
            <w:tcW w:w="4868" w:type="dxa"/>
            <w:gridSpan w:val="2"/>
            <w:tcBorders>
              <w:top w:val="nil"/>
              <w:left w:val="nil"/>
              <w:bottom w:val="nil"/>
              <w:right w:val="nil"/>
            </w:tcBorders>
            <w:shd w:val="clear" w:color="auto" w:fill="auto"/>
            <w:noWrap/>
            <w:vAlign w:val="center"/>
            <w:hideMark/>
          </w:tcPr>
          <w:p w14:paraId="25E3A05A" w14:textId="77777777" w:rsidR="00051507" w:rsidRPr="00AD03D1" w:rsidRDefault="00051507" w:rsidP="00DF5625">
            <w:pPr>
              <w:rPr>
                <w:sz w:val="18"/>
                <w:szCs w:val="18"/>
              </w:rPr>
            </w:pPr>
            <w:r w:rsidRPr="00AD03D1">
              <w:rPr>
                <w:sz w:val="18"/>
                <w:szCs w:val="18"/>
              </w:rPr>
              <w:lastRenderedPageBreak/>
              <w:t xml:space="preserve">  RECPAM</w:t>
            </w:r>
          </w:p>
        </w:tc>
        <w:tc>
          <w:tcPr>
            <w:tcW w:w="1456" w:type="dxa"/>
            <w:tcBorders>
              <w:top w:val="nil"/>
              <w:left w:val="nil"/>
              <w:bottom w:val="nil"/>
              <w:right w:val="nil"/>
            </w:tcBorders>
            <w:shd w:val="clear" w:color="000000" w:fill="FFFFFF"/>
            <w:noWrap/>
            <w:vAlign w:val="center"/>
            <w:hideMark/>
          </w:tcPr>
          <w:p w14:paraId="288B75F0" w14:textId="77777777" w:rsidR="00051507" w:rsidRPr="00AD03D1" w:rsidRDefault="00051507" w:rsidP="00DF5625">
            <w:pPr>
              <w:jc w:val="right"/>
              <w:rPr>
                <w:b/>
                <w:bCs/>
                <w:sz w:val="18"/>
                <w:szCs w:val="18"/>
              </w:rPr>
            </w:pPr>
            <w:r>
              <w:rPr>
                <w:b/>
                <w:bCs/>
                <w:sz w:val="18"/>
                <w:szCs w:val="18"/>
              </w:rPr>
              <w:t>-</w:t>
            </w:r>
            <w:r w:rsidRPr="00AD03D1">
              <w:rPr>
                <w:b/>
                <w:bCs/>
                <w:sz w:val="18"/>
                <w:szCs w:val="18"/>
              </w:rPr>
              <w:t> </w:t>
            </w:r>
          </w:p>
        </w:tc>
        <w:tc>
          <w:tcPr>
            <w:tcW w:w="146" w:type="dxa"/>
            <w:tcBorders>
              <w:top w:val="nil"/>
              <w:left w:val="nil"/>
              <w:bottom w:val="nil"/>
              <w:right w:val="nil"/>
            </w:tcBorders>
            <w:shd w:val="clear" w:color="auto" w:fill="auto"/>
            <w:noWrap/>
            <w:vAlign w:val="bottom"/>
            <w:hideMark/>
          </w:tcPr>
          <w:p w14:paraId="0938387B" w14:textId="77777777" w:rsidR="00051507" w:rsidRPr="00AD03D1" w:rsidRDefault="00051507" w:rsidP="00DF5625">
            <w:pPr>
              <w:jc w:val="right"/>
              <w:rPr>
                <w:b/>
                <w:bCs/>
                <w:sz w:val="18"/>
                <w:szCs w:val="18"/>
              </w:rPr>
            </w:pPr>
          </w:p>
        </w:tc>
        <w:tc>
          <w:tcPr>
            <w:tcW w:w="1456" w:type="dxa"/>
            <w:tcBorders>
              <w:top w:val="nil"/>
              <w:left w:val="nil"/>
              <w:bottom w:val="nil"/>
              <w:right w:val="nil"/>
            </w:tcBorders>
            <w:shd w:val="clear" w:color="000000" w:fill="FFFFFF"/>
            <w:noWrap/>
            <w:vAlign w:val="center"/>
            <w:hideMark/>
          </w:tcPr>
          <w:p w14:paraId="4CDB7451" w14:textId="77777777" w:rsidR="00051507" w:rsidRPr="00AD03D1" w:rsidRDefault="00051507" w:rsidP="00DF5625">
            <w:pPr>
              <w:jc w:val="right"/>
              <w:rPr>
                <w:sz w:val="18"/>
                <w:szCs w:val="18"/>
              </w:rPr>
            </w:pPr>
            <w:r w:rsidRPr="00AD03D1">
              <w:rPr>
                <w:sz w:val="18"/>
                <w:szCs w:val="18"/>
              </w:rPr>
              <w:t>2.109.943</w:t>
            </w:r>
          </w:p>
        </w:tc>
        <w:tc>
          <w:tcPr>
            <w:tcW w:w="146" w:type="dxa"/>
            <w:tcBorders>
              <w:top w:val="nil"/>
              <w:left w:val="nil"/>
              <w:bottom w:val="nil"/>
              <w:right w:val="nil"/>
            </w:tcBorders>
            <w:shd w:val="clear" w:color="auto" w:fill="auto"/>
            <w:noWrap/>
            <w:vAlign w:val="bottom"/>
            <w:hideMark/>
          </w:tcPr>
          <w:p w14:paraId="1A0A12A8"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center"/>
            <w:hideMark/>
          </w:tcPr>
          <w:p w14:paraId="0F7A7899" w14:textId="77777777" w:rsidR="00051507" w:rsidRPr="00AD03D1" w:rsidRDefault="00051507" w:rsidP="00DF5625">
            <w:pPr>
              <w:jc w:val="right"/>
              <w:rPr>
                <w:sz w:val="18"/>
                <w:szCs w:val="18"/>
              </w:rPr>
            </w:pPr>
            <w:r w:rsidRPr="00AD03D1">
              <w:rPr>
                <w:sz w:val="18"/>
                <w:szCs w:val="18"/>
              </w:rPr>
              <w:t>(2.109.943)</w:t>
            </w:r>
          </w:p>
        </w:tc>
        <w:tc>
          <w:tcPr>
            <w:tcW w:w="181" w:type="dxa"/>
            <w:tcBorders>
              <w:top w:val="nil"/>
              <w:left w:val="nil"/>
              <w:bottom w:val="nil"/>
              <w:right w:val="nil"/>
            </w:tcBorders>
            <w:shd w:val="clear" w:color="auto" w:fill="auto"/>
            <w:noWrap/>
            <w:vAlign w:val="bottom"/>
            <w:hideMark/>
          </w:tcPr>
          <w:p w14:paraId="68713695"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5A47EA63" w14:textId="77777777" w:rsidR="00051507" w:rsidRPr="00AD03D1" w:rsidRDefault="00051507" w:rsidP="00DF5625">
            <w:pPr>
              <w:jc w:val="right"/>
              <w:rPr>
                <w:sz w:val="18"/>
                <w:szCs w:val="18"/>
              </w:rPr>
            </w:pPr>
            <w:r w:rsidRPr="00AD03D1">
              <w:rPr>
                <w:sz w:val="18"/>
                <w:szCs w:val="18"/>
              </w:rPr>
              <w:t>(100%)</w:t>
            </w:r>
          </w:p>
        </w:tc>
      </w:tr>
      <w:tr w:rsidR="00051507" w:rsidRPr="00AD03D1" w14:paraId="1961840D" w14:textId="77777777" w:rsidTr="00DF5625">
        <w:trPr>
          <w:trHeight w:val="210"/>
          <w:jc w:val="center"/>
        </w:trPr>
        <w:tc>
          <w:tcPr>
            <w:tcW w:w="4868" w:type="dxa"/>
            <w:gridSpan w:val="2"/>
            <w:tcBorders>
              <w:top w:val="nil"/>
              <w:left w:val="nil"/>
              <w:bottom w:val="nil"/>
              <w:right w:val="nil"/>
            </w:tcBorders>
            <w:shd w:val="clear" w:color="auto" w:fill="auto"/>
            <w:noWrap/>
            <w:vAlign w:val="center"/>
            <w:hideMark/>
          </w:tcPr>
          <w:p w14:paraId="237DBA34" w14:textId="77777777" w:rsidR="00051507" w:rsidRPr="00AD03D1" w:rsidRDefault="00051507" w:rsidP="00DF5625">
            <w:pPr>
              <w:rPr>
                <w:sz w:val="18"/>
                <w:szCs w:val="18"/>
              </w:rPr>
            </w:pPr>
            <w:r w:rsidRPr="00AD03D1">
              <w:rPr>
                <w:sz w:val="18"/>
                <w:szCs w:val="18"/>
              </w:rPr>
              <w:t xml:space="preserve">  Intereses comerciales</w:t>
            </w:r>
          </w:p>
        </w:tc>
        <w:tc>
          <w:tcPr>
            <w:tcW w:w="1456" w:type="dxa"/>
            <w:tcBorders>
              <w:top w:val="nil"/>
              <w:left w:val="nil"/>
              <w:bottom w:val="nil"/>
              <w:right w:val="nil"/>
            </w:tcBorders>
            <w:shd w:val="clear" w:color="000000" w:fill="FFFFFF"/>
            <w:noWrap/>
            <w:vAlign w:val="center"/>
            <w:hideMark/>
          </w:tcPr>
          <w:p w14:paraId="295D29C5" w14:textId="77777777" w:rsidR="00051507" w:rsidRPr="00AD03D1" w:rsidRDefault="00051507" w:rsidP="00DF5625">
            <w:pPr>
              <w:jc w:val="right"/>
              <w:rPr>
                <w:sz w:val="18"/>
                <w:szCs w:val="18"/>
              </w:rPr>
            </w:pPr>
            <w:r w:rsidRPr="00AD03D1">
              <w:rPr>
                <w:sz w:val="18"/>
                <w:szCs w:val="18"/>
              </w:rPr>
              <w:t>118.506</w:t>
            </w:r>
          </w:p>
        </w:tc>
        <w:tc>
          <w:tcPr>
            <w:tcW w:w="146" w:type="dxa"/>
            <w:tcBorders>
              <w:top w:val="nil"/>
              <w:left w:val="nil"/>
              <w:bottom w:val="nil"/>
              <w:right w:val="nil"/>
            </w:tcBorders>
            <w:shd w:val="clear" w:color="auto" w:fill="auto"/>
            <w:noWrap/>
            <w:vAlign w:val="bottom"/>
            <w:hideMark/>
          </w:tcPr>
          <w:p w14:paraId="76182BFA"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center"/>
            <w:hideMark/>
          </w:tcPr>
          <w:p w14:paraId="185C059E" w14:textId="77777777" w:rsidR="00051507" w:rsidRPr="00AD03D1" w:rsidRDefault="00051507" w:rsidP="00DF5625">
            <w:pPr>
              <w:jc w:val="right"/>
              <w:rPr>
                <w:sz w:val="18"/>
                <w:szCs w:val="18"/>
              </w:rPr>
            </w:pPr>
            <w:r w:rsidRPr="00AD03D1">
              <w:rPr>
                <w:sz w:val="18"/>
                <w:szCs w:val="18"/>
              </w:rPr>
              <w:t>(50.789)</w:t>
            </w:r>
          </w:p>
        </w:tc>
        <w:tc>
          <w:tcPr>
            <w:tcW w:w="146" w:type="dxa"/>
            <w:tcBorders>
              <w:top w:val="nil"/>
              <w:left w:val="nil"/>
              <w:bottom w:val="nil"/>
              <w:right w:val="nil"/>
            </w:tcBorders>
            <w:shd w:val="clear" w:color="auto" w:fill="auto"/>
            <w:noWrap/>
            <w:vAlign w:val="bottom"/>
            <w:hideMark/>
          </w:tcPr>
          <w:p w14:paraId="1D50322D"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center"/>
            <w:hideMark/>
          </w:tcPr>
          <w:p w14:paraId="28A1AF88" w14:textId="77777777" w:rsidR="00051507" w:rsidRPr="00AD03D1" w:rsidRDefault="00051507" w:rsidP="00DF5625">
            <w:pPr>
              <w:jc w:val="right"/>
              <w:rPr>
                <w:sz w:val="18"/>
                <w:szCs w:val="18"/>
              </w:rPr>
            </w:pPr>
            <w:r w:rsidRPr="00AD03D1">
              <w:rPr>
                <w:sz w:val="18"/>
                <w:szCs w:val="18"/>
              </w:rPr>
              <w:t>169.295</w:t>
            </w:r>
          </w:p>
        </w:tc>
        <w:tc>
          <w:tcPr>
            <w:tcW w:w="181" w:type="dxa"/>
            <w:tcBorders>
              <w:top w:val="nil"/>
              <w:left w:val="nil"/>
              <w:bottom w:val="nil"/>
              <w:right w:val="nil"/>
            </w:tcBorders>
            <w:shd w:val="clear" w:color="auto" w:fill="auto"/>
            <w:noWrap/>
            <w:vAlign w:val="bottom"/>
            <w:hideMark/>
          </w:tcPr>
          <w:p w14:paraId="5DD7BD4F"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388675C9" w14:textId="77777777" w:rsidR="00051507" w:rsidRPr="00AD03D1" w:rsidRDefault="00051507" w:rsidP="00DF5625">
            <w:pPr>
              <w:jc w:val="right"/>
              <w:rPr>
                <w:sz w:val="18"/>
                <w:szCs w:val="18"/>
              </w:rPr>
            </w:pPr>
            <w:r w:rsidRPr="00AD03D1">
              <w:rPr>
                <w:sz w:val="18"/>
                <w:szCs w:val="18"/>
              </w:rPr>
              <w:t>(333%)</w:t>
            </w:r>
          </w:p>
        </w:tc>
      </w:tr>
      <w:tr w:rsidR="00051507" w:rsidRPr="00AD03D1" w14:paraId="23EAED20" w14:textId="77777777" w:rsidTr="00DF5625">
        <w:trPr>
          <w:trHeight w:val="210"/>
          <w:jc w:val="center"/>
        </w:trPr>
        <w:tc>
          <w:tcPr>
            <w:tcW w:w="4868" w:type="dxa"/>
            <w:gridSpan w:val="2"/>
            <w:tcBorders>
              <w:top w:val="nil"/>
              <w:left w:val="nil"/>
              <w:bottom w:val="nil"/>
              <w:right w:val="nil"/>
            </w:tcBorders>
            <w:shd w:val="clear" w:color="auto" w:fill="auto"/>
            <w:noWrap/>
            <w:vAlign w:val="center"/>
            <w:hideMark/>
          </w:tcPr>
          <w:p w14:paraId="4D13AD01" w14:textId="77777777" w:rsidR="00051507" w:rsidRPr="00AD03D1" w:rsidRDefault="00051507" w:rsidP="00DF5625">
            <w:pPr>
              <w:rPr>
                <w:sz w:val="18"/>
                <w:szCs w:val="18"/>
              </w:rPr>
            </w:pPr>
            <w:r w:rsidRPr="00AD03D1">
              <w:rPr>
                <w:sz w:val="18"/>
                <w:szCs w:val="18"/>
              </w:rPr>
              <w:t xml:space="preserve">  Intereses por préstamos</w:t>
            </w:r>
          </w:p>
        </w:tc>
        <w:tc>
          <w:tcPr>
            <w:tcW w:w="1456" w:type="dxa"/>
            <w:tcBorders>
              <w:top w:val="nil"/>
              <w:left w:val="nil"/>
              <w:bottom w:val="nil"/>
              <w:right w:val="nil"/>
            </w:tcBorders>
            <w:shd w:val="clear" w:color="000000" w:fill="FFFFFF"/>
            <w:noWrap/>
            <w:vAlign w:val="center"/>
            <w:hideMark/>
          </w:tcPr>
          <w:p w14:paraId="06E0E7BE" w14:textId="77777777" w:rsidR="00051507" w:rsidRPr="00AD03D1" w:rsidRDefault="00051507" w:rsidP="00DF5625">
            <w:pPr>
              <w:jc w:val="right"/>
              <w:rPr>
                <w:sz w:val="18"/>
                <w:szCs w:val="18"/>
              </w:rPr>
            </w:pPr>
            <w:r w:rsidRPr="00AD03D1">
              <w:rPr>
                <w:sz w:val="18"/>
                <w:szCs w:val="18"/>
              </w:rPr>
              <w:t>(1.070.650)</w:t>
            </w:r>
          </w:p>
        </w:tc>
        <w:tc>
          <w:tcPr>
            <w:tcW w:w="146" w:type="dxa"/>
            <w:tcBorders>
              <w:top w:val="nil"/>
              <w:left w:val="nil"/>
              <w:bottom w:val="nil"/>
              <w:right w:val="nil"/>
            </w:tcBorders>
            <w:shd w:val="clear" w:color="auto" w:fill="auto"/>
            <w:noWrap/>
            <w:vAlign w:val="bottom"/>
            <w:hideMark/>
          </w:tcPr>
          <w:p w14:paraId="7D271878"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center"/>
            <w:hideMark/>
          </w:tcPr>
          <w:p w14:paraId="5FE2B97D" w14:textId="77777777" w:rsidR="00051507" w:rsidRPr="00AD03D1" w:rsidRDefault="00051507" w:rsidP="00DF5625">
            <w:pPr>
              <w:jc w:val="right"/>
              <w:rPr>
                <w:sz w:val="18"/>
                <w:szCs w:val="18"/>
              </w:rPr>
            </w:pPr>
            <w:r w:rsidRPr="00AD03D1">
              <w:rPr>
                <w:sz w:val="18"/>
                <w:szCs w:val="18"/>
              </w:rPr>
              <w:t>(876.183)</w:t>
            </w:r>
          </w:p>
        </w:tc>
        <w:tc>
          <w:tcPr>
            <w:tcW w:w="146" w:type="dxa"/>
            <w:tcBorders>
              <w:top w:val="nil"/>
              <w:left w:val="nil"/>
              <w:bottom w:val="nil"/>
              <w:right w:val="nil"/>
            </w:tcBorders>
            <w:shd w:val="clear" w:color="auto" w:fill="auto"/>
            <w:noWrap/>
            <w:vAlign w:val="bottom"/>
            <w:hideMark/>
          </w:tcPr>
          <w:p w14:paraId="17F2E108"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center"/>
            <w:hideMark/>
          </w:tcPr>
          <w:p w14:paraId="5BAFA39B" w14:textId="77777777" w:rsidR="00051507" w:rsidRPr="00AD03D1" w:rsidRDefault="00051507" w:rsidP="00DF5625">
            <w:pPr>
              <w:jc w:val="right"/>
              <w:rPr>
                <w:sz w:val="18"/>
                <w:szCs w:val="18"/>
              </w:rPr>
            </w:pPr>
            <w:r w:rsidRPr="00AD03D1">
              <w:rPr>
                <w:sz w:val="18"/>
                <w:szCs w:val="18"/>
              </w:rPr>
              <w:t>(194.467)</w:t>
            </w:r>
          </w:p>
        </w:tc>
        <w:tc>
          <w:tcPr>
            <w:tcW w:w="181" w:type="dxa"/>
            <w:tcBorders>
              <w:top w:val="nil"/>
              <w:left w:val="nil"/>
              <w:bottom w:val="nil"/>
              <w:right w:val="nil"/>
            </w:tcBorders>
            <w:shd w:val="clear" w:color="auto" w:fill="auto"/>
            <w:noWrap/>
            <w:vAlign w:val="bottom"/>
            <w:hideMark/>
          </w:tcPr>
          <w:p w14:paraId="7C2457E2"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194C6C7E" w14:textId="77777777" w:rsidR="00051507" w:rsidRPr="00AD03D1" w:rsidRDefault="00051507" w:rsidP="00DF5625">
            <w:pPr>
              <w:jc w:val="right"/>
              <w:rPr>
                <w:sz w:val="18"/>
                <w:szCs w:val="18"/>
              </w:rPr>
            </w:pPr>
            <w:r w:rsidRPr="00AD03D1">
              <w:rPr>
                <w:sz w:val="18"/>
                <w:szCs w:val="18"/>
              </w:rPr>
              <w:t>22%</w:t>
            </w:r>
          </w:p>
        </w:tc>
      </w:tr>
      <w:tr w:rsidR="00051507" w:rsidRPr="00AD03D1" w14:paraId="600BE835" w14:textId="77777777" w:rsidTr="00DF5625">
        <w:trPr>
          <w:trHeight w:val="210"/>
          <w:jc w:val="center"/>
        </w:trPr>
        <w:tc>
          <w:tcPr>
            <w:tcW w:w="4868" w:type="dxa"/>
            <w:gridSpan w:val="2"/>
            <w:tcBorders>
              <w:top w:val="nil"/>
              <w:left w:val="nil"/>
              <w:bottom w:val="nil"/>
              <w:right w:val="nil"/>
            </w:tcBorders>
            <w:shd w:val="clear" w:color="auto" w:fill="auto"/>
            <w:noWrap/>
            <w:vAlign w:val="center"/>
            <w:hideMark/>
          </w:tcPr>
          <w:p w14:paraId="0697A5D1" w14:textId="77777777" w:rsidR="00051507" w:rsidRPr="00AD03D1" w:rsidRDefault="00051507" w:rsidP="00DF5625">
            <w:pPr>
              <w:rPr>
                <w:sz w:val="18"/>
                <w:szCs w:val="18"/>
              </w:rPr>
            </w:pPr>
            <w:r w:rsidRPr="00AD03D1">
              <w:rPr>
                <w:sz w:val="18"/>
                <w:szCs w:val="18"/>
              </w:rPr>
              <w:t xml:space="preserve">  Gastos y comisiones bancarias</w:t>
            </w:r>
          </w:p>
        </w:tc>
        <w:tc>
          <w:tcPr>
            <w:tcW w:w="1456" w:type="dxa"/>
            <w:tcBorders>
              <w:top w:val="nil"/>
              <w:left w:val="nil"/>
              <w:bottom w:val="nil"/>
              <w:right w:val="nil"/>
            </w:tcBorders>
            <w:shd w:val="clear" w:color="000000" w:fill="FFFFFF"/>
            <w:noWrap/>
            <w:vAlign w:val="center"/>
            <w:hideMark/>
          </w:tcPr>
          <w:p w14:paraId="02C0F774" w14:textId="77777777" w:rsidR="00051507" w:rsidRPr="00AD03D1" w:rsidRDefault="00051507" w:rsidP="00DF5625">
            <w:pPr>
              <w:jc w:val="right"/>
              <w:rPr>
                <w:sz w:val="18"/>
                <w:szCs w:val="18"/>
              </w:rPr>
            </w:pPr>
            <w:r w:rsidRPr="00AD03D1">
              <w:rPr>
                <w:sz w:val="18"/>
                <w:szCs w:val="18"/>
              </w:rPr>
              <w:t>(11.320)</w:t>
            </w:r>
          </w:p>
        </w:tc>
        <w:tc>
          <w:tcPr>
            <w:tcW w:w="146" w:type="dxa"/>
            <w:tcBorders>
              <w:top w:val="nil"/>
              <w:left w:val="nil"/>
              <w:bottom w:val="nil"/>
              <w:right w:val="nil"/>
            </w:tcBorders>
            <w:shd w:val="clear" w:color="auto" w:fill="auto"/>
            <w:noWrap/>
            <w:vAlign w:val="bottom"/>
            <w:hideMark/>
          </w:tcPr>
          <w:p w14:paraId="3FE1DD48"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center"/>
            <w:hideMark/>
          </w:tcPr>
          <w:p w14:paraId="56F2D937" w14:textId="77777777" w:rsidR="00051507" w:rsidRPr="00AD03D1" w:rsidRDefault="00051507" w:rsidP="00DF5625">
            <w:pPr>
              <w:jc w:val="right"/>
              <w:rPr>
                <w:sz w:val="18"/>
                <w:szCs w:val="18"/>
              </w:rPr>
            </w:pPr>
            <w:r w:rsidRPr="00AD03D1">
              <w:rPr>
                <w:sz w:val="18"/>
                <w:szCs w:val="18"/>
              </w:rPr>
              <w:t>(4.546)</w:t>
            </w:r>
          </w:p>
        </w:tc>
        <w:tc>
          <w:tcPr>
            <w:tcW w:w="146" w:type="dxa"/>
            <w:tcBorders>
              <w:top w:val="nil"/>
              <w:left w:val="nil"/>
              <w:bottom w:val="nil"/>
              <w:right w:val="nil"/>
            </w:tcBorders>
            <w:shd w:val="clear" w:color="auto" w:fill="auto"/>
            <w:noWrap/>
            <w:vAlign w:val="bottom"/>
            <w:hideMark/>
          </w:tcPr>
          <w:p w14:paraId="3D83FD74"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center"/>
            <w:hideMark/>
          </w:tcPr>
          <w:p w14:paraId="0B9F2941" w14:textId="77777777" w:rsidR="00051507" w:rsidRPr="00AD03D1" w:rsidRDefault="00051507" w:rsidP="00DF5625">
            <w:pPr>
              <w:jc w:val="right"/>
              <w:rPr>
                <w:sz w:val="18"/>
                <w:szCs w:val="18"/>
              </w:rPr>
            </w:pPr>
            <w:r w:rsidRPr="00AD03D1">
              <w:rPr>
                <w:sz w:val="18"/>
                <w:szCs w:val="18"/>
              </w:rPr>
              <w:t>(6.774)</w:t>
            </w:r>
          </w:p>
        </w:tc>
        <w:tc>
          <w:tcPr>
            <w:tcW w:w="181" w:type="dxa"/>
            <w:tcBorders>
              <w:top w:val="nil"/>
              <w:left w:val="nil"/>
              <w:bottom w:val="nil"/>
              <w:right w:val="nil"/>
            </w:tcBorders>
            <w:shd w:val="clear" w:color="auto" w:fill="auto"/>
            <w:noWrap/>
            <w:vAlign w:val="bottom"/>
            <w:hideMark/>
          </w:tcPr>
          <w:p w14:paraId="73FE5B7B"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000878B8" w14:textId="77777777" w:rsidR="00051507" w:rsidRPr="00AD03D1" w:rsidRDefault="00051507" w:rsidP="00DF5625">
            <w:pPr>
              <w:jc w:val="right"/>
              <w:rPr>
                <w:sz w:val="18"/>
                <w:szCs w:val="18"/>
              </w:rPr>
            </w:pPr>
            <w:r w:rsidRPr="00AD03D1">
              <w:rPr>
                <w:sz w:val="18"/>
                <w:szCs w:val="18"/>
              </w:rPr>
              <w:t>149%</w:t>
            </w:r>
          </w:p>
        </w:tc>
      </w:tr>
      <w:tr w:rsidR="00051507" w:rsidRPr="00AD03D1" w14:paraId="076AF17A" w14:textId="77777777" w:rsidTr="00DF5625">
        <w:trPr>
          <w:trHeight w:val="210"/>
          <w:jc w:val="center"/>
        </w:trPr>
        <w:tc>
          <w:tcPr>
            <w:tcW w:w="4868" w:type="dxa"/>
            <w:gridSpan w:val="2"/>
            <w:tcBorders>
              <w:top w:val="nil"/>
              <w:left w:val="nil"/>
              <w:bottom w:val="nil"/>
              <w:right w:val="nil"/>
            </w:tcBorders>
            <w:shd w:val="clear" w:color="auto" w:fill="auto"/>
            <w:noWrap/>
            <w:vAlign w:val="center"/>
            <w:hideMark/>
          </w:tcPr>
          <w:p w14:paraId="43D83064" w14:textId="77777777" w:rsidR="00051507" w:rsidRPr="00AD03D1" w:rsidRDefault="00051507" w:rsidP="00DF5625">
            <w:pPr>
              <w:rPr>
                <w:sz w:val="18"/>
                <w:szCs w:val="18"/>
              </w:rPr>
            </w:pPr>
            <w:r w:rsidRPr="00AD03D1">
              <w:rPr>
                <w:sz w:val="18"/>
                <w:szCs w:val="18"/>
              </w:rPr>
              <w:t xml:space="preserve">  Diferencia de cambio neta</w:t>
            </w:r>
          </w:p>
        </w:tc>
        <w:tc>
          <w:tcPr>
            <w:tcW w:w="1456" w:type="dxa"/>
            <w:tcBorders>
              <w:top w:val="nil"/>
              <w:left w:val="nil"/>
              <w:bottom w:val="nil"/>
              <w:right w:val="nil"/>
            </w:tcBorders>
            <w:shd w:val="clear" w:color="000000" w:fill="FFFFFF"/>
            <w:noWrap/>
            <w:vAlign w:val="center"/>
            <w:hideMark/>
          </w:tcPr>
          <w:p w14:paraId="57C54C76" w14:textId="77777777" w:rsidR="00051507" w:rsidRPr="00AD03D1" w:rsidRDefault="00051507" w:rsidP="00DF5625">
            <w:pPr>
              <w:jc w:val="right"/>
              <w:rPr>
                <w:sz w:val="18"/>
                <w:szCs w:val="18"/>
              </w:rPr>
            </w:pPr>
            <w:r w:rsidRPr="00AD03D1">
              <w:rPr>
                <w:sz w:val="18"/>
                <w:szCs w:val="18"/>
              </w:rPr>
              <w:t>(214.250)</w:t>
            </w:r>
          </w:p>
        </w:tc>
        <w:tc>
          <w:tcPr>
            <w:tcW w:w="146" w:type="dxa"/>
            <w:tcBorders>
              <w:top w:val="nil"/>
              <w:left w:val="nil"/>
              <w:bottom w:val="nil"/>
              <w:right w:val="nil"/>
            </w:tcBorders>
            <w:shd w:val="clear" w:color="auto" w:fill="auto"/>
            <w:noWrap/>
            <w:vAlign w:val="bottom"/>
            <w:hideMark/>
          </w:tcPr>
          <w:p w14:paraId="4713266E"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center"/>
            <w:hideMark/>
          </w:tcPr>
          <w:p w14:paraId="44B62274" w14:textId="77777777" w:rsidR="00051507" w:rsidRPr="00AD03D1" w:rsidRDefault="00051507" w:rsidP="00DF5625">
            <w:pPr>
              <w:jc w:val="right"/>
              <w:rPr>
                <w:sz w:val="18"/>
                <w:szCs w:val="18"/>
              </w:rPr>
            </w:pPr>
            <w:r w:rsidRPr="00AD03D1">
              <w:rPr>
                <w:sz w:val="18"/>
                <w:szCs w:val="18"/>
              </w:rPr>
              <w:t>(2.380.436)</w:t>
            </w:r>
          </w:p>
        </w:tc>
        <w:tc>
          <w:tcPr>
            <w:tcW w:w="146" w:type="dxa"/>
            <w:tcBorders>
              <w:top w:val="nil"/>
              <w:left w:val="nil"/>
              <w:bottom w:val="nil"/>
              <w:right w:val="nil"/>
            </w:tcBorders>
            <w:shd w:val="clear" w:color="auto" w:fill="auto"/>
            <w:noWrap/>
            <w:vAlign w:val="bottom"/>
            <w:hideMark/>
          </w:tcPr>
          <w:p w14:paraId="1A54837A"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center"/>
            <w:hideMark/>
          </w:tcPr>
          <w:p w14:paraId="37448FCD" w14:textId="77777777" w:rsidR="00051507" w:rsidRPr="00AD03D1" w:rsidRDefault="00051507" w:rsidP="00DF5625">
            <w:pPr>
              <w:jc w:val="right"/>
              <w:rPr>
                <w:sz w:val="18"/>
                <w:szCs w:val="18"/>
              </w:rPr>
            </w:pPr>
            <w:r w:rsidRPr="00AD03D1">
              <w:rPr>
                <w:sz w:val="18"/>
                <w:szCs w:val="18"/>
              </w:rPr>
              <w:t>2.166.186</w:t>
            </w:r>
          </w:p>
        </w:tc>
        <w:tc>
          <w:tcPr>
            <w:tcW w:w="181" w:type="dxa"/>
            <w:tcBorders>
              <w:top w:val="nil"/>
              <w:left w:val="nil"/>
              <w:bottom w:val="nil"/>
              <w:right w:val="nil"/>
            </w:tcBorders>
            <w:shd w:val="clear" w:color="auto" w:fill="auto"/>
            <w:noWrap/>
            <w:vAlign w:val="bottom"/>
            <w:hideMark/>
          </w:tcPr>
          <w:p w14:paraId="5C4D72F4"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223FDF6C" w14:textId="77777777" w:rsidR="00051507" w:rsidRPr="00AD03D1" w:rsidRDefault="00051507" w:rsidP="00DF5625">
            <w:pPr>
              <w:jc w:val="right"/>
              <w:rPr>
                <w:sz w:val="18"/>
                <w:szCs w:val="18"/>
              </w:rPr>
            </w:pPr>
            <w:r w:rsidRPr="00AD03D1">
              <w:rPr>
                <w:sz w:val="18"/>
                <w:szCs w:val="18"/>
              </w:rPr>
              <w:t>(91%)</w:t>
            </w:r>
          </w:p>
        </w:tc>
      </w:tr>
      <w:tr w:rsidR="00051507" w:rsidRPr="00AD03D1" w14:paraId="4D5FC91D" w14:textId="77777777" w:rsidTr="00DF5625">
        <w:trPr>
          <w:trHeight w:val="210"/>
          <w:jc w:val="center"/>
        </w:trPr>
        <w:tc>
          <w:tcPr>
            <w:tcW w:w="4868" w:type="dxa"/>
            <w:gridSpan w:val="2"/>
            <w:tcBorders>
              <w:top w:val="nil"/>
              <w:left w:val="nil"/>
              <w:bottom w:val="nil"/>
              <w:right w:val="nil"/>
            </w:tcBorders>
            <w:shd w:val="clear" w:color="auto" w:fill="auto"/>
            <w:noWrap/>
            <w:vAlign w:val="center"/>
            <w:hideMark/>
          </w:tcPr>
          <w:p w14:paraId="2CBE947D" w14:textId="77777777" w:rsidR="00051507" w:rsidRPr="00AD03D1" w:rsidRDefault="00051507" w:rsidP="00DF5625">
            <w:pPr>
              <w:rPr>
                <w:sz w:val="18"/>
                <w:szCs w:val="18"/>
              </w:rPr>
            </w:pPr>
            <w:r w:rsidRPr="00AD03D1">
              <w:rPr>
                <w:sz w:val="18"/>
                <w:szCs w:val="18"/>
              </w:rPr>
              <w:t xml:space="preserve">  Diferencia de cotización UVA</w:t>
            </w:r>
          </w:p>
        </w:tc>
        <w:tc>
          <w:tcPr>
            <w:tcW w:w="1456" w:type="dxa"/>
            <w:tcBorders>
              <w:top w:val="nil"/>
              <w:left w:val="nil"/>
              <w:bottom w:val="nil"/>
              <w:right w:val="nil"/>
            </w:tcBorders>
            <w:shd w:val="clear" w:color="000000" w:fill="FFFFFF"/>
            <w:noWrap/>
            <w:vAlign w:val="center"/>
            <w:hideMark/>
          </w:tcPr>
          <w:p w14:paraId="2653379C" w14:textId="77777777" w:rsidR="00051507" w:rsidRPr="00AD03D1" w:rsidRDefault="00051507" w:rsidP="00DF5625">
            <w:pPr>
              <w:jc w:val="right"/>
              <w:rPr>
                <w:sz w:val="18"/>
                <w:szCs w:val="18"/>
              </w:rPr>
            </w:pPr>
            <w:r w:rsidRPr="00AD03D1">
              <w:rPr>
                <w:sz w:val="18"/>
                <w:szCs w:val="18"/>
              </w:rPr>
              <w:t>(25.432)</w:t>
            </w:r>
          </w:p>
        </w:tc>
        <w:tc>
          <w:tcPr>
            <w:tcW w:w="146" w:type="dxa"/>
            <w:tcBorders>
              <w:top w:val="nil"/>
              <w:left w:val="nil"/>
              <w:bottom w:val="nil"/>
              <w:right w:val="nil"/>
            </w:tcBorders>
            <w:shd w:val="clear" w:color="auto" w:fill="auto"/>
            <w:noWrap/>
            <w:vAlign w:val="bottom"/>
            <w:hideMark/>
          </w:tcPr>
          <w:p w14:paraId="618917FD"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center"/>
            <w:hideMark/>
          </w:tcPr>
          <w:p w14:paraId="636A2737" w14:textId="77777777" w:rsidR="00051507" w:rsidRPr="00AD03D1" w:rsidRDefault="00051507" w:rsidP="00DF5625">
            <w:pPr>
              <w:jc w:val="right"/>
              <w:rPr>
                <w:sz w:val="18"/>
                <w:szCs w:val="18"/>
              </w:rPr>
            </w:pPr>
            <w:r>
              <w:rPr>
                <w:sz w:val="18"/>
                <w:szCs w:val="18"/>
              </w:rPr>
              <w:t>-</w:t>
            </w:r>
            <w:r w:rsidRPr="00AD03D1">
              <w:rPr>
                <w:sz w:val="18"/>
                <w:szCs w:val="18"/>
              </w:rPr>
              <w:t> </w:t>
            </w:r>
          </w:p>
        </w:tc>
        <w:tc>
          <w:tcPr>
            <w:tcW w:w="146" w:type="dxa"/>
            <w:tcBorders>
              <w:top w:val="nil"/>
              <w:left w:val="nil"/>
              <w:bottom w:val="nil"/>
              <w:right w:val="nil"/>
            </w:tcBorders>
            <w:shd w:val="clear" w:color="auto" w:fill="auto"/>
            <w:noWrap/>
            <w:vAlign w:val="bottom"/>
            <w:hideMark/>
          </w:tcPr>
          <w:p w14:paraId="7A6F4ECE" w14:textId="77777777" w:rsidR="00051507" w:rsidRPr="00AD03D1" w:rsidRDefault="00051507" w:rsidP="00DF5625">
            <w:pPr>
              <w:jc w:val="right"/>
              <w:rPr>
                <w:sz w:val="18"/>
                <w:szCs w:val="18"/>
              </w:rPr>
            </w:pPr>
          </w:p>
        </w:tc>
        <w:tc>
          <w:tcPr>
            <w:tcW w:w="1240" w:type="dxa"/>
            <w:tcBorders>
              <w:top w:val="nil"/>
              <w:left w:val="nil"/>
              <w:bottom w:val="nil"/>
              <w:right w:val="nil"/>
            </w:tcBorders>
            <w:shd w:val="clear" w:color="auto" w:fill="auto"/>
            <w:noWrap/>
            <w:vAlign w:val="center"/>
            <w:hideMark/>
          </w:tcPr>
          <w:p w14:paraId="1B2F2F45" w14:textId="77777777" w:rsidR="00051507" w:rsidRPr="00AD03D1" w:rsidRDefault="00051507" w:rsidP="00DF5625">
            <w:pPr>
              <w:jc w:val="right"/>
              <w:rPr>
                <w:sz w:val="18"/>
                <w:szCs w:val="18"/>
              </w:rPr>
            </w:pPr>
            <w:r w:rsidRPr="00AD03D1">
              <w:rPr>
                <w:sz w:val="18"/>
                <w:szCs w:val="18"/>
              </w:rPr>
              <w:t>(25.432)</w:t>
            </w:r>
          </w:p>
        </w:tc>
        <w:tc>
          <w:tcPr>
            <w:tcW w:w="181" w:type="dxa"/>
            <w:tcBorders>
              <w:top w:val="nil"/>
              <w:left w:val="nil"/>
              <w:bottom w:val="nil"/>
              <w:right w:val="nil"/>
            </w:tcBorders>
            <w:shd w:val="clear" w:color="auto" w:fill="auto"/>
            <w:noWrap/>
            <w:vAlign w:val="bottom"/>
            <w:hideMark/>
          </w:tcPr>
          <w:p w14:paraId="7C353C69"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215B79E3" w14:textId="77777777" w:rsidR="00051507" w:rsidRPr="00AD03D1" w:rsidRDefault="00051507" w:rsidP="00DF5625">
            <w:pPr>
              <w:jc w:val="right"/>
              <w:rPr>
                <w:sz w:val="18"/>
                <w:szCs w:val="18"/>
              </w:rPr>
            </w:pPr>
            <w:r w:rsidRPr="00AD03D1">
              <w:rPr>
                <w:sz w:val="18"/>
                <w:szCs w:val="18"/>
              </w:rPr>
              <w:t>100%</w:t>
            </w:r>
          </w:p>
        </w:tc>
      </w:tr>
      <w:tr w:rsidR="00051507" w:rsidRPr="00AD03D1" w14:paraId="7EEF342A" w14:textId="77777777" w:rsidTr="00DF5625">
        <w:trPr>
          <w:trHeight w:val="210"/>
          <w:jc w:val="center"/>
        </w:trPr>
        <w:tc>
          <w:tcPr>
            <w:tcW w:w="4868" w:type="dxa"/>
            <w:gridSpan w:val="2"/>
            <w:tcBorders>
              <w:top w:val="nil"/>
              <w:left w:val="nil"/>
              <w:bottom w:val="nil"/>
              <w:right w:val="nil"/>
            </w:tcBorders>
            <w:shd w:val="clear" w:color="auto" w:fill="auto"/>
            <w:noWrap/>
            <w:vAlign w:val="center"/>
            <w:hideMark/>
          </w:tcPr>
          <w:p w14:paraId="6EB33A98" w14:textId="77777777" w:rsidR="00051507" w:rsidRPr="00AD03D1" w:rsidRDefault="00051507" w:rsidP="00DF5625">
            <w:pPr>
              <w:rPr>
                <w:sz w:val="18"/>
                <w:szCs w:val="18"/>
              </w:rPr>
            </w:pPr>
            <w:r w:rsidRPr="00AD03D1">
              <w:rPr>
                <w:sz w:val="18"/>
                <w:szCs w:val="18"/>
              </w:rPr>
              <w:t xml:space="preserve">  Otros resultados financieros</w:t>
            </w:r>
          </w:p>
        </w:tc>
        <w:tc>
          <w:tcPr>
            <w:tcW w:w="1456" w:type="dxa"/>
            <w:tcBorders>
              <w:top w:val="nil"/>
              <w:left w:val="nil"/>
              <w:bottom w:val="nil"/>
              <w:right w:val="nil"/>
            </w:tcBorders>
            <w:shd w:val="clear" w:color="000000" w:fill="FFFFFF"/>
            <w:noWrap/>
            <w:vAlign w:val="center"/>
            <w:hideMark/>
          </w:tcPr>
          <w:p w14:paraId="6CDBC9FC" w14:textId="77777777" w:rsidR="00051507" w:rsidRPr="00AD03D1" w:rsidRDefault="00051507" w:rsidP="00DF5625">
            <w:pPr>
              <w:jc w:val="right"/>
              <w:rPr>
                <w:sz w:val="18"/>
                <w:szCs w:val="18"/>
              </w:rPr>
            </w:pPr>
            <w:r w:rsidRPr="00AD03D1">
              <w:rPr>
                <w:sz w:val="18"/>
                <w:szCs w:val="18"/>
              </w:rPr>
              <w:t>43.985</w:t>
            </w:r>
          </w:p>
        </w:tc>
        <w:tc>
          <w:tcPr>
            <w:tcW w:w="146" w:type="dxa"/>
            <w:tcBorders>
              <w:top w:val="nil"/>
              <w:left w:val="nil"/>
              <w:bottom w:val="nil"/>
              <w:right w:val="nil"/>
            </w:tcBorders>
            <w:shd w:val="clear" w:color="auto" w:fill="auto"/>
            <w:noWrap/>
            <w:vAlign w:val="bottom"/>
            <w:hideMark/>
          </w:tcPr>
          <w:p w14:paraId="46E0B09F" w14:textId="77777777" w:rsidR="00051507" w:rsidRPr="00AD03D1" w:rsidRDefault="00051507" w:rsidP="00DF5625">
            <w:pPr>
              <w:jc w:val="right"/>
              <w:rPr>
                <w:sz w:val="18"/>
                <w:szCs w:val="18"/>
              </w:rPr>
            </w:pPr>
          </w:p>
        </w:tc>
        <w:tc>
          <w:tcPr>
            <w:tcW w:w="1456" w:type="dxa"/>
            <w:tcBorders>
              <w:top w:val="nil"/>
              <w:left w:val="nil"/>
              <w:bottom w:val="nil"/>
              <w:right w:val="nil"/>
            </w:tcBorders>
            <w:shd w:val="clear" w:color="000000" w:fill="FFFFFF"/>
            <w:noWrap/>
            <w:vAlign w:val="center"/>
            <w:hideMark/>
          </w:tcPr>
          <w:p w14:paraId="34E4A924" w14:textId="77777777" w:rsidR="00051507" w:rsidRPr="00AD03D1" w:rsidRDefault="00051507" w:rsidP="00DF5625">
            <w:pPr>
              <w:jc w:val="right"/>
              <w:rPr>
                <w:sz w:val="18"/>
                <w:szCs w:val="18"/>
              </w:rPr>
            </w:pPr>
            <w:r w:rsidRPr="00AD03D1">
              <w:rPr>
                <w:sz w:val="18"/>
                <w:szCs w:val="18"/>
              </w:rPr>
              <w:t>8.585</w:t>
            </w:r>
          </w:p>
        </w:tc>
        <w:tc>
          <w:tcPr>
            <w:tcW w:w="146" w:type="dxa"/>
            <w:tcBorders>
              <w:top w:val="nil"/>
              <w:left w:val="nil"/>
              <w:bottom w:val="nil"/>
              <w:right w:val="nil"/>
            </w:tcBorders>
            <w:shd w:val="clear" w:color="auto" w:fill="auto"/>
            <w:noWrap/>
            <w:vAlign w:val="bottom"/>
            <w:hideMark/>
          </w:tcPr>
          <w:p w14:paraId="43399AB3" w14:textId="77777777" w:rsidR="00051507" w:rsidRPr="00AD03D1" w:rsidRDefault="00051507" w:rsidP="00DF5625">
            <w:pPr>
              <w:jc w:val="right"/>
              <w:rPr>
                <w:sz w:val="18"/>
                <w:szCs w:val="18"/>
              </w:rPr>
            </w:pPr>
          </w:p>
        </w:tc>
        <w:tc>
          <w:tcPr>
            <w:tcW w:w="1240" w:type="dxa"/>
            <w:tcBorders>
              <w:top w:val="nil"/>
              <w:left w:val="nil"/>
              <w:bottom w:val="single" w:sz="4" w:space="0" w:color="auto"/>
              <w:right w:val="nil"/>
            </w:tcBorders>
            <w:shd w:val="clear" w:color="auto" w:fill="auto"/>
            <w:noWrap/>
            <w:vAlign w:val="center"/>
            <w:hideMark/>
          </w:tcPr>
          <w:p w14:paraId="13F0AFF4" w14:textId="77777777" w:rsidR="00051507" w:rsidRPr="00AD03D1" w:rsidRDefault="00051507" w:rsidP="00DF5625">
            <w:pPr>
              <w:jc w:val="right"/>
              <w:rPr>
                <w:sz w:val="18"/>
                <w:szCs w:val="18"/>
              </w:rPr>
            </w:pPr>
            <w:r w:rsidRPr="00AD03D1">
              <w:rPr>
                <w:sz w:val="18"/>
                <w:szCs w:val="18"/>
              </w:rPr>
              <w:t>35.400</w:t>
            </w:r>
          </w:p>
        </w:tc>
        <w:tc>
          <w:tcPr>
            <w:tcW w:w="181" w:type="dxa"/>
            <w:tcBorders>
              <w:top w:val="nil"/>
              <w:left w:val="nil"/>
              <w:bottom w:val="nil"/>
              <w:right w:val="nil"/>
            </w:tcBorders>
            <w:shd w:val="clear" w:color="auto" w:fill="auto"/>
            <w:noWrap/>
            <w:vAlign w:val="bottom"/>
            <w:hideMark/>
          </w:tcPr>
          <w:p w14:paraId="139ADED6" w14:textId="77777777" w:rsidR="00051507" w:rsidRPr="00AD03D1" w:rsidRDefault="00051507" w:rsidP="00DF5625">
            <w:pPr>
              <w:jc w:val="right"/>
              <w:rPr>
                <w:sz w:val="18"/>
                <w:szCs w:val="18"/>
              </w:rPr>
            </w:pPr>
          </w:p>
        </w:tc>
        <w:tc>
          <w:tcPr>
            <w:tcW w:w="1020" w:type="dxa"/>
            <w:tcBorders>
              <w:top w:val="nil"/>
              <w:left w:val="nil"/>
              <w:bottom w:val="single" w:sz="4" w:space="0" w:color="auto"/>
              <w:right w:val="nil"/>
            </w:tcBorders>
            <w:shd w:val="clear" w:color="auto" w:fill="auto"/>
            <w:noWrap/>
            <w:vAlign w:val="center"/>
            <w:hideMark/>
          </w:tcPr>
          <w:p w14:paraId="37637E40" w14:textId="77777777" w:rsidR="00051507" w:rsidRPr="00AD03D1" w:rsidRDefault="00051507" w:rsidP="00DF5625">
            <w:pPr>
              <w:jc w:val="right"/>
              <w:rPr>
                <w:sz w:val="18"/>
                <w:szCs w:val="18"/>
              </w:rPr>
            </w:pPr>
            <w:r w:rsidRPr="00AD03D1">
              <w:rPr>
                <w:sz w:val="18"/>
                <w:szCs w:val="18"/>
              </w:rPr>
              <w:t>412%</w:t>
            </w:r>
          </w:p>
        </w:tc>
      </w:tr>
      <w:tr w:rsidR="00051507" w:rsidRPr="00AD03D1" w14:paraId="12E365BA" w14:textId="77777777" w:rsidTr="00DF5625">
        <w:trPr>
          <w:trHeight w:val="270"/>
          <w:jc w:val="center"/>
        </w:trPr>
        <w:tc>
          <w:tcPr>
            <w:tcW w:w="4868" w:type="dxa"/>
            <w:gridSpan w:val="2"/>
            <w:tcBorders>
              <w:top w:val="nil"/>
              <w:left w:val="nil"/>
              <w:bottom w:val="nil"/>
              <w:right w:val="nil"/>
            </w:tcBorders>
            <w:shd w:val="clear" w:color="auto" w:fill="auto"/>
            <w:noWrap/>
            <w:vAlign w:val="center"/>
            <w:hideMark/>
          </w:tcPr>
          <w:p w14:paraId="39B12412" w14:textId="77777777" w:rsidR="00051507" w:rsidRPr="00AD03D1" w:rsidRDefault="00051507" w:rsidP="00DF5625">
            <w:pPr>
              <w:rPr>
                <w:b/>
                <w:bCs/>
                <w:sz w:val="18"/>
                <w:szCs w:val="18"/>
              </w:rPr>
            </w:pPr>
            <w:r w:rsidRPr="00AD03D1">
              <w:rPr>
                <w:b/>
                <w:bCs/>
                <w:sz w:val="18"/>
                <w:szCs w:val="18"/>
              </w:rPr>
              <w:t>Resultados financieros y por tenencia, netos</w:t>
            </w:r>
          </w:p>
        </w:tc>
        <w:tc>
          <w:tcPr>
            <w:tcW w:w="1456" w:type="dxa"/>
            <w:tcBorders>
              <w:top w:val="single" w:sz="4" w:space="0" w:color="auto"/>
              <w:left w:val="nil"/>
              <w:bottom w:val="single" w:sz="4" w:space="0" w:color="auto"/>
              <w:right w:val="nil"/>
            </w:tcBorders>
            <w:shd w:val="clear" w:color="000000" w:fill="FFFFFF"/>
            <w:noWrap/>
            <w:vAlign w:val="center"/>
            <w:hideMark/>
          </w:tcPr>
          <w:p w14:paraId="5BC1A745" w14:textId="77777777" w:rsidR="00051507" w:rsidRPr="00AD03D1" w:rsidRDefault="00051507" w:rsidP="00DF5625">
            <w:pPr>
              <w:jc w:val="right"/>
              <w:rPr>
                <w:b/>
                <w:bCs/>
                <w:sz w:val="18"/>
                <w:szCs w:val="18"/>
              </w:rPr>
            </w:pPr>
            <w:r w:rsidRPr="00AD03D1">
              <w:rPr>
                <w:b/>
                <w:bCs/>
                <w:sz w:val="18"/>
                <w:szCs w:val="18"/>
              </w:rPr>
              <w:t>(1.159.161)</w:t>
            </w:r>
          </w:p>
        </w:tc>
        <w:tc>
          <w:tcPr>
            <w:tcW w:w="146" w:type="dxa"/>
            <w:tcBorders>
              <w:top w:val="nil"/>
              <w:left w:val="nil"/>
              <w:bottom w:val="nil"/>
              <w:right w:val="nil"/>
            </w:tcBorders>
            <w:shd w:val="clear" w:color="auto" w:fill="auto"/>
            <w:noWrap/>
            <w:vAlign w:val="center"/>
            <w:hideMark/>
          </w:tcPr>
          <w:p w14:paraId="2F3AEF03" w14:textId="77777777" w:rsidR="00051507" w:rsidRPr="00AD03D1" w:rsidRDefault="00051507" w:rsidP="00DF5625">
            <w:pPr>
              <w:jc w:val="right"/>
              <w:rPr>
                <w:b/>
                <w:bCs/>
                <w:sz w:val="18"/>
                <w:szCs w:val="18"/>
              </w:rPr>
            </w:pPr>
          </w:p>
        </w:tc>
        <w:tc>
          <w:tcPr>
            <w:tcW w:w="1456" w:type="dxa"/>
            <w:tcBorders>
              <w:top w:val="single" w:sz="4" w:space="0" w:color="auto"/>
              <w:left w:val="nil"/>
              <w:bottom w:val="single" w:sz="4" w:space="0" w:color="auto"/>
              <w:right w:val="nil"/>
            </w:tcBorders>
            <w:shd w:val="clear" w:color="000000" w:fill="FFFFFF"/>
            <w:noWrap/>
            <w:vAlign w:val="center"/>
            <w:hideMark/>
          </w:tcPr>
          <w:p w14:paraId="02F023FB" w14:textId="77777777" w:rsidR="00051507" w:rsidRPr="00AD03D1" w:rsidRDefault="00051507" w:rsidP="00DF5625">
            <w:pPr>
              <w:jc w:val="right"/>
              <w:rPr>
                <w:b/>
                <w:bCs/>
                <w:sz w:val="18"/>
                <w:szCs w:val="18"/>
              </w:rPr>
            </w:pPr>
            <w:r w:rsidRPr="00AD03D1">
              <w:rPr>
                <w:b/>
                <w:bCs/>
                <w:sz w:val="18"/>
                <w:szCs w:val="18"/>
              </w:rPr>
              <w:t>(1.193.426)</w:t>
            </w:r>
          </w:p>
        </w:tc>
        <w:tc>
          <w:tcPr>
            <w:tcW w:w="146" w:type="dxa"/>
            <w:tcBorders>
              <w:top w:val="nil"/>
              <w:left w:val="nil"/>
              <w:bottom w:val="nil"/>
              <w:right w:val="nil"/>
            </w:tcBorders>
            <w:shd w:val="clear" w:color="auto" w:fill="auto"/>
            <w:noWrap/>
            <w:vAlign w:val="center"/>
            <w:hideMark/>
          </w:tcPr>
          <w:p w14:paraId="51A0F826" w14:textId="77777777" w:rsidR="00051507" w:rsidRPr="00AD03D1" w:rsidRDefault="00051507" w:rsidP="00DF5625">
            <w:pPr>
              <w:jc w:val="right"/>
              <w:rPr>
                <w:b/>
                <w:bCs/>
                <w:sz w:val="18"/>
                <w:szCs w:val="18"/>
              </w:rPr>
            </w:pPr>
          </w:p>
        </w:tc>
        <w:tc>
          <w:tcPr>
            <w:tcW w:w="1240" w:type="dxa"/>
            <w:tcBorders>
              <w:top w:val="nil"/>
              <w:left w:val="nil"/>
              <w:bottom w:val="single" w:sz="4" w:space="0" w:color="auto"/>
              <w:right w:val="nil"/>
            </w:tcBorders>
            <w:shd w:val="clear" w:color="auto" w:fill="auto"/>
            <w:noWrap/>
            <w:vAlign w:val="bottom"/>
            <w:hideMark/>
          </w:tcPr>
          <w:p w14:paraId="275CAAD7" w14:textId="77777777" w:rsidR="00051507" w:rsidRPr="00AD03D1" w:rsidRDefault="00051507" w:rsidP="00DF5625">
            <w:pPr>
              <w:jc w:val="right"/>
              <w:rPr>
                <w:b/>
                <w:bCs/>
                <w:sz w:val="18"/>
                <w:szCs w:val="18"/>
              </w:rPr>
            </w:pPr>
            <w:r w:rsidRPr="00AD03D1">
              <w:rPr>
                <w:b/>
                <w:bCs/>
                <w:sz w:val="18"/>
                <w:szCs w:val="18"/>
              </w:rPr>
              <w:t>34.265</w:t>
            </w:r>
          </w:p>
        </w:tc>
        <w:tc>
          <w:tcPr>
            <w:tcW w:w="181" w:type="dxa"/>
            <w:tcBorders>
              <w:top w:val="nil"/>
              <w:left w:val="nil"/>
              <w:bottom w:val="nil"/>
              <w:right w:val="nil"/>
            </w:tcBorders>
            <w:shd w:val="clear" w:color="auto" w:fill="auto"/>
            <w:noWrap/>
            <w:vAlign w:val="bottom"/>
            <w:hideMark/>
          </w:tcPr>
          <w:p w14:paraId="2912CD34" w14:textId="77777777" w:rsidR="00051507" w:rsidRPr="00AD03D1" w:rsidRDefault="00051507" w:rsidP="00DF5625">
            <w:pPr>
              <w:jc w:val="right"/>
              <w:rPr>
                <w:b/>
                <w:bCs/>
                <w:sz w:val="18"/>
                <w:szCs w:val="18"/>
              </w:rPr>
            </w:pPr>
          </w:p>
        </w:tc>
        <w:tc>
          <w:tcPr>
            <w:tcW w:w="1020" w:type="dxa"/>
            <w:tcBorders>
              <w:top w:val="nil"/>
              <w:left w:val="nil"/>
              <w:bottom w:val="single" w:sz="4" w:space="0" w:color="auto"/>
              <w:right w:val="nil"/>
            </w:tcBorders>
            <w:shd w:val="clear" w:color="auto" w:fill="auto"/>
            <w:noWrap/>
            <w:vAlign w:val="center"/>
            <w:hideMark/>
          </w:tcPr>
          <w:p w14:paraId="51570839" w14:textId="77777777" w:rsidR="00051507" w:rsidRPr="00AD03D1" w:rsidRDefault="00051507" w:rsidP="00DF5625">
            <w:pPr>
              <w:jc w:val="right"/>
              <w:rPr>
                <w:b/>
                <w:bCs/>
                <w:sz w:val="18"/>
                <w:szCs w:val="18"/>
              </w:rPr>
            </w:pPr>
            <w:r w:rsidRPr="00AD03D1">
              <w:rPr>
                <w:b/>
                <w:bCs/>
                <w:sz w:val="18"/>
                <w:szCs w:val="18"/>
              </w:rPr>
              <w:t>(3%)</w:t>
            </w:r>
          </w:p>
        </w:tc>
      </w:tr>
      <w:tr w:rsidR="00051507" w:rsidRPr="00AD03D1" w14:paraId="4C0E34C6" w14:textId="77777777" w:rsidTr="00DF5625">
        <w:trPr>
          <w:trHeight w:val="253"/>
          <w:jc w:val="center"/>
        </w:trPr>
        <w:tc>
          <w:tcPr>
            <w:tcW w:w="4868" w:type="dxa"/>
            <w:gridSpan w:val="2"/>
            <w:tcBorders>
              <w:top w:val="nil"/>
              <w:left w:val="nil"/>
              <w:bottom w:val="nil"/>
              <w:right w:val="nil"/>
            </w:tcBorders>
            <w:shd w:val="clear" w:color="auto" w:fill="auto"/>
            <w:noWrap/>
            <w:vAlign w:val="center"/>
            <w:hideMark/>
          </w:tcPr>
          <w:p w14:paraId="38C23D14" w14:textId="77777777" w:rsidR="00051507" w:rsidRPr="00AD03D1" w:rsidRDefault="00051507" w:rsidP="00DF5625">
            <w:pPr>
              <w:rPr>
                <w:b/>
                <w:bCs/>
                <w:sz w:val="18"/>
                <w:szCs w:val="18"/>
              </w:rPr>
            </w:pPr>
            <w:r w:rsidRPr="00AD03D1">
              <w:rPr>
                <w:b/>
                <w:bCs/>
                <w:sz w:val="18"/>
                <w:szCs w:val="18"/>
              </w:rPr>
              <w:t>Resultado antes de impuestos</w:t>
            </w:r>
          </w:p>
        </w:tc>
        <w:tc>
          <w:tcPr>
            <w:tcW w:w="1456" w:type="dxa"/>
            <w:tcBorders>
              <w:top w:val="single" w:sz="4" w:space="0" w:color="auto"/>
              <w:left w:val="nil"/>
              <w:bottom w:val="double" w:sz="6" w:space="0" w:color="auto"/>
              <w:right w:val="nil"/>
            </w:tcBorders>
            <w:shd w:val="clear" w:color="auto" w:fill="auto"/>
            <w:noWrap/>
            <w:vAlign w:val="bottom"/>
            <w:hideMark/>
          </w:tcPr>
          <w:p w14:paraId="0EADFE10" w14:textId="77777777" w:rsidR="00051507" w:rsidRPr="00AD03D1" w:rsidRDefault="00051507" w:rsidP="00DF5625">
            <w:pPr>
              <w:jc w:val="right"/>
              <w:rPr>
                <w:b/>
                <w:bCs/>
                <w:sz w:val="18"/>
                <w:szCs w:val="18"/>
              </w:rPr>
            </w:pPr>
            <w:r w:rsidRPr="00AD03D1">
              <w:rPr>
                <w:b/>
                <w:bCs/>
                <w:sz w:val="18"/>
                <w:szCs w:val="18"/>
              </w:rPr>
              <w:t>1.317.330</w:t>
            </w:r>
          </w:p>
        </w:tc>
        <w:tc>
          <w:tcPr>
            <w:tcW w:w="146" w:type="dxa"/>
            <w:tcBorders>
              <w:top w:val="nil"/>
              <w:left w:val="nil"/>
              <w:bottom w:val="nil"/>
              <w:right w:val="nil"/>
            </w:tcBorders>
            <w:shd w:val="clear" w:color="auto" w:fill="auto"/>
            <w:noWrap/>
            <w:vAlign w:val="bottom"/>
            <w:hideMark/>
          </w:tcPr>
          <w:p w14:paraId="43F85E77" w14:textId="77777777" w:rsidR="00051507" w:rsidRPr="00AD03D1" w:rsidRDefault="00051507" w:rsidP="00DF5625">
            <w:pPr>
              <w:jc w:val="right"/>
              <w:rPr>
                <w:b/>
                <w:bCs/>
                <w:sz w:val="18"/>
                <w:szCs w:val="18"/>
              </w:rPr>
            </w:pPr>
          </w:p>
        </w:tc>
        <w:tc>
          <w:tcPr>
            <w:tcW w:w="1456" w:type="dxa"/>
            <w:tcBorders>
              <w:top w:val="single" w:sz="4" w:space="0" w:color="auto"/>
              <w:left w:val="nil"/>
              <w:bottom w:val="double" w:sz="6" w:space="0" w:color="auto"/>
              <w:right w:val="nil"/>
            </w:tcBorders>
            <w:shd w:val="clear" w:color="000000" w:fill="FFFFFF"/>
            <w:noWrap/>
            <w:vAlign w:val="bottom"/>
            <w:hideMark/>
          </w:tcPr>
          <w:p w14:paraId="2A4CCCFB" w14:textId="77777777" w:rsidR="00051507" w:rsidRPr="00AD03D1" w:rsidRDefault="00051507" w:rsidP="00DF5625">
            <w:pPr>
              <w:jc w:val="right"/>
              <w:rPr>
                <w:b/>
                <w:bCs/>
                <w:sz w:val="18"/>
                <w:szCs w:val="18"/>
              </w:rPr>
            </w:pPr>
            <w:r w:rsidRPr="00AD03D1">
              <w:rPr>
                <w:b/>
                <w:bCs/>
                <w:sz w:val="18"/>
                <w:szCs w:val="18"/>
              </w:rPr>
              <w:t>870.165</w:t>
            </w:r>
          </w:p>
        </w:tc>
        <w:tc>
          <w:tcPr>
            <w:tcW w:w="146" w:type="dxa"/>
            <w:tcBorders>
              <w:top w:val="nil"/>
              <w:left w:val="nil"/>
              <w:bottom w:val="nil"/>
              <w:right w:val="nil"/>
            </w:tcBorders>
            <w:shd w:val="clear" w:color="auto" w:fill="auto"/>
            <w:noWrap/>
            <w:vAlign w:val="bottom"/>
            <w:hideMark/>
          </w:tcPr>
          <w:p w14:paraId="5F60732D" w14:textId="77777777" w:rsidR="00051507" w:rsidRPr="00AD03D1" w:rsidRDefault="00051507" w:rsidP="00DF5625">
            <w:pPr>
              <w:jc w:val="right"/>
              <w:rPr>
                <w:b/>
                <w:bCs/>
                <w:sz w:val="18"/>
                <w:szCs w:val="18"/>
              </w:rPr>
            </w:pPr>
          </w:p>
        </w:tc>
        <w:tc>
          <w:tcPr>
            <w:tcW w:w="1240" w:type="dxa"/>
            <w:tcBorders>
              <w:top w:val="single" w:sz="4" w:space="0" w:color="auto"/>
              <w:left w:val="nil"/>
              <w:bottom w:val="double" w:sz="6" w:space="0" w:color="auto"/>
              <w:right w:val="nil"/>
            </w:tcBorders>
            <w:shd w:val="clear" w:color="auto" w:fill="auto"/>
            <w:noWrap/>
            <w:vAlign w:val="bottom"/>
            <w:hideMark/>
          </w:tcPr>
          <w:p w14:paraId="122F75D1" w14:textId="77777777" w:rsidR="00051507" w:rsidRPr="00AD03D1" w:rsidRDefault="00051507" w:rsidP="00DF5625">
            <w:pPr>
              <w:jc w:val="right"/>
              <w:rPr>
                <w:b/>
                <w:bCs/>
                <w:sz w:val="18"/>
                <w:szCs w:val="18"/>
              </w:rPr>
            </w:pPr>
            <w:r w:rsidRPr="00AD03D1">
              <w:rPr>
                <w:b/>
                <w:bCs/>
                <w:sz w:val="18"/>
                <w:szCs w:val="18"/>
              </w:rPr>
              <w:t>447.165</w:t>
            </w:r>
          </w:p>
        </w:tc>
        <w:tc>
          <w:tcPr>
            <w:tcW w:w="181" w:type="dxa"/>
            <w:tcBorders>
              <w:top w:val="nil"/>
              <w:left w:val="nil"/>
              <w:bottom w:val="nil"/>
              <w:right w:val="nil"/>
            </w:tcBorders>
            <w:shd w:val="clear" w:color="auto" w:fill="auto"/>
            <w:noWrap/>
            <w:vAlign w:val="bottom"/>
            <w:hideMark/>
          </w:tcPr>
          <w:p w14:paraId="41C79F0E" w14:textId="77777777" w:rsidR="00051507" w:rsidRPr="00AD03D1" w:rsidRDefault="00051507" w:rsidP="00DF5625">
            <w:pPr>
              <w:jc w:val="right"/>
              <w:rPr>
                <w:b/>
                <w:bCs/>
                <w:sz w:val="18"/>
                <w:szCs w:val="18"/>
              </w:rPr>
            </w:pPr>
          </w:p>
        </w:tc>
        <w:tc>
          <w:tcPr>
            <w:tcW w:w="1020" w:type="dxa"/>
            <w:tcBorders>
              <w:top w:val="single" w:sz="4" w:space="0" w:color="auto"/>
              <w:left w:val="nil"/>
              <w:bottom w:val="double" w:sz="6" w:space="0" w:color="auto"/>
              <w:right w:val="nil"/>
            </w:tcBorders>
            <w:shd w:val="clear" w:color="auto" w:fill="auto"/>
            <w:noWrap/>
            <w:vAlign w:val="center"/>
            <w:hideMark/>
          </w:tcPr>
          <w:p w14:paraId="222DA48B" w14:textId="77777777" w:rsidR="00051507" w:rsidRPr="00AD03D1" w:rsidRDefault="00051507" w:rsidP="00DF5625">
            <w:pPr>
              <w:jc w:val="right"/>
              <w:rPr>
                <w:b/>
                <w:bCs/>
                <w:sz w:val="18"/>
                <w:szCs w:val="18"/>
              </w:rPr>
            </w:pPr>
            <w:r w:rsidRPr="00AD03D1">
              <w:rPr>
                <w:b/>
                <w:bCs/>
                <w:sz w:val="18"/>
                <w:szCs w:val="18"/>
              </w:rPr>
              <w:t>51%</w:t>
            </w:r>
          </w:p>
        </w:tc>
      </w:tr>
      <w:tr w:rsidR="00051507" w:rsidRPr="00AD03D1" w14:paraId="2E42369F" w14:textId="77777777" w:rsidTr="00DF5625">
        <w:trPr>
          <w:trHeight w:val="240"/>
          <w:jc w:val="center"/>
        </w:trPr>
        <w:tc>
          <w:tcPr>
            <w:tcW w:w="4868" w:type="dxa"/>
            <w:gridSpan w:val="2"/>
            <w:tcBorders>
              <w:top w:val="nil"/>
              <w:left w:val="nil"/>
              <w:bottom w:val="nil"/>
              <w:right w:val="nil"/>
            </w:tcBorders>
            <w:shd w:val="clear" w:color="auto" w:fill="auto"/>
            <w:noWrap/>
            <w:vAlign w:val="center"/>
            <w:hideMark/>
          </w:tcPr>
          <w:p w14:paraId="580B6652" w14:textId="77777777" w:rsidR="00051507" w:rsidRPr="00AD03D1" w:rsidRDefault="00051507" w:rsidP="00DF5625">
            <w:pPr>
              <w:rPr>
                <w:sz w:val="18"/>
                <w:szCs w:val="18"/>
              </w:rPr>
            </w:pPr>
            <w:r w:rsidRPr="00AD03D1">
              <w:rPr>
                <w:sz w:val="18"/>
                <w:szCs w:val="18"/>
              </w:rPr>
              <w:t xml:space="preserve">  Impuesto a las ganancias</w:t>
            </w:r>
          </w:p>
        </w:tc>
        <w:tc>
          <w:tcPr>
            <w:tcW w:w="1456" w:type="dxa"/>
            <w:tcBorders>
              <w:top w:val="double" w:sz="6" w:space="0" w:color="auto"/>
              <w:left w:val="nil"/>
              <w:bottom w:val="single" w:sz="4" w:space="0" w:color="auto"/>
              <w:right w:val="nil"/>
            </w:tcBorders>
            <w:shd w:val="clear" w:color="000000" w:fill="FFFFFF"/>
            <w:noWrap/>
            <w:vAlign w:val="center"/>
            <w:hideMark/>
          </w:tcPr>
          <w:p w14:paraId="48614230" w14:textId="77777777" w:rsidR="00051507" w:rsidRPr="00AD03D1" w:rsidRDefault="00051507" w:rsidP="00DF5625">
            <w:pPr>
              <w:jc w:val="right"/>
              <w:rPr>
                <w:sz w:val="18"/>
                <w:szCs w:val="18"/>
              </w:rPr>
            </w:pPr>
            <w:r w:rsidRPr="00AD03D1">
              <w:rPr>
                <w:sz w:val="18"/>
                <w:szCs w:val="18"/>
              </w:rPr>
              <w:t>517.886</w:t>
            </w:r>
          </w:p>
        </w:tc>
        <w:tc>
          <w:tcPr>
            <w:tcW w:w="146" w:type="dxa"/>
            <w:tcBorders>
              <w:top w:val="nil"/>
              <w:left w:val="nil"/>
              <w:bottom w:val="nil"/>
              <w:right w:val="nil"/>
            </w:tcBorders>
            <w:shd w:val="clear" w:color="auto" w:fill="auto"/>
            <w:noWrap/>
            <w:vAlign w:val="bottom"/>
            <w:hideMark/>
          </w:tcPr>
          <w:p w14:paraId="56350294" w14:textId="77777777" w:rsidR="00051507" w:rsidRPr="00AD03D1" w:rsidRDefault="00051507" w:rsidP="00DF5625">
            <w:pPr>
              <w:jc w:val="right"/>
              <w:rPr>
                <w:sz w:val="18"/>
                <w:szCs w:val="18"/>
              </w:rPr>
            </w:pPr>
          </w:p>
        </w:tc>
        <w:tc>
          <w:tcPr>
            <w:tcW w:w="1456" w:type="dxa"/>
            <w:tcBorders>
              <w:top w:val="double" w:sz="6" w:space="0" w:color="auto"/>
              <w:left w:val="nil"/>
              <w:bottom w:val="single" w:sz="4" w:space="0" w:color="auto"/>
              <w:right w:val="nil"/>
            </w:tcBorders>
            <w:shd w:val="clear" w:color="000000" w:fill="FFFFFF"/>
            <w:noWrap/>
            <w:vAlign w:val="center"/>
            <w:hideMark/>
          </w:tcPr>
          <w:p w14:paraId="4AB0CB1F" w14:textId="77777777" w:rsidR="00051507" w:rsidRPr="00AD03D1" w:rsidRDefault="00051507" w:rsidP="00DF5625">
            <w:pPr>
              <w:jc w:val="right"/>
              <w:rPr>
                <w:sz w:val="18"/>
                <w:szCs w:val="18"/>
              </w:rPr>
            </w:pPr>
            <w:r w:rsidRPr="00AD03D1">
              <w:rPr>
                <w:sz w:val="18"/>
                <w:szCs w:val="18"/>
              </w:rPr>
              <w:t>(341.640)</w:t>
            </w:r>
          </w:p>
        </w:tc>
        <w:tc>
          <w:tcPr>
            <w:tcW w:w="146" w:type="dxa"/>
            <w:tcBorders>
              <w:top w:val="nil"/>
              <w:left w:val="nil"/>
              <w:bottom w:val="nil"/>
              <w:right w:val="nil"/>
            </w:tcBorders>
            <w:shd w:val="clear" w:color="auto" w:fill="auto"/>
            <w:noWrap/>
            <w:vAlign w:val="bottom"/>
            <w:hideMark/>
          </w:tcPr>
          <w:p w14:paraId="7B6D388E" w14:textId="77777777" w:rsidR="00051507" w:rsidRPr="00AD03D1" w:rsidRDefault="00051507" w:rsidP="00DF5625">
            <w:pPr>
              <w:jc w:val="right"/>
              <w:rPr>
                <w:sz w:val="18"/>
                <w:szCs w:val="18"/>
              </w:rPr>
            </w:pPr>
          </w:p>
        </w:tc>
        <w:tc>
          <w:tcPr>
            <w:tcW w:w="1240" w:type="dxa"/>
            <w:tcBorders>
              <w:top w:val="double" w:sz="6" w:space="0" w:color="auto"/>
              <w:left w:val="nil"/>
              <w:bottom w:val="single" w:sz="4" w:space="0" w:color="auto"/>
              <w:right w:val="nil"/>
            </w:tcBorders>
            <w:shd w:val="clear" w:color="auto" w:fill="auto"/>
            <w:noWrap/>
            <w:vAlign w:val="center"/>
            <w:hideMark/>
          </w:tcPr>
          <w:p w14:paraId="281F86B0" w14:textId="77777777" w:rsidR="00051507" w:rsidRPr="00AD03D1" w:rsidRDefault="00051507" w:rsidP="00DF5625">
            <w:pPr>
              <w:jc w:val="right"/>
              <w:rPr>
                <w:sz w:val="18"/>
                <w:szCs w:val="18"/>
              </w:rPr>
            </w:pPr>
            <w:r w:rsidRPr="00AD03D1">
              <w:rPr>
                <w:sz w:val="18"/>
                <w:szCs w:val="18"/>
              </w:rPr>
              <w:t>859.526</w:t>
            </w:r>
          </w:p>
        </w:tc>
        <w:tc>
          <w:tcPr>
            <w:tcW w:w="181" w:type="dxa"/>
            <w:tcBorders>
              <w:top w:val="nil"/>
              <w:left w:val="nil"/>
              <w:bottom w:val="nil"/>
              <w:right w:val="nil"/>
            </w:tcBorders>
            <w:shd w:val="clear" w:color="auto" w:fill="auto"/>
            <w:noWrap/>
            <w:vAlign w:val="bottom"/>
            <w:hideMark/>
          </w:tcPr>
          <w:p w14:paraId="5C7EE561" w14:textId="77777777" w:rsidR="00051507" w:rsidRPr="00AD03D1" w:rsidRDefault="00051507" w:rsidP="00DF5625">
            <w:pPr>
              <w:jc w:val="right"/>
              <w:rPr>
                <w:sz w:val="18"/>
                <w:szCs w:val="18"/>
              </w:rPr>
            </w:pPr>
          </w:p>
        </w:tc>
        <w:tc>
          <w:tcPr>
            <w:tcW w:w="1020" w:type="dxa"/>
            <w:tcBorders>
              <w:top w:val="double" w:sz="6" w:space="0" w:color="auto"/>
              <w:left w:val="nil"/>
              <w:bottom w:val="single" w:sz="4" w:space="0" w:color="auto"/>
              <w:right w:val="nil"/>
            </w:tcBorders>
            <w:shd w:val="clear" w:color="auto" w:fill="auto"/>
            <w:noWrap/>
            <w:vAlign w:val="center"/>
            <w:hideMark/>
          </w:tcPr>
          <w:p w14:paraId="0B32931B" w14:textId="77777777" w:rsidR="00051507" w:rsidRPr="00AD03D1" w:rsidRDefault="00051507" w:rsidP="00DF5625">
            <w:pPr>
              <w:jc w:val="right"/>
              <w:rPr>
                <w:sz w:val="18"/>
                <w:szCs w:val="18"/>
              </w:rPr>
            </w:pPr>
            <w:r w:rsidRPr="00AD03D1">
              <w:rPr>
                <w:sz w:val="18"/>
                <w:szCs w:val="18"/>
              </w:rPr>
              <w:t>(252%)</w:t>
            </w:r>
          </w:p>
        </w:tc>
      </w:tr>
      <w:tr w:rsidR="00051507" w:rsidRPr="00AD03D1" w14:paraId="1F7BE7DA" w14:textId="77777777" w:rsidTr="00DF5625">
        <w:trPr>
          <w:trHeight w:val="290"/>
          <w:jc w:val="center"/>
        </w:trPr>
        <w:tc>
          <w:tcPr>
            <w:tcW w:w="4868" w:type="dxa"/>
            <w:gridSpan w:val="2"/>
            <w:tcBorders>
              <w:top w:val="nil"/>
              <w:left w:val="nil"/>
              <w:bottom w:val="nil"/>
              <w:right w:val="nil"/>
            </w:tcBorders>
            <w:shd w:val="clear" w:color="auto" w:fill="auto"/>
            <w:noWrap/>
            <w:vAlign w:val="center"/>
            <w:hideMark/>
          </w:tcPr>
          <w:p w14:paraId="3D363400" w14:textId="77777777" w:rsidR="00051507" w:rsidRPr="00AD03D1" w:rsidRDefault="00051507" w:rsidP="00DF5625">
            <w:pPr>
              <w:rPr>
                <w:b/>
                <w:bCs/>
                <w:sz w:val="18"/>
                <w:szCs w:val="18"/>
              </w:rPr>
            </w:pPr>
            <w:r w:rsidRPr="00AD03D1">
              <w:rPr>
                <w:b/>
                <w:bCs/>
                <w:sz w:val="18"/>
                <w:szCs w:val="18"/>
              </w:rPr>
              <w:t>Resultado del ejercicio</w:t>
            </w:r>
          </w:p>
        </w:tc>
        <w:tc>
          <w:tcPr>
            <w:tcW w:w="1456" w:type="dxa"/>
            <w:tcBorders>
              <w:top w:val="single" w:sz="4" w:space="0" w:color="auto"/>
              <w:left w:val="nil"/>
              <w:bottom w:val="double" w:sz="6" w:space="0" w:color="auto"/>
              <w:right w:val="nil"/>
            </w:tcBorders>
            <w:shd w:val="clear" w:color="auto" w:fill="auto"/>
            <w:noWrap/>
            <w:vAlign w:val="bottom"/>
            <w:hideMark/>
          </w:tcPr>
          <w:p w14:paraId="6375AD5A" w14:textId="77777777" w:rsidR="00051507" w:rsidRPr="00AD03D1" w:rsidRDefault="00051507" w:rsidP="00DF5625">
            <w:pPr>
              <w:jc w:val="right"/>
              <w:rPr>
                <w:b/>
                <w:bCs/>
                <w:sz w:val="18"/>
                <w:szCs w:val="18"/>
              </w:rPr>
            </w:pPr>
            <w:r w:rsidRPr="00AD03D1">
              <w:rPr>
                <w:b/>
                <w:bCs/>
                <w:sz w:val="18"/>
                <w:szCs w:val="18"/>
              </w:rPr>
              <w:t>1.835.216</w:t>
            </w:r>
          </w:p>
        </w:tc>
        <w:tc>
          <w:tcPr>
            <w:tcW w:w="146" w:type="dxa"/>
            <w:tcBorders>
              <w:top w:val="nil"/>
              <w:left w:val="nil"/>
              <w:bottom w:val="nil"/>
              <w:right w:val="nil"/>
            </w:tcBorders>
            <w:shd w:val="clear" w:color="auto" w:fill="auto"/>
            <w:noWrap/>
            <w:vAlign w:val="bottom"/>
            <w:hideMark/>
          </w:tcPr>
          <w:p w14:paraId="34884F3B" w14:textId="77777777" w:rsidR="00051507" w:rsidRPr="00AD03D1" w:rsidRDefault="00051507" w:rsidP="00DF5625">
            <w:pPr>
              <w:jc w:val="right"/>
              <w:rPr>
                <w:b/>
                <w:bCs/>
                <w:sz w:val="18"/>
                <w:szCs w:val="18"/>
              </w:rPr>
            </w:pPr>
          </w:p>
        </w:tc>
        <w:tc>
          <w:tcPr>
            <w:tcW w:w="1456" w:type="dxa"/>
            <w:tcBorders>
              <w:top w:val="single" w:sz="4" w:space="0" w:color="auto"/>
              <w:left w:val="nil"/>
              <w:bottom w:val="double" w:sz="6" w:space="0" w:color="auto"/>
              <w:right w:val="nil"/>
            </w:tcBorders>
            <w:shd w:val="clear" w:color="000000" w:fill="FFFFFF"/>
            <w:noWrap/>
            <w:vAlign w:val="bottom"/>
            <w:hideMark/>
          </w:tcPr>
          <w:p w14:paraId="6C5455BC" w14:textId="77777777" w:rsidR="00051507" w:rsidRPr="00AD03D1" w:rsidRDefault="00051507" w:rsidP="00DF5625">
            <w:pPr>
              <w:jc w:val="right"/>
              <w:rPr>
                <w:b/>
                <w:bCs/>
                <w:sz w:val="18"/>
                <w:szCs w:val="18"/>
              </w:rPr>
            </w:pPr>
            <w:r w:rsidRPr="00AD03D1">
              <w:rPr>
                <w:b/>
                <w:bCs/>
                <w:sz w:val="18"/>
                <w:szCs w:val="18"/>
              </w:rPr>
              <w:t>528.525</w:t>
            </w:r>
          </w:p>
        </w:tc>
        <w:tc>
          <w:tcPr>
            <w:tcW w:w="146" w:type="dxa"/>
            <w:tcBorders>
              <w:top w:val="nil"/>
              <w:left w:val="nil"/>
              <w:bottom w:val="nil"/>
              <w:right w:val="nil"/>
            </w:tcBorders>
            <w:shd w:val="clear" w:color="auto" w:fill="auto"/>
            <w:noWrap/>
            <w:vAlign w:val="bottom"/>
            <w:hideMark/>
          </w:tcPr>
          <w:p w14:paraId="7A69FC30" w14:textId="77777777" w:rsidR="00051507" w:rsidRPr="00AD03D1" w:rsidRDefault="00051507" w:rsidP="00DF5625">
            <w:pPr>
              <w:jc w:val="right"/>
              <w:rPr>
                <w:b/>
                <w:bCs/>
                <w:sz w:val="18"/>
                <w:szCs w:val="18"/>
              </w:rPr>
            </w:pPr>
          </w:p>
        </w:tc>
        <w:tc>
          <w:tcPr>
            <w:tcW w:w="1240" w:type="dxa"/>
            <w:tcBorders>
              <w:top w:val="single" w:sz="4" w:space="0" w:color="auto"/>
              <w:left w:val="nil"/>
              <w:bottom w:val="double" w:sz="6" w:space="0" w:color="auto"/>
              <w:right w:val="nil"/>
            </w:tcBorders>
            <w:shd w:val="clear" w:color="auto" w:fill="auto"/>
            <w:noWrap/>
            <w:vAlign w:val="bottom"/>
            <w:hideMark/>
          </w:tcPr>
          <w:p w14:paraId="4EFCB70C" w14:textId="77777777" w:rsidR="00051507" w:rsidRPr="00AD03D1" w:rsidRDefault="00051507" w:rsidP="00DF5625">
            <w:pPr>
              <w:jc w:val="right"/>
              <w:rPr>
                <w:b/>
                <w:bCs/>
                <w:sz w:val="18"/>
                <w:szCs w:val="18"/>
              </w:rPr>
            </w:pPr>
            <w:r w:rsidRPr="00AD03D1">
              <w:rPr>
                <w:b/>
                <w:bCs/>
                <w:sz w:val="18"/>
                <w:szCs w:val="18"/>
              </w:rPr>
              <w:t>1.306.691</w:t>
            </w:r>
          </w:p>
        </w:tc>
        <w:tc>
          <w:tcPr>
            <w:tcW w:w="181" w:type="dxa"/>
            <w:tcBorders>
              <w:top w:val="nil"/>
              <w:left w:val="nil"/>
              <w:bottom w:val="nil"/>
              <w:right w:val="nil"/>
            </w:tcBorders>
            <w:shd w:val="clear" w:color="auto" w:fill="auto"/>
            <w:noWrap/>
            <w:vAlign w:val="bottom"/>
            <w:hideMark/>
          </w:tcPr>
          <w:p w14:paraId="500719B4" w14:textId="77777777" w:rsidR="00051507" w:rsidRPr="00AD03D1" w:rsidRDefault="00051507" w:rsidP="00DF5625">
            <w:pPr>
              <w:jc w:val="right"/>
              <w:rPr>
                <w:b/>
                <w:bCs/>
                <w:sz w:val="18"/>
                <w:szCs w:val="18"/>
              </w:rPr>
            </w:pPr>
          </w:p>
        </w:tc>
        <w:tc>
          <w:tcPr>
            <w:tcW w:w="1020" w:type="dxa"/>
            <w:tcBorders>
              <w:top w:val="single" w:sz="4" w:space="0" w:color="auto"/>
              <w:left w:val="nil"/>
              <w:bottom w:val="double" w:sz="6" w:space="0" w:color="auto"/>
              <w:right w:val="nil"/>
            </w:tcBorders>
            <w:shd w:val="clear" w:color="auto" w:fill="auto"/>
            <w:noWrap/>
            <w:vAlign w:val="center"/>
            <w:hideMark/>
          </w:tcPr>
          <w:p w14:paraId="3B720022" w14:textId="77777777" w:rsidR="00051507" w:rsidRPr="00AD03D1" w:rsidRDefault="00051507" w:rsidP="00DF5625">
            <w:pPr>
              <w:jc w:val="right"/>
              <w:rPr>
                <w:b/>
                <w:bCs/>
                <w:sz w:val="18"/>
                <w:szCs w:val="18"/>
              </w:rPr>
            </w:pPr>
            <w:r w:rsidRPr="00AD03D1">
              <w:rPr>
                <w:b/>
                <w:bCs/>
                <w:sz w:val="18"/>
                <w:szCs w:val="18"/>
              </w:rPr>
              <w:t>247%</w:t>
            </w:r>
          </w:p>
        </w:tc>
      </w:tr>
      <w:tr w:rsidR="00051507" w:rsidRPr="00AD03D1" w14:paraId="7083661E" w14:textId="77777777" w:rsidTr="00DF5625">
        <w:trPr>
          <w:trHeight w:val="120"/>
          <w:jc w:val="center"/>
        </w:trPr>
        <w:tc>
          <w:tcPr>
            <w:tcW w:w="908" w:type="dxa"/>
            <w:tcBorders>
              <w:top w:val="nil"/>
              <w:left w:val="nil"/>
              <w:bottom w:val="nil"/>
              <w:right w:val="nil"/>
            </w:tcBorders>
            <w:shd w:val="clear" w:color="auto" w:fill="auto"/>
            <w:noWrap/>
            <w:vAlign w:val="bottom"/>
            <w:hideMark/>
          </w:tcPr>
          <w:p w14:paraId="6F7A6551" w14:textId="77777777" w:rsidR="00051507" w:rsidRPr="00AD03D1" w:rsidRDefault="00051507" w:rsidP="00DF5625">
            <w:pPr>
              <w:jc w:val="right"/>
              <w:rPr>
                <w:b/>
                <w:bCs/>
                <w:sz w:val="18"/>
                <w:szCs w:val="18"/>
              </w:rPr>
            </w:pPr>
          </w:p>
        </w:tc>
        <w:tc>
          <w:tcPr>
            <w:tcW w:w="3960" w:type="dxa"/>
            <w:tcBorders>
              <w:top w:val="nil"/>
              <w:left w:val="nil"/>
              <w:bottom w:val="nil"/>
              <w:right w:val="nil"/>
            </w:tcBorders>
            <w:shd w:val="clear" w:color="auto" w:fill="auto"/>
            <w:noWrap/>
            <w:vAlign w:val="bottom"/>
            <w:hideMark/>
          </w:tcPr>
          <w:p w14:paraId="458DCD6F" w14:textId="77777777" w:rsidR="00051507" w:rsidRPr="00AD03D1" w:rsidRDefault="00051507" w:rsidP="00DF5625"/>
        </w:tc>
        <w:tc>
          <w:tcPr>
            <w:tcW w:w="1456" w:type="dxa"/>
            <w:tcBorders>
              <w:top w:val="nil"/>
              <w:left w:val="nil"/>
              <w:bottom w:val="nil"/>
              <w:right w:val="nil"/>
            </w:tcBorders>
            <w:shd w:val="clear" w:color="auto" w:fill="auto"/>
            <w:noWrap/>
            <w:vAlign w:val="bottom"/>
            <w:hideMark/>
          </w:tcPr>
          <w:p w14:paraId="6C0F02A6" w14:textId="77777777" w:rsidR="00051507" w:rsidRPr="00AD03D1" w:rsidRDefault="00051507" w:rsidP="00DF5625"/>
        </w:tc>
        <w:tc>
          <w:tcPr>
            <w:tcW w:w="146" w:type="dxa"/>
            <w:tcBorders>
              <w:top w:val="nil"/>
              <w:left w:val="nil"/>
              <w:bottom w:val="nil"/>
              <w:right w:val="nil"/>
            </w:tcBorders>
            <w:shd w:val="clear" w:color="auto" w:fill="auto"/>
            <w:noWrap/>
            <w:vAlign w:val="bottom"/>
            <w:hideMark/>
          </w:tcPr>
          <w:p w14:paraId="16E586A7" w14:textId="77777777" w:rsidR="00051507" w:rsidRPr="00AD03D1" w:rsidRDefault="00051507" w:rsidP="00DF5625"/>
        </w:tc>
        <w:tc>
          <w:tcPr>
            <w:tcW w:w="1456" w:type="dxa"/>
            <w:tcBorders>
              <w:top w:val="nil"/>
              <w:left w:val="nil"/>
              <w:bottom w:val="nil"/>
              <w:right w:val="nil"/>
            </w:tcBorders>
            <w:shd w:val="clear" w:color="auto" w:fill="auto"/>
            <w:noWrap/>
            <w:vAlign w:val="bottom"/>
            <w:hideMark/>
          </w:tcPr>
          <w:p w14:paraId="7E6B8151" w14:textId="77777777" w:rsidR="00051507" w:rsidRPr="00AD03D1" w:rsidRDefault="00051507" w:rsidP="00DF5625"/>
        </w:tc>
        <w:tc>
          <w:tcPr>
            <w:tcW w:w="146" w:type="dxa"/>
            <w:tcBorders>
              <w:top w:val="nil"/>
              <w:left w:val="nil"/>
              <w:bottom w:val="nil"/>
              <w:right w:val="nil"/>
            </w:tcBorders>
            <w:shd w:val="clear" w:color="auto" w:fill="auto"/>
            <w:noWrap/>
            <w:vAlign w:val="bottom"/>
            <w:hideMark/>
          </w:tcPr>
          <w:p w14:paraId="7D4CF9A8" w14:textId="77777777" w:rsidR="00051507" w:rsidRPr="00AD03D1" w:rsidRDefault="00051507" w:rsidP="00DF5625"/>
        </w:tc>
        <w:tc>
          <w:tcPr>
            <w:tcW w:w="1240" w:type="dxa"/>
            <w:tcBorders>
              <w:top w:val="nil"/>
              <w:left w:val="nil"/>
              <w:bottom w:val="nil"/>
              <w:right w:val="nil"/>
            </w:tcBorders>
            <w:shd w:val="clear" w:color="auto" w:fill="auto"/>
            <w:noWrap/>
            <w:vAlign w:val="bottom"/>
            <w:hideMark/>
          </w:tcPr>
          <w:p w14:paraId="0D129E57" w14:textId="77777777" w:rsidR="00051507" w:rsidRPr="00AD03D1" w:rsidRDefault="00051507" w:rsidP="00DF5625"/>
        </w:tc>
        <w:tc>
          <w:tcPr>
            <w:tcW w:w="181" w:type="dxa"/>
            <w:tcBorders>
              <w:top w:val="nil"/>
              <w:left w:val="nil"/>
              <w:bottom w:val="nil"/>
              <w:right w:val="nil"/>
            </w:tcBorders>
            <w:shd w:val="clear" w:color="auto" w:fill="auto"/>
            <w:noWrap/>
            <w:vAlign w:val="bottom"/>
            <w:hideMark/>
          </w:tcPr>
          <w:p w14:paraId="1E513045" w14:textId="77777777" w:rsidR="00051507" w:rsidRPr="00AD03D1" w:rsidRDefault="00051507" w:rsidP="00DF5625"/>
        </w:tc>
        <w:tc>
          <w:tcPr>
            <w:tcW w:w="1020" w:type="dxa"/>
            <w:tcBorders>
              <w:top w:val="nil"/>
              <w:left w:val="nil"/>
              <w:bottom w:val="nil"/>
              <w:right w:val="nil"/>
            </w:tcBorders>
            <w:shd w:val="clear" w:color="auto" w:fill="auto"/>
            <w:noWrap/>
            <w:vAlign w:val="bottom"/>
            <w:hideMark/>
          </w:tcPr>
          <w:p w14:paraId="2BB5978A" w14:textId="77777777" w:rsidR="00051507" w:rsidRPr="00AD03D1" w:rsidRDefault="00051507" w:rsidP="00DF5625"/>
        </w:tc>
      </w:tr>
    </w:tbl>
    <w:p w14:paraId="7BF176B2" w14:textId="77777777" w:rsidR="00051507" w:rsidRPr="00896C5A" w:rsidRDefault="00051507" w:rsidP="00051507">
      <w:pPr>
        <w:widowControl w:val="0"/>
        <w:autoSpaceDE w:val="0"/>
        <w:autoSpaceDN w:val="0"/>
        <w:adjustRightInd w:val="0"/>
        <w:spacing w:before="40"/>
        <w:rPr>
          <w:spacing w:val="2"/>
          <w:highlight w:val="yellow"/>
        </w:rPr>
      </w:pPr>
    </w:p>
    <w:tbl>
      <w:tblPr>
        <w:tblW w:w="10490" w:type="dxa"/>
        <w:jc w:val="center"/>
        <w:tblCellMar>
          <w:left w:w="70" w:type="dxa"/>
          <w:right w:w="70" w:type="dxa"/>
        </w:tblCellMar>
        <w:tblLook w:val="04A0" w:firstRow="1" w:lastRow="0" w:firstColumn="1" w:lastColumn="0" w:noHBand="0" w:noVBand="1"/>
      </w:tblPr>
      <w:tblGrid>
        <w:gridCol w:w="900"/>
        <w:gridCol w:w="3960"/>
        <w:gridCol w:w="1496"/>
        <w:gridCol w:w="146"/>
        <w:gridCol w:w="1436"/>
        <w:gridCol w:w="146"/>
        <w:gridCol w:w="1240"/>
        <w:gridCol w:w="146"/>
        <w:gridCol w:w="1020"/>
      </w:tblGrid>
      <w:tr w:rsidR="00051507" w:rsidRPr="00AD03D1" w14:paraId="39A7E6A8" w14:textId="77777777" w:rsidTr="00DF5625">
        <w:trPr>
          <w:trHeight w:val="495"/>
          <w:jc w:val="center"/>
        </w:trPr>
        <w:tc>
          <w:tcPr>
            <w:tcW w:w="900" w:type="dxa"/>
            <w:tcBorders>
              <w:top w:val="nil"/>
              <w:left w:val="nil"/>
              <w:bottom w:val="nil"/>
              <w:right w:val="nil"/>
            </w:tcBorders>
            <w:shd w:val="clear" w:color="auto" w:fill="auto"/>
            <w:noWrap/>
            <w:vAlign w:val="bottom"/>
            <w:hideMark/>
          </w:tcPr>
          <w:p w14:paraId="796376C8" w14:textId="77777777" w:rsidR="00051507" w:rsidRPr="00AD03D1" w:rsidRDefault="00051507" w:rsidP="00DF5625">
            <w:pPr>
              <w:rPr>
                <w:sz w:val="24"/>
                <w:szCs w:val="24"/>
              </w:rPr>
            </w:pPr>
          </w:p>
        </w:tc>
        <w:tc>
          <w:tcPr>
            <w:tcW w:w="3960" w:type="dxa"/>
            <w:tcBorders>
              <w:top w:val="nil"/>
              <w:left w:val="nil"/>
              <w:bottom w:val="nil"/>
              <w:right w:val="nil"/>
            </w:tcBorders>
            <w:shd w:val="clear" w:color="auto" w:fill="auto"/>
            <w:noWrap/>
            <w:vAlign w:val="bottom"/>
            <w:hideMark/>
          </w:tcPr>
          <w:p w14:paraId="77D0DB0D" w14:textId="77777777" w:rsidR="00051507" w:rsidRPr="00AD03D1" w:rsidRDefault="00051507" w:rsidP="00DF5625"/>
        </w:tc>
        <w:tc>
          <w:tcPr>
            <w:tcW w:w="3078" w:type="dxa"/>
            <w:gridSpan w:val="3"/>
            <w:tcBorders>
              <w:top w:val="nil"/>
              <w:left w:val="nil"/>
              <w:bottom w:val="nil"/>
              <w:right w:val="nil"/>
            </w:tcBorders>
            <w:shd w:val="clear" w:color="auto" w:fill="auto"/>
            <w:vAlign w:val="center"/>
            <w:hideMark/>
          </w:tcPr>
          <w:p w14:paraId="2270806E" w14:textId="77777777" w:rsidR="00051507" w:rsidRPr="00AD03D1" w:rsidRDefault="00051507" w:rsidP="00DF5625">
            <w:pPr>
              <w:jc w:val="center"/>
              <w:rPr>
                <w:b/>
                <w:bCs/>
                <w:sz w:val="18"/>
                <w:szCs w:val="18"/>
              </w:rPr>
            </w:pPr>
            <w:r w:rsidRPr="00AD03D1">
              <w:rPr>
                <w:b/>
                <w:bCs/>
                <w:sz w:val="18"/>
                <w:szCs w:val="18"/>
              </w:rPr>
              <w:t>Ejercicio finalizado el 31 de diciembre de:</w:t>
            </w:r>
          </w:p>
        </w:tc>
        <w:tc>
          <w:tcPr>
            <w:tcW w:w="146" w:type="dxa"/>
            <w:tcBorders>
              <w:top w:val="nil"/>
              <w:left w:val="nil"/>
              <w:bottom w:val="nil"/>
              <w:right w:val="nil"/>
            </w:tcBorders>
            <w:shd w:val="clear" w:color="auto" w:fill="auto"/>
            <w:noWrap/>
            <w:vAlign w:val="bottom"/>
            <w:hideMark/>
          </w:tcPr>
          <w:p w14:paraId="50FBB56E" w14:textId="77777777" w:rsidR="00051507" w:rsidRPr="00AD03D1" w:rsidRDefault="00051507" w:rsidP="00DF5625">
            <w:pPr>
              <w:jc w:val="center"/>
              <w:rPr>
                <w:b/>
                <w:bCs/>
                <w:sz w:val="18"/>
                <w:szCs w:val="18"/>
              </w:rPr>
            </w:pPr>
          </w:p>
        </w:tc>
        <w:tc>
          <w:tcPr>
            <w:tcW w:w="1240" w:type="dxa"/>
            <w:tcBorders>
              <w:top w:val="nil"/>
              <w:left w:val="nil"/>
              <w:bottom w:val="nil"/>
              <w:right w:val="nil"/>
            </w:tcBorders>
            <w:shd w:val="clear" w:color="auto" w:fill="auto"/>
            <w:noWrap/>
            <w:vAlign w:val="bottom"/>
            <w:hideMark/>
          </w:tcPr>
          <w:p w14:paraId="636C2303" w14:textId="77777777" w:rsidR="00051507" w:rsidRPr="00AD03D1" w:rsidRDefault="00051507" w:rsidP="00DF5625"/>
        </w:tc>
        <w:tc>
          <w:tcPr>
            <w:tcW w:w="146" w:type="dxa"/>
            <w:tcBorders>
              <w:top w:val="nil"/>
              <w:left w:val="nil"/>
              <w:bottom w:val="nil"/>
              <w:right w:val="nil"/>
            </w:tcBorders>
            <w:shd w:val="clear" w:color="auto" w:fill="auto"/>
            <w:noWrap/>
            <w:vAlign w:val="bottom"/>
            <w:hideMark/>
          </w:tcPr>
          <w:p w14:paraId="46881310" w14:textId="77777777" w:rsidR="00051507" w:rsidRPr="00AD03D1" w:rsidRDefault="00051507" w:rsidP="00DF5625"/>
        </w:tc>
        <w:tc>
          <w:tcPr>
            <w:tcW w:w="1020" w:type="dxa"/>
            <w:tcBorders>
              <w:top w:val="nil"/>
              <w:left w:val="nil"/>
              <w:bottom w:val="nil"/>
              <w:right w:val="nil"/>
            </w:tcBorders>
            <w:shd w:val="clear" w:color="auto" w:fill="auto"/>
            <w:noWrap/>
            <w:vAlign w:val="bottom"/>
            <w:hideMark/>
          </w:tcPr>
          <w:p w14:paraId="6D503902" w14:textId="77777777" w:rsidR="00051507" w:rsidRPr="00AD03D1" w:rsidRDefault="00051507" w:rsidP="00DF5625"/>
        </w:tc>
      </w:tr>
      <w:tr w:rsidR="00051507" w:rsidRPr="00AD03D1" w14:paraId="3BBE57B2" w14:textId="77777777" w:rsidTr="00DF5625">
        <w:trPr>
          <w:trHeight w:val="240"/>
          <w:jc w:val="center"/>
        </w:trPr>
        <w:tc>
          <w:tcPr>
            <w:tcW w:w="900" w:type="dxa"/>
            <w:tcBorders>
              <w:top w:val="nil"/>
              <w:left w:val="nil"/>
              <w:bottom w:val="nil"/>
              <w:right w:val="nil"/>
            </w:tcBorders>
            <w:shd w:val="clear" w:color="auto" w:fill="auto"/>
            <w:noWrap/>
            <w:vAlign w:val="bottom"/>
            <w:hideMark/>
          </w:tcPr>
          <w:p w14:paraId="79488847" w14:textId="77777777" w:rsidR="00051507" w:rsidRPr="00AD03D1" w:rsidRDefault="00051507" w:rsidP="00DF5625"/>
        </w:tc>
        <w:tc>
          <w:tcPr>
            <w:tcW w:w="3960" w:type="dxa"/>
            <w:tcBorders>
              <w:top w:val="nil"/>
              <w:left w:val="nil"/>
              <w:bottom w:val="nil"/>
              <w:right w:val="nil"/>
            </w:tcBorders>
            <w:shd w:val="clear" w:color="auto" w:fill="auto"/>
            <w:noWrap/>
            <w:vAlign w:val="bottom"/>
            <w:hideMark/>
          </w:tcPr>
          <w:p w14:paraId="6EA11668" w14:textId="77777777" w:rsidR="00051507" w:rsidRPr="00AD03D1" w:rsidRDefault="00051507" w:rsidP="00DF5625"/>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5957C" w14:textId="77777777" w:rsidR="00051507" w:rsidRPr="00AD03D1" w:rsidRDefault="00051507" w:rsidP="00DF5625">
            <w:pPr>
              <w:jc w:val="center"/>
              <w:rPr>
                <w:b/>
                <w:bCs/>
                <w:sz w:val="18"/>
                <w:szCs w:val="18"/>
              </w:rPr>
            </w:pPr>
            <w:r w:rsidRPr="00AD03D1">
              <w:rPr>
                <w:b/>
                <w:bCs/>
                <w:sz w:val="18"/>
                <w:szCs w:val="18"/>
              </w:rPr>
              <w:t>2021</w:t>
            </w:r>
          </w:p>
        </w:tc>
        <w:tc>
          <w:tcPr>
            <w:tcW w:w="146" w:type="dxa"/>
            <w:tcBorders>
              <w:top w:val="nil"/>
              <w:left w:val="nil"/>
              <w:bottom w:val="nil"/>
              <w:right w:val="nil"/>
            </w:tcBorders>
            <w:shd w:val="clear" w:color="auto" w:fill="auto"/>
            <w:noWrap/>
            <w:vAlign w:val="bottom"/>
            <w:hideMark/>
          </w:tcPr>
          <w:p w14:paraId="66A479B5" w14:textId="77777777" w:rsidR="00051507" w:rsidRPr="00AD03D1" w:rsidRDefault="00051507" w:rsidP="00DF5625">
            <w:pPr>
              <w:jc w:val="center"/>
              <w:rPr>
                <w:b/>
                <w:bCs/>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DEF6B" w14:textId="77777777" w:rsidR="00051507" w:rsidRPr="00AD03D1" w:rsidRDefault="00051507" w:rsidP="00DF5625">
            <w:pPr>
              <w:jc w:val="center"/>
              <w:rPr>
                <w:b/>
                <w:bCs/>
                <w:sz w:val="18"/>
                <w:szCs w:val="18"/>
              </w:rPr>
            </w:pPr>
            <w:r w:rsidRPr="00AD03D1">
              <w:rPr>
                <w:b/>
                <w:bCs/>
                <w:sz w:val="18"/>
                <w:szCs w:val="18"/>
              </w:rPr>
              <w:t>2020</w:t>
            </w:r>
          </w:p>
        </w:tc>
        <w:tc>
          <w:tcPr>
            <w:tcW w:w="146" w:type="dxa"/>
            <w:tcBorders>
              <w:top w:val="nil"/>
              <w:left w:val="nil"/>
              <w:bottom w:val="nil"/>
              <w:right w:val="nil"/>
            </w:tcBorders>
            <w:shd w:val="clear" w:color="auto" w:fill="auto"/>
            <w:noWrap/>
            <w:vAlign w:val="bottom"/>
            <w:hideMark/>
          </w:tcPr>
          <w:p w14:paraId="3336AD78" w14:textId="77777777" w:rsidR="00051507" w:rsidRPr="00AD03D1" w:rsidRDefault="00051507" w:rsidP="00DF5625">
            <w:pPr>
              <w:jc w:val="center"/>
              <w:rPr>
                <w:b/>
                <w:bCs/>
                <w:sz w:val="18"/>
                <w:szCs w:val="18"/>
              </w:rPr>
            </w:pP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9A704" w14:textId="77777777" w:rsidR="00051507" w:rsidRPr="00AD03D1" w:rsidRDefault="00051507" w:rsidP="00DF5625">
            <w:pPr>
              <w:jc w:val="center"/>
              <w:rPr>
                <w:b/>
                <w:bCs/>
                <w:sz w:val="18"/>
                <w:szCs w:val="18"/>
              </w:rPr>
            </w:pPr>
            <w:r w:rsidRPr="00AD03D1">
              <w:rPr>
                <w:b/>
                <w:bCs/>
                <w:sz w:val="18"/>
                <w:szCs w:val="18"/>
              </w:rPr>
              <w:t>Var.</w:t>
            </w:r>
          </w:p>
        </w:tc>
        <w:tc>
          <w:tcPr>
            <w:tcW w:w="146" w:type="dxa"/>
            <w:tcBorders>
              <w:top w:val="nil"/>
              <w:left w:val="nil"/>
              <w:bottom w:val="nil"/>
              <w:right w:val="nil"/>
            </w:tcBorders>
            <w:shd w:val="clear" w:color="auto" w:fill="auto"/>
            <w:noWrap/>
            <w:vAlign w:val="bottom"/>
            <w:hideMark/>
          </w:tcPr>
          <w:p w14:paraId="2E7916CD" w14:textId="77777777" w:rsidR="00051507" w:rsidRPr="00AD03D1" w:rsidRDefault="00051507" w:rsidP="00DF5625">
            <w:pPr>
              <w:jc w:val="center"/>
              <w:rPr>
                <w:b/>
                <w:bCs/>
                <w:sz w:val="18"/>
                <w:szCs w:val="18"/>
              </w:rPr>
            </w:pP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C81D9" w14:textId="77777777" w:rsidR="00051507" w:rsidRPr="00AD03D1" w:rsidRDefault="00051507" w:rsidP="00DF5625">
            <w:pPr>
              <w:jc w:val="center"/>
              <w:rPr>
                <w:b/>
                <w:bCs/>
                <w:sz w:val="18"/>
                <w:szCs w:val="18"/>
              </w:rPr>
            </w:pPr>
            <w:r w:rsidRPr="00AD03D1">
              <w:rPr>
                <w:b/>
                <w:bCs/>
                <w:sz w:val="18"/>
                <w:szCs w:val="18"/>
              </w:rPr>
              <w:t>Var. %</w:t>
            </w:r>
          </w:p>
        </w:tc>
      </w:tr>
      <w:tr w:rsidR="00051507" w:rsidRPr="00AD03D1" w14:paraId="664D3769" w14:textId="77777777" w:rsidTr="00DF5625">
        <w:trPr>
          <w:trHeight w:val="240"/>
          <w:jc w:val="center"/>
        </w:trPr>
        <w:tc>
          <w:tcPr>
            <w:tcW w:w="4860" w:type="dxa"/>
            <w:gridSpan w:val="2"/>
            <w:tcBorders>
              <w:top w:val="nil"/>
              <w:left w:val="nil"/>
              <w:bottom w:val="nil"/>
              <w:right w:val="nil"/>
            </w:tcBorders>
            <w:shd w:val="clear" w:color="auto" w:fill="auto"/>
            <w:noWrap/>
            <w:vAlign w:val="center"/>
            <w:hideMark/>
          </w:tcPr>
          <w:p w14:paraId="103716DE" w14:textId="77777777" w:rsidR="00051507" w:rsidRPr="00AD03D1" w:rsidRDefault="00051507" w:rsidP="00DF5625">
            <w:pPr>
              <w:rPr>
                <w:b/>
                <w:bCs/>
                <w:i/>
                <w:iCs/>
                <w:sz w:val="18"/>
                <w:szCs w:val="18"/>
              </w:rPr>
            </w:pPr>
            <w:r w:rsidRPr="00AD03D1">
              <w:rPr>
                <w:b/>
                <w:bCs/>
                <w:i/>
                <w:iCs/>
                <w:sz w:val="18"/>
                <w:szCs w:val="18"/>
              </w:rPr>
              <w:t>Conceptos que no serán clasificados a resultados:</w:t>
            </w:r>
          </w:p>
        </w:tc>
        <w:tc>
          <w:tcPr>
            <w:tcW w:w="1496" w:type="dxa"/>
            <w:tcBorders>
              <w:top w:val="nil"/>
              <w:left w:val="nil"/>
              <w:bottom w:val="nil"/>
              <w:right w:val="nil"/>
            </w:tcBorders>
            <w:shd w:val="clear" w:color="000000" w:fill="FFFFFF"/>
            <w:noWrap/>
            <w:vAlign w:val="bottom"/>
            <w:hideMark/>
          </w:tcPr>
          <w:p w14:paraId="2C74F5E7" w14:textId="77777777" w:rsidR="00051507" w:rsidRPr="00AD03D1" w:rsidRDefault="00051507" w:rsidP="00DF5625">
            <w:pPr>
              <w:rPr>
                <w:rFonts w:cs="Calibri"/>
                <w:sz w:val="18"/>
                <w:szCs w:val="18"/>
              </w:rPr>
            </w:pPr>
            <w:r w:rsidRPr="00AD03D1">
              <w:rPr>
                <w:rFonts w:cs="Calibri"/>
                <w:sz w:val="18"/>
                <w:szCs w:val="18"/>
              </w:rPr>
              <w:t> </w:t>
            </w:r>
          </w:p>
        </w:tc>
        <w:tc>
          <w:tcPr>
            <w:tcW w:w="146" w:type="dxa"/>
            <w:tcBorders>
              <w:top w:val="nil"/>
              <w:left w:val="nil"/>
              <w:bottom w:val="nil"/>
              <w:right w:val="nil"/>
            </w:tcBorders>
            <w:shd w:val="clear" w:color="auto" w:fill="auto"/>
            <w:noWrap/>
            <w:vAlign w:val="bottom"/>
            <w:hideMark/>
          </w:tcPr>
          <w:p w14:paraId="1E0A5BB0" w14:textId="77777777" w:rsidR="00051507" w:rsidRPr="00AD03D1" w:rsidRDefault="00051507" w:rsidP="00DF5625">
            <w:pPr>
              <w:rPr>
                <w:rFonts w:cs="Calibri"/>
                <w:sz w:val="18"/>
                <w:szCs w:val="18"/>
              </w:rPr>
            </w:pPr>
          </w:p>
        </w:tc>
        <w:tc>
          <w:tcPr>
            <w:tcW w:w="1436" w:type="dxa"/>
            <w:tcBorders>
              <w:top w:val="nil"/>
              <w:left w:val="nil"/>
              <w:bottom w:val="nil"/>
              <w:right w:val="nil"/>
            </w:tcBorders>
            <w:shd w:val="clear" w:color="auto" w:fill="auto"/>
            <w:noWrap/>
            <w:vAlign w:val="bottom"/>
            <w:hideMark/>
          </w:tcPr>
          <w:p w14:paraId="0E6C2E55" w14:textId="77777777" w:rsidR="00051507" w:rsidRPr="00AD03D1" w:rsidRDefault="00051507" w:rsidP="00DF5625"/>
        </w:tc>
        <w:tc>
          <w:tcPr>
            <w:tcW w:w="146" w:type="dxa"/>
            <w:tcBorders>
              <w:top w:val="nil"/>
              <w:left w:val="nil"/>
              <w:bottom w:val="nil"/>
              <w:right w:val="nil"/>
            </w:tcBorders>
            <w:shd w:val="clear" w:color="auto" w:fill="auto"/>
            <w:noWrap/>
            <w:vAlign w:val="bottom"/>
            <w:hideMark/>
          </w:tcPr>
          <w:p w14:paraId="673A199D" w14:textId="77777777" w:rsidR="00051507" w:rsidRPr="00AD03D1" w:rsidRDefault="00051507" w:rsidP="00DF5625"/>
        </w:tc>
        <w:tc>
          <w:tcPr>
            <w:tcW w:w="1240" w:type="dxa"/>
            <w:tcBorders>
              <w:top w:val="nil"/>
              <w:left w:val="nil"/>
              <w:bottom w:val="nil"/>
              <w:right w:val="nil"/>
            </w:tcBorders>
            <w:shd w:val="clear" w:color="auto" w:fill="auto"/>
            <w:noWrap/>
            <w:vAlign w:val="bottom"/>
            <w:hideMark/>
          </w:tcPr>
          <w:p w14:paraId="3AF598B7" w14:textId="77777777" w:rsidR="00051507" w:rsidRPr="00AD03D1" w:rsidRDefault="00051507" w:rsidP="00DF5625"/>
        </w:tc>
        <w:tc>
          <w:tcPr>
            <w:tcW w:w="146" w:type="dxa"/>
            <w:tcBorders>
              <w:top w:val="nil"/>
              <w:left w:val="nil"/>
              <w:bottom w:val="nil"/>
              <w:right w:val="nil"/>
            </w:tcBorders>
            <w:shd w:val="clear" w:color="auto" w:fill="auto"/>
            <w:noWrap/>
            <w:vAlign w:val="bottom"/>
            <w:hideMark/>
          </w:tcPr>
          <w:p w14:paraId="7AF087E8" w14:textId="77777777" w:rsidR="00051507" w:rsidRPr="00AD03D1" w:rsidRDefault="00051507" w:rsidP="00DF5625"/>
        </w:tc>
        <w:tc>
          <w:tcPr>
            <w:tcW w:w="1020" w:type="dxa"/>
            <w:tcBorders>
              <w:top w:val="nil"/>
              <w:left w:val="nil"/>
              <w:bottom w:val="nil"/>
              <w:right w:val="nil"/>
            </w:tcBorders>
            <w:shd w:val="clear" w:color="auto" w:fill="auto"/>
            <w:noWrap/>
            <w:vAlign w:val="bottom"/>
            <w:hideMark/>
          </w:tcPr>
          <w:p w14:paraId="789AD0E7" w14:textId="77777777" w:rsidR="00051507" w:rsidRPr="00AD03D1" w:rsidRDefault="00051507" w:rsidP="00DF5625"/>
        </w:tc>
      </w:tr>
      <w:tr w:rsidR="00051507" w:rsidRPr="00AD03D1" w14:paraId="659C1281" w14:textId="77777777" w:rsidTr="00DF5625">
        <w:trPr>
          <w:trHeight w:val="480"/>
          <w:jc w:val="center"/>
        </w:trPr>
        <w:tc>
          <w:tcPr>
            <w:tcW w:w="4860" w:type="dxa"/>
            <w:gridSpan w:val="2"/>
            <w:tcBorders>
              <w:top w:val="nil"/>
              <w:left w:val="nil"/>
              <w:bottom w:val="nil"/>
              <w:right w:val="nil"/>
            </w:tcBorders>
            <w:shd w:val="clear" w:color="auto" w:fill="auto"/>
            <w:vAlign w:val="center"/>
            <w:hideMark/>
          </w:tcPr>
          <w:p w14:paraId="3B539CF9" w14:textId="77777777" w:rsidR="00051507" w:rsidRPr="00AD03D1" w:rsidRDefault="00051507" w:rsidP="00DF5625">
            <w:pPr>
              <w:rPr>
                <w:sz w:val="18"/>
                <w:szCs w:val="18"/>
              </w:rPr>
            </w:pPr>
            <w:r w:rsidRPr="00AD03D1">
              <w:rPr>
                <w:sz w:val="18"/>
                <w:szCs w:val="18"/>
              </w:rPr>
              <w:t xml:space="preserve">  Cambio de alícuota sobre el impuesto a las ganancias - </w:t>
            </w:r>
            <w:r w:rsidRPr="00AD03D1">
              <w:rPr>
                <w:sz w:val="18"/>
                <w:szCs w:val="18"/>
              </w:rPr>
              <w:br/>
              <w:t xml:space="preserve">  Revalúo propiedades, planta y equipo</w:t>
            </w:r>
          </w:p>
        </w:tc>
        <w:tc>
          <w:tcPr>
            <w:tcW w:w="1496" w:type="dxa"/>
            <w:tcBorders>
              <w:top w:val="nil"/>
              <w:left w:val="nil"/>
              <w:bottom w:val="nil"/>
              <w:right w:val="nil"/>
            </w:tcBorders>
            <w:shd w:val="clear" w:color="auto" w:fill="auto"/>
            <w:noWrap/>
            <w:vAlign w:val="center"/>
            <w:hideMark/>
          </w:tcPr>
          <w:p w14:paraId="11B9D088" w14:textId="77777777" w:rsidR="00051507" w:rsidRPr="00AD03D1" w:rsidRDefault="00051507" w:rsidP="00DF5625">
            <w:pPr>
              <w:jc w:val="right"/>
              <w:rPr>
                <w:sz w:val="18"/>
                <w:szCs w:val="18"/>
              </w:rPr>
            </w:pPr>
            <w:r w:rsidRPr="00AD03D1">
              <w:rPr>
                <w:sz w:val="18"/>
                <w:szCs w:val="18"/>
              </w:rPr>
              <w:t>(343.580)</w:t>
            </w:r>
          </w:p>
        </w:tc>
        <w:tc>
          <w:tcPr>
            <w:tcW w:w="146" w:type="dxa"/>
            <w:tcBorders>
              <w:top w:val="nil"/>
              <w:left w:val="nil"/>
              <w:bottom w:val="nil"/>
              <w:right w:val="nil"/>
            </w:tcBorders>
            <w:shd w:val="clear" w:color="auto" w:fill="auto"/>
            <w:noWrap/>
            <w:vAlign w:val="bottom"/>
            <w:hideMark/>
          </w:tcPr>
          <w:p w14:paraId="20819D3E" w14:textId="77777777" w:rsidR="00051507" w:rsidRPr="00AD03D1" w:rsidRDefault="00051507" w:rsidP="00DF5625">
            <w:pPr>
              <w:jc w:val="right"/>
              <w:rPr>
                <w:sz w:val="18"/>
                <w:szCs w:val="18"/>
              </w:rPr>
            </w:pPr>
          </w:p>
        </w:tc>
        <w:tc>
          <w:tcPr>
            <w:tcW w:w="1436" w:type="dxa"/>
            <w:tcBorders>
              <w:top w:val="nil"/>
              <w:left w:val="nil"/>
              <w:bottom w:val="nil"/>
              <w:right w:val="nil"/>
            </w:tcBorders>
            <w:shd w:val="clear" w:color="auto" w:fill="auto"/>
            <w:noWrap/>
            <w:vAlign w:val="center"/>
            <w:hideMark/>
          </w:tcPr>
          <w:p w14:paraId="277A10F7" w14:textId="77777777" w:rsidR="00051507" w:rsidRPr="00AD03D1" w:rsidRDefault="00051507" w:rsidP="00DF5625">
            <w:pPr>
              <w:jc w:val="right"/>
              <w:rPr>
                <w:b/>
                <w:bCs/>
                <w:sz w:val="18"/>
                <w:szCs w:val="18"/>
              </w:rPr>
            </w:pPr>
            <w:r w:rsidRPr="00AD03D1">
              <w:rPr>
                <w:b/>
                <w:bCs/>
                <w:sz w:val="18"/>
                <w:szCs w:val="18"/>
              </w:rPr>
              <w:t xml:space="preserve">                      -   </w:t>
            </w:r>
          </w:p>
        </w:tc>
        <w:tc>
          <w:tcPr>
            <w:tcW w:w="146" w:type="dxa"/>
            <w:tcBorders>
              <w:top w:val="nil"/>
              <w:left w:val="nil"/>
              <w:bottom w:val="nil"/>
              <w:right w:val="nil"/>
            </w:tcBorders>
            <w:shd w:val="clear" w:color="auto" w:fill="auto"/>
            <w:noWrap/>
            <w:vAlign w:val="bottom"/>
            <w:hideMark/>
          </w:tcPr>
          <w:p w14:paraId="10E9AB7A" w14:textId="77777777" w:rsidR="00051507" w:rsidRPr="00AD03D1" w:rsidRDefault="00051507" w:rsidP="00DF5625">
            <w:pPr>
              <w:jc w:val="right"/>
              <w:rPr>
                <w:b/>
                <w:bCs/>
                <w:sz w:val="18"/>
                <w:szCs w:val="18"/>
              </w:rPr>
            </w:pPr>
          </w:p>
        </w:tc>
        <w:tc>
          <w:tcPr>
            <w:tcW w:w="1240" w:type="dxa"/>
            <w:tcBorders>
              <w:top w:val="nil"/>
              <w:left w:val="nil"/>
              <w:bottom w:val="nil"/>
              <w:right w:val="nil"/>
            </w:tcBorders>
            <w:shd w:val="clear" w:color="auto" w:fill="auto"/>
            <w:noWrap/>
            <w:vAlign w:val="center"/>
            <w:hideMark/>
          </w:tcPr>
          <w:p w14:paraId="6F640F54" w14:textId="77777777" w:rsidR="00051507" w:rsidRPr="00AD03D1" w:rsidRDefault="00051507" w:rsidP="00DF5625">
            <w:pPr>
              <w:jc w:val="right"/>
              <w:rPr>
                <w:sz w:val="18"/>
                <w:szCs w:val="18"/>
              </w:rPr>
            </w:pPr>
            <w:r w:rsidRPr="00AD03D1">
              <w:rPr>
                <w:sz w:val="18"/>
                <w:szCs w:val="18"/>
              </w:rPr>
              <w:t>(343.580)</w:t>
            </w:r>
          </w:p>
        </w:tc>
        <w:tc>
          <w:tcPr>
            <w:tcW w:w="146" w:type="dxa"/>
            <w:tcBorders>
              <w:top w:val="nil"/>
              <w:left w:val="nil"/>
              <w:bottom w:val="nil"/>
              <w:right w:val="nil"/>
            </w:tcBorders>
            <w:shd w:val="clear" w:color="auto" w:fill="auto"/>
            <w:noWrap/>
            <w:vAlign w:val="center"/>
            <w:hideMark/>
          </w:tcPr>
          <w:p w14:paraId="6CAD0991" w14:textId="77777777" w:rsidR="00051507" w:rsidRPr="00AD03D1" w:rsidRDefault="00051507" w:rsidP="00DF5625">
            <w:pPr>
              <w:jc w:val="right"/>
              <w:rPr>
                <w:sz w:val="18"/>
                <w:szCs w:val="18"/>
              </w:rPr>
            </w:pPr>
          </w:p>
        </w:tc>
        <w:tc>
          <w:tcPr>
            <w:tcW w:w="1020" w:type="dxa"/>
            <w:tcBorders>
              <w:top w:val="nil"/>
              <w:left w:val="nil"/>
              <w:bottom w:val="nil"/>
              <w:right w:val="nil"/>
            </w:tcBorders>
            <w:shd w:val="clear" w:color="auto" w:fill="auto"/>
            <w:noWrap/>
            <w:vAlign w:val="center"/>
            <w:hideMark/>
          </w:tcPr>
          <w:p w14:paraId="4554E9D9" w14:textId="77777777" w:rsidR="00051507" w:rsidRPr="00AD03D1" w:rsidRDefault="00051507" w:rsidP="00DF5625">
            <w:pPr>
              <w:jc w:val="right"/>
              <w:rPr>
                <w:sz w:val="18"/>
                <w:szCs w:val="18"/>
              </w:rPr>
            </w:pPr>
            <w:r w:rsidRPr="00AD03D1">
              <w:rPr>
                <w:sz w:val="18"/>
                <w:szCs w:val="18"/>
              </w:rPr>
              <w:t>100%</w:t>
            </w:r>
          </w:p>
        </w:tc>
      </w:tr>
      <w:tr w:rsidR="00051507" w:rsidRPr="00AD03D1" w14:paraId="5EDE65CA" w14:textId="77777777" w:rsidTr="00DF5625">
        <w:trPr>
          <w:trHeight w:val="280"/>
          <w:jc w:val="center"/>
        </w:trPr>
        <w:tc>
          <w:tcPr>
            <w:tcW w:w="4860" w:type="dxa"/>
            <w:gridSpan w:val="2"/>
            <w:tcBorders>
              <w:top w:val="nil"/>
              <w:left w:val="nil"/>
              <w:bottom w:val="nil"/>
              <w:right w:val="nil"/>
            </w:tcBorders>
            <w:shd w:val="clear" w:color="auto" w:fill="auto"/>
            <w:noWrap/>
            <w:vAlign w:val="center"/>
            <w:hideMark/>
          </w:tcPr>
          <w:p w14:paraId="2F7ED58D" w14:textId="77777777" w:rsidR="00051507" w:rsidRPr="00AD03D1" w:rsidRDefault="00051507" w:rsidP="00DF5625">
            <w:pPr>
              <w:outlineLvl w:val="0"/>
              <w:rPr>
                <w:sz w:val="18"/>
                <w:szCs w:val="18"/>
              </w:rPr>
            </w:pPr>
            <w:r w:rsidRPr="00AD03D1">
              <w:rPr>
                <w:sz w:val="18"/>
                <w:szCs w:val="18"/>
              </w:rPr>
              <w:t xml:space="preserve">  Plan de beneficios</w:t>
            </w:r>
          </w:p>
        </w:tc>
        <w:tc>
          <w:tcPr>
            <w:tcW w:w="1496" w:type="dxa"/>
            <w:tcBorders>
              <w:top w:val="nil"/>
              <w:left w:val="nil"/>
              <w:bottom w:val="nil"/>
              <w:right w:val="nil"/>
            </w:tcBorders>
            <w:shd w:val="clear" w:color="000000" w:fill="FFFFFF"/>
            <w:noWrap/>
            <w:vAlign w:val="center"/>
            <w:hideMark/>
          </w:tcPr>
          <w:p w14:paraId="2FD35146" w14:textId="77777777" w:rsidR="00051507" w:rsidRPr="00AD03D1" w:rsidRDefault="00051507" w:rsidP="00DF5625">
            <w:pPr>
              <w:jc w:val="right"/>
              <w:outlineLvl w:val="0"/>
              <w:rPr>
                <w:sz w:val="18"/>
                <w:szCs w:val="18"/>
              </w:rPr>
            </w:pPr>
            <w:r w:rsidRPr="00AD03D1">
              <w:rPr>
                <w:sz w:val="18"/>
                <w:szCs w:val="18"/>
              </w:rPr>
              <w:t>552</w:t>
            </w:r>
          </w:p>
        </w:tc>
        <w:tc>
          <w:tcPr>
            <w:tcW w:w="146" w:type="dxa"/>
            <w:tcBorders>
              <w:top w:val="nil"/>
              <w:left w:val="nil"/>
              <w:bottom w:val="nil"/>
              <w:right w:val="nil"/>
            </w:tcBorders>
            <w:shd w:val="clear" w:color="auto" w:fill="auto"/>
            <w:noWrap/>
            <w:vAlign w:val="bottom"/>
            <w:hideMark/>
          </w:tcPr>
          <w:p w14:paraId="58E1B61B" w14:textId="77777777" w:rsidR="00051507" w:rsidRPr="00AD03D1" w:rsidRDefault="00051507" w:rsidP="00DF5625">
            <w:pPr>
              <w:jc w:val="right"/>
              <w:outlineLvl w:val="0"/>
              <w:rPr>
                <w:sz w:val="18"/>
                <w:szCs w:val="18"/>
              </w:rPr>
            </w:pPr>
          </w:p>
        </w:tc>
        <w:tc>
          <w:tcPr>
            <w:tcW w:w="1436" w:type="dxa"/>
            <w:tcBorders>
              <w:top w:val="nil"/>
              <w:left w:val="nil"/>
              <w:bottom w:val="nil"/>
              <w:right w:val="nil"/>
            </w:tcBorders>
            <w:shd w:val="clear" w:color="000000" w:fill="FFFFFF"/>
            <w:noWrap/>
            <w:vAlign w:val="center"/>
            <w:hideMark/>
          </w:tcPr>
          <w:p w14:paraId="6614152E" w14:textId="77777777" w:rsidR="00051507" w:rsidRPr="00AD03D1" w:rsidRDefault="00051507" w:rsidP="00DF5625">
            <w:pPr>
              <w:jc w:val="right"/>
              <w:outlineLvl w:val="0"/>
              <w:rPr>
                <w:sz w:val="18"/>
                <w:szCs w:val="18"/>
              </w:rPr>
            </w:pPr>
            <w:r w:rsidRPr="00AD03D1">
              <w:rPr>
                <w:sz w:val="18"/>
                <w:szCs w:val="18"/>
              </w:rPr>
              <w:t>1.274</w:t>
            </w:r>
          </w:p>
        </w:tc>
        <w:tc>
          <w:tcPr>
            <w:tcW w:w="146" w:type="dxa"/>
            <w:tcBorders>
              <w:top w:val="nil"/>
              <w:left w:val="nil"/>
              <w:bottom w:val="nil"/>
              <w:right w:val="nil"/>
            </w:tcBorders>
            <w:shd w:val="clear" w:color="auto" w:fill="auto"/>
            <w:noWrap/>
            <w:vAlign w:val="bottom"/>
            <w:hideMark/>
          </w:tcPr>
          <w:p w14:paraId="2B7D6AB7" w14:textId="77777777" w:rsidR="00051507" w:rsidRPr="00AD03D1" w:rsidRDefault="00051507" w:rsidP="00DF5625">
            <w:pPr>
              <w:jc w:val="right"/>
              <w:outlineLvl w:val="0"/>
              <w:rPr>
                <w:sz w:val="18"/>
                <w:szCs w:val="18"/>
              </w:rPr>
            </w:pPr>
          </w:p>
        </w:tc>
        <w:tc>
          <w:tcPr>
            <w:tcW w:w="1240" w:type="dxa"/>
            <w:tcBorders>
              <w:top w:val="nil"/>
              <w:left w:val="nil"/>
              <w:bottom w:val="nil"/>
              <w:right w:val="nil"/>
            </w:tcBorders>
            <w:shd w:val="clear" w:color="auto" w:fill="auto"/>
            <w:noWrap/>
            <w:vAlign w:val="center"/>
            <w:hideMark/>
          </w:tcPr>
          <w:p w14:paraId="0573C2A1" w14:textId="77777777" w:rsidR="00051507" w:rsidRPr="00AD03D1" w:rsidRDefault="00051507" w:rsidP="00DF5625">
            <w:pPr>
              <w:jc w:val="right"/>
              <w:outlineLvl w:val="0"/>
              <w:rPr>
                <w:sz w:val="18"/>
                <w:szCs w:val="18"/>
              </w:rPr>
            </w:pPr>
            <w:r w:rsidRPr="00AD03D1">
              <w:rPr>
                <w:sz w:val="18"/>
                <w:szCs w:val="18"/>
              </w:rPr>
              <w:t>(722)</w:t>
            </w:r>
          </w:p>
        </w:tc>
        <w:tc>
          <w:tcPr>
            <w:tcW w:w="146" w:type="dxa"/>
            <w:tcBorders>
              <w:top w:val="nil"/>
              <w:left w:val="nil"/>
              <w:bottom w:val="nil"/>
              <w:right w:val="nil"/>
            </w:tcBorders>
            <w:shd w:val="clear" w:color="auto" w:fill="auto"/>
            <w:noWrap/>
            <w:vAlign w:val="center"/>
            <w:hideMark/>
          </w:tcPr>
          <w:p w14:paraId="44FE4D4A" w14:textId="77777777" w:rsidR="00051507" w:rsidRPr="00AD03D1" w:rsidRDefault="00051507" w:rsidP="00DF5625">
            <w:pPr>
              <w:jc w:val="right"/>
              <w:outlineLvl w:val="0"/>
              <w:rPr>
                <w:sz w:val="18"/>
                <w:szCs w:val="18"/>
              </w:rPr>
            </w:pPr>
          </w:p>
        </w:tc>
        <w:tc>
          <w:tcPr>
            <w:tcW w:w="1020" w:type="dxa"/>
            <w:tcBorders>
              <w:top w:val="nil"/>
              <w:left w:val="nil"/>
              <w:bottom w:val="nil"/>
              <w:right w:val="nil"/>
            </w:tcBorders>
            <w:shd w:val="clear" w:color="auto" w:fill="auto"/>
            <w:noWrap/>
            <w:vAlign w:val="center"/>
            <w:hideMark/>
          </w:tcPr>
          <w:p w14:paraId="6AE7EF90" w14:textId="77777777" w:rsidR="00051507" w:rsidRPr="00AD03D1" w:rsidRDefault="00051507" w:rsidP="00DF5625">
            <w:pPr>
              <w:jc w:val="right"/>
              <w:outlineLvl w:val="0"/>
              <w:rPr>
                <w:sz w:val="18"/>
                <w:szCs w:val="18"/>
              </w:rPr>
            </w:pPr>
            <w:r w:rsidRPr="00AD03D1">
              <w:rPr>
                <w:sz w:val="18"/>
                <w:szCs w:val="18"/>
              </w:rPr>
              <w:t>(57%)</w:t>
            </w:r>
          </w:p>
        </w:tc>
      </w:tr>
      <w:tr w:rsidR="00051507" w:rsidRPr="00AD03D1" w14:paraId="1785E3EC" w14:textId="77777777" w:rsidTr="00DF5625">
        <w:trPr>
          <w:trHeight w:val="240"/>
          <w:jc w:val="center"/>
        </w:trPr>
        <w:tc>
          <w:tcPr>
            <w:tcW w:w="4860" w:type="dxa"/>
            <w:gridSpan w:val="2"/>
            <w:tcBorders>
              <w:top w:val="nil"/>
              <w:left w:val="nil"/>
              <w:bottom w:val="nil"/>
              <w:right w:val="nil"/>
            </w:tcBorders>
            <w:shd w:val="clear" w:color="auto" w:fill="auto"/>
            <w:noWrap/>
            <w:vAlign w:val="center"/>
            <w:hideMark/>
          </w:tcPr>
          <w:p w14:paraId="14F3E79A" w14:textId="77777777" w:rsidR="00051507" w:rsidRPr="00AD03D1" w:rsidRDefault="00051507" w:rsidP="00DF5625">
            <w:pPr>
              <w:outlineLvl w:val="0"/>
              <w:rPr>
                <w:sz w:val="18"/>
                <w:szCs w:val="18"/>
              </w:rPr>
            </w:pPr>
            <w:r w:rsidRPr="00AD03D1">
              <w:rPr>
                <w:sz w:val="18"/>
                <w:szCs w:val="18"/>
              </w:rPr>
              <w:t xml:space="preserve">  Revalúo de Propiedades, planta y equipo</w:t>
            </w:r>
          </w:p>
        </w:tc>
        <w:tc>
          <w:tcPr>
            <w:tcW w:w="1496" w:type="dxa"/>
            <w:tcBorders>
              <w:top w:val="nil"/>
              <w:left w:val="nil"/>
              <w:bottom w:val="nil"/>
              <w:right w:val="nil"/>
            </w:tcBorders>
            <w:shd w:val="clear" w:color="auto" w:fill="auto"/>
            <w:noWrap/>
            <w:vAlign w:val="center"/>
            <w:hideMark/>
          </w:tcPr>
          <w:p w14:paraId="6C08C407" w14:textId="77777777" w:rsidR="00051507" w:rsidRPr="00AD03D1" w:rsidRDefault="00051507" w:rsidP="00DF5625">
            <w:pPr>
              <w:jc w:val="right"/>
              <w:outlineLvl w:val="0"/>
              <w:rPr>
                <w:b/>
                <w:bCs/>
                <w:sz w:val="18"/>
                <w:szCs w:val="18"/>
              </w:rPr>
            </w:pPr>
            <w:r w:rsidRPr="00AD03D1">
              <w:rPr>
                <w:b/>
                <w:bCs/>
                <w:sz w:val="18"/>
                <w:szCs w:val="18"/>
              </w:rPr>
              <w:t xml:space="preserve">                       -   </w:t>
            </w:r>
          </w:p>
        </w:tc>
        <w:tc>
          <w:tcPr>
            <w:tcW w:w="146" w:type="dxa"/>
            <w:tcBorders>
              <w:top w:val="nil"/>
              <w:left w:val="nil"/>
              <w:bottom w:val="nil"/>
              <w:right w:val="nil"/>
            </w:tcBorders>
            <w:shd w:val="clear" w:color="auto" w:fill="auto"/>
            <w:noWrap/>
            <w:vAlign w:val="bottom"/>
            <w:hideMark/>
          </w:tcPr>
          <w:p w14:paraId="27552C84" w14:textId="77777777" w:rsidR="00051507" w:rsidRPr="00AD03D1" w:rsidRDefault="00051507" w:rsidP="00DF5625">
            <w:pPr>
              <w:jc w:val="right"/>
              <w:outlineLvl w:val="0"/>
              <w:rPr>
                <w:b/>
                <w:bCs/>
                <w:sz w:val="18"/>
                <w:szCs w:val="18"/>
              </w:rPr>
            </w:pPr>
          </w:p>
        </w:tc>
        <w:tc>
          <w:tcPr>
            <w:tcW w:w="1436" w:type="dxa"/>
            <w:tcBorders>
              <w:top w:val="nil"/>
              <w:left w:val="nil"/>
              <w:bottom w:val="nil"/>
              <w:right w:val="nil"/>
            </w:tcBorders>
            <w:shd w:val="clear" w:color="auto" w:fill="auto"/>
            <w:noWrap/>
            <w:vAlign w:val="center"/>
            <w:hideMark/>
          </w:tcPr>
          <w:p w14:paraId="0999940E" w14:textId="77777777" w:rsidR="00051507" w:rsidRPr="00AD03D1" w:rsidRDefault="00051507" w:rsidP="00DF5625">
            <w:pPr>
              <w:jc w:val="right"/>
              <w:outlineLvl w:val="0"/>
              <w:rPr>
                <w:sz w:val="18"/>
                <w:szCs w:val="18"/>
              </w:rPr>
            </w:pPr>
            <w:r w:rsidRPr="00AD03D1">
              <w:rPr>
                <w:sz w:val="18"/>
                <w:szCs w:val="18"/>
              </w:rPr>
              <w:t>630.632</w:t>
            </w:r>
          </w:p>
        </w:tc>
        <w:tc>
          <w:tcPr>
            <w:tcW w:w="146" w:type="dxa"/>
            <w:tcBorders>
              <w:top w:val="nil"/>
              <w:left w:val="nil"/>
              <w:bottom w:val="nil"/>
              <w:right w:val="nil"/>
            </w:tcBorders>
            <w:shd w:val="clear" w:color="auto" w:fill="auto"/>
            <w:noWrap/>
            <w:vAlign w:val="bottom"/>
            <w:hideMark/>
          </w:tcPr>
          <w:p w14:paraId="63D1973A" w14:textId="77777777" w:rsidR="00051507" w:rsidRPr="00AD03D1" w:rsidRDefault="00051507" w:rsidP="00DF5625">
            <w:pPr>
              <w:jc w:val="right"/>
              <w:outlineLvl w:val="0"/>
              <w:rPr>
                <w:sz w:val="18"/>
                <w:szCs w:val="18"/>
              </w:rPr>
            </w:pPr>
          </w:p>
        </w:tc>
        <w:tc>
          <w:tcPr>
            <w:tcW w:w="1240" w:type="dxa"/>
            <w:tcBorders>
              <w:top w:val="nil"/>
              <w:left w:val="nil"/>
              <w:bottom w:val="nil"/>
              <w:right w:val="nil"/>
            </w:tcBorders>
            <w:shd w:val="clear" w:color="auto" w:fill="auto"/>
            <w:noWrap/>
            <w:vAlign w:val="center"/>
            <w:hideMark/>
          </w:tcPr>
          <w:p w14:paraId="7AA38A79" w14:textId="77777777" w:rsidR="00051507" w:rsidRPr="00AD03D1" w:rsidRDefault="00051507" w:rsidP="00DF5625">
            <w:pPr>
              <w:jc w:val="right"/>
              <w:outlineLvl w:val="0"/>
              <w:rPr>
                <w:sz w:val="18"/>
                <w:szCs w:val="18"/>
              </w:rPr>
            </w:pPr>
            <w:r w:rsidRPr="00AD03D1">
              <w:rPr>
                <w:sz w:val="18"/>
                <w:szCs w:val="18"/>
              </w:rPr>
              <w:t>(630.632)</w:t>
            </w:r>
          </w:p>
        </w:tc>
        <w:tc>
          <w:tcPr>
            <w:tcW w:w="146" w:type="dxa"/>
            <w:tcBorders>
              <w:top w:val="nil"/>
              <w:left w:val="nil"/>
              <w:bottom w:val="nil"/>
              <w:right w:val="nil"/>
            </w:tcBorders>
            <w:shd w:val="clear" w:color="auto" w:fill="auto"/>
            <w:noWrap/>
            <w:vAlign w:val="center"/>
            <w:hideMark/>
          </w:tcPr>
          <w:p w14:paraId="6F042E34" w14:textId="77777777" w:rsidR="00051507" w:rsidRPr="00AD03D1" w:rsidRDefault="00051507" w:rsidP="00DF5625">
            <w:pPr>
              <w:jc w:val="right"/>
              <w:outlineLvl w:val="0"/>
              <w:rPr>
                <w:sz w:val="18"/>
                <w:szCs w:val="18"/>
              </w:rPr>
            </w:pPr>
          </w:p>
        </w:tc>
        <w:tc>
          <w:tcPr>
            <w:tcW w:w="1020" w:type="dxa"/>
            <w:tcBorders>
              <w:top w:val="nil"/>
              <w:left w:val="nil"/>
              <w:bottom w:val="nil"/>
              <w:right w:val="nil"/>
            </w:tcBorders>
            <w:shd w:val="clear" w:color="auto" w:fill="auto"/>
            <w:noWrap/>
            <w:vAlign w:val="center"/>
            <w:hideMark/>
          </w:tcPr>
          <w:p w14:paraId="0E6D709D" w14:textId="77777777" w:rsidR="00051507" w:rsidRPr="00AD03D1" w:rsidRDefault="00051507" w:rsidP="00DF5625">
            <w:pPr>
              <w:jc w:val="right"/>
              <w:outlineLvl w:val="0"/>
              <w:rPr>
                <w:sz w:val="18"/>
                <w:szCs w:val="18"/>
              </w:rPr>
            </w:pPr>
            <w:r w:rsidRPr="00AD03D1">
              <w:rPr>
                <w:sz w:val="18"/>
                <w:szCs w:val="18"/>
              </w:rPr>
              <w:t>(100%)</w:t>
            </w:r>
          </w:p>
        </w:tc>
      </w:tr>
      <w:tr w:rsidR="00051507" w:rsidRPr="00AD03D1" w14:paraId="7B1254CD" w14:textId="77777777" w:rsidTr="00DF5625">
        <w:trPr>
          <w:trHeight w:val="240"/>
          <w:jc w:val="center"/>
        </w:trPr>
        <w:tc>
          <w:tcPr>
            <w:tcW w:w="4860" w:type="dxa"/>
            <w:gridSpan w:val="2"/>
            <w:tcBorders>
              <w:top w:val="nil"/>
              <w:left w:val="nil"/>
              <w:bottom w:val="nil"/>
              <w:right w:val="nil"/>
            </w:tcBorders>
            <w:shd w:val="clear" w:color="auto" w:fill="auto"/>
            <w:noWrap/>
            <w:vAlign w:val="center"/>
            <w:hideMark/>
          </w:tcPr>
          <w:p w14:paraId="068580A5" w14:textId="77777777" w:rsidR="00051507" w:rsidRPr="00AD03D1" w:rsidRDefault="00051507" w:rsidP="00DF5625">
            <w:pPr>
              <w:outlineLvl w:val="1"/>
              <w:rPr>
                <w:sz w:val="18"/>
                <w:szCs w:val="18"/>
              </w:rPr>
            </w:pPr>
            <w:r w:rsidRPr="00AD03D1">
              <w:rPr>
                <w:sz w:val="18"/>
                <w:szCs w:val="18"/>
              </w:rPr>
              <w:t xml:space="preserve">  Diferencias de conversión</w:t>
            </w:r>
          </w:p>
        </w:tc>
        <w:tc>
          <w:tcPr>
            <w:tcW w:w="1496" w:type="dxa"/>
            <w:tcBorders>
              <w:top w:val="nil"/>
              <w:left w:val="nil"/>
              <w:bottom w:val="nil"/>
              <w:right w:val="nil"/>
            </w:tcBorders>
            <w:shd w:val="clear" w:color="auto" w:fill="auto"/>
            <w:noWrap/>
            <w:vAlign w:val="center"/>
            <w:hideMark/>
          </w:tcPr>
          <w:p w14:paraId="4AA4FE5A" w14:textId="77777777" w:rsidR="00051507" w:rsidRPr="00AD03D1" w:rsidRDefault="00051507" w:rsidP="00DF5625">
            <w:pPr>
              <w:jc w:val="right"/>
              <w:outlineLvl w:val="1"/>
              <w:rPr>
                <w:sz w:val="18"/>
                <w:szCs w:val="18"/>
              </w:rPr>
            </w:pPr>
            <w:r w:rsidRPr="00AD03D1">
              <w:rPr>
                <w:sz w:val="18"/>
                <w:szCs w:val="18"/>
              </w:rPr>
              <w:t>706.133</w:t>
            </w:r>
          </w:p>
        </w:tc>
        <w:tc>
          <w:tcPr>
            <w:tcW w:w="146" w:type="dxa"/>
            <w:tcBorders>
              <w:top w:val="nil"/>
              <w:left w:val="nil"/>
              <w:bottom w:val="nil"/>
              <w:right w:val="nil"/>
            </w:tcBorders>
            <w:shd w:val="clear" w:color="auto" w:fill="auto"/>
            <w:noWrap/>
            <w:vAlign w:val="bottom"/>
            <w:hideMark/>
          </w:tcPr>
          <w:p w14:paraId="36BE9651" w14:textId="77777777" w:rsidR="00051507" w:rsidRPr="00AD03D1" w:rsidRDefault="00051507" w:rsidP="00DF5625">
            <w:pPr>
              <w:jc w:val="right"/>
              <w:outlineLvl w:val="1"/>
              <w:rPr>
                <w:sz w:val="18"/>
                <w:szCs w:val="18"/>
              </w:rPr>
            </w:pPr>
          </w:p>
        </w:tc>
        <w:tc>
          <w:tcPr>
            <w:tcW w:w="1436" w:type="dxa"/>
            <w:tcBorders>
              <w:top w:val="nil"/>
              <w:left w:val="nil"/>
              <w:bottom w:val="nil"/>
              <w:right w:val="nil"/>
            </w:tcBorders>
            <w:shd w:val="clear" w:color="auto" w:fill="auto"/>
            <w:noWrap/>
            <w:vAlign w:val="center"/>
            <w:hideMark/>
          </w:tcPr>
          <w:p w14:paraId="4899702D" w14:textId="77777777" w:rsidR="00051507" w:rsidRPr="00AD03D1" w:rsidRDefault="00051507" w:rsidP="00DF5625">
            <w:pPr>
              <w:jc w:val="right"/>
              <w:outlineLvl w:val="1"/>
              <w:rPr>
                <w:b/>
                <w:bCs/>
                <w:sz w:val="18"/>
                <w:szCs w:val="18"/>
              </w:rPr>
            </w:pPr>
            <w:r w:rsidRPr="00AD03D1">
              <w:rPr>
                <w:b/>
                <w:bCs/>
                <w:sz w:val="18"/>
                <w:szCs w:val="18"/>
              </w:rPr>
              <w:t xml:space="preserve">                      -   </w:t>
            </w:r>
          </w:p>
        </w:tc>
        <w:tc>
          <w:tcPr>
            <w:tcW w:w="146" w:type="dxa"/>
            <w:tcBorders>
              <w:top w:val="nil"/>
              <w:left w:val="nil"/>
              <w:bottom w:val="nil"/>
              <w:right w:val="nil"/>
            </w:tcBorders>
            <w:shd w:val="clear" w:color="auto" w:fill="auto"/>
            <w:noWrap/>
            <w:vAlign w:val="bottom"/>
            <w:hideMark/>
          </w:tcPr>
          <w:p w14:paraId="41714484" w14:textId="77777777" w:rsidR="00051507" w:rsidRPr="00AD03D1" w:rsidRDefault="00051507" w:rsidP="00DF5625">
            <w:pPr>
              <w:jc w:val="right"/>
              <w:outlineLvl w:val="1"/>
              <w:rPr>
                <w:b/>
                <w:bCs/>
                <w:sz w:val="18"/>
                <w:szCs w:val="18"/>
              </w:rPr>
            </w:pPr>
          </w:p>
        </w:tc>
        <w:tc>
          <w:tcPr>
            <w:tcW w:w="1240" w:type="dxa"/>
            <w:tcBorders>
              <w:top w:val="nil"/>
              <w:left w:val="nil"/>
              <w:bottom w:val="nil"/>
              <w:right w:val="nil"/>
            </w:tcBorders>
            <w:shd w:val="clear" w:color="auto" w:fill="auto"/>
            <w:noWrap/>
            <w:vAlign w:val="center"/>
            <w:hideMark/>
          </w:tcPr>
          <w:p w14:paraId="315E5173" w14:textId="77777777" w:rsidR="00051507" w:rsidRPr="00AD03D1" w:rsidRDefault="00051507" w:rsidP="00DF5625">
            <w:pPr>
              <w:jc w:val="right"/>
              <w:outlineLvl w:val="1"/>
              <w:rPr>
                <w:sz w:val="18"/>
                <w:szCs w:val="18"/>
              </w:rPr>
            </w:pPr>
            <w:r w:rsidRPr="00AD03D1">
              <w:rPr>
                <w:sz w:val="18"/>
                <w:szCs w:val="18"/>
              </w:rPr>
              <w:t>706.133</w:t>
            </w:r>
          </w:p>
        </w:tc>
        <w:tc>
          <w:tcPr>
            <w:tcW w:w="146" w:type="dxa"/>
            <w:tcBorders>
              <w:top w:val="nil"/>
              <w:left w:val="nil"/>
              <w:bottom w:val="nil"/>
              <w:right w:val="nil"/>
            </w:tcBorders>
            <w:shd w:val="clear" w:color="auto" w:fill="auto"/>
            <w:noWrap/>
            <w:vAlign w:val="center"/>
            <w:hideMark/>
          </w:tcPr>
          <w:p w14:paraId="0A6765EC" w14:textId="77777777" w:rsidR="00051507" w:rsidRPr="00AD03D1" w:rsidRDefault="00051507" w:rsidP="00DF5625">
            <w:pPr>
              <w:jc w:val="right"/>
              <w:outlineLvl w:val="1"/>
              <w:rPr>
                <w:sz w:val="18"/>
                <w:szCs w:val="18"/>
              </w:rPr>
            </w:pPr>
          </w:p>
        </w:tc>
        <w:tc>
          <w:tcPr>
            <w:tcW w:w="1020" w:type="dxa"/>
            <w:tcBorders>
              <w:top w:val="nil"/>
              <w:left w:val="nil"/>
              <w:bottom w:val="nil"/>
              <w:right w:val="nil"/>
            </w:tcBorders>
            <w:shd w:val="clear" w:color="auto" w:fill="auto"/>
            <w:noWrap/>
            <w:vAlign w:val="center"/>
            <w:hideMark/>
          </w:tcPr>
          <w:p w14:paraId="3BBDCA9A" w14:textId="77777777" w:rsidR="00051507" w:rsidRPr="00AD03D1" w:rsidRDefault="00051507" w:rsidP="00DF5625">
            <w:pPr>
              <w:jc w:val="right"/>
              <w:outlineLvl w:val="1"/>
              <w:rPr>
                <w:sz w:val="18"/>
                <w:szCs w:val="18"/>
              </w:rPr>
            </w:pPr>
            <w:r w:rsidRPr="00AD03D1">
              <w:rPr>
                <w:sz w:val="18"/>
                <w:szCs w:val="18"/>
              </w:rPr>
              <w:t>100%</w:t>
            </w:r>
          </w:p>
        </w:tc>
      </w:tr>
      <w:tr w:rsidR="00051507" w:rsidRPr="00AD03D1" w14:paraId="46B11C5B" w14:textId="77777777" w:rsidTr="00DF5625">
        <w:trPr>
          <w:trHeight w:val="240"/>
          <w:jc w:val="center"/>
        </w:trPr>
        <w:tc>
          <w:tcPr>
            <w:tcW w:w="4860" w:type="dxa"/>
            <w:gridSpan w:val="2"/>
            <w:tcBorders>
              <w:top w:val="nil"/>
              <w:left w:val="nil"/>
              <w:bottom w:val="nil"/>
              <w:right w:val="nil"/>
            </w:tcBorders>
            <w:shd w:val="clear" w:color="auto" w:fill="auto"/>
            <w:noWrap/>
            <w:vAlign w:val="center"/>
            <w:hideMark/>
          </w:tcPr>
          <w:p w14:paraId="094C3B08" w14:textId="77777777" w:rsidR="00051507" w:rsidRPr="00AD03D1" w:rsidRDefault="00051507" w:rsidP="00DF5625">
            <w:pPr>
              <w:outlineLvl w:val="0"/>
              <w:rPr>
                <w:sz w:val="18"/>
                <w:szCs w:val="18"/>
              </w:rPr>
            </w:pPr>
            <w:r w:rsidRPr="00AD03D1">
              <w:rPr>
                <w:sz w:val="18"/>
                <w:szCs w:val="18"/>
              </w:rPr>
              <w:t xml:space="preserve">  Efecto en el impuesto a las ganancias</w:t>
            </w:r>
          </w:p>
        </w:tc>
        <w:tc>
          <w:tcPr>
            <w:tcW w:w="1496" w:type="dxa"/>
            <w:tcBorders>
              <w:top w:val="nil"/>
              <w:left w:val="nil"/>
              <w:bottom w:val="single" w:sz="4" w:space="0" w:color="auto"/>
              <w:right w:val="nil"/>
            </w:tcBorders>
            <w:shd w:val="clear" w:color="auto" w:fill="auto"/>
            <w:noWrap/>
            <w:vAlign w:val="center"/>
            <w:hideMark/>
          </w:tcPr>
          <w:p w14:paraId="4C814D70" w14:textId="77777777" w:rsidR="00051507" w:rsidRPr="00AD03D1" w:rsidRDefault="00051507" w:rsidP="00DF5625">
            <w:pPr>
              <w:jc w:val="right"/>
              <w:outlineLvl w:val="0"/>
              <w:rPr>
                <w:sz w:val="18"/>
                <w:szCs w:val="18"/>
              </w:rPr>
            </w:pPr>
            <w:r w:rsidRPr="00AD03D1">
              <w:rPr>
                <w:sz w:val="18"/>
                <w:szCs w:val="18"/>
              </w:rPr>
              <w:t>(193)</w:t>
            </w:r>
          </w:p>
        </w:tc>
        <w:tc>
          <w:tcPr>
            <w:tcW w:w="146" w:type="dxa"/>
            <w:tcBorders>
              <w:top w:val="nil"/>
              <w:left w:val="nil"/>
              <w:bottom w:val="nil"/>
              <w:right w:val="nil"/>
            </w:tcBorders>
            <w:shd w:val="clear" w:color="auto" w:fill="auto"/>
            <w:noWrap/>
            <w:vAlign w:val="bottom"/>
            <w:hideMark/>
          </w:tcPr>
          <w:p w14:paraId="1784AFFC" w14:textId="77777777" w:rsidR="00051507" w:rsidRPr="00AD03D1" w:rsidRDefault="00051507" w:rsidP="00DF5625">
            <w:pPr>
              <w:jc w:val="right"/>
              <w:outlineLvl w:val="0"/>
              <w:rPr>
                <w:sz w:val="18"/>
                <w:szCs w:val="18"/>
              </w:rPr>
            </w:pPr>
          </w:p>
        </w:tc>
        <w:tc>
          <w:tcPr>
            <w:tcW w:w="1436" w:type="dxa"/>
            <w:tcBorders>
              <w:top w:val="nil"/>
              <w:left w:val="nil"/>
              <w:bottom w:val="single" w:sz="4" w:space="0" w:color="auto"/>
              <w:right w:val="nil"/>
            </w:tcBorders>
            <w:shd w:val="clear" w:color="auto" w:fill="auto"/>
            <w:noWrap/>
            <w:vAlign w:val="center"/>
            <w:hideMark/>
          </w:tcPr>
          <w:p w14:paraId="58601868" w14:textId="77777777" w:rsidR="00051507" w:rsidRPr="00AD03D1" w:rsidRDefault="00051507" w:rsidP="00DF5625">
            <w:pPr>
              <w:jc w:val="right"/>
              <w:outlineLvl w:val="0"/>
              <w:rPr>
                <w:sz w:val="18"/>
                <w:szCs w:val="18"/>
              </w:rPr>
            </w:pPr>
            <w:r w:rsidRPr="00AD03D1">
              <w:rPr>
                <w:sz w:val="18"/>
                <w:szCs w:val="18"/>
              </w:rPr>
              <w:t>(157.977)</w:t>
            </w:r>
          </w:p>
        </w:tc>
        <w:tc>
          <w:tcPr>
            <w:tcW w:w="146" w:type="dxa"/>
            <w:tcBorders>
              <w:top w:val="nil"/>
              <w:left w:val="nil"/>
              <w:bottom w:val="nil"/>
              <w:right w:val="nil"/>
            </w:tcBorders>
            <w:shd w:val="clear" w:color="auto" w:fill="auto"/>
            <w:noWrap/>
            <w:vAlign w:val="bottom"/>
            <w:hideMark/>
          </w:tcPr>
          <w:p w14:paraId="79954105" w14:textId="77777777" w:rsidR="00051507" w:rsidRPr="00AD03D1" w:rsidRDefault="00051507" w:rsidP="00DF5625">
            <w:pPr>
              <w:jc w:val="right"/>
              <w:outlineLvl w:val="0"/>
              <w:rPr>
                <w:sz w:val="18"/>
                <w:szCs w:val="18"/>
              </w:rPr>
            </w:pPr>
          </w:p>
        </w:tc>
        <w:tc>
          <w:tcPr>
            <w:tcW w:w="1240" w:type="dxa"/>
            <w:tcBorders>
              <w:top w:val="nil"/>
              <w:left w:val="nil"/>
              <w:bottom w:val="single" w:sz="4" w:space="0" w:color="auto"/>
              <w:right w:val="nil"/>
            </w:tcBorders>
            <w:shd w:val="clear" w:color="auto" w:fill="auto"/>
            <w:noWrap/>
            <w:vAlign w:val="center"/>
            <w:hideMark/>
          </w:tcPr>
          <w:p w14:paraId="6DEC4497" w14:textId="77777777" w:rsidR="00051507" w:rsidRPr="00AD03D1" w:rsidRDefault="00051507" w:rsidP="00DF5625">
            <w:pPr>
              <w:jc w:val="right"/>
              <w:outlineLvl w:val="0"/>
              <w:rPr>
                <w:sz w:val="18"/>
                <w:szCs w:val="18"/>
              </w:rPr>
            </w:pPr>
            <w:r w:rsidRPr="00AD03D1">
              <w:rPr>
                <w:sz w:val="18"/>
                <w:szCs w:val="18"/>
              </w:rPr>
              <w:t>157.784</w:t>
            </w:r>
          </w:p>
        </w:tc>
        <w:tc>
          <w:tcPr>
            <w:tcW w:w="146" w:type="dxa"/>
            <w:tcBorders>
              <w:top w:val="nil"/>
              <w:left w:val="nil"/>
              <w:bottom w:val="nil"/>
              <w:right w:val="nil"/>
            </w:tcBorders>
            <w:shd w:val="clear" w:color="auto" w:fill="auto"/>
            <w:noWrap/>
            <w:vAlign w:val="center"/>
            <w:hideMark/>
          </w:tcPr>
          <w:p w14:paraId="1C1044BA" w14:textId="77777777" w:rsidR="00051507" w:rsidRPr="00AD03D1" w:rsidRDefault="00051507" w:rsidP="00DF5625">
            <w:pPr>
              <w:jc w:val="right"/>
              <w:outlineLvl w:val="0"/>
              <w:rPr>
                <w:sz w:val="18"/>
                <w:szCs w:val="18"/>
              </w:rPr>
            </w:pPr>
          </w:p>
        </w:tc>
        <w:tc>
          <w:tcPr>
            <w:tcW w:w="1020" w:type="dxa"/>
            <w:tcBorders>
              <w:top w:val="nil"/>
              <w:left w:val="nil"/>
              <w:bottom w:val="nil"/>
              <w:right w:val="nil"/>
            </w:tcBorders>
            <w:shd w:val="clear" w:color="auto" w:fill="auto"/>
            <w:noWrap/>
            <w:vAlign w:val="center"/>
            <w:hideMark/>
          </w:tcPr>
          <w:p w14:paraId="37294E64" w14:textId="77777777" w:rsidR="00051507" w:rsidRPr="00AD03D1" w:rsidRDefault="00051507" w:rsidP="00DF5625">
            <w:pPr>
              <w:jc w:val="right"/>
              <w:outlineLvl w:val="0"/>
              <w:rPr>
                <w:sz w:val="18"/>
                <w:szCs w:val="18"/>
              </w:rPr>
            </w:pPr>
            <w:r w:rsidRPr="00AD03D1">
              <w:rPr>
                <w:sz w:val="18"/>
                <w:szCs w:val="18"/>
              </w:rPr>
              <w:t>(100%)</w:t>
            </w:r>
          </w:p>
        </w:tc>
      </w:tr>
      <w:tr w:rsidR="00051507" w:rsidRPr="00AD03D1" w14:paraId="6FC9E55C" w14:textId="77777777" w:rsidTr="00DF5625">
        <w:trPr>
          <w:trHeight w:val="240"/>
          <w:jc w:val="center"/>
        </w:trPr>
        <w:tc>
          <w:tcPr>
            <w:tcW w:w="4860" w:type="dxa"/>
            <w:gridSpan w:val="2"/>
            <w:tcBorders>
              <w:top w:val="nil"/>
              <w:left w:val="nil"/>
              <w:bottom w:val="nil"/>
              <w:right w:val="nil"/>
            </w:tcBorders>
            <w:shd w:val="clear" w:color="auto" w:fill="auto"/>
            <w:noWrap/>
            <w:vAlign w:val="center"/>
            <w:hideMark/>
          </w:tcPr>
          <w:p w14:paraId="1399BA95" w14:textId="77777777" w:rsidR="00051507" w:rsidRPr="00AD03D1" w:rsidRDefault="00051507" w:rsidP="00DF5625">
            <w:pPr>
              <w:rPr>
                <w:b/>
                <w:bCs/>
                <w:sz w:val="18"/>
                <w:szCs w:val="18"/>
              </w:rPr>
            </w:pPr>
            <w:r w:rsidRPr="00AD03D1">
              <w:rPr>
                <w:b/>
                <w:bCs/>
                <w:sz w:val="18"/>
                <w:szCs w:val="18"/>
              </w:rPr>
              <w:t>Otros resultados integrales del ejercicio</w:t>
            </w:r>
          </w:p>
        </w:tc>
        <w:tc>
          <w:tcPr>
            <w:tcW w:w="1496" w:type="dxa"/>
            <w:tcBorders>
              <w:top w:val="nil"/>
              <w:left w:val="nil"/>
              <w:bottom w:val="single" w:sz="4" w:space="0" w:color="auto"/>
              <w:right w:val="nil"/>
            </w:tcBorders>
            <w:shd w:val="clear" w:color="auto" w:fill="auto"/>
            <w:noWrap/>
            <w:vAlign w:val="bottom"/>
            <w:hideMark/>
          </w:tcPr>
          <w:p w14:paraId="0B97B2B6" w14:textId="77777777" w:rsidR="00051507" w:rsidRPr="00AD03D1" w:rsidRDefault="00051507" w:rsidP="00DF5625">
            <w:pPr>
              <w:jc w:val="right"/>
              <w:rPr>
                <w:b/>
                <w:bCs/>
                <w:sz w:val="18"/>
                <w:szCs w:val="18"/>
              </w:rPr>
            </w:pPr>
            <w:r w:rsidRPr="00AD03D1">
              <w:rPr>
                <w:b/>
                <w:bCs/>
                <w:sz w:val="18"/>
                <w:szCs w:val="18"/>
              </w:rPr>
              <w:t>362.912</w:t>
            </w:r>
          </w:p>
        </w:tc>
        <w:tc>
          <w:tcPr>
            <w:tcW w:w="146" w:type="dxa"/>
            <w:tcBorders>
              <w:top w:val="nil"/>
              <w:left w:val="nil"/>
              <w:bottom w:val="nil"/>
              <w:right w:val="nil"/>
            </w:tcBorders>
            <w:shd w:val="clear" w:color="auto" w:fill="auto"/>
            <w:noWrap/>
            <w:vAlign w:val="bottom"/>
            <w:hideMark/>
          </w:tcPr>
          <w:p w14:paraId="55AF95A8" w14:textId="77777777" w:rsidR="00051507" w:rsidRPr="00AD03D1" w:rsidRDefault="00051507" w:rsidP="00DF5625">
            <w:pPr>
              <w:jc w:val="right"/>
              <w:rPr>
                <w:b/>
                <w:bCs/>
                <w:sz w:val="18"/>
                <w:szCs w:val="18"/>
              </w:rPr>
            </w:pPr>
          </w:p>
        </w:tc>
        <w:tc>
          <w:tcPr>
            <w:tcW w:w="1436" w:type="dxa"/>
            <w:tcBorders>
              <w:top w:val="nil"/>
              <w:left w:val="nil"/>
              <w:bottom w:val="single" w:sz="4" w:space="0" w:color="auto"/>
              <w:right w:val="nil"/>
            </w:tcBorders>
            <w:shd w:val="clear" w:color="auto" w:fill="auto"/>
            <w:noWrap/>
            <w:vAlign w:val="bottom"/>
            <w:hideMark/>
          </w:tcPr>
          <w:p w14:paraId="4C0D27F2" w14:textId="77777777" w:rsidR="00051507" w:rsidRPr="00AD03D1" w:rsidRDefault="00051507" w:rsidP="00DF5625">
            <w:pPr>
              <w:jc w:val="right"/>
              <w:rPr>
                <w:b/>
                <w:bCs/>
                <w:sz w:val="18"/>
                <w:szCs w:val="18"/>
              </w:rPr>
            </w:pPr>
            <w:r w:rsidRPr="00AD03D1">
              <w:rPr>
                <w:b/>
                <w:bCs/>
                <w:sz w:val="18"/>
                <w:szCs w:val="18"/>
              </w:rPr>
              <w:t>473.929</w:t>
            </w:r>
          </w:p>
        </w:tc>
        <w:tc>
          <w:tcPr>
            <w:tcW w:w="146" w:type="dxa"/>
            <w:tcBorders>
              <w:top w:val="nil"/>
              <w:left w:val="nil"/>
              <w:bottom w:val="nil"/>
              <w:right w:val="nil"/>
            </w:tcBorders>
            <w:shd w:val="clear" w:color="auto" w:fill="auto"/>
            <w:noWrap/>
            <w:vAlign w:val="bottom"/>
            <w:hideMark/>
          </w:tcPr>
          <w:p w14:paraId="2FC2478E" w14:textId="77777777" w:rsidR="00051507" w:rsidRPr="00AD03D1" w:rsidRDefault="00051507" w:rsidP="00DF5625">
            <w:pPr>
              <w:jc w:val="right"/>
              <w:rPr>
                <w:b/>
                <w:bCs/>
                <w:sz w:val="18"/>
                <w:szCs w:val="18"/>
              </w:rPr>
            </w:pPr>
          </w:p>
        </w:tc>
        <w:tc>
          <w:tcPr>
            <w:tcW w:w="1240" w:type="dxa"/>
            <w:tcBorders>
              <w:top w:val="nil"/>
              <w:left w:val="nil"/>
              <w:bottom w:val="single" w:sz="4" w:space="0" w:color="auto"/>
              <w:right w:val="nil"/>
            </w:tcBorders>
            <w:shd w:val="clear" w:color="auto" w:fill="auto"/>
            <w:noWrap/>
            <w:vAlign w:val="center"/>
            <w:hideMark/>
          </w:tcPr>
          <w:p w14:paraId="4B3FE7DB" w14:textId="77777777" w:rsidR="00051507" w:rsidRPr="00AD03D1" w:rsidRDefault="00051507" w:rsidP="00DF5625">
            <w:pPr>
              <w:jc w:val="right"/>
              <w:rPr>
                <w:b/>
                <w:bCs/>
                <w:sz w:val="18"/>
                <w:szCs w:val="18"/>
              </w:rPr>
            </w:pPr>
            <w:r w:rsidRPr="00AD03D1">
              <w:rPr>
                <w:b/>
                <w:bCs/>
                <w:sz w:val="18"/>
                <w:szCs w:val="18"/>
              </w:rPr>
              <w:t>(111.017)</w:t>
            </w:r>
          </w:p>
        </w:tc>
        <w:tc>
          <w:tcPr>
            <w:tcW w:w="146" w:type="dxa"/>
            <w:tcBorders>
              <w:top w:val="nil"/>
              <w:left w:val="nil"/>
              <w:bottom w:val="nil"/>
              <w:right w:val="nil"/>
            </w:tcBorders>
            <w:shd w:val="clear" w:color="auto" w:fill="auto"/>
            <w:noWrap/>
            <w:vAlign w:val="bottom"/>
            <w:hideMark/>
          </w:tcPr>
          <w:p w14:paraId="6DAE8B28" w14:textId="77777777" w:rsidR="00051507" w:rsidRPr="00AD03D1" w:rsidRDefault="00051507" w:rsidP="00DF5625">
            <w:pPr>
              <w:jc w:val="right"/>
              <w:rPr>
                <w:b/>
                <w:bCs/>
                <w:sz w:val="18"/>
                <w:szCs w:val="18"/>
              </w:rPr>
            </w:pPr>
          </w:p>
        </w:tc>
        <w:tc>
          <w:tcPr>
            <w:tcW w:w="1020" w:type="dxa"/>
            <w:tcBorders>
              <w:top w:val="single" w:sz="4" w:space="0" w:color="auto"/>
              <w:left w:val="nil"/>
              <w:bottom w:val="single" w:sz="4" w:space="0" w:color="auto"/>
              <w:right w:val="nil"/>
            </w:tcBorders>
            <w:shd w:val="clear" w:color="auto" w:fill="auto"/>
            <w:noWrap/>
            <w:vAlign w:val="center"/>
            <w:hideMark/>
          </w:tcPr>
          <w:p w14:paraId="5C1D6C20" w14:textId="77777777" w:rsidR="00051507" w:rsidRPr="00AD03D1" w:rsidRDefault="00051507" w:rsidP="00DF5625">
            <w:pPr>
              <w:jc w:val="right"/>
              <w:rPr>
                <w:b/>
                <w:bCs/>
                <w:sz w:val="18"/>
                <w:szCs w:val="18"/>
              </w:rPr>
            </w:pPr>
            <w:r w:rsidRPr="00AD03D1">
              <w:rPr>
                <w:b/>
                <w:bCs/>
                <w:sz w:val="18"/>
                <w:szCs w:val="18"/>
              </w:rPr>
              <w:t>(23%)</w:t>
            </w:r>
          </w:p>
        </w:tc>
      </w:tr>
      <w:tr w:rsidR="00051507" w:rsidRPr="00AD03D1" w14:paraId="48B1F66C" w14:textId="77777777" w:rsidTr="00DF5625">
        <w:trPr>
          <w:trHeight w:val="250"/>
          <w:jc w:val="center"/>
        </w:trPr>
        <w:tc>
          <w:tcPr>
            <w:tcW w:w="4860" w:type="dxa"/>
            <w:gridSpan w:val="2"/>
            <w:tcBorders>
              <w:top w:val="nil"/>
              <w:left w:val="nil"/>
              <w:bottom w:val="nil"/>
              <w:right w:val="nil"/>
            </w:tcBorders>
            <w:shd w:val="clear" w:color="auto" w:fill="auto"/>
            <w:noWrap/>
            <w:vAlign w:val="center"/>
            <w:hideMark/>
          </w:tcPr>
          <w:p w14:paraId="2F70DD2E" w14:textId="77777777" w:rsidR="00051507" w:rsidRPr="00AD03D1" w:rsidRDefault="00051507" w:rsidP="00DF5625">
            <w:pPr>
              <w:rPr>
                <w:b/>
                <w:bCs/>
                <w:sz w:val="18"/>
                <w:szCs w:val="18"/>
              </w:rPr>
            </w:pPr>
            <w:proofErr w:type="gramStart"/>
            <w:r w:rsidRPr="00AD03D1">
              <w:rPr>
                <w:b/>
                <w:bCs/>
                <w:sz w:val="18"/>
                <w:szCs w:val="18"/>
              </w:rPr>
              <w:t>Total</w:t>
            </w:r>
            <w:proofErr w:type="gramEnd"/>
            <w:r w:rsidRPr="00AD03D1">
              <w:rPr>
                <w:b/>
                <w:bCs/>
                <w:sz w:val="18"/>
                <w:szCs w:val="18"/>
              </w:rPr>
              <w:t xml:space="preserve"> de resultados integrales del ejercicio</w:t>
            </w:r>
          </w:p>
        </w:tc>
        <w:tc>
          <w:tcPr>
            <w:tcW w:w="1496" w:type="dxa"/>
            <w:tcBorders>
              <w:top w:val="nil"/>
              <w:left w:val="nil"/>
              <w:bottom w:val="double" w:sz="6" w:space="0" w:color="auto"/>
              <w:right w:val="nil"/>
            </w:tcBorders>
            <w:shd w:val="clear" w:color="000000" w:fill="FFFFFF"/>
            <w:noWrap/>
            <w:vAlign w:val="bottom"/>
            <w:hideMark/>
          </w:tcPr>
          <w:p w14:paraId="17E1F0C6" w14:textId="77777777" w:rsidR="00051507" w:rsidRPr="00AD03D1" w:rsidRDefault="00051507" w:rsidP="00DF5625">
            <w:pPr>
              <w:jc w:val="right"/>
              <w:rPr>
                <w:b/>
                <w:bCs/>
                <w:sz w:val="18"/>
                <w:szCs w:val="18"/>
              </w:rPr>
            </w:pPr>
            <w:r w:rsidRPr="00AD03D1">
              <w:rPr>
                <w:b/>
                <w:bCs/>
                <w:sz w:val="18"/>
                <w:szCs w:val="18"/>
              </w:rPr>
              <w:t>2.198.128</w:t>
            </w:r>
          </w:p>
        </w:tc>
        <w:tc>
          <w:tcPr>
            <w:tcW w:w="146" w:type="dxa"/>
            <w:tcBorders>
              <w:top w:val="nil"/>
              <w:left w:val="nil"/>
              <w:bottom w:val="nil"/>
              <w:right w:val="nil"/>
            </w:tcBorders>
            <w:shd w:val="clear" w:color="auto" w:fill="auto"/>
            <w:noWrap/>
            <w:vAlign w:val="bottom"/>
            <w:hideMark/>
          </w:tcPr>
          <w:p w14:paraId="51DEA535" w14:textId="77777777" w:rsidR="00051507" w:rsidRPr="00AD03D1" w:rsidRDefault="00051507" w:rsidP="00DF5625">
            <w:pPr>
              <w:jc w:val="right"/>
              <w:rPr>
                <w:b/>
                <w:bCs/>
                <w:sz w:val="18"/>
                <w:szCs w:val="18"/>
              </w:rPr>
            </w:pPr>
          </w:p>
        </w:tc>
        <w:tc>
          <w:tcPr>
            <w:tcW w:w="1436" w:type="dxa"/>
            <w:tcBorders>
              <w:top w:val="nil"/>
              <w:left w:val="nil"/>
              <w:bottom w:val="double" w:sz="6" w:space="0" w:color="auto"/>
              <w:right w:val="nil"/>
            </w:tcBorders>
            <w:shd w:val="clear" w:color="000000" w:fill="FFFFFF"/>
            <w:noWrap/>
            <w:vAlign w:val="bottom"/>
            <w:hideMark/>
          </w:tcPr>
          <w:p w14:paraId="6574D4D1" w14:textId="77777777" w:rsidR="00051507" w:rsidRPr="00AD03D1" w:rsidRDefault="00051507" w:rsidP="00DF5625">
            <w:pPr>
              <w:jc w:val="right"/>
              <w:rPr>
                <w:b/>
                <w:bCs/>
                <w:sz w:val="18"/>
                <w:szCs w:val="18"/>
              </w:rPr>
            </w:pPr>
            <w:r w:rsidRPr="00AD03D1">
              <w:rPr>
                <w:b/>
                <w:bCs/>
                <w:sz w:val="18"/>
                <w:szCs w:val="18"/>
              </w:rPr>
              <w:t>1.002.454</w:t>
            </w:r>
          </w:p>
        </w:tc>
        <w:tc>
          <w:tcPr>
            <w:tcW w:w="146" w:type="dxa"/>
            <w:tcBorders>
              <w:top w:val="nil"/>
              <w:left w:val="nil"/>
              <w:bottom w:val="nil"/>
              <w:right w:val="nil"/>
            </w:tcBorders>
            <w:shd w:val="clear" w:color="auto" w:fill="auto"/>
            <w:noWrap/>
            <w:vAlign w:val="bottom"/>
            <w:hideMark/>
          </w:tcPr>
          <w:p w14:paraId="4E154BB6" w14:textId="77777777" w:rsidR="00051507" w:rsidRPr="00AD03D1" w:rsidRDefault="00051507" w:rsidP="00DF5625">
            <w:pPr>
              <w:jc w:val="right"/>
              <w:rPr>
                <w:b/>
                <w:bCs/>
                <w:sz w:val="18"/>
                <w:szCs w:val="18"/>
              </w:rPr>
            </w:pPr>
          </w:p>
        </w:tc>
        <w:tc>
          <w:tcPr>
            <w:tcW w:w="1240" w:type="dxa"/>
            <w:tcBorders>
              <w:top w:val="nil"/>
              <w:left w:val="nil"/>
              <w:bottom w:val="double" w:sz="6" w:space="0" w:color="auto"/>
              <w:right w:val="nil"/>
            </w:tcBorders>
            <w:shd w:val="clear" w:color="auto" w:fill="auto"/>
            <w:noWrap/>
            <w:vAlign w:val="bottom"/>
            <w:hideMark/>
          </w:tcPr>
          <w:p w14:paraId="220673A3" w14:textId="77777777" w:rsidR="00051507" w:rsidRPr="00AD03D1" w:rsidRDefault="00051507" w:rsidP="00DF5625">
            <w:pPr>
              <w:jc w:val="right"/>
              <w:rPr>
                <w:b/>
                <w:bCs/>
                <w:sz w:val="18"/>
                <w:szCs w:val="18"/>
              </w:rPr>
            </w:pPr>
            <w:r w:rsidRPr="00AD03D1">
              <w:rPr>
                <w:b/>
                <w:bCs/>
                <w:sz w:val="18"/>
                <w:szCs w:val="18"/>
              </w:rPr>
              <w:t>1.195.674</w:t>
            </w:r>
          </w:p>
        </w:tc>
        <w:tc>
          <w:tcPr>
            <w:tcW w:w="146" w:type="dxa"/>
            <w:tcBorders>
              <w:top w:val="nil"/>
              <w:left w:val="nil"/>
              <w:bottom w:val="nil"/>
              <w:right w:val="nil"/>
            </w:tcBorders>
            <w:shd w:val="clear" w:color="auto" w:fill="auto"/>
            <w:noWrap/>
            <w:vAlign w:val="bottom"/>
            <w:hideMark/>
          </w:tcPr>
          <w:p w14:paraId="6C8F0AFB" w14:textId="77777777" w:rsidR="00051507" w:rsidRPr="00AD03D1" w:rsidRDefault="00051507" w:rsidP="00DF5625">
            <w:pPr>
              <w:jc w:val="right"/>
              <w:rPr>
                <w:b/>
                <w:bCs/>
                <w:sz w:val="18"/>
                <w:szCs w:val="18"/>
              </w:rPr>
            </w:pPr>
          </w:p>
        </w:tc>
        <w:tc>
          <w:tcPr>
            <w:tcW w:w="1020" w:type="dxa"/>
            <w:tcBorders>
              <w:top w:val="nil"/>
              <w:left w:val="nil"/>
              <w:bottom w:val="double" w:sz="6" w:space="0" w:color="auto"/>
              <w:right w:val="nil"/>
            </w:tcBorders>
            <w:shd w:val="clear" w:color="auto" w:fill="auto"/>
            <w:noWrap/>
            <w:vAlign w:val="center"/>
            <w:hideMark/>
          </w:tcPr>
          <w:p w14:paraId="46A5260F" w14:textId="77777777" w:rsidR="00051507" w:rsidRPr="00AD03D1" w:rsidRDefault="00051507" w:rsidP="00DF5625">
            <w:pPr>
              <w:jc w:val="right"/>
              <w:rPr>
                <w:b/>
                <w:bCs/>
                <w:sz w:val="18"/>
                <w:szCs w:val="18"/>
              </w:rPr>
            </w:pPr>
            <w:r w:rsidRPr="00AD03D1">
              <w:rPr>
                <w:b/>
                <w:bCs/>
                <w:sz w:val="18"/>
                <w:szCs w:val="18"/>
              </w:rPr>
              <w:t>119%</w:t>
            </w:r>
          </w:p>
        </w:tc>
      </w:tr>
      <w:tr w:rsidR="00051507" w:rsidRPr="00AD03D1" w14:paraId="1076D42B" w14:textId="77777777" w:rsidTr="00DF5625">
        <w:trPr>
          <w:trHeight w:val="120"/>
          <w:jc w:val="center"/>
        </w:trPr>
        <w:tc>
          <w:tcPr>
            <w:tcW w:w="900" w:type="dxa"/>
            <w:tcBorders>
              <w:top w:val="nil"/>
              <w:left w:val="nil"/>
              <w:bottom w:val="nil"/>
              <w:right w:val="nil"/>
            </w:tcBorders>
            <w:shd w:val="clear" w:color="auto" w:fill="auto"/>
            <w:noWrap/>
            <w:vAlign w:val="bottom"/>
            <w:hideMark/>
          </w:tcPr>
          <w:p w14:paraId="6E47796E" w14:textId="77777777" w:rsidR="00051507" w:rsidRPr="00AD03D1" w:rsidRDefault="00051507" w:rsidP="00DF5625">
            <w:pPr>
              <w:jc w:val="both"/>
              <w:rPr>
                <w:b/>
                <w:bCs/>
                <w:sz w:val="18"/>
                <w:szCs w:val="18"/>
              </w:rPr>
            </w:pPr>
          </w:p>
        </w:tc>
        <w:tc>
          <w:tcPr>
            <w:tcW w:w="3960" w:type="dxa"/>
            <w:tcBorders>
              <w:top w:val="nil"/>
              <w:left w:val="nil"/>
              <w:bottom w:val="nil"/>
              <w:right w:val="nil"/>
            </w:tcBorders>
            <w:shd w:val="clear" w:color="auto" w:fill="auto"/>
            <w:noWrap/>
            <w:vAlign w:val="bottom"/>
            <w:hideMark/>
          </w:tcPr>
          <w:p w14:paraId="470A55E4" w14:textId="77777777" w:rsidR="00051507" w:rsidRPr="00AD03D1" w:rsidRDefault="00051507" w:rsidP="00DF5625">
            <w:pPr>
              <w:jc w:val="both"/>
            </w:pPr>
          </w:p>
        </w:tc>
        <w:tc>
          <w:tcPr>
            <w:tcW w:w="1496" w:type="dxa"/>
            <w:tcBorders>
              <w:top w:val="nil"/>
              <w:left w:val="nil"/>
              <w:bottom w:val="nil"/>
              <w:right w:val="nil"/>
            </w:tcBorders>
            <w:shd w:val="clear" w:color="000000" w:fill="FFFFFF"/>
            <w:noWrap/>
            <w:vAlign w:val="bottom"/>
            <w:hideMark/>
          </w:tcPr>
          <w:p w14:paraId="728DD914" w14:textId="77777777" w:rsidR="00051507" w:rsidRPr="00AD03D1" w:rsidRDefault="00051507" w:rsidP="00DF5625">
            <w:pPr>
              <w:jc w:val="both"/>
              <w:rPr>
                <w:rFonts w:cs="Calibri"/>
                <w:sz w:val="18"/>
                <w:szCs w:val="18"/>
              </w:rPr>
            </w:pPr>
            <w:r w:rsidRPr="00AD03D1">
              <w:rPr>
                <w:rFonts w:cs="Calibri"/>
                <w:sz w:val="18"/>
                <w:szCs w:val="18"/>
              </w:rPr>
              <w:t> </w:t>
            </w:r>
          </w:p>
        </w:tc>
        <w:tc>
          <w:tcPr>
            <w:tcW w:w="146" w:type="dxa"/>
            <w:tcBorders>
              <w:top w:val="nil"/>
              <w:left w:val="nil"/>
              <w:bottom w:val="nil"/>
              <w:right w:val="nil"/>
            </w:tcBorders>
            <w:shd w:val="clear" w:color="auto" w:fill="auto"/>
            <w:noWrap/>
            <w:vAlign w:val="bottom"/>
            <w:hideMark/>
          </w:tcPr>
          <w:p w14:paraId="46CDB885" w14:textId="77777777" w:rsidR="00051507" w:rsidRPr="00AD03D1" w:rsidRDefault="00051507" w:rsidP="00DF5625">
            <w:pPr>
              <w:jc w:val="both"/>
              <w:rPr>
                <w:rFonts w:cs="Calibri"/>
                <w:sz w:val="18"/>
                <w:szCs w:val="18"/>
              </w:rPr>
            </w:pPr>
          </w:p>
        </w:tc>
        <w:tc>
          <w:tcPr>
            <w:tcW w:w="1436" w:type="dxa"/>
            <w:tcBorders>
              <w:top w:val="nil"/>
              <w:left w:val="nil"/>
              <w:bottom w:val="nil"/>
              <w:right w:val="nil"/>
            </w:tcBorders>
            <w:shd w:val="clear" w:color="000000" w:fill="FFFFFF"/>
            <w:noWrap/>
            <w:vAlign w:val="bottom"/>
            <w:hideMark/>
          </w:tcPr>
          <w:p w14:paraId="5D2CA1A7" w14:textId="77777777" w:rsidR="00051507" w:rsidRPr="00AD03D1" w:rsidRDefault="00051507" w:rsidP="00DF5625">
            <w:pPr>
              <w:jc w:val="both"/>
              <w:rPr>
                <w:rFonts w:cs="Calibri"/>
                <w:sz w:val="18"/>
                <w:szCs w:val="18"/>
              </w:rPr>
            </w:pPr>
            <w:r w:rsidRPr="00AD03D1">
              <w:rPr>
                <w:rFonts w:cs="Calibri"/>
                <w:sz w:val="18"/>
                <w:szCs w:val="18"/>
              </w:rPr>
              <w:t> </w:t>
            </w:r>
          </w:p>
        </w:tc>
        <w:tc>
          <w:tcPr>
            <w:tcW w:w="146" w:type="dxa"/>
            <w:tcBorders>
              <w:top w:val="nil"/>
              <w:left w:val="nil"/>
              <w:bottom w:val="nil"/>
              <w:right w:val="nil"/>
            </w:tcBorders>
            <w:shd w:val="clear" w:color="auto" w:fill="auto"/>
            <w:noWrap/>
            <w:vAlign w:val="bottom"/>
            <w:hideMark/>
          </w:tcPr>
          <w:p w14:paraId="14426D9F" w14:textId="77777777" w:rsidR="00051507" w:rsidRPr="00AD03D1" w:rsidRDefault="00051507" w:rsidP="00DF5625">
            <w:pPr>
              <w:jc w:val="both"/>
              <w:rPr>
                <w:rFonts w:cs="Calibri"/>
                <w:sz w:val="18"/>
                <w:szCs w:val="18"/>
              </w:rPr>
            </w:pPr>
          </w:p>
        </w:tc>
        <w:tc>
          <w:tcPr>
            <w:tcW w:w="1240" w:type="dxa"/>
            <w:tcBorders>
              <w:top w:val="nil"/>
              <w:left w:val="nil"/>
              <w:bottom w:val="nil"/>
              <w:right w:val="nil"/>
            </w:tcBorders>
            <w:shd w:val="clear" w:color="auto" w:fill="auto"/>
            <w:noWrap/>
            <w:vAlign w:val="bottom"/>
            <w:hideMark/>
          </w:tcPr>
          <w:p w14:paraId="53741A18" w14:textId="77777777" w:rsidR="00051507" w:rsidRPr="00AD03D1" w:rsidRDefault="00051507" w:rsidP="00DF5625">
            <w:pPr>
              <w:jc w:val="both"/>
            </w:pPr>
          </w:p>
        </w:tc>
        <w:tc>
          <w:tcPr>
            <w:tcW w:w="146" w:type="dxa"/>
            <w:tcBorders>
              <w:top w:val="nil"/>
              <w:left w:val="nil"/>
              <w:bottom w:val="nil"/>
              <w:right w:val="nil"/>
            </w:tcBorders>
            <w:shd w:val="clear" w:color="auto" w:fill="auto"/>
            <w:noWrap/>
            <w:vAlign w:val="bottom"/>
            <w:hideMark/>
          </w:tcPr>
          <w:p w14:paraId="2819E070" w14:textId="77777777" w:rsidR="00051507" w:rsidRPr="00AD03D1" w:rsidRDefault="00051507" w:rsidP="00DF5625">
            <w:pPr>
              <w:jc w:val="both"/>
            </w:pPr>
          </w:p>
        </w:tc>
        <w:tc>
          <w:tcPr>
            <w:tcW w:w="1020" w:type="dxa"/>
            <w:tcBorders>
              <w:top w:val="nil"/>
              <w:left w:val="nil"/>
              <w:bottom w:val="nil"/>
              <w:right w:val="nil"/>
            </w:tcBorders>
            <w:shd w:val="clear" w:color="auto" w:fill="auto"/>
            <w:noWrap/>
            <w:vAlign w:val="bottom"/>
            <w:hideMark/>
          </w:tcPr>
          <w:p w14:paraId="03C3FABD" w14:textId="77777777" w:rsidR="00051507" w:rsidRPr="00AD03D1" w:rsidRDefault="00051507" w:rsidP="00DF5625">
            <w:pPr>
              <w:jc w:val="both"/>
            </w:pPr>
          </w:p>
        </w:tc>
      </w:tr>
    </w:tbl>
    <w:p w14:paraId="39B62F3E" w14:textId="77777777" w:rsidR="00051507" w:rsidRPr="001F3A15" w:rsidRDefault="00051507" w:rsidP="00051507">
      <w:pPr>
        <w:widowControl w:val="0"/>
        <w:autoSpaceDE w:val="0"/>
        <w:autoSpaceDN w:val="0"/>
        <w:adjustRightInd w:val="0"/>
        <w:spacing w:before="40"/>
        <w:jc w:val="both"/>
        <w:rPr>
          <w:u w:val="single"/>
        </w:rPr>
      </w:pPr>
      <w:r w:rsidRPr="001F3A15">
        <w:rPr>
          <w:spacing w:val="-2"/>
          <w:w w:val="99"/>
          <w:u w:val="single"/>
        </w:rPr>
        <w:t>Ve</w:t>
      </w:r>
      <w:r w:rsidRPr="001F3A15">
        <w:rPr>
          <w:spacing w:val="-3"/>
          <w:w w:val="110"/>
          <w:u w:val="single"/>
        </w:rPr>
        <w:t>n</w:t>
      </w:r>
      <w:r w:rsidRPr="001F3A15">
        <w:rPr>
          <w:spacing w:val="-1"/>
          <w:w w:val="119"/>
          <w:u w:val="single"/>
        </w:rPr>
        <w:t>t</w:t>
      </w:r>
      <w:r w:rsidRPr="001F3A15">
        <w:rPr>
          <w:spacing w:val="-1"/>
          <w:w w:val="112"/>
          <w:u w:val="single"/>
        </w:rPr>
        <w:t>a</w:t>
      </w:r>
      <w:r w:rsidRPr="001F3A15">
        <w:rPr>
          <w:w w:val="99"/>
          <w:u w:val="single"/>
        </w:rPr>
        <w:t>s:</w:t>
      </w:r>
    </w:p>
    <w:p w14:paraId="1D3F2B27" w14:textId="77777777" w:rsidR="00051507" w:rsidRPr="00043E47" w:rsidRDefault="00051507" w:rsidP="00051507">
      <w:pPr>
        <w:spacing w:line="280" w:lineRule="exact"/>
        <w:jc w:val="both"/>
        <w:rPr>
          <w:color w:val="000000" w:themeColor="text1"/>
          <w:lang w:val="es-ES"/>
        </w:rPr>
      </w:pPr>
      <w:r w:rsidRPr="00043E47">
        <w:rPr>
          <w:color w:val="000000" w:themeColor="text1"/>
          <w:lang w:val="es-ES"/>
        </w:rPr>
        <w:t>Las ventas netas ascendieron a $4.048.069 miles para el ejercicio finalizado el 31 de diciembre de 2021, comparado con los $3.251.998 miles del ejercicio 2020, lo que equivale a un aumento de $806.071 miles o 25%.</w:t>
      </w:r>
    </w:p>
    <w:p w14:paraId="1B67318A" w14:textId="77777777" w:rsidR="00051507" w:rsidRPr="00043E47" w:rsidRDefault="00051507" w:rsidP="00051507">
      <w:pPr>
        <w:spacing w:line="280" w:lineRule="exact"/>
        <w:jc w:val="both"/>
        <w:rPr>
          <w:color w:val="000000" w:themeColor="text1"/>
          <w:lang w:val="es-ES"/>
        </w:rPr>
      </w:pPr>
      <w:r w:rsidRPr="00043E47">
        <w:rPr>
          <w:color w:val="000000" w:themeColor="text1"/>
          <w:lang w:val="es-ES"/>
        </w:rPr>
        <w:t xml:space="preserve">En el ejercicio finalizado el 31 de diciembre de 2021, el despacho de energía fue de 1.150.910 </w:t>
      </w:r>
      <w:proofErr w:type="spellStart"/>
      <w:r w:rsidRPr="00043E47">
        <w:rPr>
          <w:color w:val="000000" w:themeColor="text1"/>
          <w:lang w:val="es-ES"/>
        </w:rPr>
        <w:t>MWh</w:t>
      </w:r>
      <w:proofErr w:type="spellEnd"/>
      <w:r w:rsidRPr="00043E47">
        <w:rPr>
          <w:color w:val="000000" w:themeColor="text1"/>
          <w:lang w:val="es-ES"/>
        </w:rPr>
        <w:t xml:space="preserve">, lo que representa un aumento de 4.191 </w:t>
      </w:r>
      <w:proofErr w:type="spellStart"/>
      <w:r w:rsidRPr="00043E47">
        <w:rPr>
          <w:color w:val="000000" w:themeColor="text1"/>
          <w:lang w:val="es-ES"/>
        </w:rPr>
        <w:t>MWh</w:t>
      </w:r>
      <w:proofErr w:type="spellEnd"/>
      <w:r w:rsidRPr="00043E47">
        <w:rPr>
          <w:color w:val="000000" w:themeColor="text1"/>
          <w:lang w:val="es-ES"/>
        </w:rPr>
        <w:t xml:space="preserve"> comparado con los 1.146.719 </w:t>
      </w:r>
      <w:proofErr w:type="spellStart"/>
      <w:r w:rsidRPr="00043E47">
        <w:rPr>
          <w:color w:val="000000" w:themeColor="text1"/>
          <w:lang w:val="es-ES"/>
        </w:rPr>
        <w:t>MWh</w:t>
      </w:r>
      <w:proofErr w:type="spellEnd"/>
      <w:r w:rsidRPr="00043E47">
        <w:rPr>
          <w:color w:val="000000" w:themeColor="text1"/>
          <w:lang w:val="es-ES"/>
        </w:rPr>
        <w:t xml:space="preserve"> del ejercicio 2020.</w:t>
      </w:r>
    </w:p>
    <w:p w14:paraId="60E441B7" w14:textId="77777777" w:rsidR="00051507" w:rsidRPr="00043E47" w:rsidRDefault="00051507" w:rsidP="00051507">
      <w:pPr>
        <w:spacing w:line="280" w:lineRule="exact"/>
        <w:jc w:val="both"/>
        <w:rPr>
          <w:color w:val="000000" w:themeColor="text1"/>
          <w:lang w:val="es-ES"/>
        </w:rPr>
      </w:pPr>
      <w:r w:rsidRPr="00043E47">
        <w:rPr>
          <w:color w:val="000000" w:themeColor="text1"/>
          <w:lang w:val="es-ES"/>
        </w:rPr>
        <w:t>A continuación, se describen los principales ingresos de la Sociedad, así como su comportamiento durante el ejercicio finalizado el 31 de diciembre de 2021 en comparación con el ejercicio 2020:</w:t>
      </w:r>
    </w:p>
    <w:p w14:paraId="2FB9E75E" w14:textId="77777777" w:rsidR="00051507" w:rsidRPr="00043E47" w:rsidRDefault="00051507" w:rsidP="00051507">
      <w:pPr>
        <w:pStyle w:val="Prrafodelista"/>
        <w:numPr>
          <w:ilvl w:val="0"/>
          <w:numId w:val="32"/>
        </w:numPr>
        <w:spacing w:line="280" w:lineRule="exact"/>
        <w:contextualSpacing/>
        <w:jc w:val="both"/>
        <w:rPr>
          <w:rFonts w:ascii="Times New Roman" w:hAnsi="Times New Roman"/>
          <w:color w:val="000000" w:themeColor="text1"/>
          <w:lang w:val="es-ES" w:eastAsia="en-US"/>
        </w:rPr>
      </w:pPr>
      <w:r w:rsidRPr="00043E47">
        <w:rPr>
          <w:rFonts w:ascii="Times New Roman" w:hAnsi="Times New Roman"/>
          <w:color w:val="000000" w:themeColor="text1"/>
          <w:lang w:val="es-ES" w:eastAsia="en-US"/>
        </w:rPr>
        <w:t>$4.048.069 miles por ventas de energía y potencia en el mercado a término a CAMMESA en el marco de la Resolución 220/07, lo que representó un aumento del 25% respecto de los $3.251,998 miles del ejercicio 2020. Dicha variación se explica principalmente por el efecto neto entre un aumento en el despacho de energía, un incremento en el tipo de cambio.</w:t>
      </w:r>
    </w:p>
    <w:p w14:paraId="09EDCB7B" w14:textId="77777777" w:rsidR="00051507" w:rsidRPr="002931EE" w:rsidRDefault="00051507" w:rsidP="00051507">
      <w:pPr>
        <w:pStyle w:val="Prrafodelista"/>
        <w:widowControl w:val="0"/>
        <w:autoSpaceDE w:val="0"/>
        <w:autoSpaceDN w:val="0"/>
        <w:adjustRightInd w:val="0"/>
        <w:spacing w:before="9" w:after="0" w:line="180" w:lineRule="exact"/>
        <w:ind w:left="426"/>
        <w:jc w:val="both"/>
        <w:rPr>
          <w:rFonts w:ascii="Times New Roman" w:hAnsi="Times New Roman"/>
          <w:highlight w:val="yellow"/>
        </w:rPr>
      </w:pPr>
    </w:p>
    <w:p w14:paraId="02A3E85B" w14:textId="77777777" w:rsidR="00051507" w:rsidRPr="00A20EE0" w:rsidRDefault="00051507" w:rsidP="00051507">
      <w:pPr>
        <w:widowControl w:val="0"/>
        <w:autoSpaceDE w:val="0"/>
        <w:autoSpaceDN w:val="0"/>
        <w:adjustRightInd w:val="0"/>
        <w:spacing w:before="9" w:line="180" w:lineRule="exact"/>
        <w:jc w:val="both"/>
      </w:pPr>
      <w:r w:rsidRPr="00A20EE0">
        <w:rPr>
          <w:u w:val="single"/>
        </w:rPr>
        <w:t>Costos de ventas:</w:t>
      </w:r>
    </w:p>
    <w:p w14:paraId="6515A726" w14:textId="77777777" w:rsidR="00051507" w:rsidRPr="00043E47" w:rsidRDefault="00051507" w:rsidP="00051507">
      <w:pPr>
        <w:spacing w:line="280" w:lineRule="exact"/>
        <w:jc w:val="both"/>
        <w:rPr>
          <w:color w:val="000000" w:themeColor="text1"/>
          <w:lang w:val="es-ES"/>
        </w:rPr>
      </w:pPr>
      <w:r w:rsidRPr="00043E47">
        <w:rPr>
          <w:color w:val="000000" w:themeColor="text1"/>
          <w:lang w:val="es-ES"/>
        </w:rPr>
        <w:t>Los costos de venta totales para el ejercicio finalizado el 31 de diciembre de 2021 fueron de $1.213.993 miles comparado con $943.961 miles del ejercicio 2020, lo que equivale a un aumento de $270.032 miles o 29%.</w:t>
      </w:r>
    </w:p>
    <w:p w14:paraId="0ABA5093" w14:textId="77777777" w:rsidR="00051507" w:rsidRPr="00043E47" w:rsidRDefault="00051507" w:rsidP="00051507">
      <w:pPr>
        <w:spacing w:line="280" w:lineRule="exact"/>
        <w:jc w:val="both"/>
        <w:rPr>
          <w:color w:val="000000" w:themeColor="text1"/>
          <w:lang w:val="es-ES"/>
        </w:rPr>
      </w:pPr>
      <w:r w:rsidRPr="00043E47">
        <w:rPr>
          <w:color w:val="000000" w:themeColor="text1"/>
          <w:lang w:val="es-ES"/>
        </w:rPr>
        <w:t>A continuación, se describen los principales costos de venta de la Sociedad, así como su comportamiento durante el ejercicio finalizado el 31 de diciembre de 2021 en comparación con el ejercicio 2020:</w:t>
      </w:r>
    </w:p>
    <w:p w14:paraId="28B1D3DF" w14:textId="77777777" w:rsidR="00051507" w:rsidRPr="00043E47" w:rsidRDefault="00051507" w:rsidP="00051507">
      <w:pPr>
        <w:pStyle w:val="Prrafodelista"/>
        <w:numPr>
          <w:ilvl w:val="0"/>
          <w:numId w:val="33"/>
        </w:numPr>
        <w:spacing w:line="280" w:lineRule="exact"/>
        <w:contextualSpacing/>
        <w:jc w:val="both"/>
        <w:rPr>
          <w:rFonts w:ascii="Times New Roman" w:hAnsi="Times New Roman"/>
          <w:color w:val="000000" w:themeColor="text1"/>
          <w:lang w:val="es-ES" w:eastAsia="en-US"/>
        </w:rPr>
      </w:pPr>
      <w:r w:rsidRPr="00043E47">
        <w:rPr>
          <w:rFonts w:ascii="Times New Roman" w:hAnsi="Times New Roman"/>
          <w:color w:val="000000" w:themeColor="text1"/>
          <w:lang w:val="es-ES" w:eastAsia="en-US"/>
        </w:rPr>
        <w:t>$860.995 miles por depreciación de bienes de uso, lo que representó un aumento del 22% respecto de los $704.134 miles del ejercicio 2020. Esta variación se origina, principalmente, por el efecto de la amortización correspondiente al Revalúo Técnico efectuado en junio y diciembre 2020. Este punto no implica una salida de caja.</w:t>
      </w:r>
    </w:p>
    <w:p w14:paraId="4919DBE4" w14:textId="77777777" w:rsidR="00051507" w:rsidRPr="00043E47" w:rsidRDefault="00051507" w:rsidP="00051507">
      <w:pPr>
        <w:pStyle w:val="Prrafodelista"/>
        <w:spacing w:line="280" w:lineRule="exact"/>
        <w:ind w:left="1080"/>
        <w:jc w:val="both"/>
        <w:rPr>
          <w:rFonts w:ascii="Times New Roman" w:hAnsi="Times New Roman"/>
          <w:color w:val="000000" w:themeColor="text1"/>
          <w:lang w:val="es-ES" w:eastAsia="en-US"/>
        </w:rPr>
      </w:pPr>
    </w:p>
    <w:p w14:paraId="0015976B" w14:textId="77777777" w:rsidR="00051507" w:rsidRPr="00043E47" w:rsidRDefault="00051507" w:rsidP="00051507">
      <w:pPr>
        <w:pStyle w:val="Prrafodelista"/>
        <w:numPr>
          <w:ilvl w:val="0"/>
          <w:numId w:val="33"/>
        </w:numPr>
        <w:spacing w:line="280" w:lineRule="exact"/>
        <w:contextualSpacing/>
        <w:jc w:val="both"/>
        <w:rPr>
          <w:rFonts w:ascii="Times New Roman" w:hAnsi="Times New Roman"/>
          <w:color w:val="000000" w:themeColor="text1"/>
          <w:lang w:val="es-ES" w:eastAsia="en-US"/>
        </w:rPr>
      </w:pPr>
      <w:r w:rsidRPr="00043E47">
        <w:rPr>
          <w:rFonts w:ascii="Times New Roman" w:hAnsi="Times New Roman"/>
          <w:color w:val="000000" w:themeColor="text1"/>
          <w:lang w:val="es-ES" w:eastAsia="en-US"/>
        </w:rPr>
        <w:t>$150.462 miles por sueldos, cargas sociales y beneficios al personal, lo que representó un aumento del 25% respecto de los $119.963 miles para el ejercicio 2020. Dicha variación se explica por los incrementos salariales.</w:t>
      </w:r>
    </w:p>
    <w:p w14:paraId="575E9253" w14:textId="77777777" w:rsidR="00051507" w:rsidRPr="00043E47" w:rsidRDefault="00051507" w:rsidP="00051507">
      <w:pPr>
        <w:pStyle w:val="Prrafodelista"/>
        <w:spacing w:line="280" w:lineRule="exact"/>
        <w:ind w:left="1080"/>
        <w:jc w:val="both"/>
        <w:rPr>
          <w:rFonts w:ascii="Times New Roman" w:hAnsi="Times New Roman"/>
          <w:color w:val="000000" w:themeColor="text1"/>
          <w:lang w:val="es-ES" w:eastAsia="en-US"/>
        </w:rPr>
      </w:pPr>
    </w:p>
    <w:p w14:paraId="62206BAB" w14:textId="77777777" w:rsidR="00051507" w:rsidRPr="00E20166" w:rsidRDefault="00051507" w:rsidP="00051507">
      <w:pPr>
        <w:pStyle w:val="Prrafodelista"/>
        <w:numPr>
          <w:ilvl w:val="0"/>
          <w:numId w:val="33"/>
        </w:numPr>
        <w:spacing w:line="280" w:lineRule="exact"/>
        <w:contextualSpacing/>
        <w:jc w:val="both"/>
        <w:rPr>
          <w:rFonts w:ascii="Times New Roman" w:hAnsi="Times New Roman"/>
        </w:rPr>
      </w:pPr>
      <w:bookmarkStart w:id="14" w:name="_Hlk39132661"/>
      <w:r w:rsidRPr="00C21CE0">
        <w:rPr>
          <w:rFonts w:ascii="Times New Roman" w:hAnsi="Times New Roman"/>
          <w:color w:val="000000" w:themeColor="text1"/>
          <w:lang w:val="es-ES" w:eastAsia="en-US"/>
        </w:rPr>
        <w:t xml:space="preserve">$67.439 miles por servicios de mantenimiento, lo que represento una disminución de costos del 67% respecto de los $40.283 miles para el ejercicio 2020. </w:t>
      </w:r>
      <w:bookmarkEnd w:id="14"/>
      <w:r w:rsidRPr="00C21CE0">
        <w:rPr>
          <w:rFonts w:ascii="Times New Roman" w:hAnsi="Times New Roman"/>
          <w:color w:val="000000" w:themeColor="text1"/>
          <w:lang w:val="es-ES" w:eastAsia="en-US"/>
        </w:rPr>
        <w:t>Esto se debe, a que con fecha 15 de noviembre de 2020 se firmó la adenda al contrato de mantenimiento con GE, modificando las condiciones de contrato. Dicho contrato, implica que, durante 2020, se harán inspecciones en las turbinas, cambiando repuestos para prolongar la vida útil de los equipos. </w:t>
      </w:r>
    </w:p>
    <w:p w14:paraId="10CF6DB8" w14:textId="77777777" w:rsidR="00051507" w:rsidRPr="00E20166" w:rsidRDefault="00051507" w:rsidP="00051507">
      <w:pPr>
        <w:jc w:val="both"/>
        <w:rPr>
          <w:u w:val="single"/>
        </w:rPr>
      </w:pPr>
      <w:r w:rsidRPr="00E20166">
        <w:rPr>
          <w:u w:val="single"/>
        </w:rPr>
        <w:t>Resultado bruto:</w:t>
      </w:r>
    </w:p>
    <w:p w14:paraId="00B0E338" w14:textId="77777777" w:rsidR="00051507" w:rsidRPr="00043E47" w:rsidRDefault="00051507" w:rsidP="00051507">
      <w:pPr>
        <w:spacing w:line="280" w:lineRule="exact"/>
        <w:jc w:val="both"/>
        <w:rPr>
          <w:color w:val="000000" w:themeColor="text1"/>
          <w:lang w:val="es-ES"/>
        </w:rPr>
      </w:pPr>
      <w:r w:rsidRPr="00043E47">
        <w:rPr>
          <w:color w:val="000000" w:themeColor="text1"/>
          <w:lang w:val="es-ES"/>
        </w:rPr>
        <w:t>El resultado bruto para el ejercicio finalizado el 31 de diciembre de 2021 ascendió a $2.844.075 miles comparado con $2.308.037 miles del ejercicio 2020, lo que equivale a un aumento de $536.038 miles o 23%. Dicha variación se explica principalmente por un aumento de ventas de energía y potencia en el mercado a término a CAMMESA.</w:t>
      </w:r>
    </w:p>
    <w:p w14:paraId="1D0997BD" w14:textId="77777777" w:rsidR="00051507" w:rsidRDefault="00051507" w:rsidP="00051507">
      <w:pPr>
        <w:widowControl w:val="0"/>
        <w:autoSpaceDE w:val="0"/>
        <w:autoSpaceDN w:val="0"/>
        <w:adjustRightInd w:val="0"/>
        <w:ind w:right="73"/>
        <w:jc w:val="both"/>
        <w:rPr>
          <w:u w:val="single"/>
        </w:rPr>
      </w:pPr>
      <w:r w:rsidRPr="00E20166">
        <w:rPr>
          <w:u w:val="single"/>
        </w:rPr>
        <w:t>Gastos de comercialización:</w:t>
      </w:r>
    </w:p>
    <w:p w14:paraId="140EF093" w14:textId="77777777" w:rsidR="00051507" w:rsidRPr="00043E47" w:rsidRDefault="00051507" w:rsidP="00051507">
      <w:pPr>
        <w:spacing w:line="280" w:lineRule="exact"/>
        <w:jc w:val="both"/>
        <w:rPr>
          <w:color w:val="000000" w:themeColor="text1"/>
          <w:lang w:val="es-ES"/>
        </w:rPr>
      </w:pPr>
      <w:r w:rsidRPr="00043E47">
        <w:rPr>
          <w:color w:val="000000" w:themeColor="text1"/>
          <w:lang w:val="es-ES"/>
        </w:rPr>
        <w:t>Los gastos de comercialización totales para el ejercicio finalizado el 31 de diciembre de 2021 ascendieron a $47.382 miles comparado con $64.383 miles del ejercicio 2020, lo que equivale a una disminución de $17.001 miles o 26%.</w:t>
      </w:r>
    </w:p>
    <w:p w14:paraId="1C2FFE40" w14:textId="77777777" w:rsidR="00051507" w:rsidRPr="00043E47" w:rsidRDefault="00051507" w:rsidP="00051507">
      <w:pPr>
        <w:spacing w:line="280" w:lineRule="exact"/>
        <w:jc w:val="both"/>
        <w:rPr>
          <w:color w:val="000000" w:themeColor="text1"/>
          <w:lang w:val="es-ES"/>
        </w:rPr>
      </w:pPr>
      <w:r w:rsidRPr="00043E47">
        <w:rPr>
          <w:color w:val="000000" w:themeColor="text1"/>
          <w:lang w:val="es-ES"/>
        </w:rPr>
        <w:t>El principal componente de los gastos de comercialización de la Sociedad es el siguiente:</w:t>
      </w:r>
    </w:p>
    <w:p w14:paraId="783999FA" w14:textId="77777777" w:rsidR="00051507" w:rsidRPr="00043E47" w:rsidRDefault="00051507" w:rsidP="00051507">
      <w:pPr>
        <w:pStyle w:val="Prrafodelista"/>
        <w:numPr>
          <w:ilvl w:val="0"/>
          <w:numId w:val="34"/>
        </w:numPr>
        <w:spacing w:line="280" w:lineRule="exact"/>
        <w:contextualSpacing/>
        <w:jc w:val="both"/>
        <w:rPr>
          <w:rFonts w:ascii="Times New Roman" w:hAnsi="Times New Roman"/>
          <w:color w:val="000000" w:themeColor="text1"/>
          <w:lang w:val="es-ES" w:eastAsia="en-US"/>
        </w:rPr>
      </w:pPr>
      <w:r w:rsidRPr="00043E47">
        <w:rPr>
          <w:rFonts w:ascii="Times New Roman" w:hAnsi="Times New Roman"/>
          <w:color w:val="000000" w:themeColor="text1"/>
          <w:lang w:val="es-ES" w:eastAsia="en-US"/>
        </w:rPr>
        <w:lastRenderedPageBreak/>
        <w:t xml:space="preserve">$47.382 miles por impuesto, tasas y contribuciones, lo que representó una disminución del 26% respecto de los $64.383 miles del ejercicio 2020. Dicha variación se debe al efecto de la </w:t>
      </w:r>
      <w:proofErr w:type="spellStart"/>
      <w:r w:rsidRPr="00043E47">
        <w:rPr>
          <w:rFonts w:ascii="Times New Roman" w:hAnsi="Times New Roman"/>
          <w:color w:val="000000" w:themeColor="text1"/>
          <w:lang w:val="es-ES" w:eastAsia="en-US"/>
        </w:rPr>
        <w:t>reexpresión</w:t>
      </w:r>
      <w:proofErr w:type="spellEnd"/>
      <w:r w:rsidRPr="00043E47">
        <w:rPr>
          <w:rFonts w:ascii="Times New Roman" w:hAnsi="Times New Roman"/>
          <w:color w:val="000000" w:themeColor="text1"/>
          <w:lang w:val="es-ES" w:eastAsia="en-US"/>
        </w:rPr>
        <w:t xml:space="preserve"> por el IPC de los gastos por impuesto, tasas y contribuciones correspondientes al período 2020, fue mayor.</w:t>
      </w:r>
    </w:p>
    <w:p w14:paraId="54D50145" w14:textId="77777777" w:rsidR="00051507" w:rsidRPr="00640AB7" w:rsidRDefault="00051507" w:rsidP="00051507">
      <w:pPr>
        <w:pStyle w:val="Prrafodelista"/>
        <w:widowControl w:val="0"/>
        <w:autoSpaceDE w:val="0"/>
        <w:autoSpaceDN w:val="0"/>
        <w:adjustRightInd w:val="0"/>
        <w:spacing w:after="0" w:line="240" w:lineRule="auto"/>
        <w:ind w:left="1080" w:right="79"/>
        <w:jc w:val="both"/>
        <w:rPr>
          <w:rFonts w:ascii="Times New Roman" w:hAnsi="Times New Roman"/>
        </w:rPr>
      </w:pPr>
    </w:p>
    <w:p w14:paraId="0A9E9673" w14:textId="77777777" w:rsidR="00051507" w:rsidRPr="00E20166" w:rsidRDefault="00051507" w:rsidP="00051507">
      <w:pPr>
        <w:widowControl w:val="0"/>
        <w:autoSpaceDE w:val="0"/>
        <w:autoSpaceDN w:val="0"/>
        <w:adjustRightInd w:val="0"/>
        <w:ind w:right="6768"/>
        <w:jc w:val="both"/>
        <w:rPr>
          <w:spacing w:val="-2"/>
          <w:u w:val="single"/>
        </w:rPr>
      </w:pPr>
      <w:r w:rsidRPr="00E20166">
        <w:rPr>
          <w:spacing w:val="-2"/>
          <w:u w:val="single"/>
        </w:rPr>
        <w:t>Gastos de administración:</w:t>
      </w:r>
    </w:p>
    <w:p w14:paraId="00FE8037" w14:textId="77777777" w:rsidR="00051507" w:rsidRPr="00043E47" w:rsidRDefault="00051507" w:rsidP="00051507">
      <w:pPr>
        <w:spacing w:line="280" w:lineRule="exact"/>
        <w:jc w:val="both"/>
        <w:rPr>
          <w:color w:val="000000" w:themeColor="text1"/>
          <w:lang w:val="es-ES"/>
        </w:rPr>
      </w:pPr>
      <w:r w:rsidRPr="00043E47">
        <w:rPr>
          <w:color w:val="000000" w:themeColor="text1"/>
          <w:lang w:val="es-ES"/>
        </w:rPr>
        <w:t>Los gastos de administración totales para el ejercicio finalizado el 31 de diciembre de 2021 ascendieron a $320.185 miles lo que representó un aumento del 47,9%, comparado con $216.554 miles del ejercicio 2020.</w:t>
      </w:r>
    </w:p>
    <w:p w14:paraId="3E896791" w14:textId="77777777" w:rsidR="00051507" w:rsidRPr="00E20166" w:rsidRDefault="00051507" w:rsidP="00051507">
      <w:pPr>
        <w:widowControl w:val="0"/>
        <w:autoSpaceDE w:val="0"/>
        <w:autoSpaceDN w:val="0"/>
        <w:adjustRightInd w:val="0"/>
        <w:ind w:right="79"/>
        <w:jc w:val="both"/>
      </w:pPr>
      <w:r w:rsidRPr="00E20166">
        <w:t>Los principales componentes de los gastos de administración de la Sociedad son los siguientes:</w:t>
      </w:r>
    </w:p>
    <w:p w14:paraId="3856F840" w14:textId="77777777" w:rsidR="00051507" w:rsidRPr="00E20166" w:rsidRDefault="00051507" w:rsidP="00051507">
      <w:pPr>
        <w:widowControl w:val="0"/>
        <w:autoSpaceDE w:val="0"/>
        <w:autoSpaceDN w:val="0"/>
        <w:adjustRightInd w:val="0"/>
        <w:ind w:right="79"/>
        <w:jc w:val="both"/>
      </w:pPr>
    </w:p>
    <w:p w14:paraId="7B7E74A1" w14:textId="77777777" w:rsidR="00051507" w:rsidRPr="009810DE" w:rsidRDefault="00051507" w:rsidP="00051507">
      <w:pPr>
        <w:pStyle w:val="Prrafodelista"/>
        <w:numPr>
          <w:ilvl w:val="0"/>
          <w:numId w:val="35"/>
        </w:numPr>
        <w:spacing w:line="280" w:lineRule="exact"/>
        <w:contextualSpacing/>
        <w:jc w:val="both"/>
        <w:rPr>
          <w:rFonts w:ascii="Times New Roman" w:hAnsi="Times New Roman"/>
          <w:color w:val="000000" w:themeColor="text1"/>
          <w:lang w:val="es-ES" w:eastAsia="en-US"/>
        </w:rPr>
      </w:pPr>
      <w:r w:rsidRPr="00043E47">
        <w:rPr>
          <w:rFonts w:ascii="Times New Roman" w:hAnsi="Times New Roman"/>
          <w:color w:val="000000" w:themeColor="text1"/>
          <w:lang w:val="es-ES" w:eastAsia="en-US"/>
        </w:rPr>
        <w:t xml:space="preserve">$296.417 miles en honorarios y retribuciones por servicios, lo que representó un aumento del 44% comparado con los $205.758 miles correspondientes al ejercicio 2020. Dicha variación se debe a los aumentos de la facturación de servicios administrativos realizados por RGA. </w:t>
      </w:r>
    </w:p>
    <w:p w14:paraId="3D4D4C55" w14:textId="77777777" w:rsidR="00051507" w:rsidRDefault="00051507" w:rsidP="00051507">
      <w:pPr>
        <w:widowControl w:val="0"/>
        <w:autoSpaceDE w:val="0"/>
        <w:autoSpaceDN w:val="0"/>
        <w:adjustRightInd w:val="0"/>
        <w:ind w:right="73"/>
        <w:jc w:val="both"/>
        <w:rPr>
          <w:u w:val="single"/>
        </w:rPr>
      </w:pPr>
      <w:r w:rsidRPr="00640AB7">
        <w:rPr>
          <w:u w:val="single"/>
        </w:rPr>
        <w:t>Otros egresos operativos</w:t>
      </w:r>
      <w:r>
        <w:rPr>
          <w:u w:val="single"/>
        </w:rPr>
        <w:t>:</w:t>
      </w:r>
    </w:p>
    <w:p w14:paraId="59763EDB" w14:textId="77777777" w:rsidR="00051507" w:rsidRPr="009810DE" w:rsidRDefault="00051507" w:rsidP="00051507">
      <w:pPr>
        <w:spacing w:line="280" w:lineRule="exact"/>
        <w:jc w:val="both"/>
        <w:rPr>
          <w:color w:val="000000" w:themeColor="text1"/>
          <w:lang w:val="es-ES"/>
        </w:rPr>
      </w:pPr>
      <w:r w:rsidRPr="009810DE">
        <w:rPr>
          <w:color w:val="000000" w:themeColor="text1"/>
          <w:lang w:val="es-ES"/>
        </w:rPr>
        <w:t xml:space="preserve">Los otros egresos operativos totales para el ejercicio finalizado el 31 de diciembre de 2021 ascendieron a $17 miles lo que representó un aumento del 100%, comparado con el ejercicio 2020. Dichos gastos corresponden a la condonación de préstamos otorgados a </w:t>
      </w:r>
      <w:proofErr w:type="gramStart"/>
      <w:r w:rsidRPr="009810DE">
        <w:rPr>
          <w:color w:val="000000" w:themeColor="text1"/>
          <w:lang w:val="es-ES"/>
        </w:rPr>
        <w:t>Directores</w:t>
      </w:r>
      <w:proofErr w:type="gramEnd"/>
      <w:r w:rsidRPr="009810DE">
        <w:rPr>
          <w:color w:val="000000" w:themeColor="text1"/>
          <w:lang w:val="es-ES"/>
        </w:rPr>
        <w:t xml:space="preserve"> durante 2021.</w:t>
      </w:r>
    </w:p>
    <w:p w14:paraId="28563991" w14:textId="77777777" w:rsidR="00051507" w:rsidRPr="00E20166" w:rsidRDefault="00051507" w:rsidP="00051507">
      <w:pPr>
        <w:widowControl w:val="0"/>
        <w:autoSpaceDE w:val="0"/>
        <w:autoSpaceDN w:val="0"/>
        <w:adjustRightInd w:val="0"/>
        <w:ind w:right="73"/>
        <w:jc w:val="both"/>
        <w:rPr>
          <w:u w:val="single"/>
        </w:rPr>
      </w:pPr>
      <w:r w:rsidRPr="00E20166">
        <w:rPr>
          <w:u w:val="single"/>
        </w:rPr>
        <w:t>Resultado operativo:</w:t>
      </w:r>
    </w:p>
    <w:p w14:paraId="0EEB39A2" w14:textId="77777777" w:rsidR="00051507" w:rsidRPr="00472C37" w:rsidRDefault="00051507" w:rsidP="00051507">
      <w:pPr>
        <w:spacing w:line="280" w:lineRule="exact"/>
        <w:jc w:val="both"/>
        <w:rPr>
          <w:color w:val="000000" w:themeColor="text1"/>
          <w:lang w:val="es-ES"/>
        </w:rPr>
      </w:pPr>
      <w:r w:rsidRPr="009810DE">
        <w:rPr>
          <w:color w:val="000000" w:themeColor="text1"/>
          <w:lang w:val="es-ES"/>
        </w:rPr>
        <w:t xml:space="preserve">El resultado operativo para el ejercicio finalizado el 31 de diciembre de 2021 ascendió a $2.476.491 miles comparado con $2.063.591 miles del ejercicio 2020, lo que equivale a un aumento de $412.900 miles o un 20%. </w:t>
      </w:r>
    </w:p>
    <w:p w14:paraId="710EBA0A" w14:textId="77777777" w:rsidR="00051507" w:rsidRPr="00472C37" w:rsidRDefault="00051507" w:rsidP="00051507">
      <w:pPr>
        <w:widowControl w:val="0"/>
        <w:autoSpaceDE w:val="0"/>
        <w:autoSpaceDN w:val="0"/>
        <w:adjustRightInd w:val="0"/>
        <w:ind w:right="3937"/>
        <w:jc w:val="both"/>
        <w:rPr>
          <w:spacing w:val="-2"/>
          <w:u w:val="single"/>
        </w:rPr>
      </w:pPr>
      <w:r w:rsidRPr="00E20166">
        <w:rPr>
          <w:spacing w:val="-2"/>
          <w:u w:val="single"/>
        </w:rPr>
        <w:t>Resultados financieros y por tenencia, netos:</w:t>
      </w:r>
    </w:p>
    <w:p w14:paraId="5D0408B1" w14:textId="77777777" w:rsidR="00051507" w:rsidRPr="00472C37" w:rsidRDefault="00051507" w:rsidP="00051507">
      <w:pPr>
        <w:spacing w:line="280" w:lineRule="exact"/>
        <w:jc w:val="both"/>
        <w:rPr>
          <w:color w:val="000000" w:themeColor="text1"/>
          <w:lang w:val="es-ES"/>
        </w:rPr>
      </w:pPr>
      <w:r w:rsidRPr="00472C37">
        <w:rPr>
          <w:color w:val="000000" w:themeColor="text1"/>
          <w:lang w:val="es-ES"/>
        </w:rPr>
        <w:t>Los resultados financieros y por tenencia netos para el ejercicio finalizado el 31 de diciembre de 2021 totalizaron una pérdida de $1.159.161 miles, comparado con una pérdida de $1.193.426 miles del ejercicio 2020, representando una disminución del 3%. La variación se debe principalmente al efecto de la variación en el tipo de cambio y a la variación de intereses por préstamos.</w:t>
      </w:r>
      <w:r w:rsidRPr="00E20166">
        <w:rPr>
          <w:spacing w:val="-2"/>
          <w:u w:val="single"/>
        </w:rPr>
        <w:t xml:space="preserve"> </w:t>
      </w:r>
    </w:p>
    <w:p w14:paraId="7ECE6043" w14:textId="77777777" w:rsidR="00051507" w:rsidRDefault="00051507" w:rsidP="00051507">
      <w:pPr>
        <w:jc w:val="both"/>
      </w:pPr>
      <w:r w:rsidRPr="00E20166">
        <w:t>Los aspectos más salientes de dicha variación son los siguientes:</w:t>
      </w:r>
    </w:p>
    <w:p w14:paraId="4E4FF51B" w14:textId="77777777" w:rsidR="00051507" w:rsidRDefault="00051507" w:rsidP="00051507">
      <w:pPr>
        <w:jc w:val="both"/>
      </w:pPr>
    </w:p>
    <w:p w14:paraId="6C7AF5EE" w14:textId="77777777" w:rsidR="00051507" w:rsidRPr="00472C37" w:rsidRDefault="00051507" w:rsidP="00051507">
      <w:pPr>
        <w:pStyle w:val="Prrafodelista"/>
        <w:numPr>
          <w:ilvl w:val="0"/>
          <w:numId w:val="36"/>
        </w:numPr>
        <w:spacing w:line="280" w:lineRule="exact"/>
        <w:contextualSpacing/>
        <w:jc w:val="both"/>
        <w:rPr>
          <w:rFonts w:ascii="Times New Roman" w:hAnsi="Times New Roman"/>
          <w:color w:val="000000" w:themeColor="text1"/>
          <w:lang w:val="es-ES" w:eastAsia="en-US"/>
        </w:rPr>
      </w:pPr>
      <w:r w:rsidRPr="00472C37">
        <w:rPr>
          <w:rFonts w:ascii="Times New Roman" w:hAnsi="Times New Roman"/>
          <w:color w:val="000000" w:themeColor="text1"/>
          <w:lang w:val="es-ES" w:eastAsia="en-US"/>
        </w:rPr>
        <w:t>$1.170.650 miles de pérdida por intereses por préstamos, lo que representó un aumento del 22% respecto de los $876.183 miles de pérdida del ejercicio 2020, producto de los nuevos instrumentos financieros tomados entre ambos ejercicios y la variación del tipo de cambio.</w:t>
      </w:r>
    </w:p>
    <w:p w14:paraId="4439A598" w14:textId="77777777" w:rsidR="00051507" w:rsidRPr="00472C37" w:rsidRDefault="00051507" w:rsidP="00051507">
      <w:pPr>
        <w:pStyle w:val="Prrafodelista"/>
        <w:spacing w:line="280" w:lineRule="exact"/>
        <w:ind w:left="1080"/>
        <w:jc w:val="both"/>
        <w:rPr>
          <w:rFonts w:ascii="Times New Roman" w:hAnsi="Times New Roman"/>
          <w:color w:val="000000" w:themeColor="text1"/>
          <w:lang w:val="es-ES" w:eastAsia="en-US"/>
        </w:rPr>
      </w:pPr>
    </w:p>
    <w:p w14:paraId="7292950D" w14:textId="77777777" w:rsidR="00051507" w:rsidRPr="00472C37" w:rsidRDefault="00051507" w:rsidP="00051507">
      <w:pPr>
        <w:pStyle w:val="Prrafodelista"/>
        <w:numPr>
          <w:ilvl w:val="0"/>
          <w:numId w:val="36"/>
        </w:numPr>
        <w:spacing w:line="280" w:lineRule="exact"/>
        <w:contextualSpacing/>
        <w:jc w:val="both"/>
        <w:rPr>
          <w:rFonts w:ascii="Times New Roman" w:hAnsi="Times New Roman"/>
          <w:color w:val="000000" w:themeColor="text1"/>
          <w:lang w:val="es-ES" w:eastAsia="en-US"/>
        </w:rPr>
      </w:pPr>
      <w:r w:rsidRPr="00472C37">
        <w:rPr>
          <w:rFonts w:ascii="Times New Roman" w:hAnsi="Times New Roman"/>
          <w:color w:val="000000" w:themeColor="text1"/>
          <w:lang w:val="es-ES" w:eastAsia="en-US"/>
        </w:rPr>
        <w:t xml:space="preserve">$214.250 miles de pérdida por diferencia de cambio neta, lo que representó una disminución del 91% respecto de los $2.380.436 miles de pérdida del ejercicio 2020. La variación se debe, principalmente, a que la Sociedad ha cambiado su moneda funcional de pesos a dólares en 2021, que produce una posición activa en pesos por el ejercicio al 31 de diciembre 2021, la cual genera menos diferencial cambiario con respecto a la posición pasiva en dólares por el ejercicio al 31 de diciembre 2020. </w:t>
      </w:r>
    </w:p>
    <w:p w14:paraId="7C6D15F2" w14:textId="77777777" w:rsidR="00051507" w:rsidRPr="00472C37" w:rsidRDefault="00051507" w:rsidP="00051507">
      <w:pPr>
        <w:pStyle w:val="Prrafodelista"/>
        <w:spacing w:line="280" w:lineRule="exact"/>
        <w:ind w:left="1080"/>
        <w:jc w:val="both"/>
        <w:rPr>
          <w:rFonts w:ascii="Times New Roman" w:hAnsi="Times New Roman"/>
          <w:color w:val="000000" w:themeColor="text1"/>
          <w:lang w:val="es-ES" w:eastAsia="en-US"/>
        </w:rPr>
      </w:pPr>
    </w:p>
    <w:p w14:paraId="7FEFD96D" w14:textId="77777777" w:rsidR="00051507" w:rsidRPr="00472C37" w:rsidRDefault="00051507" w:rsidP="00051507">
      <w:pPr>
        <w:pStyle w:val="Prrafodelista"/>
        <w:numPr>
          <w:ilvl w:val="0"/>
          <w:numId w:val="36"/>
        </w:numPr>
        <w:spacing w:line="280" w:lineRule="exact"/>
        <w:contextualSpacing/>
        <w:jc w:val="both"/>
        <w:rPr>
          <w:rFonts w:ascii="Times New Roman" w:hAnsi="Times New Roman"/>
          <w:color w:val="000000" w:themeColor="text1"/>
          <w:lang w:val="es-ES" w:eastAsia="en-US"/>
        </w:rPr>
      </w:pPr>
      <w:r w:rsidRPr="00472C37">
        <w:rPr>
          <w:rFonts w:ascii="Times New Roman" w:hAnsi="Times New Roman"/>
          <w:color w:val="000000" w:themeColor="text1"/>
          <w:lang w:val="es-ES" w:eastAsia="en-US"/>
        </w:rPr>
        <w:t>$2.109.943 millones de variación por RECPAM, lo que represento una disminución del 100%. La variación se debe al cambio de moneda funcional aplicado en la sociedad.</w:t>
      </w:r>
    </w:p>
    <w:p w14:paraId="2F7515D2" w14:textId="77777777" w:rsidR="00051507" w:rsidRPr="00E20166" w:rsidRDefault="00051507" w:rsidP="00051507">
      <w:pPr>
        <w:ind w:left="426"/>
        <w:jc w:val="both"/>
      </w:pPr>
    </w:p>
    <w:p w14:paraId="39D2F06E" w14:textId="77777777" w:rsidR="00051507" w:rsidRPr="00472C37" w:rsidRDefault="00051507" w:rsidP="00051507">
      <w:pPr>
        <w:pStyle w:val="Prrafodelista"/>
        <w:numPr>
          <w:ilvl w:val="0"/>
          <w:numId w:val="36"/>
        </w:numPr>
        <w:spacing w:line="280" w:lineRule="exact"/>
        <w:contextualSpacing/>
        <w:jc w:val="both"/>
        <w:rPr>
          <w:rFonts w:ascii="Times New Roman" w:hAnsi="Times New Roman"/>
          <w:color w:val="000000" w:themeColor="text1"/>
          <w:lang w:val="es-ES" w:eastAsia="en-US"/>
        </w:rPr>
      </w:pPr>
      <w:r w:rsidRPr="00472C37">
        <w:rPr>
          <w:rFonts w:ascii="Times New Roman" w:hAnsi="Times New Roman"/>
          <w:color w:val="000000" w:themeColor="text1"/>
          <w:lang w:val="es-ES" w:eastAsia="en-US"/>
        </w:rPr>
        <w:t>$118.506 miles de ganancia por intereses comerciales, lo que representó una variación de $169.295 respecto de los $50.789 miles de pérdida del ejercicio 2020. La variación se principalmente a la disminución de los intereses comerciales perdidos con RGA con respecto al ejercicio 2020.</w:t>
      </w:r>
    </w:p>
    <w:p w14:paraId="6C5E8F50" w14:textId="77777777" w:rsidR="00051507" w:rsidRPr="00E20166" w:rsidRDefault="00051507" w:rsidP="00051507">
      <w:pPr>
        <w:jc w:val="both"/>
      </w:pPr>
    </w:p>
    <w:p w14:paraId="02ACEAB9" w14:textId="77777777" w:rsidR="00051507" w:rsidRDefault="00051507" w:rsidP="00051507">
      <w:pPr>
        <w:pStyle w:val="Prrafodelista"/>
        <w:ind w:left="0"/>
        <w:jc w:val="both"/>
        <w:rPr>
          <w:rFonts w:ascii="Times New Roman" w:hAnsi="Times New Roman"/>
          <w:spacing w:val="-2"/>
          <w:u w:val="single"/>
        </w:rPr>
      </w:pPr>
      <w:r w:rsidRPr="00E20166">
        <w:rPr>
          <w:rFonts w:ascii="Times New Roman" w:hAnsi="Times New Roman"/>
          <w:spacing w:val="-2"/>
          <w:u w:val="single"/>
        </w:rPr>
        <w:t>Resultado neto:</w:t>
      </w:r>
    </w:p>
    <w:p w14:paraId="3EB57C05" w14:textId="77777777" w:rsidR="00051507" w:rsidRPr="00472C37" w:rsidRDefault="00051507" w:rsidP="00051507">
      <w:pPr>
        <w:pStyle w:val="Prrafodelista"/>
        <w:ind w:left="0"/>
        <w:jc w:val="both"/>
        <w:rPr>
          <w:rFonts w:ascii="Times New Roman" w:hAnsi="Times New Roman"/>
          <w:spacing w:val="-2"/>
          <w:u w:val="single"/>
        </w:rPr>
      </w:pPr>
      <w:r w:rsidRPr="00472C37">
        <w:rPr>
          <w:rFonts w:ascii="Times New Roman" w:hAnsi="Times New Roman"/>
          <w:color w:val="000000" w:themeColor="text1"/>
          <w:lang w:val="es-ES" w:eastAsia="en-US"/>
        </w:rPr>
        <w:t>Para el ejercicio finalizado el 31 de diciembre de 2021, la Sociedad registra una ganancia antes de impuestos de $1.317.330 miles, comparada con los $870.165 miles de ganancia del ejercicio 2020, lo que representa un aumento del 51%. Dicha variación se explica principalmente por la variación de las ventas y costos de ventas y la variación del tipo de cambio.</w:t>
      </w:r>
    </w:p>
    <w:p w14:paraId="5363AA3A" w14:textId="77777777" w:rsidR="00051507" w:rsidRPr="00472C37" w:rsidRDefault="00051507" w:rsidP="00051507">
      <w:pPr>
        <w:spacing w:line="280" w:lineRule="exact"/>
        <w:jc w:val="both"/>
        <w:rPr>
          <w:color w:val="000000" w:themeColor="text1"/>
          <w:lang w:val="es-ES"/>
        </w:rPr>
      </w:pPr>
      <w:r w:rsidRPr="00472C37">
        <w:rPr>
          <w:color w:val="000000" w:themeColor="text1"/>
          <w:lang w:val="es-ES"/>
        </w:rPr>
        <w:t>El resultado positivo de impuesto a las ganancias fue de $517.886 miles para el ejercicio finalizado el 31 de diciembre de 2021 en comparación con los $341.640 miles de pérdida del ejercicio 2020. Dicha variación se explica, principalmente, a que se ha registrado el reconocimiento del ajuste por inflación impositivo sobre los quebrantos acumulados. Dicha variación, además, se encuentra neteada por la registración del impacto que genera el cambio de alícuota, a partir de las modificaciones introducidas por la ley 27.630, en los saldos de activos y pasivos diferidos netos.</w:t>
      </w:r>
    </w:p>
    <w:p w14:paraId="31865ED2" w14:textId="77777777" w:rsidR="00051507" w:rsidRPr="00472C37" w:rsidRDefault="00051507" w:rsidP="00051507">
      <w:pPr>
        <w:spacing w:line="280" w:lineRule="exact"/>
        <w:jc w:val="both"/>
        <w:rPr>
          <w:color w:val="000000" w:themeColor="text1"/>
          <w:lang w:val="es-ES"/>
        </w:rPr>
      </w:pPr>
      <w:r w:rsidRPr="00472C37">
        <w:rPr>
          <w:color w:val="000000" w:themeColor="text1"/>
          <w:lang w:val="es-ES"/>
        </w:rPr>
        <w:t>Obteniendo así una ganancia después de impuesto a las ganancias de $1.835.216 miles comparado con los $528.525 miles de ganancia del ejercicio 2020.</w:t>
      </w:r>
    </w:p>
    <w:p w14:paraId="0AF05969" w14:textId="77777777" w:rsidR="00051507" w:rsidRDefault="00051507" w:rsidP="00051507">
      <w:pPr>
        <w:pStyle w:val="Prrafodelista"/>
        <w:ind w:left="0"/>
        <w:jc w:val="both"/>
        <w:rPr>
          <w:rFonts w:ascii="Times New Roman" w:hAnsi="Times New Roman"/>
          <w:spacing w:val="-2"/>
          <w:u w:val="single"/>
        </w:rPr>
      </w:pPr>
      <w:r w:rsidRPr="00D57D04">
        <w:rPr>
          <w:rFonts w:ascii="Times New Roman" w:hAnsi="Times New Roman"/>
          <w:spacing w:val="-2"/>
          <w:u w:val="single"/>
        </w:rPr>
        <w:t xml:space="preserve">Resultados integrales del </w:t>
      </w:r>
      <w:r>
        <w:rPr>
          <w:rFonts w:ascii="Times New Roman" w:hAnsi="Times New Roman"/>
          <w:spacing w:val="-2"/>
          <w:u w:val="single"/>
        </w:rPr>
        <w:t>ejercicio:</w:t>
      </w:r>
    </w:p>
    <w:p w14:paraId="41A2D0AF" w14:textId="77777777" w:rsidR="00051507" w:rsidRPr="00472C37" w:rsidRDefault="00051507" w:rsidP="00051507">
      <w:pPr>
        <w:pStyle w:val="Prrafodelista"/>
        <w:ind w:left="0"/>
        <w:jc w:val="both"/>
        <w:rPr>
          <w:rFonts w:ascii="Times New Roman" w:hAnsi="Times New Roman"/>
          <w:spacing w:val="-2"/>
          <w:u w:val="single"/>
        </w:rPr>
      </w:pPr>
      <w:r w:rsidRPr="00472C37">
        <w:rPr>
          <w:rFonts w:ascii="Times New Roman" w:hAnsi="Times New Roman"/>
          <w:color w:val="000000" w:themeColor="text1"/>
          <w:lang w:val="es-ES" w:eastAsia="en-US"/>
        </w:rPr>
        <w:t xml:space="preserve">La ganancia por los otros resultados integrales del ejercicio finalizado el 31 de diciembre de 2021 fue de $362.912 millones, representando una disminución del 23% respecto a los 473.929 ejercicio de 2020. Dicha variación se debe a que los resultados del ejercicio 2020 incluyen el revalúo de propiedades, planta y equipo realizado diciembre 2020 y su </w:t>
      </w:r>
      <w:r w:rsidRPr="00472C37">
        <w:rPr>
          <w:rFonts w:ascii="Times New Roman" w:hAnsi="Times New Roman"/>
          <w:color w:val="000000" w:themeColor="text1"/>
          <w:lang w:val="es-ES" w:eastAsia="en-US"/>
        </w:rPr>
        <w:lastRenderedPageBreak/>
        <w:t>correspondiente efecto en el impuesto a las ganancias, durante el ejercicio 2021 no se registró revalúo de propiedades, plata y equipo. Los resultados del ejercicio 2021 incluyen el efecto de las diferencias de conversión por moneda funcional dólar y el efecto por el cambio de alícuota sobre el impuesto a las ganancias en el Revalúo propiedades, planta y equipo.</w:t>
      </w:r>
    </w:p>
    <w:p w14:paraId="1E2CA49D" w14:textId="77777777" w:rsidR="00051507" w:rsidRPr="00472C37" w:rsidRDefault="00051507" w:rsidP="00051507">
      <w:pPr>
        <w:spacing w:line="280" w:lineRule="exact"/>
        <w:jc w:val="both"/>
        <w:rPr>
          <w:color w:val="000000" w:themeColor="text1"/>
          <w:lang w:val="es-ES"/>
        </w:rPr>
      </w:pPr>
      <w:r w:rsidRPr="00472C37">
        <w:rPr>
          <w:color w:val="000000" w:themeColor="text1"/>
          <w:lang w:val="es-ES"/>
        </w:rPr>
        <w:t>El resultado integral total del ejercicio es una ganancia de $2.198.128 miles, representando un aumento de 119% respecto de la ganancia integral del ejercicio de 2020, de $1.002.454 miles.</w:t>
      </w:r>
    </w:p>
    <w:p w14:paraId="31B3E91D" w14:textId="77777777" w:rsidR="00051507" w:rsidRPr="00472C37" w:rsidRDefault="00051507" w:rsidP="00051507">
      <w:pPr>
        <w:spacing w:after="240" w:line="240" w:lineRule="atLeast"/>
        <w:ind w:right="26"/>
        <w:rPr>
          <w:sz w:val="18"/>
          <w:szCs w:val="18"/>
        </w:rPr>
      </w:pPr>
      <w:r w:rsidRPr="00472C37">
        <w:rPr>
          <w:b/>
          <w:bCs/>
          <w:spacing w:val="1"/>
        </w:rPr>
        <w:t xml:space="preserve">2. Estructura patrimonial comparativa </w:t>
      </w:r>
      <w:r w:rsidRPr="00472C37">
        <w:rPr>
          <w:sz w:val="18"/>
          <w:szCs w:val="18"/>
        </w:rPr>
        <w:t>(en miles de pesos)</w:t>
      </w:r>
    </w:p>
    <w:tbl>
      <w:tblPr>
        <w:tblW w:w="9035" w:type="dxa"/>
        <w:tblCellMar>
          <w:left w:w="70" w:type="dxa"/>
          <w:right w:w="70" w:type="dxa"/>
        </w:tblCellMar>
        <w:tblLook w:val="04A0" w:firstRow="1" w:lastRow="0" w:firstColumn="1" w:lastColumn="0" w:noHBand="0" w:noVBand="1"/>
      </w:tblPr>
      <w:tblGrid>
        <w:gridCol w:w="3180"/>
        <w:gridCol w:w="1340"/>
        <w:gridCol w:w="185"/>
        <w:gridCol w:w="1340"/>
        <w:gridCol w:w="185"/>
        <w:gridCol w:w="1320"/>
        <w:gridCol w:w="185"/>
        <w:gridCol w:w="1300"/>
      </w:tblGrid>
      <w:tr w:rsidR="00051507" w:rsidRPr="000125B2" w14:paraId="5C385F48" w14:textId="77777777" w:rsidTr="00DF5625">
        <w:trPr>
          <w:trHeight w:val="290"/>
        </w:trPr>
        <w:tc>
          <w:tcPr>
            <w:tcW w:w="3180" w:type="dxa"/>
            <w:tcBorders>
              <w:top w:val="nil"/>
              <w:left w:val="nil"/>
              <w:bottom w:val="nil"/>
              <w:right w:val="nil"/>
            </w:tcBorders>
            <w:shd w:val="clear" w:color="000000" w:fill="FFFFFF"/>
            <w:noWrap/>
            <w:vAlign w:val="bottom"/>
            <w:hideMark/>
          </w:tcPr>
          <w:p w14:paraId="5E02BB59" w14:textId="77777777" w:rsidR="00051507" w:rsidRPr="000125B2" w:rsidRDefault="00051507" w:rsidP="00DF5625">
            <w:pPr>
              <w:rPr>
                <w:rFonts w:cs="Calibri"/>
                <w:sz w:val="18"/>
                <w:szCs w:val="18"/>
              </w:rPr>
            </w:pPr>
            <w:r w:rsidRPr="000125B2">
              <w:rPr>
                <w:rFonts w:cs="Calibri"/>
                <w:sz w:val="18"/>
                <w:szCs w:val="18"/>
              </w:rPr>
              <w:t>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A3FEB" w14:textId="77777777" w:rsidR="00051507" w:rsidRPr="000125B2" w:rsidRDefault="00051507" w:rsidP="00DF5625">
            <w:pPr>
              <w:jc w:val="center"/>
              <w:rPr>
                <w:b/>
                <w:bCs/>
                <w:sz w:val="18"/>
                <w:szCs w:val="18"/>
              </w:rPr>
            </w:pPr>
            <w:r w:rsidRPr="000125B2">
              <w:rPr>
                <w:b/>
                <w:bCs/>
                <w:sz w:val="18"/>
                <w:szCs w:val="18"/>
              </w:rPr>
              <w:t>31.12.21</w:t>
            </w:r>
          </w:p>
        </w:tc>
        <w:tc>
          <w:tcPr>
            <w:tcW w:w="185" w:type="dxa"/>
            <w:tcBorders>
              <w:top w:val="nil"/>
              <w:left w:val="nil"/>
              <w:bottom w:val="nil"/>
              <w:right w:val="nil"/>
            </w:tcBorders>
            <w:shd w:val="clear" w:color="000000" w:fill="FFFFFF"/>
            <w:noWrap/>
            <w:vAlign w:val="bottom"/>
            <w:hideMark/>
          </w:tcPr>
          <w:p w14:paraId="34D2D424" w14:textId="77777777" w:rsidR="00051507" w:rsidRPr="000125B2" w:rsidRDefault="00051507" w:rsidP="00DF5625">
            <w:pPr>
              <w:jc w:val="center"/>
              <w:rPr>
                <w:b/>
                <w:bCs/>
                <w:sz w:val="18"/>
                <w:szCs w:val="18"/>
              </w:rPr>
            </w:pPr>
            <w:r w:rsidRPr="000125B2">
              <w:rPr>
                <w:b/>
                <w:bCs/>
                <w:sz w:val="18"/>
                <w:szCs w:val="18"/>
              </w:rPr>
              <w:t>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144A5" w14:textId="77777777" w:rsidR="00051507" w:rsidRPr="000125B2" w:rsidRDefault="00051507" w:rsidP="00DF5625">
            <w:pPr>
              <w:jc w:val="center"/>
              <w:rPr>
                <w:b/>
                <w:bCs/>
                <w:sz w:val="18"/>
                <w:szCs w:val="18"/>
              </w:rPr>
            </w:pPr>
            <w:r w:rsidRPr="000125B2">
              <w:rPr>
                <w:b/>
                <w:bCs/>
                <w:sz w:val="18"/>
                <w:szCs w:val="18"/>
              </w:rPr>
              <w:t>31.12.20</w:t>
            </w:r>
          </w:p>
        </w:tc>
        <w:tc>
          <w:tcPr>
            <w:tcW w:w="185" w:type="dxa"/>
            <w:tcBorders>
              <w:top w:val="nil"/>
              <w:left w:val="nil"/>
              <w:bottom w:val="nil"/>
              <w:right w:val="nil"/>
            </w:tcBorders>
            <w:shd w:val="clear" w:color="000000" w:fill="FFFFFF"/>
            <w:noWrap/>
            <w:vAlign w:val="bottom"/>
            <w:hideMark/>
          </w:tcPr>
          <w:p w14:paraId="72532011" w14:textId="77777777" w:rsidR="00051507" w:rsidRPr="000125B2" w:rsidRDefault="00051507" w:rsidP="00DF5625">
            <w:pPr>
              <w:jc w:val="center"/>
              <w:rPr>
                <w:b/>
                <w:bCs/>
                <w:sz w:val="18"/>
                <w:szCs w:val="18"/>
              </w:rPr>
            </w:pPr>
            <w:r w:rsidRPr="000125B2">
              <w:rPr>
                <w:b/>
                <w:bCs/>
                <w:sz w:val="18"/>
                <w:szCs w:val="18"/>
              </w:rPr>
              <w:t> </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219DE" w14:textId="77777777" w:rsidR="00051507" w:rsidRPr="000125B2" w:rsidRDefault="00051507" w:rsidP="00DF5625">
            <w:pPr>
              <w:jc w:val="center"/>
              <w:rPr>
                <w:b/>
                <w:bCs/>
                <w:sz w:val="18"/>
                <w:szCs w:val="18"/>
              </w:rPr>
            </w:pPr>
            <w:r w:rsidRPr="000125B2">
              <w:rPr>
                <w:b/>
                <w:bCs/>
                <w:sz w:val="18"/>
                <w:szCs w:val="18"/>
              </w:rPr>
              <w:t>31.12.19</w:t>
            </w:r>
          </w:p>
        </w:tc>
        <w:tc>
          <w:tcPr>
            <w:tcW w:w="185" w:type="dxa"/>
            <w:tcBorders>
              <w:top w:val="nil"/>
              <w:left w:val="nil"/>
              <w:bottom w:val="nil"/>
              <w:right w:val="nil"/>
            </w:tcBorders>
            <w:shd w:val="clear" w:color="000000" w:fill="FFFFFF"/>
            <w:noWrap/>
            <w:vAlign w:val="bottom"/>
            <w:hideMark/>
          </w:tcPr>
          <w:p w14:paraId="3DA756DB" w14:textId="77777777" w:rsidR="00051507" w:rsidRPr="000125B2" w:rsidRDefault="00051507" w:rsidP="00DF5625">
            <w:pPr>
              <w:jc w:val="center"/>
              <w:rPr>
                <w:b/>
                <w:bCs/>
                <w:sz w:val="18"/>
                <w:szCs w:val="18"/>
              </w:rPr>
            </w:pPr>
            <w:r w:rsidRPr="000125B2">
              <w:rPr>
                <w:b/>
                <w:bCs/>
                <w:sz w:val="18"/>
                <w:szCs w:val="18"/>
              </w:rPr>
              <w:t> </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BD71D" w14:textId="77777777" w:rsidR="00051507" w:rsidRPr="000125B2" w:rsidRDefault="00051507" w:rsidP="00DF5625">
            <w:pPr>
              <w:jc w:val="center"/>
              <w:rPr>
                <w:b/>
                <w:bCs/>
                <w:sz w:val="18"/>
                <w:szCs w:val="18"/>
              </w:rPr>
            </w:pPr>
            <w:r w:rsidRPr="000125B2">
              <w:rPr>
                <w:b/>
                <w:bCs/>
                <w:sz w:val="18"/>
                <w:szCs w:val="18"/>
              </w:rPr>
              <w:t>31.12.18</w:t>
            </w:r>
          </w:p>
        </w:tc>
      </w:tr>
      <w:tr w:rsidR="00051507" w:rsidRPr="000125B2" w14:paraId="6622B0E9" w14:textId="77777777" w:rsidTr="00DF5625">
        <w:trPr>
          <w:trHeight w:val="290"/>
        </w:trPr>
        <w:tc>
          <w:tcPr>
            <w:tcW w:w="3180" w:type="dxa"/>
            <w:tcBorders>
              <w:top w:val="nil"/>
              <w:left w:val="nil"/>
              <w:bottom w:val="nil"/>
              <w:right w:val="nil"/>
            </w:tcBorders>
            <w:shd w:val="clear" w:color="000000" w:fill="FFFFFF"/>
            <w:noWrap/>
            <w:vAlign w:val="center"/>
            <w:hideMark/>
          </w:tcPr>
          <w:p w14:paraId="79AC2EA2" w14:textId="77777777" w:rsidR="00051507" w:rsidRPr="000125B2" w:rsidRDefault="00051507" w:rsidP="00DF5625">
            <w:pPr>
              <w:rPr>
                <w:sz w:val="18"/>
                <w:szCs w:val="18"/>
              </w:rPr>
            </w:pPr>
            <w:r w:rsidRPr="000125B2">
              <w:rPr>
                <w:sz w:val="18"/>
                <w:szCs w:val="18"/>
              </w:rPr>
              <w:t>Activo no corriente</w:t>
            </w:r>
          </w:p>
        </w:tc>
        <w:tc>
          <w:tcPr>
            <w:tcW w:w="1340" w:type="dxa"/>
            <w:tcBorders>
              <w:top w:val="nil"/>
              <w:left w:val="nil"/>
              <w:bottom w:val="nil"/>
              <w:right w:val="nil"/>
            </w:tcBorders>
            <w:shd w:val="clear" w:color="000000" w:fill="FFFFFF"/>
            <w:noWrap/>
            <w:vAlign w:val="bottom"/>
            <w:hideMark/>
          </w:tcPr>
          <w:p w14:paraId="5D86091E" w14:textId="77777777" w:rsidR="00051507" w:rsidRPr="000125B2" w:rsidRDefault="00051507" w:rsidP="00DF5625">
            <w:pPr>
              <w:jc w:val="right"/>
              <w:rPr>
                <w:sz w:val="18"/>
                <w:szCs w:val="18"/>
              </w:rPr>
            </w:pPr>
            <w:r w:rsidRPr="000125B2">
              <w:rPr>
                <w:sz w:val="18"/>
                <w:szCs w:val="18"/>
              </w:rPr>
              <w:t xml:space="preserve">        14.263.352 </w:t>
            </w:r>
          </w:p>
        </w:tc>
        <w:tc>
          <w:tcPr>
            <w:tcW w:w="185" w:type="dxa"/>
            <w:tcBorders>
              <w:top w:val="nil"/>
              <w:left w:val="nil"/>
              <w:bottom w:val="nil"/>
              <w:right w:val="nil"/>
            </w:tcBorders>
            <w:shd w:val="clear" w:color="000000" w:fill="FFFFFF"/>
            <w:noWrap/>
            <w:vAlign w:val="bottom"/>
            <w:hideMark/>
          </w:tcPr>
          <w:p w14:paraId="7A189EEF"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bottom"/>
            <w:hideMark/>
          </w:tcPr>
          <w:p w14:paraId="1D962B44" w14:textId="77777777" w:rsidR="00051507" w:rsidRPr="000125B2" w:rsidRDefault="00051507" w:rsidP="00DF5625">
            <w:pPr>
              <w:jc w:val="right"/>
              <w:rPr>
                <w:sz w:val="18"/>
                <w:szCs w:val="18"/>
              </w:rPr>
            </w:pPr>
            <w:r w:rsidRPr="000125B2">
              <w:rPr>
                <w:sz w:val="18"/>
                <w:szCs w:val="18"/>
              </w:rPr>
              <w:t xml:space="preserve">        12.305.895 </w:t>
            </w:r>
          </w:p>
        </w:tc>
        <w:tc>
          <w:tcPr>
            <w:tcW w:w="185" w:type="dxa"/>
            <w:tcBorders>
              <w:top w:val="nil"/>
              <w:left w:val="nil"/>
              <w:bottom w:val="nil"/>
              <w:right w:val="nil"/>
            </w:tcBorders>
            <w:shd w:val="clear" w:color="000000" w:fill="FFFFFF"/>
            <w:noWrap/>
            <w:vAlign w:val="bottom"/>
            <w:hideMark/>
          </w:tcPr>
          <w:p w14:paraId="25068DAC" w14:textId="77777777" w:rsidR="00051507" w:rsidRPr="000125B2" w:rsidRDefault="00051507" w:rsidP="00DF5625">
            <w:pPr>
              <w:jc w:val="right"/>
              <w:rPr>
                <w:sz w:val="18"/>
                <w:szCs w:val="18"/>
              </w:rPr>
            </w:pPr>
            <w:r w:rsidRPr="000125B2">
              <w:rPr>
                <w:sz w:val="18"/>
                <w:szCs w:val="18"/>
              </w:rPr>
              <w:t> </w:t>
            </w:r>
          </w:p>
        </w:tc>
        <w:tc>
          <w:tcPr>
            <w:tcW w:w="1320" w:type="dxa"/>
            <w:tcBorders>
              <w:top w:val="nil"/>
              <w:left w:val="nil"/>
              <w:bottom w:val="nil"/>
              <w:right w:val="nil"/>
            </w:tcBorders>
            <w:shd w:val="clear" w:color="000000" w:fill="FFFFFF"/>
            <w:noWrap/>
            <w:vAlign w:val="bottom"/>
            <w:hideMark/>
          </w:tcPr>
          <w:p w14:paraId="0775BB48" w14:textId="77777777" w:rsidR="00051507" w:rsidRPr="000125B2" w:rsidRDefault="00051507" w:rsidP="00DF5625">
            <w:pPr>
              <w:jc w:val="right"/>
              <w:rPr>
                <w:sz w:val="18"/>
                <w:szCs w:val="18"/>
              </w:rPr>
            </w:pPr>
            <w:r w:rsidRPr="000125B2">
              <w:rPr>
                <w:sz w:val="18"/>
                <w:szCs w:val="18"/>
              </w:rPr>
              <w:t xml:space="preserve">       12.253.005 </w:t>
            </w:r>
          </w:p>
        </w:tc>
        <w:tc>
          <w:tcPr>
            <w:tcW w:w="185" w:type="dxa"/>
            <w:tcBorders>
              <w:top w:val="nil"/>
              <w:left w:val="nil"/>
              <w:bottom w:val="nil"/>
              <w:right w:val="nil"/>
            </w:tcBorders>
            <w:shd w:val="clear" w:color="000000" w:fill="FFFFFF"/>
            <w:noWrap/>
            <w:vAlign w:val="bottom"/>
            <w:hideMark/>
          </w:tcPr>
          <w:p w14:paraId="4A9E6AAF" w14:textId="77777777" w:rsidR="00051507" w:rsidRPr="000125B2" w:rsidRDefault="00051507" w:rsidP="00DF5625">
            <w:pPr>
              <w:jc w:val="right"/>
              <w:rPr>
                <w:sz w:val="18"/>
                <w:szCs w:val="18"/>
              </w:rPr>
            </w:pPr>
            <w:r w:rsidRPr="000125B2">
              <w:rPr>
                <w:sz w:val="18"/>
                <w:szCs w:val="18"/>
              </w:rPr>
              <w:t> </w:t>
            </w:r>
          </w:p>
        </w:tc>
        <w:tc>
          <w:tcPr>
            <w:tcW w:w="1300" w:type="dxa"/>
            <w:tcBorders>
              <w:top w:val="nil"/>
              <w:left w:val="nil"/>
              <w:bottom w:val="nil"/>
              <w:right w:val="nil"/>
            </w:tcBorders>
            <w:shd w:val="clear" w:color="000000" w:fill="FFFFFF"/>
            <w:noWrap/>
            <w:vAlign w:val="bottom"/>
            <w:hideMark/>
          </w:tcPr>
          <w:p w14:paraId="3A6F97E3" w14:textId="77777777" w:rsidR="00051507" w:rsidRPr="000125B2" w:rsidRDefault="00051507" w:rsidP="00DF5625">
            <w:pPr>
              <w:jc w:val="right"/>
              <w:rPr>
                <w:sz w:val="18"/>
                <w:szCs w:val="18"/>
              </w:rPr>
            </w:pPr>
            <w:r w:rsidRPr="000125B2">
              <w:rPr>
                <w:sz w:val="18"/>
                <w:szCs w:val="18"/>
              </w:rPr>
              <w:t xml:space="preserve">       13.060.264 </w:t>
            </w:r>
          </w:p>
        </w:tc>
      </w:tr>
      <w:tr w:rsidR="00051507" w:rsidRPr="000125B2" w14:paraId="3812F447" w14:textId="77777777" w:rsidTr="00DF5625">
        <w:trPr>
          <w:trHeight w:val="290"/>
        </w:trPr>
        <w:tc>
          <w:tcPr>
            <w:tcW w:w="3180" w:type="dxa"/>
            <w:tcBorders>
              <w:top w:val="nil"/>
              <w:left w:val="nil"/>
              <w:bottom w:val="nil"/>
              <w:right w:val="nil"/>
            </w:tcBorders>
            <w:shd w:val="clear" w:color="000000" w:fill="FFFFFF"/>
            <w:noWrap/>
            <w:vAlign w:val="center"/>
            <w:hideMark/>
          </w:tcPr>
          <w:p w14:paraId="5BE9C57E" w14:textId="77777777" w:rsidR="00051507" w:rsidRPr="000125B2" w:rsidRDefault="00051507" w:rsidP="00DF5625">
            <w:pPr>
              <w:rPr>
                <w:sz w:val="18"/>
                <w:szCs w:val="18"/>
              </w:rPr>
            </w:pPr>
            <w:r w:rsidRPr="000125B2">
              <w:rPr>
                <w:sz w:val="18"/>
                <w:szCs w:val="18"/>
              </w:rPr>
              <w:t>Activo corriente</w:t>
            </w:r>
          </w:p>
        </w:tc>
        <w:tc>
          <w:tcPr>
            <w:tcW w:w="1340" w:type="dxa"/>
            <w:tcBorders>
              <w:top w:val="nil"/>
              <w:left w:val="nil"/>
              <w:bottom w:val="nil"/>
              <w:right w:val="nil"/>
            </w:tcBorders>
            <w:shd w:val="clear" w:color="000000" w:fill="FFFFFF"/>
            <w:noWrap/>
            <w:vAlign w:val="bottom"/>
            <w:hideMark/>
          </w:tcPr>
          <w:p w14:paraId="324A4D5D" w14:textId="77777777" w:rsidR="00051507" w:rsidRPr="000125B2" w:rsidRDefault="00051507" w:rsidP="00DF5625">
            <w:pPr>
              <w:jc w:val="right"/>
              <w:rPr>
                <w:sz w:val="18"/>
                <w:szCs w:val="18"/>
              </w:rPr>
            </w:pPr>
            <w:r w:rsidRPr="000125B2">
              <w:rPr>
                <w:sz w:val="18"/>
                <w:szCs w:val="18"/>
              </w:rPr>
              <w:t xml:space="preserve">         3.605.395 </w:t>
            </w:r>
          </w:p>
        </w:tc>
        <w:tc>
          <w:tcPr>
            <w:tcW w:w="185" w:type="dxa"/>
            <w:tcBorders>
              <w:top w:val="nil"/>
              <w:left w:val="nil"/>
              <w:bottom w:val="nil"/>
              <w:right w:val="nil"/>
            </w:tcBorders>
            <w:shd w:val="clear" w:color="000000" w:fill="FFFFFF"/>
            <w:noWrap/>
            <w:vAlign w:val="bottom"/>
            <w:hideMark/>
          </w:tcPr>
          <w:p w14:paraId="6786B369"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bottom"/>
            <w:hideMark/>
          </w:tcPr>
          <w:p w14:paraId="359DC00D" w14:textId="77777777" w:rsidR="00051507" w:rsidRPr="000125B2" w:rsidRDefault="00051507" w:rsidP="00DF5625">
            <w:pPr>
              <w:jc w:val="right"/>
              <w:rPr>
                <w:sz w:val="18"/>
                <w:szCs w:val="18"/>
              </w:rPr>
            </w:pPr>
            <w:r w:rsidRPr="000125B2">
              <w:rPr>
                <w:sz w:val="18"/>
                <w:szCs w:val="18"/>
              </w:rPr>
              <w:t xml:space="preserve">         3.282.573 </w:t>
            </w:r>
          </w:p>
        </w:tc>
        <w:tc>
          <w:tcPr>
            <w:tcW w:w="185" w:type="dxa"/>
            <w:tcBorders>
              <w:top w:val="nil"/>
              <w:left w:val="nil"/>
              <w:bottom w:val="nil"/>
              <w:right w:val="nil"/>
            </w:tcBorders>
            <w:shd w:val="clear" w:color="000000" w:fill="FFFFFF"/>
            <w:noWrap/>
            <w:vAlign w:val="bottom"/>
            <w:hideMark/>
          </w:tcPr>
          <w:p w14:paraId="7FDD84B1" w14:textId="77777777" w:rsidR="00051507" w:rsidRPr="000125B2" w:rsidRDefault="00051507" w:rsidP="00DF5625">
            <w:pPr>
              <w:jc w:val="right"/>
              <w:rPr>
                <w:sz w:val="18"/>
                <w:szCs w:val="18"/>
              </w:rPr>
            </w:pPr>
            <w:r w:rsidRPr="000125B2">
              <w:rPr>
                <w:sz w:val="18"/>
                <w:szCs w:val="18"/>
              </w:rPr>
              <w:t> </w:t>
            </w:r>
          </w:p>
        </w:tc>
        <w:tc>
          <w:tcPr>
            <w:tcW w:w="1320" w:type="dxa"/>
            <w:tcBorders>
              <w:top w:val="nil"/>
              <w:left w:val="nil"/>
              <w:bottom w:val="nil"/>
              <w:right w:val="nil"/>
            </w:tcBorders>
            <w:shd w:val="clear" w:color="000000" w:fill="FFFFFF"/>
            <w:noWrap/>
            <w:vAlign w:val="bottom"/>
            <w:hideMark/>
          </w:tcPr>
          <w:p w14:paraId="70386F90" w14:textId="77777777" w:rsidR="00051507" w:rsidRPr="000125B2" w:rsidRDefault="00051507" w:rsidP="00DF5625">
            <w:pPr>
              <w:jc w:val="right"/>
              <w:rPr>
                <w:sz w:val="18"/>
                <w:szCs w:val="18"/>
              </w:rPr>
            </w:pPr>
            <w:r w:rsidRPr="000125B2">
              <w:rPr>
                <w:sz w:val="18"/>
                <w:szCs w:val="18"/>
              </w:rPr>
              <w:t xml:space="preserve">         3.563.073 </w:t>
            </w:r>
          </w:p>
        </w:tc>
        <w:tc>
          <w:tcPr>
            <w:tcW w:w="185" w:type="dxa"/>
            <w:tcBorders>
              <w:top w:val="nil"/>
              <w:left w:val="nil"/>
              <w:bottom w:val="nil"/>
              <w:right w:val="nil"/>
            </w:tcBorders>
            <w:shd w:val="clear" w:color="000000" w:fill="FFFFFF"/>
            <w:noWrap/>
            <w:vAlign w:val="bottom"/>
            <w:hideMark/>
          </w:tcPr>
          <w:p w14:paraId="401CCB7E" w14:textId="77777777" w:rsidR="00051507" w:rsidRPr="000125B2" w:rsidRDefault="00051507" w:rsidP="00DF5625">
            <w:pPr>
              <w:jc w:val="right"/>
              <w:rPr>
                <w:sz w:val="18"/>
                <w:szCs w:val="18"/>
              </w:rPr>
            </w:pPr>
            <w:r w:rsidRPr="000125B2">
              <w:rPr>
                <w:sz w:val="18"/>
                <w:szCs w:val="18"/>
              </w:rPr>
              <w:t> </w:t>
            </w:r>
          </w:p>
        </w:tc>
        <w:tc>
          <w:tcPr>
            <w:tcW w:w="1300" w:type="dxa"/>
            <w:tcBorders>
              <w:top w:val="nil"/>
              <w:left w:val="nil"/>
              <w:bottom w:val="nil"/>
              <w:right w:val="nil"/>
            </w:tcBorders>
            <w:shd w:val="clear" w:color="000000" w:fill="FFFFFF"/>
            <w:noWrap/>
            <w:vAlign w:val="bottom"/>
            <w:hideMark/>
          </w:tcPr>
          <w:p w14:paraId="2BB77512" w14:textId="77777777" w:rsidR="00051507" w:rsidRPr="000125B2" w:rsidRDefault="00051507" w:rsidP="00DF5625">
            <w:pPr>
              <w:jc w:val="right"/>
              <w:rPr>
                <w:sz w:val="18"/>
                <w:szCs w:val="18"/>
              </w:rPr>
            </w:pPr>
            <w:r w:rsidRPr="000125B2">
              <w:rPr>
                <w:sz w:val="18"/>
                <w:szCs w:val="18"/>
              </w:rPr>
              <w:t xml:space="preserve">         1.357.229 </w:t>
            </w:r>
          </w:p>
        </w:tc>
      </w:tr>
      <w:tr w:rsidR="00051507" w:rsidRPr="000125B2" w14:paraId="700E24AE" w14:textId="77777777" w:rsidTr="00DF5625">
        <w:trPr>
          <w:trHeight w:val="290"/>
        </w:trPr>
        <w:tc>
          <w:tcPr>
            <w:tcW w:w="3180" w:type="dxa"/>
            <w:tcBorders>
              <w:top w:val="nil"/>
              <w:left w:val="nil"/>
              <w:bottom w:val="nil"/>
              <w:right w:val="nil"/>
            </w:tcBorders>
            <w:shd w:val="clear" w:color="000000" w:fill="FFFFFF"/>
            <w:noWrap/>
            <w:vAlign w:val="center"/>
            <w:hideMark/>
          </w:tcPr>
          <w:p w14:paraId="4A321F3C" w14:textId="77777777" w:rsidR="00051507" w:rsidRPr="000125B2" w:rsidRDefault="00051507" w:rsidP="00DF5625">
            <w:pPr>
              <w:rPr>
                <w:b/>
                <w:bCs/>
                <w:sz w:val="18"/>
                <w:szCs w:val="18"/>
              </w:rPr>
            </w:pPr>
            <w:proofErr w:type="gramStart"/>
            <w:r w:rsidRPr="000125B2">
              <w:rPr>
                <w:b/>
                <w:bCs/>
                <w:sz w:val="18"/>
                <w:szCs w:val="18"/>
              </w:rPr>
              <w:t>Total</w:t>
            </w:r>
            <w:proofErr w:type="gramEnd"/>
            <w:r w:rsidRPr="000125B2">
              <w:rPr>
                <w:b/>
                <w:bCs/>
                <w:sz w:val="18"/>
                <w:szCs w:val="18"/>
              </w:rPr>
              <w:t xml:space="preserve"> activo</w:t>
            </w:r>
          </w:p>
        </w:tc>
        <w:tc>
          <w:tcPr>
            <w:tcW w:w="1340" w:type="dxa"/>
            <w:tcBorders>
              <w:top w:val="single" w:sz="4" w:space="0" w:color="auto"/>
              <w:left w:val="nil"/>
              <w:bottom w:val="single" w:sz="4" w:space="0" w:color="auto"/>
              <w:right w:val="nil"/>
            </w:tcBorders>
            <w:shd w:val="clear" w:color="000000" w:fill="FFFFFF"/>
            <w:noWrap/>
            <w:vAlign w:val="bottom"/>
            <w:hideMark/>
          </w:tcPr>
          <w:p w14:paraId="7FE519A9" w14:textId="77777777" w:rsidR="00051507" w:rsidRPr="000125B2" w:rsidRDefault="00051507" w:rsidP="00DF5625">
            <w:pPr>
              <w:jc w:val="right"/>
              <w:rPr>
                <w:b/>
                <w:bCs/>
                <w:sz w:val="18"/>
                <w:szCs w:val="18"/>
              </w:rPr>
            </w:pPr>
            <w:r w:rsidRPr="000125B2">
              <w:rPr>
                <w:b/>
                <w:bCs/>
                <w:sz w:val="18"/>
                <w:szCs w:val="18"/>
              </w:rPr>
              <w:t xml:space="preserve">        17.868.747 </w:t>
            </w:r>
          </w:p>
        </w:tc>
        <w:tc>
          <w:tcPr>
            <w:tcW w:w="185" w:type="dxa"/>
            <w:tcBorders>
              <w:top w:val="nil"/>
              <w:left w:val="nil"/>
              <w:bottom w:val="nil"/>
              <w:right w:val="nil"/>
            </w:tcBorders>
            <w:shd w:val="clear" w:color="000000" w:fill="FFFFFF"/>
            <w:noWrap/>
            <w:vAlign w:val="bottom"/>
            <w:hideMark/>
          </w:tcPr>
          <w:p w14:paraId="13165292" w14:textId="77777777" w:rsidR="00051507" w:rsidRPr="000125B2" w:rsidRDefault="00051507" w:rsidP="00DF5625">
            <w:pPr>
              <w:jc w:val="right"/>
              <w:rPr>
                <w:b/>
                <w:bCs/>
                <w:sz w:val="18"/>
                <w:szCs w:val="18"/>
              </w:rPr>
            </w:pPr>
            <w:r w:rsidRPr="000125B2">
              <w:rPr>
                <w:b/>
                <w:bCs/>
                <w:sz w:val="18"/>
                <w:szCs w:val="18"/>
              </w:rPr>
              <w:t> </w:t>
            </w:r>
          </w:p>
        </w:tc>
        <w:tc>
          <w:tcPr>
            <w:tcW w:w="1340" w:type="dxa"/>
            <w:tcBorders>
              <w:top w:val="single" w:sz="4" w:space="0" w:color="auto"/>
              <w:left w:val="nil"/>
              <w:bottom w:val="single" w:sz="4" w:space="0" w:color="auto"/>
              <w:right w:val="nil"/>
            </w:tcBorders>
            <w:shd w:val="clear" w:color="000000" w:fill="FFFFFF"/>
            <w:noWrap/>
            <w:vAlign w:val="bottom"/>
            <w:hideMark/>
          </w:tcPr>
          <w:p w14:paraId="5A6A6D59" w14:textId="77777777" w:rsidR="00051507" w:rsidRPr="000125B2" w:rsidRDefault="00051507" w:rsidP="00DF5625">
            <w:pPr>
              <w:jc w:val="right"/>
              <w:rPr>
                <w:b/>
                <w:bCs/>
                <w:sz w:val="18"/>
                <w:szCs w:val="18"/>
              </w:rPr>
            </w:pPr>
            <w:r w:rsidRPr="000125B2">
              <w:rPr>
                <w:b/>
                <w:bCs/>
                <w:sz w:val="18"/>
                <w:szCs w:val="18"/>
              </w:rPr>
              <w:t xml:space="preserve">        15.588.468 </w:t>
            </w:r>
          </w:p>
        </w:tc>
        <w:tc>
          <w:tcPr>
            <w:tcW w:w="185" w:type="dxa"/>
            <w:tcBorders>
              <w:top w:val="nil"/>
              <w:left w:val="nil"/>
              <w:bottom w:val="nil"/>
              <w:right w:val="nil"/>
            </w:tcBorders>
            <w:shd w:val="clear" w:color="000000" w:fill="FFFFFF"/>
            <w:noWrap/>
            <w:vAlign w:val="bottom"/>
            <w:hideMark/>
          </w:tcPr>
          <w:p w14:paraId="3FF1E605" w14:textId="77777777" w:rsidR="00051507" w:rsidRPr="000125B2" w:rsidRDefault="00051507" w:rsidP="00DF5625">
            <w:pPr>
              <w:jc w:val="right"/>
              <w:rPr>
                <w:b/>
                <w:bCs/>
                <w:sz w:val="18"/>
                <w:szCs w:val="18"/>
              </w:rPr>
            </w:pPr>
            <w:r w:rsidRPr="000125B2">
              <w:rPr>
                <w:b/>
                <w:bCs/>
                <w:sz w:val="18"/>
                <w:szCs w:val="18"/>
              </w:rPr>
              <w:t> </w:t>
            </w:r>
          </w:p>
        </w:tc>
        <w:tc>
          <w:tcPr>
            <w:tcW w:w="1320" w:type="dxa"/>
            <w:tcBorders>
              <w:top w:val="single" w:sz="4" w:space="0" w:color="auto"/>
              <w:left w:val="nil"/>
              <w:bottom w:val="single" w:sz="4" w:space="0" w:color="auto"/>
              <w:right w:val="nil"/>
            </w:tcBorders>
            <w:shd w:val="clear" w:color="000000" w:fill="FFFFFF"/>
            <w:noWrap/>
            <w:vAlign w:val="bottom"/>
            <w:hideMark/>
          </w:tcPr>
          <w:p w14:paraId="3E121CDE" w14:textId="77777777" w:rsidR="00051507" w:rsidRPr="000125B2" w:rsidRDefault="00051507" w:rsidP="00DF5625">
            <w:pPr>
              <w:jc w:val="right"/>
              <w:rPr>
                <w:b/>
                <w:bCs/>
                <w:sz w:val="18"/>
                <w:szCs w:val="18"/>
              </w:rPr>
            </w:pPr>
            <w:r w:rsidRPr="000125B2">
              <w:rPr>
                <w:b/>
                <w:bCs/>
                <w:sz w:val="18"/>
                <w:szCs w:val="18"/>
              </w:rPr>
              <w:t xml:space="preserve">       15.816.078 </w:t>
            </w:r>
          </w:p>
        </w:tc>
        <w:tc>
          <w:tcPr>
            <w:tcW w:w="185" w:type="dxa"/>
            <w:tcBorders>
              <w:top w:val="nil"/>
              <w:left w:val="nil"/>
              <w:bottom w:val="nil"/>
              <w:right w:val="nil"/>
            </w:tcBorders>
            <w:shd w:val="clear" w:color="000000" w:fill="FFFFFF"/>
            <w:noWrap/>
            <w:vAlign w:val="bottom"/>
            <w:hideMark/>
          </w:tcPr>
          <w:p w14:paraId="57EA3C53" w14:textId="77777777" w:rsidR="00051507" w:rsidRPr="000125B2" w:rsidRDefault="00051507" w:rsidP="00DF5625">
            <w:pPr>
              <w:jc w:val="right"/>
              <w:rPr>
                <w:b/>
                <w:bCs/>
                <w:sz w:val="18"/>
                <w:szCs w:val="18"/>
              </w:rPr>
            </w:pPr>
            <w:r w:rsidRPr="000125B2">
              <w:rPr>
                <w:b/>
                <w:bCs/>
                <w:sz w:val="18"/>
                <w:szCs w:val="18"/>
              </w:rPr>
              <w:t> </w:t>
            </w:r>
          </w:p>
        </w:tc>
        <w:tc>
          <w:tcPr>
            <w:tcW w:w="1300" w:type="dxa"/>
            <w:tcBorders>
              <w:top w:val="single" w:sz="4" w:space="0" w:color="auto"/>
              <w:left w:val="nil"/>
              <w:bottom w:val="single" w:sz="4" w:space="0" w:color="auto"/>
              <w:right w:val="nil"/>
            </w:tcBorders>
            <w:shd w:val="clear" w:color="000000" w:fill="FFFFFF"/>
            <w:noWrap/>
            <w:vAlign w:val="bottom"/>
            <w:hideMark/>
          </w:tcPr>
          <w:p w14:paraId="50192786" w14:textId="77777777" w:rsidR="00051507" w:rsidRPr="000125B2" w:rsidRDefault="00051507" w:rsidP="00DF5625">
            <w:pPr>
              <w:jc w:val="right"/>
              <w:rPr>
                <w:b/>
                <w:bCs/>
                <w:sz w:val="18"/>
                <w:szCs w:val="18"/>
              </w:rPr>
            </w:pPr>
            <w:r w:rsidRPr="000125B2">
              <w:rPr>
                <w:b/>
                <w:bCs/>
                <w:sz w:val="18"/>
                <w:szCs w:val="18"/>
              </w:rPr>
              <w:t xml:space="preserve">       14.417.493 </w:t>
            </w:r>
          </w:p>
        </w:tc>
      </w:tr>
      <w:tr w:rsidR="00051507" w:rsidRPr="000125B2" w14:paraId="47A23231" w14:textId="77777777" w:rsidTr="00DF5625">
        <w:trPr>
          <w:trHeight w:val="195"/>
        </w:trPr>
        <w:tc>
          <w:tcPr>
            <w:tcW w:w="3180" w:type="dxa"/>
            <w:tcBorders>
              <w:top w:val="nil"/>
              <w:left w:val="nil"/>
              <w:bottom w:val="nil"/>
              <w:right w:val="nil"/>
            </w:tcBorders>
            <w:shd w:val="clear" w:color="000000" w:fill="FFFFFF"/>
            <w:noWrap/>
            <w:vAlign w:val="bottom"/>
            <w:hideMark/>
          </w:tcPr>
          <w:p w14:paraId="69A221B7" w14:textId="77777777" w:rsidR="00051507" w:rsidRPr="000125B2" w:rsidRDefault="00051507" w:rsidP="00DF5625">
            <w:pPr>
              <w:rPr>
                <w:rFonts w:cs="Calibri"/>
                <w:sz w:val="18"/>
                <w:szCs w:val="18"/>
              </w:rPr>
            </w:pPr>
            <w:r w:rsidRPr="000125B2">
              <w:rPr>
                <w:rFonts w:cs="Calibri"/>
                <w:sz w:val="18"/>
                <w:szCs w:val="18"/>
              </w:rPr>
              <w:t> </w:t>
            </w:r>
          </w:p>
        </w:tc>
        <w:tc>
          <w:tcPr>
            <w:tcW w:w="1340" w:type="dxa"/>
            <w:tcBorders>
              <w:top w:val="nil"/>
              <w:left w:val="nil"/>
              <w:bottom w:val="nil"/>
              <w:right w:val="nil"/>
            </w:tcBorders>
            <w:shd w:val="clear" w:color="000000" w:fill="FFFFFF"/>
            <w:noWrap/>
            <w:vAlign w:val="bottom"/>
            <w:hideMark/>
          </w:tcPr>
          <w:p w14:paraId="0BF46916" w14:textId="77777777" w:rsidR="00051507" w:rsidRPr="000125B2" w:rsidRDefault="00051507" w:rsidP="00DF5625">
            <w:pPr>
              <w:jc w:val="right"/>
              <w:rPr>
                <w:sz w:val="18"/>
                <w:szCs w:val="18"/>
              </w:rPr>
            </w:pPr>
            <w:r w:rsidRPr="000125B2">
              <w:rPr>
                <w:sz w:val="18"/>
                <w:szCs w:val="18"/>
              </w:rPr>
              <w:t> </w:t>
            </w:r>
          </w:p>
        </w:tc>
        <w:tc>
          <w:tcPr>
            <w:tcW w:w="185" w:type="dxa"/>
            <w:tcBorders>
              <w:top w:val="nil"/>
              <w:left w:val="nil"/>
              <w:bottom w:val="nil"/>
              <w:right w:val="nil"/>
            </w:tcBorders>
            <w:shd w:val="clear" w:color="000000" w:fill="FFFFFF"/>
            <w:noWrap/>
            <w:vAlign w:val="bottom"/>
            <w:hideMark/>
          </w:tcPr>
          <w:p w14:paraId="3A703148"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bottom"/>
            <w:hideMark/>
          </w:tcPr>
          <w:p w14:paraId="7D1F6B26" w14:textId="77777777" w:rsidR="00051507" w:rsidRPr="000125B2" w:rsidRDefault="00051507" w:rsidP="00DF5625">
            <w:pPr>
              <w:jc w:val="right"/>
              <w:rPr>
                <w:sz w:val="18"/>
                <w:szCs w:val="18"/>
              </w:rPr>
            </w:pPr>
            <w:r w:rsidRPr="000125B2">
              <w:rPr>
                <w:sz w:val="18"/>
                <w:szCs w:val="18"/>
              </w:rPr>
              <w:t> </w:t>
            </w:r>
          </w:p>
        </w:tc>
        <w:tc>
          <w:tcPr>
            <w:tcW w:w="185" w:type="dxa"/>
            <w:tcBorders>
              <w:top w:val="nil"/>
              <w:left w:val="nil"/>
              <w:bottom w:val="nil"/>
              <w:right w:val="nil"/>
            </w:tcBorders>
            <w:shd w:val="clear" w:color="000000" w:fill="FFFFFF"/>
            <w:noWrap/>
            <w:vAlign w:val="bottom"/>
            <w:hideMark/>
          </w:tcPr>
          <w:p w14:paraId="395E8266" w14:textId="77777777" w:rsidR="00051507" w:rsidRPr="000125B2" w:rsidRDefault="00051507" w:rsidP="00DF5625">
            <w:pPr>
              <w:jc w:val="right"/>
              <w:rPr>
                <w:sz w:val="18"/>
                <w:szCs w:val="18"/>
              </w:rPr>
            </w:pPr>
            <w:r w:rsidRPr="000125B2">
              <w:rPr>
                <w:sz w:val="18"/>
                <w:szCs w:val="18"/>
              </w:rPr>
              <w:t> </w:t>
            </w:r>
          </w:p>
        </w:tc>
        <w:tc>
          <w:tcPr>
            <w:tcW w:w="1320" w:type="dxa"/>
            <w:tcBorders>
              <w:top w:val="nil"/>
              <w:left w:val="nil"/>
              <w:bottom w:val="nil"/>
              <w:right w:val="nil"/>
            </w:tcBorders>
            <w:shd w:val="clear" w:color="000000" w:fill="FFFFFF"/>
            <w:noWrap/>
            <w:vAlign w:val="bottom"/>
            <w:hideMark/>
          </w:tcPr>
          <w:p w14:paraId="79BD449D" w14:textId="77777777" w:rsidR="00051507" w:rsidRPr="000125B2" w:rsidRDefault="00051507" w:rsidP="00DF5625">
            <w:pPr>
              <w:jc w:val="right"/>
              <w:rPr>
                <w:sz w:val="18"/>
                <w:szCs w:val="18"/>
              </w:rPr>
            </w:pPr>
            <w:r w:rsidRPr="000125B2">
              <w:rPr>
                <w:sz w:val="18"/>
                <w:szCs w:val="18"/>
              </w:rPr>
              <w:t> </w:t>
            </w:r>
          </w:p>
        </w:tc>
        <w:tc>
          <w:tcPr>
            <w:tcW w:w="185" w:type="dxa"/>
            <w:tcBorders>
              <w:top w:val="nil"/>
              <w:left w:val="nil"/>
              <w:bottom w:val="nil"/>
              <w:right w:val="nil"/>
            </w:tcBorders>
            <w:shd w:val="clear" w:color="000000" w:fill="FFFFFF"/>
            <w:noWrap/>
            <w:vAlign w:val="bottom"/>
            <w:hideMark/>
          </w:tcPr>
          <w:p w14:paraId="6CFE38C3" w14:textId="77777777" w:rsidR="00051507" w:rsidRPr="000125B2" w:rsidRDefault="00051507" w:rsidP="00DF5625">
            <w:pPr>
              <w:jc w:val="right"/>
              <w:rPr>
                <w:sz w:val="18"/>
                <w:szCs w:val="18"/>
              </w:rPr>
            </w:pPr>
            <w:r w:rsidRPr="000125B2">
              <w:rPr>
                <w:sz w:val="18"/>
                <w:szCs w:val="18"/>
              </w:rPr>
              <w:t> </w:t>
            </w:r>
          </w:p>
        </w:tc>
        <w:tc>
          <w:tcPr>
            <w:tcW w:w="1300" w:type="dxa"/>
            <w:tcBorders>
              <w:top w:val="nil"/>
              <w:left w:val="nil"/>
              <w:bottom w:val="nil"/>
              <w:right w:val="nil"/>
            </w:tcBorders>
            <w:shd w:val="clear" w:color="000000" w:fill="FFFFFF"/>
            <w:noWrap/>
            <w:vAlign w:val="bottom"/>
            <w:hideMark/>
          </w:tcPr>
          <w:p w14:paraId="6FD4893F" w14:textId="77777777" w:rsidR="00051507" w:rsidRPr="000125B2" w:rsidRDefault="00051507" w:rsidP="00DF5625">
            <w:pPr>
              <w:jc w:val="right"/>
              <w:rPr>
                <w:sz w:val="18"/>
                <w:szCs w:val="18"/>
              </w:rPr>
            </w:pPr>
            <w:r w:rsidRPr="000125B2">
              <w:rPr>
                <w:sz w:val="18"/>
                <w:szCs w:val="18"/>
              </w:rPr>
              <w:t> </w:t>
            </w:r>
          </w:p>
        </w:tc>
      </w:tr>
      <w:tr w:rsidR="00051507" w:rsidRPr="000125B2" w14:paraId="337A0C41" w14:textId="77777777" w:rsidTr="00DF5625">
        <w:trPr>
          <w:trHeight w:val="290"/>
        </w:trPr>
        <w:tc>
          <w:tcPr>
            <w:tcW w:w="3180" w:type="dxa"/>
            <w:tcBorders>
              <w:top w:val="nil"/>
              <w:left w:val="nil"/>
              <w:bottom w:val="nil"/>
              <w:right w:val="nil"/>
            </w:tcBorders>
            <w:shd w:val="clear" w:color="000000" w:fill="FFFFFF"/>
            <w:noWrap/>
            <w:vAlign w:val="center"/>
            <w:hideMark/>
          </w:tcPr>
          <w:p w14:paraId="346C68D4" w14:textId="77777777" w:rsidR="00051507" w:rsidRPr="000125B2" w:rsidRDefault="00051507" w:rsidP="00DF5625">
            <w:pPr>
              <w:rPr>
                <w:sz w:val="18"/>
                <w:szCs w:val="18"/>
              </w:rPr>
            </w:pPr>
            <w:r w:rsidRPr="000125B2">
              <w:rPr>
                <w:sz w:val="18"/>
                <w:szCs w:val="18"/>
              </w:rPr>
              <w:t>Patrimonio</w:t>
            </w:r>
          </w:p>
        </w:tc>
        <w:tc>
          <w:tcPr>
            <w:tcW w:w="1340" w:type="dxa"/>
            <w:tcBorders>
              <w:top w:val="nil"/>
              <w:left w:val="nil"/>
              <w:bottom w:val="single" w:sz="4" w:space="0" w:color="auto"/>
              <w:right w:val="nil"/>
            </w:tcBorders>
            <w:shd w:val="clear" w:color="000000" w:fill="FFFFFF"/>
            <w:noWrap/>
            <w:vAlign w:val="bottom"/>
            <w:hideMark/>
          </w:tcPr>
          <w:p w14:paraId="3DFE5D7D" w14:textId="77777777" w:rsidR="00051507" w:rsidRPr="000125B2" w:rsidRDefault="00051507" w:rsidP="00DF5625">
            <w:pPr>
              <w:jc w:val="right"/>
              <w:rPr>
                <w:sz w:val="18"/>
                <w:szCs w:val="18"/>
              </w:rPr>
            </w:pPr>
            <w:r w:rsidRPr="000125B2">
              <w:rPr>
                <w:sz w:val="18"/>
                <w:szCs w:val="18"/>
              </w:rPr>
              <w:t xml:space="preserve">         5.584.145 </w:t>
            </w:r>
          </w:p>
        </w:tc>
        <w:tc>
          <w:tcPr>
            <w:tcW w:w="185" w:type="dxa"/>
            <w:tcBorders>
              <w:top w:val="nil"/>
              <w:left w:val="nil"/>
              <w:bottom w:val="nil"/>
              <w:right w:val="nil"/>
            </w:tcBorders>
            <w:shd w:val="clear" w:color="000000" w:fill="FFFFFF"/>
            <w:noWrap/>
            <w:vAlign w:val="bottom"/>
            <w:hideMark/>
          </w:tcPr>
          <w:p w14:paraId="62556165"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single" w:sz="4" w:space="0" w:color="auto"/>
              <w:right w:val="nil"/>
            </w:tcBorders>
            <w:shd w:val="clear" w:color="000000" w:fill="FFFFFF"/>
            <w:noWrap/>
            <w:vAlign w:val="bottom"/>
            <w:hideMark/>
          </w:tcPr>
          <w:p w14:paraId="0086497F" w14:textId="77777777" w:rsidR="00051507" w:rsidRPr="000125B2" w:rsidRDefault="00051507" w:rsidP="00DF5625">
            <w:pPr>
              <w:jc w:val="right"/>
              <w:rPr>
                <w:sz w:val="18"/>
                <w:szCs w:val="18"/>
              </w:rPr>
            </w:pPr>
            <w:r w:rsidRPr="000125B2">
              <w:rPr>
                <w:sz w:val="18"/>
                <w:szCs w:val="18"/>
              </w:rPr>
              <w:t xml:space="preserve">         3.386.017 </w:t>
            </w:r>
          </w:p>
        </w:tc>
        <w:tc>
          <w:tcPr>
            <w:tcW w:w="185" w:type="dxa"/>
            <w:tcBorders>
              <w:top w:val="nil"/>
              <w:left w:val="nil"/>
              <w:bottom w:val="nil"/>
              <w:right w:val="nil"/>
            </w:tcBorders>
            <w:shd w:val="clear" w:color="000000" w:fill="FFFFFF"/>
            <w:noWrap/>
            <w:vAlign w:val="bottom"/>
            <w:hideMark/>
          </w:tcPr>
          <w:p w14:paraId="3ABE2C88" w14:textId="77777777" w:rsidR="00051507" w:rsidRPr="000125B2" w:rsidRDefault="00051507" w:rsidP="00DF5625">
            <w:pPr>
              <w:jc w:val="right"/>
              <w:rPr>
                <w:sz w:val="18"/>
                <w:szCs w:val="18"/>
              </w:rPr>
            </w:pPr>
            <w:r w:rsidRPr="000125B2">
              <w:rPr>
                <w:sz w:val="18"/>
                <w:szCs w:val="18"/>
              </w:rPr>
              <w:t> </w:t>
            </w:r>
          </w:p>
        </w:tc>
        <w:tc>
          <w:tcPr>
            <w:tcW w:w="1320" w:type="dxa"/>
            <w:tcBorders>
              <w:top w:val="nil"/>
              <w:left w:val="nil"/>
              <w:bottom w:val="single" w:sz="4" w:space="0" w:color="auto"/>
              <w:right w:val="nil"/>
            </w:tcBorders>
            <w:shd w:val="clear" w:color="000000" w:fill="FFFFFF"/>
            <w:noWrap/>
            <w:vAlign w:val="bottom"/>
            <w:hideMark/>
          </w:tcPr>
          <w:p w14:paraId="2CBF3B5E" w14:textId="77777777" w:rsidR="00051507" w:rsidRPr="000125B2" w:rsidRDefault="00051507" w:rsidP="00DF5625">
            <w:pPr>
              <w:jc w:val="right"/>
              <w:rPr>
                <w:sz w:val="18"/>
                <w:szCs w:val="18"/>
              </w:rPr>
            </w:pPr>
            <w:r w:rsidRPr="000125B2">
              <w:rPr>
                <w:sz w:val="18"/>
                <w:szCs w:val="18"/>
              </w:rPr>
              <w:t xml:space="preserve">         2.383.563 </w:t>
            </w:r>
          </w:p>
        </w:tc>
        <w:tc>
          <w:tcPr>
            <w:tcW w:w="185" w:type="dxa"/>
            <w:tcBorders>
              <w:top w:val="nil"/>
              <w:left w:val="nil"/>
              <w:bottom w:val="nil"/>
              <w:right w:val="nil"/>
            </w:tcBorders>
            <w:shd w:val="clear" w:color="000000" w:fill="FFFFFF"/>
            <w:noWrap/>
            <w:vAlign w:val="bottom"/>
            <w:hideMark/>
          </w:tcPr>
          <w:p w14:paraId="3F5561E9" w14:textId="77777777" w:rsidR="00051507" w:rsidRPr="000125B2" w:rsidRDefault="00051507" w:rsidP="00DF5625">
            <w:pPr>
              <w:jc w:val="right"/>
              <w:rPr>
                <w:sz w:val="18"/>
                <w:szCs w:val="18"/>
              </w:rPr>
            </w:pPr>
            <w:r w:rsidRPr="000125B2">
              <w:rPr>
                <w:sz w:val="18"/>
                <w:szCs w:val="18"/>
              </w:rPr>
              <w:t> </w:t>
            </w:r>
          </w:p>
        </w:tc>
        <w:tc>
          <w:tcPr>
            <w:tcW w:w="1300" w:type="dxa"/>
            <w:tcBorders>
              <w:top w:val="nil"/>
              <w:left w:val="nil"/>
              <w:bottom w:val="single" w:sz="4" w:space="0" w:color="auto"/>
              <w:right w:val="nil"/>
            </w:tcBorders>
            <w:shd w:val="clear" w:color="000000" w:fill="FFFFFF"/>
            <w:noWrap/>
            <w:vAlign w:val="bottom"/>
            <w:hideMark/>
          </w:tcPr>
          <w:p w14:paraId="4999FC8A" w14:textId="77777777" w:rsidR="00051507" w:rsidRPr="000125B2" w:rsidRDefault="00051507" w:rsidP="00DF5625">
            <w:pPr>
              <w:jc w:val="right"/>
              <w:rPr>
                <w:sz w:val="18"/>
                <w:szCs w:val="18"/>
              </w:rPr>
            </w:pPr>
            <w:r w:rsidRPr="000125B2">
              <w:rPr>
                <w:sz w:val="18"/>
                <w:szCs w:val="18"/>
              </w:rPr>
              <w:t xml:space="preserve">         2.594.032 </w:t>
            </w:r>
          </w:p>
        </w:tc>
      </w:tr>
      <w:tr w:rsidR="00051507" w:rsidRPr="000125B2" w14:paraId="200F78E1" w14:textId="77777777" w:rsidTr="00DF5625">
        <w:trPr>
          <w:trHeight w:val="290"/>
        </w:trPr>
        <w:tc>
          <w:tcPr>
            <w:tcW w:w="3180" w:type="dxa"/>
            <w:tcBorders>
              <w:top w:val="nil"/>
              <w:left w:val="nil"/>
              <w:bottom w:val="nil"/>
              <w:right w:val="nil"/>
            </w:tcBorders>
            <w:shd w:val="clear" w:color="000000" w:fill="FFFFFF"/>
            <w:noWrap/>
            <w:vAlign w:val="center"/>
            <w:hideMark/>
          </w:tcPr>
          <w:p w14:paraId="6C34F672" w14:textId="77777777" w:rsidR="00051507" w:rsidRPr="000125B2" w:rsidRDefault="00051507" w:rsidP="00DF5625">
            <w:pPr>
              <w:rPr>
                <w:b/>
                <w:bCs/>
                <w:sz w:val="18"/>
                <w:szCs w:val="18"/>
              </w:rPr>
            </w:pPr>
            <w:proofErr w:type="gramStart"/>
            <w:r w:rsidRPr="000125B2">
              <w:rPr>
                <w:b/>
                <w:bCs/>
                <w:sz w:val="18"/>
                <w:szCs w:val="18"/>
              </w:rPr>
              <w:t>Total</w:t>
            </w:r>
            <w:proofErr w:type="gramEnd"/>
            <w:r w:rsidRPr="000125B2">
              <w:rPr>
                <w:b/>
                <w:bCs/>
                <w:sz w:val="18"/>
                <w:szCs w:val="18"/>
              </w:rPr>
              <w:t xml:space="preserve"> patrimonio</w:t>
            </w:r>
          </w:p>
        </w:tc>
        <w:tc>
          <w:tcPr>
            <w:tcW w:w="1340" w:type="dxa"/>
            <w:tcBorders>
              <w:top w:val="nil"/>
              <w:left w:val="nil"/>
              <w:bottom w:val="single" w:sz="4" w:space="0" w:color="auto"/>
              <w:right w:val="nil"/>
            </w:tcBorders>
            <w:shd w:val="clear" w:color="000000" w:fill="FFFFFF"/>
            <w:noWrap/>
            <w:vAlign w:val="bottom"/>
            <w:hideMark/>
          </w:tcPr>
          <w:p w14:paraId="46DF75A4" w14:textId="77777777" w:rsidR="00051507" w:rsidRPr="000125B2" w:rsidRDefault="00051507" w:rsidP="00DF5625">
            <w:pPr>
              <w:jc w:val="right"/>
              <w:rPr>
                <w:b/>
                <w:bCs/>
                <w:sz w:val="18"/>
                <w:szCs w:val="18"/>
              </w:rPr>
            </w:pPr>
            <w:r w:rsidRPr="000125B2">
              <w:rPr>
                <w:b/>
                <w:bCs/>
                <w:sz w:val="18"/>
                <w:szCs w:val="18"/>
              </w:rPr>
              <w:t xml:space="preserve">         5.584.145 </w:t>
            </w:r>
          </w:p>
        </w:tc>
        <w:tc>
          <w:tcPr>
            <w:tcW w:w="185" w:type="dxa"/>
            <w:tcBorders>
              <w:top w:val="nil"/>
              <w:left w:val="nil"/>
              <w:bottom w:val="nil"/>
              <w:right w:val="nil"/>
            </w:tcBorders>
            <w:shd w:val="clear" w:color="000000" w:fill="FFFFFF"/>
            <w:noWrap/>
            <w:vAlign w:val="bottom"/>
            <w:hideMark/>
          </w:tcPr>
          <w:p w14:paraId="05B0E2BB" w14:textId="77777777" w:rsidR="00051507" w:rsidRPr="000125B2" w:rsidRDefault="00051507" w:rsidP="00DF5625">
            <w:pPr>
              <w:jc w:val="right"/>
              <w:rPr>
                <w:b/>
                <w:bCs/>
                <w:sz w:val="18"/>
                <w:szCs w:val="18"/>
              </w:rPr>
            </w:pPr>
            <w:r w:rsidRPr="000125B2">
              <w:rPr>
                <w:b/>
                <w:bCs/>
                <w:sz w:val="18"/>
                <w:szCs w:val="18"/>
              </w:rPr>
              <w:t> </w:t>
            </w:r>
          </w:p>
        </w:tc>
        <w:tc>
          <w:tcPr>
            <w:tcW w:w="1340" w:type="dxa"/>
            <w:tcBorders>
              <w:top w:val="nil"/>
              <w:left w:val="nil"/>
              <w:bottom w:val="single" w:sz="4" w:space="0" w:color="auto"/>
              <w:right w:val="nil"/>
            </w:tcBorders>
            <w:shd w:val="clear" w:color="000000" w:fill="FFFFFF"/>
            <w:noWrap/>
            <w:vAlign w:val="bottom"/>
            <w:hideMark/>
          </w:tcPr>
          <w:p w14:paraId="6DF6E4B7" w14:textId="77777777" w:rsidR="00051507" w:rsidRPr="000125B2" w:rsidRDefault="00051507" w:rsidP="00DF5625">
            <w:pPr>
              <w:jc w:val="right"/>
              <w:rPr>
                <w:b/>
                <w:bCs/>
                <w:sz w:val="18"/>
                <w:szCs w:val="18"/>
              </w:rPr>
            </w:pPr>
            <w:r w:rsidRPr="000125B2">
              <w:rPr>
                <w:b/>
                <w:bCs/>
                <w:sz w:val="18"/>
                <w:szCs w:val="18"/>
              </w:rPr>
              <w:t xml:space="preserve">         3.386.017 </w:t>
            </w:r>
          </w:p>
        </w:tc>
        <w:tc>
          <w:tcPr>
            <w:tcW w:w="185" w:type="dxa"/>
            <w:tcBorders>
              <w:top w:val="nil"/>
              <w:left w:val="nil"/>
              <w:bottom w:val="nil"/>
              <w:right w:val="nil"/>
            </w:tcBorders>
            <w:shd w:val="clear" w:color="000000" w:fill="FFFFFF"/>
            <w:noWrap/>
            <w:vAlign w:val="bottom"/>
            <w:hideMark/>
          </w:tcPr>
          <w:p w14:paraId="33B136F1" w14:textId="77777777" w:rsidR="00051507" w:rsidRPr="000125B2" w:rsidRDefault="00051507" w:rsidP="00DF5625">
            <w:pPr>
              <w:jc w:val="right"/>
              <w:rPr>
                <w:b/>
                <w:bCs/>
                <w:sz w:val="18"/>
                <w:szCs w:val="18"/>
              </w:rPr>
            </w:pPr>
            <w:r w:rsidRPr="000125B2">
              <w:rPr>
                <w:b/>
                <w:bCs/>
                <w:sz w:val="18"/>
                <w:szCs w:val="18"/>
              </w:rPr>
              <w:t> </w:t>
            </w:r>
          </w:p>
        </w:tc>
        <w:tc>
          <w:tcPr>
            <w:tcW w:w="1320" w:type="dxa"/>
            <w:tcBorders>
              <w:top w:val="nil"/>
              <w:left w:val="nil"/>
              <w:bottom w:val="single" w:sz="4" w:space="0" w:color="auto"/>
              <w:right w:val="nil"/>
            </w:tcBorders>
            <w:shd w:val="clear" w:color="000000" w:fill="FFFFFF"/>
            <w:noWrap/>
            <w:vAlign w:val="bottom"/>
            <w:hideMark/>
          </w:tcPr>
          <w:p w14:paraId="30959C22" w14:textId="77777777" w:rsidR="00051507" w:rsidRPr="000125B2" w:rsidRDefault="00051507" w:rsidP="00DF5625">
            <w:pPr>
              <w:jc w:val="right"/>
              <w:rPr>
                <w:b/>
                <w:bCs/>
                <w:sz w:val="18"/>
                <w:szCs w:val="18"/>
              </w:rPr>
            </w:pPr>
            <w:r w:rsidRPr="000125B2">
              <w:rPr>
                <w:b/>
                <w:bCs/>
                <w:sz w:val="18"/>
                <w:szCs w:val="18"/>
              </w:rPr>
              <w:t xml:space="preserve">         2.383.563 </w:t>
            </w:r>
          </w:p>
        </w:tc>
        <w:tc>
          <w:tcPr>
            <w:tcW w:w="185" w:type="dxa"/>
            <w:tcBorders>
              <w:top w:val="nil"/>
              <w:left w:val="nil"/>
              <w:bottom w:val="nil"/>
              <w:right w:val="nil"/>
            </w:tcBorders>
            <w:shd w:val="clear" w:color="000000" w:fill="FFFFFF"/>
            <w:noWrap/>
            <w:vAlign w:val="bottom"/>
            <w:hideMark/>
          </w:tcPr>
          <w:p w14:paraId="7693A35C" w14:textId="77777777" w:rsidR="00051507" w:rsidRPr="000125B2" w:rsidRDefault="00051507" w:rsidP="00DF5625">
            <w:pPr>
              <w:jc w:val="right"/>
              <w:rPr>
                <w:b/>
                <w:bCs/>
                <w:sz w:val="18"/>
                <w:szCs w:val="18"/>
              </w:rPr>
            </w:pPr>
            <w:r w:rsidRPr="000125B2">
              <w:rPr>
                <w:b/>
                <w:bCs/>
                <w:sz w:val="18"/>
                <w:szCs w:val="18"/>
              </w:rPr>
              <w:t> </w:t>
            </w:r>
          </w:p>
        </w:tc>
        <w:tc>
          <w:tcPr>
            <w:tcW w:w="1300" w:type="dxa"/>
            <w:tcBorders>
              <w:top w:val="nil"/>
              <w:left w:val="nil"/>
              <w:bottom w:val="single" w:sz="4" w:space="0" w:color="auto"/>
              <w:right w:val="nil"/>
            </w:tcBorders>
            <w:shd w:val="clear" w:color="000000" w:fill="FFFFFF"/>
            <w:noWrap/>
            <w:vAlign w:val="bottom"/>
            <w:hideMark/>
          </w:tcPr>
          <w:p w14:paraId="18EEE68D" w14:textId="77777777" w:rsidR="00051507" w:rsidRPr="000125B2" w:rsidRDefault="00051507" w:rsidP="00DF5625">
            <w:pPr>
              <w:jc w:val="right"/>
              <w:rPr>
                <w:b/>
                <w:bCs/>
                <w:sz w:val="18"/>
                <w:szCs w:val="18"/>
              </w:rPr>
            </w:pPr>
            <w:r w:rsidRPr="000125B2">
              <w:rPr>
                <w:b/>
                <w:bCs/>
                <w:sz w:val="18"/>
                <w:szCs w:val="18"/>
              </w:rPr>
              <w:t xml:space="preserve">         2.594.032 </w:t>
            </w:r>
          </w:p>
        </w:tc>
      </w:tr>
      <w:tr w:rsidR="00051507" w:rsidRPr="000125B2" w14:paraId="6FC8F038" w14:textId="77777777" w:rsidTr="00DF5625">
        <w:trPr>
          <w:trHeight w:val="225"/>
        </w:trPr>
        <w:tc>
          <w:tcPr>
            <w:tcW w:w="3180" w:type="dxa"/>
            <w:tcBorders>
              <w:top w:val="nil"/>
              <w:left w:val="nil"/>
              <w:bottom w:val="nil"/>
              <w:right w:val="nil"/>
            </w:tcBorders>
            <w:shd w:val="clear" w:color="000000" w:fill="FFFFFF"/>
            <w:noWrap/>
            <w:vAlign w:val="bottom"/>
            <w:hideMark/>
          </w:tcPr>
          <w:p w14:paraId="0C9D186C" w14:textId="77777777" w:rsidR="00051507" w:rsidRPr="000125B2" w:rsidRDefault="00051507" w:rsidP="00DF5625">
            <w:pPr>
              <w:rPr>
                <w:rFonts w:cs="Calibri"/>
                <w:sz w:val="18"/>
                <w:szCs w:val="18"/>
              </w:rPr>
            </w:pPr>
            <w:r w:rsidRPr="000125B2">
              <w:rPr>
                <w:rFonts w:cs="Calibri"/>
                <w:sz w:val="18"/>
                <w:szCs w:val="18"/>
              </w:rPr>
              <w:t> </w:t>
            </w:r>
          </w:p>
        </w:tc>
        <w:tc>
          <w:tcPr>
            <w:tcW w:w="1340" w:type="dxa"/>
            <w:tcBorders>
              <w:top w:val="nil"/>
              <w:left w:val="nil"/>
              <w:bottom w:val="nil"/>
              <w:right w:val="nil"/>
            </w:tcBorders>
            <w:shd w:val="clear" w:color="000000" w:fill="FFFFFF"/>
            <w:noWrap/>
            <w:vAlign w:val="bottom"/>
            <w:hideMark/>
          </w:tcPr>
          <w:p w14:paraId="01BEA20F" w14:textId="77777777" w:rsidR="00051507" w:rsidRPr="000125B2" w:rsidRDefault="00051507" w:rsidP="00DF5625">
            <w:pPr>
              <w:jc w:val="right"/>
              <w:rPr>
                <w:sz w:val="18"/>
                <w:szCs w:val="18"/>
              </w:rPr>
            </w:pPr>
            <w:r w:rsidRPr="000125B2">
              <w:rPr>
                <w:sz w:val="18"/>
                <w:szCs w:val="18"/>
              </w:rPr>
              <w:t> </w:t>
            </w:r>
          </w:p>
        </w:tc>
        <w:tc>
          <w:tcPr>
            <w:tcW w:w="185" w:type="dxa"/>
            <w:tcBorders>
              <w:top w:val="nil"/>
              <w:left w:val="nil"/>
              <w:bottom w:val="nil"/>
              <w:right w:val="nil"/>
            </w:tcBorders>
            <w:shd w:val="clear" w:color="000000" w:fill="FFFFFF"/>
            <w:noWrap/>
            <w:vAlign w:val="bottom"/>
            <w:hideMark/>
          </w:tcPr>
          <w:p w14:paraId="095BBD1E"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bottom"/>
            <w:hideMark/>
          </w:tcPr>
          <w:p w14:paraId="1F72ED10" w14:textId="77777777" w:rsidR="00051507" w:rsidRPr="000125B2" w:rsidRDefault="00051507" w:rsidP="00DF5625">
            <w:pPr>
              <w:jc w:val="right"/>
              <w:rPr>
                <w:sz w:val="18"/>
                <w:szCs w:val="18"/>
              </w:rPr>
            </w:pPr>
            <w:r w:rsidRPr="000125B2">
              <w:rPr>
                <w:sz w:val="18"/>
                <w:szCs w:val="18"/>
              </w:rPr>
              <w:t> </w:t>
            </w:r>
          </w:p>
        </w:tc>
        <w:tc>
          <w:tcPr>
            <w:tcW w:w="185" w:type="dxa"/>
            <w:tcBorders>
              <w:top w:val="nil"/>
              <w:left w:val="nil"/>
              <w:bottom w:val="nil"/>
              <w:right w:val="nil"/>
            </w:tcBorders>
            <w:shd w:val="clear" w:color="000000" w:fill="FFFFFF"/>
            <w:noWrap/>
            <w:vAlign w:val="bottom"/>
            <w:hideMark/>
          </w:tcPr>
          <w:p w14:paraId="16FD3C06" w14:textId="77777777" w:rsidR="00051507" w:rsidRPr="000125B2" w:rsidRDefault="00051507" w:rsidP="00DF5625">
            <w:pPr>
              <w:jc w:val="right"/>
              <w:rPr>
                <w:sz w:val="18"/>
                <w:szCs w:val="18"/>
              </w:rPr>
            </w:pPr>
            <w:r w:rsidRPr="000125B2">
              <w:rPr>
                <w:sz w:val="18"/>
                <w:szCs w:val="18"/>
              </w:rPr>
              <w:t> </w:t>
            </w:r>
          </w:p>
        </w:tc>
        <w:tc>
          <w:tcPr>
            <w:tcW w:w="1320" w:type="dxa"/>
            <w:tcBorders>
              <w:top w:val="nil"/>
              <w:left w:val="nil"/>
              <w:bottom w:val="nil"/>
              <w:right w:val="nil"/>
            </w:tcBorders>
            <w:shd w:val="clear" w:color="000000" w:fill="FFFFFF"/>
            <w:noWrap/>
            <w:vAlign w:val="bottom"/>
            <w:hideMark/>
          </w:tcPr>
          <w:p w14:paraId="0BF465C5" w14:textId="77777777" w:rsidR="00051507" w:rsidRPr="000125B2" w:rsidRDefault="00051507" w:rsidP="00DF5625">
            <w:pPr>
              <w:jc w:val="right"/>
              <w:rPr>
                <w:sz w:val="18"/>
                <w:szCs w:val="18"/>
              </w:rPr>
            </w:pPr>
            <w:r w:rsidRPr="000125B2">
              <w:rPr>
                <w:sz w:val="18"/>
                <w:szCs w:val="18"/>
              </w:rPr>
              <w:t> </w:t>
            </w:r>
          </w:p>
        </w:tc>
        <w:tc>
          <w:tcPr>
            <w:tcW w:w="185" w:type="dxa"/>
            <w:tcBorders>
              <w:top w:val="nil"/>
              <w:left w:val="nil"/>
              <w:bottom w:val="nil"/>
              <w:right w:val="nil"/>
            </w:tcBorders>
            <w:shd w:val="clear" w:color="000000" w:fill="FFFFFF"/>
            <w:noWrap/>
            <w:vAlign w:val="bottom"/>
            <w:hideMark/>
          </w:tcPr>
          <w:p w14:paraId="39F0FF83" w14:textId="77777777" w:rsidR="00051507" w:rsidRPr="000125B2" w:rsidRDefault="00051507" w:rsidP="00DF5625">
            <w:pPr>
              <w:jc w:val="right"/>
              <w:rPr>
                <w:sz w:val="18"/>
                <w:szCs w:val="18"/>
              </w:rPr>
            </w:pPr>
            <w:r w:rsidRPr="000125B2">
              <w:rPr>
                <w:sz w:val="18"/>
                <w:szCs w:val="18"/>
              </w:rPr>
              <w:t> </w:t>
            </w:r>
          </w:p>
        </w:tc>
        <w:tc>
          <w:tcPr>
            <w:tcW w:w="1300" w:type="dxa"/>
            <w:tcBorders>
              <w:top w:val="nil"/>
              <w:left w:val="nil"/>
              <w:bottom w:val="nil"/>
              <w:right w:val="nil"/>
            </w:tcBorders>
            <w:shd w:val="clear" w:color="000000" w:fill="FFFFFF"/>
            <w:noWrap/>
            <w:vAlign w:val="bottom"/>
            <w:hideMark/>
          </w:tcPr>
          <w:p w14:paraId="6D87049D" w14:textId="77777777" w:rsidR="00051507" w:rsidRPr="000125B2" w:rsidRDefault="00051507" w:rsidP="00DF5625">
            <w:pPr>
              <w:jc w:val="right"/>
              <w:rPr>
                <w:sz w:val="18"/>
                <w:szCs w:val="18"/>
              </w:rPr>
            </w:pPr>
            <w:r w:rsidRPr="000125B2">
              <w:rPr>
                <w:sz w:val="18"/>
                <w:szCs w:val="18"/>
              </w:rPr>
              <w:t> </w:t>
            </w:r>
          </w:p>
        </w:tc>
      </w:tr>
      <w:tr w:rsidR="00051507" w:rsidRPr="000125B2" w14:paraId="1AA57C80" w14:textId="77777777" w:rsidTr="00DF5625">
        <w:trPr>
          <w:trHeight w:val="290"/>
        </w:trPr>
        <w:tc>
          <w:tcPr>
            <w:tcW w:w="3180" w:type="dxa"/>
            <w:tcBorders>
              <w:top w:val="nil"/>
              <w:left w:val="nil"/>
              <w:bottom w:val="nil"/>
              <w:right w:val="nil"/>
            </w:tcBorders>
            <w:shd w:val="clear" w:color="000000" w:fill="FFFFFF"/>
            <w:noWrap/>
            <w:vAlign w:val="center"/>
            <w:hideMark/>
          </w:tcPr>
          <w:p w14:paraId="0AB497D9" w14:textId="77777777" w:rsidR="00051507" w:rsidRPr="000125B2" w:rsidRDefault="00051507" w:rsidP="00DF5625">
            <w:pPr>
              <w:rPr>
                <w:sz w:val="18"/>
                <w:szCs w:val="18"/>
              </w:rPr>
            </w:pPr>
            <w:r w:rsidRPr="000125B2">
              <w:rPr>
                <w:sz w:val="18"/>
                <w:szCs w:val="18"/>
              </w:rPr>
              <w:t>Pasivo no corriente</w:t>
            </w:r>
          </w:p>
        </w:tc>
        <w:tc>
          <w:tcPr>
            <w:tcW w:w="1340" w:type="dxa"/>
            <w:tcBorders>
              <w:top w:val="nil"/>
              <w:left w:val="nil"/>
              <w:bottom w:val="nil"/>
              <w:right w:val="nil"/>
            </w:tcBorders>
            <w:shd w:val="clear" w:color="000000" w:fill="FFFFFF"/>
            <w:noWrap/>
            <w:vAlign w:val="bottom"/>
            <w:hideMark/>
          </w:tcPr>
          <w:p w14:paraId="4D320AEA" w14:textId="77777777" w:rsidR="00051507" w:rsidRPr="000125B2" w:rsidRDefault="00051507" w:rsidP="00DF5625">
            <w:pPr>
              <w:jc w:val="right"/>
              <w:rPr>
                <w:sz w:val="18"/>
                <w:szCs w:val="18"/>
              </w:rPr>
            </w:pPr>
            <w:r w:rsidRPr="000125B2">
              <w:rPr>
                <w:sz w:val="18"/>
                <w:szCs w:val="18"/>
              </w:rPr>
              <w:t xml:space="preserve">        10.405.262 </w:t>
            </w:r>
          </w:p>
        </w:tc>
        <w:tc>
          <w:tcPr>
            <w:tcW w:w="185" w:type="dxa"/>
            <w:tcBorders>
              <w:top w:val="nil"/>
              <w:left w:val="nil"/>
              <w:bottom w:val="nil"/>
              <w:right w:val="nil"/>
            </w:tcBorders>
            <w:shd w:val="clear" w:color="000000" w:fill="FFFFFF"/>
            <w:noWrap/>
            <w:vAlign w:val="bottom"/>
            <w:hideMark/>
          </w:tcPr>
          <w:p w14:paraId="13D99DDC"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bottom"/>
            <w:hideMark/>
          </w:tcPr>
          <w:p w14:paraId="1E89B526" w14:textId="77777777" w:rsidR="00051507" w:rsidRPr="000125B2" w:rsidRDefault="00051507" w:rsidP="00DF5625">
            <w:pPr>
              <w:jc w:val="right"/>
              <w:rPr>
                <w:sz w:val="18"/>
                <w:szCs w:val="18"/>
              </w:rPr>
            </w:pPr>
            <w:r w:rsidRPr="000125B2">
              <w:rPr>
                <w:sz w:val="18"/>
                <w:szCs w:val="18"/>
              </w:rPr>
              <w:t xml:space="preserve">         9.508.477 </w:t>
            </w:r>
          </w:p>
        </w:tc>
        <w:tc>
          <w:tcPr>
            <w:tcW w:w="185" w:type="dxa"/>
            <w:tcBorders>
              <w:top w:val="nil"/>
              <w:left w:val="nil"/>
              <w:bottom w:val="nil"/>
              <w:right w:val="nil"/>
            </w:tcBorders>
            <w:shd w:val="clear" w:color="000000" w:fill="FFFFFF"/>
            <w:noWrap/>
            <w:vAlign w:val="bottom"/>
            <w:hideMark/>
          </w:tcPr>
          <w:p w14:paraId="23F73D6F" w14:textId="77777777" w:rsidR="00051507" w:rsidRPr="000125B2" w:rsidRDefault="00051507" w:rsidP="00DF5625">
            <w:pPr>
              <w:jc w:val="right"/>
              <w:rPr>
                <w:sz w:val="18"/>
                <w:szCs w:val="18"/>
              </w:rPr>
            </w:pPr>
            <w:r w:rsidRPr="000125B2">
              <w:rPr>
                <w:sz w:val="18"/>
                <w:szCs w:val="18"/>
              </w:rPr>
              <w:t> </w:t>
            </w:r>
          </w:p>
        </w:tc>
        <w:tc>
          <w:tcPr>
            <w:tcW w:w="1320" w:type="dxa"/>
            <w:tcBorders>
              <w:top w:val="nil"/>
              <w:left w:val="nil"/>
              <w:bottom w:val="nil"/>
              <w:right w:val="nil"/>
            </w:tcBorders>
            <w:shd w:val="clear" w:color="000000" w:fill="FFFFFF"/>
            <w:noWrap/>
            <w:vAlign w:val="bottom"/>
            <w:hideMark/>
          </w:tcPr>
          <w:p w14:paraId="5EFCA1DD" w14:textId="77777777" w:rsidR="00051507" w:rsidRPr="000125B2" w:rsidRDefault="00051507" w:rsidP="00DF5625">
            <w:pPr>
              <w:jc w:val="right"/>
              <w:rPr>
                <w:sz w:val="18"/>
                <w:szCs w:val="18"/>
              </w:rPr>
            </w:pPr>
            <w:r w:rsidRPr="000125B2">
              <w:rPr>
                <w:sz w:val="18"/>
                <w:szCs w:val="18"/>
              </w:rPr>
              <w:t xml:space="preserve">         9.574.423 </w:t>
            </w:r>
          </w:p>
        </w:tc>
        <w:tc>
          <w:tcPr>
            <w:tcW w:w="185" w:type="dxa"/>
            <w:tcBorders>
              <w:top w:val="nil"/>
              <w:left w:val="nil"/>
              <w:bottom w:val="nil"/>
              <w:right w:val="nil"/>
            </w:tcBorders>
            <w:shd w:val="clear" w:color="000000" w:fill="FFFFFF"/>
            <w:noWrap/>
            <w:vAlign w:val="bottom"/>
            <w:hideMark/>
          </w:tcPr>
          <w:p w14:paraId="1CDA939F" w14:textId="77777777" w:rsidR="00051507" w:rsidRPr="000125B2" w:rsidRDefault="00051507" w:rsidP="00DF5625">
            <w:pPr>
              <w:jc w:val="right"/>
              <w:rPr>
                <w:sz w:val="18"/>
                <w:szCs w:val="18"/>
              </w:rPr>
            </w:pPr>
            <w:r w:rsidRPr="000125B2">
              <w:rPr>
                <w:sz w:val="18"/>
                <w:szCs w:val="18"/>
              </w:rPr>
              <w:t> </w:t>
            </w:r>
          </w:p>
        </w:tc>
        <w:tc>
          <w:tcPr>
            <w:tcW w:w="1300" w:type="dxa"/>
            <w:tcBorders>
              <w:top w:val="nil"/>
              <w:left w:val="nil"/>
              <w:bottom w:val="nil"/>
              <w:right w:val="nil"/>
            </w:tcBorders>
            <w:shd w:val="clear" w:color="000000" w:fill="FFFFFF"/>
            <w:noWrap/>
            <w:vAlign w:val="bottom"/>
            <w:hideMark/>
          </w:tcPr>
          <w:p w14:paraId="085E09AA" w14:textId="77777777" w:rsidR="00051507" w:rsidRPr="000125B2" w:rsidRDefault="00051507" w:rsidP="00DF5625">
            <w:pPr>
              <w:jc w:val="right"/>
              <w:rPr>
                <w:sz w:val="18"/>
                <w:szCs w:val="18"/>
              </w:rPr>
            </w:pPr>
            <w:r w:rsidRPr="000125B2">
              <w:rPr>
                <w:sz w:val="18"/>
                <w:szCs w:val="18"/>
              </w:rPr>
              <w:t xml:space="preserve">         8.165.620 </w:t>
            </w:r>
          </w:p>
        </w:tc>
      </w:tr>
      <w:tr w:rsidR="00051507" w:rsidRPr="000125B2" w14:paraId="0EEF291B" w14:textId="77777777" w:rsidTr="00DF5625">
        <w:trPr>
          <w:trHeight w:val="290"/>
        </w:trPr>
        <w:tc>
          <w:tcPr>
            <w:tcW w:w="3180" w:type="dxa"/>
            <w:tcBorders>
              <w:top w:val="nil"/>
              <w:left w:val="nil"/>
              <w:bottom w:val="nil"/>
              <w:right w:val="nil"/>
            </w:tcBorders>
            <w:shd w:val="clear" w:color="000000" w:fill="FFFFFF"/>
            <w:noWrap/>
            <w:vAlign w:val="center"/>
            <w:hideMark/>
          </w:tcPr>
          <w:p w14:paraId="59A607C0" w14:textId="77777777" w:rsidR="00051507" w:rsidRPr="000125B2" w:rsidRDefault="00051507" w:rsidP="00DF5625">
            <w:pPr>
              <w:rPr>
                <w:sz w:val="18"/>
                <w:szCs w:val="18"/>
              </w:rPr>
            </w:pPr>
            <w:r w:rsidRPr="000125B2">
              <w:rPr>
                <w:sz w:val="18"/>
                <w:szCs w:val="18"/>
              </w:rPr>
              <w:t>Pasivo corriente</w:t>
            </w:r>
          </w:p>
        </w:tc>
        <w:tc>
          <w:tcPr>
            <w:tcW w:w="1340" w:type="dxa"/>
            <w:tcBorders>
              <w:top w:val="nil"/>
              <w:left w:val="nil"/>
              <w:bottom w:val="nil"/>
              <w:right w:val="nil"/>
            </w:tcBorders>
            <w:shd w:val="clear" w:color="000000" w:fill="FFFFFF"/>
            <w:noWrap/>
            <w:vAlign w:val="bottom"/>
            <w:hideMark/>
          </w:tcPr>
          <w:p w14:paraId="51843501" w14:textId="77777777" w:rsidR="00051507" w:rsidRPr="000125B2" w:rsidRDefault="00051507" w:rsidP="00DF5625">
            <w:pPr>
              <w:jc w:val="right"/>
              <w:rPr>
                <w:sz w:val="18"/>
                <w:szCs w:val="18"/>
              </w:rPr>
            </w:pPr>
            <w:r w:rsidRPr="000125B2">
              <w:rPr>
                <w:sz w:val="18"/>
                <w:szCs w:val="18"/>
              </w:rPr>
              <w:t xml:space="preserve">         1.879.340 </w:t>
            </w:r>
          </w:p>
        </w:tc>
        <w:tc>
          <w:tcPr>
            <w:tcW w:w="185" w:type="dxa"/>
            <w:tcBorders>
              <w:top w:val="nil"/>
              <w:left w:val="nil"/>
              <w:bottom w:val="nil"/>
              <w:right w:val="nil"/>
            </w:tcBorders>
            <w:shd w:val="clear" w:color="000000" w:fill="FFFFFF"/>
            <w:noWrap/>
            <w:vAlign w:val="bottom"/>
            <w:hideMark/>
          </w:tcPr>
          <w:p w14:paraId="57F2428D"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bottom"/>
            <w:hideMark/>
          </w:tcPr>
          <w:p w14:paraId="03EFF73D" w14:textId="77777777" w:rsidR="00051507" w:rsidRPr="000125B2" w:rsidRDefault="00051507" w:rsidP="00DF5625">
            <w:pPr>
              <w:jc w:val="right"/>
              <w:rPr>
                <w:sz w:val="18"/>
                <w:szCs w:val="18"/>
              </w:rPr>
            </w:pPr>
            <w:r w:rsidRPr="000125B2">
              <w:rPr>
                <w:sz w:val="18"/>
                <w:szCs w:val="18"/>
              </w:rPr>
              <w:t xml:space="preserve">         2.693.974 </w:t>
            </w:r>
          </w:p>
        </w:tc>
        <w:tc>
          <w:tcPr>
            <w:tcW w:w="185" w:type="dxa"/>
            <w:tcBorders>
              <w:top w:val="nil"/>
              <w:left w:val="nil"/>
              <w:bottom w:val="nil"/>
              <w:right w:val="nil"/>
            </w:tcBorders>
            <w:shd w:val="clear" w:color="000000" w:fill="FFFFFF"/>
            <w:noWrap/>
            <w:vAlign w:val="bottom"/>
            <w:hideMark/>
          </w:tcPr>
          <w:p w14:paraId="27EC94BC" w14:textId="77777777" w:rsidR="00051507" w:rsidRPr="000125B2" w:rsidRDefault="00051507" w:rsidP="00DF5625">
            <w:pPr>
              <w:jc w:val="right"/>
              <w:rPr>
                <w:sz w:val="18"/>
                <w:szCs w:val="18"/>
              </w:rPr>
            </w:pPr>
            <w:r w:rsidRPr="000125B2">
              <w:rPr>
                <w:sz w:val="18"/>
                <w:szCs w:val="18"/>
              </w:rPr>
              <w:t> </w:t>
            </w:r>
          </w:p>
        </w:tc>
        <w:tc>
          <w:tcPr>
            <w:tcW w:w="1320" w:type="dxa"/>
            <w:tcBorders>
              <w:top w:val="nil"/>
              <w:left w:val="nil"/>
              <w:bottom w:val="nil"/>
              <w:right w:val="nil"/>
            </w:tcBorders>
            <w:shd w:val="clear" w:color="000000" w:fill="FFFFFF"/>
            <w:noWrap/>
            <w:vAlign w:val="bottom"/>
            <w:hideMark/>
          </w:tcPr>
          <w:p w14:paraId="3A12C544" w14:textId="77777777" w:rsidR="00051507" w:rsidRPr="000125B2" w:rsidRDefault="00051507" w:rsidP="00DF5625">
            <w:pPr>
              <w:jc w:val="right"/>
              <w:rPr>
                <w:sz w:val="18"/>
                <w:szCs w:val="18"/>
              </w:rPr>
            </w:pPr>
            <w:r w:rsidRPr="000125B2">
              <w:rPr>
                <w:sz w:val="18"/>
                <w:szCs w:val="18"/>
              </w:rPr>
              <w:t xml:space="preserve">         3.858.092 </w:t>
            </w:r>
          </w:p>
        </w:tc>
        <w:tc>
          <w:tcPr>
            <w:tcW w:w="185" w:type="dxa"/>
            <w:tcBorders>
              <w:top w:val="nil"/>
              <w:left w:val="nil"/>
              <w:bottom w:val="nil"/>
              <w:right w:val="nil"/>
            </w:tcBorders>
            <w:shd w:val="clear" w:color="000000" w:fill="FFFFFF"/>
            <w:noWrap/>
            <w:vAlign w:val="bottom"/>
            <w:hideMark/>
          </w:tcPr>
          <w:p w14:paraId="7D269ACA" w14:textId="77777777" w:rsidR="00051507" w:rsidRPr="000125B2" w:rsidRDefault="00051507" w:rsidP="00DF5625">
            <w:pPr>
              <w:jc w:val="right"/>
              <w:rPr>
                <w:sz w:val="18"/>
                <w:szCs w:val="18"/>
              </w:rPr>
            </w:pPr>
            <w:r w:rsidRPr="000125B2">
              <w:rPr>
                <w:sz w:val="18"/>
                <w:szCs w:val="18"/>
              </w:rPr>
              <w:t> </w:t>
            </w:r>
          </w:p>
        </w:tc>
        <w:tc>
          <w:tcPr>
            <w:tcW w:w="1300" w:type="dxa"/>
            <w:tcBorders>
              <w:top w:val="nil"/>
              <w:left w:val="nil"/>
              <w:bottom w:val="nil"/>
              <w:right w:val="nil"/>
            </w:tcBorders>
            <w:shd w:val="clear" w:color="000000" w:fill="FFFFFF"/>
            <w:noWrap/>
            <w:vAlign w:val="bottom"/>
            <w:hideMark/>
          </w:tcPr>
          <w:p w14:paraId="4D0D3676" w14:textId="77777777" w:rsidR="00051507" w:rsidRPr="000125B2" w:rsidRDefault="00051507" w:rsidP="00DF5625">
            <w:pPr>
              <w:jc w:val="right"/>
              <w:rPr>
                <w:sz w:val="18"/>
                <w:szCs w:val="18"/>
              </w:rPr>
            </w:pPr>
            <w:r w:rsidRPr="000125B2">
              <w:rPr>
                <w:sz w:val="18"/>
                <w:szCs w:val="18"/>
              </w:rPr>
              <w:t xml:space="preserve">         3.657.840 </w:t>
            </w:r>
          </w:p>
        </w:tc>
      </w:tr>
      <w:tr w:rsidR="00051507" w:rsidRPr="000125B2" w14:paraId="71E04244" w14:textId="77777777" w:rsidTr="00DF5625">
        <w:trPr>
          <w:trHeight w:val="290"/>
        </w:trPr>
        <w:tc>
          <w:tcPr>
            <w:tcW w:w="3180" w:type="dxa"/>
            <w:tcBorders>
              <w:top w:val="nil"/>
              <w:left w:val="nil"/>
              <w:bottom w:val="nil"/>
              <w:right w:val="nil"/>
            </w:tcBorders>
            <w:shd w:val="clear" w:color="000000" w:fill="FFFFFF"/>
            <w:noWrap/>
            <w:vAlign w:val="center"/>
            <w:hideMark/>
          </w:tcPr>
          <w:p w14:paraId="0808BB4B" w14:textId="77777777" w:rsidR="00051507" w:rsidRPr="000125B2" w:rsidRDefault="00051507" w:rsidP="00DF5625">
            <w:pPr>
              <w:rPr>
                <w:b/>
                <w:bCs/>
                <w:sz w:val="18"/>
                <w:szCs w:val="18"/>
              </w:rPr>
            </w:pPr>
            <w:proofErr w:type="gramStart"/>
            <w:r w:rsidRPr="000125B2">
              <w:rPr>
                <w:b/>
                <w:bCs/>
                <w:sz w:val="18"/>
                <w:szCs w:val="18"/>
              </w:rPr>
              <w:t>Total</w:t>
            </w:r>
            <w:proofErr w:type="gramEnd"/>
            <w:r w:rsidRPr="000125B2">
              <w:rPr>
                <w:b/>
                <w:bCs/>
                <w:sz w:val="18"/>
                <w:szCs w:val="18"/>
              </w:rPr>
              <w:t xml:space="preserve"> pasivo</w:t>
            </w:r>
          </w:p>
        </w:tc>
        <w:tc>
          <w:tcPr>
            <w:tcW w:w="1340" w:type="dxa"/>
            <w:tcBorders>
              <w:top w:val="single" w:sz="4" w:space="0" w:color="auto"/>
              <w:left w:val="nil"/>
              <w:bottom w:val="single" w:sz="4" w:space="0" w:color="auto"/>
              <w:right w:val="nil"/>
            </w:tcBorders>
            <w:shd w:val="clear" w:color="000000" w:fill="FFFFFF"/>
            <w:noWrap/>
            <w:vAlign w:val="bottom"/>
            <w:hideMark/>
          </w:tcPr>
          <w:p w14:paraId="5205CE7D" w14:textId="77777777" w:rsidR="00051507" w:rsidRPr="000125B2" w:rsidRDefault="00051507" w:rsidP="00DF5625">
            <w:pPr>
              <w:jc w:val="right"/>
              <w:rPr>
                <w:b/>
                <w:bCs/>
                <w:sz w:val="18"/>
                <w:szCs w:val="18"/>
              </w:rPr>
            </w:pPr>
            <w:r w:rsidRPr="000125B2">
              <w:rPr>
                <w:b/>
                <w:bCs/>
                <w:sz w:val="18"/>
                <w:szCs w:val="18"/>
              </w:rPr>
              <w:t xml:space="preserve">        12.284.602 </w:t>
            </w:r>
          </w:p>
        </w:tc>
        <w:tc>
          <w:tcPr>
            <w:tcW w:w="185" w:type="dxa"/>
            <w:tcBorders>
              <w:top w:val="nil"/>
              <w:left w:val="nil"/>
              <w:bottom w:val="nil"/>
              <w:right w:val="nil"/>
            </w:tcBorders>
            <w:shd w:val="clear" w:color="000000" w:fill="FFFFFF"/>
            <w:noWrap/>
            <w:vAlign w:val="bottom"/>
            <w:hideMark/>
          </w:tcPr>
          <w:p w14:paraId="43CF6BA0" w14:textId="77777777" w:rsidR="00051507" w:rsidRPr="000125B2" w:rsidRDefault="00051507" w:rsidP="00DF5625">
            <w:pPr>
              <w:jc w:val="right"/>
              <w:rPr>
                <w:b/>
                <w:bCs/>
                <w:sz w:val="18"/>
                <w:szCs w:val="18"/>
              </w:rPr>
            </w:pPr>
            <w:r w:rsidRPr="000125B2">
              <w:rPr>
                <w:b/>
                <w:bCs/>
                <w:sz w:val="18"/>
                <w:szCs w:val="18"/>
              </w:rPr>
              <w:t> </w:t>
            </w:r>
          </w:p>
        </w:tc>
        <w:tc>
          <w:tcPr>
            <w:tcW w:w="1340" w:type="dxa"/>
            <w:tcBorders>
              <w:top w:val="single" w:sz="4" w:space="0" w:color="auto"/>
              <w:left w:val="nil"/>
              <w:bottom w:val="single" w:sz="4" w:space="0" w:color="auto"/>
              <w:right w:val="nil"/>
            </w:tcBorders>
            <w:shd w:val="clear" w:color="000000" w:fill="FFFFFF"/>
            <w:noWrap/>
            <w:vAlign w:val="bottom"/>
            <w:hideMark/>
          </w:tcPr>
          <w:p w14:paraId="0760A747" w14:textId="77777777" w:rsidR="00051507" w:rsidRPr="000125B2" w:rsidRDefault="00051507" w:rsidP="00DF5625">
            <w:pPr>
              <w:jc w:val="right"/>
              <w:rPr>
                <w:b/>
                <w:bCs/>
                <w:sz w:val="18"/>
                <w:szCs w:val="18"/>
              </w:rPr>
            </w:pPr>
            <w:r w:rsidRPr="000125B2">
              <w:rPr>
                <w:b/>
                <w:bCs/>
                <w:sz w:val="18"/>
                <w:szCs w:val="18"/>
              </w:rPr>
              <w:t xml:space="preserve">        12.202.451 </w:t>
            </w:r>
          </w:p>
        </w:tc>
        <w:tc>
          <w:tcPr>
            <w:tcW w:w="185" w:type="dxa"/>
            <w:tcBorders>
              <w:top w:val="nil"/>
              <w:left w:val="nil"/>
              <w:bottom w:val="nil"/>
              <w:right w:val="nil"/>
            </w:tcBorders>
            <w:shd w:val="clear" w:color="000000" w:fill="FFFFFF"/>
            <w:noWrap/>
            <w:vAlign w:val="bottom"/>
            <w:hideMark/>
          </w:tcPr>
          <w:p w14:paraId="21FE1394" w14:textId="77777777" w:rsidR="00051507" w:rsidRPr="000125B2" w:rsidRDefault="00051507" w:rsidP="00DF5625">
            <w:pPr>
              <w:jc w:val="right"/>
              <w:rPr>
                <w:b/>
                <w:bCs/>
                <w:sz w:val="18"/>
                <w:szCs w:val="18"/>
              </w:rPr>
            </w:pPr>
            <w:r w:rsidRPr="000125B2">
              <w:rPr>
                <w:b/>
                <w:bCs/>
                <w:sz w:val="18"/>
                <w:szCs w:val="18"/>
              </w:rPr>
              <w:t> </w:t>
            </w:r>
          </w:p>
        </w:tc>
        <w:tc>
          <w:tcPr>
            <w:tcW w:w="1320" w:type="dxa"/>
            <w:tcBorders>
              <w:top w:val="single" w:sz="4" w:space="0" w:color="auto"/>
              <w:left w:val="nil"/>
              <w:bottom w:val="single" w:sz="4" w:space="0" w:color="auto"/>
              <w:right w:val="nil"/>
            </w:tcBorders>
            <w:shd w:val="clear" w:color="000000" w:fill="FFFFFF"/>
            <w:noWrap/>
            <w:vAlign w:val="bottom"/>
            <w:hideMark/>
          </w:tcPr>
          <w:p w14:paraId="2B41E4DE" w14:textId="77777777" w:rsidR="00051507" w:rsidRPr="000125B2" w:rsidRDefault="00051507" w:rsidP="00DF5625">
            <w:pPr>
              <w:jc w:val="right"/>
              <w:rPr>
                <w:b/>
                <w:bCs/>
                <w:sz w:val="18"/>
                <w:szCs w:val="18"/>
              </w:rPr>
            </w:pPr>
            <w:r w:rsidRPr="000125B2">
              <w:rPr>
                <w:b/>
                <w:bCs/>
                <w:sz w:val="18"/>
                <w:szCs w:val="18"/>
              </w:rPr>
              <w:t xml:space="preserve">       13.432.515 </w:t>
            </w:r>
          </w:p>
        </w:tc>
        <w:tc>
          <w:tcPr>
            <w:tcW w:w="185" w:type="dxa"/>
            <w:tcBorders>
              <w:top w:val="nil"/>
              <w:left w:val="nil"/>
              <w:bottom w:val="nil"/>
              <w:right w:val="nil"/>
            </w:tcBorders>
            <w:shd w:val="clear" w:color="000000" w:fill="FFFFFF"/>
            <w:noWrap/>
            <w:vAlign w:val="bottom"/>
            <w:hideMark/>
          </w:tcPr>
          <w:p w14:paraId="19F5D2CC" w14:textId="77777777" w:rsidR="00051507" w:rsidRPr="000125B2" w:rsidRDefault="00051507" w:rsidP="00DF5625">
            <w:pPr>
              <w:jc w:val="right"/>
              <w:rPr>
                <w:b/>
                <w:bCs/>
                <w:sz w:val="18"/>
                <w:szCs w:val="18"/>
              </w:rPr>
            </w:pPr>
            <w:r w:rsidRPr="000125B2">
              <w:rPr>
                <w:b/>
                <w:bCs/>
                <w:sz w:val="18"/>
                <w:szCs w:val="18"/>
              </w:rPr>
              <w:t> </w:t>
            </w:r>
          </w:p>
        </w:tc>
        <w:tc>
          <w:tcPr>
            <w:tcW w:w="1300" w:type="dxa"/>
            <w:tcBorders>
              <w:top w:val="single" w:sz="4" w:space="0" w:color="auto"/>
              <w:left w:val="nil"/>
              <w:bottom w:val="single" w:sz="4" w:space="0" w:color="auto"/>
              <w:right w:val="nil"/>
            </w:tcBorders>
            <w:shd w:val="clear" w:color="000000" w:fill="FFFFFF"/>
            <w:noWrap/>
            <w:vAlign w:val="bottom"/>
            <w:hideMark/>
          </w:tcPr>
          <w:p w14:paraId="06A48DCA" w14:textId="77777777" w:rsidR="00051507" w:rsidRPr="000125B2" w:rsidRDefault="00051507" w:rsidP="00DF5625">
            <w:pPr>
              <w:jc w:val="right"/>
              <w:rPr>
                <w:b/>
                <w:bCs/>
                <w:sz w:val="18"/>
                <w:szCs w:val="18"/>
              </w:rPr>
            </w:pPr>
            <w:r w:rsidRPr="000125B2">
              <w:rPr>
                <w:b/>
                <w:bCs/>
                <w:sz w:val="18"/>
                <w:szCs w:val="18"/>
              </w:rPr>
              <w:t xml:space="preserve">       11.823.460 </w:t>
            </w:r>
          </w:p>
        </w:tc>
      </w:tr>
      <w:tr w:rsidR="00051507" w:rsidRPr="000125B2" w14:paraId="6A609D73" w14:textId="77777777" w:rsidTr="00DF5625">
        <w:trPr>
          <w:trHeight w:val="300"/>
        </w:trPr>
        <w:tc>
          <w:tcPr>
            <w:tcW w:w="3180" w:type="dxa"/>
            <w:tcBorders>
              <w:top w:val="nil"/>
              <w:left w:val="nil"/>
              <w:bottom w:val="nil"/>
              <w:right w:val="nil"/>
            </w:tcBorders>
            <w:shd w:val="clear" w:color="000000" w:fill="FFFFFF"/>
            <w:noWrap/>
            <w:vAlign w:val="center"/>
            <w:hideMark/>
          </w:tcPr>
          <w:p w14:paraId="435B1A45" w14:textId="77777777" w:rsidR="00051507" w:rsidRPr="000125B2" w:rsidRDefault="00051507" w:rsidP="00DF5625">
            <w:pPr>
              <w:rPr>
                <w:b/>
                <w:bCs/>
                <w:sz w:val="18"/>
                <w:szCs w:val="18"/>
              </w:rPr>
            </w:pPr>
            <w:proofErr w:type="gramStart"/>
            <w:r w:rsidRPr="000125B2">
              <w:rPr>
                <w:b/>
                <w:bCs/>
                <w:sz w:val="18"/>
                <w:szCs w:val="18"/>
              </w:rPr>
              <w:t>Total</w:t>
            </w:r>
            <w:proofErr w:type="gramEnd"/>
            <w:r w:rsidRPr="000125B2">
              <w:rPr>
                <w:b/>
                <w:bCs/>
                <w:sz w:val="18"/>
                <w:szCs w:val="18"/>
              </w:rPr>
              <w:t xml:space="preserve"> pasivo + patrimonio</w:t>
            </w:r>
          </w:p>
        </w:tc>
        <w:tc>
          <w:tcPr>
            <w:tcW w:w="1340" w:type="dxa"/>
            <w:tcBorders>
              <w:top w:val="nil"/>
              <w:left w:val="nil"/>
              <w:bottom w:val="double" w:sz="6" w:space="0" w:color="auto"/>
              <w:right w:val="nil"/>
            </w:tcBorders>
            <w:shd w:val="clear" w:color="000000" w:fill="FFFFFF"/>
            <w:noWrap/>
            <w:vAlign w:val="bottom"/>
            <w:hideMark/>
          </w:tcPr>
          <w:p w14:paraId="190BB4BE" w14:textId="77777777" w:rsidR="00051507" w:rsidRPr="000125B2" w:rsidRDefault="00051507" w:rsidP="00DF5625">
            <w:pPr>
              <w:jc w:val="right"/>
              <w:rPr>
                <w:b/>
                <w:bCs/>
                <w:sz w:val="18"/>
                <w:szCs w:val="18"/>
              </w:rPr>
            </w:pPr>
            <w:r w:rsidRPr="000125B2">
              <w:rPr>
                <w:b/>
                <w:bCs/>
                <w:sz w:val="18"/>
                <w:szCs w:val="18"/>
              </w:rPr>
              <w:t xml:space="preserve">        17.868.747 </w:t>
            </w:r>
          </w:p>
        </w:tc>
        <w:tc>
          <w:tcPr>
            <w:tcW w:w="185" w:type="dxa"/>
            <w:tcBorders>
              <w:top w:val="nil"/>
              <w:left w:val="nil"/>
              <w:bottom w:val="nil"/>
              <w:right w:val="nil"/>
            </w:tcBorders>
            <w:shd w:val="clear" w:color="000000" w:fill="FFFFFF"/>
            <w:noWrap/>
            <w:vAlign w:val="bottom"/>
            <w:hideMark/>
          </w:tcPr>
          <w:p w14:paraId="7121912C" w14:textId="77777777" w:rsidR="00051507" w:rsidRPr="000125B2" w:rsidRDefault="00051507" w:rsidP="00DF5625">
            <w:pPr>
              <w:jc w:val="right"/>
              <w:rPr>
                <w:b/>
                <w:bCs/>
                <w:sz w:val="18"/>
                <w:szCs w:val="18"/>
              </w:rPr>
            </w:pPr>
            <w:r w:rsidRPr="000125B2">
              <w:rPr>
                <w:b/>
                <w:bCs/>
                <w:sz w:val="18"/>
                <w:szCs w:val="18"/>
              </w:rPr>
              <w:t> </w:t>
            </w:r>
          </w:p>
        </w:tc>
        <w:tc>
          <w:tcPr>
            <w:tcW w:w="1340" w:type="dxa"/>
            <w:tcBorders>
              <w:top w:val="nil"/>
              <w:left w:val="nil"/>
              <w:bottom w:val="double" w:sz="6" w:space="0" w:color="auto"/>
              <w:right w:val="nil"/>
            </w:tcBorders>
            <w:shd w:val="clear" w:color="000000" w:fill="FFFFFF"/>
            <w:noWrap/>
            <w:vAlign w:val="bottom"/>
            <w:hideMark/>
          </w:tcPr>
          <w:p w14:paraId="2FCB2F02" w14:textId="77777777" w:rsidR="00051507" w:rsidRPr="000125B2" w:rsidRDefault="00051507" w:rsidP="00DF5625">
            <w:pPr>
              <w:jc w:val="right"/>
              <w:rPr>
                <w:b/>
                <w:bCs/>
                <w:sz w:val="18"/>
                <w:szCs w:val="18"/>
              </w:rPr>
            </w:pPr>
            <w:r w:rsidRPr="000125B2">
              <w:rPr>
                <w:b/>
                <w:bCs/>
                <w:sz w:val="18"/>
                <w:szCs w:val="18"/>
              </w:rPr>
              <w:t xml:space="preserve">        15.588.468 </w:t>
            </w:r>
          </w:p>
        </w:tc>
        <w:tc>
          <w:tcPr>
            <w:tcW w:w="185" w:type="dxa"/>
            <w:tcBorders>
              <w:top w:val="nil"/>
              <w:left w:val="nil"/>
              <w:bottom w:val="nil"/>
              <w:right w:val="nil"/>
            </w:tcBorders>
            <w:shd w:val="clear" w:color="000000" w:fill="FFFFFF"/>
            <w:noWrap/>
            <w:vAlign w:val="bottom"/>
            <w:hideMark/>
          </w:tcPr>
          <w:p w14:paraId="20D73A78" w14:textId="77777777" w:rsidR="00051507" w:rsidRPr="000125B2" w:rsidRDefault="00051507" w:rsidP="00DF5625">
            <w:pPr>
              <w:jc w:val="right"/>
              <w:rPr>
                <w:b/>
                <w:bCs/>
                <w:sz w:val="18"/>
                <w:szCs w:val="18"/>
              </w:rPr>
            </w:pPr>
            <w:r w:rsidRPr="000125B2">
              <w:rPr>
                <w:b/>
                <w:bCs/>
                <w:sz w:val="18"/>
                <w:szCs w:val="18"/>
              </w:rPr>
              <w:t> </w:t>
            </w:r>
          </w:p>
        </w:tc>
        <w:tc>
          <w:tcPr>
            <w:tcW w:w="1320" w:type="dxa"/>
            <w:tcBorders>
              <w:top w:val="nil"/>
              <w:left w:val="nil"/>
              <w:bottom w:val="double" w:sz="6" w:space="0" w:color="auto"/>
              <w:right w:val="nil"/>
            </w:tcBorders>
            <w:shd w:val="clear" w:color="000000" w:fill="FFFFFF"/>
            <w:noWrap/>
            <w:vAlign w:val="bottom"/>
            <w:hideMark/>
          </w:tcPr>
          <w:p w14:paraId="7BEABFCB" w14:textId="77777777" w:rsidR="00051507" w:rsidRPr="000125B2" w:rsidRDefault="00051507" w:rsidP="00DF5625">
            <w:pPr>
              <w:jc w:val="right"/>
              <w:rPr>
                <w:b/>
                <w:bCs/>
                <w:sz w:val="18"/>
                <w:szCs w:val="18"/>
              </w:rPr>
            </w:pPr>
            <w:r w:rsidRPr="000125B2">
              <w:rPr>
                <w:b/>
                <w:bCs/>
                <w:sz w:val="18"/>
                <w:szCs w:val="18"/>
              </w:rPr>
              <w:t xml:space="preserve">       15.816.078 </w:t>
            </w:r>
          </w:p>
        </w:tc>
        <w:tc>
          <w:tcPr>
            <w:tcW w:w="185" w:type="dxa"/>
            <w:tcBorders>
              <w:top w:val="nil"/>
              <w:left w:val="nil"/>
              <w:bottom w:val="nil"/>
              <w:right w:val="nil"/>
            </w:tcBorders>
            <w:shd w:val="clear" w:color="000000" w:fill="FFFFFF"/>
            <w:noWrap/>
            <w:vAlign w:val="bottom"/>
            <w:hideMark/>
          </w:tcPr>
          <w:p w14:paraId="77CCC368" w14:textId="77777777" w:rsidR="00051507" w:rsidRPr="000125B2" w:rsidRDefault="00051507" w:rsidP="00DF5625">
            <w:pPr>
              <w:jc w:val="right"/>
              <w:rPr>
                <w:b/>
                <w:bCs/>
                <w:sz w:val="18"/>
                <w:szCs w:val="18"/>
              </w:rPr>
            </w:pPr>
            <w:r w:rsidRPr="000125B2">
              <w:rPr>
                <w:b/>
                <w:bCs/>
                <w:sz w:val="18"/>
                <w:szCs w:val="18"/>
              </w:rPr>
              <w:t> </w:t>
            </w:r>
          </w:p>
        </w:tc>
        <w:tc>
          <w:tcPr>
            <w:tcW w:w="1300" w:type="dxa"/>
            <w:tcBorders>
              <w:top w:val="nil"/>
              <w:left w:val="nil"/>
              <w:bottom w:val="double" w:sz="6" w:space="0" w:color="auto"/>
              <w:right w:val="nil"/>
            </w:tcBorders>
            <w:shd w:val="clear" w:color="000000" w:fill="FFFFFF"/>
            <w:noWrap/>
            <w:vAlign w:val="bottom"/>
            <w:hideMark/>
          </w:tcPr>
          <w:p w14:paraId="057165F2" w14:textId="77777777" w:rsidR="00051507" w:rsidRPr="000125B2" w:rsidRDefault="00051507" w:rsidP="00DF5625">
            <w:pPr>
              <w:jc w:val="right"/>
              <w:rPr>
                <w:b/>
                <w:bCs/>
                <w:sz w:val="18"/>
                <w:szCs w:val="18"/>
              </w:rPr>
            </w:pPr>
            <w:r w:rsidRPr="000125B2">
              <w:rPr>
                <w:b/>
                <w:bCs/>
                <w:sz w:val="18"/>
                <w:szCs w:val="18"/>
              </w:rPr>
              <w:t xml:space="preserve">       14.417.492 </w:t>
            </w:r>
          </w:p>
        </w:tc>
      </w:tr>
      <w:tr w:rsidR="00051507" w:rsidRPr="000125B2" w14:paraId="5B3D5018" w14:textId="77777777" w:rsidTr="00DF5625">
        <w:trPr>
          <w:trHeight w:val="135"/>
        </w:trPr>
        <w:tc>
          <w:tcPr>
            <w:tcW w:w="3180" w:type="dxa"/>
            <w:tcBorders>
              <w:top w:val="nil"/>
              <w:left w:val="nil"/>
              <w:bottom w:val="nil"/>
              <w:right w:val="nil"/>
            </w:tcBorders>
            <w:shd w:val="clear" w:color="000000" w:fill="FFFFFF"/>
            <w:noWrap/>
            <w:vAlign w:val="bottom"/>
            <w:hideMark/>
          </w:tcPr>
          <w:p w14:paraId="178528E2" w14:textId="77777777" w:rsidR="00051507" w:rsidRPr="000125B2" w:rsidRDefault="00051507" w:rsidP="00DF5625">
            <w:pPr>
              <w:rPr>
                <w:rFonts w:cs="Calibri"/>
                <w:sz w:val="18"/>
                <w:szCs w:val="18"/>
              </w:rPr>
            </w:pPr>
            <w:r w:rsidRPr="000125B2">
              <w:rPr>
                <w:rFonts w:cs="Calibri"/>
                <w:sz w:val="18"/>
                <w:szCs w:val="18"/>
              </w:rPr>
              <w:t> </w:t>
            </w:r>
          </w:p>
        </w:tc>
        <w:tc>
          <w:tcPr>
            <w:tcW w:w="1340" w:type="dxa"/>
            <w:tcBorders>
              <w:top w:val="nil"/>
              <w:left w:val="nil"/>
              <w:bottom w:val="nil"/>
              <w:right w:val="nil"/>
            </w:tcBorders>
            <w:shd w:val="clear" w:color="000000" w:fill="FFFFFF"/>
            <w:noWrap/>
            <w:vAlign w:val="bottom"/>
            <w:hideMark/>
          </w:tcPr>
          <w:p w14:paraId="6A7E335A" w14:textId="77777777" w:rsidR="00051507" w:rsidRPr="000125B2" w:rsidRDefault="00051507" w:rsidP="00DF5625">
            <w:pPr>
              <w:rPr>
                <w:sz w:val="18"/>
                <w:szCs w:val="18"/>
              </w:rPr>
            </w:pPr>
            <w:r w:rsidRPr="000125B2">
              <w:rPr>
                <w:sz w:val="18"/>
                <w:szCs w:val="18"/>
              </w:rPr>
              <w:t> </w:t>
            </w:r>
          </w:p>
        </w:tc>
        <w:tc>
          <w:tcPr>
            <w:tcW w:w="185" w:type="dxa"/>
            <w:tcBorders>
              <w:top w:val="nil"/>
              <w:left w:val="nil"/>
              <w:bottom w:val="nil"/>
              <w:right w:val="nil"/>
            </w:tcBorders>
            <w:shd w:val="clear" w:color="000000" w:fill="FFFFFF"/>
            <w:noWrap/>
            <w:vAlign w:val="bottom"/>
            <w:hideMark/>
          </w:tcPr>
          <w:p w14:paraId="0684E7F4" w14:textId="77777777" w:rsidR="00051507" w:rsidRPr="000125B2" w:rsidRDefault="00051507" w:rsidP="00DF5625">
            <w:pPr>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bottom"/>
            <w:hideMark/>
          </w:tcPr>
          <w:p w14:paraId="33C33077" w14:textId="77777777" w:rsidR="00051507" w:rsidRPr="000125B2" w:rsidRDefault="00051507" w:rsidP="00DF5625">
            <w:pPr>
              <w:rPr>
                <w:sz w:val="18"/>
                <w:szCs w:val="18"/>
              </w:rPr>
            </w:pPr>
            <w:r w:rsidRPr="000125B2">
              <w:rPr>
                <w:sz w:val="18"/>
                <w:szCs w:val="18"/>
              </w:rPr>
              <w:t> </w:t>
            </w:r>
          </w:p>
        </w:tc>
        <w:tc>
          <w:tcPr>
            <w:tcW w:w="185" w:type="dxa"/>
            <w:tcBorders>
              <w:top w:val="nil"/>
              <w:left w:val="nil"/>
              <w:bottom w:val="nil"/>
              <w:right w:val="nil"/>
            </w:tcBorders>
            <w:shd w:val="clear" w:color="000000" w:fill="FFFFFF"/>
            <w:noWrap/>
            <w:vAlign w:val="bottom"/>
            <w:hideMark/>
          </w:tcPr>
          <w:p w14:paraId="6227213E" w14:textId="77777777" w:rsidR="00051507" w:rsidRPr="000125B2" w:rsidRDefault="00051507" w:rsidP="00DF5625">
            <w:pPr>
              <w:rPr>
                <w:sz w:val="18"/>
                <w:szCs w:val="18"/>
              </w:rPr>
            </w:pPr>
            <w:r w:rsidRPr="000125B2">
              <w:rPr>
                <w:sz w:val="18"/>
                <w:szCs w:val="18"/>
              </w:rPr>
              <w:t> </w:t>
            </w:r>
          </w:p>
        </w:tc>
        <w:tc>
          <w:tcPr>
            <w:tcW w:w="1320" w:type="dxa"/>
            <w:tcBorders>
              <w:top w:val="nil"/>
              <w:left w:val="nil"/>
              <w:bottom w:val="nil"/>
              <w:right w:val="nil"/>
            </w:tcBorders>
            <w:shd w:val="clear" w:color="000000" w:fill="FFFFFF"/>
            <w:noWrap/>
            <w:vAlign w:val="bottom"/>
            <w:hideMark/>
          </w:tcPr>
          <w:p w14:paraId="12332377" w14:textId="77777777" w:rsidR="00051507" w:rsidRPr="000125B2" w:rsidRDefault="00051507" w:rsidP="00DF5625">
            <w:pPr>
              <w:rPr>
                <w:sz w:val="18"/>
                <w:szCs w:val="18"/>
              </w:rPr>
            </w:pPr>
            <w:r w:rsidRPr="000125B2">
              <w:rPr>
                <w:sz w:val="18"/>
                <w:szCs w:val="18"/>
              </w:rPr>
              <w:t> </w:t>
            </w:r>
          </w:p>
        </w:tc>
        <w:tc>
          <w:tcPr>
            <w:tcW w:w="185" w:type="dxa"/>
            <w:tcBorders>
              <w:top w:val="nil"/>
              <w:left w:val="nil"/>
              <w:bottom w:val="nil"/>
              <w:right w:val="nil"/>
            </w:tcBorders>
            <w:shd w:val="clear" w:color="000000" w:fill="FFFFFF"/>
            <w:noWrap/>
            <w:vAlign w:val="bottom"/>
            <w:hideMark/>
          </w:tcPr>
          <w:p w14:paraId="4EE43AD6" w14:textId="77777777" w:rsidR="00051507" w:rsidRPr="000125B2" w:rsidRDefault="00051507" w:rsidP="00DF5625">
            <w:pPr>
              <w:rPr>
                <w:sz w:val="18"/>
                <w:szCs w:val="18"/>
              </w:rPr>
            </w:pPr>
            <w:r w:rsidRPr="000125B2">
              <w:rPr>
                <w:sz w:val="18"/>
                <w:szCs w:val="18"/>
              </w:rPr>
              <w:t> </w:t>
            </w:r>
          </w:p>
        </w:tc>
        <w:tc>
          <w:tcPr>
            <w:tcW w:w="1300" w:type="dxa"/>
            <w:tcBorders>
              <w:top w:val="nil"/>
              <w:left w:val="nil"/>
              <w:bottom w:val="nil"/>
              <w:right w:val="nil"/>
            </w:tcBorders>
            <w:shd w:val="clear" w:color="000000" w:fill="FFFFFF"/>
            <w:noWrap/>
            <w:vAlign w:val="bottom"/>
            <w:hideMark/>
          </w:tcPr>
          <w:p w14:paraId="24B1FCD5" w14:textId="77777777" w:rsidR="00051507" w:rsidRPr="000125B2" w:rsidRDefault="00051507" w:rsidP="00DF5625">
            <w:pPr>
              <w:rPr>
                <w:sz w:val="18"/>
                <w:szCs w:val="18"/>
              </w:rPr>
            </w:pPr>
            <w:r w:rsidRPr="000125B2">
              <w:rPr>
                <w:sz w:val="18"/>
                <w:szCs w:val="18"/>
              </w:rPr>
              <w:t> </w:t>
            </w:r>
          </w:p>
        </w:tc>
      </w:tr>
    </w:tbl>
    <w:p w14:paraId="5A3684F4" w14:textId="77777777" w:rsidR="00051507" w:rsidRPr="00472C37" w:rsidRDefault="00051507" w:rsidP="00051507">
      <w:pPr>
        <w:rPr>
          <w:b/>
          <w:bCs/>
          <w:sz w:val="18"/>
          <w:szCs w:val="18"/>
        </w:rPr>
      </w:pPr>
      <w:r w:rsidRPr="00472C37">
        <w:rPr>
          <w:b/>
          <w:bCs/>
          <w:sz w:val="18"/>
          <w:szCs w:val="18"/>
        </w:rPr>
        <w:t xml:space="preserve">3. Estructura de resultados comparativa </w:t>
      </w:r>
      <w:r w:rsidRPr="00472C37">
        <w:rPr>
          <w:sz w:val="18"/>
          <w:szCs w:val="18"/>
        </w:rPr>
        <w:t>(en miles de pesos)</w:t>
      </w:r>
    </w:p>
    <w:p w14:paraId="7897757B" w14:textId="77777777" w:rsidR="00051507" w:rsidRPr="00896C5A" w:rsidRDefault="00051507" w:rsidP="00051507">
      <w:pPr>
        <w:rPr>
          <w:sz w:val="18"/>
          <w:szCs w:val="18"/>
          <w:highlight w:val="yellow"/>
        </w:rPr>
      </w:pPr>
    </w:p>
    <w:tbl>
      <w:tblPr>
        <w:tblW w:w="9035" w:type="dxa"/>
        <w:tblCellMar>
          <w:left w:w="70" w:type="dxa"/>
          <w:right w:w="70" w:type="dxa"/>
        </w:tblCellMar>
        <w:tblLook w:val="04A0" w:firstRow="1" w:lastRow="0" w:firstColumn="1" w:lastColumn="0" w:noHBand="0" w:noVBand="1"/>
      </w:tblPr>
      <w:tblGrid>
        <w:gridCol w:w="3180"/>
        <w:gridCol w:w="1340"/>
        <w:gridCol w:w="185"/>
        <w:gridCol w:w="1340"/>
        <w:gridCol w:w="185"/>
        <w:gridCol w:w="1320"/>
        <w:gridCol w:w="185"/>
        <w:gridCol w:w="1300"/>
      </w:tblGrid>
      <w:tr w:rsidR="00051507" w:rsidRPr="000125B2" w14:paraId="7F2E6BE7" w14:textId="77777777" w:rsidTr="00DF5625">
        <w:trPr>
          <w:trHeight w:val="290"/>
        </w:trPr>
        <w:tc>
          <w:tcPr>
            <w:tcW w:w="3180" w:type="dxa"/>
            <w:tcBorders>
              <w:top w:val="nil"/>
              <w:left w:val="nil"/>
              <w:bottom w:val="nil"/>
              <w:right w:val="nil"/>
            </w:tcBorders>
            <w:shd w:val="clear" w:color="000000" w:fill="FFFFFF"/>
            <w:noWrap/>
            <w:vAlign w:val="bottom"/>
            <w:hideMark/>
          </w:tcPr>
          <w:p w14:paraId="6582DEA7" w14:textId="77777777" w:rsidR="00051507" w:rsidRPr="000125B2" w:rsidRDefault="00051507" w:rsidP="00DF5625">
            <w:pPr>
              <w:rPr>
                <w:rFonts w:cs="Calibri"/>
                <w:sz w:val="18"/>
                <w:szCs w:val="18"/>
              </w:rPr>
            </w:pPr>
            <w:r w:rsidRPr="000125B2">
              <w:rPr>
                <w:rFonts w:cs="Calibri"/>
                <w:sz w:val="18"/>
                <w:szCs w:val="18"/>
              </w:rPr>
              <w:t>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486F4" w14:textId="77777777" w:rsidR="00051507" w:rsidRPr="000125B2" w:rsidRDefault="00051507" w:rsidP="00DF5625">
            <w:pPr>
              <w:jc w:val="center"/>
              <w:rPr>
                <w:b/>
                <w:bCs/>
                <w:sz w:val="18"/>
                <w:szCs w:val="18"/>
              </w:rPr>
            </w:pPr>
            <w:r w:rsidRPr="000125B2">
              <w:rPr>
                <w:b/>
                <w:bCs/>
                <w:sz w:val="18"/>
                <w:szCs w:val="18"/>
              </w:rPr>
              <w:t>31.12.21</w:t>
            </w:r>
          </w:p>
        </w:tc>
        <w:tc>
          <w:tcPr>
            <w:tcW w:w="185" w:type="dxa"/>
            <w:tcBorders>
              <w:top w:val="nil"/>
              <w:left w:val="nil"/>
              <w:bottom w:val="nil"/>
              <w:right w:val="nil"/>
            </w:tcBorders>
            <w:shd w:val="clear" w:color="000000" w:fill="FFFFFF"/>
            <w:noWrap/>
            <w:vAlign w:val="bottom"/>
            <w:hideMark/>
          </w:tcPr>
          <w:p w14:paraId="0ADA3A20" w14:textId="77777777" w:rsidR="00051507" w:rsidRPr="000125B2" w:rsidRDefault="00051507" w:rsidP="00DF5625">
            <w:pPr>
              <w:jc w:val="center"/>
              <w:rPr>
                <w:b/>
                <w:bCs/>
                <w:sz w:val="18"/>
                <w:szCs w:val="18"/>
              </w:rPr>
            </w:pPr>
            <w:r w:rsidRPr="000125B2">
              <w:rPr>
                <w:b/>
                <w:bCs/>
                <w:sz w:val="18"/>
                <w:szCs w:val="18"/>
              </w:rPr>
              <w:t>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49E49" w14:textId="77777777" w:rsidR="00051507" w:rsidRPr="000125B2" w:rsidRDefault="00051507" w:rsidP="00DF5625">
            <w:pPr>
              <w:jc w:val="center"/>
              <w:rPr>
                <w:b/>
                <w:bCs/>
                <w:sz w:val="18"/>
                <w:szCs w:val="18"/>
              </w:rPr>
            </w:pPr>
            <w:r w:rsidRPr="000125B2">
              <w:rPr>
                <w:b/>
                <w:bCs/>
                <w:sz w:val="18"/>
                <w:szCs w:val="18"/>
              </w:rPr>
              <w:t>31.12.20</w:t>
            </w:r>
          </w:p>
        </w:tc>
        <w:tc>
          <w:tcPr>
            <w:tcW w:w="185" w:type="dxa"/>
            <w:tcBorders>
              <w:top w:val="nil"/>
              <w:left w:val="nil"/>
              <w:bottom w:val="nil"/>
              <w:right w:val="nil"/>
            </w:tcBorders>
            <w:shd w:val="clear" w:color="000000" w:fill="FFFFFF"/>
            <w:noWrap/>
            <w:vAlign w:val="bottom"/>
            <w:hideMark/>
          </w:tcPr>
          <w:p w14:paraId="73694D5A" w14:textId="77777777" w:rsidR="00051507" w:rsidRPr="000125B2" w:rsidRDefault="00051507" w:rsidP="00DF5625">
            <w:pPr>
              <w:jc w:val="center"/>
              <w:rPr>
                <w:b/>
                <w:bCs/>
                <w:sz w:val="18"/>
                <w:szCs w:val="18"/>
              </w:rPr>
            </w:pPr>
            <w:r w:rsidRPr="000125B2">
              <w:rPr>
                <w:b/>
                <w:bCs/>
                <w:sz w:val="18"/>
                <w:szCs w:val="18"/>
              </w:rPr>
              <w:t> </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97932" w14:textId="77777777" w:rsidR="00051507" w:rsidRPr="000125B2" w:rsidRDefault="00051507" w:rsidP="00DF5625">
            <w:pPr>
              <w:jc w:val="center"/>
              <w:rPr>
                <w:b/>
                <w:bCs/>
                <w:sz w:val="18"/>
                <w:szCs w:val="18"/>
              </w:rPr>
            </w:pPr>
            <w:r w:rsidRPr="000125B2">
              <w:rPr>
                <w:b/>
                <w:bCs/>
                <w:sz w:val="18"/>
                <w:szCs w:val="18"/>
              </w:rPr>
              <w:t>31.12.19</w:t>
            </w:r>
          </w:p>
        </w:tc>
        <w:tc>
          <w:tcPr>
            <w:tcW w:w="185" w:type="dxa"/>
            <w:tcBorders>
              <w:top w:val="nil"/>
              <w:left w:val="nil"/>
              <w:bottom w:val="nil"/>
              <w:right w:val="nil"/>
            </w:tcBorders>
            <w:shd w:val="clear" w:color="000000" w:fill="FFFFFF"/>
            <w:noWrap/>
            <w:vAlign w:val="bottom"/>
            <w:hideMark/>
          </w:tcPr>
          <w:p w14:paraId="313B449D" w14:textId="77777777" w:rsidR="00051507" w:rsidRPr="000125B2" w:rsidRDefault="00051507" w:rsidP="00DF5625">
            <w:pPr>
              <w:jc w:val="center"/>
              <w:rPr>
                <w:b/>
                <w:bCs/>
                <w:sz w:val="18"/>
                <w:szCs w:val="18"/>
              </w:rPr>
            </w:pPr>
            <w:r w:rsidRPr="000125B2">
              <w:rPr>
                <w:b/>
                <w:bCs/>
                <w:sz w:val="18"/>
                <w:szCs w:val="18"/>
              </w:rPr>
              <w:t> </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3FF85" w14:textId="77777777" w:rsidR="00051507" w:rsidRPr="000125B2" w:rsidRDefault="00051507" w:rsidP="00DF5625">
            <w:pPr>
              <w:jc w:val="center"/>
              <w:rPr>
                <w:b/>
                <w:bCs/>
                <w:sz w:val="18"/>
                <w:szCs w:val="18"/>
              </w:rPr>
            </w:pPr>
            <w:r w:rsidRPr="000125B2">
              <w:rPr>
                <w:b/>
                <w:bCs/>
                <w:sz w:val="18"/>
                <w:szCs w:val="18"/>
              </w:rPr>
              <w:t>31.12.18</w:t>
            </w:r>
          </w:p>
        </w:tc>
      </w:tr>
      <w:tr w:rsidR="00051507" w:rsidRPr="000125B2" w14:paraId="32F50617" w14:textId="77777777" w:rsidTr="00DF5625">
        <w:trPr>
          <w:trHeight w:val="290"/>
        </w:trPr>
        <w:tc>
          <w:tcPr>
            <w:tcW w:w="3180" w:type="dxa"/>
            <w:tcBorders>
              <w:top w:val="nil"/>
              <w:left w:val="nil"/>
              <w:bottom w:val="nil"/>
              <w:right w:val="nil"/>
            </w:tcBorders>
            <w:shd w:val="clear" w:color="000000" w:fill="FFFFFF"/>
            <w:noWrap/>
            <w:vAlign w:val="center"/>
            <w:hideMark/>
          </w:tcPr>
          <w:p w14:paraId="32EE6DE9" w14:textId="77777777" w:rsidR="00051507" w:rsidRPr="000125B2" w:rsidRDefault="00051507" w:rsidP="00DF5625">
            <w:pPr>
              <w:rPr>
                <w:sz w:val="18"/>
                <w:szCs w:val="18"/>
              </w:rPr>
            </w:pPr>
            <w:r w:rsidRPr="000125B2">
              <w:rPr>
                <w:sz w:val="18"/>
                <w:szCs w:val="18"/>
              </w:rPr>
              <w:t xml:space="preserve"> Resultado operativo ordinario </w:t>
            </w:r>
          </w:p>
        </w:tc>
        <w:tc>
          <w:tcPr>
            <w:tcW w:w="1340" w:type="dxa"/>
            <w:tcBorders>
              <w:top w:val="nil"/>
              <w:left w:val="nil"/>
              <w:bottom w:val="nil"/>
              <w:right w:val="nil"/>
            </w:tcBorders>
            <w:shd w:val="clear" w:color="000000" w:fill="FFFFFF"/>
            <w:noWrap/>
            <w:vAlign w:val="bottom"/>
            <w:hideMark/>
          </w:tcPr>
          <w:p w14:paraId="7FFB5A2F" w14:textId="77777777" w:rsidR="00051507" w:rsidRPr="000125B2" w:rsidRDefault="00051507" w:rsidP="00DF5625">
            <w:pPr>
              <w:jc w:val="right"/>
              <w:rPr>
                <w:sz w:val="18"/>
                <w:szCs w:val="18"/>
              </w:rPr>
            </w:pPr>
            <w:r w:rsidRPr="000125B2">
              <w:rPr>
                <w:sz w:val="18"/>
                <w:szCs w:val="18"/>
              </w:rPr>
              <w:t xml:space="preserve">  2.476.491 </w:t>
            </w:r>
          </w:p>
        </w:tc>
        <w:tc>
          <w:tcPr>
            <w:tcW w:w="185" w:type="dxa"/>
            <w:tcBorders>
              <w:top w:val="nil"/>
              <w:left w:val="nil"/>
              <w:bottom w:val="nil"/>
              <w:right w:val="nil"/>
            </w:tcBorders>
            <w:shd w:val="clear" w:color="000000" w:fill="FFFFFF"/>
            <w:noWrap/>
            <w:vAlign w:val="bottom"/>
            <w:hideMark/>
          </w:tcPr>
          <w:p w14:paraId="68BFB568"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bottom"/>
            <w:hideMark/>
          </w:tcPr>
          <w:p w14:paraId="1D9F4C32" w14:textId="77777777" w:rsidR="00051507" w:rsidRPr="000125B2" w:rsidRDefault="00051507" w:rsidP="00DF5625">
            <w:pPr>
              <w:jc w:val="right"/>
              <w:rPr>
                <w:sz w:val="18"/>
                <w:szCs w:val="18"/>
              </w:rPr>
            </w:pPr>
            <w:r w:rsidRPr="000125B2">
              <w:rPr>
                <w:sz w:val="18"/>
                <w:szCs w:val="18"/>
              </w:rPr>
              <w:t xml:space="preserve">  2.063.591 </w:t>
            </w:r>
          </w:p>
        </w:tc>
        <w:tc>
          <w:tcPr>
            <w:tcW w:w="185" w:type="dxa"/>
            <w:tcBorders>
              <w:top w:val="nil"/>
              <w:left w:val="nil"/>
              <w:bottom w:val="nil"/>
              <w:right w:val="nil"/>
            </w:tcBorders>
            <w:shd w:val="clear" w:color="000000" w:fill="FFFFFF"/>
            <w:noWrap/>
            <w:vAlign w:val="bottom"/>
            <w:hideMark/>
          </w:tcPr>
          <w:p w14:paraId="033AE5D8" w14:textId="77777777" w:rsidR="00051507" w:rsidRPr="000125B2" w:rsidRDefault="00051507" w:rsidP="00DF5625">
            <w:pPr>
              <w:jc w:val="right"/>
              <w:rPr>
                <w:sz w:val="18"/>
                <w:szCs w:val="18"/>
              </w:rPr>
            </w:pPr>
            <w:r w:rsidRPr="000125B2">
              <w:rPr>
                <w:sz w:val="18"/>
                <w:szCs w:val="18"/>
              </w:rPr>
              <w:t> </w:t>
            </w:r>
          </w:p>
        </w:tc>
        <w:tc>
          <w:tcPr>
            <w:tcW w:w="1320" w:type="dxa"/>
            <w:tcBorders>
              <w:top w:val="nil"/>
              <w:left w:val="nil"/>
              <w:bottom w:val="nil"/>
              <w:right w:val="nil"/>
            </w:tcBorders>
            <w:shd w:val="clear" w:color="000000" w:fill="FFFFFF"/>
            <w:noWrap/>
            <w:vAlign w:val="bottom"/>
            <w:hideMark/>
          </w:tcPr>
          <w:p w14:paraId="0590547B" w14:textId="77777777" w:rsidR="00051507" w:rsidRPr="000125B2" w:rsidRDefault="00051507" w:rsidP="00DF5625">
            <w:pPr>
              <w:jc w:val="right"/>
              <w:rPr>
                <w:sz w:val="18"/>
                <w:szCs w:val="18"/>
              </w:rPr>
            </w:pPr>
            <w:r w:rsidRPr="000125B2">
              <w:rPr>
                <w:sz w:val="18"/>
                <w:szCs w:val="18"/>
              </w:rPr>
              <w:t xml:space="preserve">  2.312.428 </w:t>
            </w:r>
          </w:p>
        </w:tc>
        <w:tc>
          <w:tcPr>
            <w:tcW w:w="185" w:type="dxa"/>
            <w:tcBorders>
              <w:top w:val="nil"/>
              <w:left w:val="nil"/>
              <w:bottom w:val="nil"/>
              <w:right w:val="nil"/>
            </w:tcBorders>
            <w:shd w:val="clear" w:color="000000" w:fill="FFFFFF"/>
            <w:noWrap/>
            <w:vAlign w:val="bottom"/>
            <w:hideMark/>
          </w:tcPr>
          <w:p w14:paraId="0D05B154" w14:textId="77777777" w:rsidR="00051507" w:rsidRPr="000125B2" w:rsidRDefault="00051507" w:rsidP="00DF5625">
            <w:pPr>
              <w:jc w:val="right"/>
              <w:rPr>
                <w:sz w:val="18"/>
                <w:szCs w:val="18"/>
              </w:rPr>
            </w:pPr>
            <w:r w:rsidRPr="000125B2">
              <w:rPr>
                <w:sz w:val="18"/>
                <w:szCs w:val="18"/>
              </w:rPr>
              <w:t> </w:t>
            </w:r>
          </w:p>
        </w:tc>
        <w:tc>
          <w:tcPr>
            <w:tcW w:w="1300" w:type="dxa"/>
            <w:tcBorders>
              <w:top w:val="nil"/>
              <w:left w:val="nil"/>
              <w:bottom w:val="nil"/>
              <w:right w:val="nil"/>
            </w:tcBorders>
            <w:shd w:val="clear" w:color="000000" w:fill="FFFFFF"/>
            <w:noWrap/>
            <w:vAlign w:val="bottom"/>
            <w:hideMark/>
          </w:tcPr>
          <w:p w14:paraId="2E70A84B" w14:textId="77777777" w:rsidR="00051507" w:rsidRPr="000125B2" w:rsidRDefault="00051507" w:rsidP="00DF5625">
            <w:pPr>
              <w:jc w:val="right"/>
              <w:rPr>
                <w:sz w:val="18"/>
                <w:szCs w:val="18"/>
              </w:rPr>
            </w:pPr>
            <w:r w:rsidRPr="000125B2">
              <w:rPr>
                <w:sz w:val="18"/>
                <w:szCs w:val="18"/>
              </w:rPr>
              <w:t xml:space="preserve">  868.407 </w:t>
            </w:r>
          </w:p>
        </w:tc>
      </w:tr>
      <w:tr w:rsidR="00051507" w:rsidRPr="000125B2" w14:paraId="54985558" w14:textId="77777777" w:rsidTr="00DF5625">
        <w:trPr>
          <w:trHeight w:val="290"/>
        </w:trPr>
        <w:tc>
          <w:tcPr>
            <w:tcW w:w="3180" w:type="dxa"/>
            <w:tcBorders>
              <w:top w:val="nil"/>
              <w:left w:val="nil"/>
              <w:bottom w:val="nil"/>
              <w:right w:val="nil"/>
            </w:tcBorders>
            <w:shd w:val="clear" w:color="000000" w:fill="FFFFFF"/>
            <w:noWrap/>
            <w:vAlign w:val="center"/>
            <w:hideMark/>
          </w:tcPr>
          <w:p w14:paraId="7CF75FD1" w14:textId="77777777" w:rsidR="00051507" w:rsidRPr="000125B2" w:rsidRDefault="00051507" w:rsidP="00DF5625">
            <w:pPr>
              <w:rPr>
                <w:sz w:val="18"/>
                <w:szCs w:val="18"/>
              </w:rPr>
            </w:pPr>
            <w:r w:rsidRPr="000125B2">
              <w:rPr>
                <w:sz w:val="18"/>
                <w:szCs w:val="18"/>
              </w:rPr>
              <w:t xml:space="preserve"> Resultados financieros y por tenencia </w:t>
            </w:r>
          </w:p>
        </w:tc>
        <w:tc>
          <w:tcPr>
            <w:tcW w:w="1340" w:type="dxa"/>
            <w:tcBorders>
              <w:top w:val="nil"/>
              <w:left w:val="nil"/>
              <w:bottom w:val="nil"/>
              <w:right w:val="nil"/>
            </w:tcBorders>
            <w:shd w:val="clear" w:color="000000" w:fill="FFFFFF"/>
            <w:noWrap/>
            <w:vAlign w:val="bottom"/>
            <w:hideMark/>
          </w:tcPr>
          <w:p w14:paraId="3923CF5C" w14:textId="77777777" w:rsidR="00051507" w:rsidRPr="000125B2" w:rsidRDefault="00051507" w:rsidP="00DF5625">
            <w:pPr>
              <w:jc w:val="right"/>
              <w:rPr>
                <w:sz w:val="18"/>
                <w:szCs w:val="18"/>
              </w:rPr>
            </w:pPr>
            <w:r w:rsidRPr="000125B2">
              <w:rPr>
                <w:sz w:val="18"/>
                <w:szCs w:val="18"/>
              </w:rPr>
              <w:t xml:space="preserve"> (1.159.161) </w:t>
            </w:r>
          </w:p>
        </w:tc>
        <w:tc>
          <w:tcPr>
            <w:tcW w:w="185" w:type="dxa"/>
            <w:tcBorders>
              <w:top w:val="nil"/>
              <w:left w:val="nil"/>
              <w:bottom w:val="nil"/>
              <w:right w:val="nil"/>
            </w:tcBorders>
            <w:shd w:val="clear" w:color="000000" w:fill="FFFFFF"/>
            <w:noWrap/>
            <w:vAlign w:val="bottom"/>
            <w:hideMark/>
          </w:tcPr>
          <w:p w14:paraId="2DD6CEC5"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bottom"/>
            <w:hideMark/>
          </w:tcPr>
          <w:p w14:paraId="24C726F2" w14:textId="77777777" w:rsidR="00051507" w:rsidRPr="000125B2" w:rsidRDefault="00051507" w:rsidP="00DF5625">
            <w:pPr>
              <w:jc w:val="right"/>
              <w:rPr>
                <w:sz w:val="18"/>
                <w:szCs w:val="18"/>
              </w:rPr>
            </w:pPr>
            <w:r w:rsidRPr="000125B2">
              <w:rPr>
                <w:sz w:val="18"/>
                <w:szCs w:val="18"/>
              </w:rPr>
              <w:t xml:space="preserve"> (1.193.426) </w:t>
            </w:r>
          </w:p>
        </w:tc>
        <w:tc>
          <w:tcPr>
            <w:tcW w:w="185" w:type="dxa"/>
            <w:tcBorders>
              <w:top w:val="nil"/>
              <w:left w:val="nil"/>
              <w:bottom w:val="nil"/>
              <w:right w:val="nil"/>
            </w:tcBorders>
            <w:shd w:val="clear" w:color="000000" w:fill="FFFFFF"/>
            <w:noWrap/>
            <w:vAlign w:val="bottom"/>
            <w:hideMark/>
          </w:tcPr>
          <w:p w14:paraId="072DE16B" w14:textId="77777777" w:rsidR="00051507" w:rsidRPr="000125B2" w:rsidRDefault="00051507" w:rsidP="00DF5625">
            <w:pPr>
              <w:jc w:val="right"/>
              <w:rPr>
                <w:sz w:val="18"/>
                <w:szCs w:val="18"/>
              </w:rPr>
            </w:pPr>
            <w:r w:rsidRPr="000125B2">
              <w:rPr>
                <w:sz w:val="18"/>
                <w:szCs w:val="18"/>
              </w:rPr>
              <w:t> </w:t>
            </w:r>
          </w:p>
        </w:tc>
        <w:tc>
          <w:tcPr>
            <w:tcW w:w="1320" w:type="dxa"/>
            <w:tcBorders>
              <w:top w:val="nil"/>
              <w:left w:val="nil"/>
              <w:bottom w:val="nil"/>
              <w:right w:val="nil"/>
            </w:tcBorders>
            <w:shd w:val="clear" w:color="000000" w:fill="FFFFFF"/>
            <w:noWrap/>
            <w:vAlign w:val="bottom"/>
            <w:hideMark/>
          </w:tcPr>
          <w:p w14:paraId="062D6EA3" w14:textId="77777777" w:rsidR="00051507" w:rsidRPr="000125B2" w:rsidRDefault="00051507" w:rsidP="00DF5625">
            <w:pPr>
              <w:jc w:val="right"/>
              <w:rPr>
                <w:sz w:val="18"/>
                <w:szCs w:val="18"/>
              </w:rPr>
            </w:pPr>
            <w:r w:rsidRPr="000125B2">
              <w:rPr>
                <w:sz w:val="18"/>
                <w:szCs w:val="18"/>
              </w:rPr>
              <w:t xml:space="preserve"> (1.218.580) </w:t>
            </w:r>
          </w:p>
        </w:tc>
        <w:tc>
          <w:tcPr>
            <w:tcW w:w="185" w:type="dxa"/>
            <w:tcBorders>
              <w:top w:val="nil"/>
              <w:left w:val="nil"/>
              <w:bottom w:val="nil"/>
              <w:right w:val="nil"/>
            </w:tcBorders>
            <w:shd w:val="clear" w:color="000000" w:fill="FFFFFF"/>
            <w:noWrap/>
            <w:vAlign w:val="bottom"/>
            <w:hideMark/>
          </w:tcPr>
          <w:p w14:paraId="17FA0F80" w14:textId="77777777" w:rsidR="00051507" w:rsidRPr="000125B2" w:rsidRDefault="00051507" w:rsidP="00DF5625">
            <w:pPr>
              <w:jc w:val="right"/>
              <w:rPr>
                <w:sz w:val="18"/>
                <w:szCs w:val="18"/>
              </w:rPr>
            </w:pPr>
            <w:r w:rsidRPr="000125B2">
              <w:rPr>
                <w:sz w:val="18"/>
                <w:szCs w:val="18"/>
              </w:rPr>
              <w:t> </w:t>
            </w:r>
          </w:p>
        </w:tc>
        <w:tc>
          <w:tcPr>
            <w:tcW w:w="1300" w:type="dxa"/>
            <w:tcBorders>
              <w:top w:val="nil"/>
              <w:left w:val="nil"/>
              <w:bottom w:val="nil"/>
              <w:right w:val="nil"/>
            </w:tcBorders>
            <w:shd w:val="clear" w:color="000000" w:fill="FFFFFF"/>
            <w:noWrap/>
            <w:vAlign w:val="bottom"/>
            <w:hideMark/>
          </w:tcPr>
          <w:p w14:paraId="6F316263" w14:textId="77777777" w:rsidR="00051507" w:rsidRPr="000125B2" w:rsidRDefault="00051507" w:rsidP="00DF5625">
            <w:pPr>
              <w:jc w:val="right"/>
              <w:rPr>
                <w:sz w:val="18"/>
                <w:szCs w:val="18"/>
              </w:rPr>
            </w:pPr>
            <w:r w:rsidRPr="000125B2">
              <w:rPr>
                <w:sz w:val="18"/>
                <w:szCs w:val="18"/>
              </w:rPr>
              <w:t xml:space="preserve"> (2.988.912) </w:t>
            </w:r>
          </w:p>
        </w:tc>
      </w:tr>
      <w:tr w:rsidR="00051507" w:rsidRPr="000125B2" w14:paraId="773F7524" w14:textId="77777777" w:rsidTr="00DF5625">
        <w:trPr>
          <w:trHeight w:val="300"/>
        </w:trPr>
        <w:tc>
          <w:tcPr>
            <w:tcW w:w="3180" w:type="dxa"/>
            <w:tcBorders>
              <w:top w:val="nil"/>
              <w:left w:val="nil"/>
              <w:bottom w:val="nil"/>
              <w:right w:val="nil"/>
            </w:tcBorders>
            <w:shd w:val="clear" w:color="000000" w:fill="FFFFFF"/>
            <w:noWrap/>
            <w:vAlign w:val="center"/>
            <w:hideMark/>
          </w:tcPr>
          <w:p w14:paraId="730EE1AA" w14:textId="77777777" w:rsidR="00051507" w:rsidRPr="000125B2" w:rsidRDefault="00051507" w:rsidP="00DF5625">
            <w:pPr>
              <w:rPr>
                <w:b/>
                <w:bCs/>
                <w:sz w:val="18"/>
                <w:szCs w:val="18"/>
              </w:rPr>
            </w:pPr>
            <w:r w:rsidRPr="000125B2">
              <w:rPr>
                <w:b/>
                <w:bCs/>
                <w:sz w:val="18"/>
                <w:szCs w:val="18"/>
              </w:rPr>
              <w:t xml:space="preserve"> Resultados del ejercicio </w:t>
            </w:r>
          </w:p>
        </w:tc>
        <w:tc>
          <w:tcPr>
            <w:tcW w:w="1340" w:type="dxa"/>
            <w:tcBorders>
              <w:top w:val="single" w:sz="4" w:space="0" w:color="auto"/>
              <w:left w:val="nil"/>
              <w:bottom w:val="double" w:sz="6" w:space="0" w:color="auto"/>
              <w:right w:val="nil"/>
            </w:tcBorders>
            <w:shd w:val="clear" w:color="000000" w:fill="FFFFFF"/>
            <w:noWrap/>
            <w:vAlign w:val="bottom"/>
            <w:hideMark/>
          </w:tcPr>
          <w:p w14:paraId="1CF428A7" w14:textId="77777777" w:rsidR="00051507" w:rsidRPr="000125B2" w:rsidRDefault="00051507" w:rsidP="00DF5625">
            <w:pPr>
              <w:jc w:val="right"/>
              <w:rPr>
                <w:b/>
                <w:bCs/>
                <w:sz w:val="18"/>
                <w:szCs w:val="18"/>
              </w:rPr>
            </w:pPr>
            <w:r w:rsidRPr="000125B2">
              <w:rPr>
                <w:b/>
                <w:bCs/>
                <w:sz w:val="18"/>
                <w:szCs w:val="18"/>
              </w:rPr>
              <w:t xml:space="preserve">  1.317.330 </w:t>
            </w:r>
          </w:p>
        </w:tc>
        <w:tc>
          <w:tcPr>
            <w:tcW w:w="185" w:type="dxa"/>
            <w:tcBorders>
              <w:top w:val="nil"/>
              <w:left w:val="nil"/>
              <w:bottom w:val="nil"/>
              <w:right w:val="nil"/>
            </w:tcBorders>
            <w:shd w:val="clear" w:color="000000" w:fill="FFFFFF"/>
            <w:noWrap/>
            <w:vAlign w:val="bottom"/>
            <w:hideMark/>
          </w:tcPr>
          <w:p w14:paraId="5DC845BD" w14:textId="77777777" w:rsidR="00051507" w:rsidRPr="000125B2" w:rsidRDefault="00051507" w:rsidP="00DF5625">
            <w:pPr>
              <w:jc w:val="right"/>
              <w:rPr>
                <w:b/>
                <w:bCs/>
                <w:sz w:val="18"/>
                <w:szCs w:val="18"/>
              </w:rPr>
            </w:pPr>
            <w:r w:rsidRPr="000125B2">
              <w:rPr>
                <w:b/>
                <w:bCs/>
                <w:sz w:val="18"/>
                <w:szCs w:val="18"/>
              </w:rPr>
              <w:t> </w:t>
            </w:r>
          </w:p>
        </w:tc>
        <w:tc>
          <w:tcPr>
            <w:tcW w:w="1340" w:type="dxa"/>
            <w:tcBorders>
              <w:top w:val="single" w:sz="4" w:space="0" w:color="auto"/>
              <w:left w:val="nil"/>
              <w:bottom w:val="double" w:sz="6" w:space="0" w:color="auto"/>
              <w:right w:val="nil"/>
            </w:tcBorders>
            <w:shd w:val="clear" w:color="000000" w:fill="FFFFFF"/>
            <w:noWrap/>
            <w:vAlign w:val="bottom"/>
            <w:hideMark/>
          </w:tcPr>
          <w:p w14:paraId="672850E7" w14:textId="77777777" w:rsidR="00051507" w:rsidRPr="000125B2" w:rsidRDefault="00051507" w:rsidP="00DF5625">
            <w:pPr>
              <w:jc w:val="right"/>
              <w:rPr>
                <w:b/>
                <w:bCs/>
                <w:sz w:val="18"/>
                <w:szCs w:val="18"/>
              </w:rPr>
            </w:pPr>
            <w:r w:rsidRPr="000125B2">
              <w:rPr>
                <w:b/>
                <w:bCs/>
                <w:sz w:val="18"/>
                <w:szCs w:val="18"/>
              </w:rPr>
              <w:t xml:space="preserve">  870.165 </w:t>
            </w:r>
          </w:p>
        </w:tc>
        <w:tc>
          <w:tcPr>
            <w:tcW w:w="185" w:type="dxa"/>
            <w:tcBorders>
              <w:top w:val="nil"/>
              <w:left w:val="nil"/>
              <w:bottom w:val="nil"/>
              <w:right w:val="nil"/>
            </w:tcBorders>
            <w:shd w:val="clear" w:color="000000" w:fill="FFFFFF"/>
            <w:noWrap/>
            <w:vAlign w:val="bottom"/>
            <w:hideMark/>
          </w:tcPr>
          <w:p w14:paraId="10B4A7AE" w14:textId="77777777" w:rsidR="00051507" w:rsidRPr="000125B2" w:rsidRDefault="00051507" w:rsidP="00DF5625">
            <w:pPr>
              <w:jc w:val="right"/>
              <w:rPr>
                <w:b/>
                <w:bCs/>
                <w:sz w:val="18"/>
                <w:szCs w:val="18"/>
              </w:rPr>
            </w:pPr>
            <w:r w:rsidRPr="000125B2">
              <w:rPr>
                <w:b/>
                <w:bCs/>
                <w:sz w:val="18"/>
                <w:szCs w:val="18"/>
              </w:rPr>
              <w:t> </w:t>
            </w:r>
          </w:p>
        </w:tc>
        <w:tc>
          <w:tcPr>
            <w:tcW w:w="1320" w:type="dxa"/>
            <w:tcBorders>
              <w:top w:val="single" w:sz="4" w:space="0" w:color="auto"/>
              <w:left w:val="nil"/>
              <w:bottom w:val="double" w:sz="6" w:space="0" w:color="auto"/>
              <w:right w:val="nil"/>
            </w:tcBorders>
            <w:shd w:val="clear" w:color="000000" w:fill="FFFFFF"/>
            <w:noWrap/>
            <w:vAlign w:val="bottom"/>
            <w:hideMark/>
          </w:tcPr>
          <w:p w14:paraId="7D91780D" w14:textId="77777777" w:rsidR="00051507" w:rsidRPr="000125B2" w:rsidRDefault="00051507" w:rsidP="00DF5625">
            <w:pPr>
              <w:jc w:val="right"/>
              <w:rPr>
                <w:b/>
                <w:bCs/>
                <w:sz w:val="18"/>
                <w:szCs w:val="18"/>
              </w:rPr>
            </w:pPr>
            <w:r w:rsidRPr="000125B2">
              <w:rPr>
                <w:b/>
                <w:bCs/>
                <w:sz w:val="18"/>
                <w:szCs w:val="18"/>
              </w:rPr>
              <w:t xml:space="preserve">  447.165 </w:t>
            </w:r>
          </w:p>
        </w:tc>
        <w:tc>
          <w:tcPr>
            <w:tcW w:w="185" w:type="dxa"/>
            <w:tcBorders>
              <w:top w:val="nil"/>
              <w:left w:val="nil"/>
              <w:bottom w:val="nil"/>
              <w:right w:val="nil"/>
            </w:tcBorders>
            <w:shd w:val="clear" w:color="000000" w:fill="FFFFFF"/>
            <w:noWrap/>
            <w:vAlign w:val="bottom"/>
            <w:hideMark/>
          </w:tcPr>
          <w:p w14:paraId="50B7939E" w14:textId="77777777" w:rsidR="00051507" w:rsidRPr="000125B2" w:rsidRDefault="00051507" w:rsidP="00DF5625">
            <w:pPr>
              <w:jc w:val="right"/>
              <w:rPr>
                <w:b/>
                <w:bCs/>
                <w:sz w:val="18"/>
                <w:szCs w:val="18"/>
              </w:rPr>
            </w:pPr>
            <w:r w:rsidRPr="000125B2">
              <w:rPr>
                <w:b/>
                <w:bCs/>
                <w:sz w:val="18"/>
                <w:szCs w:val="18"/>
              </w:rPr>
              <w:t> </w:t>
            </w:r>
          </w:p>
        </w:tc>
        <w:tc>
          <w:tcPr>
            <w:tcW w:w="1300" w:type="dxa"/>
            <w:tcBorders>
              <w:top w:val="single" w:sz="4" w:space="0" w:color="auto"/>
              <w:left w:val="nil"/>
              <w:bottom w:val="double" w:sz="6" w:space="0" w:color="auto"/>
              <w:right w:val="nil"/>
            </w:tcBorders>
            <w:shd w:val="clear" w:color="000000" w:fill="FFFFFF"/>
            <w:noWrap/>
            <w:vAlign w:val="bottom"/>
            <w:hideMark/>
          </w:tcPr>
          <w:p w14:paraId="2DA6E8D8" w14:textId="77777777" w:rsidR="00051507" w:rsidRPr="000125B2" w:rsidRDefault="00051507" w:rsidP="00DF5625">
            <w:pPr>
              <w:jc w:val="right"/>
              <w:rPr>
                <w:b/>
                <w:bCs/>
                <w:sz w:val="18"/>
                <w:szCs w:val="18"/>
              </w:rPr>
            </w:pPr>
            <w:r w:rsidRPr="000125B2">
              <w:rPr>
                <w:b/>
                <w:bCs/>
                <w:sz w:val="18"/>
                <w:szCs w:val="18"/>
              </w:rPr>
              <w:t xml:space="preserve"> (2.121.000) </w:t>
            </w:r>
          </w:p>
        </w:tc>
      </w:tr>
      <w:tr w:rsidR="00051507" w:rsidRPr="000125B2" w14:paraId="5E158D56" w14:textId="77777777" w:rsidTr="00DF5625">
        <w:trPr>
          <w:trHeight w:val="300"/>
        </w:trPr>
        <w:tc>
          <w:tcPr>
            <w:tcW w:w="3180" w:type="dxa"/>
            <w:tcBorders>
              <w:top w:val="nil"/>
              <w:left w:val="nil"/>
              <w:bottom w:val="nil"/>
              <w:right w:val="nil"/>
            </w:tcBorders>
            <w:shd w:val="clear" w:color="000000" w:fill="FFFFFF"/>
            <w:noWrap/>
            <w:vAlign w:val="center"/>
            <w:hideMark/>
          </w:tcPr>
          <w:p w14:paraId="587DDBA4" w14:textId="77777777" w:rsidR="00051507" w:rsidRPr="000125B2" w:rsidRDefault="00051507" w:rsidP="00DF5625">
            <w:pPr>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bottom"/>
            <w:hideMark/>
          </w:tcPr>
          <w:p w14:paraId="6F5FFC44" w14:textId="77777777" w:rsidR="00051507" w:rsidRPr="000125B2" w:rsidRDefault="00051507" w:rsidP="00DF5625">
            <w:pPr>
              <w:jc w:val="right"/>
              <w:rPr>
                <w:sz w:val="18"/>
                <w:szCs w:val="18"/>
              </w:rPr>
            </w:pPr>
            <w:r w:rsidRPr="000125B2">
              <w:rPr>
                <w:sz w:val="18"/>
                <w:szCs w:val="18"/>
              </w:rPr>
              <w:t> </w:t>
            </w:r>
          </w:p>
        </w:tc>
        <w:tc>
          <w:tcPr>
            <w:tcW w:w="185" w:type="dxa"/>
            <w:tcBorders>
              <w:top w:val="nil"/>
              <w:left w:val="nil"/>
              <w:bottom w:val="nil"/>
              <w:right w:val="nil"/>
            </w:tcBorders>
            <w:shd w:val="clear" w:color="000000" w:fill="FFFFFF"/>
            <w:noWrap/>
            <w:vAlign w:val="bottom"/>
            <w:hideMark/>
          </w:tcPr>
          <w:p w14:paraId="505DA6CD"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bottom"/>
            <w:hideMark/>
          </w:tcPr>
          <w:p w14:paraId="33D4E81B" w14:textId="77777777" w:rsidR="00051507" w:rsidRPr="000125B2" w:rsidRDefault="00051507" w:rsidP="00DF5625">
            <w:pPr>
              <w:jc w:val="right"/>
              <w:rPr>
                <w:sz w:val="18"/>
                <w:szCs w:val="18"/>
              </w:rPr>
            </w:pPr>
            <w:r w:rsidRPr="000125B2">
              <w:rPr>
                <w:sz w:val="18"/>
                <w:szCs w:val="18"/>
              </w:rPr>
              <w:t> </w:t>
            </w:r>
          </w:p>
        </w:tc>
        <w:tc>
          <w:tcPr>
            <w:tcW w:w="185" w:type="dxa"/>
            <w:tcBorders>
              <w:top w:val="nil"/>
              <w:left w:val="nil"/>
              <w:bottom w:val="nil"/>
              <w:right w:val="nil"/>
            </w:tcBorders>
            <w:shd w:val="clear" w:color="000000" w:fill="FFFFFF"/>
            <w:noWrap/>
            <w:vAlign w:val="bottom"/>
            <w:hideMark/>
          </w:tcPr>
          <w:p w14:paraId="09D9214A" w14:textId="77777777" w:rsidR="00051507" w:rsidRPr="000125B2" w:rsidRDefault="00051507" w:rsidP="00DF5625">
            <w:pPr>
              <w:jc w:val="right"/>
              <w:rPr>
                <w:sz w:val="18"/>
                <w:szCs w:val="18"/>
              </w:rPr>
            </w:pPr>
            <w:r w:rsidRPr="000125B2">
              <w:rPr>
                <w:sz w:val="18"/>
                <w:szCs w:val="18"/>
              </w:rPr>
              <w:t> </w:t>
            </w:r>
          </w:p>
        </w:tc>
        <w:tc>
          <w:tcPr>
            <w:tcW w:w="1320" w:type="dxa"/>
            <w:tcBorders>
              <w:top w:val="nil"/>
              <w:left w:val="nil"/>
              <w:bottom w:val="nil"/>
              <w:right w:val="nil"/>
            </w:tcBorders>
            <w:shd w:val="clear" w:color="000000" w:fill="FFFFFF"/>
            <w:noWrap/>
            <w:vAlign w:val="bottom"/>
            <w:hideMark/>
          </w:tcPr>
          <w:p w14:paraId="69DEC050" w14:textId="77777777" w:rsidR="00051507" w:rsidRPr="000125B2" w:rsidRDefault="00051507" w:rsidP="00DF5625">
            <w:pPr>
              <w:jc w:val="right"/>
              <w:rPr>
                <w:sz w:val="18"/>
                <w:szCs w:val="18"/>
              </w:rPr>
            </w:pPr>
            <w:r w:rsidRPr="000125B2">
              <w:rPr>
                <w:sz w:val="18"/>
                <w:szCs w:val="18"/>
              </w:rPr>
              <w:t> </w:t>
            </w:r>
          </w:p>
        </w:tc>
        <w:tc>
          <w:tcPr>
            <w:tcW w:w="185" w:type="dxa"/>
            <w:tcBorders>
              <w:top w:val="nil"/>
              <w:left w:val="nil"/>
              <w:bottom w:val="nil"/>
              <w:right w:val="nil"/>
            </w:tcBorders>
            <w:shd w:val="clear" w:color="000000" w:fill="FFFFFF"/>
            <w:noWrap/>
            <w:vAlign w:val="bottom"/>
            <w:hideMark/>
          </w:tcPr>
          <w:p w14:paraId="2184B241" w14:textId="77777777" w:rsidR="00051507" w:rsidRPr="000125B2" w:rsidRDefault="00051507" w:rsidP="00DF5625">
            <w:pPr>
              <w:jc w:val="right"/>
              <w:rPr>
                <w:sz w:val="18"/>
                <w:szCs w:val="18"/>
              </w:rPr>
            </w:pPr>
            <w:r w:rsidRPr="000125B2">
              <w:rPr>
                <w:sz w:val="18"/>
                <w:szCs w:val="18"/>
              </w:rPr>
              <w:t> </w:t>
            </w:r>
          </w:p>
        </w:tc>
        <w:tc>
          <w:tcPr>
            <w:tcW w:w="1300" w:type="dxa"/>
            <w:tcBorders>
              <w:top w:val="nil"/>
              <w:left w:val="nil"/>
              <w:bottom w:val="nil"/>
              <w:right w:val="nil"/>
            </w:tcBorders>
            <w:shd w:val="clear" w:color="000000" w:fill="FFFFFF"/>
            <w:noWrap/>
            <w:vAlign w:val="bottom"/>
            <w:hideMark/>
          </w:tcPr>
          <w:p w14:paraId="7AB71E62" w14:textId="77777777" w:rsidR="00051507" w:rsidRPr="000125B2" w:rsidRDefault="00051507" w:rsidP="00DF5625">
            <w:pPr>
              <w:jc w:val="right"/>
              <w:rPr>
                <w:sz w:val="18"/>
                <w:szCs w:val="18"/>
              </w:rPr>
            </w:pPr>
            <w:r w:rsidRPr="000125B2">
              <w:rPr>
                <w:sz w:val="18"/>
                <w:szCs w:val="18"/>
              </w:rPr>
              <w:t> </w:t>
            </w:r>
          </w:p>
        </w:tc>
      </w:tr>
      <w:tr w:rsidR="00051507" w:rsidRPr="000125B2" w14:paraId="6AD2D472" w14:textId="77777777" w:rsidTr="00DF5625">
        <w:trPr>
          <w:trHeight w:val="290"/>
        </w:trPr>
        <w:tc>
          <w:tcPr>
            <w:tcW w:w="3180" w:type="dxa"/>
            <w:tcBorders>
              <w:top w:val="nil"/>
              <w:left w:val="nil"/>
              <w:bottom w:val="nil"/>
              <w:right w:val="nil"/>
            </w:tcBorders>
            <w:shd w:val="clear" w:color="000000" w:fill="FFFFFF"/>
            <w:noWrap/>
            <w:vAlign w:val="center"/>
            <w:hideMark/>
          </w:tcPr>
          <w:p w14:paraId="7BDC0045" w14:textId="77777777" w:rsidR="00051507" w:rsidRPr="000125B2" w:rsidRDefault="00051507" w:rsidP="00DF5625">
            <w:pPr>
              <w:rPr>
                <w:sz w:val="18"/>
                <w:szCs w:val="18"/>
              </w:rPr>
            </w:pPr>
            <w:r w:rsidRPr="000125B2">
              <w:rPr>
                <w:sz w:val="18"/>
                <w:szCs w:val="18"/>
              </w:rPr>
              <w:t xml:space="preserve"> Impuesto a las ganancias </w:t>
            </w:r>
          </w:p>
        </w:tc>
        <w:tc>
          <w:tcPr>
            <w:tcW w:w="1340" w:type="dxa"/>
            <w:tcBorders>
              <w:top w:val="nil"/>
              <w:left w:val="nil"/>
              <w:bottom w:val="nil"/>
              <w:right w:val="nil"/>
            </w:tcBorders>
            <w:shd w:val="clear" w:color="000000" w:fill="FFFFFF"/>
            <w:noWrap/>
            <w:vAlign w:val="bottom"/>
            <w:hideMark/>
          </w:tcPr>
          <w:p w14:paraId="420343B6" w14:textId="77777777" w:rsidR="00051507" w:rsidRPr="000125B2" w:rsidRDefault="00051507" w:rsidP="00DF5625">
            <w:pPr>
              <w:jc w:val="right"/>
              <w:rPr>
                <w:sz w:val="18"/>
                <w:szCs w:val="18"/>
              </w:rPr>
            </w:pPr>
            <w:r w:rsidRPr="000125B2">
              <w:rPr>
                <w:sz w:val="18"/>
                <w:szCs w:val="18"/>
              </w:rPr>
              <w:t xml:space="preserve">  517.886 </w:t>
            </w:r>
          </w:p>
        </w:tc>
        <w:tc>
          <w:tcPr>
            <w:tcW w:w="185" w:type="dxa"/>
            <w:tcBorders>
              <w:top w:val="nil"/>
              <w:left w:val="nil"/>
              <w:bottom w:val="nil"/>
              <w:right w:val="nil"/>
            </w:tcBorders>
            <w:shd w:val="clear" w:color="000000" w:fill="FFFFFF"/>
            <w:noWrap/>
            <w:vAlign w:val="bottom"/>
            <w:hideMark/>
          </w:tcPr>
          <w:p w14:paraId="124985A5"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bottom"/>
            <w:hideMark/>
          </w:tcPr>
          <w:p w14:paraId="2998CD54" w14:textId="77777777" w:rsidR="00051507" w:rsidRPr="000125B2" w:rsidRDefault="00051507" w:rsidP="00DF5625">
            <w:pPr>
              <w:jc w:val="right"/>
              <w:rPr>
                <w:sz w:val="18"/>
                <w:szCs w:val="18"/>
              </w:rPr>
            </w:pPr>
            <w:r w:rsidRPr="000125B2">
              <w:rPr>
                <w:sz w:val="18"/>
                <w:szCs w:val="18"/>
              </w:rPr>
              <w:t xml:space="preserve"> (341.640) </w:t>
            </w:r>
          </w:p>
        </w:tc>
        <w:tc>
          <w:tcPr>
            <w:tcW w:w="185" w:type="dxa"/>
            <w:tcBorders>
              <w:top w:val="nil"/>
              <w:left w:val="nil"/>
              <w:bottom w:val="nil"/>
              <w:right w:val="nil"/>
            </w:tcBorders>
            <w:shd w:val="clear" w:color="000000" w:fill="FFFFFF"/>
            <w:noWrap/>
            <w:vAlign w:val="bottom"/>
            <w:hideMark/>
          </w:tcPr>
          <w:p w14:paraId="6609E6CE" w14:textId="77777777" w:rsidR="00051507" w:rsidRPr="000125B2" w:rsidRDefault="00051507" w:rsidP="00DF5625">
            <w:pPr>
              <w:jc w:val="right"/>
              <w:rPr>
                <w:sz w:val="18"/>
                <w:szCs w:val="18"/>
              </w:rPr>
            </w:pPr>
            <w:r w:rsidRPr="000125B2">
              <w:rPr>
                <w:sz w:val="18"/>
                <w:szCs w:val="18"/>
              </w:rPr>
              <w:t> </w:t>
            </w:r>
          </w:p>
        </w:tc>
        <w:tc>
          <w:tcPr>
            <w:tcW w:w="1320" w:type="dxa"/>
            <w:tcBorders>
              <w:top w:val="nil"/>
              <w:left w:val="nil"/>
              <w:bottom w:val="nil"/>
              <w:right w:val="nil"/>
            </w:tcBorders>
            <w:shd w:val="clear" w:color="000000" w:fill="FFFFFF"/>
            <w:noWrap/>
            <w:vAlign w:val="bottom"/>
            <w:hideMark/>
          </w:tcPr>
          <w:p w14:paraId="24E85E21" w14:textId="77777777" w:rsidR="00051507" w:rsidRPr="000125B2" w:rsidRDefault="00051507" w:rsidP="00DF5625">
            <w:pPr>
              <w:jc w:val="right"/>
              <w:rPr>
                <w:sz w:val="18"/>
                <w:szCs w:val="18"/>
              </w:rPr>
            </w:pPr>
            <w:r w:rsidRPr="000125B2">
              <w:rPr>
                <w:sz w:val="18"/>
                <w:szCs w:val="18"/>
              </w:rPr>
              <w:t xml:space="preserve"> (1.220.044) </w:t>
            </w:r>
          </w:p>
        </w:tc>
        <w:tc>
          <w:tcPr>
            <w:tcW w:w="185" w:type="dxa"/>
            <w:tcBorders>
              <w:top w:val="nil"/>
              <w:left w:val="nil"/>
              <w:bottom w:val="nil"/>
              <w:right w:val="nil"/>
            </w:tcBorders>
            <w:shd w:val="clear" w:color="000000" w:fill="FFFFFF"/>
            <w:noWrap/>
            <w:vAlign w:val="bottom"/>
            <w:hideMark/>
          </w:tcPr>
          <w:p w14:paraId="016FE40B" w14:textId="77777777" w:rsidR="00051507" w:rsidRPr="000125B2" w:rsidRDefault="00051507" w:rsidP="00DF5625">
            <w:pPr>
              <w:jc w:val="right"/>
              <w:rPr>
                <w:sz w:val="18"/>
                <w:szCs w:val="18"/>
              </w:rPr>
            </w:pPr>
            <w:r w:rsidRPr="000125B2">
              <w:rPr>
                <w:sz w:val="18"/>
                <w:szCs w:val="18"/>
              </w:rPr>
              <w:t> </w:t>
            </w:r>
          </w:p>
        </w:tc>
        <w:tc>
          <w:tcPr>
            <w:tcW w:w="1300" w:type="dxa"/>
            <w:tcBorders>
              <w:top w:val="nil"/>
              <w:left w:val="nil"/>
              <w:bottom w:val="nil"/>
              <w:right w:val="nil"/>
            </w:tcBorders>
            <w:shd w:val="clear" w:color="000000" w:fill="FFFFFF"/>
            <w:noWrap/>
            <w:vAlign w:val="bottom"/>
            <w:hideMark/>
          </w:tcPr>
          <w:p w14:paraId="3C8C3B7C" w14:textId="77777777" w:rsidR="00051507" w:rsidRPr="000125B2" w:rsidRDefault="00051507" w:rsidP="00DF5625">
            <w:pPr>
              <w:jc w:val="right"/>
              <w:rPr>
                <w:sz w:val="18"/>
                <w:szCs w:val="18"/>
              </w:rPr>
            </w:pPr>
            <w:r w:rsidRPr="000125B2">
              <w:rPr>
                <w:sz w:val="18"/>
                <w:szCs w:val="18"/>
              </w:rPr>
              <w:t xml:space="preserve">  501.120 </w:t>
            </w:r>
          </w:p>
        </w:tc>
      </w:tr>
      <w:tr w:rsidR="00051507" w:rsidRPr="000125B2" w14:paraId="43DBABF9" w14:textId="77777777" w:rsidTr="00DF5625">
        <w:trPr>
          <w:trHeight w:val="300"/>
        </w:trPr>
        <w:tc>
          <w:tcPr>
            <w:tcW w:w="3180" w:type="dxa"/>
            <w:tcBorders>
              <w:top w:val="nil"/>
              <w:left w:val="nil"/>
              <w:bottom w:val="nil"/>
              <w:right w:val="nil"/>
            </w:tcBorders>
            <w:shd w:val="clear" w:color="000000" w:fill="FFFFFF"/>
            <w:noWrap/>
            <w:vAlign w:val="center"/>
            <w:hideMark/>
          </w:tcPr>
          <w:p w14:paraId="352CFAE6" w14:textId="77777777" w:rsidR="00051507" w:rsidRPr="000125B2" w:rsidRDefault="00051507" w:rsidP="00DF5625">
            <w:pPr>
              <w:rPr>
                <w:b/>
                <w:bCs/>
                <w:sz w:val="18"/>
                <w:szCs w:val="18"/>
              </w:rPr>
            </w:pPr>
            <w:r w:rsidRPr="000125B2">
              <w:rPr>
                <w:b/>
                <w:bCs/>
                <w:sz w:val="18"/>
                <w:szCs w:val="18"/>
              </w:rPr>
              <w:t xml:space="preserve"> Resultado neto </w:t>
            </w:r>
          </w:p>
        </w:tc>
        <w:tc>
          <w:tcPr>
            <w:tcW w:w="1340" w:type="dxa"/>
            <w:tcBorders>
              <w:top w:val="single" w:sz="4" w:space="0" w:color="auto"/>
              <w:left w:val="nil"/>
              <w:bottom w:val="double" w:sz="6" w:space="0" w:color="auto"/>
              <w:right w:val="nil"/>
            </w:tcBorders>
            <w:shd w:val="clear" w:color="000000" w:fill="FFFFFF"/>
            <w:noWrap/>
            <w:vAlign w:val="bottom"/>
            <w:hideMark/>
          </w:tcPr>
          <w:p w14:paraId="19A2092C" w14:textId="77777777" w:rsidR="00051507" w:rsidRPr="000125B2" w:rsidRDefault="00051507" w:rsidP="00DF5625">
            <w:pPr>
              <w:jc w:val="right"/>
              <w:rPr>
                <w:b/>
                <w:bCs/>
                <w:sz w:val="18"/>
                <w:szCs w:val="18"/>
              </w:rPr>
            </w:pPr>
            <w:r w:rsidRPr="000125B2">
              <w:rPr>
                <w:b/>
                <w:bCs/>
                <w:sz w:val="18"/>
                <w:szCs w:val="18"/>
              </w:rPr>
              <w:t xml:space="preserve">  1.835.216 </w:t>
            </w:r>
          </w:p>
        </w:tc>
        <w:tc>
          <w:tcPr>
            <w:tcW w:w="185" w:type="dxa"/>
            <w:tcBorders>
              <w:top w:val="nil"/>
              <w:left w:val="nil"/>
              <w:bottom w:val="nil"/>
              <w:right w:val="nil"/>
            </w:tcBorders>
            <w:shd w:val="clear" w:color="000000" w:fill="FFFFFF"/>
            <w:noWrap/>
            <w:vAlign w:val="bottom"/>
            <w:hideMark/>
          </w:tcPr>
          <w:p w14:paraId="784698A0" w14:textId="77777777" w:rsidR="00051507" w:rsidRPr="000125B2" w:rsidRDefault="00051507" w:rsidP="00DF5625">
            <w:pPr>
              <w:jc w:val="right"/>
              <w:rPr>
                <w:b/>
                <w:bCs/>
                <w:sz w:val="18"/>
                <w:szCs w:val="18"/>
              </w:rPr>
            </w:pPr>
            <w:r w:rsidRPr="000125B2">
              <w:rPr>
                <w:b/>
                <w:bCs/>
                <w:sz w:val="18"/>
                <w:szCs w:val="18"/>
              </w:rPr>
              <w:t> </w:t>
            </w:r>
          </w:p>
        </w:tc>
        <w:tc>
          <w:tcPr>
            <w:tcW w:w="1340" w:type="dxa"/>
            <w:tcBorders>
              <w:top w:val="single" w:sz="4" w:space="0" w:color="auto"/>
              <w:left w:val="nil"/>
              <w:bottom w:val="double" w:sz="6" w:space="0" w:color="auto"/>
              <w:right w:val="nil"/>
            </w:tcBorders>
            <w:shd w:val="clear" w:color="000000" w:fill="FFFFFF"/>
            <w:noWrap/>
            <w:vAlign w:val="bottom"/>
            <w:hideMark/>
          </w:tcPr>
          <w:p w14:paraId="475A2271" w14:textId="77777777" w:rsidR="00051507" w:rsidRPr="000125B2" w:rsidRDefault="00051507" w:rsidP="00DF5625">
            <w:pPr>
              <w:jc w:val="right"/>
              <w:rPr>
                <w:b/>
                <w:bCs/>
                <w:sz w:val="18"/>
                <w:szCs w:val="18"/>
              </w:rPr>
            </w:pPr>
            <w:r w:rsidRPr="000125B2">
              <w:rPr>
                <w:b/>
                <w:bCs/>
                <w:sz w:val="18"/>
                <w:szCs w:val="18"/>
              </w:rPr>
              <w:t xml:space="preserve">  528.525 </w:t>
            </w:r>
          </w:p>
        </w:tc>
        <w:tc>
          <w:tcPr>
            <w:tcW w:w="185" w:type="dxa"/>
            <w:tcBorders>
              <w:top w:val="nil"/>
              <w:left w:val="nil"/>
              <w:bottom w:val="nil"/>
              <w:right w:val="nil"/>
            </w:tcBorders>
            <w:shd w:val="clear" w:color="000000" w:fill="FFFFFF"/>
            <w:noWrap/>
            <w:vAlign w:val="bottom"/>
            <w:hideMark/>
          </w:tcPr>
          <w:p w14:paraId="67E82DAD" w14:textId="77777777" w:rsidR="00051507" w:rsidRPr="000125B2" w:rsidRDefault="00051507" w:rsidP="00DF5625">
            <w:pPr>
              <w:jc w:val="right"/>
              <w:rPr>
                <w:b/>
                <w:bCs/>
                <w:sz w:val="18"/>
                <w:szCs w:val="18"/>
              </w:rPr>
            </w:pPr>
            <w:r w:rsidRPr="000125B2">
              <w:rPr>
                <w:b/>
                <w:bCs/>
                <w:sz w:val="18"/>
                <w:szCs w:val="18"/>
              </w:rPr>
              <w:t> </w:t>
            </w:r>
          </w:p>
        </w:tc>
        <w:tc>
          <w:tcPr>
            <w:tcW w:w="1320" w:type="dxa"/>
            <w:tcBorders>
              <w:top w:val="single" w:sz="4" w:space="0" w:color="auto"/>
              <w:left w:val="nil"/>
              <w:bottom w:val="double" w:sz="6" w:space="0" w:color="auto"/>
              <w:right w:val="nil"/>
            </w:tcBorders>
            <w:shd w:val="clear" w:color="000000" w:fill="FFFFFF"/>
            <w:noWrap/>
            <w:vAlign w:val="bottom"/>
            <w:hideMark/>
          </w:tcPr>
          <w:p w14:paraId="512D43E0" w14:textId="77777777" w:rsidR="00051507" w:rsidRPr="000125B2" w:rsidRDefault="00051507" w:rsidP="00DF5625">
            <w:pPr>
              <w:jc w:val="right"/>
              <w:rPr>
                <w:b/>
                <w:bCs/>
                <w:sz w:val="18"/>
                <w:szCs w:val="18"/>
              </w:rPr>
            </w:pPr>
            <w:r w:rsidRPr="000125B2">
              <w:rPr>
                <w:b/>
                <w:bCs/>
                <w:sz w:val="18"/>
                <w:szCs w:val="18"/>
              </w:rPr>
              <w:t xml:space="preserve">  1.306.691 </w:t>
            </w:r>
          </w:p>
        </w:tc>
        <w:tc>
          <w:tcPr>
            <w:tcW w:w="185" w:type="dxa"/>
            <w:tcBorders>
              <w:top w:val="nil"/>
              <w:left w:val="nil"/>
              <w:bottom w:val="nil"/>
              <w:right w:val="nil"/>
            </w:tcBorders>
            <w:shd w:val="clear" w:color="000000" w:fill="FFFFFF"/>
            <w:noWrap/>
            <w:vAlign w:val="bottom"/>
            <w:hideMark/>
          </w:tcPr>
          <w:p w14:paraId="5091D625" w14:textId="77777777" w:rsidR="00051507" w:rsidRPr="000125B2" w:rsidRDefault="00051507" w:rsidP="00DF5625">
            <w:pPr>
              <w:jc w:val="right"/>
              <w:rPr>
                <w:b/>
                <w:bCs/>
                <w:sz w:val="18"/>
                <w:szCs w:val="18"/>
              </w:rPr>
            </w:pPr>
            <w:r w:rsidRPr="000125B2">
              <w:rPr>
                <w:b/>
                <w:bCs/>
                <w:sz w:val="18"/>
                <w:szCs w:val="18"/>
              </w:rPr>
              <w:t> </w:t>
            </w:r>
          </w:p>
        </w:tc>
        <w:tc>
          <w:tcPr>
            <w:tcW w:w="1300" w:type="dxa"/>
            <w:tcBorders>
              <w:top w:val="single" w:sz="4" w:space="0" w:color="auto"/>
              <w:left w:val="nil"/>
              <w:bottom w:val="double" w:sz="6" w:space="0" w:color="auto"/>
              <w:right w:val="nil"/>
            </w:tcBorders>
            <w:shd w:val="clear" w:color="000000" w:fill="FFFFFF"/>
            <w:noWrap/>
            <w:vAlign w:val="bottom"/>
            <w:hideMark/>
          </w:tcPr>
          <w:p w14:paraId="05D12741" w14:textId="77777777" w:rsidR="00051507" w:rsidRPr="000125B2" w:rsidRDefault="00051507" w:rsidP="00DF5625">
            <w:pPr>
              <w:jc w:val="right"/>
              <w:rPr>
                <w:b/>
                <w:bCs/>
                <w:sz w:val="18"/>
                <w:szCs w:val="18"/>
              </w:rPr>
            </w:pPr>
            <w:r w:rsidRPr="000125B2">
              <w:rPr>
                <w:b/>
                <w:bCs/>
                <w:sz w:val="18"/>
                <w:szCs w:val="18"/>
              </w:rPr>
              <w:t xml:space="preserve"> (1.619.000) </w:t>
            </w:r>
          </w:p>
        </w:tc>
      </w:tr>
      <w:tr w:rsidR="00051507" w:rsidRPr="000125B2" w14:paraId="4C4988B1" w14:textId="77777777" w:rsidTr="00DF5625">
        <w:trPr>
          <w:trHeight w:val="300"/>
        </w:trPr>
        <w:tc>
          <w:tcPr>
            <w:tcW w:w="3180" w:type="dxa"/>
            <w:tcBorders>
              <w:top w:val="nil"/>
              <w:left w:val="nil"/>
              <w:bottom w:val="nil"/>
              <w:right w:val="nil"/>
            </w:tcBorders>
            <w:shd w:val="clear" w:color="000000" w:fill="FFFFFF"/>
            <w:noWrap/>
            <w:vAlign w:val="bottom"/>
            <w:hideMark/>
          </w:tcPr>
          <w:p w14:paraId="5D61549C" w14:textId="77777777" w:rsidR="00051507" w:rsidRPr="000125B2" w:rsidRDefault="00051507" w:rsidP="00DF5625">
            <w:pPr>
              <w:rPr>
                <w:rFonts w:cs="Calibri"/>
                <w:sz w:val="18"/>
                <w:szCs w:val="18"/>
              </w:rPr>
            </w:pPr>
            <w:r w:rsidRPr="000125B2">
              <w:rPr>
                <w:rFonts w:cs="Calibri"/>
                <w:sz w:val="18"/>
                <w:szCs w:val="18"/>
              </w:rPr>
              <w:t> </w:t>
            </w:r>
          </w:p>
        </w:tc>
        <w:tc>
          <w:tcPr>
            <w:tcW w:w="1340" w:type="dxa"/>
            <w:tcBorders>
              <w:top w:val="nil"/>
              <w:left w:val="nil"/>
              <w:bottom w:val="nil"/>
              <w:right w:val="nil"/>
            </w:tcBorders>
            <w:shd w:val="clear" w:color="000000" w:fill="FFFFFF"/>
            <w:noWrap/>
            <w:vAlign w:val="bottom"/>
            <w:hideMark/>
          </w:tcPr>
          <w:p w14:paraId="79F7C6C0" w14:textId="77777777" w:rsidR="00051507" w:rsidRPr="000125B2" w:rsidRDefault="00051507" w:rsidP="00DF5625">
            <w:pPr>
              <w:jc w:val="right"/>
              <w:rPr>
                <w:sz w:val="18"/>
                <w:szCs w:val="18"/>
              </w:rPr>
            </w:pPr>
            <w:r w:rsidRPr="000125B2">
              <w:rPr>
                <w:sz w:val="18"/>
                <w:szCs w:val="18"/>
              </w:rPr>
              <w:t> </w:t>
            </w:r>
          </w:p>
        </w:tc>
        <w:tc>
          <w:tcPr>
            <w:tcW w:w="185" w:type="dxa"/>
            <w:tcBorders>
              <w:top w:val="nil"/>
              <w:left w:val="nil"/>
              <w:bottom w:val="nil"/>
              <w:right w:val="nil"/>
            </w:tcBorders>
            <w:shd w:val="clear" w:color="000000" w:fill="FFFFFF"/>
            <w:noWrap/>
            <w:vAlign w:val="bottom"/>
            <w:hideMark/>
          </w:tcPr>
          <w:p w14:paraId="3190AB09"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bottom"/>
            <w:hideMark/>
          </w:tcPr>
          <w:p w14:paraId="15FE58B5" w14:textId="77777777" w:rsidR="00051507" w:rsidRPr="000125B2" w:rsidRDefault="00051507" w:rsidP="00DF5625">
            <w:pPr>
              <w:jc w:val="right"/>
              <w:rPr>
                <w:sz w:val="18"/>
                <w:szCs w:val="18"/>
              </w:rPr>
            </w:pPr>
            <w:r w:rsidRPr="000125B2">
              <w:rPr>
                <w:sz w:val="18"/>
                <w:szCs w:val="18"/>
              </w:rPr>
              <w:t> </w:t>
            </w:r>
          </w:p>
        </w:tc>
        <w:tc>
          <w:tcPr>
            <w:tcW w:w="185" w:type="dxa"/>
            <w:tcBorders>
              <w:top w:val="nil"/>
              <w:left w:val="nil"/>
              <w:bottom w:val="nil"/>
              <w:right w:val="nil"/>
            </w:tcBorders>
            <w:shd w:val="clear" w:color="000000" w:fill="FFFFFF"/>
            <w:noWrap/>
            <w:vAlign w:val="bottom"/>
            <w:hideMark/>
          </w:tcPr>
          <w:p w14:paraId="599DC276" w14:textId="77777777" w:rsidR="00051507" w:rsidRPr="000125B2" w:rsidRDefault="00051507" w:rsidP="00DF5625">
            <w:pPr>
              <w:jc w:val="right"/>
              <w:rPr>
                <w:sz w:val="18"/>
                <w:szCs w:val="18"/>
              </w:rPr>
            </w:pPr>
            <w:r w:rsidRPr="000125B2">
              <w:rPr>
                <w:sz w:val="18"/>
                <w:szCs w:val="18"/>
              </w:rPr>
              <w:t> </w:t>
            </w:r>
          </w:p>
        </w:tc>
        <w:tc>
          <w:tcPr>
            <w:tcW w:w="1320" w:type="dxa"/>
            <w:tcBorders>
              <w:top w:val="nil"/>
              <w:left w:val="nil"/>
              <w:bottom w:val="nil"/>
              <w:right w:val="nil"/>
            </w:tcBorders>
            <w:shd w:val="clear" w:color="000000" w:fill="FFFFFF"/>
            <w:noWrap/>
            <w:vAlign w:val="bottom"/>
            <w:hideMark/>
          </w:tcPr>
          <w:p w14:paraId="143A173D" w14:textId="77777777" w:rsidR="00051507" w:rsidRPr="000125B2" w:rsidRDefault="00051507" w:rsidP="00DF5625">
            <w:pPr>
              <w:jc w:val="right"/>
              <w:rPr>
                <w:sz w:val="18"/>
                <w:szCs w:val="18"/>
              </w:rPr>
            </w:pPr>
            <w:r w:rsidRPr="000125B2">
              <w:rPr>
                <w:sz w:val="18"/>
                <w:szCs w:val="18"/>
              </w:rPr>
              <w:t> </w:t>
            </w:r>
          </w:p>
        </w:tc>
        <w:tc>
          <w:tcPr>
            <w:tcW w:w="185" w:type="dxa"/>
            <w:tcBorders>
              <w:top w:val="nil"/>
              <w:left w:val="nil"/>
              <w:bottom w:val="nil"/>
              <w:right w:val="nil"/>
            </w:tcBorders>
            <w:shd w:val="clear" w:color="000000" w:fill="FFFFFF"/>
            <w:noWrap/>
            <w:vAlign w:val="bottom"/>
            <w:hideMark/>
          </w:tcPr>
          <w:p w14:paraId="139A47FE" w14:textId="77777777" w:rsidR="00051507" w:rsidRPr="000125B2" w:rsidRDefault="00051507" w:rsidP="00DF5625">
            <w:pPr>
              <w:jc w:val="right"/>
              <w:rPr>
                <w:sz w:val="18"/>
                <w:szCs w:val="18"/>
              </w:rPr>
            </w:pPr>
            <w:r w:rsidRPr="000125B2">
              <w:rPr>
                <w:sz w:val="18"/>
                <w:szCs w:val="18"/>
              </w:rPr>
              <w:t> </w:t>
            </w:r>
          </w:p>
        </w:tc>
        <w:tc>
          <w:tcPr>
            <w:tcW w:w="1300" w:type="dxa"/>
            <w:tcBorders>
              <w:top w:val="nil"/>
              <w:left w:val="nil"/>
              <w:bottom w:val="nil"/>
              <w:right w:val="nil"/>
            </w:tcBorders>
            <w:shd w:val="clear" w:color="000000" w:fill="FFFFFF"/>
            <w:noWrap/>
            <w:vAlign w:val="bottom"/>
            <w:hideMark/>
          </w:tcPr>
          <w:p w14:paraId="20C8A408" w14:textId="77777777" w:rsidR="00051507" w:rsidRPr="000125B2" w:rsidRDefault="00051507" w:rsidP="00DF5625">
            <w:pPr>
              <w:jc w:val="right"/>
              <w:rPr>
                <w:sz w:val="18"/>
                <w:szCs w:val="18"/>
              </w:rPr>
            </w:pPr>
            <w:r w:rsidRPr="000125B2">
              <w:rPr>
                <w:sz w:val="18"/>
                <w:szCs w:val="18"/>
              </w:rPr>
              <w:t> </w:t>
            </w:r>
          </w:p>
        </w:tc>
      </w:tr>
      <w:tr w:rsidR="00051507" w:rsidRPr="000125B2" w14:paraId="75C3183C" w14:textId="77777777" w:rsidTr="00DF5625">
        <w:trPr>
          <w:trHeight w:val="290"/>
        </w:trPr>
        <w:tc>
          <w:tcPr>
            <w:tcW w:w="3180" w:type="dxa"/>
            <w:tcBorders>
              <w:top w:val="nil"/>
              <w:left w:val="nil"/>
              <w:bottom w:val="nil"/>
              <w:right w:val="nil"/>
            </w:tcBorders>
            <w:shd w:val="clear" w:color="000000" w:fill="FFFFFF"/>
            <w:noWrap/>
            <w:vAlign w:val="center"/>
            <w:hideMark/>
          </w:tcPr>
          <w:p w14:paraId="3C0DDA93" w14:textId="77777777" w:rsidR="00051507" w:rsidRPr="000125B2" w:rsidRDefault="00051507" w:rsidP="00DF5625">
            <w:pPr>
              <w:rPr>
                <w:sz w:val="18"/>
                <w:szCs w:val="18"/>
              </w:rPr>
            </w:pPr>
            <w:r w:rsidRPr="000125B2">
              <w:rPr>
                <w:sz w:val="18"/>
                <w:szCs w:val="18"/>
              </w:rPr>
              <w:t xml:space="preserve"> Otros resultados integrales </w:t>
            </w:r>
          </w:p>
        </w:tc>
        <w:tc>
          <w:tcPr>
            <w:tcW w:w="1340" w:type="dxa"/>
            <w:tcBorders>
              <w:top w:val="nil"/>
              <w:left w:val="nil"/>
              <w:bottom w:val="nil"/>
              <w:right w:val="nil"/>
            </w:tcBorders>
            <w:shd w:val="clear" w:color="000000" w:fill="FFFFFF"/>
            <w:noWrap/>
            <w:vAlign w:val="bottom"/>
            <w:hideMark/>
          </w:tcPr>
          <w:p w14:paraId="7A86FEEF" w14:textId="77777777" w:rsidR="00051507" w:rsidRPr="000125B2" w:rsidRDefault="00051507" w:rsidP="00DF5625">
            <w:pPr>
              <w:jc w:val="right"/>
              <w:rPr>
                <w:sz w:val="18"/>
                <w:szCs w:val="18"/>
              </w:rPr>
            </w:pPr>
            <w:r w:rsidRPr="000125B2">
              <w:rPr>
                <w:sz w:val="18"/>
                <w:szCs w:val="18"/>
              </w:rPr>
              <w:t xml:space="preserve">  362.912 </w:t>
            </w:r>
          </w:p>
        </w:tc>
        <w:tc>
          <w:tcPr>
            <w:tcW w:w="185" w:type="dxa"/>
            <w:tcBorders>
              <w:top w:val="nil"/>
              <w:left w:val="nil"/>
              <w:bottom w:val="nil"/>
              <w:right w:val="nil"/>
            </w:tcBorders>
            <w:shd w:val="clear" w:color="000000" w:fill="FFFFFF"/>
            <w:noWrap/>
            <w:vAlign w:val="bottom"/>
            <w:hideMark/>
          </w:tcPr>
          <w:p w14:paraId="27EF063F"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bottom"/>
            <w:hideMark/>
          </w:tcPr>
          <w:p w14:paraId="17CF5643" w14:textId="77777777" w:rsidR="00051507" w:rsidRPr="000125B2" w:rsidRDefault="00051507" w:rsidP="00DF5625">
            <w:pPr>
              <w:jc w:val="right"/>
              <w:rPr>
                <w:sz w:val="18"/>
                <w:szCs w:val="18"/>
              </w:rPr>
            </w:pPr>
            <w:r w:rsidRPr="000125B2">
              <w:rPr>
                <w:sz w:val="18"/>
                <w:szCs w:val="18"/>
              </w:rPr>
              <w:t xml:space="preserve">  473.929 </w:t>
            </w:r>
          </w:p>
        </w:tc>
        <w:tc>
          <w:tcPr>
            <w:tcW w:w="185" w:type="dxa"/>
            <w:tcBorders>
              <w:top w:val="nil"/>
              <w:left w:val="nil"/>
              <w:bottom w:val="nil"/>
              <w:right w:val="nil"/>
            </w:tcBorders>
            <w:shd w:val="clear" w:color="000000" w:fill="FFFFFF"/>
            <w:noWrap/>
            <w:vAlign w:val="bottom"/>
            <w:hideMark/>
          </w:tcPr>
          <w:p w14:paraId="082D04BC" w14:textId="77777777" w:rsidR="00051507" w:rsidRPr="000125B2" w:rsidRDefault="00051507" w:rsidP="00DF5625">
            <w:pPr>
              <w:jc w:val="right"/>
              <w:rPr>
                <w:sz w:val="18"/>
                <w:szCs w:val="18"/>
              </w:rPr>
            </w:pPr>
            <w:r w:rsidRPr="000125B2">
              <w:rPr>
                <w:sz w:val="18"/>
                <w:szCs w:val="18"/>
              </w:rPr>
              <w:t> </w:t>
            </w:r>
          </w:p>
        </w:tc>
        <w:tc>
          <w:tcPr>
            <w:tcW w:w="1320" w:type="dxa"/>
            <w:tcBorders>
              <w:top w:val="nil"/>
              <w:left w:val="nil"/>
              <w:bottom w:val="nil"/>
              <w:right w:val="nil"/>
            </w:tcBorders>
            <w:shd w:val="clear" w:color="000000" w:fill="FFFFFF"/>
            <w:noWrap/>
            <w:vAlign w:val="bottom"/>
            <w:hideMark/>
          </w:tcPr>
          <w:p w14:paraId="421B6335" w14:textId="77777777" w:rsidR="00051507" w:rsidRPr="000125B2" w:rsidRDefault="00051507" w:rsidP="00DF5625">
            <w:pPr>
              <w:jc w:val="right"/>
              <w:rPr>
                <w:sz w:val="18"/>
                <w:szCs w:val="18"/>
              </w:rPr>
            </w:pPr>
            <w:r w:rsidRPr="000125B2">
              <w:rPr>
                <w:sz w:val="18"/>
                <w:szCs w:val="18"/>
              </w:rPr>
              <w:t xml:space="preserve"> (84.273) </w:t>
            </w:r>
          </w:p>
        </w:tc>
        <w:tc>
          <w:tcPr>
            <w:tcW w:w="185" w:type="dxa"/>
            <w:tcBorders>
              <w:top w:val="nil"/>
              <w:left w:val="nil"/>
              <w:bottom w:val="nil"/>
              <w:right w:val="nil"/>
            </w:tcBorders>
            <w:shd w:val="clear" w:color="000000" w:fill="FFFFFF"/>
            <w:noWrap/>
            <w:vAlign w:val="bottom"/>
            <w:hideMark/>
          </w:tcPr>
          <w:p w14:paraId="2FB9C9F6" w14:textId="77777777" w:rsidR="00051507" w:rsidRPr="000125B2" w:rsidRDefault="00051507" w:rsidP="00DF5625">
            <w:pPr>
              <w:jc w:val="right"/>
              <w:rPr>
                <w:sz w:val="18"/>
                <w:szCs w:val="18"/>
              </w:rPr>
            </w:pPr>
            <w:r w:rsidRPr="000125B2">
              <w:rPr>
                <w:sz w:val="18"/>
                <w:szCs w:val="18"/>
              </w:rPr>
              <w:t> </w:t>
            </w:r>
          </w:p>
        </w:tc>
        <w:tc>
          <w:tcPr>
            <w:tcW w:w="1300" w:type="dxa"/>
            <w:tcBorders>
              <w:top w:val="nil"/>
              <w:left w:val="nil"/>
              <w:bottom w:val="nil"/>
              <w:right w:val="nil"/>
            </w:tcBorders>
            <w:shd w:val="clear" w:color="000000" w:fill="FFFFFF"/>
            <w:noWrap/>
            <w:vAlign w:val="bottom"/>
            <w:hideMark/>
          </w:tcPr>
          <w:p w14:paraId="0585B6D1" w14:textId="77777777" w:rsidR="00051507" w:rsidRPr="000125B2" w:rsidRDefault="00051507" w:rsidP="00DF5625">
            <w:pPr>
              <w:jc w:val="right"/>
              <w:rPr>
                <w:sz w:val="18"/>
                <w:szCs w:val="18"/>
              </w:rPr>
            </w:pPr>
            <w:r w:rsidRPr="000125B2">
              <w:rPr>
                <w:sz w:val="18"/>
                <w:szCs w:val="18"/>
              </w:rPr>
              <w:t xml:space="preserve">  1.139.700 </w:t>
            </w:r>
          </w:p>
        </w:tc>
      </w:tr>
      <w:tr w:rsidR="00051507" w:rsidRPr="000125B2" w14:paraId="793A700D" w14:textId="77777777" w:rsidTr="00DF5625">
        <w:trPr>
          <w:trHeight w:val="300"/>
        </w:trPr>
        <w:tc>
          <w:tcPr>
            <w:tcW w:w="3180" w:type="dxa"/>
            <w:tcBorders>
              <w:top w:val="nil"/>
              <w:left w:val="nil"/>
              <w:bottom w:val="nil"/>
              <w:right w:val="nil"/>
            </w:tcBorders>
            <w:shd w:val="clear" w:color="000000" w:fill="FFFFFF"/>
            <w:noWrap/>
            <w:vAlign w:val="center"/>
            <w:hideMark/>
          </w:tcPr>
          <w:p w14:paraId="5885AB5C" w14:textId="77777777" w:rsidR="00051507" w:rsidRPr="000125B2" w:rsidRDefault="00051507" w:rsidP="00DF5625">
            <w:pPr>
              <w:rPr>
                <w:b/>
                <w:bCs/>
                <w:sz w:val="18"/>
                <w:szCs w:val="18"/>
              </w:rPr>
            </w:pPr>
            <w:r w:rsidRPr="000125B2">
              <w:rPr>
                <w:b/>
                <w:bCs/>
                <w:sz w:val="18"/>
                <w:szCs w:val="18"/>
              </w:rPr>
              <w:t xml:space="preserve"> </w:t>
            </w:r>
            <w:proofErr w:type="gramStart"/>
            <w:r w:rsidRPr="000125B2">
              <w:rPr>
                <w:b/>
                <w:bCs/>
                <w:sz w:val="18"/>
                <w:szCs w:val="18"/>
              </w:rPr>
              <w:t>Total</w:t>
            </w:r>
            <w:proofErr w:type="gramEnd"/>
            <w:r w:rsidRPr="000125B2">
              <w:rPr>
                <w:b/>
                <w:bCs/>
                <w:sz w:val="18"/>
                <w:szCs w:val="18"/>
              </w:rPr>
              <w:t xml:space="preserve"> de resultados integrales </w:t>
            </w:r>
          </w:p>
        </w:tc>
        <w:tc>
          <w:tcPr>
            <w:tcW w:w="1340" w:type="dxa"/>
            <w:tcBorders>
              <w:top w:val="single" w:sz="4" w:space="0" w:color="auto"/>
              <w:left w:val="nil"/>
              <w:bottom w:val="double" w:sz="6" w:space="0" w:color="auto"/>
              <w:right w:val="nil"/>
            </w:tcBorders>
            <w:shd w:val="clear" w:color="000000" w:fill="FFFFFF"/>
            <w:noWrap/>
            <w:vAlign w:val="bottom"/>
            <w:hideMark/>
          </w:tcPr>
          <w:p w14:paraId="1B0BC21D" w14:textId="77777777" w:rsidR="00051507" w:rsidRPr="000125B2" w:rsidRDefault="00051507" w:rsidP="00DF5625">
            <w:pPr>
              <w:jc w:val="right"/>
              <w:rPr>
                <w:b/>
                <w:bCs/>
                <w:sz w:val="18"/>
                <w:szCs w:val="18"/>
              </w:rPr>
            </w:pPr>
            <w:r w:rsidRPr="000125B2">
              <w:rPr>
                <w:b/>
                <w:bCs/>
                <w:sz w:val="18"/>
                <w:szCs w:val="18"/>
              </w:rPr>
              <w:t xml:space="preserve">  2.198.128 </w:t>
            </w:r>
          </w:p>
        </w:tc>
        <w:tc>
          <w:tcPr>
            <w:tcW w:w="185" w:type="dxa"/>
            <w:tcBorders>
              <w:top w:val="nil"/>
              <w:left w:val="nil"/>
              <w:bottom w:val="nil"/>
              <w:right w:val="nil"/>
            </w:tcBorders>
            <w:shd w:val="clear" w:color="000000" w:fill="FFFFFF"/>
            <w:noWrap/>
            <w:vAlign w:val="bottom"/>
            <w:hideMark/>
          </w:tcPr>
          <w:p w14:paraId="2D229646" w14:textId="77777777" w:rsidR="00051507" w:rsidRPr="000125B2" w:rsidRDefault="00051507" w:rsidP="00DF5625">
            <w:pPr>
              <w:jc w:val="right"/>
              <w:rPr>
                <w:b/>
                <w:bCs/>
                <w:sz w:val="18"/>
                <w:szCs w:val="18"/>
              </w:rPr>
            </w:pPr>
            <w:r w:rsidRPr="000125B2">
              <w:rPr>
                <w:b/>
                <w:bCs/>
                <w:sz w:val="18"/>
                <w:szCs w:val="18"/>
              </w:rPr>
              <w:t> </w:t>
            </w:r>
          </w:p>
        </w:tc>
        <w:tc>
          <w:tcPr>
            <w:tcW w:w="1340" w:type="dxa"/>
            <w:tcBorders>
              <w:top w:val="single" w:sz="4" w:space="0" w:color="auto"/>
              <w:left w:val="nil"/>
              <w:bottom w:val="double" w:sz="6" w:space="0" w:color="auto"/>
              <w:right w:val="nil"/>
            </w:tcBorders>
            <w:shd w:val="clear" w:color="000000" w:fill="FFFFFF"/>
            <w:noWrap/>
            <w:vAlign w:val="bottom"/>
            <w:hideMark/>
          </w:tcPr>
          <w:p w14:paraId="22EBB6B3" w14:textId="77777777" w:rsidR="00051507" w:rsidRPr="000125B2" w:rsidRDefault="00051507" w:rsidP="00DF5625">
            <w:pPr>
              <w:jc w:val="right"/>
              <w:rPr>
                <w:b/>
                <w:bCs/>
                <w:sz w:val="18"/>
                <w:szCs w:val="18"/>
              </w:rPr>
            </w:pPr>
            <w:r w:rsidRPr="000125B2">
              <w:rPr>
                <w:b/>
                <w:bCs/>
                <w:sz w:val="18"/>
                <w:szCs w:val="18"/>
              </w:rPr>
              <w:t xml:space="preserve">  1.002.454 </w:t>
            </w:r>
          </w:p>
        </w:tc>
        <w:tc>
          <w:tcPr>
            <w:tcW w:w="185" w:type="dxa"/>
            <w:tcBorders>
              <w:top w:val="nil"/>
              <w:left w:val="nil"/>
              <w:bottom w:val="nil"/>
              <w:right w:val="nil"/>
            </w:tcBorders>
            <w:shd w:val="clear" w:color="000000" w:fill="FFFFFF"/>
            <w:noWrap/>
            <w:vAlign w:val="bottom"/>
            <w:hideMark/>
          </w:tcPr>
          <w:p w14:paraId="47CCBE81" w14:textId="77777777" w:rsidR="00051507" w:rsidRPr="000125B2" w:rsidRDefault="00051507" w:rsidP="00DF5625">
            <w:pPr>
              <w:jc w:val="right"/>
              <w:rPr>
                <w:b/>
                <w:bCs/>
                <w:sz w:val="18"/>
                <w:szCs w:val="18"/>
              </w:rPr>
            </w:pPr>
            <w:r w:rsidRPr="000125B2">
              <w:rPr>
                <w:b/>
                <w:bCs/>
                <w:sz w:val="18"/>
                <w:szCs w:val="18"/>
              </w:rPr>
              <w:t> </w:t>
            </w:r>
          </w:p>
        </w:tc>
        <w:tc>
          <w:tcPr>
            <w:tcW w:w="1320" w:type="dxa"/>
            <w:tcBorders>
              <w:top w:val="single" w:sz="4" w:space="0" w:color="auto"/>
              <w:left w:val="nil"/>
              <w:bottom w:val="double" w:sz="6" w:space="0" w:color="auto"/>
              <w:right w:val="nil"/>
            </w:tcBorders>
            <w:shd w:val="clear" w:color="000000" w:fill="FFFFFF"/>
            <w:noWrap/>
            <w:vAlign w:val="bottom"/>
            <w:hideMark/>
          </w:tcPr>
          <w:p w14:paraId="14B52DA9" w14:textId="77777777" w:rsidR="00051507" w:rsidRPr="000125B2" w:rsidRDefault="00051507" w:rsidP="00DF5625">
            <w:pPr>
              <w:jc w:val="right"/>
              <w:rPr>
                <w:b/>
                <w:bCs/>
                <w:sz w:val="18"/>
                <w:szCs w:val="18"/>
              </w:rPr>
            </w:pPr>
            <w:r w:rsidRPr="000125B2">
              <w:rPr>
                <w:b/>
                <w:bCs/>
                <w:sz w:val="18"/>
                <w:szCs w:val="18"/>
              </w:rPr>
              <w:t xml:space="preserve">  1.195.674 </w:t>
            </w:r>
          </w:p>
        </w:tc>
        <w:tc>
          <w:tcPr>
            <w:tcW w:w="185" w:type="dxa"/>
            <w:tcBorders>
              <w:top w:val="nil"/>
              <w:left w:val="nil"/>
              <w:bottom w:val="nil"/>
              <w:right w:val="nil"/>
            </w:tcBorders>
            <w:shd w:val="clear" w:color="000000" w:fill="FFFFFF"/>
            <w:noWrap/>
            <w:vAlign w:val="bottom"/>
            <w:hideMark/>
          </w:tcPr>
          <w:p w14:paraId="05A57B39" w14:textId="77777777" w:rsidR="00051507" w:rsidRPr="000125B2" w:rsidRDefault="00051507" w:rsidP="00DF5625">
            <w:pPr>
              <w:jc w:val="right"/>
              <w:rPr>
                <w:b/>
                <w:bCs/>
                <w:sz w:val="18"/>
                <w:szCs w:val="18"/>
              </w:rPr>
            </w:pPr>
            <w:r w:rsidRPr="000125B2">
              <w:rPr>
                <w:b/>
                <w:bCs/>
                <w:sz w:val="18"/>
                <w:szCs w:val="18"/>
              </w:rPr>
              <w:t> </w:t>
            </w:r>
          </w:p>
        </w:tc>
        <w:tc>
          <w:tcPr>
            <w:tcW w:w="1300" w:type="dxa"/>
            <w:tcBorders>
              <w:top w:val="single" w:sz="4" w:space="0" w:color="auto"/>
              <w:left w:val="nil"/>
              <w:bottom w:val="double" w:sz="6" w:space="0" w:color="auto"/>
              <w:right w:val="nil"/>
            </w:tcBorders>
            <w:shd w:val="clear" w:color="000000" w:fill="FFFFFF"/>
            <w:noWrap/>
            <w:vAlign w:val="bottom"/>
            <w:hideMark/>
          </w:tcPr>
          <w:p w14:paraId="3874F07B" w14:textId="77777777" w:rsidR="00051507" w:rsidRPr="000125B2" w:rsidRDefault="00051507" w:rsidP="00DF5625">
            <w:pPr>
              <w:jc w:val="right"/>
              <w:rPr>
                <w:b/>
                <w:bCs/>
                <w:sz w:val="18"/>
                <w:szCs w:val="18"/>
              </w:rPr>
            </w:pPr>
            <w:r w:rsidRPr="000125B2">
              <w:rPr>
                <w:b/>
                <w:bCs/>
                <w:sz w:val="18"/>
                <w:szCs w:val="18"/>
              </w:rPr>
              <w:t xml:space="preserve"> (480.000) </w:t>
            </w:r>
          </w:p>
        </w:tc>
      </w:tr>
      <w:tr w:rsidR="00051507" w:rsidRPr="000125B2" w14:paraId="3A4887E7" w14:textId="77777777" w:rsidTr="00DF5625">
        <w:trPr>
          <w:trHeight w:val="120"/>
        </w:trPr>
        <w:tc>
          <w:tcPr>
            <w:tcW w:w="3180" w:type="dxa"/>
            <w:tcBorders>
              <w:top w:val="nil"/>
              <w:left w:val="nil"/>
              <w:bottom w:val="nil"/>
              <w:right w:val="nil"/>
            </w:tcBorders>
            <w:shd w:val="clear" w:color="000000" w:fill="FFFFFF"/>
            <w:noWrap/>
            <w:vAlign w:val="bottom"/>
            <w:hideMark/>
          </w:tcPr>
          <w:p w14:paraId="51E9ACF7" w14:textId="77777777" w:rsidR="00051507" w:rsidRPr="000125B2" w:rsidRDefault="00051507" w:rsidP="00DF5625">
            <w:pPr>
              <w:rPr>
                <w:rFonts w:cs="Calibri"/>
                <w:sz w:val="18"/>
                <w:szCs w:val="18"/>
              </w:rPr>
            </w:pPr>
            <w:r w:rsidRPr="000125B2">
              <w:rPr>
                <w:rFonts w:cs="Calibri"/>
                <w:sz w:val="18"/>
                <w:szCs w:val="18"/>
              </w:rPr>
              <w:t> </w:t>
            </w:r>
          </w:p>
        </w:tc>
        <w:tc>
          <w:tcPr>
            <w:tcW w:w="1340" w:type="dxa"/>
            <w:tcBorders>
              <w:top w:val="nil"/>
              <w:left w:val="nil"/>
              <w:bottom w:val="nil"/>
              <w:right w:val="nil"/>
            </w:tcBorders>
            <w:shd w:val="clear" w:color="000000" w:fill="FFFFFF"/>
            <w:noWrap/>
            <w:vAlign w:val="bottom"/>
            <w:hideMark/>
          </w:tcPr>
          <w:p w14:paraId="0C9D5E85" w14:textId="77777777" w:rsidR="00051507" w:rsidRPr="000125B2" w:rsidRDefault="00051507" w:rsidP="00DF5625">
            <w:pPr>
              <w:jc w:val="right"/>
              <w:rPr>
                <w:sz w:val="18"/>
                <w:szCs w:val="18"/>
              </w:rPr>
            </w:pPr>
            <w:r w:rsidRPr="000125B2">
              <w:rPr>
                <w:sz w:val="18"/>
                <w:szCs w:val="18"/>
              </w:rPr>
              <w:t> </w:t>
            </w:r>
          </w:p>
        </w:tc>
        <w:tc>
          <w:tcPr>
            <w:tcW w:w="185" w:type="dxa"/>
            <w:tcBorders>
              <w:top w:val="nil"/>
              <w:left w:val="nil"/>
              <w:bottom w:val="nil"/>
              <w:right w:val="nil"/>
            </w:tcBorders>
            <w:shd w:val="clear" w:color="000000" w:fill="FFFFFF"/>
            <w:noWrap/>
            <w:vAlign w:val="bottom"/>
            <w:hideMark/>
          </w:tcPr>
          <w:p w14:paraId="0C3FBF2E"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bottom"/>
            <w:hideMark/>
          </w:tcPr>
          <w:p w14:paraId="0495F74B" w14:textId="77777777" w:rsidR="00051507" w:rsidRPr="000125B2" w:rsidRDefault="00051507" w:rsidP="00DF5625">
            <w:pPr>
              <w:jc w:val="right"/>
              <w:rPr>
                <w:sz w:val="18"/>
                <w:szCs w:val="18"/>
              </w:rPr>
            </w:pPr>
            <w:r w:rsidRPr="000125B2">
              <w:rPr>
                <w:sz w:val="18"/>
                <w:szCs w:val="18"/>
              </w:rPr>
              <w:t> </w:t>
            </w:r>
          </w:p>
        </w:tc>
        <w:tc>
          <w:tcPr>
            <w:tcW w:w="185" w:type="dxa"/>
            <w:tcBorders>
              <w:top w:val="nil"/>
              <w:left w:val="nil"/>
              <w:bottom w:val="nil"/>
              <w:right w:val="nil"/>
            </w:tcBorders>
            <w:shd w:val="clear" w:color="000000" w:fill="FFFFFF"/>
            <w:noWrap/>
            <w:vAlign w:val="bottom"/>
            <w:hideMark/>
          </w:tcPr>
          <w:p w14:paraId="083CB8D7" w14:textId="77777777" w:rsidR="00051507" w:rsidRPr="000125B2" w:rsidRDefault="00051507" w:rsidP="00DF5625">
            <w:pPr>
              <w:jc w:val="right"/>
              <w:rPr>
                <w:sz w:val="18"/>
                <w:szCs w:val="18"/>
              </w:rPr>
            </w:pPr>
            <w:r w:rsidRPr="000125B2">
              <w:rPr>
                <w:sz w:val="18"/>
                <w:szCs w:val="18"/>
              </w:rPr>
              <w:t> </w:t>
            </w:r>
          </w:p>
        </w:tc>
        <w:tc>
          <w:tcPr>
            <w:tcW w:w="1320" w:type="dxa"/>
            <w:tcBorders>
              <w:top w:val="nil"/>
              <w:left w:val="nil"/>
              <w:bottom w:val="nil"/>
              <w:right w:val="nil"/>
            </w:tcBorders>
            <w:shd w:val="clear" w:color="000000" w:fill="FFFFFF"/>
            <w:noWrap/>
            <w:vAlign w:val="bottom"/>
            <w:hideMark/>
          </w:tcPr>
          <w:p w14:paraId="1C8BB340" w14:textId="77777777" w:rsidR="00051507" w:rsidRPr="000125B2" w:rsidRDefault="00051507" w:rsidP="00DF5625">
            <w:pPr>
              <w:jc w:val="right"/>
              <w:rPr>
                <w:sz w:val="18"/>
                <w:szCs w:val="18"/>
              </w:rPr>
            </w:pPr>
            <w:r w:rsidRPr="000125B2">
              <w:rPr>
                <w:sz w:val="18"/>
                <w:szCs w:val="18"/>
              </w:rPr>
              <w:t> </w:t>
            </w:r>
          </w:p>
        </w:tc>
        <w:tc>
          <w:tcPr>
            <w:tcW w:w="185" w:type="dxa"/>
            <w:tcBorders>
              <w:top w:val="nil"/>
              <w:left w:val="nil"/>
              <w:bottom w:val="nil"/>
              <w:right w:val="nil"/>
            </w:tcBorders>
            <w:shd w:val="clear" w:color="000000" w:fill="FFFFFF"/>
            <w:noWrap/>
            <w:vAlign w:val="bottom"/>
            <w:hideMark/>
          </w:tcPr>
          <w:p w14:paraId="366858FF" w14:textId="77777777" w:rsidR="00051507" w:rsidRPr="000125B2" w:rsidRDefault="00051507" w:rsidP="00DF5625">
            <w:pPr>
              <w:jc w:val="right"/>
              <w:rPr>
                <w:sz w:val="18"/>
                <w:szCs w:val="18"/>
              </w:rPr>
            </w:pPr>
            <w:r w:rsidRPr="000125B2">
              <w:rPr>
                <w:sz w:val="18"/>
                <w:szCs w:val="18"/>
              </w:rPr>
              <w:t> </w:t>
            </w:r>
          </w:p>
        </w:tc>
        <w:tc>
          <w:tcPr>
            <w:tcW w:w="1300" w:type="dxa"/>
            <w:tcBorders>
              <w:top w:val="nil"/>
              <w:left w:val="nil"/>
              <w:bottom w:val="nil"/>
              <w:right w:val="nil"/>
            </w:tcBorders>
            <w:shd w:val="clear" w:color="000000" w:fill="FFFFFF"/>
            <w:noWrap/>
            <w:vAlign w:val="bottom"/>
            <w:hideMark/>
          </w:tcPr>
          <w:p w14:paraId="5C2AF1B2" w14:textId="77777777" w:rsidR="00051507" w:rsidRDefault="00051507" w:rsidP="00DF5625">
            <w:pPr>
              <w:jc w:val="right"/>
              <w:rPr>
                <w:sz w:val="18"/>
                <w:szCs w:val="18"/>
              </w:rPr>
            </w:pPr>
            <w:r w:rsidRPr="000125B2">
              <w:rPr>
                <w:sz w:val="18"/>
                <w:szCs w:val="18"/>
              </w:rPr>
              <w:t> </w:t>
            </w:r>
          </w:p>
          <w:p w14:paraId="7687294E" w14:textId="77777777" w:rsidR="00051507" w:rsidRPr="000125B2" w:rsidRDefault="00051507" w:rsidP="00DF5625">
            <w:pPr>
              <w:jc w:val="right"/>
              <w:rPr>
                <w:sz w:val="18"/>
                <w:szCs w:val="18"/>
              </w:rPr>
            </w:pPr>
          </w:p>
        </w:tc>
      </w:tr>
    </w:tbl>
    <w:p w14:paraId="0B92786C" w14:textId="77777777" w:rsidR="00051507" w:rsidRPr="00472C37" w:rsidRDefault="00051507" w:rsidP="00051507">
      <w:pPr>
        <w:spacing w:after="240" w:line="240" w:lineRule="atLeast"/>
        <w:ind w:right="26"/>
        <w:rPr>
          <w:b/>
          <w:bCs/>
          <w:sz w:val="18"/>
          <w:szCs w:val="18"/>
        </w:rPr>
      </w:pPr>
      <w:r w:rsidRPr="00472C37">
        <w:rPr>
          <w:b/>
          <w:bCs/>
          <w:sz w:val="18"/>
          <w:szCs w:val="18"/>
        </w:rPr>
        <w:t xml:space="preserve">4. Estructura del flujo de efectivo comparativa </w:t>
      </w:r>
      <w:r w:rsidRPr="00472C37">
        <w:rPr>
          <w:sz w:val="18"/>
          <w:szCs w:val="18"/>
        </w:rPr>
        <w:t>(en millones de pesos)</w:t>
      </w:r>
    </w:p>
    <w:tbl>
      <w:tblPr>
        <w:tblW w:w="9708" w:type="dxa"/>
        <w:jc w:val="center"/>
        <w:tblCellMar>
          <w:left w:w="70" w:type="dxa"/>
          <w:right w:w="70" w:type="dxa"/>
        </w:tblCellMar>
        <w:tblLook w:val="04A0" w:firstRow="1" w:lastRow="0" w:firstColumn="1" w:lastColumn="0" w:noHBand="0" w:noVBand="1"/>
      </w:tblPr>
      <w:tblGrid>
        <w:gridCol w:w="4195"/>
        <w:gridCol w:w="1249"/>
        <w:gridCol w:w="185"/>
        <w:gridCol w:w="1181"/>
        <w:gridCol w:w="185"/>
        <w:gridCol w:w="1292"/>
        <w:gridCol w:w="185"/>
        <w:gridCol w:w="1236"/>
      </w:tblGrid>
      <w:tr w:rsidR="00051507" w:rsidRPr="000125B2" w14:paraId="7071A99B" w14:textId="77777777" w:rsidTr="00DF5625">
        <w:trPr>
          <w:trHeight w:val="290"/>
          <w:jc w:val="center"/>
        </w:trPr>
        <w:tc>
          <w:tcPr>
            <w:tcW w:w="4195" w:type="dxa"/>
            <w:tcBorders>
              <w:top w:val="nil"/>
              <w:left w:val="nil"/>
              <w:bottom w:val="nil"/>
              <w:right w:val="nil"/>
            </w:tcBorders>
            <w:shd w:val="clear" w:color="000000" w:fill="FFFFFF"/>
            <w:noWrap/>
            <w:vAlign w:val="bottom"/>
            <w:hideMark/>
          </w:tcPr>
          <w:p w14:paraId="0D227000" w14:textId="77777777" w:rsidR="00051507" w:rsidRPr="000125B2" w:rsidRDefault="00051507" w:rsidP="00DF5625">
            <w:pPr>
              <w:rPr>
                <w:rFonts w:cs="Calibri"/>
                <w:sz w:val="18"/>
                <w:szCs w:val="18"/>
              </w:rPr>
            </w:pPr>
            <w:r w:rsidRPr="000125B2">
              <w:rPr>
                <w:rFonts w:cs="Calibri"/>
                <w:sz w:val="18"/>
                <w:szCs w:val="18"/>
              </w:rPr>
              <w:t> </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F5C47" w14:textId="77777777" w:rsidR="00051507" w:rsidRPr="000125B2" w:rsidRDefault="00051507" w:rsidP="00DF5625">
            <w:pPr>
              <w:jc w:val="center"/>
              <w:rPr>
                <w:b/>
                <w:bCs/>
                <w:sz w:val="18"/>
                <w:szCs w:val="18"/>
              </w:rPr>
            </w:pPr>
            <w:r w:rsidRPr="000125B2">
              <w:rPr>
                <w:b/>
                <w:bCs/>
                <w:sz w:val="18"/>
                <w:szCs w:val="18"/>
              </w:rPr>
              <w:t>31.12.21</w:t>
            </w:r>
          </w:p>
        </w:tc>
        <w:tc>
          <w:tcPr>
            <w:tcW w:w="185" w:type="dxa"/>
            <w:tcBorders>
              <w:top w:val="nil"/>
              <w:left w:val="nil"/>
              <w:bottom w:val="nil"/>
              <w:right w:val="nil"/>
            </w:tcBorders>
            <w:shd w:val="clear" w:color="000000" w:fill="FFFFFF"/>
            <w:noWrap/>
            <w:vAlign w:val="bottom"/>
            <w:hideMark/>
          </w:tcPr>
          <w:p w14:paraId="1CF41D69" w14:textId="77777777" w:rsidR="00051507" w:rsidRPr="000125B2" w:rsidRDefault="00051507" w:rsidP="00DF5625">
            <w:pPr>
              <w:jc w:val="center"/>
              <w:rPr>
                <w:b/>
                <w:bCs/>
                <w:sz w:val="18"/>
                <w:szCs w:val="18"/>
              </w:rPr>
            </w:pPr>
            <w:r w:rsidRPr="000125B2">
              <w:rPr>
                <w:b/>
                <w:bCs/>
                <w:sz w:val="18"/>
                <w:szCs w:val="18"/>
              </w:rPr>
              <w:t> </w:t>
            </w:r>
          </w:p>
        </w:tc>
        <w:tc>
          <w:tcPr>
            <w:tcW w:w="11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9044F" w14:textId="77777777" w:rsidR="00051507" w:rsidRPr="000125B2" w:rsidRDefault="00051507" w:rsidP="00DF5625">
            <w:pPr>
              <w:jc w:val="center"/>
              <w:rPr>
                <w:b/>
                <w:bCs/>
                <w:sz w:val="18"/>
                <w:szCs w:val="18"/>
              </w:rPr>
            </w:pPr>
            <w:r w:rsidRPr="000125B2">
              <w:rPr>
                <w:b/>
                <w:bCs/>
                <w:sz w:val="18"/>
                <w:szCs w:val="18"/>
              </w:rPr>
              <w:t>31.12.20</w:t>
            </w:r>
          </w:p>
        </w:tc>
        <w:tc>
          <w:tcPr>
            <w:tcW w:w="185" w:type="dxa"/>
            <w:tcBorders>
              <w:top w:val="nil"/>
              <w:left w:val="nil"/>
              <w:bottom w:val="nil"/>
              <w:right w:val="nil"/>
            </w:tcBorders>
            <w:shd w:val="clear" w:color="000000" w:fill="FFFFFF"/>
            <w:noWrap/>
            <w:vAlign w:val="bottom"/>
            <w:hideMark/>
          </w:tcPr>
          <w:p w14:paraId="46C72942" w14:textId="77777777" w:rsidR="00051507" w:rsidRPr="000125B2" w:rsidRDefault="00051507" w:rsidP="00DF5625">
            <w:pPr>
              <w:jc w:val="center"/>
              <w:rPr>
                <w:b/>
                <w:bCs/>
                <w:sz w:val="18"/>
                <w:szCs w:val="18"/>
              </w:rPr>
            </w:pPr>
            <w:r w:rsidRPr="000125B2">
              <w:rPr>
                <w:b/>
                <w:bCs/>
                <w:sz w:val="18"/>
                <w:szCs w:val="18"/>
              </w:rPr>
              <w:t> </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6ABA8" w14:textId="77777777" w:rsidR="00051507" w:rsidRPr="000125B2" w:rsidRDefault="00051507" w:rsidP="00DF5625">
            <w:pPr>
              <w:jc w:val="center"/>
              <w:rPr>
                <w:b/>
                <w:bCs/>
                <w:sz w:val="18"/>
                <w:szCs w:val="18"/>
              </w:rPr>
            </w:pPr>
            <w:r w:rsidRPr="000125B2">
              <w:rPr>
                <w:b/>
                <w:bCs/>
                <w:sz w:val="18"/>
                <w:szCs w:val="18"/>
              </w:rPr>
              <w:t>31.12.19</w:t>
            </w:r>
          </w:p>
        </w:tc>
        <w:tc>
          <w:tcPr>
            <w:tcW w:w="185" w:type="dxa"/>
            <w:tcBorders>
              <w:top w:val="nil"/>
              <w:left w:val="nil"/>
              <w:bottom w:val="nil"/>
              <w:right w:val="nil"/>
            </w:tcBorders>
            <w:shd w:val="clear" w:color="000000" w:fill="FFFFFF"/>
            <w:noWrap/>
            <w:vAlign w:val="bottom"/>
            <w:hideMark/>
          </w:tcPr>
          <w:p w14:paraId="06742E57" w14:textId="77777777" w:rsidR="00051507" w:rsidRPr="000125B2" w:rsidRDefault="00051507" w:rsidP="00DF5625">
            <w:pPr>
              <w:jc w:val="center"/>
              <w:rPr>
                <w:b/>
                <w:bCs/>
                <w:sz w:val="18"/>
                <w:szCs w:val="18"/>
              </w:rPr>
            </w:pPr>
            <w:r w:rsidRPr="000125B2">
              <w:rPr>
                <w:b/>
                <w:bCs/>
                <w:sz w:val="18"/>
                <w:szCs w:val="18"/>
              </w:rPr>
              <w:t> </w:t>
            </w:r>
          </w:p>
        </w:tc>
        <w:tc>
          <w:tcPr>
            <w:tcW w:w="1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27F12" w14:textId="77777777" w:rsidR="00051507" w:rsidRPr="000125B2" w:rsidRDefault="00051507" w:rsidP="00DF5625">
            <w:pPr>
              <w:jc w:val="center"/>
              <w:rPr>
                <w:b/>
                <w:bCs/>
                <w:sz w:val="18"/>
                <w:szCs w:val="18"/>
              </w:rPr>
            </w:pPr>
            <w:r w:rsidRPr="000125B2">
              <w:rPr>
                <w:b/>
                <w:bCs/>
                <w:sz w:val="18"/>
                <w:szCs w:val="18"/>
              </w:rPr>
              <w:t>31.12.18</w:t>
            </w:r>
          </w:p>
        </w:tc>
      </w:tr>
      <w:tr w:rsidR="00051507" w:rsidRPr="000125B2" w14:paraId="49447298" w14:textId="77777777" w:rsidTr="00DF5625">
        <w:trPr>
          <w:trHeight w:val="290"/>
          <w:jc w:val="center"/>
        </w:trPr>
        <w:tc>
          <w:tcPr>
            <w:tcW w:w="4195" w:type="dxa"/>
            <w:tcBorders>
              <w:top w:val="nil"/>
              <w:left w:val="nil"/>
              <w:bottom w:val="nil"/>
              <w:right w:val="nil"/>
            </w:tcBorders>
            <w:shd w:val="clear" w:color="000000" w:fill="FFFFFF"/>
            <w:vAlign w:val="bottom"/>
            <w:hideMark/>
          </w:tcPr>
          <w:p w14:paraId="538497DE" w14:textId="77777777" w:rsidR="00051507" w:rsidRPr="000125B2" w:rsidRDefault="00051507" w:rsidP="00DF5625">
            <w:pPr>
              <w:rPr>
                <w:sz w:val="18"/>
                <w:szCs w:val="18"/>
              </w:rPr>
            </w:pPr>
            <w:r w:rsidRPr="000125B2">
              <w:rPr>
                <w:sz w:val="18"/>
                <w:szCs w:val="18"/>
              </w:rPr>
              <w:t>Fondos generados por las actividades operativas</w:t>
            </w:r>
          </w:p>
        </w:tc>
        <w:tc>
          <w:tcPr>
            <w:tcW w:w="1249" w:type="dxa"/>
            <w:tcBorders>
              <w:top w:val="nil"/>
              <w:left w:val="nil"/>
              <w:bottom w:val="nil"/>
              <w:right w:val="nil"/>
            </w:tcBorders>
            <w:shd w:val="clear" w:color="000000" w:fill="FFFFFF"/>
            <w:noWrap/>
            <w:vAlign w:val="bottom"/>
            <w:hideMark/>
          </w:tcPr>
          <w:p w14:paraId="20C30388" w14:textId="77777777" w:rsidR="00051507" w:rsidRPr="000125B2" w:rsidRDefault="00051507" w:rsidP="00DF5625">
            <w:pPr>
              <w:jc w:val="right"/>
              <w:rPr>
                <w:sz w:val="18"/>
                <w:szCs w:val="18"/>
              </w:rPr>
            </w:pPr>
            <w:r w:rsidRPr="000125B2">
              <w:rPr>
                <w:sz w:val="18"/>
                <w:szCs w:val="18"/>
              </w:rPr>
              <w:t xml:space="preserve">         3.114.899 </w:t>
            </w:r>
          </w:p>
        </w:tc>
        <w:tc>
          <w:tcPr>
            <w:tcW w:w="185" w:type="dxa"/>
            <w:tcBorders>
              <w:top w:val="nil"/>
              <w:left w:val="nil"/>
              <w:bottom w:val="nil"/>
              <w:right w:val="nil"/>
            </w:tcBorders>
            <w:shd w:val="clear" w:color="000000" w:fill="FFFFFF"/>
            <w:noWrap/>
            <w:vAlign w:val="bottom"/>
            <w:hideMark/>
          </w:tcPr>
          <w:p w14:paraId="746B30C0" w14:textId="77777777" w:rsidR="00051507" w:rsidRPr="000125B2" w:rsidRDefault="00051507" w:rsidP="00DF5625">
            <w:pPr>
              <w:jc w:val="right"/>
              <w:rPr>
                <w:sz w:val="18"/>
                <w:szCs w:val="18"/>
              </w:rPr>
            </w:pPr>
            <w:r w:rsidRPr="000125B2">
              <w:rPr>
                <w:sz w:val="18"/>
                <w:szCs w:val="18"/>
              </w:rPr>
              <w:t> </w:t>
            </w:r>
          </w:p>
        </w:tc>
        <w:tc>
          <w:tcPr>
            <w:tcW w:w="1181" w:type="dxa"/>
            <w:tcBorders>
              <w:top w:val="nil"/>
              <w:left w:val="nil"/>
              <w:bottom w:val="nil"/>
              <w:right w:val="nil"/>
            </w:tcBorders>
            <w:shd w:val="clear" w:color="000000" w:fill="FFFFFF"/>
            <w:noWrap/>
            <w:vAlign w:val="bottom"/>
            <w:hideMark/>
          </w:tcPr>
          <w:p w14:paraId="4F3A265E" w14:textId="77777777" w:rsidR="00051507" w:rsidRPr="000125B2" w:rsidRDefault="00051507" w:rsidP="00DF5625">
            <w:pPr>
              <w:jc w:val="right"/>
              <w:rPr>
                <w:sz w:val="18"/>
                <w:szCs w:val="18"/>
              </w:rPr>
            </w:pPr>
            <w:r w:rsidRPr="000125B2">
              <w:rPr>
                <w:sz w:val="18"/>
                <w:szCs w:val="18"/>
              </w:rPr>
              <w:t xml:space="preserve">       2.055.228 </w:t>
            </w:r>
          </w:p>
        </w:tc>
        <w:tc>
          <w:tcPr>
            <w:tcW w:w="185" w:type="dxa"/>
            <w:tcBorders>
              <w:top w:val="nil"/>
              <w:left w:val="nil"/>
              <w:bottom w:val="nil"/>
              <w:right w:val="nil"/>
            </w:tcBorders>
            <w:shd w:val="clear" w:color="000000" w:fill="FFFFFF"/>
            <w:noWrap/>
            <w:vAlign w:val="bottom"/>
            <w:hideMark/>
          </w:tcPr>
          <w:p w14:paraId="04DEBE4B" w14:textId="77777777" w:rsidR="00051507" w:rsidRPr="000125B2" w:rsidRDefault="00051507" w:rsidP="00DF5625">
            <w:pPr>
              <w:jc w:val="right"/>
              <w:rPr>
                <w:sz w:val="18"/>
                <w:szCs w:val="18"/>
              </w:rPr>
            </w:pPr>
            <w:r w:rsidRPr="000125B2">
              <w:rPr>
                <w:sz w:val="18"/>
                <w:szCs w:val="18"/>
              </w:rPr>
              <w:t> </w:t>
            </w:r>
          </w:p>
        </w:tc>
        <w:tc>
          <w:tcPr>
            <w:tcW w:w="1292" w:type="dxa"/>
            <w:tcBorders>
              <w:top w:val="nil"/>
              <w:left w:val="nil"/>
              <w:bottom w:val="nil"/>
              <w:right w:val="nil"/>
            </w:tcBorders>
            <w:shd w:val="clear" w:color="000000" w:fill="FFFFFF"/>
            <w:noWrap/>
            <w:vAlign w:val="bottom"/>
            <w:hideMark/>
          </w:tcPr>
          <w:p w14:paraId="7036E410" w14:textId="77777777" w:rsidR="00051507" w:rsidRPr="000125B2" w:rsidRDefault="00051507" w:rsidP="00DF5625">
            <w:pPr>
              <w:jc w:val="right"/>
              <w:rPr>
                <w:sz w:val="18"/>
                <w:szCs w:val="18"/>
              </w:rPr>
            </w:pPr>
            <w:r w:rsidRPr="000125B2">
              <w:rPr>
                <w:sz w:val="18"/>
                <w:szCs w:val="18"/>
              </w:rPr>
              <w:t xml:space="preserve">         2.365.662 </w:t>
            </w:r>
          </w:p>
        </w:tc>
        <w:tc>
          <w:tcPr>
            <w:tcW w:w="185" w:type="dxa"/>
            <w:tcBorders>
              <w:top w:val="nil"/>
              <w:left w:val="nil"/>
              <w:bottom w:val="nil"/>
              <w:right w:val="nil"/>
            </w:tcBorders>
            <w:shd w:val="clear" w:color="auto" w:fill="auto"/>
            <w:noWrap/>
            <w:vAlign w:val="bottom"/>
            <w:hideMark/>
          </w:tcPr>
          <w:p w14:paraId="04D82916" w14:textId="77777777" w:rsidR="00051507" w:rsidRPr="000125B2" w:rsidRDefault="00051507" w:rsidP="00DF5625">
            <w:pPr>
              <w:jc w:val="right"/>
              <w:rPr>
                <w:sz w:val="18"/>
                <w:szCs w:val="18"/>
              </w:rPr>
            </w:pPr>
          </w:p>
        </w:tc>
        <w:tc>
          <w:tcPr>
            <w:tcW w:w="1236" w:type="dxa"/>
            <w:tcBorders>
              <w:top w:val="nil"/>
              <w:left w:val="nil"/>
              <w:bottom w:val="nil"/>
              <w:right w:val="nil"/>
            </w:tcBorders>
            <w:shd w:val="clear" w:color="000000" w:fill="FFFFFF"/>
            <w:noWrap/>
            <w:vAlign w:val="bottom"/>
            <w:hideMark/>
          </w:tcPr>
          <w:p w14:paraId="73ACDA6D" w14:textId="77777777" w:rsidR="00051507" w:rsidRPr="000125B2" w:rsidRDefault="00051507" w:rsidP="00DF5625">
            <w:pPr>
              <w:jc w:val="right"/>
              <w:rPr>
                <w:sz w:val="18"/>
                <w:szCs w:val="18"/>
              </w:rPr>
            </w:pPr>
            <w:r w:rsidRPr="000125B2">
              <w:rPr>
                <w:sz w:val="18"/>
                <w:szCs w:val="18"/>
              </w:rPr>
              <w:t xml:space="preserve">           486.061 </w:t>
            </w:r>
          </w:p>
        </w:tc>
      </w:tr>
      <w:tr w:rsidR="00051507" w:rsidRPr="000125B2" w14:paraId="55CA513B" w14:textId="77777777" w:rsidTr="00DF5625">
        <w:trPr>
          <w:trHeight w:val="480"/>
          <w:jc w:val="center"/>
        </w:trPr>
        <w:tc>
          <w:tcPr>
            <w:tcW w:w="4195" w:type="dxa"/>
            <w:tcBorders>
              <w:top w:val="nil"/>
              <w:left w:val="nil"/>
              <w:bottom w:val="nil"/>
              <w:right w:val="nil"/>
            </w:tcBorders>
            <w:shd w:val="clear" w:color="000000" w:fill="FFFFFF"/>
            <w:vAlign w:val="bottom"/>
            <w:hideMark/>
          </w:tcPr>
          <w:p w14:paraId="61ED19BE" w14:textId="77777777" w:rsidR="00051507" w:rsidRPr="000125B2" w:rsidRDefault="00051507" w:rsidP="00DF5625">
            <w:pPr>
              <w:rPr>
                <w:sz w:val="18"/>
                <w:szCs w:val="18"/>
              </w:rPr>
            </w:pPr>
            <w:r w:rsidRPr="000125B2">
              <w:rPr>
                <w:sz w:val="18"/>
                <w:szCs w:val="18"/>
              </w:rPr>
              <w:t xml:space="preserve">Fondos (aplicados </w:t>
            </w:r>
            <w:proofErr w:type="gramStart"/>
            <w:r w:rsidRPr="000125B2">
              <w:rPr>
                <w:sz w:val="18"/>
                <w:szCs w:val="18"/>
              </w:rPr>
              <w:t>a)/</w:t>
            </w:r>
            <w:proofErr w:type="gramEnd"/>
            <w:r w:rsidRPr="000125B2">
              <w:rPr>
                <w:sz w:val="18"/>
                <w:szCs w:val="18"/>
              </w:rPr>
              <w:t xml:space="preserve"> generador por las actividades de inversión</w:t>
            </w:r>
          </w:p>
        </w:tc>
        <w:tc>
          <w:tcPr>
            <w:tcW w:w="1249" w:type="dxa"/>
            <w:tcBorders>
              <w:top w:val="nil"/>
              <w:left w:val="nil"/>
              <w:bottom w:val="nil"/>
              <w:right w:val="nil"/>
            </w:tcBorders>
            <w:shd w:val="clear" w:color="000000" w:fill="FFFFFF"/>
            <w:noWrap/>
            <w:vAlign w:val="bottom"/>
            <w:hideMark/>
          </w:tcPr>
          <w:p w14:paraId="600176C6" w14:textId="77777777" w:rsidR="00051507" w:rsidRPr="000125B2" w:rsidRDefault="00051507" w:rsidP="00DF5625">
            <w:pPr>
              <w:jc w:val="right"/>
              <w:rPr>
                <w:sz w:val="18"/>
                <w:szCs w:val="18"/>
              </w:rPr>
            </w:pPr>
            <w:r w:rsidRPr="000125B2">
              <w:rPr>
                <w:sz w:val="18"/>
                <w:szCs w:val="18"/>
              </w:rPr>
              <w:t xml:space="preserve">          (233.977)</w:t>
            </w:r>
          </w:p>
        </w:tc>
        <w:tc>
          <w:tcPr>
            <w:tcW w:w="185" w:type="dxa"/>
            <w:tcBorders>
              <w:top w:val="nil"/>
              <w:left w:val="nil"/>
              <w:bottom w:val="nil"/>
              <w:right w:val="nil"/>
            </w:tcBorders>
            <w:shd w:val="clear" w:color="000000" w:fill="FFFFFF"/>
            <w:noWrap/>
            <w:vAlign w:val="bottom"/>
            <w:hideMark/>
          </w:tcPr>
          <w:p w14:paraId="33366139" w14:textId="77777777" w:rsidR="00051507" w:rsidRPr="000125B2" w:rsidRDefault="00051507" w:rsidP="00DF5625">
            <w:pPr>
              <w:jc w:val="right"/>
              <w:rPr>
                <w:sz w:val="18"/>
                <w:szCs w:val="18"/>
              </w:rPr>
            </w:pPr>
            <w:r w:rsidRPr="000125B2">
              <w:rPr>
                <w:sz w:val="18"/>
                <w:szCs w:val="18"/>
              </w:rPr>
              <w:t> </w:t>
            </w:r>
          </w:p>
        </w:tc>
        <w:tc>
          <w:tcPr>
            <w:tcW w:w="1181" w:type="dxa"/>
            <w:tcBorders>
              <w:top w:val="nil"/>
              <w:left w:val="nil"/>
              <w:bottom w:val="nil"/>
              <w:right w:val="nil"/>
            </w:tcBorders>
            <w:shd w:val="clear" w:color="000000" w:fill="FFFFFF"/>
            <w:noWrap/>
            <w:vAlign w:val="bottom"/>
            <w:hideMark/>
          </w:tcPr>
          <w:p w14:paraId="483C92A3" w14:textId="77777777" w:rsidR="00051507" w:rsidRPr="000125B2" w:rsidRDefault="00051507" w:rsidP="00DF5625">
            <w:pPr>
              <w:jc w:val="right"/>
              <w:rPr>
                <w:sz w:val="18"/>
                <w:szCs w:val="18"/>
              </w:rPr>
            </w:pPr>
            <w:r w:rsidRPr="000125B2">
              <w:rPr>
                <w:sz w:val="18"/>
                <w:szCs w:val="18"/>
              </w:rPr>
              <w:t xml:space="preserve">     (1.357.504)</w:t>
            </w:r>
          </w:p>
        </w:tc>
        <w:tc>
          <w:tcPr>
            <w:tcW w:w="185" w:type="dxa"/>
            <w:tcBorders>
              <w:top w:val="nil"/>
              <w:left w:val="nil"/>
              <w:bottom w:val="nil"/>
              <w:right w:val="nil"/>
            </w:tcBorders>
            <w:shd w:val="clear" w:color="000000" w:fill="FFFFFF"/>
            <w:noWrap/>
            <w:vAlign w:val="bottom"/>
            <w:hideMark/>
          </w:tcPr>
          <w:p w14:paraId="56D24344" w14:textId="77777777" w:rsidR="00051507" w:rsidRPr="000125B2" w:rsidRDefault="00051507" w:rsidP="00DF5625">
            <w:pPr>
              <w:jc w:val="right"/>
              <w:rPr>
                <w:sz w:val="18"/>
                <w:szCs w:val="18"/>
              </w:rPr>
            </w:pPr>
            <w:r w:rsidRPr="000125B2">
              <w:rPr>
                <w:sz w:val="18"/>
                <w:szCs w:val="18"/>
              </w:rPr>
              <w:t> </w:t>
            </w:r>
          </w:p>
        </w:tc>
        <w:tc>
          <w:tcPr>
            <w:tcW w:w="1292" w:type="dxa"/>
            <w:tcBorders>
              <w:top w:val="nil"/>
              <w:left w:val="nil"/>
              <w:bottom w:val="nil"/>
              <w:right w:val="nil"/>
            </w:tcBorders>
            <w:shd w:val="clear" w:color="000000" w:fill="FFFFFF"/>
            <w:noWrap/>
            <w:vAlign w:val="bottom"/>
            <w:hideMark/>
          </w:tcPr>
          <w:p w14:paraId="5B6B6F8D" w14:textId="77777777" w:rsidR="00051507" w:rsidRPr="000125B2" w:rsidRDefault="00051507" w:rsidP="00DF5625">
            <w:pPr>
              <w:jc w:val="right"/>
              <w:rPr>
                <w:sz w:val="18"/>
                <w:szCs w:val="18"/>
              </w:rPr>
            </w:pPr>
            <w:r w:rsidRPr="000125B2">
              <w:rPr>
                <w:sz w:val="18"/>
                <w:szCs w:val="18"/>
              </w:rPr>
              <w:t xml:space="preserve">          (519.194)</w:t>
            </w:r>
          </w:p>
        </w:tc>
        <w:tc>
          <w:tcPr>
            <w:tcW w:w="185" w:type="dxa"/>
            <w:tcBorders>
              <w:top w:val="nil"/>
              <w:left w:val="nil"/>
              <w:bottom w:val="nil"/>
              <w:right w:val="nil"/>
            </w:tcBorders>
            <w:shd w:val="clear" w:color="auto" w:fill="auto"/>
            <w:noWrap/>
            <w:vAlign w:val="bottom"/>
            <w:hideMark/>
          </w:tcPr>
          <w:p w14:paraId="43A36AFC" w14:textId="77777777" w:rsidR="00051507" w:rsidRPr="000125B2" w:rsidRDefault="00051507" w:rsidP="00DF5625">
            <w:pPr>
              <w:jc w:val="right"/>
              <w:rPr>
                <w:sz w:val="18"/>
                <w:szCs w:val="18"/>
              </w:rPr>
            </w:pPr>
          </w:p>
        </w:tc>
        <w:tc>
          <w:tcPr>
            <w:tcW w:w="1236" w:type="dxa"/>
            <w:tcBorders>
              <w:top w:val="nil"/>
              <w:left w:val="nil"/>
              <w:bottom w:val="nil"/>
              <w:right w:val="nil"/>
            </w:tcBorders>
            <w:shd w:val="clear" w:color="000000" w:fill="FFFFFF"/>
            <w:noWrap/>
            <w:vAlign w:val="bottom"/>
            <w:hideMark/>
          </w:tcPr>
          <w:p w14:paraId="6F4C1B90" w14:textId="77777777" w:rsidR="00051507" w:rsidRPr="000125B2" w:rsidRDefault="00051507" w:rsidP="00DF5625">
            <w:pPr>
              <w:jc w:val="right"/>
              <w:rPr>
                <w:sz w:val="18"/>
                <w:szCs w:val="18"/>
              </w:rPr>
            </w:pPr>
            <w:r w:rsidRPr="000125B2">
              <w:rPr>
                <w:sz w:val="18"/>
                <w:szCs w:val="18"/>
              </w:rPr>
              <w:t xml:space="preserve">      (1.137.747)</w:t>
            </w:r>
          </w:p>
        </w:tc>
      </w:tr>
      <w:tr w:rsidR="00051507" w:rsidRPr="000125B2" w14:paraId="75914DEC" w14:textId="77777777" w:rsidTr="00DF5625">
        <w:trPr>
          <w:trHeight w:val="280"/>
          <w:jc w:val="center"/>
        </w:trPr>
        <w:tc>
          <w:tcPr>
            <w:tcW w:w="4195" w:type="dxa"/>
            <w:tcBorders>
              <w:top w:val="nil"/>
              <w:left w:val="nil"/>
              <w:bottom w:val="nil"/>
              <w:right w:val="nil"/>
            </w:tcBorders>
            <w:shd w:val="clear" w:color="000000" w:fill="FFFFFF"/>
            <w:vAlign w:val="bottom"/>
            <w:hideMark/>
          </w:tcPr>
          <w:p w14:paraId="4D9B3041" w14:textId="77777777" w:rsidR="00051507" w:rsidRPr="00472C37" w:rsidRDefault="00051507" w:rsidP="00DF5625">
            <w:pPr>
              <w:rPr>
                <w:b/>
                <w:bCs/>
                <w:sz w:val="18"/>
                <w:szCs w:val="18"/>
              </w:rPr>
            </w:pPr>
            <w:r w:rsidRPr="00472C37">
              <w:rPr>
                <w:b/>
                <w:bCs/>
                <w:sz w:val="18"/>
                <w:szCs w:val="18"/>
              </w:rPr>
              <w:t xml:space="preserve">Fondos (aplicado </w:t>
            </w:r>
            <w:proofErr w:type="gramStart"/>
            <w:r w:rsidRPr="00472C37">
              <w:rPr>
                <w:b/>
                <w:bCs/>
                <w:sz w:val="18"/>
                <w:szCs w:val="18"/>
              </w:rPr>
              <w:t>a)/</w:t>
            </w:r>
            <w:proofErr w:type="gramEnd"/>
            <w:r w:rsidRPr="00472C37">
              <w:rPr>
                <w:b/>
                <w:bCs/>
                <w:sz w:val="18"/>
                <w:szCs w:val="18"/>
              </w:rPr>
              <w:t xml:space="preserve"> generados por las actividades de financiación</w:t>
            </w:r>
          </w:p>
        </w:tc>
        <w:tc>
          <w:tcPr>
            <w:tcW w:w="1249" w:type="dxa"/>
            <w:tcBorders>
              <w:top w:val="single" w:sz="4" w:space="0" w:color="auto"/>
              <w:left w:val="nil"/>
              <w:bottom w:val="double" w:sz="6" w:space="0" w:color="auto"/>
              <w:right w:val="nil"/>
            </w:tcBorders>
            <w:shd w:val="clear" w:color="000000" w:fill="FFFFFF"/>
            <w:noWrap/>
            <w:vAlign w:val="bottom"/>
            <w:hideMark/>
          </w:tcPr>
          <w:p w14:paraId="55971610" w14:textId="77777777" w:rsidR="00051507" w:rsidRPr="000125B2" w:rsidRDefault="00051507" w:rsidP="00DF5625">
            <w:pPr>
              <w:jc w:val="right"/>
              <w:rPr>
                <w:b/>
                <w:bCs/>
                <w:sz w:val="18"/>
                <w:szCs w:val="18"/>
              </w:rPr>
            </w:pPr>
            <w:r w:rsidRPr="000125B2">
              <w:rPr>
                <w:b/>
                <w:bCs/>
                <w:sz w:val="18"/>
                <w:szCs w:val="18"/>
              </w:rPr>
              <w:t xml:space="preserve">       (3.416.017)</w:t>
            </w:r>
          </w:p>
        </w:tc>
        <w:tc>
          <w:tcPr>
            <w:tcW w:w="185" w:type="dxa"/>
            <w:tcBorders>
              <w:top w:val="nil"/>
              <w:left w:val="nil"/>
              <w:bottom w:val="nil"/>
              <w:right w:val="nil"/>
            </w:tcBorders>
            <w:shd w:val="clear" w:color="000000" w:fill="FFFFFF"/>
            <w:noWrap/>
            <w:vAlign w:val="bottom"/>
            <w:hideMark/>
          </w:tcPr>
          <w:p w14:paraId="20364599" w14:textId="77777777" w:rsidR="00051507" w:rsidRPr="000125B2" w:rsidRDefault="00051507" w:rsidP="00DF5625">
            <w:pPr>
              <w:jc w:val="right"/>
              <w:rPr>
                <w:sz w:val="18"/>
                <w:szCs w:val="18"/>
              </w:rPr>
            </w:pPr>
            <w:r w:rsidRPr="000125B2">
              <w:rPr>
                <w:sz w:val="18"/>
                <w:szCs w:val="18"/>
              </w:rPr>
              <w:t> </w:t>
            </w:r>
          </w:p>
        </w:tc>
        <w:tc>
          <w:tcPr>
            <w:tcW w:w="1181" w:type="dxa"/>
            <w:tcBorders>
              <w:top w:val="single" w:sz="4" w:space="0" w:color="auto"/>
              <w:left w:val="nil"/>
              <w:bottom w:val="double" w:sz="6" w:space="0" w:color="auto"/>
              <w:right w:val="nil"/>
            </w:tcBorders>
            <w:shd w:val="clear" w:color="000000" w:fill="FFFFFF"/>
            <w:noWrap/>
            <w:vAlign w:val="bottom"/>
            <w:hideMark/>
          </w:tcPr>
          <w:p w14:paraId="5D18B3A1" w14:textId="77777777" w:rsidR="00051507" w:rsidRPr="000125B2" w:rsidRDefault="00051507" w:rsidP="00DF5625">
            <w:pPr>
              <w:jc w:val="right"/>
              <w:rPr>
                <w:b/>
                <w:bCs/>
                <w:sz w:val="18"/>
                <w:szCs w:val="18"/>
              </w:rPr>
            </w:pPr>
            <w:r w:rsidRPr="000125B2">
              <w:rPr>
                <w:b/>
                <w:bCs/>
                <w:sz w:val="18"/>
                <w:szCs w:val="18"/>
              </w:rPr>
              <w:t xml:space="preserve">     (1.373.325)</w:t>
            </w:r>
          </w:p>
        </w:tc>
        <w:tc>
          <w:tcPr>
            <w:tcW w:w="185" w:type="dxa"/>
            <w:tcBorders>
              <w:top w:val="nil"/>
              <w:left w:val="nil"/>
              <w:bottom w:val="nil"/>
              <w:right w:val="nil"/>
            </w:tcBorders>
            <w:shd w:val="clear" w:color="000000" w:fill="FFFFFF"/>
            <w:noWrap/>
            <w:vAlign w:val="bottom"/>
            <w:hideMark/>
          </w:tcPr>
          <w:p w14:paraId="17B01868" w14:textId="77777777" w:rsidR="00051507" w:rsidRPr="000125B2" w:rsidRDefault="00051507" w:rsidP="00DF5625">
            <w:pPr>
              <w:jc w:val="right"/>
              <w:rPr>
                <w:sz w:val="18"/>
                <w:szCs w:val="18"/>
              </w:rPr>
            </w:pPr>
            <w:r w:rsidRPr="000125B2">
              <w:rPr>
                <w:sz w:val="18"/>
                <w:szCs w:val="18"/>
              </w:rPr>
              <w:t> </w:t>
            </w:r>
          </w:p>
        </w:tc>
        <w:tc>
          <w:tcPr>
            <w:tcW w:w="1292" w:type="dxa"/>
            <w:tcBorders>
              <w:top w:val="single" w:sz="4" w:space="0" w:color="auto"/>
              <w:left w:val="nil"/>
              <w:bottom w:val="double" w:sz="6" w:space="0" w:color="auto"/>
              <w:right w:val="nil"/>
            </w:tcBorders>
            <w:shd w:val="clear" w:color="000000" w:fill="FFFFFF"/>
            <w:noWrap/>
            <w:vAlign w:val="bottom"/>
            <w:hideMark/>
          </w:tcPr>
          <w:p w14:paraId="59A51D5B" w14:textId="77777777" w:rsidR="00051507" w:rsidRPr="000125B2" w:rsidRDefault="00051507" w:rsidP="00DF5625">
            <w:pPr>
              <w:jc w:val="right"/>
              <w:rPr>
                <w:b/>
                <w:bCs/>
                <w:sz w:val="18"/>
                <w:szCs w:val="18"/>
              </w:rPr>
            </w:pPr>
            <w:r w:rsidRPr="000125B2">
              <w:rPr>
                <w:b/>
                <w:bCs/>
                <w:sz w:val="18"/>
                <w:szCs w:val="18"/>
              </w:rPr>
              <w:t xml:space="preserve">        (1.724.262)</w:t>
            </w:r>
          </w:p>
        </w:tc>
        <w:tc>
          <w:tcPr>
            <w:tcW w:w="185" w:type="dxa"/>
            <w:tcBorders>
              <w:top w:val="nil"/>
              <w:left w:val="nil"/>
              <w:bottom w:val="nil"/>
              <w:right w:val="nil"/>
            </w:tcBorders>
            <w:shd w:val="clear" w:color="auto" w:fill="auto"/>
            <w:noWrap/>
            <w:vAlign w:val="bottom"/>
            <w:hideMark/>
          </w:tcPr>
          <w:p w14:paraId="2E640227" w14:textId="77777777" w:rsidR="00051507" w:rsidRPr="000125B2" w:rsidRDefault="00051507" w:rsidP="00DF5625">
            <w:pPr>
              <w:jc w:val="right"/>
              <w:rPr>
                <w:b/>
                <w:bCs/>
                <w:sz w:val="18"/>
                <w:szCs w:val="18"/>
              </w:rPr>
            </w:pPr>
          </w:p>
        </w:tc>
        <w:tc>
          <w:tcPr>
            <w:tcW w:w="1236" w:type="dxa"/>
            <w:tcBorders>
              <w:top w:val="single" w:sz="4" w:space="0" w:color="auto"/>
              <w:left w:val="nil"/>
              <w:bottom w:val="double" w:sz="6" w:space="0" w:color="auto"/>
              <w:right w:val="nil"/>
            </w:tcBorders>
            <w:shd w:val="clear" w:color="000000" w:fill="FFFFFF"/>
            <w:noWrap/>
            <w:vAlign w:val="bottom"/>
            <w:hideMark/>
          </w:tcPr>
          <w:p w14:paraId="4DB360B1" w14:textId="77777777" w:rsidR="00051507" w:rsidRPr="000125B2" w:rsidRDefault="00051507" w:rsidP="00DF5625">
            <w:pPr>
              <w:jc w:val="right"/>
              <w:rPr>
                <w:b/>
                <w:bCs/>
                <w:sz w:val="18"/>
                <w:szCs w:val="18"/>
              </w:rPr>
            </w:pPr>
            <w:r w:rsidRPr="000125B2">
              <w:rPr>
                <w:b/>
                <w:bCs/>
                <w:sz w:val="18"/>
                <w:szCs w:val="18"/>
              </w:rPr>
              <w:t xml:space="preserve">           661.123 </w:t>
            </w:r>
          </w:p>
        </w:tc>
      </w:tr>
      <w:tr w:rsidR="00051507" w:rsidRPr="000125B2" w14:paraId="10C65794" w14:textId="77777777" w:rsidTr="00DF5625">
        <w:trPr>
          <w:trHeight w:val="165"/>
          <w:jc w:val="center"/>
        </w:trPr>
        <w:tc>
          <w:tcPr>
            <w:tcW w:w="4195" w:type="dxa"/>
            <w:tcBorders>
              <w:top w:val="nil"/>
              <w:left w:val="nil"/>
              <w:bottom w:val="nil"/>
              <w:right w:val="nil"/>
            </w:tcBorders>
            <w:shd w:val="clear" w:color="auto" w:fill="auto"/>
            <w:vAlign w:val="center"/>
            <w:hideMark/>
          </w:tcPr>
          <w:p w14:paraId="62675EF4" w14:textId="77777777" w:rsidR="00051507" w:rsidRPr="000125B2" w:rsidRDefault="00051507" w:rsidP="00DF5625">
            <w:pPr>
              <w:rPr>
                <w:b/>
                <w:bCs/>
                <w:sz w:val="18"/>
                <w:szCs w:val="18"/>
              </w:rPr>
            </w:pPr>
            <w:r w:rsidRPr="000125B2">
              <w:rPr>
                <w:b/>
                <w:bCs/>
                <w:sz w:val="18"/>
                <w:szCs w:val="18"/>
              </w:rPr>
              <w:t>(Disminución) del efectivo y equivalentes de efectivo</w:t>
            </w:r>
          </w:p>
        </w:tc>
        <w:tc>
          <w:tcPr>
            <w:tcW w:w="1249" w:type="dxa"/>
            <w:tcBorders>
              <w:top w:val="nil"/>
              <w:left w:val="nil"/>
              <w:bottom w:val="nil"/>
              <w:right w:val="nil"/>
            </w:tcBorders>
            <w:shd w:val="clear" w:color="000000" w:fill="FFFFFF"/>
            <w:noWrap/>
            <w:vAlign w:val="bottom"/>
            <w:hideMark/>
          </w:tcPr>
          <w:p w14:paraId="32B2992C" w14:textId="77777777" w:rsidR="00051507" w:rsidRPr="000125B2" w:rsidRDefault="00051507" w:rsidP="00DF5625">
            <w:pPr>
              <w:jc w:val="right"/>
              <w:rPr>
                <w:b/>
                <w:bCs/>
                <w:sz w:val="18"/>
                <w:szCs w:val="18"/>
              </w:rPr>
            </w:pPr>
            <w:r w:rsidRPr="000125B2">
              <w:rPr>
                <w:rFonts w:cs="Calibri"/>
                <w:sz w:val="18"/>
                <w:szCs w:val="18"/>
              </w:rPr>
              <w:t xml:space="preserve">          (</w:t>
            </w:r>
            <w:r w:rsidRPr="000125B2">
              <w:rPr>
                <w:b/>
                <w:bCs/>
                <w:sz w:val="18"/>
                <w:szCs w:val="18"/>
              </w:rPr>
              <w:t>535.095)</w:t>
            </w:r>
          </w:p>
        </w:tc>
        <w:tc>
          <w:tcPr>
            <w:tcW w:w="185" w:type="dxa"/>
            <w:tcBorders>
              <w:top w:val="nil"/>
              <w:left w:val="nil"/>
              <w:bottom w:val="nil"/>
              <w:right w:val="nil"/>
            </w:tcBorders>
            <w:shd w:val="clear" w:color="auto" w:fill="auto"/>
            <w:noWrap/>
            <w:vAlign w:val="bottom"/>
            <w:hideMark/>
          </w:tcPr>
          <w:p w14:paraId="08AB015B" w14:textId="77777777" w:rsidR="00051507" w:rsidRPr="000125B2" w:rsidRDefault="00051507" w:rsidP="00DF5625">
            <w:pPr>
              <w:jc w:val="right"/>
              <w:rPr>
                <w:sz w:val="18"/>
                <w:szCs w:val="18"/>
              </w:rPr>
            </w:pPr>
            <w:r w:rsidRPr="000125B2">
              <w:rPr>
                <w:rFonts w:cs="Calibri"/>
                <w:sz w:val="18"/>
                <w:szCs w:val="18"/>
              </w:rPr>
              <w:t> </w:t>
            </w:r>
          </w:p>
        </w:tc>
        <w:tc>
          <w:tcPr>
            <w:tcW w:w="1181" w:type="dxa"/>
            <w:tcBorders>
              <w:top w:val="nil"/>
              <w:left w:val="nil"/>
              <w:bottom w:val="nil"/>
              <w:right w:val="nil"/>
            </w:tcBorders>
            <w:shd w:val="clear" w:color="000000" w:fill="FFFFFF"/>
            <w:noWrap/>
            <w:vAlign w:val="bottom"/>
            <w:hideMark/>
          </w:tcPr>
          <w:p w14:paraId="235FC7C4" w14:textId="77777777" w:rsidR="00051507" w:rsidRPr="000125B2" w:rsidRDefault="00051507" w:rsidP="00DF5625">
            <w:pPr>
              <w:jc w:val="right"/>
              <w:rPr>
                <w:b/>
                <w:bCs/>
                <w:sz w:val="18"/>
                <w:szCs w:val="18"/>
              </w:rPr>
            </w:pPr>
            <w:r w:rsidRPr="000125B2">
              <w:rPr>
                <w:rFonts w:cs="Calibri"/>
                <w:sz w:val="18"/>
                <w:szCs w:val="18"/>
              </w:rPr>
              <w:t xml:space="preserve">        (</w:t>
            </w:r>
            <w:r w:rsidRPr="000125B2">
              <w:rPr>
                <w:b/>
                <w:bCs/>
                <w:sz w:val="18"/>
                <w:szCs w:val="18"/>
              </w:rPr>
              <w:t>675.601)</w:t>
            </w:r>
          </w:p>
        </w:tc>
        <w:tc>
          <w:tcPr>
            <w:tcW w:w="185" w:type="dxa"/>
            <w:tcBorders>
              <w:top w:val="nil"/>
              <w:left w:val="nil"/>
              <w:bottom w:val="nil"/>
              <w:right w:val="nil"/>
            </w:tcBorders>
            <w:shd w:val="clear" w:color="auto" w:fill="auto"/>
            <w:noWrap/>
            <w:vAlign w:val="bottom"/>
            <w:hideMark/>
          </w:tcPr>
          <w:p w14:paraId="2C7F7D86" w14:textId="77777777" w:rsidR="00051507" w:rsidRPr="000125B2" w:rsidRDefault="00051507" w:rsidP="00DF5625">
            <w:pPr>
              <w:jc w:val="right"/>
              <w:rPr>
                <w:sz w:val="18"/>
                <w:szCs w:val="18"/>
              </w:rPr>
            </w:pPr>
            <w:r w:rsidRPr="000125B2">
              <w:rPr>
                <w:rFonts w:cs="Calibri"/>
                <w:sz w:val="18"/>
                <w:szCs w:val="18"/>
              </w:rPr>
              <w:t> </w:t>
            </w:r>
          </w:p>
        </w:tc>
        <w:tc>
          <w:tcPr>
            <w:tcW w:w="1292" w:type="dxa"/>
            <w:tcBorders>
              <w:top w:val="nil"/>
              <w:left w:val="nil"/>
              <w:bottom w:val="nil"/>
              <w:right w:val="nil"/>
            </w:tcBorders>
            <w:shd w:val="clear" w:color="000000" w:fill="FFFFFF"/>
            <w:noWrap/>
            <w:vAlign w:val="bottom"/>
            <w:hideMark/>
          </w:tcPr>
          <w:p w14:paraId="31FF56EC" w14:textId="77777777" w:rsidR="00051507" w:rsidRPr="000125B2" w:rsidRDefault="00051507" w:rsidP="00DF5625">
            <w:pPr>
              <w:jc w:val="right"/>
              <w:rPr>
                <w:b/>
                <w:bCs/>
                <w:sz w:val="18"/>
                <w:szCs w:val="18"/>
              </w:rPr>
            </w:pPr>
            <w:r w:rsidRPr="000125B2">
              <w:rPr>
                <w:sz w:val="18"/>
                <w:szCs w:val="18"/>
              </w:rPr>
              <w:t xml:space="preserve">          (</w:t>
            </w:r>
            <w:r w:rsidRPr="000125B2">
              <w:rPr>
                <w:b/>
                <w:bCs/>
                <w:sz w:val="18"/>
                <w:szCs w:val="18"/>
              </w:rPr>
              <w:t>675.601)</w:t>
            </w:r>
          </w:p>
        </w:tc>
        <w:tc>
          <w:tcPr>
            <w:tcW w:w="185" w:type="dxa"/>
            <w:tcBorders>
              <w:top w:val="nil"/>
              <w:left w:val="nil"/>
              <w:bottom w:val="nil"/>
              <w:right w:val="nil"/>
            </w:tcBorders>
            <w:shd w:val="clear" w:color="auto" w:fill="auto"/>
            <w:noWrap/>
            <w:vAlign w:val="bottom"/>
            <w:hideMark/>
          </w:tcPr>
          <w:p w14:paraId="2BB65C06" w14:textId="77777777" w:rsidR="00051507" w:rsidRPr="000125B2" w:rsidRDefault="00051507" w:rsidP="00DF5625">
            <w:pPr>
              <w:jc w:val="right"/>
              <w:rPr>
                <w:sz w:val="18"/>
                <w:szCs w:val="18"/>
              </w:rPr>
            </w:pPr>
          </w:p>
        </w:tc>
        <w:tc>
          <w:tcPr>
            <w:tcW w:w="1236" w:type="dxa"/>
            <w:tcBorders>
              <w:top w:val="nil"/>
              <w:left w:val="nil"/>
              <w:bottom w:val="nil"/>
              <w:right w:val="nil"/>
            </w:tcBorders>
            <w:shd w:val="clear" w:color="000000" w:fill="FFFFFF"/>
            <w:noWrap/>
            <w:vAlign w:val="bottom"/>
            <w:hideMark/>
          </w:tcPr>
          <w:p w14:paraId="0DF5262D" w14:textId="77777777" w:rsidR="00051507" w:rsidRPr="000125B2" w:rsidRDefault="00051507" w:rsidP="00DF5625">
            <w:pPr>
              <w:jc w:val="right"/>
              <w:rPr>
                <w:b/>
                <w:bCs/>
                <w:sz w:val="18"/>
                <w:szCs w:val="18"/>
              </w:rPr>
            </w:pPr>
            <w:r w:rsidRPr="000125B2">
              <w:rPr>
                <w:sz w:val="18"/>
                <w:szCs w:val="18"/>
              </w:rPr>
              <w:t xml:space="preserve">         (</w:t>
            </w:r>
            <w:r w:rsidRPr="000125B2">
              <w:rPr>
                <w:b/>
                <w:bCs/>
                <w:sz w:val="18"/>
                <w:szCs w:val="18"/>
              </w:rPr>
              <w:t>675.601)</w:t>
            </w:r>
          </w:p>
        </w:tc>
      </w:tr>
      <w:tr w:rsidR="00051507" w:rsidRPr="000125B2" w14:paraId="169A499D" w14:textId="77777777" w:rsidTr="00DF5625">
        <w:trPr>
          <w:trHeight w:val="165"/>
          <w:jc w:val="center"/>
        </w:trPr>
        <w:tc>
          <w:tcPr>
            <w:tcW w:w="4195" w:type="dxa"/>
            <w:tcBorders>
              <w:top w:val="nil"/>
              <w:left w:val="nil"/>
              <w:bottom w:val="nil"/>
              <w:right w:val="nil"/>
            </w:tcBorders>
            <w:shd w:val="clear" w:color="auto" w:fill="auto"/>
            <w:vAlign w:val="center"/>
          </w:tcPr>
          <w:p w14:paraId="241A8A54" w14:textId="77777777" w:rsidR="00051507" w:rsidRPr="000125B2" w:rsidRDefault="00051507" w:rsidP="00DF5625">
            <w:pPr>
              <w:rPr>
                <w:b/>
                <w:bCs/>
                <w:sz w:val="18"/>
                <w:szCs w:val="18"/>
              </w:rPr>
            </w:pPr>
          </w:p>
        </w:tc>
        <w:tc>
          <w:tcPr>
            <w:tcW w:w="1249" w:type="dxa"/>
            <w:tcBorders>
              <w:top w:val="nil"/>
              <w:left w:val="nil"/>
              <w:bottom w:val="nil"/>
              <w:right w:val="nil"/>
            </w:tcBorders>
            <w:shd w:val="clear" w:color="000000" w:fill="FFFFFF"/>
            <w:noWrap/>
            <w:vAlign w:val="bottom"/>
          </w:tcPr>
          <w:p w14:paraId="29398FE2" w14:textId="77777777" w:rsidR="00051507" w:rsidRPr="000125B2" w:rsidRDefault="00051507" w:rsidP="00DF5625">
            <w:pPr>
              <w:jc w:val="right"/>
              <w:rPr>
                <w:rFonts w:cs="Calibri"/>
                <w:sz w:val="18"/>
                <w:szCs w:val="18"/>
              </w:rPr>
            </w:pPr>
          </w:p>
        </w:tc>
        <w:tc>
          <w:tcPr>
            <w:tcW w:w="185" w:type="dxa"/>
            <w:tcBorders>
              <w:top w:val="nil"/>
              <w:left w:val="nil"/>
              <w:bottom w:val="nil"/>
              <w:right w:val="nil"/>
            </w:tcBorders>
            <w:shd w:val="clear" w:color="auto" w:fill="auto"/>
            <w:noWrap/>
            <w:vAlign w:val="bottom"/>
          </w:tcPr>
          <w:p w14:paraId="2051A300" w14:textId="77777777" w:rsidR="00051507" w:rsidRPr="000125B2" w:rsidRDefault="00051507" w:rsidP="00DF5625">
            <w:pPr>
              <w:jc w:val="right"/>
              <w:rPr>
                <w:rFonts w:cs="Calibri"/>
                <w:sz w:val="18"/>
                <w:szCs w:val="18"/>
              </w:rPr>
            </w:pPr>
          </w:p>
        </w:tc>
        <w:tc>
          <w:tcPr>
            <w:tcW w:w="1181" w:type="dxa"/>
            <w:tcBorders>
              <w:top w:val="nil"/>
              <w:left w:val="nil"/>
              <w:bottom w:val="nil"/>
              <w:right w:val="nil"/>
            </w:tcBorders>
            <w:shd w:val="clear" w:color="000000" w:fill="FFFFFF"/>
            <w:noWrap/>
            <w:vAlign w:val="bottom"/>
          </w:tcPr>
          <w:p w14:paraId="76E6FEEE" w14:textId="77777777" w:rsidR="00051507" w:rsidRPr="000125B2" w:rsidRDefault="00051507" w:rsidP="00DF5625">
            <w:pPr>
              <w:jc w:val="right"/>
              <w:rPr>
                <w:rFonts w:cs="Calibri"/>
                <w:sz w:val="18"/>
                <w:szCs w:val="18"/>
              </w:rPr>
            </w:pPr>
          </w:p>
        </w:tc>
        <w:tc>
          <w:tcPr>
            <w:tcW w:w="185" w:type="dxa"/>
            <w:tcBorders>
              <w:top w:val="nil"/>
              <w:left w:val="nil"/>
              <w:bottom w:val="nil"/>
              <w:right w:val="nil"/>
            </w:tcBorders>
            <w:shd w:val="clear" w:color="auto" w:fill="auto"/>
            <w:noWrap/>
            <w:vAlign w:val="bottom"/>
          </w:tcPr>
          <w:p w14:paraId="16CED8B0" w14:textId="77777777" w:rsidR="00051507" w:rsidRPr="000125B2" w:rsidRDefault="00051507" w:rsidP="00DF5625">
            <w:pPr>
              <w:jc w:val="right"/>
              <w:rPr>
                <w:rFonts w:cs="Calibri"/>
                <w:sz w:val="18"/>
                <w:szCs w:val="18"/>
              </w:rPr>
            </w:pPr>
          </w:p>
        </w:tc>
        <w:tc>
          <w:tcPr>
            <w:tcW w:w="1292" w:type="dxa"/>
            <w:tcBorders>
              <w:top w:val="nil"/>
              <w:left w:val="nil"/>
              <w:bottom w:val="nil"/>
              <w:right w:val="nil"/>
            </w:tcBorders>
            <w:shd w:val="clear" w:color="000000" w:fill="FFFFFF"/>
            <w:noWrap/>
            <w:vAlign w:val="bottom"/>
          </w:tcPr>
          <w:p w14:paraId="185BA4E4" w14:textId="77777777" w:rsidR="00051507" w:rsidRPr="000125B2" w:rsidRDefault="00051507" w:rsidP="00DF5625">
            <w:pPr>
              <w:jc w:val="right"/>
              <w:rPr>
                <w:sz w:val="18"/>
                <w:szCs w:val="18"/>
              </w:rPr>
            </w:pPr>
          </w:p>
        </w:tc>
        <w:tc>
          <w:tcPr>
            <w:tcW w:w="185" w:type="dxa"/>
            <w:tcBorders>
              <w:top w:val="nil"/>
              <w:left w:val="nil"/>
              <w:bottom w:val="nil"/>
              <w:right w:val="nil"/>
            </w:tcBorders>
            <w:shd w:val="clear" w:color="auto" w:fill="auto"/>
            <w:noWrap/>
            <w:vAlign w:val="bottom"/>
          </w:tcPr>
          <w:p w14:paraId="0ED18736" w14:textId="77777777" w:rsidR="00051507" w:rsidRPr="000125B2" w:rsidRDefault="00051507" w:rsidP="00DF5625">
            <w:pPr>
              <w:jc w:val="right"/>
              <w:rPr>
                <w:sz w:val="18"/>
                <w:szCs w:val="18"/>
              </w:rPr>
            </w:pPr>
          </w:p>
        </w:tc>
        <w:tc>
          <w:tcPr>
            <w:tcW w:w="1236" w:type="dxa"/>
            <w:tcBorders>
              <w:top w:val="nil"/>
              <w:left w:val="nil"/>
              <w:bottom w:val="nil"/>
              <w:right w:val="nil"/>
            </w:tcBorders>
            <w:shd w:val="clear" w:color="000000" w:fill="FFFFFF"/>
            <w:noWrap/>
            <w:vAlign w:val="bottom"/>
          </w:tcPr>
          <w:p w14:paraId="173CE7EE" w14:textId="77777777" w:rsidR="00051507" w:rsidRPr="000125B2" w:rsidRDefault="00051507" w:rsidP="00DF5625">
            <w:pPr>
              <w:jc w:val="right"/>
              <w:rPr>
                <w:sz w:val="18"/>
                <w:szCs w:val="18"/>
              </w:rPr>
            </w:pPr>
          </w:p>
        </w:tc>
      </w:tr>
    </w:tbl>
    <w:p w14:paraId="3806CFB2" w14:textId="77777777" w:rsidR="00051507" w:rsidRPr="006406CC" w:rsidRDefault="00051507" w:rsidP="00051507">
      <w:pPr>
        <w:spacing w:after="240" w:line="240" w:lineRule="atLeast"/>
        <w:ind w:right="26"/>
        <w:rPr>
          <w:b/>
          <w:bCs/>
          <w:sz w:val="18"/>
          <w:szCs w:val="18"/>
        </w:rPr>
      </w:pPr>
      <w:r w:rsidRPr="006406CC">
        <w:rPr>
          <w:b/>
          <w:bCs/>
          <w:sz w:val="18"/>
          <w:szCs w:val="18"/>
        </w:rPr>
        <w:t>5. Índices comparativos:</w:t>
      </w:r>
    </w:p>
    <w:tbl>
      <w:tblPr>
        <w:tblW w:w="9138" w:type="dxa"/>
        <w:jc w:val="center"/>
        <w:tblCellMar>
          <w:left w:w="70" w:type="dxa"/>
          <w:right w:w="70" w:type="dxa"/>
        </w:tblCellMar>
        <w:tblLook w:val="04A0" w:firstRow="1" w:lastRow="0" w:firstColumn="1" w:lastColumn="0" w:noHBand="0" w:noVBand="1"/>
      </w:tblPr>
      <w:tblGrid>
        <w:gridCol w:w="3083"/>
        <w:gridCol w:w="1440"/>
        <w:gridCol w:w="185"/>
        <w:gridCol w:w="1340"/>
        <w:gridCol w:w="185"/>
        <w:gridCol w:w="1380"/>
        <w:gridCol w:w="185"/>
        <w:gridCol w:w="1340"/>
      </w:tblGrid>
      <w:tr w:rsidR="00051507" w:rsidRPr="000125B2" w14:paraId="4F89E67C" w14:textId="77777777" w:rsidTr="00DF5625">
        <w:trPr>
          <w:trHeight w:val="290"/>
          <w:jc w:val="center"/>
        </w:trPr>
        <w:tc>
          <w:tcPr>
            <w:tcW w:w="3083" w:type="dxa"/>
            <w:tcBorders>
              <w:top w:val="nil"/>
              <w:left w:val="nil"/>
              <w:bottom w:val="nil"/>
              <w:right w:val="nil"/>
            </w:tcBorders>
            <w:shd w:val="clear" w:color="auto" w:fill="auto"/>
            <w:noWrap/>
            <w:vAlign w:val="bottom"/>
            <w:hideMark/>
          </w:tcPr>
          <w:p w14:paraId="785ABA53" w14:textId="77777777" w:rsidR="00051507" w:rsidRPr="000125B2" w:rsidRDefault="00051507" w:rsidP="00DF5625">
            <w:pPr>
              <w:rPr>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AFA1D" w14:textId="77777777" w:rsidR="00051507" w:rsidRPr="000125B2" w:rsidRDefault="00051507" w:rsidP="00DF5625">
            <w:pPr>
              <w:jc w:val="center"/>
              <w:rPr>
                <w:b/>
                <w:bCs/>
                <w:sz w:val="18"/>
                <w:szCs w:val="18"/>
              </w:rPr>
            </w:pPr>
            <w:r w:rsidRPr="000125B2">
              <w:rPr>
                <w:b/>
                <w:bCs/>
                <w:sz w:val="18"/>
                <w:szCs w:val="18"/>
              </w:rPr>
              <w:t>31.12.21</w:t>
            </w:r>
          </w:p>
        </w:tc>
        <w:tc>
          <w:tcPr>
            <w:tcW w:w="185" w:type="dxa"/>
            <w:tcBorders>
              <w:top w:val="nil"/>
              <w:left w:val="nil"/>
              <w:bottom w:val="nil"/>
              <w:right w:val="nil"/>
            </w:tcBorders>
            <w:shd w:val="clear" w:color="000000" w:fill="FFFFFF"/>
            <w:noWrap/>
            <w:vAlign w:val="bottom"/>
            <w:hideMark/>
          </w:tcPr>
          <w:p w14:paraId="7949FD07" w14:textId="77777777" w:rsidR="00051507" w:rsidRPr="000125B2" w:rsidRDefault="00051507" w:rsidP="00DF5625">
            <w:pPr>
              <w:jc w:val="center"/>
              <w:rPr>
                <w:b/>
                <w:bCs/>
                <w:sz w:val="18"/>
                <w:szCs w:val="18"/>
              </w:rPr>
            </w:pPr>
            <w:r w:rsidRPr="000125B2">
              <w:rPr>
                <w:b/>
                <w:bCs/>
                <w:sz w:val="18"/>
                <w:szCs w:val="18"/>
              </w:rPr>
              <w:t>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CF539" w14:textId="77777777" w:rsidR="00051507" w:rsidRPr="000125B2" w:rsidRDefault="00051507" w:rsidP="00DF5625">
            <w:pPr>
              <w:jc w:val="center"/>
              <w:rPr>
                <w:b/>
                <w:bCs/>
                <w:sz w:val="18"/>
                <w:szCs w:val="18"/>
              </w:rPr>
            </w:pPr>
            <w:r w:rsidRPr="000125B2">
              <w:rPr>
                <w:b/>
                <w:bCs/>
                <w:sz w:val="18"/>
                <w:szCs w:val="18"/>
              </w:rPr>
              <w:t>31.12.20</w:t>
            </w:r>
          </w:p>
        </w:tc>
        <w:tc>
          <w:tcPr>
            <w:tcW w:w="185" w:type="dxa"/>
            <w:tcBorders>
              <w:top w:val="nil"/>
              <w:left w:val="nil"/>
              <w:bottom w:val="nil"/>
              <w:right w:val="nil"/>
            </w:tcBorders>
            <w:shd w:val="clear" w:color="000000" w:fill="FFFFFF"/>
            <w:noWrap/>
            <w:vAlign w:val="bottom"/>
            <w:hideMark/>
          </w:tcPr>
          <w:p w14:paraId="22D852F7" w14:textId="77777777" w:rsidR="00051507" w:rsidRPr="000125B2" w:rsidRDefault="00051507" w:rsidP="00DF5625">
            <w:pPr>
              <w:jc w:val="center"/>
              <w:rPr>
                <w:b/>
                <w:bCs/>
                <w:sz w:val="18"/>
                <w:szCs w:val="18"/>
              </w:rPr>
            </w:pPr>
            <w:r w:rsidRPr="000125B2">
              <w:rPr>
                <w:b/>
                <w:bCs/>
                <w:sz w:val="18"/>
                <w:szCs w:val="18"/>
              </w:rPr>
              <w:t> </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39D9A" w14:textId="77777777" w:rsidR="00051507" w:rsidRPr="000125B2" w:rsidRDefault="00051507" w:rsidP="00DF5625">
            <w:pPr>
              <w:jc w:val="center"/>
              <w:rPr>
                <w:b/>
                <w:bCs/>
                <w:sz w:val="18"/>
                <w:szCs w:val="18"/>
              </w:rPr>
            </w:pPr>
            <w:r w:rsidRPr="000125B2">
              <w:rPr>
                <w:b/>
                <w:bCs/>
                <w:sz w:val="18"/>
                <w:szCs w:val="18"/>
              </w:rPr>
              <w:t>31.12.19</w:t>
            </w:r>
          </w:p>
        </w:tc>
        <w:tc>
          <w:tcPr>
            <w:tcW w:w="185" w:type="dxa"/>
            <w:tcBorders>
              <w:top w:val="nil"/>
              <w:left w:val="nil"/>
              <w:bottom w:val="nil"/>
              <w:right w:val="nil"/>
            </w:tcBorders>
            <w:shd w:val="clear" w:color="000000" w:fill="FFFFFF"/>
            <w:noWrap/>
            <w:vAlign w:val="bottom"/>
            <w:hideMark/>
          </w:tcPr>
          <w:p w14:paraId="1FF20EEA" w14:textId="77777777" w:rsidR="00051507" w:rsidRPr="000125B2" w:rsidRDefault="00051507" w:rsidP="00DF5625">
            <w:pPr>
              <w:jc w:val="center"/>
              <w:rPr>
                <w:b/>
                <w:bCs/>
                <w:sz w:val="18"/>
                <w:szCs w:val="18"/>
              </w:rPr>
            </w:pPr>
            <w:r w:rsidRPr="000125B2">
              <w:rPr>
                <w:b/>
                <w:bCs/>
                <w:sz w:val="18"/>
                <w:szCs w:val="18"/>
              </w:rPr>
              <w:t>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2E50D" w14:textId="77777777" w:rsidR="00051507" w:rsidRPr="000125B2" w:rsidRDefault="00051507" w:rsidP="00DF5625">
            <w:pPr>
              <w:jc w:val="center"/>
              <w:rPr>
                <w:b/>
                <w:bCs/>
                <w:sz w:val="18"/>
                <w:szCs w:val="18"/>
              </w:rPr>
            </w:pPr>
            <w:r w:rsidRPr="000125B2">
              <w:rPr>
                <w:b/>
                <w:bCs/>
                <w:sz w:val="18"/>
                <w:szCs w:val="18"/>
              </w:rPr>
              <w:t>31.12.18</w:t>
            </w:r>
          </w:p>
        </w:tc>
      </w:tr>
      <w:tr w:rsidR="00051507" w:rsidRPr="000125B2" w14:paraId="39E67C24" w14:textId="77777777" w:rsidTr="00DF5625">
        <w:trPr>
          <w:trHeight w:val="290"/>
          <w:jc w:val="center"/>
        </w:trPr>
        <w:tc>
          <w:tcPr>
            <w:tcW w:w="3083" w:type="dxa"/>
            <w:tcBorders>
              <w:top w:val="nil"/>
              <w:left w:val="nil"/>
              <w:bottom w:val="nil"/>
              <w:right w:val="nil"/>
            </w:tcBorders>
            <w:shd w:val="clear" w:color="auto" w:fill="auto"/>
            <w:noWrap/>
            <w:vAlign w:val="center"/>
            <w:hideMark/>
          </w:tcPr>
          <w:p w14:paraId="785BF6D0" w14:textId="77777777" w:rsidR="00051507" w:rsidRPr="000125B2" w:rsidRDefault="00051507" w:rsidP="00DF5625">
            <w:pPr>
              <w:rPr>
                <w:sz w:val="18"/>
                <w:szCs w:val="18"/>
              </w:rPr>
            </w:pPr>
            <w:r w:rsidRPr="000125B2">
              <w:rPr>
                <w:sz w:val="18"/>
                <w:szCs w:val="18"/>
              </w:rPr>
              <w:t>Liquidez (1)</w:t>
            </w:r>
          </w:p>
        </w:tc>
        <w:tc>
          <w:tcPr>
            <w:tcW w:w="1440" w:type="dxa"/>
            <w:tcBorders>
              <w:top w:val="nil"/>
              <w:left w:val="nil"/>
              <w:bottom w:val="nil"/>
              <w:right w:val="nil"/>
            </w:tcBorders>
            <w:shd w:val="clear" w:color="000000" w:fill="FFFFFF"/>
            <w:noWrap/>
            <w:vAlign w:val="center"/>
            <w:hideMark/>
          </w:tcPr>
          <w:p w14:paraId="7B188C9C" w14:textId="77777777" w:rsidR="00051507" w:rsidRPr="000125B2" w:rsidRDefault="00051507" w:rsidP="00DF5625">
            <w:pPr>
              <w:jc w:val="right"/>
              <w:rPr>
                <w:sz w:val="18"/>
                <w:szCs w:val="18"/>
              </w:rPr>
            </w:pPr>
            <w:r w:rsidRPr="000125B2">
              <w:rPr>
                <w:sz w:val="18"/>
                <w:szCs w:val="18"/>
              </w:rPr>
              <w:t xml:space="preserve">  1,92 </w:t>
            </w:r>
          </w:p>
        </w:tc>
        <w:tc>
          <w:tcPr>
            <w:tcW w:w="185" w:type="dxa"/>
            <w:tcBorders>
              <w:top w:val="nil"/>
              <w:left w:val="nil"/>
              <w:bottom w:val="nil"/>
              <w:right w:val="nil"/>
            </w:tcBorders>
            <w:shd w:val="clear" w:color="000000" w:fill="FFFFFF"/>
            <w:noWrap/>
            <w:vAlign w:val="center"/>
            <w:hideMark/>
          </w:tcPr>
          <w:p w14:paraId="77D73108"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center"/>
            <w:hideMark/>
          </w:tcPr>
          <w:p w14:paraId="1581038F" w14:textId="77777777" w:rsidR="00051507" w:rsidRPr="000125B2" w:rsidRDefault="00051507" w:rsidP="00DF5625">
            <w:pPr>
              <w:jc w:val="right"/>
              <w:rPr>
                <w:sz w:val="18"/>
                <w:szCs w:val="18"/>
              </w:rPr>
            </w:pPr>
            <w:r w:rsidRPr="000125B2">
              <w:rPr>
                <w:sz w:val="18"/>
                <w:szCs w:val="18"/>
              </w:rPr>
              <w:t xml:space="preserve">  1,22 </w:t>
            </w:r>
          </w:p>
        </w:tc>
        <w:tc>
          <w:tcPr>
            <w:tcW w:w="185" w:type="dxa"/>
            <w:tcBorders>
              <w:top w:val="nil"/>
              <w:left w:val="nil"/>
              <w:bottom w:val="nil"/>
              <w:right w:val="nil"/>
            </w:tcBorders>
            <w:shd w:val="clear" w:color="000000" w:fill="FFFFFF"/>
            <w:noWrap/>
            <w:vAlign w:val="center"/>
            <w:hideMark/>
          </w:tcPr>
          <w:p w14:paraId="11723DF9" w14:textId="77777777" w:rsidR="00051507" w:rsidRPr="000125B2" w:rsidRDefault="00051507" w:rsidP="00DF5625">
            <w:pPr>
              <w:jc w:val="right"/>
              <w:rPr>
                <w:sz w:val="18"/>
                <w:szCs w:val="18"/>
              </w:rPr>
            </w:pPr>
            <w:r w:rsidRPr="000125B2">
              <w:rPr>
                <w:sz w:val="18"/>
                <w:szCs w:val="18"/>
              </w:rPr>
              <w:t> </w:t>
            </w:r>
          </w:p>
        </w:tc>
        <w:tc>
          <w:tcPr>
            <w:tcW w:w="1380" w:type="dxa"/>
            <w:tcBorders>
              <w:top w:val="nil"/>
              <w:left w:val="nil"/>
              <w:bottom w:val="nil"/>
              <w:right w:val="nil"/>
            </w:tcBorders>
            <w:shd w:val="clear" w:color="000000" w:fill="FFFFFF"/>
            <w:noWrap/>
            <w:vAlign w:val="center"/>
            <w:hideMark/>
          </w:tcPr>
          <w:p w14:paraId="66C035B3" w14:textId="77777777" w:rsidR="00051507" w:rsidRPr="000125B2" w:rsidRDefault="00051507" w:rsidP="00DF5625">
            <w:pPr>
              <w:jc w:val="right"/>
              <w:rPr>
                <w:sz w:val="18"/>
                <w:szCs w:val="18"/>
              </w:rPr>
            </w:pPr>
            <w:r w:rsidRPr="000125B2">
              <w:rPr>
                <w:sz w:val="18"/>
                <w:szCs w:val="18"/>
              </w:rPr>
              <w:t xml:space="preserve">  1,25 </w:t>
            </w:r>
          </w:p>
        </w:tc>
        <w:tc>
          <w:tcPr>
            <w:tcW w:w="185" w:type="dxa"/>
            <w:tcBorders>
              <w:top w:val="nil"/>
              <w:left w:val="nil"/>
              <w:bottom w:val="nil"/>
              <w:right w:val="nil"/>
            </w:tcBorders>
            <w:shd w:val="clear" w:color="000000" w:fill="FFFFFF"/>
            <w:noWrap/>
            <w:vAlign w:val="center"/>
            <w:hideMark/>
          </w:tcPr>
          <w:p w14:paraId="76D8EF5D"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center"/>
            <w:hideMark/>
          </w:tcPr>
          <w:p w14:paraId="7B63ACBB" w14:textId="77777777" w:rsidR="00051507" w:rsidRPr="000125B2" w:rsidRDefault="00051507" w:rsidP="00DF5625">
            <w:pPr>
              <w:jc w:val="right"/>
              <w:rPr>
                <w:sz w:val="18"/>
                <w:szCs w:val="18"/>
              </w:rPr>
            </w:pPr>
            <w:r w:rsidRPr="000125B2">
              <w:rPr>
                <w:sz w:val="18"/>
                <w:szCs w:val="18"/>
              </w:rPr>
              <w:t xml:space="preserve">  0,50 </w:t>
            </w:r>
          </w:p>
        </w:tc>
      </w:tr>
      <w:tr w:rsidR="00051507" w:rsidRPr="000125B2" w14:paraId="0DEE5B43" w14:textId="77777777" w:rsidTr="00DF5625">
        <w:trPr>
          <w:trHeight w:val="290"/>
          <w:jc w:val="center"/>
        </w:trPr>
        <w:tc>
          <w:tcPr>
            <w:tcW w:w="3083" w:type="dxa"/>
            <w:tcBorders>
              <w:top w:val="nil"/>
              <w:left w:val="nil"/>
              <w:bottom w:val="nil"/>
              <w:right w:val="nil"/>
            </w:tcBorders>
            <w:shd w:val="clear" w:color="auto" w:fill="auto"/>
            <w:noWrap/>
            <w:vAlign w:val="center"/>
            <w:hideMark/>
          </w:tcPr>
          <w:p w14:paraId="5A3554CE" w14:textId="77777777" w:rsidR="00051507" w:rsidRPr="000125B2" w:rsidRDefault="00051507" w:rsidP="00DF5625">
            <w:pPr>
              <w:rPr>
                <w:sz w:val="18"/>
                <w:szCs w:val="18"/>
              </w:rPr>
            </w:pPr>
            <w:r w:rsidRPr="000125B2">
              <w:rPr>
                <w:sz w:val="18"/>
                <w:szCs w:val="18"/>
              </w:rPr>
              <w:t>Solvencia (2)</w:t>
            </w:r>
          </w:p>
        </w:tc>
        <w:tc>
          <w:tcPr>
            <w:tcW w:w="1440" w:type="dxa"/>
            <w:tcBorders>
              <w:top w:val="nil"/>
              <w:left w:val="nil"/>
              <w:bottom w:val="nil"/>
              <w:right w:val="nil"/>
            </w:tcBorders>
            <w:shd w:val="clear" w:color="000000" w:fill="FFFFFF"/>
            <w:noWrap/>
            <w:vAlign w:val="center"/>
            <w:hideMark/>
          </w:tcPr>
          <w:p w14:paraId="4B0359F9" w14:textId="77777777" w:rsidR="00051507" w:rsidRPr="000125B2" w:rsidRDefault="00051507" w:rsidP="00DF5625">
            <w:pPr>
              <w:jc w:val="right"/>
              <w:rPr>
                <w:sz w:val="18"/>
                <w:szCs w:val="18"/>
              </w:rPr>
            </w:pPr>
            <w:r w:rsidRPr="000125B2">
              <w:rPr>
                <w:sz w:val="18"/>
                <w:szCs w:val="18"/>
              </w:rPr>
              <w:t xml:space="preserve">  0,45 </w:t>
            </w:r>
          </w:p>
        </w:tc>
        <w:tc>
          <w:tcPr>
            <w:tcW w:w="185" w:type="dxa"/>
            <w:tcBorders>
              <w:top w:val="nil"/>
              <w:left w:val="nil"/>
              <w:bottom w:val="nil"/>
              <w:right w:val="nil"/>
            </w:tcBorders>
            <w:shd w:val="clear" w:color="000000" w:fill="FFFFFF"/>
            <w:noWrap/>
            <w:vAlign w:val="center"/>
            <w:hideMark/>
          </w:tcPr>
          <w:p w14:paraId="5A9F77F4"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center"/>
            <w:hideMark/>
          </w:tcPr>
          <w:p w14:paraId="32C9A4F5" w14:textId="77777777" w:rsidR="00051507" w:rsidRPr="000125B2" w:rsidRDefault="00051507" w:rsidP="00DF5625">
            <w:pPr>
              <w:jc w:val="right"/>
              <w:rPr>
                <w:sz w:val="18"/>
                <w:szCs w:val="18"/>
              </w:rPr>
            </w:pPr>
            <w:r w:rsidRPr="000125B2">
              <w:rPr>
                <w:sz w:val="18"/>
                <w:szCs w:val="18"/>
              </w:rPr>
              <w:t xml:space="preserve">  0,28 </w:t>
            </w:r>
          </w:p>
        </w:tc>
        <w:tc>
          <w:tcPr>
            <w:tcW w:w="185" w:type="dxa"/>
            <w:tcBorders>
              <w:top w:val="nil"/>
              <w:left w:val="nil"/>
              <w:bottom w:val="nil"/>
              <w:right w:val="nil"/>
            </w:tcBorders>
            <w:shd w:val="clear" w:color="000000" w:fill="FFFFFF"/>
            <w:noWrap/>
            <w:vAlign w:val="center"/>
            <w:hideMark/>
          </w:tcPr>
          <w:p w14:paraId="7CCA1242" w14:textId="77777777" w:rsidR="00051507" w:rsidRPr="000125B2" w:rsidRDefault="00051507" w:rsidP="00DF5625">
            <w:pPr>
              <w:jc w:val="right"/>
              <w:rPr>
                <w:sz w:val="18"/>
                <w:szCs w:val="18"/>
              </w:rPr>
            </w:pPr>
            <w:r w:rsidRPr="000125B2">
              <w:rPr>
                <w:sz w:val="18"/>
                <w:szCs w:val="18"/>
              </w:rPr>
              <w:t> </w:t>
            </w:r>
          </w:p>
        </w:tc>
        <w:tc>
          <w:tcPr>
            <w:tcW w:w="1380" w:type="dxa"/>
            <w:tcBorders>
              <w:top w:val="nil"/>
              <w:left w:val="nil"/>
              <w:bottom w:val="nil"/>
              <w:right w:val="nil"/>
            </w:tcBorders>
            <w:shd w:val="clear" w:color="000000" w:fill="FFFFFF"/>
            <w:noWrap/>
            <w:vAlign w:val="center"/>
            <w:hideMark/>
          </w:tcPr>
          <w:p w14:paraId="6F2B6436" w14:textId="77777777" w:rsidR="00051507" w:rsidRPr="000125B2" w:rsidRDefault="00051507" w:rsidP="00DF5625">
            <w:pPr>
              <w:jc w:val="right"/>
              <w:rPr>
                <w:sz w:val="18"/>
                <w:szCs w:val="18"/>
              </w:rPr>
            </w:pPr>
            <w:r w:rsidRPr="000125B2">
              <w:rPr>
                <w:sz w:val="18"/>
                <w:szCs w:val="18"/>
              </w:rPr>
              <w:t xml:space="preserve">  0,25 </w:t>
            </w:r>
          </w:p>
        </w:tc>
        <w:tc>
          <w:tcPr>
            <w:tcW w:w="185" w:type="dxa"/>
            <w:tcBorders>
              <w:top w:val="nil"/>
              <w:left w:val="nil"/>
              <w:bottom w:val="nil"/>
              <w:right w:val="nil"/>
            </w:tcBorders>
            <w:shd w:val="clear" w:color="000000" w:fill="FFFFFF"/>
            <w:noWrap/>
            <w:vAlign w:val="center"/>
            <w:hideMark/>
          </w:tcPr>
          <w:p w14:paraId="6EB05DBB"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center"/>
            <w:hideMark/>
          </w:tcPr>
          <w:p w14:paraId="7F08C158" w14:textId="77777777" w:rsidR="00051507" w:rsidRPr="000125B2" w:rsidRDefault="00051507" w:rsidP="00DF5625">
            <w:pPr>
              <w:jc w:val="right"/>
              <w:rPr>
                <w:sz w:val="18"/>
                <w:szCs w:val="18"/>
              </w:rPr>
            </w:pPr>
            <w:r w:rsidRPr="000125B2">
              <w:rPr>
                <w:sz w:val="18"/>
                <w:szCs w:val="18"/>
              </w:rPr>
              <w:t xml:space="preserve">  0,30 </w:t>
            </w:r>
          </w:p>
        </w:tc>
      </w:tr>
      <w:tr w:rsidR="00051507" w:rsidRPr="000125B2" w14:paraId="64FA1234" w14:textId="77777777" w:rsidTr="00DF5625">
        <w:trPr>
          <w:trHeight w:val="290"/>
          <w:jc w:val="center"/>
        </w:trPr>
        <w:tc>
          <w:tcPr>
            <w:tcW w:w="3083" w:type="dxa"/>
            <w:tcBorders>
              <w:top w:val="nil"/>
              <w:left w:val="nil"/>
              <w:bottom w:val="nil"/>
              <w:right w:val="nil"/>
            </w:tcBorders>
            <w:shd w:val="clear" w:color="auto" w:fill="auto"/>
            <w:noWrap/>
            <w:vAlign w:val="center"/>
            <w:hideMark/>
          </w:tcPr>
          <w:p w14:paraId="0C2FCA6C" w14:textId="77777777" w:rsidR="00051507" w:rsidRPr="000125B2" w:rsidRDefault="00051507" w:rsidP="00DF5625">
            <w:pPr>
              <w:rPr>
                <w:sz w:val="18"/>
                <w:szCs w:val="18"/>
              </w:rPr>
            </w:pPr>
            <w:r w:rsidRPr="000125B2">
              <w:rPr>
                <w:sz w:val="18"/>
                <w:szCs w:val="18"/>
              </w:rPr>
              <w:t>Inmovilización del capital (3)</w:t>
            </w:r>
          </w:p>
        </w:tc>
        <w:tc>
          <w:tcPr>
            <w:tcW w:w="1440" w:type="dxa"/>
            <w:tcBorders>
              <w:top w:val="nil"/>
              <w:left w:val="nil"/>
              <w:bottom w:val="nil"/>
              <w:right w:val="nil"/>
            </w:tcBorders>
            <w:shd w:val="clear" w:color="000000" w:fill="FFFFFF"/>
            <w:noWrap/>
            <w:vAlign w:val="center"/>
            <w:hideMark/>
          </w:tcPr>
          <w:p w14:paraId="207543BD" w14:textId="77777777" w:rsidR="00051507" w:rsidRPr="000125B2" w:rsidRDefault="00051507" w:rsidP="00DF5625">
            <w:pPr>
              <w:jc w:val="right"/>
              <w:rPr>
                <w:sz w:val="18"/>
                <w:szCs w:val="18"/>
              </w:rPr>
            </w:pPr>
            <w:r w:rsidRPr="000125B2">
              <w:rPr>
                <w:sz w:val="18"/>
                <w:szCs w:val="18"/>
              </w:rPr>
              <w:t xml:space="preserve">  0,80 </w:t>
            </w:r>
          </w:p>
        </w:tc>
        <w:tc>
          <w:tcPr>
            <w:tcW w:w="185" w:type="dxa"/>
            <w:tcBorders>
              <w:top w:val="nil"/>
              <w:left w:val="nil"/>
              <w:bottom w:val="nil"/>
              <w:right w:val="nil"/>
            </w:tcBorders>
            <w:shd w:val="clear" w:color="000000" w:fill="FFFFFF"/>
            <w:noWrap/>
            <w:vAlign w:val="center"/>
            <w:hideMark/>
          </w:tcPr>
          <w:p w14:paraId="4DB46D78"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center"/>
            <w:hideMark/>
          </w:tcPr>
          <w:p w14:paraId="1DD87D32" w14:textId="77777777" w:rsidR="00051507" w:rsidRPr="000125B2" w:rsidRDefault="00051507" w:rsidP="00DF5625">
            <w:pPr>
              <w:jc w:val="right"/>
              <w:rPr>
                <w:sz w:val="18"/>
                <w:szCs w:val="18"/>
              </w:rPr>
            </w:pPr>
            <w:r w:rsidRPr="000125B2">
              <w:rPr>
                <w:sz w:val="18"/>
                <w:szCs w:val="18"/>
              </w:rPr>
              <w:t xml:space="preserve">  0,79 </w:t>
            </w:r>
          </w:p>
        </w:tc>
        <w:tc>
          <w:tcPr>
            <w:tcW w:w="185" w:type="dxa"/>
            <w:tcBorders>
              <w:top w:val="nil"/>
              <w:left w:val="nil"/>
              <w:bottom w:val="nil"/>
              <w:right w:val="nil"/>
            </w:tcBorders>
            <w:shd w:val="clear" w:color="000000" w:fill="FFFFFF"/>
            <w:noWrap/>
            <w:vAlign w:val="center"/>
            <w:hideMark/>
          </w:tcPr>
          <w:p w14:paraId="1547B086" w14:textId="77777777" w:rsidR="00051507" w:rsidRPr="000125B2" w:rsidRDefault="00051507" w:rsidP="00DF5625">
            <w:pPr>
              <w:jc w:val="right"/>
              <w:rPr>
                <w:sz w:val="18"/>
                <w:szCs w:val="18"/>
              </w:rPr>
            </w:pPr>
            <w:r w:rsidRPr="000125B2">
              <w:rPr>
                <w:sz w:val="18"/>
                <w:szCs w:val="18"/>
              </w:rPr>
              <w:t> </w:t>
            </w:r>
          </w:p>
        </w:tc>
        <w:tc>
          <w:tcPr>
            <w:tcW w:w="1380" w:type="dxa"/>
            <w:tcBorders>
              <w:top w:val="nil"/>
              <w:left w:val="nil"/>
              <w:bottom w:val="nil"/>
              <w:right w:val="nil"/>
            </w:tcBorders>
            <w:shd w:val="clear" w:color="000000" w:fill="FFFFFF"/>
            <w:noWrap/>
            <w:vAlign w:val="center"/>
            <w:hideMark/>
          </w:tcPr>
          <w:p w14:paraId="7A4BB17C" w14:textId="77777777" w:rsidR="00051507" w:rsidRPr="000125B2" w:rsidRDefault="00051507" w:rsidP="00DF5625">
            <w:pPr>
              <w:jc w:val="right"/>
              <w:rPr>
                <w:sz w:val="18"/>
                <w:szCs w:val="18"/>
              </w:rPr>
            </w:pPr>
            <w:r w:rsidRPr="000125B2">
              <w:rPr>
                <w:sz w:val="18"/>
                <w:szCs w:val="18"/>
              </w:rPr>
              <w:t xml:space="preserve">  1,05 </w:t>
            </w:r>
          </w:p>
        </w:tc>
        <w:tc>
          <w:tcPr>
            <w:tcW w:w="185" w:type="dxa"/>
            <w:tcBorders>
              <w:top w:val="nil"/>
              <w:left w:val="nil"/>
              <w:bottom w:val="nil"/>
              <w:right w:val="nil"/>
            </w:tcBorders>
            <w:shd w:val="clear" w:color="000000" w:fill="FFFFFF"/>
            <w:noWrap/>
            <w:vAlign w:val="center"/>
            <w:hideMark/>
          </w:tcPr>
          <w:p w14:paraId="44E4D3B7"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center"/>
            <w:hideMark/>
          </w:tcPr>
          <w:p w14:paraId="199ADC17" w14:textId="77777777" w:rsidR="00051507" w:rsidRPr="000125B2" w:rsidRDefault="00051507" w:rsidP="00DF5625">
            <w:pPr>
              <w:jc w:val="right"/>
              <w:rPr>
                <w:sz w:val="18"/>
                <w:szCs w:val="18"/>
              </w:rPr>
            </w:pPr>
            <w:r w:rsidRPr="000125B2">
              <w:rPr>
                <w:sz w:val="18"/>
                <w:szCs w:val="18"/>
              </w:rPr>
              <w:t xml:space="preserve">  1,24 </w:t>
            </w:r>
          </w:p>
        </w:tc>
      </w:tr>
      <w:tr w:rsidR="00051507" w:rsidRPr="000125B2" w14:paraId="3E4DD043" w14:textId="77777777" w:rsidTr="00DF5625">
        <w:trPr>
          <w:trHeight w:val="290"/>
          <w:jc w:val="center"/>
        </w:trPr>
        <w:tc>
          <w:tcPr>
            <w:tcW w:w="3083" w:type="dxa"/>
            <w:tcBorders>
              <w:top w:val="nil"/>
              <w:left w:val="nil"/>
              <w:bottom w:val="nil"/>
              <w:right w:val="nil"/>
            </w:tcBorders>
            <w:shd w:val="clear" w:color="auto" w:fill="auto"/>
            <w:noWrap/>
            <w:vAlign w:val="center"/>
            <w:hideMark/>
          </w:tcPr>
          <w:p w14:paraId="68994967" w14:textId="77777777" w:rsidR="00051507" w:rsidRPr="000125B2" w:rsidRDefault="00051507" w:rsidP="00DF5625">
            <w:pPr>
              <w:rPr>
                <w:sz w:val="18"/>
                <w:szCs w:val="18"/>
              </w:rPr>
            </w:pPr>
            <w:r w:rsidRPr="000125B2">
              <w:rPr>
                <w:sz w:val="18"/>
                <w:szCs w:val="18"/>
              </w:rPr>
              <w:t xml:space="preserve">Índice de endeudamiento (4) </w:t>
            </w:r>
          </w:p>
        </w:tc>
        <w:tc>
          <w:tcPr>
            <w:tcW w:w="1440" w:type="dxa"/>
            <w:tcBorders>
              <w:top w:val="nil"/>
              <w:left w:val="nil"/>
              <w:bottom w:val="nil"/>
              <w:right w:val="nil"/>
            </w:tcBorders>
            <w:shd w:val="clear" w:color="000000" w:fill="FFFFFF"/>
            <w:noWrap/>
            <w:vAlign w:val="center"/>
            <w:hideMark/>
          </w:tcPr>
          <w:p w14:paraId="5BA1DF90" w14:textId="77777777" w:rsidR="00051507" w:rsidRPr="000125B2" w:rsidRDefault="00051507" w:rsidP="00DF5625">
            <w:pPr>
              <w:jc w:val="right"/>
              <w:rPr>
                <w:sz w:val="18"/>
                <w:szCs w:val="18"/>
              </w:rPr>
            </w:pPr>
            <w:r w:rsidRPr="000125B2">
              <w:rPr>
                <w:sz w:val="18"/>
                <w:szCs w:val="18"/>
              </w:rPr>
              <w:t xml:space="preserve">  2,69 </w:t>
            </w:r>
          </w:p>
        </w:tc>
        <w:tc>
          <w:tcPr>
            <w:tcW w:w="185" w:type="dxa"/>
            <w:tcBorders>
              <w:top w:val="nil"/>
              <w:left w:val="nil"/>
              <w:bottom w:val="nil"/>
              <w:right w:val="nil"/>
            </w:tcBorders>
            <w:shd w:val="clear" w:color="000000" w:fill="FFFFFF"/>
            <w:noWrap/>
            <w:vAlign w:val="center"/>
            <w:hideMark/>
          </w:tcPr>
          <w:p w14:paraId="6C0A8DC6"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center"/>
            <w:hideMark/>
          </w:tcPr>
          <w:p w14:paraId="6BEDC56F" w14:textId="77777777" w:rsidR="00051507" w:rsidRPr="000125B2" w:rsidRDefault="00051507" w:rsidP="00DF5625">
            <w:pPr>
              <w:jc w:val="right"/>
              <w:rPr>
                <w:sz w:val="18"/>
                <w:szCs w:val="18"/>
              </w:rPr>
            </w:pPr>
            <w:r w:rsidRPr="000125B2">
              <w:rPr>
                <w:sz w:val="18"/>
                <w:szCs w:val="18"/>
              </w:rPr>
              <w:t xml:space="preserve">  3,37 </w:t>
            </w:r>
          </w:p>
        </w:tc>
        <w:tc>
          <w:tcPr>
            <w:tcW w:w="185" w:type="dxa"/>
            <w:tcBorders>
              <w:top w:val="nil"/>
              <w:left w:val="nil"/>
              <w:bottom w:val="nil"/>
              <w:right w:val="nil"/>
            </w:tcBorders>
            <w:shd w:val="clear" w:color="000000" w:fill="FFFFFF"/>
            <w:noWrap/>
            <w:vAlign w:val="center"/>
            <w:hideMark/>
          </w:tcPr>
          <w:p w14:paraId="1BBC31BB" w14:textId="77777777" w:rsidR="00051507" w:rsidRPr="000125B2" w:rsidRDefault="00051507" w:rsidP="00DF5625">
            <w:pPr>
              <w:jc w:val="right"/>
              <w:rPr>
                <w:sz w:val="18"/>
                <w:szCs w:val="18"/>
              </w:rPr>
            </w:pPr>
            <w:r w:rsidRPr="000125B2">
              <w:rPr>
                <w:sz w:val="18"/>
                <w:szCs w:val="18"/>
              </w:rPr>
              <w:t> </w:t>
            </w:r>
          </w:p>
        </w:tc>
        <w:tc>
          <w:tcPr>
            <w:tcW w:w="1380" w:type="dxa"/>
            <w:tcBorders>
              <w:top w:val="nil"/>
              <w:left w:val="nil"/>
              <w:bottom w:val="nil"/>
              <w:right w:val="nil"/>
            </w:tcBorders>
            <w:shd w:val="clear" w:color="000000" w:fill="FFFFFF"/>
            <w:noWrap/>
            <w:vAlign w:val="center"/>
            <w:hideMark/>
          </w:tcPr>
          <w:p w14:paraId="1DCC96E5" w14:textId="77777777" w:rsidR="00051507" w:rsidRPr="000125B2" w:rsidRDefault="00051507" w:rsidP="00DF5625">
            <w:pPr>
              <w:jc w:val="right"/>
              <w:rPr>
                <w:sz w:val="18"/>
                <w:szCs w:val="18"/>
              </w:rPr>
            </w:pPr>
            <w:r w:rsidRPr="000125B2">
              <w:rPr>
                <w:sz w:val="18"/>
                <w:szCs w:val="18"/>
              </w:rPr>
              <w:t xml:space="preserve">  3,35 </w:t>
            </w:r>
          </w:p>
        </w:tc>
        <w:tc>
          <w:tcPr>
            <w:tcW w:w="185" w:type="dxa"/>
            <w:tcBorders>
              <w:top w:val="nil"/>
              <w:left w:val="nil"/>
              <w:bottom w:val="nil"/>
              <w:right w:val="nil"/>
            </w:tcBorders>
            <w:shd w:val="clear" w:color="000000" w:fill="FFFFFF"/>
            <w:noWrap/>
            <w:vAlign w:val="center"/>
            <w:hideMark/>
          </w:tcPr>
          <w:p w14:paraId="4CC59F5D"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center"/>
            <w:hideMark/>
          </w:tcPr>
          <w:p w14:paraId="547F9A43" w14:textId="77777777" w:rsidR="00051507" w:rsidRPr="000125B2" w:rsidRDefault="00051507" w:rsidP="00DF5625">
            <w:pPr>
              <w:jc w:val="right"/>
              <w:rPr>
                <w:sz w:val="18"/>
                <w:szCs w:val="18"/>
              </w:rPr>
            </w:pPr>
            <w:r w:rsidRPr="000125B2">
              <w:rPr>
                <w:sz w:val="18"/>
                <w:szCs w:val="18"/>
              </w:rPr>
              <w:t xml:space="preserve">  6,88 </w:t>
            </w:r>
          </w:p>
        </w:tc>
      </w:tr>
      <w:tr w:rsidR="00051507" w:rsidRPr="000125B2" w14:paraId="58432F86" w14:textId="77777777" w:rsidTr="00DF5625">
        <w:trPr>
          <w:trHeight w:val="290"/>
          <w:jc w:val="center"/>
        </w:trPr>
        <w:tc>
          <w:tcPr>
            <w:tcW w:w="3083" w:type="dxa"/>
            <w:tcBorders>
              <w:top w:val="nil"/>
              <w:left w:val="nil"/>
              <w:bottom w:val="nil"/>
              <w:right w:val="nil"/>
            </w:tcBorders>
            <w:shd w:val="clear" w:color="auto" w:fill="auto"/>
            <w:noWrap/>
            <w:vAlign w:val="center"/>
            <w:hideMark/>
          </w:tcPr>
          <w:p w14:paraId="4A3B5E99" w14:textId="77777777" w:rsidR="00051507" w:rsidRPr="000125B2" w:rsidRDefault="00051507" w:rsidP="00DF5625">
            <w:pPr>
              <w:rPr>
                <w:sz w:val="18"/>
                <w:szCs w:val="18"/>
              </w:rPr>
            </w:pPr>
            <w:r w:rsidRPr="000125B2">
              <w:rPr>
                <w:sz w:val="18"/>
                <w:szCs w:val="18"/>
              </w:rPr>
              <w:t>Ratio de cobertura de intereses (5)</w:t>
            </w:r>
          </w:p>
        </w:tc>
        <w:tc>
          <w:tcPr>
            <w:tcW w:w="1440" w:type="dxa"/>
            <w:tcBorders>
              <w:top w:val="nil"/>
              <w:left w:val="nil"/>
              <w:bottom w:val="nil"/>
              <w:right w:val="nil"/>
            </w:tcBorders>
            <w:shd w:val="clear" w:color="000000" w:fill="FFFFFF"/>
            <w:noWrap/>
            <w:vAlign w:val="center"/>
            <w:hideMark/>
          </w:tcPr>
          <w:p w14:paraId="62A8FFA0" w14:textId="77777777" w:rsidR="00051507" w:rsidRPr="000125B2" w:rsidRDefault="00051507" w:rsidP="00DF5625">
            <w:pPr>
              <w:jc w:val="right"/>
              <w:rPr>
                <w:sz w:val="18"/>
                <w:szCs w:val="18"/>
              </w:rPr>
            </w:pPr>
            <w:r w:rsidRPr="000125B2">
              <w:rPr>
                <w:sz w:val="18"/>
                <w:szCs w:val="18"/>
              </w:rPr>
              <w:t xml:space="preserve">  3,12 </w:t>
            </w:r>
          </w:p>
        </w:tc>
        <w:tc>
          <w:tcPr>
            <w:tcW w:w="185" w:type="dxa"/>
            <w:tcBorders>
              <w:top w:val="nil"/>
              <w:left w:val="nil"/>
              <w:bottom w:val="nil"/>
              <w:right w:val="nil"/>
            </w:tcBorders>
            <w:shd w:val="clear" w:color="000000" w:fill="FFFFFF"/>
            <w:noWrap/>
            <w:vAlign w:val="center"/>
            <w:hideMark/>
          </w:tcPr>
          <w:p w14:paraId="08639A7C"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center"/>
            <w:hideMark/>
          </w:tcPr>
          <w:p w14:paraId="702A3619" w14:textId="77777777" w:rsidR="00051507" w:rsidRPr="000125B2" w:rsidRDefault="00051507" w:rsidP="00DF5625">
            <w:pPr>
              <w:jc w:val="right"/>
              <w:rPr>
                <w:sz w:val="18"/>
                <w:szCs w:val="18"/>
              </w:rPr>
            </w:pPr>
            <w:r w:rsidRPr="000125B2">
              <w:rPr>
                <w:sz w:val="18"/>
                <w:szCs w:val="18"/>
              </w:rPr>
              <w:t xml:space="preserve">  3,16 </w:t>
            </w:r>
          </w:p>
        </w:tc>
        <w:tc>
          <w:tcPr>
            <w:tcW w:w="185" w:type="dxa"/>
            <w:tcBorders>
              <w:top w:val="nil"/>
              <w:left w:val="nil"/>
              <w:bottom w:val="nil"/>
              <w:right w:val="nil"/>
            </w:tcBorders>
            <w:shd w:val="clear" w:color="000000" w:fill="FFFFFF"/>
            <w:noWrap/>
            <w:vAlign w:val="center"/>
            <w:hideMark/>
          </w:tcPr>
          <w:p w14:paraId="1E6A5FFC" w14:textId="77777777" w:rsidR="00051507" w:rsidRPr="000125B2" w:rsidRDefault="00051507" w:rsidP="00DF5625">
            <w:pPr>
              <w:jc w:val="right"/>
              <w:rPr>
                <w:sz w:val="18"/>
                <w:szCs w:val="18"/>
              </w:rPr>
            </w:pPr>
            <w:r w:rsidRPr="000125B2">
              <w:rPr>
                <w:sz w:val="18"/>
                <w:szCs w:val="18"/>
              </w:rPr>
              <w:t> </w:t>
            </w:r>
          </w:p>
        </w:tc>
        <w:tc>
          <w:tcPr>
            <w:tcW w:w="1380" w:type="dxa"/>
            <w:tcBorders>
              <w:top w:val="nil"/>
              <w:left w:val="nil"/>
              <w:bottom w:val="nil"/>
              <w:right w:val="nil"/>
            </w:tcBorders>
            <w:shd w:val="clear" w:color="000000" w:fill="FFFFFF"/>
            <w:noWrap/>
            <w:vAlign w:val="center"/>
            <w:hideMark/>
          </w:tcPr>
          <w:p w14:paraId="71F1069C" w14:textId="77777777" w:rsidR="00051507" w:rsidRPr="000125B2" w:rsidRDefault="00051507" w:rsidP="00DF5625">
            <w:pPr>
              <w:jc w:val="right"/>
              <w:rPr>
                <w:sz w:val="18"/>
                <w:szCs w:val="18"/>
              </w:rPr>
            </w:pPr>
            <w:r w:rsidRPr="000125B2">
              <w:rPr>
                <w:sz w:val="18"/>
                <w:szCs w:val="18"/>
              </w:rPr>
              <w:t xml:space="preserve">  3,87 </w:t>
            </w:r>
          </w:p>
        </w:tc>
        <w:tc>
          <w:tcPr>
            <w:tcW w:w="185" w:type="dxa"/>
            <w:tcBorders>
              <w:top w:val="nil"/>
              <w:left w:val="nil"/>
              <w:bottom w:val="nil"/>
              <w:right w:val="nil"/>
            </w:tcBorders>
            <w:shd w:val="clear" w:color="000000" w:fill="FFFFFF"/>
            <w:noWrap/>
            <w:vAlign w:val="center"/>
            <w:hideMark/>
          </w:tcPr>
          <w:p w14:paraId="46977420"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center"/>
            <w:hideMark/>
          </w:tcPr>
          <w:p w14:paraId="3B4EC75E" w14:textId="77777777" w:rsidR="00051507" w:rsidRPr="000125B2" w:rsidRDefault="00051507" w:rsidP="00DF5625">
            <w:pPr>
              <w:jc w:val="right"/>
              <w:rPr>
                <w:sz w:val="18"/>
                <w:szCs w:val="18"/>
              </w:rPr>
            </w:pPr>
            <w:r w:rsidRPr="000125B2">
              <w:rPr>
                <w:sz w:val="18"/>
                <w:szCs w:val="18"/>
              </w:rPr>
              <w:t xml:space="preserve">  2,25 </w:t>
            </w:r>
          </w:p>
        </w:tc>
      </w:tr>
      <w:tr w:rsidR="00051507" w:rsidRPr="000125B2" w14:paraId="62AC9DD8" w14:textId="77777777" w:rsidTr="00DF5625">
        <w:trPr>
          <w:trHeight w:val="290"/>
          <w:jc w:val="center"/>
        </w:trPr>
        <w:tc>
          <w:tcPr>
            <w:tcW w:w="3083" w:type="dxa"/>
            <w:tcBorders>
              <w:top w:val="nil"/>
              <w:left w:val="nil"/>
              <w:bottom w:val="nil"/>
              <w:right w:val="nil"/>
            </w:tcBorders>
            <w:shd w:val="clear" w:color="auto" w:fill="auto"/>
            <w:vAlign w:val="center"/>
            <w:hideMark/>
          </w:tcPr>
          <w:p w14:paraId="2483015F" w14:textId="77777777" w:rsidR="00051507" w:rsidRPr="000125B2" w:rsidRDefault="00051507" w:rsidP="00DF5625">
            <w:pPr>
              <w:rPr>
                <w:sz w:val="18"/>
                <w:szCs w:val="18"/>
              </w:rPr>
            </w:pPr>
            <w:r w:rsidRPr="000125B2">
              <w:rPr>
                <w:sz w:val="18"/>
                <w:szCs w:val="18"/>
              </w:rPr>
              <w:t>Rentabilidad (6)</w:t>
            </w:r>
          </w:p>
        </w:tc>
        <w:tc>
          <w:tcPr>
            <w:tcW w:w="1440" w:type="dxa"/>
            <w:tcBorders>
              <w:top w:val="nil"/>
              <w:left w:val="nil"/>
              <w:bottom w:val="nil"/>
              <w:right w:val="nil"/>
            </w:tcBorders>
            <w:shd w:val="clear" w:color="000000" w:fill="FFFFFF"/>
            <w:noWrap/>
            <w:vAlign w:val="center"/>
            <w:hideMark/>
          </w:tcPr>
          <w:p w14:paraId="50D85D3F" w14:textId="77777777" w:rsidR="00051507" w:rsidRPr="000125B2" w:rsidRDefault="00051507" w:rsidP="00DF5625">
            <w:pPr>
              <w:jc w:val="right"/>
              <w:rPr>
                <w:sz w:val="18"/>
                <w:szCs w:val="18"/>
              </w:rPr>
            </w:pPr>
            <w:r w:rsidRPr="000125B2">
              <w:rPr>
                <w:sz w:val="18"/>
                <w:szCs w:val="18"/>
              </w:rPr>
              <w:t xml:space="preserve">  0,41 </w:t>
            </w:r>
          </w:p>
        </w:tc>
        <w:tc>
          <w:tcPr>
            <w:tcW w:w="185" w:type="dxa"/>
            <w:tcBorders>
              <w:top w:val="nil"/>
              <w:left w:val="nil"/>
              <w:bottom w:val="nil"/>
              <w:right w:val="nil"/>
            </w:tcBorders>
            <w:shd w:val="clear" w:color="000000" w:fill="FFFFFF"/>
            <w:noWrap/>
            <w:vAlign w:val="center"/>
            <w:hideMark/>
          </w:tcPr>
          <w:p w14:paraId="177E1B85"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center"/>
            <w:hideMark/>
          </w:tcPr>
          <w:p w14:paraId="5BF28ACA" w14:textId="77777777" w:rsidR="00051507" w:rsidRPr="000125B2" w:rsidRDefault="00051507" w:rsidP="00DF5625">
            <w:pPr>
              <w:jc w:val="right"/>
              <w:rPr>
                <w:sz w:val="18"/>
                <w:szCs w:val="18"/>
              </w:rPr>
            </w:pPr>
            <w:r w:rsidRPr="000125B2">
              <w:rPr>
                <w:sz w:val="18"/>
                <w:szCs w:val="18"/>
              </w:rPr>
              <w:t xml:space="preserve">  0,18 </w:t>
            </w:r>
          </w:p>
        </w:tc>
        <w:tc>
          <w:tcPr>
            <w:tcW w:w="185" w:type="dxa"/>
            <w:tcBorders>
              <w:top w:val="nil"/>
              <w:left w:val="nil"/>
              <w:bottom w:val="nil"/>
              <w:right w:val="nil"/>
            </w:tcBorders>
            <w:shd w:val="clear" w:color="000000" w:fill="FFFFFF"/>
            <w:noWrap/>
            <w:vAlign w:val="center"/>
            <w:hideMark/>
          </w:tcPr>
          <w:p w14:paraId="02C3608C" w14:textId="77777777" w:rsidR="00051507" w:rsidRPr="000125B2" w:rsidRDefault="00051507" w:rsidP="00DF5625">
            <w:pPr>
              <w:jc w:val="right"/>
              <w:rPr>
                <w:sz w:val="18"/>
                <w:szCs w:val="18"/>
              </w:rPr>
            </w:pPr>
            <w:r w:rsidRPr="000125B2">
              <w:rPr>
                <w:sz w:val="18"/>
                <w:szCs w:val="18"/>
              </w:rPr>
              <w:t> </w:t>
            </w:r>
          </w:p>
        </w:tc>
        <w:tc>
          <w:tcPr>
            <w:tcW w:w="1380" w:type="dxa"/>
            <w:tcBorders>
              <w:top w:val="nil"/>
              <w:left w:val="nil"/>
              <w:bottom w:val="nil"/>
              <w:right w:val="nil"/>
            </w:tcBorders>
            <w:shd w:val="clear" w:color="000000" w:fill="FFFFFF"/>
            <w:noWrap/>
            <w:vAlign w:val="center"/>
            <w:hideMark/>
          </w:tcPr>
          <w:p w14:paraId="1C5B8353" w14:textId="77777777" w:rsidR="00051507" w:rsidRPr="000125B2" w:rsidRDefault="00051507" w:rsidP="00DF5625">
            <w:pPr>
              <w:jc w:val="right"/>
              <w:rPr>
                <w:sz w:val="18"/>
                <w:szCs w:val="18"/>
              </w:rPr>
            </w:pPr>
            <w:r w:rsidRPr="000125B2">
              <w:rPr>
                <w:sz w:val="18"/>
                <w:szCs w:val="18"/>
              </w:rPr>
              <w:t xml:space="preserve"> (0,05) </w:t>
            </w:r>
          </w:p>
        </w:tc>
        <w:tc>
          <w:tcPr>
            <w:tcW w:w="185" w:type="dxa"/>
            <w:tcBorders>
              <w:top w:val="nil"/>
              <w:left w:val="nil"/>
              <w:bottom w:val="nil"/>
              <w:right w:val="nil"/>
            </w:tcBorders>
            <w:shd w:val="clear" w:color="000000" w:fill="FFFFFF"/>
            <w:noWrap/>
            <w:vAlign w:val="center"/>
            <w:hideMark/>
          </w:tcPr>
          <w:p w14:paraId="7DC9BDEC" w14:textId="77777777" w:rsidR="00051507" w:rsidRPr="000125B2" w:rsidRDefault="00051507" w:rsidP="00DF5625">
            <w:pPr>
              <w:jc w:val="right"/>
              <w:rPr>
                <w:sz w:val="18"/>
                <w:szCs w:val="18"/>
              </w:rPr>
            </w:pPr>
            <w:r w:rsidRPr="000125B2">
              <w:rPr>
                <w:sz w:val="18"/>
                <w:szCs w:val="18"/>
              </w:rPr>
              <w:t> </w:t>
            </w:r>
          </w:p>
        </w:tc>
        <w:tc>
          <w:tcPr>
            <w:tcW w:w="1340" w:type="dxa"/>
            <w:tcBorders>
              <w:top w:val="nil"/>
              <w:left w:val="nil"/>
              <w:bottom w:val="nil"/>
              <w:right w:val="nil"/>
            </w:tcBorders>
            <w:shd w:val="clear" w:color="000000" w:fill="FFFFFF"/>
            <w:noWrap/>
            <w:vAlign w:val="center"/>
            <w:hideMark/>
          </w:tcPr>
          <w:p w14:paraId="3F881579" w14:textId="77777777" w:rsidR="00051507" w:rsidRPr="000125B2" w:rsidRDefault="00051507" w:rsidP="00DF5625">
            <w:pPr>
              <w:jc w:val="right"/>
              <w:rPr>
                <w:sz w:val="18"/>
                <w:szCs w:val="18"/>
              </w:rPr>
            </w:pPr>
            <w:r w:rsidRPr="000125B2">
              <w:rPr>
                <w:sz w:val="18"/>
                <w:szCs w:val="18"/>
              </w:rPr>
              <w:t xml:space="preserve"> (0,78) </w:t>
            </w:r>
          </w:p>
        </w:tc>
      </w:tr>
      <w:tr w:rsidR="00051507" w:rsidRPr="000125B2" w14:paraId="114932F2" w14:textId="77777777" w:rsidTr="00DF5625">
        <w:trPr>
          <w:trHeight w:val="290"/>
          <w:jc w:val="center"/>
        </w:trPr>
        <w:tc>
          <w:tcPr>
            <w:tcW w:w="3083" w:type="dxa"/>
            <w:tcBorders>
              <w:top w:val="nil"/>
              <w:left w:val="nil"/>
              <w:bottom w:val="nil"/>
              <w:right w:val="nil"/>
            </w:tcBorders>
            <w:shd w:val="clear" w:color="auto" w:fill="auto"/>
            <w:noWrap/>
            <w:vAlign w:val="bottom"/>
            <w:hideMark/>
          </w:tcPr>
          <w:p w14:paraId="13304DF9" w14:textId="77777777" w:rsidR="00051507" w:rsidRPr="000125B2" w:rsidRDefault="00051507" w:rsidP="00DF5625">
            <w:pPr>
              <w:jc w:val="right"/>
              <w:rPr>
                <w:sz w:val="18"/>
                <w:szCs w:val="18"/>
              </w:rPr>
            </w:pPr>
          </w:p>
        </w:tc>
        <w:tc>
          <w:tcPr>
            <w:tcW w:w="1440" w:type="dxa"/>
            <w:tcBorders>
              <w:top w:val="nil"/>
              <w:left w:val="nil"/>
              <w:bottom w:val="nil"/>
              <w:right w:val="nil"/>
            </w:tcBorders>
            <w:shd w:val="clear" w:color="auto" w:fill="auto"/>
            <w:noWrap/>
            <w:vAlign w:val="bottom"/>
            <w:hideMark/>
          </w:tcPr>
          <w:p w14:paraId="3F2C0F84" w14:textId="77777777" w:rsidR="00051507" w:rsidRPr="000125B2" w:rsidRDefault="00051507" w:rsidP="00DF5625"/>
        </w:tc>
        <w:tc>
          <w:tcPr>
            <w:tcW w:w="185" w:type="dxa"/>
            <w:tcBorders>
              <w:top w:val="nil"/>
              <w:left w:val="nil"/>
              <w:bottom w:val="nil"/>
              <w:right w:val="nil"/>
            </w:tcBorders>
            <w:shd w:val="clear" w:color="auto" w:fill="auto"/>
            <w:noWrap/>
            <w:vAlign w:val="bottom"/>
            <w:hideMark/>
          </w:tcPr>
          <w:p w14:paraId="185C0E6D" w14:textId="77777777" w:rsidR="00051507" w:rsidRPr="000125B2" w:rsidRDefault="00051507" w:rsidP="00DF5625"/>
        </w:tc>
        <w:tc>
          <w:tcPr>
            <w:tcW w:w="1340" w:type="dxa"/>
            <w:tcBorders>
              <w:top w:val="nil"/>
              <w:left w:val="nil"/>
              <w:bottom w:val="nil"/>
              <w:right w:val="nil"/>
            </w:tcBorders>
            <w:shd w:val="clear" w:color="auto" w:fill="auto"/>
            <w:noWrap/>
            <w:vAlign w:val="bottom"/>
            <w:hideMark/>
          </w:tcPr>
          <w:p w14:paraId="1EA22C6A" w14:textId="77777777" w:rsidR="00051507" w:rsidRPr="000125B2" w:rsidRDefault="00051507" w:rsidP="00DF5625"/>
        </w:tc>
        <w:tc>
          <w:tcPr>
            <w:tcW w:w="185" w:type="dxa"/>
            <w:tcBorders>
              <w:top w:val="nil"/>
              <w:left w:val="nil"/>
              <w:bottom w:val="nil"/>
              <w:right w:val="nil"/>
            </w:tcBorders>
            <w:shd w:val="clear" w:color="auto" w:fill="auto"/>
            <w:noWrap/>
            <w:vAlign w:val="bottom"/>
            <w:hideMark/>
          </w:tcPr>
          <w:p w14:paraId="4E8E968E" w14:textId="77777777" w:rsidR="00051507" w:rsidRPr="000125B2" w:rsidRDefault="00051507" w:rsidP="00DF5625"/>
        </w:tc>
        <w:tc>
          <w:tcPr>
            <w:tcW w:w="1380" w:type="dxa"/>
            <w:tcBorders>
              <w:top w:val="nil"/>
              <w:left w:val="nil"/>
              <w:bottom w:val="nil"/>
              <w:right w:val="nil"/>
            </w:tcBorders>
            <w:shd w:val="clear" w:color="auto" w:fill="auto"/>
            <w:noWrap/>
            <w:vAlign w:val="bottom"/>
            <w:hideMark/>
          </w:tcPr>
          <w:p w14:paraId="4F329A54" w14:textId="77777777" w:rsidR="00051507" w:rsidRPr="000125B2" w:rsidRDefault="00051507" w:rsidP="00DF5625"/>
        </w:tc>
        <w:tc>
          <w:tcPr>
            <w:tcW w:w="185" w:type="dxa"/>
            <w:tcBorders>
              <w:top w:val="nil"/>
              <w:left w:val="nil"/>
              <w:bottom w:val="nil"/>
              <w:right w:val="nil"/>
            </w:tcBorders>
            <w:shd w:val="clear" w:color="auto" w:fill="auto"/>
            <w:noWrap/>
            <w:vAlign w:val="bottom"/>
            <w:hideMark/>
          </w:tcPr>
          <w:p w14:paraId="63577310" w14:textId="77777777" w:rsidR="00051507" w:rsidRPr="000125B2" w:rsidRDefault="00051507" w:rsidP="00DF5625"/>
        </w:tc>
        <w:tc>
          <w:tcPr>
            <w:tcW w:w="1340" w:type="dxa"/>
            <w:tcBorders>
              <w:top w:val="nil"/>
              <w:left w:val="nil"/>
              <w:bottom w:val="nil"/>
              <w:right w:val="nil"/>
            </w:tcBorders>
            <w:shd w:val="clear" w:color="auto" w:fill="auto"/>
            <w:noWrap/>
            <w:vAlign w:val="bottom"/>
            <w:hideMark/>
          </w:tcPr>
          <w:p w14:paraId="2CE611E4" w14:textId="77777777" w:rsidR="00051507" w:rsidRPr="000125B2" w:rsidRDefault="00051507" w:rsidP="00DF5625"/>
        </w:tc>
      </w:tr>
      <w:tr w:rsidR="00051507" w:rsidRPr="000125B2" w14:paraId="6B8AB140" w14:textId="77777777" w:rsidTr="00DF5625">
        <w:trPr>
          <w:trHeight w:val="290"/>
          <w:jc w:val="center"/>
        </w:trPr>
        <w:tc>
          <w:tcPr>
            <w:tcW w:w="3083" w:type="dxa"/>
            <w:tcBorders>
              <w:top w:val="nil"/>
              <w:left w:val="nil"/>
              <w:bottom w:val="nil"/>
              <w:right w:val="nil"/>
            </w:tcBorders>
            <w:shd w:val="clear" w:color="auto" w:fill="auto"/>
            <w:noWrap/>
            <w:vAlign w:val="center"/>
            <w:hideMark/>
          </w:tcPr>
          <w:p w14:paraId="40341C98" w14:textId="77777777" w:rsidR="00051507" w:rsidRPr="000125B2" w:rsidRDefault="00051507" w:rsidP="00DF5625">
            <w:pPr>
              <w:rPr>
                <w:sz w:val="18"/>
                <w:szCs w:val="18"/>
              </w:rPr>
            </w:pPr>
            <w:r w:rsidRPr="000125B2">
              <w:rPr>
                <w:sz w:val="18"/>
                <w:szCs w:val="18"/>
              </w:rPr>
              <w:t xml:space="preserve"> (1) Activo corriente / Pasivo corriente</w:t>
            </w:r>
          </w:p>
        </w:tc>
        <w:tc>
          <w:tcPr>
            <w:tcW w:w="1440" w:type="dxa"/>
            <w:tcBorders>
              <w:top w:val="nil"/>
              <w:left w:val="nil"/>
              <w:bottom w:val="nil"/>
              <w:right w:val="nil"/>
            </w:tcBorders>
            <w:shd w:val="clear" w:color="auto" w:fill="auto"/>
            <w:noWrap/>
            <w:vAlign w:val="bottom"/>
            <w:hideMark/>
          </w:tcPr>
          <w:p w14:paraId="2A39D347" w14:textId="77777777" w:rsidR="00051507" w:rsidRPr="000125B2" w:rsidRDefault="00051507" w:rsidP="00DF5625">
            <w:pPr>
              <w:rPr>
                <w:sz w:val="18"/>
                <w:szCs w:val="18"/>
              </w:rPr>
            </w:pPr>
          </w:p>
        </w:tc>
        <w:tc>
          <w:tcPr>
            <w:tcW w:w="185" w:type="dxa"/>
            <w:tcBorders>
              <w:top w:val="nil"/>
              <w:left w:val="nil"/>
              <w:bottom w:val="nil"/>
              <w:right w:val="nil"/>
            </w:tcBorders>
            <w:shd w:val="clear" w:color="auto" w:fill="auto"/>
            <w:noWrap/>
            <w:vAlign w:val="bottom"/>
            <w:hideMark/>
          </w:tcPr>
          <w:p w14:paraId="076B1F64" w14:textId="77777777" w:rsidR="00051507" w:rsidRPr="000125B2" w:rsidRDefault="00051507" w:rsidP="00DF5625"/>
        </w:tc>
        <w:tc>
          <w:tcPr>
            <w:tcW w:w="1340" w:type="dxa"/>
            <w:tcBorders>
              <w:top w:val="nil"/>
              <w:left w:val="nil"/>
              <w:bottom w:val="nil"/>
              <w:right w:val="nil"/>
            </w:tcBorders>
            <w:shd w:val="clear" w:color="auto" w:fill="auto"/>
            <w:noWrap/>
            <w:vAlign w:val="bottom"/>
            <w:hideMark/>
          </w:tcPr>
          <w:p w14:paraId="339FF594" w14:textId="77777777" w:rsidR="00051507" w:rsidRPr="000125B2" w:rsidRDefault="00051507" w:rsidP="00DF5625"/>
        </w:tc>
        <w:tc>
          <w:tcPr>
            <w:tcW w:w="185" w:type="dxa"/>
            <w:tcBorders>
              <w:top w:val="nil"/>
              <w:left w:val="nil"/>
              <w:bottom w:val="nil"/>
              <w:right w:val="nil"/>
            </w:tcBorders>
            <w:shd w:val="clear" w:color="auto" w:fill="auto"/>
            <w:noWrap/>
            <w:vAlign w:val="bottom"/>
            <w:hideMark/>
          </w:tcPr>
          <w:p w14:paraId="1A9CF5BA" w14:textId="77777777" w:rsidR="00051507" w:rsidRPr="000125B2" w:rsidRDefault="00051507" w:rsidP="00DF5625"/>
        </w:tc>
        <w:tc>
          <w:tcPr>
            <w:tcW w:w="1380" w:type="dxa"/>
            <w:tcBorders>
              <w:top w:val="nil"/>
              <w:left w:val="nil"/>
              <w:bottom w:val="nil"/>
              <w:right w:val="nil"/>
            </w:tcBorders>
            <w:shd w:val="clear" w:color="auto" w:fill="auto"/>
            <w:noWrap/>
            <w:vAlign w:val="bottom"/>
            <w:hideMark/>
          </w:tcPr>
          <w:p w14:paraId="128B9493" w14:textId="77777777" w:rsidR="00051507" w:rsidRPr="000125B2" w:rsidRDefault="00051507" w:rsidP="00DF5625"/>
        </w:tc>
        <w:tc>
          <w:tcPr>
            <w:tcW w:w="185" w:type="dxa"/>
            <w:tcBorders>
              <w:top w:val="nil"/>
              <w:left w:val="nil"/>
              <w:bottom w:val="nil"/>
              <w:right w:val="nil"/>
            </w:tcBorders>
            <w:shd w:val="clear" w:color="auto" w:fill="auto"/>
            <w:noWrap/>
            <w:vAlign w:val="bottom"/>
            <w:hideMark/>
          </w:tcPr>
          <w:p w14:paraId="0FCF8121" w14:textId="77777777" w:rsidR="00051507" w:rsidRPr="000125B2" w:rsidRDefault="00051507" w:rsidP="00DF5625"/>
        </w:tc>
        <w:tc>
          <w:tcPr>
            <w:tcW w:w="1340" w:type="dxa"/>
            <w:tcBorders>
              <w:top w:val="nil"/>
              <w:left w:val="nil"/>
              <w:bottom w:val="nil"/>
              <w:right w:val="nil"/>
            </w:tcBorders>
            <w:shd w:val="clear" w:color="auto" w:fill="auto"/>
            <w:noWrap/>
            <w:vAlign w:val="bottom"/>
            <w:hideMark/>
          </w:tcPr>
          <w:p w14:paraId="26998B88" w14:textId="77777777" w:rsidR="00051507" w:rsidRPr="000125B2" w:rsidRDefault="00051507" w:rsidP="00DF5625"/>
        </w:tc>
      </w:tr>
      <w:tr w:rsidR="00051507" w:rsidRPr="000125B2" w14:paraId="7BC3981F" w14:textId="77777777" w:rsidTr="00DF5625">
        <w:trPr>
          <w:trHeight w:val="290"/>
          <w:jc w:val="center"/>
        </w:trPr>
        <w:tc>
          <w:tcPr>
            <w:tcW w:w="3083" w:type="dxa"/>
            <w:tcBorders>
              <w:top w:val="nil"/>
              <w:left w:val="nil"/>
              <w:bottom w:val="nil"/>
              <w:right w:val="nil"/>
            </w:tcBorders>
            <w:shd w:val="clear" w:color="auto" w:fill="auto"/>
            <w:noWrap/>
            <w:vAlign w:val="center"/>
            <w:hideMark/>
          </w:tcPr>
          <w:p w14:paraId="42BEE414" w14:textId="77777777" w:rsidR="00051507" w:rsidRPr="000125B2" w:rsidRDefault="00051507" w:rsidP="00DF5625">
            <w:pPr>
              <w:rPr>
                <w:sz w:val="18"/>
                <w:szCs w:val="18"/>
              </w:rPr>
            </w:pPr>
            <w:r w:rsidRPr="000125B2">
              <w:rPr>
                <w:sz w:val="18"/>
                <w:szCs w:val="18"/>
              </w:rPr>
              <w:t xml:space="preserve"> (2) Patrimonio neto / Pasivo total</w:t>
            </w:r>
          </w:p>
        </w:tc>
        <w:tc>
          <w:tcPr>
            <w:tcW w:w="1440" w:type="dxa"/>
            <w:tcBorders>
              <w:top w:val="nil"/>
              <w:left w:val="nil"/>
              <w:bottom w:val="nil"/>
              <w:right w:val="nil"/>
            </w:tcBorders>
            <w:shd w:val="clear" w:color="auto" w:fill="auto"/>
            <w:noWrap/>
            <w:vAlign w:val="bottom"/>
            <w:hideMark/>
          </w:tcPr>
          <w:p w14:paraId="3040A89C" w14:textId="77777777" w:rsidR="00051507" w:rsidRPr="000125B2" w:rsidRDefault="00051507" w:rsidP="00DF5625">
            <w:pPr>
              <w:rPr>
                <w:sz w:val="18"/>
                <w:szCs w:val="18"/>
              </w:rPr>
            </w:pPr>
          </w:p>
        </w:tc>
        <w:tc>
          <w:tcPr>
            <w:tcW w:w="185" w:type="dxa"/>
            <w:tcBorders>
              <w:top w:val="nil"/>
              <w:left w:val="nil"/>
              <w:bottom w:val="nil"/>
              <w:right w:val="nil"/>
            </w:tcBorders>
            <w:shd w:val="clear" w:color="auto" w:fill="auto"/>
            <w:noWrap/>
            <w:vAlign w:val="bottom"/>
            <w:hideMark/>
          </w:tcPr>
          <w:p w14:paraId="3B913E3E" w14:textId="77777777" w:rsidR="00051507" w:rsidRPr="000125B2" w:rsidRDefault="00051507" w:rsidP="00DF5625"/>
        </w:tc>
        <w:tc>
          <w:tcPr>
            <w:tcW w:w="1340" w:type="dxa"/>
            <w:tcBorders>
              <w:top w:val="nil"/>
              <w:left w:val="nil"/>
              <w:bottom w:val="nil"/>
              <w:right w:val="nil"/>
            </w:tcBorders>
            <w:shd w:val="clear" w:color="auto" w:fill="auto"/>
            <w:noWrap/>
            <w:vAlign w:val="bottom"/>
            <w:hideMark/>
          </w:tcPr>
          <w:p w14:paraId="4E0D94A2" w14:textId="77777777" w:rsidR="00051507" w:rsidRPr="000125B2" w:rsidRDefault="00051507" w:rsidP="00DF5625"/>
        </w:tc>
        <w:tc>
          <w:tcPr>
            <w:tcW w:w="185" w:type="dxa"/>
            <w:tcBorders>
              <w:top w:val="nil"/>
              <w:left w:val="nil"/>
              <w:bottom w:val="nil"/>
              <w:right w:val="nil"/>
            </w:tcBorders>
            <w:shd w:val="clear" w:color="auto" w:fill="auto"/>
            <w:noWrap/>
            <w:vAlign w:val="bottom"/>
            <w:hideMark/>
          </w:tcPr>
          <w:p w14:paraId="7A0BE8F5" w14:textId="77777777" w:rsidR="00051507" w:rsidRPr="000125B2" w:rsidRDefault="00051507" w:rsidP="00DF5625"/>
        </w:tc>
        <w:tc>
          <w:tcPr>
            <w:tcW w:w="1380" w:type="dxa"/>
            <w:tcBorders>
              <w:top w:val="nil"/>
              <w:left w:val="nil"/>
              <w:bottom w:val="nil"/>
              <w:right w:val="nil"/>
            </w:tcBorders>
            <w:shd w:val="clear" w:color="auto" w:fill="auto"/>
            <w:noWrap/>
            <w:vAlign w:val="bottom"/>
            <w:hideMark/>
          </w:tcPr>
          <w:p w14:paraId="35F5049A" w14:textId="77777777" w:rsidR="00051507" w:rsidRPr="000125B2" w:rsidRDefault="00051507" w:rsidP="00DF5625"/>
        </w:tc>
        <w:tc>
          <w:tcPr>
            <w:tcW w:w="185" w:type="dxa"/>
            <w:tcBorders>
              <w:top w:val="nil"/>
              <w:left w:val="nil"/>
              <w:bottom w:val="nil"/>
              <w:right w:val="nil"/>
            </w:tcBorders>
            <w:shd w:val="clear" w:color="auto" w:fill="auto"/>
            <w:noWrap/>
            <w:vAlign w:val="bottom"/>
            <w:hideMark/>
          </w:tcPr>
          <w:p w14:paraId="13BE5CB1" w14:textId="77777777" w:rsidR="00051507" w:rsidRPr="000125B2" w:rsidRDefault="00051507" w:rsidP="00DF5625"/>
        </w:tc>
        <w:tc>
          <w:tcPr>
            <w:tcW w:w="1340" w:type="dxa"/>
            <w:tcBorders>
              <w:top w:val="nil"/>
              <w:left w:val="nil"/>
              <w:bottom w:val="nil"/>
              <w:right w:val="nil"/>
            </w:tcBorders>
            <w:shd w:val="clear" w:color="auto" w:fill="auto"/>
            <w:noWrap/>
            <w:vAlign w:val="bottom"/>
            <w:hideMark/>
          </w:tcPr>
          <w:p w14:paraId="08F6B67D" w14:textId="77777777" w:rsidR="00051507" w:rsidRPr="000125B2" w:rsidRDefault="00051507" w:rsidP="00DF5625"/>
        </w:tc>
      </w:tr>
      <w:tr w:rsidR="00051507" w:rsidRPr="000125B2" w14:paraId="7E0BB6D3" w14:textId="77777777" w:rsidTr="00DF5625">
        <w:trPr>
          <w:trHeight w:val="290"/>
          <w:jc w:val="center"/>
        </w:trPr>
        <w:tc>
          <w:tcPr>
            <w:tcW w:w="3083" w:type="dxa"/>
            <w:tcBorders>
              <w:top w:val="nil"/>
              <w:left w:val="nil"/>
              <w:bottom w:val="nil"/>
              <w:right w:val="nil"/>
            </w:tcBorders>
            <w:shd w:val="clear" w:color="auto" w:fill="auto"/>
            <w:noWrap/>
            <w:vAlign w:val="center"/>
            <w:hideMark/>
          </w:tcPr>
          <w:p w14:paraId="19AFDEBE" w14:textId="77777777" w:rsidR="00051507" w:rsidRPr="000125B2" w:rsidRDefault="00051507" w:rsidP="00DF5625">
            <w:pPr>
              <w:rPr>
                <w:sz w:val="18"/>
                <w:szCs w:val="18"/>
              </w:rPr>
            </w:pPr>
            <w:r w:rsidRPr="000125B2">
              <w:rPr>
                <w:sz w:val="18"/>
                <w:szCs w:val="18"/>
              </w:rPr>
              <w:t xml:space="preserve"> (3) Activo no corriente / Total del activo</w:t>
            </w:r>
          </w:p>
        </w:tc>
        <w:tc>
          <w:tcPr>
            <w:tcW w:w="1440" w:type="dxa"/>
            <w:tcBorders>
              <w:top w:val="nil"/>
              <w:left w:val="nil"/>
              <w:bottom w:val="nil"/>
              <w:right w:val="nil"/>
            </w:tcBorders>
            <w:shd w:val="clear" w:color="auto" w:fill="auto"/>
            <w:noWrap/>
            <w:vAlign w:val="bottom"/>
            <w:hideMark/>
          </w:tcPr>
          <w:p w14:paraId="0B00CDB5" w14:textId="77777777" w:rsidR="00051507" w:rsidRPr="000125B2" w:rsidRDefault="00051507" w:rsidP="00DF5625">
            <w:pPr>
              <w:rPr>
                <w:sz w:val="18"/>
                <w:szCs w:val="18"/>
              </w:rPr>
            </w:pPr>
          </w:p>
        </w:tc>
        <w:tc>
          <w:tcPr>
            <w:tcW w:w="185" w:type="dxa"/>
            <w:tcBorders>
              <w:top w:val="nil"/>
              <w:left w:val="nil"/>
              <w:bottom w:val="nil"/>
              <w:right w:val="nil"/>
            </w:tcBorders>
            <w:shd w:val="clear" w:color="auto" w:fill="auto"/>
            <w:noWrap/>
            <w:vAlign w:val="bottom"/>
            <w:hideMark/>
          </w:tcPr>
          <w:p w14:paraId="38E05273" w14:textId="77777777" w:rsidR="00051507" w:rsidRPr="000125B2" w:rsidRDefault="00051507" w:rsidP="00DF5625"/>
        </w:tc>
        <w:tc>
          <w:tcPr>
            <w:tcW w:w="1340" w:type="dxa"/>
            <w:tcBorders>
              <w:top w:val="nil"/>
              <w:left w:val="nil"/>
              <w:bottom w:val="nil"/>
              <w:right w:val="nil"/>
            </w:tcBorders>
            <w:shd w:val="clear" w:color="auto" w:fill="auto"/>
            <w:noWrap/>
            <w:vAlign w:val="bottom"/>
            <w:hideMark/>
          </w:tcPr>
          <w:p w14:paraId="10C7DA60" w14:textId="77777777" w:rsidR="00051507" w:rsidRPr="000125B2" w:rsidRDefault="00051507" w:rsidP="00DF5625"/>
        </w:tc>
        <w:tc>
          <w:tcPr>
            <w:tcW w:w="185" w:type="dxa"/>
            <w:tcBorders>
              <w:top w:val="nil"/>
              <w:left w:val="nil"/>
              <w:bottom w:val="nil"/>
              <w:right w:val="nil"/>
            </w:tcBorders>
            <w:shd w:val="clear" w:color="auto" w:fill="auto"/>
            <w:noWrap/>
            <w:vAlign w:val="bottom"/>
            <w:hideMark/>
          </w:tcPr>
          <w:p w14:paraId="5E114B1F" w14:textId="77777777" w:rsidR="00051507" w:rsidRPr="000125B2" w:rsidRDefault="00051507" w:rsidP="00DF5625"/>
        </w:tc>
        <w:tc>
          <w:tcPr>
            <w:tcW w:w="1380" w:type="dxa"/>
            <w:tcBorders>
              <w:top w:val="nil"/>
              <w:left w:val="nil"/>
              <w:bottom w:val="nil"/>
              <w:right w:val="nil"/>
            </w:tcBorders>
            <w:shd w:val="clear" w:color="auto" w:fill="auto"/>
            <w:noWrap/>
            <w:vAlign w:val="bottom"/>
            <w:hideMark/>
          </w:tcPr>
          <w:p w14:paraId="587BD195" w14:textId="77777777" w:rsidR="00051507" w:rsidRPr="000125B2" w:rsidRDefault="00051507" w:rsidP="00DF5625"/>
        </w:tc>
        <w:tc>
          <w:tcPr>
            <w:tcW w:w="185" w:type="dxa"/>
            <w:tcBorders>
              <w:top w:val="nil"/>
              <w:left w:val="nil"/>
              <w:bottom w:val="nil"/>
              <w:right w:val="nil"/>
            </w:tcBorders>
            <w:shd w:val="clear" w:color="auto" w:fill="auto"/>
            <w:noWrap/>
            <w:vAlign w:val="bottom"/>
            <w:hideMark/>
          </w:tcPr>
          <w:p w14:paraId="21241B7F" w14:textId="77777777" w:rsidR="00051507" w:rsidRPr="000125B2" w:rsidRDefault="00051507" w:rsidP="00DF5625"/>
        </w:tc>
        <w:tc>
          <w:tcPr>
            <w:tcW w:w="1340" w:type="dxa"/>
            <w:tcBorders>
              <w:top w:val="nil"/>
              <w:left w:val="nil"/>
              <w:bottom w:val="nil"/>
              <w:right w:val="nil"/>
            </w:tcBorders>
            <w:shd w:val="clear" w:color="auto" w:fill="auto"/>
            <w:noWrap/>
            <w:vAlign w:val="bottom"/>
            <w:hideMark/>
          </w:tcPr>
          <w:p w14:paraId="013F8CDD" w14:textId="77777777" w:rsidR="00051507" w:rsidRPr="000125B2" w:rsidRDefault="00051507" w:rsidP="00DF5625"/>
        </w:tc>
      </w:tr>
      <w:tr w:rsidR="00051507" w:rsidRPr="000125B2" w14:paraId="20B601D7" w14:textId="77777777" w:rsidTr="00DF5625">
        <w:trPr>
          <w:trHeight w:val="290"/>
          <w:jc w:val="center"/>
        </w:trPr>
        <w:tc>
          <w:tcPr>
            <w:tcW w:w="4523" w:type="dxa"/>
            <w:gridSpan w:val="2"/>
            <w:tcBorders>
              <w:top w:val="nil"/>
              <w:left w:val="nil"/>
              <w:bottom w:val="nil"/>
              <w:right w:val="nil"/>
            </w:tcBorders>
            <w:shd w:val="clear" w:color="auto" w:fill="auto"/>
            <w:noWrap/>
            <w:vAlign w:val="center"/>
            <w:hideMark/>
          </w:tcPr>
          <w:p w14:paraId="2271B3DE" w14:textId="77777777" w:rsidR="00051507" w:rsidRPr="000125B2" w:rsidRDefault="00051507" w:rsidP="00DF5625">
            <w:pPr>
              <w:rPr>
                <w:sz w:val="18"/>
                <w:szCs w:val="18"/>
              </w:rPr>
            </w:pPr>
            <w:r w:rsidRPr="000125B2">
              <w:rPr>
                <w:sz w:val="18"/>
                <w:szCs w:val="18"/>
              </w:rPr>
              <w:t xml:space="preserve"> (4) Deuda financiera / EBITDA anualizado (*)</w:t>
            </w:r>
          </w:p>
        </w:tc>
        <w:tc>
          <w:tcPr>
            <w:tcW w:w="185" w:type="dxa"/>
            <w:tcBorders>
              <w:top w:val="nil"/>
              <w:left w:val="nil"/>
              <w:bottom w:val="nil"/>
              <w:right w:val="nil"/>
            </w:tcBorders>
            <w:shd w:val="clear" w:color="auto" w:fill="auto"/>
            <w:noWrap/>
            <w:vAlign w:val="bottom"/>
            <w:hideMark/>
          </w:tcPr>
          <w:p w14:paraId="7F0E0A5C" w14:textId="77777777" w:rsidR="00051507" w:rsidRPr="000125B2" w:rsidRDefault="00051507" w:rsidP="00DF5625">
            <w:pPr>
              <w:rPr>
                <w:sz w:val="18"/>
                <w:szCs w:val="18"/>
              </w:rPr>
            </w:pPr>
          </w:p>
        </w:tc>
        <w:tc>
          <w:tcPr>
            <w:tcW w:w="1340" w:type="dxa"/>
            <w:tcBorders>
              <w:top w:val="nil"/>
              <w:left w:val="nil"/>
              <w:bottom w:val="nil"/>
              <w:right w:val="nil"/>
            </w:tcBorders>
            <w:shd w:val="clear" w:color="auto" w:fill="auto"/>
            <w:noWrap/>
            <w:vAlign w:val="bottom"/>
            <w:hideMark/>
          </w:tcPr>
          <w:p w14:paraId="58B06CE6" w14:textId="77777777" w:rsidR="00051507" w:rsidRPr="000125B2" w:rsidRDefault="00051507" w:rsidP="00DF5625"/>
        </w:tc>
        <w:tc>
          <w:tcPr>
            <w:tcW w:w="185" w:type="dxa"/>
            <w:tcBorders>
              <w:top w:val="nil"/>
              <w:left w:val="nil"/>
              <w:bottom w:val="nil"/>
              <w:right w:val="nil"/>
            </w:tcBorders>
            <w:shd w:val="clear" w:color="auto" w:fill="auto"/>
            <w:noWrap/>
            <w:vAlign w:val="bottom"/>
            <w:hideMark/>
          </w:tcPr>
          <w:p w14:paraId="034E889A" w14:textId="77777777" w:rsidR="00051507" w:rsidRPr="000125B2" w:rsidRDefault="00051507" w:rsidP="00DF5625"/>
        </w:tc>
        <w:tc>
          <w:tcPr>
            <w:tcW w:w="1380" w:type="dxa"/>
            <w:tcBorders>
              <w:top w:val="nil"/>
              <w:left w:val="nil"/>
              <w:bottom w:val="nil"/>
              <w:right w:val="nil"/>
            </w:tcBorders>
            <w:shd w:val="clear" w:color="auto" w:fill="auto"/>
            <w:noWrap/>
            <w:vAlign w:val="bottom"/>
            <w:hideMark/>
          </w:tcPr>
          <w:p w14:paraId="76DB35A3" w14:textId="77777777" w:rsidR="00051507" w:rsidRPr="000125B2" w:rsidRDefault="00051507" w:rsidP="00DF5625"/>
        </w:tc>
        <w:tc>
          <w:tcPr>
            <w:tcW w:w="185" w:type="dxa"/>
            <w:tcBorders>
              <w:top w:val="nil"/>
              <w:left w:val="nil"/>
              <w:bottom w:val="nil"/>
              <w:right w:val="nil"/>
            </w:tcBorders>
            <w:shd w:val="clear" w:color="auto" w:fill="auto"/>
            <w:noWrap/>
            <w:vAlign w:val="bottom"/>
            <w:hideMark/>
          </w:tcPr>
          <w:p w14:paraId="52A5A92C" w14:textId="77777777" w:rsidR="00051507" w:rsidRPr="000125B2" w:rsidRDefault="00051507" w:rsidP="00DF5625"/>
        </w:tc>
        <w:tc>
          <w:tcPr>
            <w:tcW w:w="1340" w:type="dxa"/>
            <w:tcBorders>
              <w:top w:val="nil"/>
              <w:left w:val="nil"/>
              <w:bottom w:val="nil"/>
              <w:right w:val="nil"/>
            </w:tcBorders>
            <w:shd w:val="clear" w:color="auto" w:fill="auto"/>
            <w:noWrap/>
            <w:vAlign w:val="bottom"/>
            <w:hideMark/>
          </w:tcPr>
          <w:p w14:paraId="3857F099" w14:textId="77777777" w:rsidR="00051507" w:rsidRPr="000125B2" w:rsidRDefault="00051507" w:rsidP="00DF5625"/>
        </w:tc>
      </w:tr>
      <w:tr w:rsidR="00051507" w:rsidRPr="000125B2" w14:paraId="6AA5442F" w14:textId="77777777" w:rsidTr="00DF5625">
        <w:trPr>
          <w:trHeight w:val="290"/>
          <w:jc w:val="center"/>
        </w:trPr>
        <w:tc>
          <w:tcPr>
            <w:tcW w:w="6048" w:type="dxa"/>
            <w:gridSpan w:val="4"/>
            <w:tcBorders>
              <w:top w:val="nil"/>
              <w:left w:val="nil"/>
              <w:bottom w:val="nil"/>
              <w:right w:val="nil"/>
            </w:tcBorders>
            <w:shd w:val="clear" w:color="auto" w:fill="auto"/>
            <w:noWrap/>
            <w:vAlign w:val="center"/>
            <w:hideMark/>
          </w:tcPr>
          <w:p w14:paraId="017149EF" w14:textId="77777777" w:rsidR="00051507" w:rsidRPr="000125B2" w:rsidRDefault="00051507" w:rsidP="00DF5625">
            <w:pPr>
              <w:rPr>
                <w:sz w:val="18"/>
                <w:szCs w:val="18"/>
              </w:rPr>
            </w:pPr>
            <w:r w:rsidRPr="000125B2">
              <w:rPr>
                <w:sz w:val="18"/>
                <w:szCs w:val="18"/>
              </w:rPr>
              <w:t xml:space="preserve"> (5) EBITDA anualizado (*) / intereses financieros devengados anualizados</w:t>
            </w:r>
          </w:p>
        </w:tc>
        <w:tc>
          <w:tcPr>
            <w:tcW w:w="185" w:type="dxa"/>
            <w:tcBorders>
              <w:top w:val="nil"/>
              <w:left w:val="nil"/>
              <w:bottom w:val="nil"/>
              <w:right w:val="nil"/>
            </w:tcBorders>
            <w:shd w:val="clear" w:color="auto" w:fill="auto"/>
            <w:noWrap/>
            <w:vAlign w:val="bottom"/>
            <w:hideMark/>
          </w:tcPr>
          <w:p w14:paraId="722E0B78" w14:textId="77777777" w:rsidR="00051507" w:rsidRPr="000125B2" w:rsidRDefault="00051507" w:rsidP="00DF5625">
            <w:pPr>
              <w:rPr>
                <w:sz w:val="18"/>
                <w:szCs w:val="18"/>
              </w:rPr>
            </w:pPr>
          </w:p>
        </w:tc>
        <w:tc>
          <w:tcPr>
            <w:tcW w:w="1380" w:type="dxa"/>
            <w:tcBorders>
              <w:top w:val="nil"/>
              <w:left w:val="nil"/>
              <w:bottom w:val="nil"/>
              <w:right w:val="nil"/>
            </w:tcBorders>
            <w:shd w:val="clear" w:color="auto" w:fill="auto"/>
            <w:noWrap/>
            <w:vAlign w:val="bottom"/>
            <w:hideMark/>
          </w:tcPr>
          <w:p w14:paraId="6B7AFCE5" w14:textId="77777777" w:rsidR="00051507" w:rsidRPr="000125B2" w:rsidRDefault="00051507" w:rsidP="00DF5625"/>
        </w:tc>
        <w:tc>
          <w:tcPr>
            <w:tcW w:w="185" w:type="dxa"/>
            <w:tcBorders>
              <w:top w:val="nil"/>
              <w:left w:val="nil"/>
              <w:bottom w:val="nil"/>
              <w:right w:val="nil"/>
            </w:tcBorders>
            <w:shd w:val="clear" w:color="auto" w:fill="auto"/>
            <w:noWrap/>
            <w:vAlign w:val="bottom"/>
            <w:hideMark/>
          </w:tcPr>
          <w:p w14:paraId="6844BDC6" w14:textId="77777777" w:rsidR="00051507" w:rsidRPr="000125B2" w:rsidRDefault="00051507" w:rsidP="00DF5625"/>
        </w:tc>
        <w:tc>
          <w:tcPr>
            <w:tcW w:w="1340" w:type="dxa"/>
            <w:tcBorders>
              <w:top w:val="nil"/>
              <w:left w:val="nil"/>
              <w:bottom w:val="nil"/>
              <w:right w:val="nil"/>
            </w:tcBorders>
            <w:shd w:val="clear" w:color="auto" w:fill="auto"/>
            <w:noWrap/>
            <w:vAlign w:val="bottom"/>
            <w:hideMark/>
          </w:tcPr>
          <w:p w14:paraId="30313404" w14:textId="77777777" w:rsidR="00051507" w:rsidRPr="000125B2" w:rsidRDefault="00051507" w:rsidP="00DF5625"/>
        </w:tc>
      </w:tr>
      <w:tr w:rsidR="00051507" w:rsidRPr="000125B2" w14:paraId="7131172E" w14:textId="77777777" w:rsidTr="00DF5625">
        <w:trPr>
          <w:trHeight w:val="290"/>
          <w:jc w:val="center"/>
        </w:trPr>
        <w:tc>
          <w:tcPr>
            <w:tcW w:w="6048" w:type="dxa"/>
            <w:gridSpan w:val="4"/>
            <w:tcBorders>
              <w:top w:val="nil"/>
              <w:left w:val="nil"/>
              <w:bottom w:val="nil"/>
              <w:right w:val="nil"/>
            </w:tcBorders>
            <w:shd w:val="clear" w:color="auto" w:fill="auto"/>
            <w:noWrap/>
            <w:vAlign w:val="center"/>
            <w:hideMark/>
          </w:tcPr>
          <w:p w14:paraId="6135AAE5" w14:textId="77777777" w:rsidR="00051507" w:rsidRPr="000125B2" w:rsidRDefault="00051507" w:rsidP="00DF5625">
            <w:pPr>
              <w:rPr>
                <w:sz w:val="18"/>
                <w:szCs w:val="18"/>
              </w:rPr>
            </w:pPr>
            <w:r w:rsidRPr="000125B2">
              <w:rPr>
                <w:sz w:val="18"/>
                <w:szCs w:val="18"/>
              </w:rPr>
              <w:t xml:space="preserve"> (6) Resultado neto del período (sin ORI) / Patrimonio neto total promedio</w:t>
            </w:r>
          </w:p>
        </w:tc>
        <w:tc>
          <w:tcPr>
            <w:tcW w:w="185" w:type="dxa"/>
            <w:tcBorders>
              <w:top w:val="nil"/>
              <w:left w:val="nil"/>
              <w:bottom w:val="nil"/>
              <w:right w:val="nil"/>
            </w:tcBorders>
            <w:shd w:val="clear" w:color="auto" w:fill="auto"/>
            <w:noWrap/>
            <w:vAlign w:val="bottom"/>
            <w:hideMark/>
          </w:tcPr>
          <w:p w14:paraId="62E9FBA4" w14:textId="77777777" w:rsidR="00051507" w:rsidRPr="000125B2" w:rsidRDefault="00051507" w:rsidP="00DF5625">
            <w:pPr>
              <w:rPr>
                <w:sz w:val="18"/>
                <w:szCs w:val="18"/>
              </w:rPr>
            </w:pPr>
          </w:p>
        </w:tc>
        <w:tc>
          <w:tcPr>
            <w:tcW w:w="1380" w:type="dxa"/>
            <w:tcBorders>
              <w:top w:val="nil"/>
              <w:left w:val="nil"/>
              <w:bottom w:val="nil"/>
              <w:right w:val="nil"/>
            </w:tcBorders>
            <w:shd w:val="clear" w:color="auto" w:fill="auto"/>
            <w:noWrap/>
            <w:vAlign w:val="bottom"/>
            <w:hideMark/>
          </w:tcPr>
          <w:p w14:paraId="4567A45C" w14:textId="77777777" w:rsidR="00051507" w:rsidRPr="000125B2" w:rsidRDefault="00051507" w:rsidP="00DF5625"/>
        </w:tc>
        <w:tc>
          <w:tcPr>
            <w:tcW w:w="185" w:type="dxa"/>
            <w:tcBorders>
              <w:top w:val="nil"/>
              <w:left w:val="nil"/>
              <w:bottom w:val="nil"/>
              <w:right w:val="nil"/>
            </w:tcBorders>
            <w:shd w:val="clear" w:color="auto" w:fill="auto"/>
            <w:noWrap/>
            <w:vAlign w:val="bottom"/>
            <w:hideMark/>
          </w:tcPr>
          <w:p w14:paraId="341938D6" w14:textId="77777777" w:rsidR="00051507" w:rsidRPr="000125B2" w:rsidRDefault="00051507" w:rsidP="00DF5625"/>
        </w:tc>
        <w:tc>
          <w:tcPr>
            <w:tcW w:w="1340" w:type="dxa"/>
            <w:tcBorders>
              <w:top w:val="nil"/>
              <w:left w:val="nil"/>
              <w:bottom w:val="nil"/>
              <w:right w:val="nil"/>
            </w:tcBorders>
            <w:shd w:val="clear" w:color="auto" w:fill="auto"/>
            <w:noWrap/>
            <w:vAlign w:val="bottom"/>
            <w:hideMark/>
          </w:tcPr>
          <w:p w14:paraId="46A6344C" w14:textId="77777777" w:rsidR="00051507" w:rsidRPr="000125B2" w:rsidRDefault="00051507" w:rsidP="00DF5625"/>
        </w:tc>
      </w:tr>
      <w:tr w:rsidR="00051507" w:rsidRPr="000125B2" w14:paraId="2D3A6DE7" w14:textId="77777777" w:rsidTr="00DF5625">
        <w:trPr>
          <w:trHeight w:val="170"/>
          <w:jc w:val="center"/>
        </w:trPr>
        <w:tc>
          <w:tcPr>
            <w:tcW w:w="3083" w:type="dxa"/>
            <w:tcBorders>
              <w:top w:val="nil"/>
              <w:left w:val="nil"/>
              <w:bottom w:val="nil"/>
              <w:right w:val="nil"/>
            </w:tcBorders>
            <w:shd w:val="clear" w:color="auto" w:fill="auto"/>
            <w:noWrap/>
            <w:vAlign w:val="center"/>
            <w:hideMark/>
          </w:tcPr>
          <w:p w14:paraId="03533C2C" w14:textId="77777777" w:rsidR="00051507" w:rsidRPr="000125B2" w:rsidRDefault="00051507" w:rsidP="00DF5625"/>
        </w:tc>
        <w:tc>
          <w:tcPr>
            <w:tcW w:w="1440" w:type="dxa"/>
            <w:tcBorders>
              <w:top w:val="nil"/>
              <w:left w:val="nil"/>
              <w:bottom w:val="nil"/>
              <w:right w:val="nil"/>
            </w:tcBorders>
            <w:shd w:val="clear" w:color="auto" w:fill="auto"/>
            <w:noWrap/>
            <w:vAlign w:val="bottom"/>
            <w:hideMark/>
          </w:tcPr>
          <w:p w14:paraId="2B380C39" w14:textId="77777777" w:rsidR="00051507" w:rsidRPr="000125B2" w:rsidRDefault="00051507" w:rsidP="00DF5625"/>
        </w:tc>
        <w:tc>
          <w:tcPr>
            <w:tcW w:w="185" w:type="dxa"/>
            <w:tcBorders>
              <w:top w:val="nil"/>
              <w:left w:val="nil"/>
              <w:bottom w:val="nil"/>
              <w:right w:val="nil"/>
            </w:tcBorders>
            <w:shd w:val="clear" w:color="auto" w:fill="auto"/>
            <w:noWrap/>
            <w:vAlign w:val="bottom"/>
            <w:hideMark/>
          </w:tcPr>
          <w:p w14:paraId="2039AEF1" w14:textId="77777777" w:rsidR="00051507" w:rsidRPr="000125B2" w:rsidRDefault="00051507" w:rsidP="00DF5625"/>
        </w:tc>
        <w:tc>
          <w:tcPr>
            <w:tcW w:w="1340" w:type="dxa"/>
            <w:tcBorders>
              <w:top w:val="nil"/>
              <w:left w:val="nil"/>
              <w:bottom w:val="nil"/>
              <w:right w:val="nil"/>
            </w:tcBorders>
            <w:shd w:val="clear" w:color="auto" w:fill="auto"/>
            <w:noWrap/>
            <w:vAlign w:val="bottom"/>
            <w:hideMark/>
          </w:tcPr>
          <w:p w14:paraId="5FF921ED" w14:textId="77777777" w:rsidR="00051507" w:rsidRPr="000125B2" w:rsidRDefault="00051507" w:rsidP="00DF5625"/>
        </w:tc>
        <w:tc>
          <w:tcPr>
            <w:tcW w:w="185" w:type="dxa"/>
            <w:tcBorders>
              <w:top w:val="nil"/>
              <w:left w:val="nil"/>
              <w:bottom w:val="nil"/>
              <w:right w:val="nil"/>
            </w:tcBorders>
            <w:shd w:val="clear" w:color="auto" w:fill="auto"/>
            <w:noWrap/>
            <w:vAlign w:val="bottom"/>
            <w:hideMark/>
          </w:tcPr>
          <w:p w14:paraId="73975AC9" w14:textId="77777777" w:rsidR="00051507" w:rsidRPr="000125B2" w:rsidRDefault="00051507" w:rsidP="00DF5625"/>
        </w:tc>
        <w:tc>
          <w:tcPr>
            <w:tcW w:w="1380" w:type="dxa"/>
            <w:tcBorders>
              <w:top w:val="nil"/>
              <w:left w:val="nil"/>
              <w:bottom w:val="nil"/>
              <w:right w:val="nil"/>
            </w:tcBorders>
            <w:shd w:val="clear" w:color="auto" w:fill="auto"/>
            <w:noWrap/>
            <w:vAlign w:val="bottom"/>
            <w:hideMark/>
          </w:tcPr>
          <w:p w14:paraId="1082BB1F" w14:textId="77777777" w:rsidR="00051507" w:rsidRPr="000125B2" w:rsidRDefault="00051507" w:rsidP="00DF5625"/>
        </w:tc>
        <w:tc>
          <w:tcPr>
            <w:tcW w:w="185" w:type="dxa"/>
            <w:tcBorders>
              <w:top w:val="nil"/>
              <w:left w:val="nil"/>
              <w:bottom w:val="nil"/>
              <w:right w:val="nil"/>
            </w:tcBorders>
            <w:shd w:val="clear" w:color="auto" w:fill="auto"/>
            <w:noWrap/>
            <w:vAlign w:val="bottom"/>
            <w:hideMark/>
          </w:tcPr>
          <w:p w14:paraId="02514F89" w14:textId="77777777" w:rsidR="00051507" w:rsidRPr="000125B2" w:rsidRDefault="00051507" w:rsidP="00DF5625"/>
        </w:tc>
        <w:tc>
          <w:tcPr>
            <w:tcW w:w="1340" w:type="dxa"/>
            <w:tcBorders>
              <w:top w:val="nil"/>
              <w:left w:val="nil"/>
              <w:bottom w:val="nil"/>
              <w:right w:val="nil"/>
            </w:tcBorders>
            <w:shd w:val="clear" w:color="auto" w:fill="auto"/>
            <w:noWrap/>
            <w:vAlign w:val="bottom"/>
            <w:hideMark/>
          </w:tcPr>
          <w:p w14:paraId="0464E1E3" w14:textId="77777777" w:rsidR="00051507" w:rsidRPr="000125B2" w:rsidRDefault="00051507" w:rsidP="00DF5625"/>
        </w:tc>
      </w:tr>
      <w:tr w:rsidR="00051507" w:rsidRPr="000125B2" w14:paraId="7DC6BE90" w14:textId="77777777" w:rsidTr="00DF5625">
        <w:trPr>
          <w:trHeight w:val="290"/>
          <w:jc w:val="center"/>
        </w:trPr>
        <w:tc>
          <w:tcPr>
            <w:tcW w:w="3083" w:type="dxa"/>
            <w:tcBorders>
              <w:top w:val="nil"/>
              <w:left w:val="nil"/>
              <w:bottom w:val="nil"/>
              <w:right w:val="nil"/>
            </w:tcBorders>
            <w:shd w:val="clear" w:color="auto" w:fill="auto"/>
            <w:noWrap/>
            <w:vAlign w:val="center"/>
            <w:hideMark/>
          </w:tcPr>
          <w:p w14:paraId="3596F660" w14:textId="77777777" w:rsidR="00051507" w:rsidRPr="000125B2" w:rsidRDefault="00051507" w:rsidP="00DF5625">
            <w:pPr>
              <w:rPr>
                <w:sz w:val="16"/>
                <w:szCs w:val="16"/>
              </w:rPr>
            </w:pPr>
            <w:r w:rsidRPr="000125B2">
              <w:rPr>
                <w:sz w:val="16"/>
                <w:szCs w:val="16"/>
              </w:rPr>
              <w:lastRenderedPageBreak/>
              <w:t>(*) Cifras no cubierta por el informe de auditor.</w:t>
            </w:r>
          </w:p>
        </w:tc>
        <w:tc>
          <w:tcPr>
            <w:tcW w:w="1440" w:type="dxa"/>
            <w:tcBorders>
              <w:top w:val="nil"/>
              <w:left w:val="nil"/>
              <w:bottom w:val="nil"/>
              <w:right w:val="nil"/>
            </w:tcBorders>
            <w:shd w:val="clear" w:color="auto" w:fill="auto"/>
            <w:noWrap/>
            <w:vAlign w:val="bottom"/>
            <w:hideMark/>
          </w:tcPr>
          <w:p w14:paraId="7B7685B1" w14:textId="77777777" w:rsidR="00051507" w:rsidRPr="000125B2" w:rsidRDefault="00051507" w:rsidP="00DF5625">
            <w:pPr>
              <w:rPr>
                <w:sz w:val="16"/>
                <w:szCs w:val="16"/>
              </w:rPr>
            </w:pPr>
          </w:p>
        </w:tc>
        <w:tc>
          <w:tcPr>
            <w:tcW w:w="185" w:type="dxa"/>
            <w:tcBorders>
              <w:top w:val="nil"/>
              <w:left w:val="nil"/>
              <w:bottom w:val="nil"/>
              <w:right w:val="nil"/>
            </w:tcBorders>
            <w:shd w:val="clear" w:color="auto" w:fill="auto"/>
            <w:noWrap/>
            <w:vAlign w:val="bottom"/>
            <w:hideMark/>
          </w:tcPr>
          <w:p w14:paraId="0CF3E478" w14:textId="77777777" w:rsidR="00051507" w:rsidRPr="000125B2" w:rsidRDefault="00051507" w:rsidP="00DF5625"/>
        </w:tc>
        <w:tc>
          <w:tcPr>
            <w:tcW w:w="1340" w:type="dxa"/>
            <w:tcBorders>
              <w:top w:val="nil"/>
              <w:left w:val="nil"/>
              <w:bottom w:val="nil"/>
              <w:right w:val="nil"/>
            </w:tcBorders>
            <w:shd w:val="clear" w:color="auto" w:fill="auto"/>
            <w:noWrap/>
            <w:vAlign w:val="bottom"/>
            <w:hideMark/>
          </w:tcPr>
          <w:p w14:paraId="03908B2A" w14:textId="77777777" w:rsidR="00051507" w:rsidRPr="000125B2" w:rsidRDefault="00051507" w:rsidP="00DF5625"/>
        </w:tc>
        <w:tc>
          <w:tcPr>
            <w:tcW w:w="185" w:type="dxa"/>
            <w:tcBorders>
              <w:top w:val="nil"/>
              <w:left w:val="nil"/>
              <w:bottom w:val="nil"/>
              <w:right w:val="nil"/>
            </w:tcBorders>
            <w:shd w:val="clear" w:color="auto" w:fill="auto"/>
            <w:noWrap/>
            <w:vAlign w:val="bottom"/>
            <w:hideMark/>
          </w:tcPr>
          <w:p w14:paraId="5B378D3E" w14:textId="77777777" w:rsidR="00051507" w:rsidRPr="000125B2" w:rsidRDefault="00051507" w:rsidP="00DF5625"/>
        </w:tc>
        <w:tc>
          <w:tcPr>
            <w:tcW w:w="1380" w:type="dxa"/>
            <w:tcBorders>
              <w:top w:val="nil"/>
              <w:left w:val="nil"/>
              <w:bottom w:val="nil"/>
              <w:right w:val="nil"/>
            </w:tcBorders>
            <w:shd w:val="clear" w:color="auto" w:fill="auto"/>
            <w:noWrap/>
            <w:vAlign w:val="bottom"/>
            <w:hideMark/>
          </w:tcPr>
          <w:p w14:paraId="7D326C32" w14:textId="77777777" w:rsidR="00051507" w:rsidRPr="000125B2" w:rsidRDefault="00051507" w:rsidP="00DF5625"/>
        </w:tc>
        <w:tc>
          <w:tcPr>
            <w:tcW w:w="185" w:type="dxa"/>
            <w:tcBorders>
              <w:top w:val="nil"/>
              <w:left w:val="nil"/>
              <w:bottom w:val="nil"/>
              <w:right w:val="nil"/>
            </w:tcBorders>
            <w:shd w:val="clear" w:color="auto" w:fill="auto"/>
            <w:noWrap/>
            <w:vAlign w:val="bottom"/>
            <w:hideMark/>
          </w:tcPr>
          <w:p w14:paraId="126DB0DB" w14:textId="77777777" w:rsidR="00051507" w:rsidRPr="000125B2" w:rsidRDefault="00051507" w:rsidP="00DF5625"/>
        </w:tc>
        <w:tc>
          <w:tcPr>
            <w:tcW w:w="1340" w:type="dxa"/>
            <w:tcBorders>
              <w:top w:val="nil"/>
              <w:left w:val="nil"/>
              <w:bottom w:val="nil"/>
              <w:right w:val="nil"/>
            </w:tcBorders>
            <w:shd w:val="clear" w:color="auto" w:fill="auto"/>
            <w:noWrap/>
            <w:vAlign w:val="bottom"/>
            <w:hideMark/>
          </w:tcPr>
          <w:p w14:paraId="15266A3F" w14:textId="77777777" w:rsidR="00051507" w:rsidRPr="000125B2" w:rsidRDefault="00051507" w:rsidP="00DF5625"/>
        </w:tc>
      </w:tr>
    </w:tbl>
    <w:p w14:paraId="4C8985AF" w14:textId="77777777" w:rsidR="00051507" w:rsidRPr="006E275E" w:rsidRDefault="00051507" w:rsidP="00051507">
      <w:pPr>
        <w:spacing w:after="240" w:line="240" w:lineRule="atLeast"/>
        <w:ind w:right="26"/>
        <w:rPr>
          <w:spacing w:val="1"/>
        </w:rPr>
      </w:pPr>
    </w:p>
    <w:p w14:paraId="52DA6FA7" w14:textId="77777777" w:rsidR="00051507" w:rsidRPr="006E275E" w:rsidRDefault="00051507" w:rsidP="00051507">
      <w:pPr>
        <w:pStyle w:val="Ttulo2"/>
        <w:numPr>
          <w:ilvl w:val="0"/>
          <w:numId w:val="37"/>
        </w:numPr>
        <w:autoSpaceDE w:val="0"/>
        <w:autoSpaceDN w:val="0"/>
        <w:spacing w:after="100" w:afterAutospacing="1" w:line="240" w:lineRule="exact"/>
        <w:ind w:left="426" w:firstLine="0"/>
        <w:jc w:val="both"/>
        <w:rPr>
          <w:bCs w:val="0"/>
          <w:color w:val="8496B0" w:themeColor="text2" w:themeTint="99"/>
          <w:sz w:val="20"/>
        </w:rPr>
      </w:pPr>
      <w:bookmarkStart w:id="15" w:name="_Toc63686710"/>
      <w:r w:rsidRPr="006E275E">
        <w:rPr>
          <w:color w:val="8496B0" w:themeColor="text2" w:themeTint="99"/>
          <w:sz w:val="20"/>
        </w:rPr>
        <w:t>ESTRUCTURA SOCIETARIA</w:t>
      </w:r>
      <w:bookmarkEnd w:id="15"/>
      <w:r w:rsidRPr="006E275E">
        <w:rPr>
          <w:color w:val="8496B0" w:themeColor="text2" w:themeTint="99"/>
          <w:sz w:val="20"/>
        </w:rPr>
        <w:t xml:space="preserve"> </w:t>
      </w:r>
      <w:bookmarkEnd w:id="13"/>
      <w:r w:rsidRPr="006E275E">
        <w:rPr>
          <w:b w:val="0"/>
          <w:color w:val="8496B0" w:themeColor="text2" w:themeTint="99"/>
          <w:sz w:val="20"/>
        </w:rPr>
        <w:fldChar w:fldCharType="begin"/>
      </w:r>
      <w:r w:rsidRPr="006E275E">
        <w:rPr>
          <w:color w:val="8496B0" w:themeColor="text2" w:themeTint="99"/>
          <w:sz w:val="20"/>
        </w:rPr>
        <w:instrText xml:space="preserve"> XE "ESTRUCTURA SOCIETARIA" </w:instrText>
      </w:r>
      <w:r w:rsidRPr="006E275E">
        <w:rPr>
          <w:b w:val="0"/>
          <w:color w:val="8496B0" w:themeColor="text2" w:themeTint="99"/>
          <w:sz w:val="20"/>
        </w:rPr>
        <w:fldChar w:fldCharType="end"/>
      </w:r>
    </w:p>
    <w:p w14:paraId="20FA34C8" w14:textId="77777777" w:rsidR="00051507" w:rsidRPr="00131411" w:rsidRDefault="00051507" w:rsidP="00051507">
      <w:pPr>
        <w:pStyle w:val="Prrafodelista"/>
        <w:spacing w:after="100" w:afterAutospacing="1" w:line="240" w:lineRule="exact"/>
        <w:ind w:left="0"/>
        <w:jc w:val="both"/>
        <w:rPr>
          <w:rFonts w:ascii="Times New Roman" w:hAnsi="Times New Roman"/>
        </w:rPr>
      </w:pPr>
      <w:bookmarkStart w:id="16" w:name="_Hlk63688904"/>
      <w:r w:rsidRPr="006E275E">
        <w:rPr>
          <w:rFonts w:ascii="Times New Roman" w:hAnsi="Times New Roman"/>
        </w:rPr>
        <w:t>El siguiente cuadro ilustra la estructura organizativa al 31 de diciembre 202</w:t>
      </w:r>
      <w:r>
        <w:rPr>
          <w:rFonts w:ascii="Times New Roman" w:hAnsi="Times New Roman"/>
        </w:rPr>
        <w:t>1.</w:t>
      </w:r>
    </w:p>
    <w:bookmarkEnd w:id="16"/>
    <w:p w14:paraId="39C7B1B3" w14:textId="77777777" w:rsidR="00051507" w:rsidRPr="00131411" w:rsidRDefault="00051507" w:rsidP="00051507">
      <w:pPr>
        <w:jc w:val="center"/>
      </w:pPr>
      <w:r>
        <w:rPr>
          <w:noProof/>
        </w:rPr>
        <w:drawing>
          <wp:inline distT="0" distB="0" distL="0" distR="0" wp14:anchorId="4C2A5404" wp14:editId="0EE5EF81">
            <wp:extent cx="4019550" cy="2860687"/>
            <wp:effectExtent l="0" t="0" r="0" b="0"/>
            <wp:docPr id="32" name="Imagen 3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Diagrama&#10;&#10;Descripción generada automáticamente"/>
                    <pic:cNvPicPr/>
                  </pic:nvPicPr>
                  <pic:blipFill>
                    <a:blip r:embed="rId36"/>
                    <a:stretch>
                      <a:fillRect/>
                    </a:stretch>
                  </pic:blipFill>
                  <pic:spPr>
                    <a:xfrm>
                      <a:off x="0" y="0"/>
                      <a:ext cx="4032022" cy="2869563"/>
                    </a:xfrm>
                    <a:prstGeom prst="rect">
                      <a:avLst/>
                    </a:prstGeom>
                  </pic:spPr>
                </pic:pic>
              </a:graphicData>
            </a:graphic>
          </wp:inline>
        </w:drawing>
      </w:r>
    </w:p>
    <w:p w14:paraId="3CF90016" w14:textId="77777777" w:rsidR="00051507" w:rsidRPr="00131411" w:rsidRDefault="00051507" w:rsidP="00051507">
      <w:pPr>
        <w:pStyle w:val="BlockTextSgl"/>
        <w:tabs>
          <w:tab w:val="left" w:pos="284"/>
        </w:tabs>
        <w:spacing w:after="0"/>
        <w:rPr>
          <w:rFonts w:ascii="Garamond" w:hAnsi="Garamond"/>
          <w:sz w:val="16"/>
          <w:szCs w:val="16"/>
          <w:lang w:val="es-AR"/>
        </w:rPr>
      </w:pPr>
    </w:p>
    <w:p w14:paraId="37852096" w14:textId="77777777" w:rsidR="00051507" w:rsidRPr="00131411" w:rsidRDefault="00051507" w:rsidP="00051507">
      <w:pPr>
        <w:pStyle w:val="BlockTextSgl"/>
        <w:tabs>
          <w:tab w:val="left" w:pos="284"/>
        </w:tabs>
        <w:spacing w:after="0"/>
        <w:rPr>
          <w:rFonts w:ascii="Garamond" w:hAnsi="Garamond"/>
          <w:sz w:val="16"/>
          <w:szCs w:val="16"/>
          <w:lang w:val="es-AR"/>
        </w:rPr>
      </w:pPr>
      <w:bookmarkStart w:id="17" w:name="_Hlk95383088"/>
      <w:r w:rsidRPr="00131411">
        <w:rPr>
          <w:rFonts w:ascii="Garamond" w:hAnsi="Garamond"/>
          <w:sz w:val="16"/>
          <w:szCs w:val="16"/>
          <w:lang w:val="es-AR"/>
        </w:rPr>
        <w:t xml:space="preserve">  </w:t>
      </w:r>
      <w:proofErr w:type="spellStart"/>
      <w:r w:rsidRPr="00131411">
        <w:rPr>
          <w:rFonts w:ascii="Garamond" w:hAnsi="Garamond"/>
          <w:sz w:val="16"/>
          <w:szCs w:val="16"/>
          <w:lang w:val="es-AR"/>
        </w:rPr>
        <w:t>Holen</w:t>
      </w:r>
      <w:proofErr w:type="spellEnd"/>
      <w:r w:rsidRPr="00131411">
        <w:rPr>
          <w:rFonts w:ascii="Garamond" w:hAnsi="Garamond"/>
          <w:sz w:val="16"/>
          <w:szCs w:val="16"/>
          <w:lang w:val="es-AR"/>
        </w:rPr>
        <w:t xml:space="preserve"> S.A., Armando Losón y Carlos Bauzas poseen el 5% restante de GROSA</w:t>
      </w:r>
      <w:r>
        <w:rPr>
          <w:rFonts w:ascii="Garamond" w:hAnsi="Garamond"/>
          <w:sz w:val="16"/>
          <w:szCs w:val="16"/>
          <w:lang w:val="es-AR"/>
        </w:rPr>
        <w:t xml:space="preserve"> y</w:t>
      </w:r>
      <w:r w:rsidRPr="00131411">
        <w:rPr>
          <w:rFonts w:ascii="Garamond" w:hAnsi="Garamond"/>
          <w:sz w:val="16"/>
          <w:szCs w:val="16"/>
          <w:lang w:val="es-AR"/>
        </w:rPr>
        <w:t xml:space="preserve"> GL</w:t>
      </w:r>
      <w:r>
        <w:rPr>
          <w:rFonts w:ascii="Garamond" w:hAnsi="Garamond"/>
          <w:sz w:val="16"/>
          <w:szCs w:val="16"/>
          <w:lang w:val="es-AR"/>
        </w:rPr>
        <w:t>SA</w:t>
      </w:r>
      <w:r w:rsidRPr="00131411">
        <w:rPr>
          <w:rFonts w:ascii="Garamond" w:hAnsi="Garamond"/>
          <w:sz w:val="16"/>
          <w:szCs w:val="16"/>
          <w:lang w:val="es-AR"/>
        </w:rPr>
        <w:t>.</w:t>
      </w:r>
    </w:p>
    <w:bookmarkEnd w:id="17"/>
    <w:p w14:paraId="093FF71B" w14:textId="77777777" w:rsidR="00051507" w:rsidRPr="00131411" w:rsidRDefault="00051507" w:rsidP="00051507">
      <w:pPr>
        <w:pStyle w:val="Prrafodelista"/>
        <w:ind w:left="0"/>
        <w:jc w:val="both"/>
        <w:rPr>
          <w:rFonts w:ascii="Times New Roman" w:hAnsi="Times New Roman"/>
          <w:b/>
          <w:lang w:val="es-ES"/>
        </w:rPr>
      </w:pPr>
    </w:p>
    <w:p w14:paraId="75F78DC3" w14:textId="77777777" w:rsidR="00051507" w:rsidRPr="00131411" w:rsidRDefault="00051507" w:rsidP="00051507">
      <w:pPr>
        <w:pStyle w:val="Prrafodelista"/>
        <w:ind w:left="0"/>
        <w:jc w:val="both"/>
        <w:rPr>
          <w:rFonts w:ascii="Times New Roman" w:hAnsi="Times New Roman"/>
          <w:b/>
          <w:lang w:val="es-ES"/>
        </w:rPr>
      </w:pPr>
      <w:r w:rsidRPr="00131411">
        <w:rPr>
          <w:rFonts w:ascii="Times New Roman" w:hAnsi="Times New Roman"/>
          <w:b/>
          <w:lang w:val="es-ES"/>
        </w:rPr>
        <w:t>Capital Social</w:t>
      </w:r>
    </w:p>
    <w:p w14:paraId="35067291" w14:textId="77777777" w:rsidR="00051507" w:rsidRPr="00131411" w:rsidRDefault="00051507" w:rsidP="00051507">
      <w:pPr>
        <w:pStyle w:val="Prrafodelista"/>
        <w:ind w:left="0"/>
        <w:jc w:val="both"/>
        <w:rPr>
          <w:rFonts w:ascii="Times New Roman" w:hAnsi="Times New Roman"/>
          <w:lang w:val="es-ES"/>
        </w:rPr>
      </w:pPr>
    </w:p>
    <w:p w14:paraId="536600E9" w14:textId="77777777" w:rsidR="00051507" w:rsidRPr="00131411" w:rsidRDefault="00051507" w:rsidP="00051507">
      <w:pPr>
        <w:pStyle w:val="Prrafodelista"/>
        <w:ind w:left="0"/>
        <w:jc w:val="both"/>
        <w:rPr>
          <w:rFonts w:ascii="Times New Roman" w:hAnsi="Times New Roman"/>
          <w:lang w:val="es-ES"/>
        </w:rPr>
      </w:pPr>
      <w:r w:rsidRPr="00131411">
        <w:rPr>
          <w:rFonts w:ascii="Times New Roman" w:hAnsi="Times New Roman"/>
          <w:lang w:val="es-ES"/>
        </w:rPr>
        <w:t>Al 31 de diciembre de 20</w:t>
      </w:r>
      <w:r>
        <w:rPr>
          <w:rFonts w:ascii="Times New Roman" w:hAnsi="Times New Roman"/>
          <w:lang w:val="es-ES"/>
        </w:rPr>
        <w:t>21</w:t>
      </w:r>
      <w:r w:rsidRPr="00131411">
        <w:rPr>
          <w:rFonts w:ascii="Times New Roman" w:hAnsi="Times New Roman"/>
          <w:lang w:val="es-ES"/>
        </w:rPr>
        <w:t xml:space="preserve"> el capital social de la Sociedad estaba compuesto por 73.070.470 acciones ordinarias nominativas, no endosables de V/N $ 1 cada una, con derecho a 1 voto por acción; no habiéndose registrado variaciones en el monto del capital social ni en las tenencias accionarias durante el año 20</w:t>
      </w:r>
      <w:r>
        <w:rPr>
          <w:rFonts w:ascii="Times New Roman" w:hAnsi="Times New Roman"/>
          <w:lang w:val="es-ES"/>
        </w:rPr>
        <w:t>21</w:t>
      </w:r>
      <w:r w:rsidRPr="00131411">
        <w:rPr>
          <w:rFonts w:ascii="Times New Roman" w:hAnsi="Times New Roman"/>
          <w:lang w:val="es-ES"/>
        </w:rPr>
        <w:t>.</w:t>
      </w:r>
    </w:p>
    <w:p w14:paraId="0B3DDB7D" w14:textId="77777777" w:rsidR="00051507" w:rsidRPr="00131411" w:rsidRDefault="00051507" w:rsidP="00051507">
      <w:pPr>
        <w:pStyle w:val="Prrafodelista"/>
        <w:ind w:left="0"/>
        <w:jc w:val="both"/>
        <w:rPr>
          <w:rFonts w:ascii="Times New Roman" w:hAnsi="Times New Roman"/>
          <w:lang w:val="es-ES"/>
        </w:rPr>
      </w:pPr>
    </w:p>
    <w:p w14:paraId="5F1A1304" w14:textId="77777777" w:rsidR="00051507" w:rsidRPr="00131411" w:rsidRDefault="00051507" w:rsidP="00051507">
      <w:pPr>
        <w:pStyle w:val="Prrafodelista"/>
        <w:ind w:left="0"/>
        <w:jc w:val="both"/>
        <w:rPr>
          <w:rFonts w:ascii="Times New Roman" w:hAnsi="Times New Roman"/>
          <w:lang w:val="es-ES"/>
        </w:rPr>
      </w:pPr>
      <w:r w:rsidRPr="00131411">
        <w:rPr>
          <w:rFonts w:ascii="Times New Roman" w:hAnsi="Times New Roman"/>
          <w:lang w:val="es-ES"/>
        </w:rPr>
        <w:t>La estructura societaria durante el ejercicio finalizado el 31 de diciembre de 20</w:t>
      </w:r>
      <w:r>
        <w:rPr>
          <w:rFonts w:ascii="Times New Roman" w:hAnsi="Times New Roman"/>
          <w:lang w:val="es-ES"/>
        </w:rPr>
        <w:t>21</w:t>
      </w:r>
      <w:r w:rsidRPr="00131411">
        <w:rPr>
          <w:rFonts w:ascii="Times New Roman" w:hAnsi="Times New Roman"/>
          <w:lang w:val="es-ES"/>
        </w:rPr>
        <w:t>, se encontraba comprendida de la siguiente forma:</w:t>
      </w:r>
    </w:p>
    <w:p w14:paraId="06585AAC" w14:textId="77777777" w:rsidR="00051507" w:rsidRPr="00131411" w:rsidRDefault="00051507" w:rsidP="00051507">
      <w:pPr>
        <w:pStyle w:val="Prrafodelista"/>
        <w:ind w:left="0"/>
        <w:jc w:val="both"/>
        <w:rPr>
          <w:rFonts w:ascii="Times New Roman" w:hAnsi="Times New Roman"/>
          <w:lang w:val="es-ES"/>
        </w:rPr>
      </w:pPr>
    </w:p>
    <w:p w14:paraId="069B2046" w14:textId="77777777" w:rsidR="00051507" w:rsidRPr="00131411" w:rsidRDefault="00051507" w:rsidP="00051507">
      <w:pPr>
        <w:pStyle w:val="Prrafodelista"/>
        <w:ind w:left="0"/>
        <w:jc w:val="both"/>
        <w:rPr>
          <w:rFonts w:ascii="Times New Roman" w:hAnsi="Times New Roman"/>
          <w:lang w:val="es-ES"/>
        </w:rPr>
      </w:pPr>
      <w:r>
        <w:rPr>
          <w:rFonts w:ascii="Times New Roman" w:hAnsi="Times New Roman"/>
          <w:lang w:val="es-ES"/>
        </w:rPr>
        <w:t>GMSA</w:t>
      </w:r>
      <w:r w:rsidRPr="00131411">
        <w:rPr>
          <w:rFonts w:ascii="Times New Roman" w:hAnsi="Times New Roman"/>
          <w:lang w:val="es-ES"/>
        </w:rPr>
        <w:t xml:space="preserve"> (controlante)</w:t>
      </w:r>
      <w:r w:rsidRPr="00131411">
        <w:rPr>
          <w:rFonts w:ascii="Times New Roman" w:hAnsi="Times New Roman"/>
          <w:lang w:val="es-ES"/>
        </w:rPr>
        <w:tab/>
      </w:r>
      <w:r w:rsidRPr="00131411">
        <w:rPr>
          <w:rFonts w:ascii="Times New Roman" w:hAnsi="Times New Roman"/>
          <w:lang w:val="es-ES"/>
        </w:rPr>
        <w:tab/>
        <w:t xml:space="preserve">                            75 % </w:t>
      </w:r>
    </w:p>
    <w:p w14:paraId="0831E238" w14:textId="77777777" w:rsidR="00051507" w:rsidRPr="00131411" w:rsidRDefault="00051507" w:rsidP="00051507">
      <w:pPr>
        <w:pStyle w:val="Prrafodelista"/>
        <w:ind w:left="0"/>
        <w:jc w:val="both"/>
        <w:rPr>
          <w:rFonts w:ascii="Times New Roman" w:hAnsi="Times New Roman"/>
          <w:lang w:val="es-ES"/>
        </w:rPr>
      </w:pPr>
      <w:r w:rsidRPr="00131411">
        <w:rPr>
          <w:rFonts w:ascii="Times New Roman" w:hAnsi="Times New Roman"/>
          <w:lang w:val="es-ES"/>
        </w:rPr>
        <w:t>TEFU S.A.</w:t>
      </w:r>
      <w:r w:rsidRPr="00131411">
        <w:rPr>
          <w:rFonts w:ascii="Times New Roman" w:hAnsi="Times New Roman"/>
          <w:lang w:val="es-ES"/>
        </w:rPr>
        <w:tab/>
      </w:r>
      <w:r w:rsidRPr="00131411">
        <w:rPr>
          <w:rFonts w:ascii="Times New Roman" w:hAnsi="Times New Roman"/>
          <w:lang w:val="es-ES"/>
        </w:rPr>
        <w:tab/>
      </w:r>
      <w:r w:rsidRPr="00131411">
        <w:rPr>
          <w:rFonts w:ascii="Times New Roman" w:hAnsi="Times New Roman"/>
          <w:lang w:val="es-ES"/>
        </w:rPr>
        <w:tab/>
      </w:r>
      <w:r w:rsidRPr="00131411">
        <w:rPr>
          <w:rFonts w:ascii="Times New Roman" w:hAnsi="Times New Roman"/>
          <w:lang w:val="es-ES"/>
        </w:rPr>
        <w:tab/>
      </w:r>
      <w:r w:rsidRPr="00131411">
        <w:rPr>
          <w:rFonts w:ascii="Times New Roman" w:hAnsi="Times New Roman"/>
          <w:lang w:val="es-ES"/>
        </w:rPr>
        <w:tab/>
        <w:t xml:space="preserve">25 % </w:t>
      </w:r>
    </w:p>
    <w:p w14:paraId="7CC02813" w14:textId="77777777" w:rsidR="00051507" w:rsidRPr="00131411" w:rsidRDefault="00051507" w:rsidP="00051507">
      <w:pPr>
        <w:pStyle w:val="Prrafodelista"/>
        <w:ind w:left="0"/>
        <w:jc w:val="both"/>
        <w:rPr>
          <w:rFonts w:ascii="Times New Roman" w:hAnsi="Times New Roman"/>
          <w:lang w:val="es-ES"/>
        </w:rPr>
      </w:pPr>
    </w:p>
    <w:p w14:paraId="72CE67C5" w14:textId="77777777" w:rsidR="00051507" w:rsidRPr="00131411" w:rsidRDefault="00051507" w:rsidP="00051507">
      <w:pPr>
        <w:pStyle w:val="Prrafodelista"/>
        <w:ind w:left="0"/>
        <w:jc w:val="both"/>
        <w:rPr>
          <w:rFonts w:ascii="Times New Roman" w:hAnsi="Times New Roman"/>
          <w:b/>
          <w:lang w:val="es-ES"/>
        </w:rPr>
      </w:pPr>
      <w:bookmarkStart w:id="18" w:name="_Hlk63689082"/>
      <w:r w:rsidRPr="00131411">
        <w:rPr>
          <w:rFonts w:ascii="Times New Roman" w:hAnsi="Times New Roman"/>
          <w:b/>
          <w:lang w:val="es-ES"/>
        </w:rPr>
        <w:t>Organización de la toma de decisiones</w:t>
      </w:r>
    </w:p>
    <w:p w14:paraId="736FEEF8" w14:textId="77777777" w:rsidR="00051507" w:rsidRPr="00131411" w:rsidRDefault="00051507" w:rsidP="00051507">
      <w:pPr>
        <w:pStyle w:val="Prrafodelista"/>
        <w:ind w:left="0"/>
        <w:jc w:val="both"/>
        <w:rPr>
          <w:rFonts w:ascii="Times New Roman" w:hAnsi="Times New Roman"/>
          <w:lang w:val="es-ES"/>
        </w:rPr>
      </w:pPr>
    </w:p>
    <w:p w14:paraId="282F8A6B" w14:textId="77777777" w:rsidR="00051507" w:rsidRPr="00131411" w:rsidRDefault="00051507" w:rsidP="00051507">
      <w:pPr>
        <w:pStyle w:val="Prrafodelista"/>
        <w:ind w:left="0"/>
        <w:jc w:val="both"/>
        <w:rPr>
          <w:rFonts w:ascii="Times New Roman" w:hAnsi="Times New Roman"/>
          <w:lang w:val="es-ES"/>
        </w:rPr>
      </w:pPr>
      <w:r w:rsidRPr="00131411">
        <w:rPr>
          <w:rFonts w:ascii="Times New Roman" w:hAnsi="Times New Roman"/>
          <w:lang w:val="es-ES"/>
        </w:rPr>
        <w:t>Conforme se expresa en los diferentes apartados del Anexo IV del Título IV de las Normas de la CNV, que acompaña a esta Memoria, referido al grado de cumplimiento del Código de Gobierno Societario, las políticas y estrategias de la Sociedad son definidas por el Directorio para ser ejecutadas por cada uno de los sectores bajo la supervisión de las Gerencias correspondientes y del mismo Directorio inclusive.</w:t>
      </w:r>
    </w:p>
    <w:p w14:paraId="42DDFB1F" w14:textId="77777777" w:rsidR="00051507" w:rsidRPr="00131411" w:rsidRDefault="00051507" w:rsidP="00051507">
      <w:pPr>
        <w:pStyle w:val="Prrafodelista"/>
        <w:ind w:left="0"/>
        <w:jc w:val="both"/>
        <w:rPr>
          <w:rFonts w:ascii="Times New Roman" w:hAnsi="Times New Roman"/>
          <w:lang w:val="es-ES"/>
        </w:rPr>
      </w:pPr>
    </w:p>
    <w:p w14:paraId="58F79C57" w14:textId="77777777" w:rsidR="00051507" w:rsidRPr="00131411" w:rsidRDefault="00051507" w:rsidP="00051507">
      <w:pPr>
        <w:pStyle w:val="Prrafodelista"/>
        <w:ind w:left="0"/>
        <w:jc w:val="both"/>
        <w:rPr>
          <w:rFonts w:ascii="Times New Roman" w:hAnsi="Times New Roman"/>
          <w:lang w:val="es-ES"/>
        </w:rPr>
      </w:pPr>
      <w:r w:rsidRPr="00131411">
        <w:rPr>
          <w:rFonts w:ascii="Times New Roman" w:hAnsi="Times New Roman"/>
          <w:lang w:val="es-ES"/>
        </w:rPr>
        <w:t xml:space="preserve">Aquellas decisiones cuya magnitud y/o monto implicado resulten de importancia y/o relevantes, relacionadas a la administración de las actividades de la Sociedad, son resueltas en forma directa por el Directorio reunido especialmente a tal fin. </w:t>
      </w:r>
      <w:bookmarkStart w:id="19" w:name="_Hlk536701917"/>
      <w:r w:rsidRPr="00131411">
        <w:rPr>
          <w:rFonts w:ascii="Times New Roman" w:hAnsi="Times New Roman"/>
          <w:lang w:val="es-ES" w:eastAsia="es-ES"/>
        </w:rPr>
        <w:t>En todos los casos acaecidos durante el año 20</w:t>
      </w:r>
      <w:r>
        <w:rPr>
          <w:rFonts w:ascii="Times New Roman" w:hAnsi="Times New Roman"/>
          <w:lang w:val="es-ES" w:eastAsia="es-ES"/>
        </w:rPr>
        <w:t>21</w:t>
      </w:r>
      <w:r w:rsidRPr="00131411">
        <w:rPr>
          <w:rFonts w:ascii="Times New Roman" w:hAnsi="Times New Roman"/>
          <w:lang w:val="es-ES" w:eastAsia="es-ES"/>
        </w:rPr>
        <w:t>, las decisiones en la Asamblea de Accionistas han sido adoptadas por unanimidad, mientras que las relativas al Directorio han sido tomadas cumpliendo con las mayorías establecidas en el estatuto social.</w:t>
      </w:r>
      <w:bookmarkEnd w:id="19"/>
    </w:p>
    <w:p w14:paraId="2E35ABC5" w14:textId="77777777" w:rsidR="00051507" w:rsidRDefault="00051507" w:rsidP="00051507">
      <w:pPr>
        <w:pStyle w:val="Prrafodelista"/>
        <w:ind w:left="0"/>
        <w:jc w:val="both"/>
        <w:rPr>
          <w:rFonts w:ascii="Times New Roman" w:hAnsi="Times New Roman"/>
          <w:b/>
          <w:lang w:val="es-ES"/>
        </w:rPr>
      </w:pPr>
    </w:p>
    <w:p w14:paraId="5C0B6933" w14:textId="77777777" w:rsidR="00051507" w:rsidRPr="00131411" w:rsidRDefault="00051507" w:rsidP="00051507">
      <w:pPr>
        <w:pStyle w:val="Prrafodelista"/>
        <w:ind w:left="0"/>
        <w:jc w:val="both"/>
        <w:rPr>
          <w:rFonts w:ascii="Times New Roman" w:hAnsi="Times New Roman"/>
          <w:b/>
          <w:lang w:val="es-ES"/>
        </w:rPr>
      </w:pPr>
      <w:r w:rsidRPr="00131411">
        <w:rPr>
          <w:rFonts w:ascii="Times New Roman" w:hAnsi="Times New Roman"/>
          <w:b/>
          <w:lang w:val="es-ES"/>
        </w:rPr>
        <w:lastRenderedPageBreak/>
        <w:t xml:space="preserve">Remuneraciones del Directorio </w:t>
      </w:r>
    </w:p>
    <w:p w14:paraId="3CCFB20E" w14:textId="77777777" w:rsidR="00051507" w:rsidRDefault="00051507" w:rsidP="00051507">
      <w:pPr>
        <w:pStyle w:val="Prrafodelista"/>
        <w:ind w:left="0"/>
        <w:jc w:val="both"/>
        <w:rPr>
          <w:rFonts w:ascii="Times New Roman" w:hAnsi="Times New Roman"/>
          <w:lang w:val="es-ES"/>
        </w:rPr>
      </w:pPr>
      <w:r w:rsidRPr="00131411">
        <w:rPr>
          <w:rFonts w:ascii="Times New Roman" w:hAnsi="Times New Roman"/>
          <w:lang w:val="es-ES"/>
        </w:rPr>
        <w:t xml:space="preserve">Las resoluciones de la Sociedad vinculadas a la determinación de los honorarios a regular para el </w:t>
      </w:r>
      <w:proofErr w:type="gramStart"/>
      <w:r w:rsidRPr="00131411">
        <w:rPr>
          <w:rFonts w:ascii="Times New Roman" w:hAnsi="Times New Roman"/>
          <w:lang w:val="es-ES"/>
        </w:rPr>
        <w:t>Directorio,</w:t>
      </w:r>
      <w:proofErr w:type="gramEnd"/>
      <w:r w:rsidRPr="00131411">
        <w:rPr>
          <w:rFonts w:ascii="Times New Roman" w:hAnsi="Times New Roman"/>
          <w:lang w:val="es-ES"/>
        </w:rPr>
        <w:t xml:space="preserve"> se ajustan a los límites y lineamientos previstos por el artículo 261 de la Ley </w:t>
      </w:r>
      <w:proofErr w:type="spellStart"/>
      <w:r w:rsidRPr="00131411">
        <w:rPr>
          <w:rFonts w:ascii="Times New Roman" w:hAnsi="Times New Roman"/>
          <w:lang w:val="es-ES"/>
        </w:rPr>
        <w:t>N°</w:t>
      </w:r>
      <w:proofErr w:type="spellEnd"/>
      <w:r w:rsidRPr="00131411">
        <w:rPr>
          <w:rFonts w:ascii="Times New Roman" w:hAnsi="Times New Roman"/>
          <w:lang w:val="es-ES"/>
        </w:rPr>
        <w:t xml:space="preserve"> 19.550 y los artículos 1° a 7° del Capítulo III del Título II de las Normas de la CNV.</w:t>
      </w:r>
      <w:bookmarkEnd w:id="18"/>
    </w:p>
    <w:p w14:paraId="06EE857A" w14:textId="77777777" w:rsidR="00051507" w:rsidRPr="00131411" w:rsidRDefault="00051507" w:rsidP="00051507">
      <w:pPr>
        <w:pStyle w:val="Prrafodelista"/>
        <w:ind w:left="0"/>
        <w:jc w:val="both"/>
        <w:rPr>
          <w:rFonts w:ascii="Times New Roman" w:hAnsi="Times New Roman"/>
          <w:lang w:val="es-ES"/>
        </w:rPr>
      </w:pPr>
    </w:p>
    <w:p w14:paraId="07834A41" w14:textId="77777777" w:rsidR="00051507" w:rsidRPr="00131411" w:rsidRDefault="00051507" w:rsidP="00051507">
      <w:pPr>
        <w:pStyle w:val="Ttulo2"/>
        <w:numPr>
          <w:ilvl w:val="0"/>
          <w:numId w:val="37"/>
        </w:numPr>
        <w:autoSpaceDE w:val="0"/>
        <w:autoSpaceDN w:val="0"/>
        <w:ind w:left="426" w:firstLine="0"/>
        <w:jc w:val="both"/>
        <w:rPr>
          <w:color w:val="8496B0" w:themeColor="text2" w:themeTint="99"/>
          <w:sz w:val="20"/>
        </w:rPr>
      </w:pPr>
      <w:bookmarkStart w:id="20" w:name="_Toc63686711"/>
      <w:r w:rsidRPr="00131411">
        <w:rPr>
          <w:color w:val="8496B0" w:themeColor="text2" w:themeTint="99"/>
          <w:sz w:val="20"/>
        </w:rPr>
        <w:t>PERSPECTIVAS PARA EL EJERCICIO</w:t>
      </w:r>
      <w:r>
        <w:rPr>
          <w:color w:val="8496B0" w:themeColor="text2" w:themeTint="99"/>
          <w:sz w:val="20"/>
        </w:rPr>
        <w:t xml:space="preserve"> </w:t>
      </w:r>
      <w:r w:rsidRPr="00131411">
        <w:rPr>
          <w:color w:val="8496B0" w:themeColor="text2" w:themeTint="99"/>
          <w:sz w:val="20"/>
        </w:rPr>
        <w:t>202</w:t>
      </w:r>
      <w:bookmarkEnd w:id="20"/>
      <w:r>
        <w:rPr>
          <w:color w:val="8496B0" w:themeColor="text2" w:themeTint="99"/>
          <w:sz w:val="20"/>
        </w:rPr>
        <w:t>2</w:t>
      </w:r>
    </w:p>
    <w:p w14:paraId="52C4442D" w14:textId="77777777" w:rsidR="00051507" w:rsidRDefault="00051507" w:rsidP="00051507">
      <w:pPr>
        <w:pStyle w:val="Sangradetextonormal"/>
        <w:ind w:left="0"/>
        <w:rPr>
          <w:lang w:val="es-ES"/>
        </w:rPr>
      </w:pPr>
      <w:bookmarkStart w:id="21" w:name="_Hlk63691092"/>
    </w:p>
    <w:p w14:paraId="4E7864C3" w14:textId="77777777" w:rsidR="00051507" w:rsidRDefault="00051507" w:rsidP="00051507">
      <w:pPr>
        <w:autoSpaceDE w:val="0"/>
        <w:autoSpaceDN w:val="0"/>
        <w:jc w:val="both"/>
        <w:rPr>
          <w:b/>
          <w:u w:val="single"/>
        </w:rPr>
      </w:pPr>
      <w:bookmarkStart w:id="22" w:name="_Hlk63689144"/>
      <w:r w:rsidRPr="00B732B5">
        <w:rPr>
          <w:b/>
        </w:rPr>
        <w:t>5.1</w:t>
      </w:r>
      <w:r w:rsidRPr="00B732B5">
        <w:rPr>
          <w:b/>
          <w:u w:val="single"/>
        </w:rPr>
        <w:t xml:space="preserve"> Perspectivas para el Mercado de Generadores Eléctricos en general</w:t>
      </w:r>
    </w:p>
    <w:p w14:paraId="7BBE74B0" w14:textId="77777777" w:rsidR="00051507" w:rsidRPr="00CF2B5F" w:rsidRDefault="00051507" w:rsidP="00051507">
      <w:pPr>
        <w:autoSpaceDE w:val="0"/>
        <w:autoSpaceDN w:val="0"/>
        <w:jc w:val="both"/>
        <w:rPr>
          <w:b/>
          <w:u w:val="single"/>
        </w:rPr>
      </w:pPr>
    </w:p>
    <w:bookmarkEnd w:id="21"/>
    <w:bookmarkEnd w:id="22"/>
    <w:p w14:paraId="548F7AB3" w14:textId="77777777" w:rsidR="00051507" w:rsidRPr="00F2712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F2712A">
        <w:rPr>
          <w:rFonts w:eastAsia="Wingdings"/>
        </w:rPr>
        <w:t>Tras las licitaciones para la contratación de potencia y energía nueva, organizadas desde 2016, se incorporaron numerosas centrales eléctricas. Los cambios regulatorios acaecidos desde entonces y en particular desde la inestabilidad financiera y económica iniciada en abril 2018, llevan a una situación compleja en el sector de generación eléctrica.</w:t>
      </w:r>
    </w:p>
    <w:p w14:paraId="1F62FB1F" w14:textId="77777777" w:rsidR="00051507" w:rsidRPr="00F2712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F2712A">
        <w:rPr>
          <w:rFonts w:eastAsia="Wingdings"/>
        </w:rPr>
        <w:t xml:space="preserve">El cambio de gobierno en diciembre 2019 acentuó la incertidumbre en el mercado eléctrico con demora en las decisiones necesarias para mantener condiciones adecuadas de suministro al mercado, que retomó su crecimiento en 2021 e inicio de 2022 con perspectivas de aceleramiento al menos en meses del primer semestre 2022 al comparar con meses de 2021 de aislamiento por la pandemia COVID 19. </w:t>
      </w:r>
    </w:p>
    <w:p w14:paraId="3348A2CA" w14:textId="77777777" w:rsidR="00051507" w:rsidRPr="00F2712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F2712A">
        <w:rPr>
          <w:rFonts w:eastAsia="Wingdings"/>
        </w:rPr>
        <w:t xml:space="preserve">El congelamiento de tarifas, precios y remuneraciones extendido en términos prácticos desde febrero 2019 con un ajuste a consumidores finales de solo 9%, genera incertidumbre, aunque los anuncios recientes de entendimiento con el Fondo Monetario Internacional podrían </w:t>
      </w:r>
      <w:proofErr w:type="gramStart"/>
      <w:r w:rsidRPr="00F2712A">
        <w:rPr>
          <w:rFonts w:eastAsia="Wingdings"/>
        </w:rPr>
        <w:t>dar inicio a</w:t>
      </w:r>
      <w:proofErr w:type="gramEnd"/>
      <w:r w:rsidRPr="00F2712A">
        <w:rPr>
          <w:rFonts w:eastAsia="Wingdings"/>
        </w:rPr>
        <w:t xml:space="preserve"> un proceso paulatino de recomposición sectorial.</w:t>
      </w:r>
    </w:p>
    <w:p w14:paraId="0499E0A6" w14:textId="77777777" w:rsidR="00051507" w:rsidRPr="00F2712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F2712A">
        <w:rPr>
          <w:rFonts w:eastAsia="Wingdings"/>
        </w:rPr>
        <w:t>Consideramos que en 2022 continuará la desaceleración del proceso inversor en nuevas unidades no se reanudará en el corto plazo, más allá de los contratos pendientes de ejecución por las dificultades de financiamiento de la Argentina en general. Adicionalmente y en un cambio de tendencia, la falta de ajustes razonables a la remuneración de las unidades que despachan al mercado spot lleva a un grado de indisponibilidad elevado que privilegiará el despacho de unidades en buen estado y con razonable disponibilidad, en un contexto de recuperación de tendencia positiva en la demanda de electricidad.</w:t>
      </w:r>
    </w:p>
    <w:p w14:paraId="1E4BFBCD" w14:textId="77777777" w:rsidR="00051507" w:rsidRPr="00F2712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F2712A">
        <w:rPr>
          <w:rFonts w:eastAsia="Wingdings"/>
        </w:rPr>
        <w:t>Por esto, es posible que la Secretaría de Energía finalmente decida aumentar las remuneraciones a generadores en el mercado spot a la vez que cumple con los contratos de largo plazo, para recuperar la disponibilidad que se había logrado para una cantidad muy importante de unidades que pueden revalorizarse para el sistema.</w:t>
      </w:r>
    </w:p>
    <w:p w14:paraId="6407A37D" w14:textId="77777777" w:rsidR="00051507" w:rsidRPr="00F2712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F2712A">
        <w:rPr>
          <w:rFonts w:eastAsia="Wingdings"/>
        </w:rPr>
        <w:t xml:space="preserve">A pesar de la persistente depreciación del peso argentino, CAMMESA honró todos sus contratos a largo plazo respetando las condiciones económico-financieras realizando los pagos al tipo de cambio en dólares. A pesar de algunas demoras en los pagos, CAMMESA reconoció intereses por su demora a tasas de interés prevalecientes en el mercado. Este hecho de respeto a condiciones contractuales y pagos </w:t>
      </w:r>
      <w:proofErr w:type="gramStart"/>
      <w:r w:rsidRPr="00F2712A">
        <w:rPr>
          <w:rFonts w:eastAsia="Wingdings"/>
        </w:rPr>
        <w:t>de acuerdo a</w:t>
      </w:r>
      <w:proofErr w:type="gramEnd"/>
      <w:r w:rsidRPr="00F2712A">
        <w:rPr>
          <w:rFonts w:eastAsia="Wingdings"/>
        </w:rPr>
        <w:t xml:space="preserve"> la normativa en vigencia es un dato importante en años de complejidad como fueron 2019, 2020 y 2021. </w:t>
      </w:r>
    </w:p>
    <w:p w14:paraId="1417DF36" w14:textId="77777777" w:rsidR="00051507" w:rsidRPr="00F2712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F2712A">
        <w:rPr>
          <w:rFonts w:eastAsia="Wingdings"/>
        </w:rPr>
        <w:t>La perspectiva de funcionamiento y despacho comercial de los generadores termoeléctricos modernos y localizados en regiones de alto crecimiento de la demanda, es favorable ya que sus unidades recibirán requerimientos crecientes de despacho. Igualmente sucederá con aquellas centrales eléctricas sin contratos a término pero que han sido preservadas en su mantenimiento y disponibilidad. En este contexto que esperamos para 2022, las unidades de diversas centrales del Grupo Albanesi podrían requerir un mayor despacho con remuneraciones probablemente superiores a decidir en algún momento de los próximos meses.</w:t>
      </w:r>
    </w:p>
    <w:p w14:paraId="72DAC433" w14:textId="77777777" w:rsidR="00051507" w:rsidRPr="00F2712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F2712A">
        <w:rPr>
          <w:rFonts w:eastAsia="Wingdings"/>
        </w:rPr>
        <w:t xml:space="preserve">La ausencia de mayor oferta hidroeléctrica en los próximos años brinda una perspectiva favorable al mayor despacho de unidades termoeléctricas. La detención de decisiones de inversión para el ingreso de nuevas unidades de generación de fuentes renovables desde 2018 también contribuye a que el crecimiento esperado de demanda eléctrica se satisfaga con unidades termoeléctricas. Es probable que un mayor aumento de demanda de energía eléctrica en el primer semestre 2022 al extenderse el nivel actual de actividad económica, presione por mayor despacho termoeléctrico.  </w:t>
      </w:r>
    </w:p>
    <w:p w14:paraId="4DA5D176" w14:textId="77777777" w:rsidR="00051507" w:rsidRPr="00F2712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F2712A">
        <w:rPr>
          <w:rFonts w:eastAsia="Wingdings"/>
        </w:rPr>
        <w:t xml:space="preserve">Tras años de deterioro en las diferentes variables del Sector Energético, el intento de normalización llevado adelante entre 2016 y 2019 finalizó con la inestabilidad en las variables macroeconómicas. La situación física de la oferta eléctrica sería buena de existir remuneraciones adecuadas para mantener adecuadamente la disponibilidad de unidades que despachan al mercado spot, afectadas por las Resoluciones 1/2019, 31/2020, la Nota NO-2020-24910606-APN-SE#MDP, y la Resolución 440/2021. El mantenimiento adecuado de estas unidades depende de las decisiones que debería corregir la Secretaría de Energía.  </w:t>
      </w:r>
    </w:p>
    <w:p w14:paraId="6D617C4C" w14:textId="77777777" w:rsidR="00051507" w:rsidRPr="00F2712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F2712A">
        <w:rPr>
          <w:rFonts w:eastAsia="Wingdings"/>
        </w:rPr>
        <w:t>La crisis económica y sanitaria de 2020 influyó en las intenciones originales del Gobierno de enmendar el déficit financiero del sector energético. La recuperación económica de fin de 2021 y la necesidad de adoptar decisiones importantes para evitar detener este proceso de recuperación, podría retomarse en los próximos meses si se avanzara en un entendimiento con el Fondo Monetario Internacional.</w:t>
      </w:r>
    </w:p>
    <w:p w14:paraId="4FEA670B" w14:textId="77777777" w:rsidR="00051507" w:rsidRPr="00F2712A" w:rsidRDefault="00051507" w:rsidP="00051507">
      <w:pPr>
        <w:pStyle w:val="Textoindependiente"/>
        <w:spacing w:line="240" w:lineRule="exact"/>
        <w:jc w:val="both"/>
        <w:rPr>
          <w:b/>
          <w:sz w:val="20"/>
          <w:u w:val="single"/>
        </w:rPr>
      </w:pPr>
      <w:r w:rsidRPr="00F2712A">
        <w:rPr>
          <w:b/>
          <w:sz w:val="20"/>
        </w:rPr>
        <w:t>5.2</w:t>
      </w:r>
      <w:r w:rsidRPr="00F2712A">
        <w:rPr>
          <w:b/>
          <w:sz w:val="20"/>
          <w:u w:val="single"/>
        </w:rPr>
        <w:t xml:space="preserve"> Perspectivas de la Sociedad</w:t>
      </w:r>
    </w:p>
    <w:p w14:paraId="6E7FFF83" w14:textId="77777777" w:rsidR="00051507" w:rsidRPr="00F2712A" w:rsidRDefault="00051507" w:rsidP="00051507">
      <w:pPr>
        <w:pStyle w:val="Textoindependiente"/>
        <w:spacing w:line="240" w:lineRule="exact"/>
        <w:jc w:val="both"/>
        <w:rPr>
          <w:b/>
          <w:sz w:val="20"/>
          <w:u w:val="single"/>
        </w:rPr>
      </w:pPr>
    </w:p>
    <w:p w14:paraId="3F7A41B8" w14:textId="77777777" w:rsidR="00051507" w:rsidRPr="00F2712A" w:rsidRDefault="00051507" w:rsidP="00051507">
      <w:pPr>
        <w:pStyle w:val="Prrafodelista"/>
        <w:spacing w:after="0"/>
        <w:ind w:left="0"/>
        <w:jc w:val="both"/>
        <w:rPr>
          <w:rFonts w:ascii="Times New Roman" w:hAnsi="Times New Roman"/>
          <w:u w:val="single"/>
          <w:lang w:val="es-ES"/>
        </w:rPr>
      </w:pPr>
      <w:r w:rsidRPr="00F2712A">
        <w:rPr>
          <w:rFonts w:ascii="Times New Roman" w:hAnsi="Times New Roman"/>
          <w:u w:val="single"/>
          <w:lang w:val="es-ES"/>
        </w:rPr>
        <w:t xml:space="preserve">Energía Eléctrica </w:t>
      </w:r>
    </w:p>
    <w:p w14:paraId="503816DF" w14:textId="77777777" w:rsidR="00051507" w:rsidRPr="00F2712A" w:rsidRDefault="00051507" w:rsidP="00051507">
      <w:pPr>
        <w:pStyle w:val="Prrafodelista"/>
        <w:ind w:left="0"/>
        <w:jc w:val="both"/>
        <w:rPr>
          <w:rFonts w:ascii="Times New Roman" w:hAnsi="Times New Roman"/>
          <w:lang w:val="es-ES"/>
        </w:rPr>
      </w:pPr>
    </w:p>
    <w:p w14:paraId="12D2397D" w14:textId="77777777" w:rsidR="00051507" w:rsidRPr="00F2712A" w:rsidRDefault="00051507" w:rsidP="00051507">
      <w:pPr>
        <w:pStyle w:val="Prrafodelista"/>
        <w:spacing w:line="280" w:lineRule="exact"/>
        <w:ind w:left="0"/>
        <w:jc w:val="both"/>
        <w:rPr>
          <w:rFonts w:ascii="Times New Roman" w:hAnsi="Times New Roman"/>
          <w:color w:val="000000" w:themeColor="text1"/>
          <w:lang w:val="es-ES"/>
        </w:rPr>
      </w:pPr>
      <w:r w:rsidRPr="00F2712A">
        <w:rPr>
          <w:rFonts w:ascii="Times New Roman" w:hAnsi="Times New Roman"/>
          <w:color w:val="000000" w:themeColor="text1"/>
          <w:lang w:val="es-ES"/>
        </w:rPr>
        <w:t xml:space="preserve">Se espera continuar operando normalmente la unidad de generación conforme al despacho que defina CAMMESA. El objetivo principal es mantener el alto nivel de disponibilidad de la Central, hecho que asegura el nivel de rentabilidad de la </w:t>
      </w:r>
      <w:r w:rsidRPr="00F2712A">
        <w:rPr>
          <w:rFonts w:ascii="Times New Roman" w:hAnsi="Times New Roman"/>
          <w:color w:val="000000" w:themeColor="text1"/>
          <w:lang w:val="es-ES"/>
        </w:rPr>
        <w:lastRenderedPageBreak/>
        <w:t xml:space="preserve">compañía. A tal efecto se lleva a cabo un plan de mantenimiento preventivo exhaustivo de las unidades de generación que permite garantizar la alta disponibilidad de los </w:t>
      </w:r>
      <w:proofErr w:type="spellStart"/>
      <w:r w:rsidRPr="00F2712A">
        <w:rPr>
          <w:rFonts w:ascii="Times New Roman" w:hAnsi="Times New Roman"/>
          <w:color w:val="000000" w:themeColor="text1"/>
          <w:lang w:val="es-ES"/>
        </w:rPr>
        <w:t>turbogrupos</w:t>
      </w:r>
      <w:proofErr w:type="spellEnd"/>
      <w:r w:rsidRPr="00F2712A">
        <w:rPr>
          <w:rFonts w:ascii="Times New Roman" w:hAnsi="Times New Roman"/>
          <w:color w:val="000000" w:themeColor="text1"/>
          <w:lang w:val="es-ES"/>
        </w:rPr>
        <w:t xml:space="preserve"> de la Central.</w:t>
      </w:r>
    </w:p>
    <w:p w14:paraId="25F42709" w14:textId="77777777" w:rsidR="00051507" w:rsidRPr="00F2712A" w:rsidRDefault="00051507" w:rsidP="00051507">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line="280" w:lineRule="exact"/>
        <w:ind w:right="28"/>
        <w:jc w:val="both"/>
        <w:rPr>
          <w:rFonts w:eastAsia="Wingdings"/>
        </w:rPr>
      </w:pPr>
      <w:r w:rsidRPr="00F2712A">
        <w:rPr>
          <w:rFonts w:eastAsia="Wingdings"/>
        </w:rPr>
        <w:t>Mediados del mes de junio de 2022 vence el Contrato de Demanda Mayorista de la unidad TG de la CT Roca, pasando a ser considerada máquina de base.</w:t>
      </w:r>
    </w:p>
    <w:p w14:paraId="228A47B5" w14:textId="77777777" w:rsidR="00051507" w:rsidRPr="006406CC" w:rsidRDefault="00051507" w:rsidP="00051507">
      <w:pPr>
        <w:pStyle w:val="Prrafodelista"/>
        <w:spacing w:after="0" w:line="240" w:lineRule="exact"/>
        <w:ind w:left="0"/>
        <w:jc w:val="both"/>
        <w:rPr>
          <w:rFonts w:ascii="Times New Roman" w:hAnsi="Times New Roman"/>
        </w:rPr>
      </w:pPr>
      <w:r w:rsidRPr="006406CC">
        <w:rPr>
          <w:rFonts w:ascii="Times New Roman" w:hAnsi="Times New Roman"/>
          <w:u w:val="single"/>
        </w:rPr>
        <w:t>Situación Financiera</w:t>
      </w:r>
      <w:r w:rsidRPr="006406CC">
        <w:rPr>
          <w:rFonts w:ascii="Times New Roman" w:hAnsi="Times New Roman"/>
        </w:rPr>
        <w:t xml:space="preserve"> </w:t>
      </w:r>
    </w:p>
    <w:p w14:paraId="2DEDB083" w14:textId="77777777" w:rsidR="00051507" w:rsidRPr="00F2712A" w:rsidRDefault="00051507" w:rsidP="00051507">
      <w:pPr>
        <w:pStyle w:val="Prrafodelista"/>
        <w:spacing w:after="0" w:line="240" w:lineRule="exact"/>
        <w:ind w:left="0"/>
        <w:jc w:val="both"/>
        <w:rPr>
          <w:rFonts w:ascii="Times New Roman" w:hAnsi="Times New Roman"/>
          <w:highlight w:val="yellow"/>
        </w:rPr>
      </w:pPr>
    </w:p>
    <w:p w14:paraId="12996F8E" w14:textId="77777777" w:rsidR="00051507" w:rsidRDefault="00051507" w:rsidP="00051507">
      <w:pPr>
        <w:pStyle w:val="Prrafodelista"/>
        <w:spacing w:line="280" w:lineRule="exact"/>
        <w:ind w:left="0"/>
        <w:jc w:val="both"/>
        <w:rPr>
          <w:rFonts w:ascii="Times New Roman" w:hAnsi="Times New Roman"/>
          <w:color w:val="000000" w:themeColor="text1"/>
          <w:lang w:val="es-ES"/>
        </w:rPr>
      </w:pPr>
      <w:bookmarkStart w:id="23" w:name="_Hlk34230911"/>
      <w:r w:rsidRPr="00C9635D">
        <w:rPr>
          <w:rFonts w:ascii="Times New Roman" w:hAnsi="Times New Roman"/>
          <w:lang w:val="es-ES"/>
        </w:rPr>
        <w:t xml:space="preserve">Durante el corriente ejercicio la Sociedad espera continuar optimizando la estructura de financiamiento y manteniendo un nivel </w:t>
      </w:r>
      <w:r w:rsidRPr="006406CC">
        <w:rPr>
          <w:rFonts w:ascii="Times New Roman" w:hAnsi="Times New Roman"/>
          <w:color w:val="000000" w:themeColor="text1"/>
          <w:lang w:val="es-ES"/>
        </w:rPr>
        <w:t>de endeudamiento acorde a las necesidades operacionales de la Central.</w:t>
      </w:r>
    </w:p>
    <w:p w14:paraId="23594586" w14:textId="77777777" w:rsidR="00051507" w:rsidRPr="006406CC" w:rsidRDefault="00051507" w:rsidP="00051507">
      <w:pPr>
        <w:pStyle w:val="Prrafodelista"/>
        <w:spacing w:line="280" w:lineRule="exact"/>
        <w:ind w:left="0"/>
        <w:jc w:val="both"/>
        <w:rPr>
          <w:rFonts w:ascii="Times New Roman" w:hAnsi="Times New Roman"/>
          <w:color w:val="000000" w:themeColor="text1"/>
          <w:lang w:val="es-ES"/>
        </w:rPr>
      </w:pPr>
      <w:r w:rsidRPr="006406CC">
        <w:rPr>
          <w:rFonts w:ascii="Times New Roman" w:hAnsi="Times New Roman"/>
          <w:color w:val="000000" w:themeColor="text1"/>
          <w:lang w:val="es-ES"/>
        </w:rPr>
        <w:t>La estrategia asumida garantiza el cumplimiento de los compromisos de la Sociedad y aseguran la correcta y eficiente operación de la Central.</w:t>
      </w:r>
    </w:p>
    <w:p w14:paraId="32CCDC3B" w14:textId="77777777" w:rsidR="00051507" w:rsidRPr="00F2712A" w:rsidRDefault="00051507" w:rsidP="00051507">
      <w:pPr>
        <w:pStyle w:val="Prrafodelista"/>
        <w:spacing w:after="0" w:line="240" w:lineRule="exact"/>
        <w:ind w:left="0"/>
        <w:jc w:val="both"/>
        <w:rPr>
          <w:rFonts w:ascii="Times New Roman" w:hAnsi="Times New Roman"/>
          <w:highlight w:val="yellow"/>
          <w:lang w:val="es-ES"/>
        </w:rPr>
      </w:pPr>
    </w:p>
    <w:p w14:paraId="78297FE6" w14:textId="77777777" w:rsidR="00051507" w:rsidRPr="006406CC" w:rsidRDefault="00051507" w:rsidP="00051507">
      <w:pPr>
        <w:pStyle w:val="Ttulo2"/>
        <w:numPr>
          <w:ilvl w:val="0"/>
          <w:numId w:val="37"/>
        </w:numPr>
        <w:autoSpaceDE w:val="0"/>
        <w:autoSpaceDN w:val="0"/>
        <w:spacing w:line="240" w:lineRule="exact"/>
        <w:ind w:left="426" w:firstLine="0"/>
        <w:jc w:val="both"/>
        <w:rPr>
          <w:color w:val="8496B0" w:themeColor="text2" w:themeTint="99"/>
          <w:sz w:val="20"/>
        </w:rPr>
      </w:pPr>
      <w:bookmarkStart w:id="24" w:name="_Toc63686712"/>
      <w:r w:rsidRPr="006406CC">
        <w:rPr>
          <w:color w:val="8496B0" w:themeColor="text2" w:themeTint="99"/>
          <w:sz w:val="20"/>
        </w:rPr>
        <w:t>DISTRIBUCIÓN DE RESULTADOS</w:t>
      </w:r>
      <w:bookmarkEnd w:id="24"/>
      <w:r w:rsidRPr="006406CC">
        <w:rPr>
          <w:bCs w:val="0"/>
          <w:color w:val="8496B0" w:themeColor="text2" w:themeTint="99"/>
          <w:sz w:val="20"/>
        </w:rPr>
        <w:fldChar w:fldCharType="begin"/>
      </w:r>
      <w:r w:rsidRPr="006406CC">
        <w:rPr>
          <w:color w:val="8496B0" w:themeColor="text2" w:themeTint="99"/>
          <w:sz w:val="20"/>
        </w:rPr>
        <w:instrText xml:space="preserve"> XE "DISTRIBUCIÓN DE RESULTADOS" </w:instrText>
      </w:r>
      <w:r w:rsidRPr="006406CC">
        <w:rPr>
          <w:bCs w:val="0"/>
          <w:color w:val="8496B0" w:themeColor="text2" w:themeTint="99"/>
          <w:sz w:val="20"/>
        </w:rPr>
        <w:fldChar w:fldCharType="end"/>
      </w:r>
      <w:r w:rsidRPr="006406CC">
        <w:rPr>
          <w:color w:val="8496B0" w:themeColor="text2" w:themeTint="99"/>
          <w:sz w:val="20"/>
        </w:rPr>
        <w:t xml:space="preserve"> </w:t>
      </w:r>
    </w:p>
    <w:p w14:paraId="6B1C8ACC" w14:textId="77777777" w:rsidR="00051507" w:rsidRPr="00F2712A" w:rsidRDefault="00051507" w:rsidP="00051507">
      <w:pPr>
        <w:rPr>
          <w:highlight w:val="yellow"/>
        </w:rPr>
      </w:pPr>
    </w:p>
    <w:p w14:paraId="410591D8" w14:textId="77777777" w:rsidR="00051507" w:rsidRPr="007843DC" w:rsidRDefault="00051507" w:rsidP="00051507">
      <w:pPr>
        <w:jc w:val="both"/>
        <w:rPr>
          <w:lang w:val="x-none"/>
        </w:rPr>
      </w:pPr>
      <w:r w:rsidRPr="007843DC">
        <w:rPr>
          <w:lang w:val="x-none"/>
        </w:rPr>
        <w:t xml:space="preserve">En cumplimiento de las disposiciones legales vigentes, el Directorio de la Sociedad manifiesta que el resultado del ejercicio arroja una </w:t>
      </w:r>
      <w:r w:rsidRPr="007843DC">
        <w:t>ganancia</w:t>
      </w:r>
      <w:r w:rsidRPr="007843DC">
        <w:rPr>
          <w:lang w:val="x-none"/>
        </w:rPr>
        <w:t xml:space="preserve"> que asciende a la suma de $</w:t>
      </w:r>
      <w:r w:rsidRPr="007843DC">
        <w:t>1.835.216 miles</w:t>
      </w:r>
      <w:r w:rsidRPr="007843DC">
        <w:rPr>
          <w:lang w:val="es-US"/>
        </w:rPr>
        <w:t>,</w:t>
      </w:r>
      <w:r w:rsidRPr="007843DC">
        <w:t xml:space="preserve"> obteniendo así resultados no asignados acumulados al 31 de diciembre de 2021 por $2.324.201 miles</w:t>
      </w:r>
      <w:r w:rsidRPr="007843DC">
        <w:rPr>
          <w:lang w:val="x-none"/>
        </w:rPr>
        <w:t xml:space="preserve">. </w:t>
      </w:r>
      <w:bookmarkStart w:id="25" w:name="_Hlk1681360"/>
    </w:p>
    <w:p w14:paraId="0DB8EE4D" w14:textId="77777777" w:rsidR="00051507" w:rsidRPr="007843DC" w:rsidRDefault="00051507" w:rsidP="00051507">
      <w:pPr>
        <w:jc w:val="both"/>
        <w:rPr>
          <w:lang w:val="x-none"/>
        </w:rPr>
      </w:pPr>
      <w:r w:rsidRPr="007843DC">
        <w:t>La Asamblea de Accionistas deliberará y decidirá finalmente el destino de las utilidades acumuladas detalladas anteriormente.</w:t>
      </w:r>
      <w:bookmarkEnd w:id="25"/>
    </w:p>
    <w:p w14:paraId="0A9AC9DB" w14:textId="77777777" w:rsidR="00051507" w:rsidRPr="00131411" w:rsidRDefault="00051507" w:rsidP="00051507">
      <w:pPr>
        <w:pStyle w:val="Ttulo2"/>
        <w:numPr>
          <w:ilvl w:val="0"/>
          <w:numId w:val="37"/>
        </w:numPr>
        <w:autoSpaceDE w:val="0"/>
        <w:autoSpaceDN w:val="0"/>
        <w:spacing w:after="100" w:afterAutospacing="1" w:line="240" w:lineRule="exact"/>
        <w:ind w:left="426" w:firstLine="0"/>
        <w:jc w:val="both"/>
        <w:rPr>
          <w:bCs w:val="0"/>
          <w:color w:val="8496B0" w:themeColor="text2" w:themeTint="99"/>
          <w:sz w:val="20"/>
        </w:rPr>
      </w:pPr>
      <w:bookmarkStart w:id="26" w:name="_Toc63686713"/>
      <w:bookmarkEnd w:id="23"/>
      <w:r w:rsidRPr="00131411">
        <w:rPr>
          <w:color w:val="8496B0" w:themeColor="text2" w:themeTint="99"/>
          <w:sz w:val="20"/>
        </w:rPr>
        <w:t>AGRADECIMIENTOS</w:t>
      </w:r>
      <w:bookmarkEnd w:id="26"/>
    </w:p>
    <w:p w14:paraId="6F3E8DC7" w14:textId="77777777" w:rsidR="00051507" w:rsidRPr="00E239E3" w:rsidRDefault="00051507" w:rsidP="00051507">
      <w:pPr>
        <w:pStyle w:val="Prrafodelista"/>
        <w:spacing w:line="280" w:lineRule="exact"/>
        <w:ind w:left="0"/>
        <w:jc w:val="both"/>
        <w:rPr>
          <w:rFonts w:ascii="Times New Roman" w:hAnsi="Times New Roman"/>
          <w:color w:val="000000" w:themeColor="text1"/>
          <w:lang w:val="es-ES"/>
        </w:rPr>
      </w:pPr>
      <w:r w:rsidRPr="00E239E3">
        <w:rPr>
          <w:rFonts w:ascii="Times New Roman" w:hAnsi="Times New Roman"/>
          <w:color w:val="000000" w:themeColor="text1"/>
          <w:lang w:val="es-ES"/>
        </w:rPr>
        <w:fldChar w:fldCharType="begin"/>
      </w:r>
      <w:r w:rsidRPr="00E239E3">
        <w:rPr>
          <w:rFonts w:ascii="Times New Roman" w:hAnsi="Times New Roman"/>
          <w:color w:val="000000" w:themeColor="text1"/>
          <w:lang w:val="es-ES"/>
        </w:rPr>
        <w:instrText xml:space="preserve"> XE "AGRADECIMIENTOS" </w:instrText>
      </w:r>
      <w:r w:rsidRPr="00E239E3">
        <w:rPr>
          <w:rFonts w:ascii="Times New Roman" w:hAnsi="Times New Roman"/>
          <w:color w:val="000000" w:themeColor="text1"/>
          <w:lang w:val="es-ES"/>
        </w:rPr>
        <w:fldChar w:fldCharType="end"/>
      </w:r>
      <w:r w:rsidRPr="00E239E3">
        <w:rPr>
          <w:rFonts w:ascii="Times New Roman" w:hAnsi="Times New Roman"/>
          <w:color w:val="000000" w:themeColor="text1"/>
          <w:lang w:val="es-ES"/>
        </w:rPr>
        <w:t>Resulta importante para el Directorio manifestar su agradecimiento a todos los empleados de la Sociedad por la labor realizada durante el ejercicio que ha resultado fundamental para los logros técnicos y económicos obtenidos. Asimismo, reconoce expresamente la contribución de clientes y proveedores, así como de las entidades bancarias y demás colaboradores que han trabajado para una mejor gestión de la compañía durante el ejercicio.</w:t>
      </w:r>
    </w:p>
    <w:p w14:paraId="4DD20679" w14:textId="77777777" w:rsidR="00051507" w:rsidRPr="00131411" w:rsidRDefault="00051507" w:rsidP="00051507">
      <w:pPr>
        <w:spacing w:after="100" w:afterAutospacing="1" w:line="240" w:lineRule="exact"/>
        <w:jc w:val="both"/>
      </w:pPr>
      <w:r w:rsidRPr="00EE4AFB">
        <w:t>Ciudad Autónoma de Buenos Aires, 10 de marzo de 2022</w:t>
      </w:r>
      <w:r>
        <w:t>.</w:t>
      </w:r>
    </w:p>
    <w:p w14:paraId="0D4F417A" w14:textId="77777777" w:rsidR="00051507" w:rsidRPr="00D74BD2" w:rsidRDefault="00051507" w:rsidP="00051507">
      <w:pPr>
        <w:spacing w:after="100" w:afterAutospacing="1" w:line="240" w:lineRule="exact"/>
        <w:jc w:val="right"/>
      </w:pPr>
      <w:r w:rsidRPr="00131411">
        <w:t>EL DIRECTORIO</w:t>
      </w:r>
    </w:p>
    <w:p w14:paraId="348F9FEA" w14:textId="77777777" w:rsidR="00051507" w:rsidRPr="001C13A7" w:rsidRDefault="00051507" w:rsidP="00051507">
      <w:pPr>
        <w:pStyle w:val="Sangradetextonormal"/>
        <w:tabs>
          <w:tab w:val="left" w:pos="9356"/>
        </w:tabs>
        <w:ind w:left="0"/>
      </w:pPr>
      <w:r>
        <w:rPr>
          <w:color w:val="000000"/>
          <w:sz w:val="20"/>
          <w:lang w:val="es-AR"/>
        </w:rPr>
        <w:tab/>
      </w:r>
      <w:r w:rsidRPr="001C13A7">
        <w:rPr>
          <w:b/>
        </w:rPr>
        <w:t>b)</w:t>
      </w:r>
      <w:r w:rsidRPr="001C13A7">
        <w:t xml:space="preserve"> </w:t>
      </w:r>
      <w:r w:rsidRPr="001C13A7">
        <w:rPr>
          <w:b/>
        </w:rPr>
        <w:t>Informe de la Comisión Fiscalizadora</w:t>
      </w:r>
      <w:r w:rsidRPr="001C13A7">
        <w:t xml:space="preserve">: </w:t>
      </w:r>
    </w:p>
    <w:p w14:paraId="04F6AF80" w14:textId="77777777" w:rsidR="00051507" w:rsidRPr="00147EF3" w:rsidRDefault="00051507" w:rsidP="00051507">
      <w:pPr>
        <w:spacing w:line="320" w:lineRule="exact"/>
        <w:jc w:val="center"/>
        <w:rPr>
          <w:color w:val="auto"/>
          <w:lang w:val="es-AR"/>
        </w:rPr>
      </w:pPr>
    </w:p>
    <w:p w14:paraId="06B76CAA" w14:textId="77777777" w:rsidR="00051507" w:rsidRPr="00147EF3" w:rsidRDefault="00051507" w:rsidP="00051507">
      <w:pPr>
        <w:spacing w:line="320" w:lineRule="exact"/>
        <w:ind w:right="335" w:firstLine="425"/>
        <w:contextualSpacing/>
        <w:jc w:val="center"/>
        <w:rPr>
          <w:b/>
        </w:rPr>
      </w:pPr>
      <w:r w:rsidRPr="00147EF3">
        <w:rPr>
          <w:b/>
        </w:rPr>
        <w:t>Informe de la Comisión Fiscalizadora</w:t>
      </w:r>
    </w:p>
    <w:p w14:paraId="45D05AD9" w14:textId="77777777" w:rsidR="00051507" w:rsidRPr="00147EF3" w:rsidRDefault="00051507" w:rsidP="00051507">
      <w:pPr>
        <w:spacing w:line="320" w:lineRule="exact"/>
        <w:ind w:right="335" w:firstLine="425"/>
        <w:contextualSpacing/>
        <w:jc w:val="center"/>
        <w:rPr>
          <w:b/>
        </w:rPr>
      </w:pPr>
    </w:p>
    <w:p w14:paraId="653A0D4C" w14:textId="77777777" w:rsidR="00051507" w:rsidRPr="00147EF3" w:rsidRDefault="00051507" w:rsidP="00051507">
      <w:pPr>
        <w:ind w:right="335"/>
        <w:contextualSpacing/>
      </w:pPr>
      <w:r w:rsidRPr="00147EF3">
        <w:t xml:space="preserve">A los señores Accionistas de </w:t>
      </w:r>
    </w:p>
    <w:p w14:paraId="7F1D0DF9" w14:textId="77777777" w:rsidR="00051507" w:rsidRPr="00147EF3" w:rsidRDefault="00051507" w:rsidP="00051507">
      <w:pPr>
        <w:ind w:right="335"/>
        <w:contextualSpacing/>
      </w:pPr>
      <w:r w:rsidRPr="00147EF3">
        <w:t>Central Térmica Roca S.A.</w:t>
      </w:r>
    </w:p>
    <w:p w14:paraId="18AE02D8" w14:textId="77777777" w:rsidR="00051507" w:rsidRPr="00147EF3" w:rsidRDefault="00051507" w:rsidP="00051507">
      <w:pPr>
        <w:jc w:val="both"/>
        <w:rPr>
          <w:b/>
        </w:rPr>
      </w:pPr>
    </w:p>
    <w:p w14:paraId="66AFD5D5" w14:textId="77777777" w:rsidR="00051507" w:rsidRPr="00147EF3" w:rsidRDefault="00051507" w:rsidP="00051507">
      <w:pPr>
        <w:numPr>
          <w:ilvl w:val="0"/>
          <w:numId w:val="1"/>
        </w:numPr>
        <w:jc w:val="both"/>
        <w:rPr>
          <w:spacing w:val="-3"/>
        </w:rPr>
      </w:pPr>
      <w:r w:rsidRPr="00147EF3">
        <w:rPr>
          <w:spacing w:val="-3"/>
        </w:rPr>
        <w:t xml:space="preserve">1. De acuerdo con lo dispuesto en el artículo </w:t>
      </w:r>
      <w:proofErr w:type="spellStart"/>
      <w:r w:rsidRPr="00147EF3">
        <w:rPr>
          <w:spacing w:val="-3"/>
        </w:rPr>
        <w:t>Nº</w:t>
      </w:r>
      <w:proofErr w:type="spellEnd"/>
      <w:r w:rsidRPr="00147EF3">
        <w:rPr>
          <w:spacing w:val="-3"/>
        </w:rPr>
        <w:t xml:space="preserve"> 294 de la Ley </w:t>
      </w:r>
      <w:proofErr w:type="spellStart"/>
      <w:r w:rsidRPr="00147EF3">
        <w:rPr>
          <w:spacing w:val="-3"/>
        </w:rPr>
        <w:t>N°</w:t>
      </w:r>
      <w:proofErr w:type="spellEnd"/>
      <w:r w:rsidRPr="00147EF3">
        <w:rPr>
          <w:spacing w:val="-3"/>
        </w:rPr>
        <w:t xml:space="preserve"> 19.550, en las Normas de la Comisión Nacional de Valores (“CNV”) y en el Reglamento de la Bolsa de Comercio de Buenos Aires, hemos examinado el estado de situación financiera de Central Térmica Roca S.A. al 31 de diciembre de 2021, los correspondientes estados de resultados integrales, de cambios en el patrimonio y de flujos de efectivo por el ejercicio económico finalizado el 31 de diciembre de 2021</w:t>
      </w:r>
      <w:r w:rsidRPr="00147EF3">
        <w:rPr>
          <w:spacing w:val="-3"/>
          <w:lang w:val="es-AR"/>
        </w:rPr>
        <w:t xml:space="preserve"> </w:t>
      </w:r>
      <w:r w:rsidRPr="00147EF3">
        <w:rPr>
          <w:spacing w:val="-3"/>
        </w:rPr>
        <w:t>y las notas que los complementan. Además, hemos examinado la Memoria del Directorio, correspondiente a dicho ejercicio. La preparación y emisión de los mencionados estados financieros es responsabilidad de Central Térmica Roca S.A.</w:t>
      </w:r>
    </w:p>
    <w:p w14:paraId="02AB4385" w14:textId="77777777" w:rsidR="00051507" w:rsidRPr="00147EF3" w:rsidRDefault="00051507" w:rsidP="00051507">
      <w:pPr>
        <w:ind w:left="709"/>
        <w:jc w:val="both"/>
        <w:rPr>
          <w:spacing w:val="-3"/>
        </w:rPr>
      </w:pPr>
    </w:p>
    <w:p w14:paraId="7F49F172" w14:textId="77777777" w:rsidR="00051507" w:rsidRPr="00147EF3" w:rsidRDefault="00051507" w:rsidP="00051507">
      <w:pPr>
        <w:numPr>
          <w:ilvl w:val="0"/>
          <w:numId w:val="1"/>
        </w:numPr>
        <w:jc w:val="both"/>
        <w:rPr>
          <w:spacing w:val="-3"/>
        </w:rPr>
      </w:pPr>
      <w:r w:rsidRPr="00147EF3">
        <w:rPr>
          <w:spacing w:val="-3"/>
        </w:rPr>
        <w:t>2. Nuestro examen fue realizado de acuerdo con las normas de sindicatura vigentes. Dichas normas requieren que los exámenes de los estados financieros se efectúen de acuerdo con las normas de auditoría vigentes, e incluyan la verificación de la razonabilidad de la información significativa de los documentos examinados y su congruencia con la restante información sobre las decisiones societarias de las que hemos tomado conocimiento, expuestas en actas de Directorio y Asamblea, así como la adecuación de dichas decisiones a la ley y a los estatutos, en lo relativo a sus aspectos formales y documentales. Para realizar nuestra tarea profesional, hemos efectuado una revisión del trabajo realizado por los auditores externos de la Sociedad, Price Waterhouse &amp; Co. S.R.L, quienes emitieron su opinión sin salvedades en la misma fecha que este informe. Una auditoría requiere que el auditor planifique y desarrolle su tarea con el objetivo de obtener un grado razonable de seguridad acerca de la inexistencia de manifestaciones no veraces o errores significativos en los estados financieros. Una auditoría incluye examinar, sobre bases selectivas, los elementos de juicio que respaldan la información expuesta en los estados financieros, así como evaluar las normas contables utilizadas, las estimaciones significativas efectuadas por la Sociedad y la presentación de los estados financieros tomados en su conjunto. No hemos evaluado los criterios empresarios de administración, financiación, comercialización y explotación, dado que ellos son de incumbencia exclusiva del Directorio y de la Asamblea.</w:t>
      </w:r>
    </w:p>
    <w:p w14:paraId="52C0A218" w14:textId="77777777" w:rsidR="00051507" w:rsidRPr="00147EF3" w:rsidRDefault="00051507" w:rsidP="00051507">
      <w:pPr>
        <w:ind w:left="709"/>
        <w:jc w:val="both"/>
        <w:rPr>
          <w:spacing w:val="-3"/>
        </w:rPr>
      </w:pPr>
    </w:p>
    <w:p w14:paraId="4317510E" w14:textId="77777777" w:rsidR="00051507" w:rsidRPr="00147EF3" w:rsidRDefault="00051507" w:rsidP="00051507">
      <w:pPr>
        <w:numPr>
          <w:ilvl w:val="0"/>
          <w:numId w:val="1"/>
        </w:numPr>
        <w:jc w:val="both"/>
        <w:rPr>
          <w:spacing w:val="-3"/>
        </w:rPr>
      </w:pPr>
      <w:r w:rsidRPr="00147EF3">
        <w:rPr>
          <w:spacing w:val="-3"/>
        </w:rPr>
        <w:t xml:space="preserve">3. Asimismo, en relación con la Memoria del Directorio correspondiente al ejercicio económico finalizado el 31 de diciembre de 2021, hemos verificado que contiene la información requerida por el artículo </w:t>
      </w:r>
      <w:proofErr w:type="spellStart"/>
      <w:r w:rsidRPr="00147EF3">
        <w:rPr>
          <w:spacing w:val="-3"/>
        </w:rPr>
        <w:t>N°</w:t>
      </w:r>
      <w:proofErr w:type="spellEnd"/>
      <w:r w:rsidRPr="00147EF3">
        <w:rPr>
          <w:spacing w:val="-3"/>
        </w:rPr>
        <w:t xml:space="preserve"> 66 de la Ley </w:t>
      </w:r>
      <w:r w:rsidRPr="00147EF3">
        <w:rPr>
          <w:spacing w:val="-3"/>
          <w:lang w:val="es-AR"/>
        </w:rPr>
        <w:t xml:space="preserve">General </w:t>
      </w:r>
      <w:r w:rsidRPr="00147EF3">
        <w:rPr>
          <w:spacing w:val="-3"/>
        </w:rPr>
        <w:t xml:space="preserve">de Sociedades </w:t>
      </w:r>
      <w:proofErr w:type="spellStart"/>
      <w:r w:rsidRPr="00147EF3">
        <w:rPr>
          <w:spacing w:val="-3"/>
          <w:lang w:val="es-AR"/>
        </w:rPr>
        <w:t>N°</w:t>
      </w:r>
      <w:proofErr w:type="spellEnd"/>
      <w:r w:rsidRPr="00147EF3">
        <w:rPr>
          <w:spacing w:val="-3"/>
        </w:rPr>
        <w:t xml:space="preserve"> 19.550, Ley 26.831 y sus modificatorias y, en lo que es materia de nuestra competencia, que sus datos numéricos concuerdan con los registros financieros de Central Térmica Roca S.A. y otra documentación pertinente.</w:t>
      </w:r>
    </w:p>
    <w:p w14:paraId="708D53DC" w14:textId="77777777" w:rsidR="00051507" w:rsidRPr="00147EF3" w:rsidRDefault="00051507" w:rsidP="00051507">
      <w:pPr>
        <w:jc w:val="both"/>
        <w:rPr>
          <w:spacing w:val="-3"/>
        </w:rPr>
      </w:pPr>
    </w:p>
    <w:p w14:paraId="78D70D96" w14:textId="77777777" w:rsidR="00051507" w:rsidRPr="00147EF3" w:rsidRDefault="00051507" w:rsidP="00051507">
      <w:pPr>
        <w:numPr>
          <w:ilvl w:val="0"/>
          <w:numId w:val="1"/>
        </w:numPr>
        <w:jc w:val="both"/>
        <w:rPr>
          <w:spacing w:val="-3"/>
        </w:rPr>
      </w:pPr>
      <w:r w:rsidRPr="00147EF3">
        <w:rPr>
          <w:spacing w:val="-3"/>
        </w:rPr>
        <w:t xml:space="preserve">4. Hemos verificado el cumplimiento en lo que respecta al estado de garantías de los </w:t>
      </w:r>
      <w:proofErr w:type="gramStart"/>
      <w:r w:rsidRPr="00147EF3">
        <w:rPr>
          <w:spacing w:val="-3"/>
        </w:rPr>
        <w:t>Directores</w:t>
      </w:r>
      <w:proofErr w:type="gramEnd"/>
      <w:r w:rsidRPr="00147EF3">
        <w:rPr>
          <w:spacing w:val="-3"/>
        </w:rPr>
        <w:t xml:space="preserve"> en gestión a la fecha de presentación de los estados financieros al 31 de diciembre de 2020</w:t>
      </w:r>
      <w:r w:rsidRPr="00147EF3">
        <w:rPr>
          <w:spacing w:val="-3"/>
          <w:lang w:val="es-AR"/>
        </w:rPr>
        <w:t>,</w:t>
      </w:r>
      <w:r w:rsidRPr="00147EF3">
        <w:rPr>
          <w:spacing w:val="-3"/>
        </w:rPr>
        <w:t xml:space="preserve"> conforme lo establecido en el punto 1.4 del Anexo I de la Resolución Técnica </w:t>
      </w:r>
      <w:proofErr w:type="spellStart"/>
      <w:r w:rsidRPr="00147EF3">
        <w:rPr>
          <w:spacing w:val="-3"/>
        </w:rPr>
        <w:t>N°</w:t>
      </w:r>
      <w:proofErr w:type="spellEnd"/>
      <w:r w:rsidRPr="00147EF3">
        <w:rPr>
          <w:spacing w:val="-3"/>
        </w:rPr>
        <w:t xml:space="preserve"> 1</w:t>
      </w:r>
      <w:r w:rsidRPr="00147EF3">
        <w:rPr>
          <w:spacing w:val="-3"/>
          <w:lang w:val="es-AR"/>
        </w:rPr>
        <w:t>6</w:t>
      </w:r>
      <w:r w:rsidRPr="00147EF3">
        <w:rPr>
          <w:spacing w:val="-3"/>
        </w:rPr>
        <w:t xml:space="preserve"> de la Federación Argentina de Consejos Profesionales de Ciencias Económicas.</w:t>
      </w:r>
    </w:p>
    <w:p w14:paraId="6D313EA2" w14:textId="77777777" w:rsidR="00051507" w:rsidRPr="00147EF3" w:rsidRDefault="00051507" w:rsidP="00051507">
      <w:pPr>
        <w:jc w:val="both"/>
        <w:rPr>
          <w:spacing w:val="-3"/>
        </w:rPr>
      </w:pPr>
    </w:p>
    <w:p w14:paraId="153CB288" w14:textId="77777777" w:rsidR="00051507" w:rsidRPr="00147EF3" w:rsidRDefault="00051507" w:rsidP="00051507">
      <w:pPr>
        <w:numPr>
          <w:ilvl w:val="0"/>
          <w:numId w:val="1"/>
        </w:numPr>
        <w:jc w:val="both"/>
        <w:rPr>
          <w:spacing w:val="-3"/>
        </w:rPr>
      </w:pPr>
      <w:r w:rsidRPr="00147EF3">
        <w:rPr>
          <w:spacing w:val="-3"/>
        </w:rPr>
        <w:lastRenderedPageBreak/>
        <w:t>5. Basados en el trabajo realizado, con el alcance descripto más arriba, informamos que:</w:t>
      </w:r>
    </w:p>
    <w:p w14:paraId="5499D19D" w14:textId="77777777" w:rsidR="00051507" w:rsidRPr="00147EF3" w:rsidRDefault="00051507" w:rsidP="00051507">
      <w:pPr>
        <w:jc w:val="both"/>
      </w:pPr>
    </w:p>
    <w:p w14:paraId="2C0B5572" w14:textId="77777777" w:rsidR="00051507" w:rsidRPr="00147EF3" w:rsidRDefault="00051507" w:rsidP="00051507">
      <w:pPr>
        <w:pStyle w:val="Prrafodelista"/>
        <w:numPr>
          <w:ilvl w:val="0"/>
          <w:numId w:val="3"/>
        </w:numPr>
        <w:contextualSpacing/>
        <w:jc w:val="both"/>
        <w:rPr>
          <w:rFonts w:ascii="Times New Roman" w:eastAsia="Arial Unicode MS" w:hAnsi="Times New Roman"/>
          <w:spacing w:val="-3"/>
          <w:sz w:val="20"/>
          <w:szCs w:val="20"/>
        </w:rPr>
      </w:pPr>
      <w:r w:rsidRPr="00147EF3">
        <w:rPr>
          <w:rFonts w:ascii="Times New Roman" w:eastAsia="Arial Unicode MS" w:hAnsi="Times New Roman"/>
          <w:spacing w:val="-3"/>
          <w:sz w:val="20"/>
          <w:szCs w:val="20"/>
        </w:rPr>
        <w:t>En nuestra opinión, los estados financieros de Central Térmica Roca S.A. reflejan razonablemente, en todos sus aspectos significativos, su situación financiera al 31 de diciembre de 2021, su resultado integral, las variaciones en su patrimonio y el flujo de efectivo por el ejercicio económico finalizado en dicha fecha, de acuerdo con normas contables profesionales vigentes en la Ciudad Autónoma de Buenos Aires y normas de la CNV;</w:t>
      </w:r>
    </w:p>
    <w:p w14:paraId="49D9AEFC" w14:textId="77777777" w:rsidR="00051507" w:rsidRPr="00147EF3" w:rsidRDefault="00051507" w:rsidP="00051507">
      <w:pPr>
        <w:pStyle w:val="Prrafodelista"/>
        <w:numPr>
          <w:ilvl w:val="0"/>
          <w:numId w:val="3"/>
        </w:numPr>
        <w:contextualSpacing/>
        <w:jc w:val="both"/>
        <w:rPr>
          <w:rFonts w:ascii="Times New Roman" w:hAnsi="Times New Roman"/>
          <w:sz w:val="20"/>
          <w:szCs w:val="20"/>
        </w:rPr>
      </w:pPr>
      <w:r w:rsidRPr="00147EF3">
        <w:rPr>
          <w:rFonts w:ascii="Times New Roman" w:hAnsi="Times New Roman"/>
          <w:sz w:val="20"/>
          <w:szCs w:val="20"/>
        </w:rPr>
        <w:t>No tenemos observaciones que formular, en materia de nuestra competencia, en relación con la Memoria del Directorio, siendo las afirmaciones sobre hechos futuros responsabilidad exclusiva del Directorio;</w:t>
      </w:r>
    </w:p>
    <w:p w14:paraId="3F1AD8B5" w14:textId="77777777" w:rsidR="00051507" w:rsidRPr="00147EF3" w:rsidRDefault="00051507" w:rsidP="00051507">
      <w:pPr>
        <w:pStyle w:val="Prrafodelista"/>
        <w:numPr>
          <w:ilvl w:val="0"/>
          <w:numId w:val="3"/>
        </w:numPr>
        <w:contextualSpacing/>
        <w:jc w:val="both"/>
        <w:rPr>
          <w:rFonts w:ascii="Times New Roman" w:hAnsi="Times New Roman"/>
          <w:sz w:val="20"/>
          <w:szCs w:val="20"/>
        </w:rPr>
      </w:pPr>
      <w:r w:rsidRPr="00147EF3">
        <w:rPr>
          <w:rFonts w:ascii="Times New Roman" w:hAnsi="Times New Roman"/>
          <w:sz w:val="20"/>
          <w:szCs w:val="20"/>
        </w:rPr>
        <w:t>Respecto de la independencia de los auditores externos y sobre la calidad de las políticas de auditoría aplicadas por el mismo y de las políticas de contabilización de Central Térmica Roca S.A., el informe de los auditores externos incluye la manifestación de haber aplicado las normas de auditoría vigentes en Argentina, que comprenden los requisitos de independencia, y no contiene salvedades en relación a la aplicación de dichas normas y de las normas contables  profesionales vigentes en Argentina, no teniendo observación alguna respecto de las políticas de contabilización referidas;</w:t>
      </w:r>
    </w:p>
    <w:p w14:paraId="03F86575" w14:textId="77777777" w:rsidR="00051507" w:rsidRPr="00147EF3" w:rsidRDefault="00051507" w:rsidP="00051507">
      <w:pPr>
        <w:pStyle w:val="Prrafodelista"/>
        <w:numPr>
          <w:ilvl w:val="0"/>
          <w:numId w:val="3"/>
        </w:numPr>
        <w:contextualSpacing/>
        <w:jc w:val="both"/>
        <w:rPr>
          <w:rFonts w:ascii="Times New Roman" w:hAnsi="Times New Roman"/>
          <w:sz w:val="20"/>
          <w:szCs w:val="20"/>
        </w:rPr>
      </w:pPr>
      <w:r w:rsidRPr="00147EF3">
        <w:rPr>
          <w:rFonts w:ascii="Times New Roman" w:hAnsi="Times New Roman"/>
          <w:sz w:val="20"/>
          <w:szCs w:val="20"/>
        </w:rPr>
        <w:t xml:space="preserve">Se ha dado cumplimiento a lo dispuesto por la Resolución </w:t>
      </w:r>
      <w:proofErr w:type="spellStart"/>
      <w:r w:rsidRPr="00147EF3">
        <w:rPr>
          <w:rFonts w:ascii="Times New Roman" w:hAnsi="Times New Roman"/>
          <w:sz w:val="20"/>
          <w:szCs w:val="20"/>
        </w:rPr>
        <w:t>N°</w:t>
      </w:r>
      <w:proofErr w:type="spellEnd"/>
      <w:r w:rsidRPr="00147EF3">
        <w:rPr>
          <w:rFonts w:ascii="Times New Roman" w:hAnsi="Times New Roman"/>
          <w:sz w:val="20"/>
          <w:szCs w:val="20"/>
        </w:rPr>
        <w:t xml:space="preserve"> 797/2019 de la Comisión Nacional de Valores en relación con la presentación del informe de cumplimiento del Código de Gobierno Societario.</w:t>
      </w:r>
    </w:p>
    <w:p w14:paraId="6B58FAD7" w14:textId="77777777" w:rsidR="00051507" w:rsidRPr="00147EF3" w:rsidRDefault="00051507" w:rsidP="00051507">
      <w:pPr>
        <w:pStyle w:val="Prrafodelista"/>
        <w:numPr>
          <w:ilvl w:val="0"/>
          <w:numId w:val="3"/>
        </w:numPr>
        <w:contextualSpacing/>
        <w:jc w:val="both"/>
        <w:rPr>
          <w:rFonts w:ascii="Times New Roman" w:hAnsi="Times New Roman"/>
          <w:sz w:val="20"/>
          <w:szCs w:val="20"/>
        </w:rPr>
      </w:pPr>
      <w:proofErr w:type="gramStart"/>
      <w:r w:rsidRPr="00147EF3">
        <w:rPr>
          <w:rFonts w:ascii="Times New Roman" w:hAnsi="Times New Roman"/>
          <w:sz w:val="20"/>
          <w:szCs w:val="20"/>
        </w:rPr>
        <w:t>En relación a</w:t>
      </w:r>
      <w:proofErr w:type="gramEnd"/>
      <w:r w:rsidRPr="00147EF3">
        <w:rPr>
          <w:rFonts w:ascii="Times New Roman" w:hAnsi="Times New Roman"/>
          <w:sz w:val="20"/>
          <w:szCs w:val="20"/>
        </w:rPr>
        <w:t xml:space="preserve"> lo determinado por las normas de la CNV, informamos que hemos leído el informe de los auditores externos, del que se desprende lo siguiente:</w:t>
      </w:r>
    </w:p>
    <w:p w14:paraId="4F9BF2EE" w14:textId="77777777" w:rsidR="00051507" w:rsidRPr="00147EF3" w:rsidRDefault="00051507" w:rsidP="00051507">
      <w:pPr>
        <w:pStyle w:val="Prrafodelista"/>
        <w:numPr>
          <w:ilvl w:val="0"/>
          <w:numId w:val="4"/>
        </w:numPr>
        <w:spacing w:after="0" w:line="240" w:lineRule="auto"/>
        <w:ind w:hanging="371"/>
        <w:contextualSpacing/>
        <w:jc w:val="both"/>
        <w:rPr>
          <w:rFonts w:ascii="Times New Roman" w:eastAsia="Arial Unicode MS" w:hAnsi="Times New Roman"/>
          <w:spacing w:val="-3"/>
          <w:sz w:val="20"/>
          <w:szCs w:val="20"/>
        </w:rPr>
      </w:pPr>
      <w:r w:rsidRPr="00147EF3">
        <w:rPr>
          <w:rFonts w:ascii="Times New Roman" w:eastAsia="Arial Unicode MS" w:hAnsi="Times New Roman"/>
          <w:spacing w:val="-3"/>
          <w:sz w:val="20"/>
          <w:szCs w:val="20"/>
        </w:rPr>
        <w:t>las normas de auditoría aplicadas son las aprobadas por el Consejo Profesional de Ciencias Económicas de la Ciudad Autónoma de Buenos Aires, las que contemplan los requisitos de independencia, y</w:t>
      </w:r>
    </w:p>
    <w:p w14:paraId="2CC372CC" w14:textId="77777777" w:rsidR="00051507" w:rsidRPr="00147EF3" w:rsidRDefault="00051507" w:rsidP="00051507">
      <w:pPr>
        <w:pStyle w:val="Prrafodelista"/>
        <w:spacing w:after="0" w:line="240" w:lineRule="auto"/>
        <w:ind w:left="1080"/>
        <w:jc w:val="both"/>
        <w:rPr>
          <w:rFonts w:ascii="Times New Roman" w:eastAsia="Arial Unicode MS" w:hAnsi="Times New Roman"/>
          <w:spacing w:val="-3"/>
          <w:sz w:val="20"/>
          <w:szCs w:val="20"/>
        </w:rPr>
      </w:pPr>
    </w:p>
    <w:p w14:paraId="6117C9E2" w14:textId="77777777" w:rsidR="00051507" w:rsidRPr="00147EF3" w:rsidRDefault="00051507" w:rsidP="00051507">
      <w:pPr>
        <w:pStyle w:val="Prrafodelista"/>
        <w:numPr>
          <w:ilvl w:val="0"/>
          <w:numId w:val="4"/>
        </w:numPr>
        <w:spacing w:after="0" w:line="240" w:lineRule="auto"/>
        <w:ind w:hanging="371"/>
        <w:contextualSpacing/>
        <w:jc w:val="both"/>
        <w:rPr>
          <w:rFonts w:ascii="Times New Roman" w:eastAsia="Arial Unicode MS" w:hAnsi="Times New Roman"/>
          <w:spacing w:val="-3"/>
          <w:sz w:val="20"/>
          <w:szCs w:val="20"/>
        </w:rPr>
      </w:pPr>
      <w:r w:rsidRPr="00147EF3">
        <w:rPr>
          <w:rFonts w:ascii="Times New Roman" w:eastAsia="Arial Unicode MS" w:hAnsi="Times New Roman"/>
          <w:spacing w:val="-3"/>
          <w:sz w:val="20"/>
          <w:szCs w:val="20"/>
        </w:rPr>
        <w:t>los estados financieros han sido preparados de acuerdo con las Normas Internacionales de Información Financiera, adoptadas por la Federación Argentina de Consejos Profesionales de Ciencias Económicas (“FACPCE”) como normas contables profesionales e incorporadas por la Comisión Nacional de Valores (“CNV”) a su normativa, tal como fueron aprobadas por el Consejo de Normas Internacionales de Contabilidad (“IASB” por su sigla en inglés).</w:t>
      </w:r>
    </w:p>
    <w:p w14:paraId="68A8D1C5" w14:textId="77777777" w:rsidR="00051507" w:rsidRPr="00147EF3" w:rsidRDefault="00051507" w:rsidP="00051507">
      <w:pPr>
        <w:ind w:left="1322"/>
        <w:jc w:val="both"/>
        <w:rPr>
          <w:spacing w:val="-3"/>
        </w:rPr>
      </w:pPr>
    </w:p>
    <w:p w14:paraId="2F845745" w14:textId="77777777" w:rsidR="00051507" w:rsidRPr="00147EF3" w:rsidRDefault="00051507" w:rsidP="00051507">
      <w:pPr>
        <w:pStyle w:val="Prrafodelista"/>
        <w:numPr>
          <w:ilvl w:val="0"/>
          <w:numId w:val="3"/>
        </w:numPr>
        <w:spacing w:after="0" w:line="240" w:lineRule="auto"/>
        <w:contextualSpacing/>
        <w:jc w:val="both"/>
        <w:rPr>
          <w:rFonts w:ascii="Times New Roman" w:eastAsia="Arial Unicode MS" w:hAnsi="Times New Roman"/>
          <w:spacing w:val="-3"/>
          <w:sz w:val="20"/>
          <w:szCs w:val="20"/>
        </w:rPr>
      </w:pPr>
      <w:r w:rsidRPr="00147EF3">
        <w:rPr>
          <w:rFonts w:ascii="Times New Roman" w:eastAsia="Arial Unicode MS" w:hAnsi="Times New Roman"/>
          <w:spacing w:val="-3"/>
          <w:sz w:val="20"/>
          <w:szCs w:val="20"/>
        </w:rPr>
        <w:t>Hemos aplicado los procedimientos sobre prevención de lavado de activos y financiación del terrorismo previstos en las correspondientes normas profesionales emitidas por la Federación Argentina de Consejos Profesionales de Ciencias Económicas.</w:t>
      </w:r>
    </w:p>
    <w:p w14:paraId="0314D0B4" w14:textId="77777777" w:rsidR="00051507" w:rsidRPr="00147EF3" w:rsidRDefault="00051507" w:rsidP="00051507">
      <w:pPr>
        <w:pStyle w:val="Prrafodelista"/>
        <w:spacing w:after="0" w:line="240" w:lineRule="auto"/>
        <w:jc w:val="both"/>
        <w:rPr>
          <w:rFonts w:ascii="Times New Roman" w:eastAsia="Arial Unicode MS" w:hAnsi="Times New Roman"/>
          <w:spacing w:val="-3"/>
          <w:sz w:val="20"/>
          <w:szCs w:val="20"/>
        </w:rPr>
      </w:pPr>
    </w:p>
    <w:p w14:paraId="50974CAD" w14:textId="77777777" w:rsidR="00051507" w:rsidRPr="00147EF3" w:rsidRDefault="00051507" w:rsidP="00051507">
      <w:pPr>
        <w:numPr>
          <w:ilvl w:val="0"/>
          <w:numId w:val="1"/>
        </w:numPr>
        <w:jc w:val="both"/>
        <w:rPr>
          <w:spacing w:val="-3"/>
        </w:rPr>
      </w:pPr>
      <w:r w:rsidRPr="00147EF3">
        <w:rPr>
          <w:spacing w:val="-3"/>
        </w:rPr>
        <w:t xml:space="preserve">En ejercicio del control de legalidad que nos compete, hemos aplicado durante el ejercicio los restantes procedimientos descriptos en el Artículo 294 de la Ley General de Sociedades </w:t>
      </w:r>
      <w:proofErr w:type="spellStart"/>
      <w:r w:rsidRPr="00147EF3">
        <w:rPr>
          <w:spacing w:val="-3"/>
        </w:rPr>
        <w:t>N°</w:t>
      </w:r>
      <w:proofErr w:type="spellEnd"/>
      <w:r w:rsidRPr="00147EF3">
        <w:rPr>
          <w:spacing w:val="-3"/>
        </w:rPr>
        <w:t xml:space="preserve"> 19.550, que consideramos necesarios de acuerdo con las circunstancias, no teniendo observaciones que formular al respecto.</w:t>
      </w:r>
    </w:p>
    <w:p w14:paraId="57656709" w14:textId="77777777" w:rsidR="00051507" w:rsidRPr="00147EF3" w:rsidRDefault="00051507" w:rsidP="00051507">
      <w:pPr>
        <w:jc w:val="both"/>
        <w:rPr>
          <w:spacing w:val="-3"/>
        </w:rPr>
      </w:pPr>
    </w:p>
    <w:p w14:paraId="682E9B1C" w14:textId="77777777" w:rsidR="00051507" w:rsidRPr="00147EF3" w:rsidRDefault="00051507" w:rsidP="00051507">
      <w:pPr>
        <w:ind w:right="49"/>
        <w:contextualSpacing/>
        <w:jc w:val="both"/>
      </w:pPr>
      <w:r w:rsidRPr="00147EF3">
        <w:t>Ciudad Autónoma de Buenos Aires, 10 de marzo de 2022</w:t>
      </w:r>
    </w:p>
    <w:p w14:paraId="5F016F04" w14:textId="77777777" w:rsidR="00051507" w:rsidRPr="0078072C" w:rsidRDefault="00051507" w:rsidP="00051507">
      <w:pPr>
        <w:spacing w:line="360" w:lineRule="auto"/>
        <w:ind w:right="-17"/>
        <w:contextualSpacing/>
        <w:jc w:val="both"/>
        <w:rPr>
          <w:color w:val="auto"/>
          <w:sz w:val="22"/>
          <w:szCs w:val="22"/>
        </w:rPr>
      </w:pPr>
    </w:p>
    <w:p w14:paraId="550CD13B" w14:textId="77777777" w:rsidR="00051507" w:rsidRPr="00051507" w:rsidRDefault="00051507" w:rsidP="00051507">
      <w:pPr>
        <w:spacing w:line="360" w:lineRule="auto"/>
        <w:jc w:val="both"/>
        <w:rPr>
          <w:bCs/>
          <w:sz w:val="24"/>
          <w:szCs w:val="24"/>
        </w:rPr>
      </w:pPr>
      <w:r w:rsidRPr="00051507">
        <w:rPr>
          <w:b/>
          <w:sz w:val="24"/>
          <w:szCs w:val="24"/>
        </w:rPr>
        <w:t xml:space="preserve">c) Estados Financieros, d) Estado de Situación Financiera, e) Estado de Resultados Integrales, f) Estado de Cambios en el Patrimonio, g) Estado de Flujo de Efectivo, h) Notas a los Estados Financieros, i) Reseña Informativa, j) Información adicional requerida por el artículo 12, Capítulo III, Título IV de la normativa de la Comisión Nacional de Valores, k) Informe de los Auditores Independientes, l) Inventario.  </w:t>
      </w:r>
      <w:r w:rsidRPr="00051507">
        <w:rPr>
          <w:sz w:val="24"/>
          <w:szCs w:val="24"/>
        </w:rPr>
        <w:t xml:space="preserve">Asimismo, por unanimidad de los presentes el Directorio </w:t>
      </w:r>
      <w:r w:rsidRPr="00051507">
        <w:rPr>
          <w:b/>
          <w:bCs/>
          <w:sz w:val="24"/>
          <w:szCs w:val="24"/>
          <w:u w:val="single"/>
        </w:rPr>
        <w:t>RESUELVE</w:t>
      </w:r>
      <w:r w:rsidRPr="00051507">
        <w:rPr>
          <w:sz w:val="24"/>
          <w:szCs w:val="24"/>
        </w:rPr>
        <w:t xml:space="preserve"> designar al Sr. </w:t>
      </w:r>
      <w:proofErr w:type="gramStart"/>
      <w:r w:rsidRPr="00051507">
        <w:rPr>
          <w:sz w:val="24"/>
          <w:szCs w:val="24"/>
        </w:rPr>
        <w:t>Presidente</w:t>
      </w:r>
      <w:proofErr w:type="gramEnd"/>
      <w:r w:rsidRPr="00051507">
        <w:rPr>
          <w:sz w:val="24"/>
          <w:szCs w:val="24"/>
        </w:rPr>
        <w:t xml:space="preserve"> para que suscriba los Estados Financieros aprobados en la presente reunión en nombre y representación del Directorio. A continuación, el Sr. </w:t>
      </w:r>
      <w:proofErr w:type="gramStart"/>
      <w:r w:rsidRPr="00051507">
        <w:rPr>
          <w:sz w:val="24"/>
          <w:szCs w:val="24"/>
        </w:rPr>
        <w:t>Presidente</w:t>
      </w:r>
      <w:proofErr w:type="gramEnd"/>
      <w:r w:rsidRPr="00051507">
        <w:rPr>
          <w:sz w:val="24"/>
          <w:szCs w:val="24"/>
        </w:rPr>
        <w:t xml:space="preserve"> manifiesta que resulta necesario convocar a </w:t>
      </w:r>
      <w:r w:rsidRPr="00051507">
        <w:rPr>
          <w:b/>
          <w:sz w:val="24"/>
          <w:szCs w:val="24"/>
        </w:rPr>
        <w:t>Asamblea General Ordinaria y Extraordinaria</w:t>
      </w:r>
      <w:r w:rsidRPr="00051507">
        <w:rPr>
          <w:sz w:val="24"/>
          <w:szCs w:val="24"/>
        </w:rPr>
        <w:t xml:space="preserve"> para el día </w:t>
      </w:r>
      <w:r w:rsidRPr="00051507">
        <w:rPr>
          <w:rFonts w:cs="Times New Roman"/>
          <w:b/>
          <w:bCs/>
          <w:sz w:val="24"/>
          <w:szCs w:val="24"/>
        </w:rPr>
        <w:t>19 de abril de 2022</w:t>
      </w:r>
      <w:r w:rsidRPr="00051507">
        <w:rPr>
          <w:sz w:val="24"/>
          <w:szCs w:val="24"/>
        </w:rPr>
        <w:t xml:space="preserve"> a las </w:t>
      </w:r>
      <w:r w:rsidRPr="00051507">
        <w:rPr>
          <w:b/>
          <w:bCs/>
          <w:sz w:val="24"/>
          <w:szCs w:val="24"/>
        </w:rPr>
        <w:t>10:00 horas</w:t>
      </w:r>
      <w:r w:rsidRPr="00051507">
        <w:rPr>
          <w:sz w:val="24"/>
          <w:szCs w:val="24"/>
        </w:rPr>
        <w:t xml:space="preserve"> a celebrarse en la sede social a fin de considerar el siguiente Orden del Día</w:t>
      </w:r>
      <w:r w:rsidRPr="00051507">
        <w:rPr>
          <w:bCs/>
          <w:sz w:val="24"/>
          <w:szCs w:val="24"/>
        </w:rPr>
        <w:t xml:space="preserve">: </w:t>
      </w:r>
    </w:p>
    <w:p w14:paraId="67C3AA09" w14:textId="77777777" w:rsidR="00051507" w:rsidRPr="00051507" w:rsidRDefault="00051507" w:rsidP="00051507">
      <w:pPr>
        <w:pStyle w:val="Prrafodelista"/>
        <w:widowControl w:val="0"/>
        <w:numPr>
          <w:ilvl w:val="0"/>
          <w:numId w:val="24"/>
        </w:numPr>
        <w:tabs>
          <w:tab w:val="left" w:pos="284"/>
        </w:tabs>
        <w:autoSpaceDE w:val="0"/>
        <w:autoSpaceDN w:val="0"/>
        <w:adjustRightInd w:val="0"/>
        <w:spacing w:after="0" w:line="360" w:lineRule="auto"/>
        <w:ind w:left="0" w:firstLine="0"/>
        <w:jc w:val="both"/>
        <w:rPr>
          <w:rFonts w:ascii="Times New Roman" w:hAnsi="Times New Roman" w:cs="Times New Roman"/>
          <w:b/>
          <w:bCs/>
          <w:sz w:val="24"/>
          <w:szCs w:val="24"/>
        </w:rPr>
      </w:pPr>
      <w:r w:rsidRPr="00051507">
        <w:rPr>
          <w:rFonts w:ascii="Times New Roman" w:hAnsi="Times New Roman" w:cs="Times New Roman"/>
          <w:b/>
          <w:bCs/>
          <w:sz w:val="24"/>
          <w:szCs w:val="24"/>
        </w:rPr>
        <w:t>Consideración, de corresponder, de la celebración de la Asamblea General Ordinaria y Extraordinaria a distancia;</w:t>
      </w:r>
    </w:p>
    <w:p w14:paraId="585F00CC" w14:textId="77777777" w:rsidR="00051507" w:rsidRPr="00051507" w:rsidRDefault="00051507" w:rsidP="00051507">
      <w:pPr>
        <w:pStyle w:val="Prrafodelista"/>
        <w:widowControl w:val="0"/>
        <w:numPr>
          <w:ilvl w:val="0"/>
          <w:numId w:val="24"/>
        </w:numPr>
        <w:tabs>
          <w:tab w:val="left" w:pos="284"/>
        </w:tabs>
        <w:autoSpaceDE w:val="0"/>
        <w:autoSpaceDN w:val="0"/>
        <w:adjustRightInd w:val="0"/>
        <w:spacing w:after="0" w:line="360" w:lineRule="auto"/>
        <w:ind w:left="0" w:firstLine="0"/>
        <w:jc w:val="both"/>
        <w:rPr>
          <w:rFonts w:ascii="Times New Roman" w:hAnsi="Times New Roman" w:cs="Times New Roman"/>
          <w:b/>
          <w:sz w:val="24"/>
          <w:szCs w:val="24"/>
        </w:rPr>
      </w:pPr>
      <w:r w:rsidRPr="00051507">
        <w:rPr>
          <w:rFonts w:ascii="Times New Roman" w:hAnsi="Times New Roman" w:cs="Times New Roman"/>
          <w:b/>
          <w:bCs/>
          <w:sz w:val="24"/>
          <w:szCs w:val="24"/>
        </w:rPr>
        <w:t xml:space="preserve">Designación de dos accionistas para firmar el acta; </w:t>
      </w:r>
    </w:p>
    <w:p w14:paraId="4FAE70AB" w14:textId="77777777" w:rsidR="00051507" w:rsidRPr="00051507" w:rsidRDefault="00051507" w:rsidP="00051507">
      <w:pPr>
        <w:pStyle w:val="Prrafodelista"/>
        <w:widowControl w:val="0"/>
        <w:numPr>
          <w:ilvl w:val="0"/>
          <w:numId w:val="24"/>
        </w:numPr>
        <w:tabs>
          <w:tab w:val="left" w:pos="284"/>
        </w:tabs>
        <w:autoSpaceDE w:val="0"/>
        <w:autoSpaceDN w:val="0"/>
        <w:adjustRightInd w:val="0"/>
        <w:spacing w:after="0" w:line="360" w:lineRule="auto"/>
        <w:ind w:left="0" w:firstLine="0"/>
        <w:jc w:val="both"/>
        <w:rPr>
          <w:rFonts w:ascii="Times New Roman" w:hAnsi="Times New Roman" w:cs="Times New Roman"/>
          <w:b/>
          <w:sz w:val="24"/>
          <w:szCs w:val="24"/>
        </w:rPr>
      </w:pPr>
      <w:r w:rsidRPr="00051507">
        <w:rPr>
          <w:rFonts w:ascii="Times New Roman" w:hAnsi="Times New Roman" w:cs="Times New Roman"/>
          <w:b/>
          <w:bCs/>
          <w:sz w:val="24"/>
          <w:szCs w:val="24"/>
        </w:rPr>
        <w:t xml:space="preserve">Aprobación de lo tratado en la Reunión de Directorio de fecha 10 de marzo de 2022 en los términos de la Resolución General CNV </w:t>
      </w:r>
      <w:proofErr w:type="spellStart"/>
      <w:r w:rsidRPr="00051507">
        <w:rPr>
          <w:rFonts w:ascii="Times New Roman" w:hAnsi="Times New Roman" w:cs="Times New Roman"/>
          <w:b/>
          <w:bCs/>
          <w:sz w:val="24"/>
          <w:szCs w:val="24"/>
        </w:rPr>
        <w:t>N°</w:t>
      </w:r>
      <w:proofErr w:type="spellEnd"/>
      <w:r w:rsidRPr="00051507">
        <w:rPr>
          <w:rFonts w:ascii="Times New Roman" w:hAnsi="Times New Roman" w:cs="Times New Roman"/>
          <w:b/>
          <w:bCs/>
          <w:sz w:val="24"/>
          <w:szCs w:val="24"/>
        </w:rPr>
        <w:t xml:space="preserve"> 830/2020;</w:t>
      </w:r>
    </w:p>
    <w:p w14:paraId="722532CD" w14:textId="77777777" w:rsidR="00051507" w:rsidRPr="00051507" w:rsidRDefault="00051507" w:rsidP="00051507">
      <w:pPr>
        <w:pStyle w:val="Prrafodelista"/>
        <w:widowControl w:val="0"/>
        <w:numPr>
          <w:ilvl w:val="0"/>
          <w:numId w:val="24"/>
        </w:numPr>
        <w:tabs>
          <w:tab w:val="left" w:pos="284"/>
        </w:tabs>
        <w:autoSpaceDE w:val="0"/>
        <w:autoSpaceDN w:val="0"/>
        <w:adjustRightInd w:val="0"/>
        <w:spacing w:after="0" w:line="360" w:lineRule="auto"/>
        <w:ind w:left="0" w:firstLine="0"/>
        <w:jc w:val="both"/>
        <w:rPr>
          <w:rFonts w:ascii="Times New Roman" w:hAnsi="Times New Roman" w:cs="Times New Roman"/>
          <w:b/>
          <w:bCs/>
          <w:sz w:val="24"/>
          <w:szCs w:val="24"/>
        </w:rPr>
      </w:pPr>
      <w:r w:rsidRPr="00051507">
        <w:rPr>
          <w:rFonts w:ascii="Times New Roman" w:hAnsi="Times New Roman" w:cs="Times New Roman"/>
          <w:b/>
          <w:bCs/>
          <w:sz w:val="24"/>
          <w:szCs w:val="24"/>
        </w:rPr>
        <w:t xml:space="preserve">Consideración de la documentación prevista por el art. 234, inciso 1° de la Ley </w:t>
      </w:r>
      <w:proofErr w:type="spellStart"/>
      <w:r w:rsidRPr="00051507">
        <w:rPr>
          <w:rFonts w:ascii="Times New Roman" w:hAnsi="Times New Roman" w:cs="Times New Roman"/>
          <w:b/>
          <w:bCs/>
          <w:sz w:val="24"/>
          <w:szCs w:val="24"/>
        </w:rPr>
        <w:t>N°</w:t>
      </w:r>
      <w:proofErr w:type="spellEnd"/>
      <w:r w:rsidRPr="00051507">
        <w:rPr>
          <w:rFonts w:ascii="Times New Roman" w:hAnsi="Times New Roman" w:cs="Times New Roman"/>
          <w:b/>
          <w:bCs/>
          <w:sz w:val="24"/>
          <w:szCs w:val="24"/>
        </w:rPr>
        <w:t xml:space="preserve"> 19.550 correspondiente al ejercicio económico de la Sociedad cerrado el 31 de diciembre de 2021;</w:t>
      </w:r>
    </w:p>
    <w:p w14:paraId="181AC4C8" w14:textId="77777777" w:rsidR="00051507" w:rsidRPr="00051507" w:rsidRDefault="00051507" w:rsidP="00051507">
      <w:pPr>
        <w:pStyle w:val="Prrafodelista"/>
        <w:widowControl w:val="0"/>
        <w:numPr>
          <w:ilvl w:val="0"/>
          <w:numId w:val="24"/>
        </w:numPr>
        <w:tabs>
          <w:tab w:val="left" w:pos="284"/>
        </w:tabs>
        <w:autoSpaceDE w:val="0"/>
        <w:autoSpaceDN w:val="0"/>
        <w:adjustRightInd w:val="0"/>
        <w:spacing w:after="0" w:line="360" w:lineRule="auto"/>
        <w:ind w:left="0" w:firstLine="0"/>
        <w:jc w:val="both"/>
        <w:rPr>
          <w:rFonts w:ascii="Times New Roman" w:hAnsi="Times New Roman" w:cs="Times New Roman"/>
          <w:b/>
          <w:bCs/>
          <w:sz w:val="24"/>
          <w:szCs w:val="24"/>
        </w:rPr>
      </w:pPr>
      <w:r w:rsidRPr="00051507">
        <w:rPr>
          <w:rFonts w:ascii="Times New Roman" w:hAnsi="Times New Roman" w:cs="Times New Roman"/>
          <w:b/>
          <w:bCs/>
          <w:sz w:val="24"/>
          <w:szCs w:val="24"/>
        </w:rPr>
        <w:t>Consideración de la gestión del Directorio y la Comisión Fiscalizadora;</w:t>
      </w:r>
    </w:p>
    <w:p w14:paraId="55FBEC1F" w14:textId="77777777" w:rsidR="00051507" w:rsidRPr="00051507" w:rsidRDefault="00051507" w:rsidP="00051507">
      <w:pPr>
        <w:pStyle w:val="Prrafodelista"/>
        <w:widowControl w:val="0"/>
        <w:numPr>
          <w:ilvl w:val="0"/>
          <w:numId w:val="24"/>
        </w:numPr>
        <w:tabs>
          <w:tab w:val="left" w:pos="284"/>
        </w:tabs>
        <w:autoSpaceDE w:val="0"/>
        <w:autoSpaceDN w:val="0"/>
        <w:adjustRightInd w:val="0"/>
        <w:spacing w:after="0" w:line="360" w:lineRule="auto"/>
        <w:ind w:left="0" w:firstLine="0"/>
        <w:jc w:val="both"/>
        <w:rPr>
          <w:rFonts w:ascii="Times New Roman" w:hAnsi="Times New Roman" w:cs="Times New Roman"/>
          <w:b/>
          <w:bCs/>
          <w:sz w:val="24"/>
          <w:szCs w:val="24"/>
        </w:rPr>
      </w:pPr>
      <w:r w:rsidRPr="00051507">
        <w:rPr>
          <w:rFonts w:ascii="Times New Roman" w:hAnsi="Times New Roman" w:cs="Times New Roman"/>
          <w:b/>
          <w:bCs/>
          <w:sz w:val="24"/>
          <w:szCs w:val="24"/>
        </w:rPr>
        <w:t xml:space="preserve">Remuneración al Directorio y Comisión Fiscalizadora; </w:t>
      </w:r>
    </w:p>
    <w:p w14:paraId="3C9E3555" w14:textId="77777777" w:rsidR="00051507" w:rsidRPr="00051507" w:rsidRDefault="00051507" w:rsidP="00051507">
      <w:pPr>
        <w:pStyle w:val="Prrafodelista"/>
        <w:widowControl w:val="0"/>
        <w:numPr>
          <w:ilvl w:val="0"/>
          <w:numId w:val="24"/>
        </w:numPr>
        <w:tabs>
          <w:tab w:val="left" w:pos="284"/>
        </w:tabs>
        <w:autoSpaceDE w:val="0"/>
        <w:autoSpaceDN w:val="0"/>
        <w:adjustRightInd w:val="0"/>
        <w:spacing w:after="0" w:line="360" w:lineRule="auto"/>
        <w:ind w:left="-567" w:firstLine="567"/>
        <w:jc w:val="both"/>
        <w:rPr>
          <w:rFonts w:ascii="Times New Roman" w:hAnsi="Times New Roman" w:cs="Times New Roman"/>
          <w:b/>
          <w:sz w:val="24"/>
          <w:szCs w:val="24"/>
        </w:rPr>
      </w:pPr>
      <w:r w:rsidRPr="00051507">
        <w:rPr>
          <w:rFonts w:ascii="Times New Roman" w:hAnsi="Times New Roman" w:cs="Times New Roman"/>
          <w:b/>
          <w:bCs/>
          <w:sz w:val="24"/>
          <w:szCs w:val="24"/>
        </w:rPr>
        <w:t>Destino del resultado del ejercicio;</w:t>
      </w:r>
    </w:p>
    <w:p w14:paraId="1C70D014" w14:textId="77777777" w:rsidR="00051507" w:rsidRPr="00051507" w:rsidRDefault="00051507" w:rsidP="00051507">
      <w:pPr>
        <w:pStyle w:val="Prrafodelista"/>
        <w:widowControl w:val="0"/>
        <w:numPr>
          <w:ilvl w:val="0"/>
          <w:numId w:val="24"/>
        </w:numPr>
        <w:tabs>
          <w:tab w:val="left" w:pos="284"/>
        </w:tabs>
        <w:autoSpaceDE w:val="0"/>
        <w:autoSpaceDN w:val="0"/>
        <w:adjustRightInd w:val="0"/>
        <w:spacing w:after="0" w:line="360" w:lineRule="auto"/>
        <w:ind w:left="0" w:firstLine="0"/>
        <w:jc w:val="both"/>
        <w:rPr>
          <w:rFonts w:ascii="Times New Roman" w:hAnsi="Times New Roman" w:cs="Times New Roman"/>
          <w:b/>
          <w:sz w:val="24"/>
          <w:szCs w:val="24"/>
        </w:rPr>
      </w:pPr>
      <w:r w:rsidRPr="00051507">
        <w:rPr>
          <w:rFonts w:ascii="Times New Roman" w:hAnsi="Times New Roman" w:cs="Times New Roman"/>
          <w:b/>
          <w:sz w:val="24"/>
          <w:szCs w:val="24"/>
        </w:rPr>
        <w:t>Designación del Auditor Externo que dictaminará sobre los estados financieros correspondientes al ejercicio iniciado el 1° de enero de 2022 y determinación de su retribución;</w:t>
      </w:r>
    </w:p>
    <w:p w14:paraId="2EEB4CB5" w14:textId="77777777" w:rsidR="00051507" w:rsidRPr="00051507" w:rsidRDefault="00051507" w:rsidP="00051507">
      <w:pPr>
        <w:pStyle w:val="Prrafodelista"/>
        <w:widowControl w:val="0"/>
        <w:numPr>
          <w:ilvl w:val="0"/>
          <w:numId w:val="24"/>
        </w:numPr>
        <w:tabs>
          <w:tab w:val="left" w:pos="284"/>
        </w:tabs>
        <w:autoSpaceDE w:val="0"/>
        <w:autoSpaceDN w:val="0"/>
        <w:adjustRightInd w:val="0"/>
        <w:spacing w:after="0" w:line="360" w:lineRule="auto"/>
        <w:ind w:left="0" w:firstLine="0"/>
        <w:jc w:val="both"/>
        <w:rPr>
          <w:rFonts w:ascii="Times New Roman" w:hAnsi="Times New Roman" w:cs="Times New Roman"/>
          <w:b/>
          <w:sz w:val="24"/>
          <w:szCs w:val="24"/>
        </w:rPr>
      </w:pPr>
      <w:r w:rsidRPr="00051507">
        <w:rPr>
          <w:rFonts w:ascii="Times New Roman" w:hAnsi="Times New Roman" w:cs="Times New Roman"/>
          <w:b/>
          <w:sz w:val="24"/>
          <w:szCs w:val="24"/>
        </w:rPr>
        <w:lastRenderedPageBreak/>
        <w:t>Reforma del artículo séptimo y décimo del estatuto de la Sociedad</w:t>
      </w:r>
      <w:r w:rsidRPr="00051507">
        <w:rPr>
          <w:rFonts w:cs="Times New Roman"/>
          <w:b/>
          <w:sz w:val="24"/>
          <w:szCs w:val="24"/>
        </w:rPr>
        <w:t xml:space="preserve"> </w:t>
      </w:r>
      <w:r w:rsidRPr="00051507">
        <w:rPr>
          <w:rFonts w:ascii="Times New Roman" w:hAnsi="Times New Roman" w:cs="Times New Roman"/>
          <w:b/>
          <w:sz w:val="24"/>
          <w:szCs w:val="24"/>
        </w:rPr>
        <w:t>a efectos de establecer expresamente la posibilidad de reuniones a distancia para los órganos de administración y gobierno;</w:t>
      </w:r>
    </w:p>
    <w:p w14:paraId="13EA937F" w14:textId="77777777" w:rsidR="00051507" w:rsidRPr="00051507" w:rsidRDefault="00051507" w:rsidP="00051507">
      <w:pPr>
        <w:pStyle w:val="Prrafodelista"/>
        <w:widowControl w:val="0"/>
        <w:numPr>
          <w:ilvl w:val="0"/>
          <w:numId w:val="24"/>
        </w:numPr>
        <w:tabs>
          <w:tab w:val="left" w:pos="284"/>
        </w:tabs>
        <w:autoSpaceDE w:val="0"/>
        <w:autoSpaceDN w:val="0"/>
        <w:adjustRightInd w:val="0"/>
        <w:spacing w:after="0" w:line="360" w:lineRule="auto"/>
        <w:ind w:left="0" w:firstLine="0"/>
        <w:jc w:val="both"/>
        <w:rPr>
          <w:rFonts w:ascii="Times New Roman" w:hAnsi="Times New Roman" w:cs="Times New Roman"/>
          <w:b/>
          <w:sz w:val="24"/>
          <w:szCs w:val="24"/>
        </w:rPr>
      </w:pPr>
      <w:r w:rsidRPr="00051507">
        <w:rPr>
          <w:rFonts w:ascii="Times New Roman" w:hAnsi="Times New Roman" w:cs="Times New Roman"/>
          <w:b/>
          <w:bCs/>
          <w:sz w:val="24"/>
          <w:szCs w:val="24"/>
          <w:lang w:val="es-AR"/>
        </w:rPr>
        <w:t>Otorgamiento de las autorizaciones necesarias en relación con lo resuelto en los puntos anteriores del Orden del Día</w:t>
      </w:r>
      <w:r w:rsidRPr="00051507">
        <w:rPr>
          <w:rFonts w:ascii="Times New Roman" w:hAnsi="Times New Roman" w:cs="Times New Roman"/>
          <w:b/>
          <w:sz w:val="24"/>
          <w:szCs w:val="24"/>
        </w:rPr>
        <w:t xml:space="preserve">. </w:t>
      </w:r>
    </w:p>
    <w:p w14:paraId="69FBDED7" w14:textId="29293D83" w:rsidR="005C2130" w:rsidRPr="00051507" w:rsidRDefault="00051507" w:rsidP="00051507">
      <w:pPr>
        <w:jc w:val="both"/>
        <w:rPr>
          <w:sz w:val="24"/>
          <w:szCs w:val="24"/>
        </w:rPr>
      </w:pPr>
      <w:r w:rsidRPr="00051507">
        <w:rPr>
          <w:sz w:val="24"/>
          <w:szCs w:val="24"/>
        </w:rPr>
        <w:t xml:space="preserve">El Sr. </w:t>
      </w:r>
      <w:proofErr w:type="gramStart"/>
      <w:r w:rsidRPr="00051507">
        <w:rPr>
          <w:sz w:val="24"/>
          <w:szCs w:val="24"/>
        </w:rPr>
        <w:t>Presidente</w:t>
      </w:r>
      <w:proofErr w:type="gramEnd"/>
      <w:r w:rsidRPr="00051507">
        <w:rPr>
          <w:sz w:val="24"/>
          <w:szCs w:val="24"/>
        </w:rPr>
        <w:t xml:space="preserve"> manifiesta que la totalidad de los accionistas están en conocimiento del temario de la Asamblea que se convoca por este acto y que han asegurado su asistencia y prestación de conformidad a los puntos a tratarse en la misma por lo que, en virtud de lo establecido por el art. 237, último párrafo de la Ley </w:t>
      </w:r>
      <w:proofErr w:type="spellStart"/>
      <w:r w:rsidRPr="00051507">
        <w:rPr>
          <w:sz w:val="24"/>
          <w:szCs w:val="24"/>
        </w:rPr>
        <w:t>N°</w:t>
      </w:r>
      <w:proofErr w:type="spellEnd"/>
      <w:r w:rsidRPr="00051507">
        <w:rPr>
          <w:sz w:val="24"/>
          <w:szCs w:val="24"/>
        </w:rPr>
        <w:t xml:space="preserve"> 19.550 y sus modificaciones mociona para que se prescinda de la publicación de la convocatoria en el Boletín Oficial. Continúa en uso de la palabra el Sr. Presidente, e indica que el texto del acta de esta reunión será distribuido entre los señores directores por medio de correo electrónico, a los efectos de que estos últimos presten su conformidad con dicho texto, y explica que una vez que cese la causal de fuerza mayor que hizo imposible la reunión presencial del Directorio, el mismo se reunirá para ratificar lo resuelto y proceder a la transcripción y firma del acta dentro del libro correspondiente; y en cumplimiento con lo dispuesto por la Resolución, la decisión será ratificada como punto expreso del orden del día en la primera asamblea presencial que se celebre una vez levantadas las medidas de emergencia. El Sr. Síndico Titular deja constancia de la regularidad de las decisiones adoptadas. No habiendo más asuntos que tratar, se levanta la sesión siendo las 10:30 horas.</w:t>
      </w:r>
    </w:p>
    <w:p w14:paraId="55EB5B48" w14:textId="77777777" w:rsidR="00AE3B41" w:rsidRPr="00051507" w:rsidRDefault="00AE3B41" w:rsidP="00AE3B41">
      <w:pPr>
        <w:spacing w:after="120"/>
        <w:jc w:val="both"/>
        <w:outlineLvl w:val="1"/>
        <w:rPr>
          <w:rFonts w:eastAsia="SimSun" w:cs="Times New Roman"/>
          <w:color w:val="auto"/>
          <w:sz w:val="24"/>
          <w:szCs w:val="24"/>
          <w:u w:val="single"/>
          <w:lang w:val="es-MX" w:eastAsia="zh-CN"/>
        </w:rPr>
      </w:pPr>
    </w:p>
    <w:p w14:paraId="0FEB7077" w14:textId="00EE6D7F" w:rsidR="00944082" w:rsidRPr="00051507" w:rsidRDefault="00944082" w:rsidP="00AE3B41">
      <w:pPr>
        <w:spacing w:after="120"/>
        <w:jc w:val="both"/>
        <w:outlineLvl w:val="1"/>
        <w:rPr>
          <w:rFonts w:eastAsia="SimSun" w:cs="Times New Roman"/>
          <w:color w:val="auto"/>
          <w:sz w:val="24"/>
          <w:szCs w:val="24"/>
          <w:lang w:val="es-MX" w:eastAsia="zh-CN"/>
        </w:rPr>
      </w:pPr>
      <w:r w:rsidRPr="00051507">
        <w:rPr>
          <w:rFonts w:eastAsia="SimSun" w:cs="Times New Roman"/>
          <w:color w:val="auto"/>
          <w:sz w:val="24"/>
          <w:szCs w:val="24"/>
          <w:u w:val="single"/>
          <w:lang w:val="es-MX" w:eastAsia="zh-CN"/>
        </w:rPr>
        <w:t>Firmantes:</w:t>
      </w:r>
      <w:r w:rsidRPr="00051507">
        <w:rPr>
          <w:rFonts w:eastAsia="SimSun" w:cs="Times New Roman"/>
          <w:color w:val="auto"/>
          <w:sz w:val="24"/>
          <w:szCs w:val="24"/>
          <w:lang w:val="es-MX" w:eastAsia="zh-CN"/>
        </w:rPr>
        <w:t xml:space="preserve"> </w:t>
      </w:r>
      <w:r w:rsidRPr="00051507">
        <w:rPr>
          <w:rFonts w:eastAsia="SimSun" w:cs="Times New Roman"/>
          <w:color w:val="auto"/>
          <w:sz w:val="24"/>
          <w:szCs w:val="24"/>
          <w:lang w:val="es-ES" w:eastAsia="es-ES"/>
        </w:rPr>
        <w:t xml:space="preserve">Armando Losón (h), Guillermo G. Brun, Julián P. Sarti, y </w:t>
      </w:r>
      <w:r w:rsidRPr="00051507">
        <w:rPr>
          <w:rFonts w:eastAsia="SimSun" w:cs="Times New Roman"/>
          <w:color w:val="auto"/>
          <w:sz w:val="24"/>
          <w:szCs w:val="24"/>
          <w:lang w:val="es-MX" w:eastAsia="zh-CN"/>
        </w:rPr>
        <w:t>Marcelo Pablo Lerner.</w:t>
      </w:r>
    </w:p>
    <w:p w14:paraId="56463256" w14:textId="77777777" w:rsidR="00944082" w:rsidRPr="00051507" w:rsidRDefault="00944082" w:rsidP="00AE3B41">
      <w:pPr>
        <w:spacing w:after="120"/>
        <w:jc w:val="both"/>
        <w:rPr>
          <w:rFonts w:eastAsia="SimSun" w:cs="Times New Roman"/>
          <w:color w:val="auto"/>
          <w:sz w:val="24"/>
          <w:szCs w:val="24"/>
          <w:lang w:val="es-AR" w:eastAsia="zh-CN"/>
        </w:rPr>
      </w:pPr>
    </w:p>
    <w:p w14:paraId="5E05F46B" w14:textId="77777777" w:rsidR="00944082" w:rsidRPr="00051507" w:rsidRDefault="00944082" w:rsidP="00AE3B41">
      <w:pPr>
        <w:spacing w:after="120"/>
        <w:jc w:val="center"/>
        <w:outlineLvl w:val="1"/>
        <w:rPr>
          <w:rFonts w:eastAsia="SimSun" w:cstheme="minorBidi"/>
          <w:color w:val="auto"/>
          <w:sz w:val="24"/>
          <w:szCs w:val="24"/>
          <w:lang w:val="es-ES" w:eastAsia="es-ES"/>
        </w:rPr>
      </w:pPr>
      <w:r w:rsidRPr="00051507">
        <w:rPr>
          <w:rFonts w:eastAsia="SimSun" w:cstheme="minorBidi"/>
          <w:color w:val="auto"/>
          <w:sz w:val="24"/>
          <w:szCs w:val="24"/>
          <w:lang w:val="es-ES" w:eastAsia="es-ES"/>
        </w:rPr>
        <w:t>__________________________</w:t>
      </w:r>
    </w:p>
    <w:p w14:paraId="257E8B48" w14:textId="0E18D318" w:rsidR="00944082" w:rsidRPr="00051507" w:rsidRDefault="00051507" w:rsidP="00AE3B41">
      <w:pPr>
        <w:jc w:val="center"/>
        <w:outlineLvl w:val="1"/>
        <w:rPr>
          <w:rFonts w:eastAsia="SimSun" w:cstheme="minorBidi"/>
          <w:color w:val="auto"/>
          <w:sz w:val="24"/>
          <w:szCs w:val="24"/>
          <w:lang w:val="es-ES" w:eastAsia="es-ES"/>
        </w:rPr>
      </w:pPr>
      <w:r>
        <w:rPr>
          <w:rFonts w:eastAsia="SimSun" w:cstheme="minorBidi"/>
          <w:color w:val="auto"/>
          <w:sz w:val="24"/>
          <w:szCs w:val="24"/>
          <w:lang w:val="es-ES" w:eastAsia="es-ES"/>
        </w:rPr>
        <w:t>Juan Gregorio Daly</w:t>
      </w:r>
    </w:p>
    <w:p w14:paraId="02B21DE7" w14:textId="44507475" w:rsidR="00944082" w:rsidRPr="00051507" w:rsidRDefault="00944082" w:rsidP="00AE3B41">
      <w:pPr>
        <w:jc w:val="center"/>
        <w:outlineLvl w:val="1"/>
        <w:rPr>
          <w:rFonts w:eastAsia="SimSun" w:cstheme="minorBidi"/>
          <w:color w:val="auto"/>
          <w:sz w:val="24"/>
          <w:szCs w:val="24"/>
          <w:lang w:val="es-ES" w:eastAsia="es-ES"/>
        </w:rPr>
      </w:pPr>
      <w:r w:rsidRPr="00051507">
        <w:rPr>
          <w:rFonts w:eastAsia="SimSun" w:cstheme="minorBidi"/>
          <w:color w:val="auto"/>
          <w:sz w:val="24"/>
          <w:szCs w:val="24"/>
          <w:lang w:val="es-ES" w:eastAsia="es-ES"/>
        </w:rPr>
        <w:t>Responsable de Relaciones con el Mercado</w:t>
      </w:r>
      <w:r w:rsidR="00051507">
        <w:rPr>
          <w:rFonts w:eastAsia="SimSun" w:cstheme="minorBidi"/>
          <w:color w:val="auto"/>
          <w:sz w:val="24"/>
          <w:szCs w:val="24"/>
          <w:lang w:val="es-ES" w:eastAsia="es-ES"/>
        </w:rPr>
        <w:t xml:space="preserve"> Suplente</w:t>
      </w:r>
    </w:p>
    <w:p w14:paraId="0631EB1B" w14:textId="77777777" w:rsidR="00944082" w:rsidRPr="00051507" w:rsidRDefault="00944082" w:rsidP="00944082">
      <w:pPr>
        <w:spacing w:after="120" w:line="360" w:lineRule="auto"/>
        <w:jc w:val="both"/>
        <w:rPr>
          <w:rFonts w:eastAsia="SimSun" w:cs="Times New Roman"/>
          <w:b/>
          <w:i/>
          <w:color w:val="auto"/>
          <w:sz w:val="24"/>
          <w:szCs w:val="24"/>
          <w:lang w:val="es-MX" w:eastAsia="zh-CN"/>
        </w:rPr>
      </w:pPr>
      <w:r w:rsidRPr="00051507">
        <w:rPr>
          <w:rFonts w:eastAsia="SimSun" w:cs="Times New Roman"/>
          <w:color w:val="auto"/>
          <w:sz w:val="24"/>
          <w:szCs w:val="24"/>
          <w:lang w:val="es-MX" w:eastAsia="zh-CN"/>
        </w:rPr>
        <w:t xml:space="preserve"> </w:t>
      </w:r>
    </w:p>
    <w:p w14:paraId="7CBBA996" w14:textId="0473FF44" w:rsidR="00F50D1F" w:rsidRPr="00944082" w:rsidRDefault="00F50D1F" w:rsidP="00944082"/>
    <w:sectPr w:rsidR="00F50D1F" w:rsidRPr="00944082" w:rsidSect="00246981">
      <w:headerReference w:type="default" r:id="rId37"/>
      <w:footerReference w:type="default" r:id="rId38"/>
      <w:pgSz w:w="12240" w:h="20160" w:code="5"/>
      <w:pgMar w:top="720" w:right="720" w:bottom="720" w:left="720" w:header="708" w:footer="7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BDE14" w14:textId="77777777" w:rsidR="008257AE" w:rsidRDefault="008257AE" w:rsidP="00986FEE">
      <w:r>
        <w:separator/>
      </w:r>
    </w:p>
  </w:endnote>
  <w:endnote w:type="continuationSeparator" w:id="0">
    <w:p w14:paraId="4D984912" w14:textId="77777777" w:rsidR="008257AE" w:rsidRDefault="008257AE" w:rsidP="00986FEE">
      <w:r>
        <w:continuationSeparator/>
      </w:r>
    </w:p>
  </w:endnote>
  <w:endnote w:type="continuationNotice" w:id="1">
    <w:p w14:paraId="41D04902" w14:textId="77777777" w:rsidR="008257AE" w:rsidRDefault="008257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wC_Logo">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 w:name="HelveticaNeueLT Std">
    <w:altName w:val="Arial"/>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71510" w14:textId="77777777" w:rsidR="008257AE" w:rsidRDefault="008257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C819A" w14:textId="77777777" w:rsidR="008257AE" w:rsidRDefault="008257AE" w:rsidP="00986FEE">
      <w:r>
        <w:separator/>
      </w:r>
    </w:p>
  </w:footnote>
  <w:footnote w:type="continuationSeparator" w:id="0">
    <w:p w14:paraId="2342FCC4" w14:textId="77777777" w:rsidR="008257AE" w:rsidRDefault="008257AE" w:rsidP="00986FEE">
      <w:r>
        <w:continuationSeparator/>
      </w:r>
    </w:p>
  </w:footnote>
  <w:footnote w:type="continuationNotice" w:id="1">
    <w:p w14:paraId="55A4589D" w14:textId="77777777" w:rsidR="008257AE" w:rsidRDefault="008257AE"/>
  </w:footnote>
  <w:footnote w:id="2">
    <w:p w14:paraId="2621D75F" w14:textId="77777777" w:rsidR="00051507" w:rsidRPr="00173F1E" w:rsidRDefault="00051507" w:rsidP="00051507">
      <w:pPr>
        <w:pStyle w:val="Textonotapie"/>
        <w:jc w:val="both"/>
        <w:rPr>
          <w:rFonts w:ascii="Arial" w:hAnsi="Arial" w:cs="Arial"/>
          <w:color w:val="000000" w:themeColor="text1"/>
          <w:lang w:val="es-MX"/>
        </w:rPr>
      </w:pPr>
      <w:r w:rsidRPr="00173F1E">
        <w:rPr>
          <w:rStyle w:val="Refdenotaalpie"/>
          <w:rFonts w:ascii="Arial" w:hAnsi="Arial" w:cs="Arial"/>
          <w:color w:val="000000" w:themeColor="text1"/>
        </w:rPr>
        <w:footnoteRef/>
      </w:r>
      <w:r w:rsidRPr="00173F1E">
        <w:rPr>
          <w:rFonts w:ascii="Arial" w:hAnsi="Arial" w:cs="Arial"/>
          <w:color w:val="000000" w:themeColor="text1"/>
          <w:lang w:val="es-AR"/>
        </w:rPr>
        <w:t xml:space="preserve"> </w:t>
      </w:r>
      <w:r w:rsidRPr="00C27EAB">
        <w:rPr>
          <w:color w:val="000000" w:themeColor="text1"/>
          <w:lang w:val="es-MX"/>
        </w:rPr>
        <w:t>Datos oficiales de Secretaría de Energía desde 1959 a 2020, y estimación preliminar asumida por G&amp;G Energy Consultants para 2021.</w:t>
      </w:r>
    </w:p>
  </w:footnote>
  <w:footnote w:id="3">
    <w:p w14:paraId="7B501121" w14:textId="77777777" w:rsidR="00051507" w:rsidRPr="006379FE" w:rsidRDefault="00051507" w:rsidP="00051507">
      <w:pPr>
        <w:pStyle w:val="Textonotapie"/>
        <w:ind w:left="142" w:hanging="142"/>
        <w:jc w:val="both"/>
        <w:rPr>
          <w:lang w:val="es-MX"/>
        </w:rPr>
      </w:pPr>
      <w:r w:rsidRPr="006379FE">
        <w:rPr>
          <w:rStyle w:val="Refdenotaalpie"/>
        </w:rPr>
        <w:footnoteRef/>
      </w:r>
      <w:r w:rsidRPr="006379FE">
        <w:rPr>
          <w:lang w:val="es-AR"/>
        </w:rPr>
        <w:t xml:space="preserve"> </w:t>
      </w:r>
      <w:r w:rsidRPr="006379FE">
        <w:rPr>
          <w:lang w:val="es-MX"/>
        </w:rPr>
        <w:t>Los datos de 1982-1989 muestran una elasticidad aparentemente elevada debido a que la inestabilidad y volatilidad del PBI arrojaron un promedio negativo, que distorsiona el cálculo.</w:t>
      </w:r>
    </w:p>
  </w:footnote>
  <w:footnote w:id="4">
    <w:p w14:paraId="49AE12FA" w14:textId="77777777" w:rsidR="00051507" w:rsidRPr="00AC6E08" w:rsidRDefault="00051507" w:rsidP="00051507">
      <w:pPr>
        <w:pStyle w:val="Textonotapie"/>
        <w:ind w:left="142" w:hanging="142"/>
        <w:jc w:val="both"/>
        <w:rPr>
          <w:lang w:val="es-ES"/>
        </w:rPr>
      </w:pPr>
      <w:r w:rsidRPr="00AC6E08">
        <w:rPr>
          <w:rStyle w:val="Refdenotaalpie"/>
        </w:rPr>
        <w:footnoteRef/>
      </w:r>
      <w:r w:rsidRPr="00AC6E08">
        <w:rPr>
          <w:lang w:val="es-ES"/>
        </w:rPr>
        <w:t xml:space="preserve"> Cuando se analiza algún subsector en particular como el eléctrico, se advierte que la tasa de crecimiento de la demanda es superior a la del crecimiento del PBI.</w:t>
      </w:r>
    </w:p>
  </w:footnote>
  <w:footnote w:id="5">
    <w:p w14:paraId="361AE18E" w14:textId="77777777" w:rsidR="00051507" w:rsidRPr="00173F1E" w:rsidRDefault="00051507" w:rsidP="00051507">
      <w:pPr>
        <w:pStyle w:val="Textonotapie"/>
        <w:ind w:left="142" w:hanging="142"/>
        <w:jc w:val="both"/>
        <w:rPr>
          <w:rFonts w:ascii="Arial" w:hAnsi="Arial" w:cs="Arial"/>
          <w:lang w:val="es-MX"/>
        </w:rPr>
      </w:pPr>
      <w:r w:rsidRPr="00AC6E08">
        <w:rPr>
          <w:rStyle w:val="Refdenotaalpie"/>
        </w:rPr>
        <w:footnoteRef/>
      </w:r>
      <w:r w:rsidRPr="00AC6E08">
        <w:rPr>
          <w:lang w:val="es-AR"/>
        </w:rPr>
        <w:t xml:space="preserve"> </w:t>
      </w:r>
      <w:r w:rsidRPr="00AC6E08">
        <w:rPr>
          <w:lang w:val="es-MX"/>
        </w:rPr>
        <w:t>Últimos datos oficiales de 2020. Estimación de 2021 elaborada por G&amp;G Energy Consultants, expresado en millones de Toneladas Equivalentes de Petróleo para Consumo Primario Energético.</w:t>
      </w:r>
      <w:r w:rsidRPr="00173F1E">
        <w:rPr>
          <w:rFonts w:ascii="Arial" w:hAnsi="Arial" w:cs="Arial"/>
          <w:lang w:val="es-MX"/>
        </w:rPr>
        <w:t xml:space="preserve"> </w:t>
      </w:r>
    </w:p>
  </w:footnote>
  <w:footnote w:id="6">
    <w:p w14:paraId="404BCB2B" w14:textId="77777777" w:rsidR="00051507" w:rsidRPr="00173F1E" w:rsidRDefault="00051507" w:rsidP="00051507">
      <w:pPr>
        <w:pStyle w:val="Textonotapie"/>
        <w:ind w:left="142" w:hanging="142"/>
        <w:rPr>
          <w:rFonts w:ascii="Arial" w:hAnsi="Arial" w:cs="Arial"/>
          <w:lang w:val="es-AR"/>
        </w:rPr>
      </w:pPr>
      <w:r w:rsidRPr="00173F1E">
        <w:rPr>
          <w:rStyle w:val="Refdenotaalpie"/>
          <w:rFonts w:ascii="Arial" w:hAnsi="Arial" w:cs="Arial"/>
          <w:lang w:val="es-AR"/>
        </w:rPr>
        <w:footnoteRef/>
      </w:r>
      <w:r w:rsidRPr="00173F1E">
        <w:rPr>
          <w:rFonts w:ascii="Arial" w:hAnsi="Arial" w:cs="Arial"/>
          <w:lang w:val="es-AR"/>
        </w:rPr>
        <w:t xml:space="preserve"> </w:t>
      </w:r>
      <w:r w:rsidRPr="00AC6E08">
        <w:rPr>
          <w:lang w:val="es-AR"/>
        </w:rPr>
        <w:t>De no existir restricciones a la demanda de gas, su participación en la matriz primaria sería superior aún en torno a 60%.</w:t>
      </w:r>
    </w:p>
  </w:footnote>
  <w:footnote w:id="7">
    <w:p w14:paraId="36BE0E82" w14:textId="77777777" w:rsidR="00051507" w:rsidRPr="00F33D9F" w:rsidRDefault="00051507" w:rsidP="00051507">
      <w:pPr>
        <w:pStyle w:val="Textonotapie"/>
        <w:ind w:left="312" w:hanging="170"/>
        <w:jc w:val="both"/>
        <w:rPr>
          <w:color w:val="000000" w:themeColor="text1"/>
          <w:lang w:val="es-AR"/>
        </w:rPr>
      </w:pPr>
      <w:r w:rsidRPr="00F33D9F">
        <w:rPr>
          <w:rStyle w:val="Refdenotaalpie"/>
          <w:color w:val="000000" w:themeColor="text1"/>
          <w:lang w:val="es-AR"/>
        </w:rPr>
        <w:footnoteRef/>
      </w:r>
      <w:r w:rsidRPr="00F33D9F">
        <w:rPr>
          <w:color w:val="000000" w:themeColor="text1"/>
          <w:lang w:val="es-AR"/>
        </w:rPr>
        <w:t xml:space="preserve"> En 2016 habían ingresado 407 MW; en 2017 2.179 MW; y 2.387 MW en 2018, de acuerdo con los datos difundidos por CAMMESA a fin de 2020. </w:t>
      </w:r>
    </w:p>
  </w:footnote>
  <w:footnote w:id="8">
    <w:p w14:paraId="343F5B8E" w14:textId="77777777" w:rsidR="00051507" w:rsidRPr="00F33D9F" w:rsidRDefault="00051507" w:rsidP="00051507">
      <w:pPr>
        <w:pStyle w:val="Textonotapie"/>
        <w:ind w:left="312" w:hanging="170"/>
        <w:jc w:val="both"/>
        <w:rPr>
          <w:color w:val="000000" w:themeColor="text1"/>
          <w:lang w:val="es-AR"/>
        </w:rPr>
      </w:pPr>
      <w:r w:rsidRPr="00F33D9F">
        <w:rPr>
          <w:rStyle w:val="Refdenotaalpie"/>
          <w:color w:val="000000" w:themeColor="text1"/>
          <w:lang w:val="es-AR"/>
        </w:rPr>
        <w:footnoteRef/>
      </w:r>
      <w:r w:rsidRPr="00F33D9F">
        <w:rPr>
          <w:color w:val="000000" w:themeColor="text1"/>
          <w:lang w:val="es-AR"/>
        </w:rPr>
        <w:t xml:space="preserve"> La diferencia entre la potencia nominal y la efectiva se debe a que algunas unidades poseen restricciones por insuficiencia de abastecimiento de combustibles, dificultades en alcanzar el rendimiento nominal, pero principalmente porque un número de unidades de generación térmica se encuentran recurrentemente en mantenimiento, o limitadas por cuestiones técnicas. También debe considerarse que las unidades renovables no despachan su potencia nominal todas las horas, sino que responden a parámetros particulares de velocidad puntual del viento y radiación.</w:t>
      </w:r>
    </w:p>
  </w:footnote>
  <w:footnote w:id="9">
    <w:p w14:paraId="7DA8379D" w14:textId="77777777" w:rsidR="00051507" w:rsidRPr="00DB7467" w:rsidRDefault="00051507" w:rsidP="00051507">
      <w:pPr>
        <w:pStyle w:val="Textonotapie"/>
        <w:ind w:left="312" w:hanging="170"/>
        <w:jc w:val="both"/>
        <w:rPr>
          <w:rFonts w:ascii="Arial" w:hAnsi="Arial" w:cs="Arial"/>
          <w:lang w:val="es-AR"/>
        </w:rPr>
      </w:pPr>
      <w:r w:rsidRPr="00F33D9F">
        <w:rPr>
          <w:rStyle w:val="Refdenotaalpie"/>
          <w:color w:val="000000" w:themeColor="text1"/>
          <w:lang w:val="es-AR"/>
        </w:rPr>
        <w:footnoteRef/>
      </w:r>
      <w:r w:rsidRPr="00F33D9F">
        <w:rPr>
          <w:color w:val="000000" w:themeColor="text1"/>
          <w:lang w:val="es-AR"/>
        </w:rPr>
        <w:t xml:space="preserve"> En 2018 se retiraron 201 MW de este tipo de unidades. En 2019 se retiraron 155 MW motores Diésel y 198 MW en unidades TV.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6C789" w14:textId="0F6F78F9" w:rsidR="00F50D1F" w:rsidRDefault="00F50D1F" w:rsidP="00F50D1F">
    <w:pPr>
      <w:pStyle w:val="Encabezado"/>
      <w:jc w:val="center"/>
    </w:pPr>
    <w:r>
      <w:rPr>
        <w:noProof/>
        <w:lang w:val="es-AR" w:eastAsia="es-AR"/>
      </w:rPr>
      <w:drawing>
        <wp:inline distT="0" distB="0" distL="0" distR="0" wp14:anchorId="4280950A" wp14:editId="59E27D65">
          <wp:extent cx="2689225" cy="729615"/>
          <wp:effectExtent l="0" t="0" r="0" b="0"/>
          <wp:docPr id="7" name="Picture 1" descr="Logo CT Roca - Alta"/>
          <wp:cNvGraphicFramePr/>
          <a:graphic xmlns:a="http://schemas.openxmlformats.org/drawingml/2006/main">
            <a:graphicData uri="http://schemas.openxmlformats.org/drawingml/2006/picture">
              <pic:pic xmlns:pic="http://schemas.openxmlformats.org/drawingml/2006/picture">
                <pic:nvPicPr>
                  <pic:cNvPr id="1" name="Picture 1" descr="Logo CT Roca - Alta"/>
                  <pic:cNvPicPr/>
                </pic:nvPicPr>
                <pic:blipFill rotWithShape="1">
                  <a:blip r:embed="rId1" cstate="print">
                    <a:extLst>
                      <a:ext uri="{28A0092B-C50C-407E-A947-70E740481C1C}">
                        <a14:useLocalDpi xmlns:a14="http://schemas.microsoft.com/office/drawing/2010/main" val="0"/>
                      </a:ext>
                    </a:extLst>
                  </a:blip>
                  <a:srcRect t="-1" b="7510"/>
                  <a:stretch/>
                </pic:blipFill>
                <pic:spPr bwMode="auto">
                  <a:xfrm>
                    <a:off x="0" y="0"/>
                    <a:ext cx="2689225" cy="72961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guin"/>
      <w:lvlText w:val="*"/>
      <w:lvlJc w:val="left"/>
    </w:lvl>
  </w:abstractNum>
  <w:abstractNum w:abstractNumId="1" w15:restartNumberingAfterBreak="0">
    <w:nsid w:val="00000001"/>
    <w:multiLevelType w:val="hybridMultilevel"/>
    <w:tmpl w:val="894EE873"/>
    <w:styleLink w:val="ImportedStyle1"/>
    <w:lvl w:ilvl="0" w:tplc="9B16063C">
      <w:start w:val="1"/>
      <w:numFmt w:val="bullet"/>
      <w:lvlText w:val="•"/>
      <w:lvlJc w:val="left"/>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78328456">
      <w:start w:val="1"/>
      <w:numFmt w:val="bullet"/>
      <w:lvlText w:val="o"/>
      <w:lvlJc w:val="left"/>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75BE5750">
      <w:start w:val="1"/>
      <w:numFmt w:val="bullet"/>
      <w:lvlText w:val="▪"/>
      <w:lvlJc w:val="left"/>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tplc="FE8E3186">
      <w:start w:val="1"/>
      <w:numFmt w:val="bullet"/>
      <w:lvlText w:val="•"/>
      <w:lvlJc w:val="left"/>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tplc="3A760F20">
      <w:start w:val="1"/>
      <w:numFmt w:val="bullet"/>
      <w:lvlText w:val="o"/>
      <w:lvlJc w:val="left"/>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tplc="7E68DE06">
      <w:start w:val="1"/>
      <w:numFmt w:val="bullet"/>
      <w:lvlText w:val="▪"/>
      <w:lvlJc w:val="left"/>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tplc="06B24282">
      <w:start w:val="1"/>
      <w:numFmt w:val="bullet"/>
      <w:lvlText w:val="•"/>
      <w:lvlJc w:val="left"/>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tplc="07A0FE4C">
      <w:start w:val="1"/>
      <w:numFmt w:val="bullet"/>
      <w:lvlText w:val="o"/>
      <w:lvlJc w:val="left"/>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tplc="582E4B0C">
      <w:start w:val="1"/>
      <w:numFmt w:val="bullet"/>
      <w:lvlText w:val="▪"/>
      <w:lvlJc w:val="left"/>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0000003"/>
    <w:multiLevelType w:val="hybridMultilevel"/>
    <w:tmpl w:val="894EE875"/>
    <w:styleLink w:val="ImportedStyle2"/>
    <w:lvl w:ilvl="0" w:tplc="BF580A1A">
      <w:start w:val="1"/>
      <w:numFmt w:val="bullet"/>
      <w:lvlText w:val="•"/>
      <w:lvlJc w:val="left"/>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D6E6D3CA">
      <w:start w:val="1"/>
      <w:numFmt w:val="bullet"/>
      <w:lvlText w:val="o"/>
      <w:lvlJc w:val="left"/>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98A8078C">
      <w:start w:val="1"/>
      <w:numFmt w:val="bullet"/>
      <w:lvlText w:val="▪"/>
      <w:lvlJc w:val="left"/>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tplc="E3C22F3E">
      <w:start w:val="1"/>
      <w:numFmt w:val="bullet"/>
      <w:lvlText w:val="•"/>
      <w:lvlJc w:val="left"/>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tplc="B0D458DA">
      <w:start w:val="1"/>
      <w:numFmt w:val="bullet"/>
      <w:lvlText w:val="o"/>
      <w:lvlJc w:val="left"/>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tplc="F5F8C20E">
      <w:start w:val="1"/>
      <w:numFmt w:val="bullet"/>
      <w:lvlText w:val="▪"/>
      <w:lvlJc w:val="left"/>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tplc="051C72CC">
      <w:start w:val="1"/>
      <w:numFmt w:val="bullet"/>
      <w:lvlText w:val="•"/>
      <w:lvlJc w:val="left"/>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tplc="A0460DB6">
      <w:start w:val="1"/>
      <w:numFmt w:val="bullet"/>
      <w:lvlText w:val="o"/>
      <w:lvlJc w:val="left"/>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tplc="7444E76C">
      <w:start w:val="1"/>
      <w:numFmt w:val="bullet"/>
      <w:lvlText w:val="▪"/>
      <w:lvlJc w:val="left"/>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0000005"/>
    <w:multiLevelType w:val="hybridMultilevel"/>
    <w:tmpl w:val="894EE877"/>
    <w:styleLink w:val="ImportedStyle3"/>
    <w:lvl w:ilvl="0" w:tplc="2A3A565E">
      <w:start w:val="1"/>
      <w:numFmt w:val="bullet"/>
      <w:lvlText w:val="•"/>
      <w:lvlJc w:val="left"/>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DF3C7F40">
      <w:start w:val="1"/>
      <w:numFmt w:val="bullet"/>
      <w:lvlText w:val="o"/>
      <w:lvlJc w:val="left"/>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3230BCD0">
      <w:start w:val="1"/>
      <w:numFmt w:val="bullet"/>
      <w:lvlText w:val="▪"/>
      <w:lvlJc w:val="left"/>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tplc="2E4CA0BA">
      <w:start w:val="1"/>
      <w:numFmt w:val="bullet"/>
      <w:lvlText w:val="•"/>
      <w:lvlJc w:val="left"/>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tplc="847E3D3A">
      <w:start w:val="1"/>
      <w:numFmt w:val="bullet"/>
      <w:lvlText w:val="o"/>
      <w:lvlJc w:val="left"/>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tplc="319CA6C2">
      <w:start w:val="1"/>
      <w:numFmt w:val="bullet"/>
      <w:lvlText w:val="▪"/>
      <w:lvlJc w:val="left"/>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tplc="EAA6AB24">
      <w:start w:val="1"/>
      <w:numFmt w:val="bullet"/>
      <w:lvlText w:val="•"/>
      <w:lvlJc w:val="left"/>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tplc="FD6807E6">
      <w:start w:val="1"/>
      <w:numFmt w:val="bullet"/>
      <w:lvlText w:val="o"/>
      <w:lvlJc w:val="left"/>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tplc="3CECBD22">
      <w:start w:val="1"/>
      <w:numFmt w:val="bullet"/>
      <w:lvlText w:val="▪"/>
      <w:lvlJc w:val="left"/>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0000007"/>
    <w:multiLevelType w:val="hybridMultilevel"/>
    <w:tmpl w:val="894EE879"/>
    <w:styleLink w:val="ImportedStyle30"/>
    <w:lvl w:ilvl="0" w:tplc="571AE0E6">
      <w:start w:val="1"/>
      <w:numFmt w:val="bullet"/>
      <w:lvlText w:val="-"/>
      <w:lvlJc w:val="left"/>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89808FBA">
      <w:start w:val="1"/>
      <w:numFmt w:val="bullet"/>
      <w:lvlText w:val="o"/>
      <w:lvlJc w:val="left"/>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5C221C3A">
      <w:start w:val="1"/>
      <w:numFmt w:val="bullet"/>
      <w:lvlText w:val="▪"/>
      <w:lvlJc w:val="left"/>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tplc="5E6238EE">
      <w:start w:val="1"/>
      <w:numFmt w:val="bullet"/>
      <w:lvlText w:val="•"/>
      <w:lvlJc w:val="left"/>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tplc="63CAC722">
      <w:start w:val="1"/>
      <w:numFmt w:val="bullet"/>
      <w:lvlText w:val="o"/>
      <w:lvlJc w:val="left"/>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tplc="1826CE32">
      <w:start w:val="1"/>
      <w:numFmt w:val="bullet"/>
      <w:lvlText w:val="▪"/>
      <w:lvlJc w:val="left"/>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tplc="0F048416">
      <w:start w:val="1"/>
      <w:numFmt w:val="bullet"/>
      <w:lvlText w:val="•"/>
      <w:lvlJc w:val="left"/>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tplc="E196BDD6">
      <w:start w:val="1"/>
      <w:numFmt w:val="bullet"/>
      <w:lvlText w:val="o"/>
      <w:lvlJc w:val="left"/>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tplc="3ABC9AFC">
      <w:start w:val="1"/>
      <w:numFmt w:val="bullet"/>
      <w:lvlText w:val="▪"/>
      <w:lvlJc w:val="left"/>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0000009"/>
    <w:multiLevelType w:val="multilevel"/>
    <w:tmpl w:val="5874B08E"/>
    <w:styleLink w:val="ImportedStyle5"/>
    <w:lvl w:ilvl="0">
      <w:start w:val="1"/>
      <w:numFmt w:val="bullet"/>
      <w:lvlText w:val="▪"/>
      <w:lvlJc w:val="left"/>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hint="default"/>
        <w:b/>
        <w:bCs/>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rPr>
        <w:rFonts w:hAnsi="Arial Unicode MS" w:hint="default"/>
        <w:b/>
        <w:bCs/>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hint="default"/>
        <w:b/>
        <w:bCs/>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rPr>
        <w:rFonts w:hAnsi="Arial Unicode MS" w:hint="default"/>
        <w:b/>
        <w:bCs/>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rPr>
        <w:rFonts w:hAnsi="Arial Unicode MS" w:hint="default"/>
        <w:b/>
        <w:bCs/>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rPr>
        <w:rFonts w:hAnsi="Arial Unicode MS" w:hint="default"/>
        <w:b/>
        <w:bCs/>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rPr>
        <w:rFonts w:hAnsi="Arial Unicode MS" w:hint="default"/>
        <w:b/>
        <w:bCs/>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rPr>
        <w:rFonts w:hAnsi="Arial Unicode MS" w:hint="default"/>
        <w:b/>
        <w:bCs/>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000000B"/>
    <w:multiLevelType w:val="hybridMultilevel"/>
    <w:tmpl w:val="894EE87D"/>
    <w:styleLink w:val="ImportedStyle6"/>
    <w:lvl w:ilvl="0" w:tplc="1158BD38">
      <w:start w:val="1"/>
      <w:numFmt w:val="bullet"/>
      <w:lvlText w:val="•"/>
      <w:lvlJc w:val="left"/>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B0D2ED9A">
      <w:start w:val="1"/>
      <w:numFmt w:val="bullet"/>
      <w:lvlText w:val="•"/>
      <w:lvlJc w:val="left"/>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E15AD1FC">
      <w:start w:val="1"/>
      <w:numFmt w:val="bullet"/>
      <w:lvlText w:val="•"/>
      <w:lvlJc w:val="left"/>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tplc="6BFAF002">
      <w:start w:val="1"/>
      <w:numFmt w:val="bullet"/>
      <w:lvlText w:val="•"/>
      <w:lvlJc w:val="left"/>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tplc="017C3ABE">
      <w:start w:val="1"/>
      <w:numFmt w:val="bullet"/>
      <w:lvlText w:val="•"/>
      <w:lvlJc w:val="left"/>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tplc="175A3852">
      <w:start w:val="1"/>
      <w:numFmt w:val="bullet"/>
      <w:lvlText w:val="•"/>
      <w:lvlJc w:val="left"/>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tplc="EC4825AC">
      <w:start w:val="1"/>
      <w:numFmt w:val="bullet"/>
      <w:lvlText w:val="•"/>
      <w:lvlJc w:val="left"/>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tplc="9A2CFED4">
      <w:start w:val="1"/>
      <w:numFmt w:val="bullet"/>
      <w:lvlText w:val="•"/>
      <w:lvlJc w:val="left"/>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tplc="C33A3858">
      <w:start w:val="1"/>
      <w:numFmt w:val="bullet"/>
      <w:lvlText w:val="•"/>
      <w:lvlJc w:val="left"/>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000000D"/>
    <w:multiLevelType w:val="hybridMultilevel"/>
    <w:tmpl w:val="894EE87F"/>
    <w:styleLink w:val="ImportedStyle7"/>
    <w:lvl w:ilvl="0" w:tplc="B49670FE">
      <w:start w:val="1"/>
      <w:numFmt w:val="lowerRoman"/>
      <w:lvlText w:val="(%1)"/>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5E8EE0E0">
      <w:start w:val="1"/>
      <w:numFmt w:val="lowerLetter"/>
      <w:lvlText w:val="%2."/>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7B004DB6">
      <w:start w:val="1"/>
      <w:numFmt w:val="lowerRoman"/>
      <w:lvlText w:val="%3."/>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tplc="9370BA9C">
      <w:start w:val="1"/>
      <w:numFmt w:val="decimal"/>
      <w:lvlText w:val="%4."/>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tplc="9676B0C4">
      <w:start w:val="1"/>
      <w:numFmt w:val="lowerLetter"/>
      <w:lvlText w:val="%5."/>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tplc="F968A3D2">
      <w:start w:val="1"/>
      <w:numFmt w:val="lowerRoman"/>
      <w:lvlText w:val="%6."/>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tplc="1E9A6F10">
      <w:start w:val="1"/>
      <w:numFmt w:val="decimal"/>
      <w:lvlText w:val="%7."/>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tplc="2708E82C">
      <w:start w:val="1"/>
      <w:numFmt w:val="lowerLetter"/>
      <w:lvlText w:val="%8."/>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tplc="944A5DCC">
      <w:start w:val="1"/>
      <w:numFmt w:val="lowerRoman"/>
      <w:lvlText w:val="%9."/>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000000F"/>
    <w:multiLevelType w:val="hybridMultilevel"/>
    <w:tmpl w:val="894EE881"/>
    <w:styleLink w:val="ImportedStyle8"/>
    <w:lvl w:ilvl="0" w:tplc="05EA3726">
      <w:start w:val="1"/>
      <w:numFmt w:val="lowerRoman"/>
      <w:lvlText w:val="(%1)"/>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1B420CD0">
      <w:start w:val="1"/>
      <w:numFmt w:val="lowerLetter"/>
      <w:lvlText w:val="%2."/>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DDDA7BB4">
      <w:start w:val="1"/>
      <w:numFmt w:val="lowerRoman"/>
      <w:lvlText w:val="%3."/>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tplc="12BAAE6A">
      <w:start w:val="1"/>
      <w:numFmt w:val="decimal"/>
      <w:lvlText w:val="%4."/>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tplc="8A2C5EEC">
      <w:start w:val="1"/>
      <w:numFmt w:val="lowerLetter"/>
      <w:lvlText w:val="%5."/>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tplc="D714A764">
      <w:start w:val="1"/>
      <w:numFmt w:val="lowerRoman"/>
      <w:lvlText w:val="%6."/>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tplc="3DAECF3C">
      <w:start w:val="1"/>
      <w:numFmt w:val="decimal"/>
      <w:lvlText w:val="%7."/>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tplc="EDEC302E">
      <w:start w:val="1"/>
      <w:numFmt w:val="lowerLetter"/>
      <w:lvlText w:val="%8."/>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tplc="B38EDBFC">
      <w:start w:val="1"/>
      <w:numFmt w:val="lowerRoman"/>
      <w:lvlText w:val="%9."/>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0000011"/>
    <w:multiLevelType w:val="hybridMultilevel"/>
    <w:tmpl w:val="894EE883"/>
    <w:styleLink w:val="ImportedStyle9"/>
    <w:lvl w:ilvl="0" w:tplc="65E22DD0">
      <w:start w:val="1"/>
      <w:numFmt w:val="decimal"/>
      <w:lvlText w:val="%1."/>
      <w:lvlJc w:val="left"/>
      <w:rPr>
        <w:rFonts w:hAnsi="Arial Unicode MS" w:hint="default"/>
        <w:b/>
        <w:bCs/>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B70C3A4">
      <w:start w:val="1"/>
      <w:numFmt w:val="lowerLetter"/>
      <w:lvlText w:val="%2."/>
      <w:lvlJc w:val="left"/>
      <w:rPr>
        <w:rFonts w:hAnsi="Arial Unicode MS" w:hint="default"/>
        <w:b/>
        <w:bCs/>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EE84CDE8">
      <w:start w:val="1"/>
      <w:numFmt w:val="lowerRoman"/>
      <w:lvlText w:val="%3."/>
      <w:lvlJc w:val="left"/>
      <w:rPr>
        <w:rFonts w:hAnsi="Arial Unicode MS" w:hint="default"/>
        <w:b/>
        <w:bCs/>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tplc="C01C8F16">
      <w:start w:val="1"/>
      <w:numFmt w:val="decimal"/>
      <w:lvlText w:val="%4."/>
      <w:lvlJc w:val="left"/>
      <w:rPr>
        <w:rFonts w:hAnsi="Arial Unicode MS" w:hint="default"/>
        <w:b/>
        <w:bCs/>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tplc="D8D26B22">
      <w:start w:val="1"/>
      <w:numFmt w:val="lowerLetter"/>
      <w:lvlText w:val="%5."/>
      <w:lvlJc w:val="left"/>
      <w:rPr>
        <w:rFonts w:hAnsi="Arial Unicode MS" w:hint="default"/>
        <w:b/>
        <w:bCs/>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tplc="52C01B78">
      <w:start w:val="1"/>
      <w:numFmt w:val="lowerRoman"/>
      <w:lvlText w:val="%6."/>
      <w:lvlJc w:val="left"/>
      <w:rPr>
        <w:rFonts w:hAnsi="Arial Unicode MS" w:hint="default"/>
        <w:b/>
        <w:bCs/>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tplc="169266B0">
      <w:start w:val="1"/>
      <w:numFmt w:val="decimal"/>
      <w:lvlText w:val="%7."/>
      <w:lvlJc w:val="left"/>
      <w:rPr>
        <w:rFonts w:hAnsi="Arial Unicode MS" w:hint="default"/>
        <w:b/>
        <w:bCs/>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tplc="0348366C">
      <w:start w:val="1"/>
      <w:numFmt w:val="lowerLetter"/>
      <w:lvlText w:val="%8."/>
      <w:lvlJc w:val="left"/>
      <w:rPr>
        <w:rFonts w:hAnsi="Arial Unicode MS" w:hint="default"/>
        <w:b/>
        <w:bCs/>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tplc="1A92C05C">
      <w:start w:val="1"/>
      <w:numFmt w:val="lowerRoman"/>
      <w:lvlText w:val="%9."/>
      <w:lvlJc w:val="left"/>
      <w:rPr>
        <w:rFonts w:hAnsi="Arial Unicode MS" w:hint="default"/>
        <w:b/>
        <w:bCs/>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0000013"/>
    <w:multiLevelType w:val="hybridMultilevel"/>
    <w:tmpl w:val="894EE885"/>
    <w:styleLink w:val="ImportedStyle16"/>
    <w:lvl w:ilvl="0" w:tplc="C45C784A">
      <w:start w:val="1"/>
      <w:numFmt w:val="decimal"/>
      <w:lvlText w:val="%1."/>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17626876">
      <w:start w:val="1"/>
      <w:numFmt w:val="lowerLetter"/>
      <w:lvlText w:val="%2."/>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08D8C5E6">
      <w:start w:val="1"/>
      <w:numFmt w:val="lowerRoman"/>
      <w:lvlText w:val="%3."/>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tplc="826CD0EA">
      <w:start w:val="1"/>
      <w:numFmt w:val="decimal"/>
      <w:lvlText w:val="%4."/>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tplc="510498EE">
      <w:start w:val="1"/>
      <w:numFmt w:val="lowerLetter"/>
      <w:lvlText w:val="%5."/>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tplc="76D651D6">
      <w:start w:val="1"/>
      <w:numFmt w:val="lowerRoman"/>
      <w:lvlText w:val="%6."/>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tplc="FADA4986">
      <w:start w:val="1"/>
      <w:numFmt w:val="decimal"/>
      <w:lvlText w:val="%7."/>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tplc="2CF07DF2">
      <w:start w:val="1"/>
      <w:numFmt w:val="lowerLetter"/>
      <w:lvlText w:val="%8."/>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tplc="3E547CB0">
      <w:start w:val="1"/>
      <w:numFmt w:val="lowerRoman"/>
      <w:lvlText w:val="%9."/>
      <w:lvlJc w:val="left"/>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000001C"/>
    <w:multiLevelType w:val="hybridMultilevel"/>
    <w:tmpl w:val="894EE88F"/>
    <w:lvl w:ilvl="0" w:tplc="36F24E10">
      <w:numFmt w:val="decimal"/>
      <w:lvlText w:val=""/>
      <w:lvlJc w:val="left"/>
    </w:lvl>
    <w:lvl w:ilvl="1" w:tplc="1F5A14E0">
      <w:numFmt w:val="decimal"/>
      <w:lvlText w:val=""/>
      <w:lvlJc w:val="left"/>
    </w:lvl>
    <w:lvl w:ilvl="2" w:tplc="2A28BCB0">
      <w:numFmt w:val="decimal"/>
      <w:lvlText w:val=""/>
      <w:lvlJc w:val="left"/>
    </w:lvl>
    <w:lvl w:ilvl="3" w:tplc="62CA3946">
      <w:numFmt w:val="decimal"/>
      <w:lvlText w:val=""/>
      <w:lvlJc w:val="left"/>
    </w:lvl>
    <w:lvl w:ilvl="4" w:tplc="A45CDEE2">
      <w:numFmt w:val="decimal"/>
      <w:lvlText w:val=""/>
      <w:lvlJc w:val="left"/>
    </w:lvl>
    <w:lvl w:ilvl="5" w:tplc="2356FA4C">
      <w:numFmt w:val="decimal"/>
      <w:lvlText w:val=""/>
      <w:lvlJc w:val="left"/>
    </w:lvl>
    <w:lvl w:ilvl="6" w:tplc="F7B6C690">
      <w:numFmt w:val="decimal"/>
      <w:lvlText w:val=""/>
      <w:lvlJc w:val="left"/>
    </w:lvl>
    <w:lvl w:ilvl="7" w:tplc="12C44716">
      <w:numFmt w:val="decimal"/>
      <w:lvlText w:val=""/>
      <w:lvlJc w:val="left"/>
    </w:lvl>
    <w:lvl w:ilvl="8" w:tplc="79BE1488">
      <w:numFmt w:val="decimal"/>
      <w:lvlText w:val=""/>
      <w:lvlJc w:val="left"/>
    </w:lvl>
  </w:abstractNum>
  <w:abstractNum w:abstractNumId="12" w15:restartNumberingAfterBreak="0">
    <w:nsid w:val="004466A0"/>
    <w:multiLevelType w:val="hybridMultilevel"/>
    <w:tmpl w:val="52FADC62"/>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036C6783"/>
    <w:multiLevelType w:val="hybridMultilevel"/>
    <w:tmpl w:val="A028A5B6"/>
    <w:lvl w:ilvl="0" w:tplc="2C0A0001">
      <w:start w:val="1"/>
      <w:numFmt w:val="bullet"/>
      <w:lvlText w:val=""/>
      <w:lvlJc w:val="left"/>
      <w:pPr>
        <w:ind w:left="4406" w:hanging="360"/>
      </w:pPr>
      <w:rPr>
        <w:rFonts w:ascii="Symbol" w:hAnsi="Symbol" w:hint="default"/>
      </w:rPr>
    </w:lvl>
    <w:lvl w:ilvl="1" w:tplc="2C0A0003" w:tentative="1">
      <w:start w:val="1"/>
      <w:numFmt w:val="bullet"/>
      <w:lvlText w:val="o"/>
      <w:lvlJc w:val="left"/>
      <w:pPr>
        <w:ind w:left="5126" w:hanging="360"/>
      </w:pPr>
      <w:rPr>
        <w:rFonts w:ascii="Courier New" w:hAnsi="Courier New" w:cs="Courier New" w:hint="default"/>
      </w:rPr>
    </w:lvl>
    <w:lvl w:ilvl="2" w:tplc="2C0A0005" w:tentative="1">
      <w:start w:val="1"/>
      <w:numFmt w:val="bullet"/>
      <w:lvlText w:val=""/>
      <w:lvlJc w:val="left"/>
      <w:pPr>
        <w:ind w:left="5846" w:hanging="360"/>
      </w:pPr>
      <w:rPr>
        <w:rFonts w:ascii="Wingdings" w:hAnsi="Wingdings" w:hint="default"/>
      </w:rPr>
    </w:lvl>
    <w:lvl w:ilvl="3" w:tplc="2C0A0001" w:tentative="1">
      <w:start w:val="1"/>
      <w:numFmt w:val="bullet"/>
      <w:lvlText w:val=""/>
      <w:lvlJc w:val="left"/>
      <w:pPr>
        <w:ind w:left="6566" w:hanging="360"/>
      </w:pPr>
      <w:rPr>
        <w:rFonts w:ascii="Symbol" w:hAnsi="Symbol" w:hint="default"/>
      </w:rPr>
    </w:lvl>
    <w:lvl w:ilvl="4" w:tplc="2C0A0003" w:tentative="1">
      <w:start w:val="1"/>
      <w:numFmt w:val="bullet"/>
      <w:lvlText w:val="o"/>
      <w:lvlJc w:val="left"/>
      <w:pPr>
        <w:ind w:left="7286" w:hanging="360"/>
      </w:pPr>
      <w:rPr>
        <w:rFonts w:ascii="Courier New" w:hAnsi="Courier New" w:cs="Courier New" w:hint="default"/>
      </w:rPr>
    </w:lvl>
    <w:lvl w:ilvl="5" w:tplc="2C0A0005" w:tentative="1">
      <w:start w:val="1"/>
      <w:numFmt w:val="bullet"/>
      <w:lvlText w:val=""/>
      <w:lvlJc w:val="left"/>
      <w:pPr>
        <w:ind w:left="8006" w:hanging="360"/>
      </w:pPr>
      <w:rPr>
        <w:rFonts w:ascii="Wingdings" w:hAnsi="Wingdings" w:hint="default"/>
      </w:rPr>
    </w:lvl>
    <w:lvl w:ilvl="6" w:tplc="2C0A0001" w:tentative="1">
      <w:start w:val="1"/>
      <w:numFmt w:val="bullet"/>
      <w:lvlText w:val=""/>
      <w:lvlJc w:val="left"/>
      <w:pPr>
        <w:ind w:left="8726" w:hanging="360"/>
      </w:pPr>
      <w:rPr>
        <w:rFonts w:ascii="Symbol" w:hAnsi="Symbol" w:hint="default"/>
      </w:rPr>
    </w:lvl>
    <w:lvl w:ilvl="7" w:tplc="2C0A0003" w:tentative="1">
      <w:start w:val="1"/>
      <w:numFmt w:val="bullet"/>
      <w:lvlText w:val="o"/>
      <w:lvlJc w:val="left"/>
      <w:pPr>
        <w:ind w:left="9446" w:hanging="360"/>
      </w:pPr>
      <w:rPr>
        <w:rFonts w:ascii="Courier New" w:hAnsi="Courier New" w:cs="Courier New" w:hint="default"/>
      </w:rPr>
    </w:lvl>
    <w:lvl w:ilvl="8" w:tplc="2C0A0005" w:tentative="1">
      <w:start w:val="1"/>
      <w:numFmt w:val="bullet"/>
      <w:lvlText w:val=""/>
      <w:lvlJc w:val="left"/>
      <w:pPr>
        <w:ind w:left="10166" w:hanging="360"/>
      </w:pPr>
      <w:rPr>
        <w:rFonts w:ascii="Wingdings" w:hAnsi="Wingdings" w:hint="default"/>
      </w:rPr>
    </w:lvl>
  </w:abstractNum>
  <w:abstractNum w:abstractNumId="14" w15:restartNumberingAfterBreak="0">
    <w:nsid w:val="049A383C"/>
    <w:multiLevelType w:val="multilevel"/>
    <w:tmpl w:val="95148E4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984408E"/>
    <w:multiLevelType w:val="multilevel"/>
    <w:tmpl w:val="CF020DFA"/>
    <w:name w:val="PwCListNumbers1"/>
    <w:styleLink w:val="PwCListNumbers1"/>
    <w:lvl w:ilvl="0">
      <w:start w:val="1"/>
      <w:numFmt w:val="decimal"/>
      <w:pStyle w:val="Listaconnmeros"/>
      <w:lvlText w:val="%1."/>
      <w:lvlJc w:val="left"/>
      <w:pPr>
        <w:tabs>
          <w:tab w:val="num" w:pos="397"/>
        </w:tabs>
        <w:ind w:left="397" w:hanging="397"/>
      </w:pPr>
      <w:rPr>
        <w:rFonts w:hint="default"/>
      </w:rPr>
    </w:lvl>
    <w:lvl w:ilvl="1">
      <w:start w:val="1"/>
      <w:numFmt w:val="lowerLetter"/>
      <w:pStyle w:val="Listaconnmeros2"/>
      <w:lvlText w:val="%2."/>
      <w:lvlJc w:val="left"/>
      <w:pPr>
        <w:tabs>
          <w:tab w:val="num" w:pos="794"/>
        </w:tabs>
        <w:ind w:left="794" w:hanging="397"/>
      </w:pPr>
      <w:rPr>
        <w:rFonts w:hint="default"/>
      </w:rPr>
    </w:lvl>
    <w:lvl w:ilvl="2">
      <w:start w:val="1"/>
      <w:numFmt w:val="lowerRoman"/>
      <w:pStyle w:val="Listaconnmeros3"/>
      <w:lvlText w:val="%3."/>
      <w:lvlJc w:val="left"/>
      <w:pPr>
        <w:tabs>
          <w:tab w:val="num" w:pos="1191"/>
        </w:tabs>
        <w:ind w:left="1191" w:hanging="397"/>
      </w:pPr>
      <w:rPr>
        <w:rFonts w:hint="default"/>
      </w:rPr>
    </w:lvl>
    <w:lvl w:ilvl="3">
      <w:start w:val="1"/>
      <w:numFmt w:val="decimal"/>
      <w:pStyle w:val="Listaconnmeros4"/>
      <w:lvlText w:val="%4."/>
      <w:lvlJc w:val="left"/>
      <w:pPr>
        <w:tabs>
          <w:tab w:val="num" w:pos="1588"/>
        </w:tabs>
        <w:ind w:left="1588" w:hanging="397"/>
      </w:pPr>
      <w:rPr>
        <w:rFonts w:hint="default"/>
      </w:rPr>
    </w:lvl>
    <w:lvl w:ilvl="4">
      <w:start w:val="1"/>
      <w:numFmt w:val="lowerLetter"/>
      <w:pStyle w:val="Listaconnmeros5"/>
      <w:lvlText w:val="%5."/>
      <w:lvlJc w:val="left"/>
      <w:pPr>
        <w:tabs>
          <w:tab w:val="num" w:pos="1985"/>
        </w:tabs>
        <w:ind w:left="1985" w:hanging="397"/>
      </w:pPr>
      <w:rPr>
        <w:rFonts w:hint="default"/>
      </w:rPr>
    </w:lvl>
    <w:lvl w:ilvl="5">
      <w:start w:val="1"/>
      <w:numFmt w:val="lowerRoman"/>
      <w:lvlText w:val="%6."/>
      <w:lvlJc w:val="left"/>
      <w:pPr>
        <w:tabs>
          <w:tab w:val="num" w:pos="2381"/>
        </w:tabs>
        <w:ind w:left="2382" w:hanging="397"/>
      </w:pPr>
      <w:rPr>
        <w:rFonts w:hint="default"/>
      </w:rPr>
    </w:lvl>
    <w:lvl w:ilvl="6">
      <w:start w:val="1"/>
      <w:numFmt w:val="decimal"/>
      <w:lvlText w:val="%7."/>
      <w:lvlJc w:val="left"/>
      <w:pPr>
        <w:tabs>
          <w:tab w:val="num" w:pos="2778"/>
        </w:tabs>
        <w:ind w:left="2779" w:hanging="397"/>
      </w:pPr>
      <w:rPr>
        <w:rFonts w:hint="default"/>
      </w:rPr>
    </w:lvl>
    <w:lvl w:ilvl="7">
      <w:start w:val="1"/>
      <w:numFmt w:val="lowerLetter"/>
      <w:lvlText w:val="%8."/>
      <w:lvlJc w:val="left"/>
      <w:pPr>
        <w:tabs>
          <w:tab w:val="num" w:pos="3175"/>
        </w:tabs>
        <w:ind w:left="3176" w:hanging="397"/>
      </w:pPr>
      <w:rPr>
        <w:rFonts w:hint="default"/>
      </w:rPr>
    </w:lvl>
    <w:lvl w:ilvl="8">
      <w:start w:val="1"/>
      <w:numFmt w:val="lowerRoman"/>
      <w:lvlText w:val="%9."/>
      <w:lvlJc w:val="left"/>
      <w:pPr>
        <w:tabs>
          <w:tab w:val="num" w:pos="3572"/>
        </w:tabs>
        <w:ind w:left="3573" w:hanging="397"/>
      </w:pPr>
      <w:rPr>
        <w:rFonts w:hint="default"/>
      </w:rPr>
    </w:lvl>
  </w:abstractNum>
  <w:abstractNum w:abstractNumId="16" w15:restartNumberingAfterBreak="0">
    <w:nsid w:val="0B600416"/>
    <w:multiLevelType w:val="hybridMultilevel"/>
    <w:tmpl w:val="E2DA507C"/>
    <w:lvl w:ilvl="0" w:tplc="2C0A0001">
      <w:start w:val="1"/>
      <w:numFmt w:val="bullet"/>
      <w:lvlText w:val=""/>
      <w:lvlJc w:val="left"/>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0BC826FF"/>
    <w:multiLevelType w:val="hybridMultilevel"/>
    <w:tmpl w:val="D22A10AC"/>
    <w:lvl w:ilvl="0" w:tplc="72DCCEC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0C8C7721"/>
    <w:multiLevelType w:val="hybridMultilevel"/>
    <w:tmpl w:val="F9E686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0DE41707"/>
    <w:multiLevelType w:val="hybridMultilevel"/>
    <w:tmpl w:val="26C85360"/>
    <w:lvl w:ilvl="0" w:tplc="FB16463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15AD5492"/>
    <w:multiLevelType w:val="hybridMultilevel"/>
    <w:tmpl w:val="728CC444"/>
    <w:lvl w:ilvl="0" w:tplc="4420DAE6">
      <w:numFmt w:val="bullet"/>
      <w:lvlText w:val="-"/>
      <w:lvlJc w:val="left"/>
      <w:pPr>
        <w:ind w:left="1080" w:hanging="360"/>
      </w:pPr>
      <w:rPr>
        <w:rFonts w:ascii="Calibri" w:eastAsia="Calibri" w:hAnsi="Calibri" w:cs="Times New Roman" w:hint="default"/>
      </w:rPr>
    </w:lvl>
    <w:lvl w:ilvl="1" w:tplc="2C0A0003">
      <w:start w:val="1"/>
      <w:numFmt w:val="bullet"/>
      <w:lvlText w:val="o"/>
      <w:lvlJc w:val="left"/>
      <w:pPr>
        <w:ind w:left="1800" w:hanging="360"/>
      </w:pPr>
      <w:rPr>
        <w:rFonts w:ascii="Courier New" w:hAnsi="Courier New" w:cs="Courier New" w:hint="default"/>
      </w:rPr>
    </w:lvl>
    <w:lvl w:ilvl="2" w:tplc="2C0A0005">
      <w:start w:val="1"/>
      <w:numFmt w:val="bullet"/>
      <w:lvlText w:val=""/>
      <w:lvlJc w:val="left"/>
      <w:pPr>
        <w:ind w:left="2520" w:hanging="360"/>
      </w:pPr>
      <w:rPr>
        <w:rFonts w:ascii="Wingdings" w:hAnsi="Wingdings" w:hint="default"/>
      </w:rPr>
    </w:lvl>
    <w:lvl w:ilvl="3" w:tplc="2C0A0001">
      <w:start w:val="1"/>
      <w:numFmt w:val="bullet"/>
      <w:lvlText w:val=""/>
      <w:lvlJc w:val="left"/>
      <w:pPr>
        <w:ind w:left="3240" w:hanging="360"/>
      </w:pPr>
      <w:rPr>
        <w:rFonts w:ascii="Symbol" w:hAnsi="Symbol" w:hint="default"/>
      </w:rPr>
    </w:lvl>
    <w:lvl w:ilvl="4" w:tplc="2C0A0003">
      <w:start w:val="1"/>
      <w:numFmt w:val="bullet"/>
      <w:lvlText w:val="o"/>
      <w:lvlJc w:val="left"/>
      <w:pPr>
        <w:ind w:left="3960" w:hanging="360"/>
      </w:pPr>
      <w:rPr>
        <w:rFonts w:ascii="Courier New" w:hAnsi="Courier New" w:cs="Courier New" w:hint="default"/>
      </w:rPr>
    </w:lvl>
    <w:lvl w:ilvl="5" w:tplc="2C0A0005">
      <w:start w:val="1"/>
      <w:numFmt w:val="bullet"/>
      <w:lvlText w:val=""/>
      <w:lvlJc w:val="left"/>
      <w:pPr>
        <w:ind w:left="4680" w:hanging="360"/>
      </w:pPr>
      <w:rPr>
        <w:rFonts w:ascii="Wingdings" w:hAnsi="Wingdings" w:hint="default"/>
      </w:rPr>
    </w:lvl>
    <w:lvl w:ilvl="6" w:tplc="2C0A0001">
      <w:start w:val="1"/>
      <w:numFmt w:val="bullet"/>
      <w:lvlText w:val=""/>
      <w:lvlJc w:val="left"/>
      <w:pPr>
        <w:ind w:left="5400" w:hanging="360"/>
      </w:pPr>
      <w:rPr>
        <w:rFonts w:ascii="Symbol" w:hAnsi="Symbol" w:hint="default"/>
      </w:rPr>
    </w:lvl>
    <w:lvl w:ilvl="7" w:tplc="2C0A0003">
      <w:start w:val="1"/>
      <w:numFmt w:val="bullet"/>
      <w:lvlText w:val="o"/>
      <w:lvlJc w:val="left"/>
      <w:pPr>
        <w:ind w:left="6120" w:hanging="360"/>
      </w:pPr>
      <w:rPr>
        <w:rFonts w:ascii="Courier New" w:hAnsi="Courier New" w:cs="Courier New" w:hint="default"/>
      </w:rPr>
    </w:lvl>
    <w:lvl w:ilvl="8" w:tplc="2C0A0005">
      <w:start w:val="1"/>
      <w:numFmt w:val="bullet"/>
      <w:lvlText w:val=""/>
      <w:lvlJc w:val="left"/>
      <w:pPr>
        <w:ind w:left="6840" w:hanging="360"/>
      </w:pPr>
      <w:rPr>
        <w:rFonts w:ascii="Wingdings" w:hAnsi="Wingdings" w:hint="default"/>
      </w:rPr>
    </w:lvl>
  </w:abstractNum>
  <w:abstractNum w:abstractNumId="21" w15:restartNumberingAfterBreak="0">
    <w:nsid w:val="1A43419F"/>
    <w:multiLevelType w:val="hybridMultilevel"/>
    <w:tmpl w:val="7DB06EC6"/>
    <w:lvl w:ilvl="0" w:tplc="93B8A38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23A82D18"/>
    <w:multiLevelType w:val="hybridMultilevel"/>
    <w:tmpl w:val="661476E8"/>
    <w:lvl w:ilvl="0" w:tplc="2C0A0001">
      <w:start w:val="1"/>
      <w:numFmt w:val="bullet"/>
      <w:lvlText w:val=""/>
      <w:lvlJc w:val="left"/>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23C024A3"/>
    <w:multiLevelType w:val="hybridMultilevel"/>
    <w:tmpl w:val="6A2CB004"/>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78312DB"/>
    <w:multiLevelType w:val="hybridMultilevel"/>
    <w:tmpl w:val="6368F358"/>
    <w:lvl w:ilvl="0" w:tplc="FE082744">
      <w:start w:val="1"/>
      <w:numFmt w:val="decimal"/>
      <w:lvlText w:val="%1."/>
      <w:lvlJc w:val="left"/>
      <w:pPr>
        <w:ind w:left="720" w:hanging="360"/>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2A4273F8"/>
    <w:multiLevelType w:val="singleLevel"/>
    <w:tmpl w:val="FBF0D9FE"/>
    <w:lvl w:ilvl="0">
      <w:start w:val="1"/>
      <w:numFmt w:val="bullet"/>
      <w:pStyle w:val="Titulo2Vieta"/>
      <w:lvlText w:val=""/>
      <w:lvlJc w:val="left"/>
      <w:pPr>
        <w:tabs>
          <w:tab w:val="num" w:pos="360"/>
        </w:tabs>
        <w:ind w:left="360" w:hanging="360"/>
      </w:pPr>
      <w:rPr>
        <w:rFonts w:ascii="Wingdings" w:hAnsi="Wingdings" w:hint="default"/>
        <w:sz w:val="14"/>
      </w:rPr>
    </w:lvl>
  </w:abstractNum>
  <w:abstractNum w:abstractNumId="26" w15:restartNumberingAfterBreak="0">
    <w:nsid w:val="31E60FD9"/>
    <w:multiLevelType w:val="hybridMultilevel"/>
    <w:tmpl w:val="B28AF236"/>
    <w:lvl w:ilvl="0" w:tplc="A9909918">
      <w:start w:val="1"/>
      <w:numFmt w:val="lowerLetter"/>
      <w:pStyle w:val="carol1"/>
      <w:lvlText w:val="(%1)"/>
      <w:lvlJc w:val="left"/>
      <w:pPr>
        <w:tabs>
          <w:tab w:val="num" w:pos="720"/>
        </w:tabs>
        <w:ind w:left="720" w:hanging="360"/>
      </w:pPr>
      <w:rPr>
        <w:rFonts w:hint="default"/>
      </w:r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27" w15:restartNumberingAfterBreak="0">
    <w:nsid w:val="325D4995"/>
    <w:multiLevelType w:val="hybridMultilevel"/>
    <w:tmpl w:val="30AC9106"/>
    <w:lvl w:ilvl="0" w:tplc="C8B43D4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3E0751D3"/>
    <w:multiLevelType w:val="hybridMultilevel"/>
    <w:tmpl w:val="7F44BA7C"/>
    <w:lvl w:ilvl="0" w:tplc="3A0EAB4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42BD1101"/>
    <w:multiLevelType w:val="hybridMultilevel"/>
    <w:tmpl w:val="75FCD568"/>
    <w:lvl w:ilvl="0" w:tplc="D00C0FB2">
      <w:start w:val="1"/>
      <w:numFmt w:val="decimal"/>
      <w:lvlText w:val="%1."/>
      <w:lvlJc w:val="left"/>
      <w:pPr>
        <w:ind w:left="720" w:hanging="360"/>
      </w:pPr>
      <w:rPr>
        <w:rFonts w:hint="default"/>
        <w:color w:val="8496B0" w:themeColor="text2" w:themeTint="99"/>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99407EA"/>
    <w:multiLevelType w:val="hybridMultilevel"/>
    <w:tmpl w:val="C01C94FE"/>
    <w:lvl w:ilvl="0" w:tplc="2C0A0001">
      <w:start w:val="1"/>
      <w:numFmt w:val="bullet"/>
      <w:lvlText w:val=""/>
      <w:lvlJc w:val="left"/>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15:restartNumberingAfterBreak="0">
    <w:nsid w:val="4CD41686"/>
    <w:multiLevelType w:val="multilevel"/>
    <w:tmpl w:val="FA4617F4"/>
    <w:styleLink w:val="111111"/>
    <w:lvl w:ilvl="0">
      <w:start w:val="6"/>
      <w:numFmt w:val="decimal"/>
      <w:lvlText w:val="%1."/>
      <w:lvlJc w:val="left"/>
      <w:pPr>
        <w:tabs>
          <w:tab w:val="num" w:pos="360"/>
        </w:tabs>
        <w:ind w:left="360" w:hanging="360"/>
      </w:pPr>
      <w:rPr>
        <w:rFonts w:hint="default"/>
      </w:rPr>
    </w:lvl>
    <w:lvl w:ilvl="1">
      <w:start w:val="1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4F03745D"/>
    <w:multiLevelType w:val="hybridMultilevel"/>
    <w:tmpl w:val="ACEC5AE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15:restartNumberingAfterBreak="0">
    <w:nsid w:val="50DB38B1"/>
    <w:multiLevelType w:val="hybridMultilevel"/>
    <w:tmpl w:val="EB24508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15:restartNumberingAfterBreak="0">
    <w:nsid w:val="5EED7905"/>
    <w:multiLevelType w:val="hybridMultilevel"/>
    <w:tmpl w:val="C9E02A4C"/>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5" w15:restartNumberingAfterBreak="0">
    <w:nsid w:val="72591CA9"/>
    <w:multiLevelType w:val="multilevel"/>
    <w:tmpl w:val="B790A32C"/>
    <w:name w:val="PwCListBullets1"/>
    <w:styleLink w:val="PwCListBullets1"/>
    <w:lvl w:ilvl="0">
      <w:start w:val="1"/>
      <w:numFmt w:val="bullet"/>
      <w:pStyle w:val="Listaconvietas"/>
      <w:lvlText w:val=""/>
      <w:lvlJc w:val="left"/>
      <w:pPr>
        <w:tabs>
          <w:tab w:val="num" w:pos="397"/>
        </w:tabs>
        <w:ind w:left="397" w:hanging="397"/>
      </w:pPr>
      <w:rPr>
        <w:rFonts w:ascii="Symbol" w:hAnsi="Symbol" w:hint="default"/>
      </w:rPr>
    </w:lvl>
    <w:lvl w:ilvl="1">
      <w:start w:val="1"/>
      <w:numFmt w:val="bullet"/>
      <w:pStyle w:val="Listaconvietas2"/>
      <w:lvlText w:val=""/>
      <w:lvlJc w:val="left"/>
      <w:pPr>
        <w:tabs>
          <w:tab w:val="num" w:pos="794"/>
        </w:tabs>
        <w:ind w:left="794" w:hanging="397"/>
      </w:pPr>
      <w:rPr>
        <w:rFonts w:ascii="Symbol" w:hAnsi="Symbol" w:hint="default"/>
      </w:rPr>
    </w:lvl>
    <w:lvl w:ilvl="2">
      <w:start w:val="1"/>
      <w:numFmt w:val="bullet"/>
      <w:pStyle w:val="Listaconvietas3"/>
      <w:lvlText w:val=""/>
      <w:lvlJc w:val="left"/>
      <w:pPr>
        <w:tabs>
          <w:tab w:val="num" w:pos="1191"/>
        </w:tabs>
        <w:ind w:left="1191" w:hanging="397"/>
      </w:pPr>
      <w:rPr>
        <w:rFonts w:ascii="Symbol" w:hAnsi="Symbol" w:hint="default"/>
      </w:rPr>
    </w:lvl>
    <w:lvl w:ilvl="3">
      <w:start w:val="1"/>
      <w:numFmt w:val="bullet"/>
      <w:pStyle w:val="Listaconvietas4"/>
      <w:lvlText w:val=""/>
      <w:lvlJc w:val="left"/>
      <w:pPr>
        <w:tabs>
          <w:tab w:val="num" w:pos="1588"/>
        </w:tabs>
        <w:ind w:left="1588" w:hanging="397"/>
      </w:pPr>
      <w:rPr>
        <w:rFonts w:ascii="Symbol" w:hAnsi="Symbol" w:hint="default"/>
      </w:rPr>
    </w:lvl>
    <w:lvl w:ilvl="4">
      <w:start w:val="1"/>
      <w:numFmt w:val="bullet"/>
      <w:pStyle w:val="Listaconvietas5"/>
      <w:lvlText w:val=""/>
      <w:lvlJc w:val="left"/>
      <w:pPr>
        <w:tabs>
          <w:tab w:val="num" w:pos="1985"/>
        </w:tabs>
        <w:ind w:left="1985" w:hanging="397"/>
      </w:pPr>
      <w:rPr>
        <w:rFonts w:ascii="Symbol" w:hAnsi="Symbol" w:hint="default"/>
      </w:rPr>
    </w:lvl>
    <w:lvl w:ilvl="5">
      <w:start w:val="1"/>
      <w:numFmt w:val="bullet"/>
      <w:lvlText w:val=""/>
      <w:lvlJc w:val="left"/>
      <w:pPr>
        <w:tabs>
          <w:tab w:val="num" w:pos="2381"/>
        </w:tabs>
        <w:ind w:left="2382" w:hanging="397"/>
      </w:pPr>
      <w:rPr>
        <w:rFonts w:ascii="Symbol" w:hAnsi="Symbol" w:hint="default"/>
      </w:rPr>
    </w:lvl>
    <w:lvl w:ilvl="6">
      <w:start w:val="1"/>
      <w:numFmt w:val="bullet"/>
      <w:lvlText w:val=""/>
      <w:lvlJc w:val="left"/>
      <w:pPr>
        <w:tabs>
          <w:tab w:val="num" w:pos="2778"/>
        </w:tabs>
        <w:ind w:left="2779" w:hanging="397"/>
      </w:pPr>
      <w:rPr>
        <w:rFonts w:ascii="Symbol" w:hAnsi="Symbol" w:hint="default"/>
      </w:rPr>
    </w:lvl>
    <w:lvl w:ilvl="7">
      <w:start w:val="1"/>
      <w:numFmt w:val="bullet"/>
      <w:lvlText w:val=""/>
      <w:lvlJc w:val="left"/>
      <w:pPr>
        <w:tabs>
          <w:tab w:val="num" w:pos="3175"/>
        </w:tabs>
        <w:ind w:left="3176" w:hanging="397"/>
      </w:pPr>
      <w:rPr>
        <w:rFonts w:ascii="Symbol" w:hAnsi="Symbol" w:hint="default"/>
      </w:rPr>
    </w:lvl>
    <w:lvl w:ilvl="8">
      <w:start w:val="1"/>
      <w:numFmt w:val="bullet"/>
      <w:lvlText w:val=""/>
      <w:lvlJc w:val="left"/>
      <w:pPr>
        <w:tabs>
          <w:tab w:val="num" w:pos="3572"/>
        </w:tabs>
        <w:ind w:left="3573" w:hanging="397"/>
      </w:pPr>
      <w:rPr>
        <w:rFonts w:ascii="Symbol" w:hAnsi="Symbol" w:hint="default"/>
      </w:rPr>
    </w:lvl>
  </w:abstractNum>
  <w:abstractNum w:abstractNumId="36" w15:restartNumberingAfterBreak="0">
    <w:nsid w:val="78ED677A"/>
    <w:multiLevelType w:val="hybridMultilevel"/>
    <w:tmpl w:val="A7D2BC68"/>
    <w:lvl w:ilvl="0" w:tplc="36D290E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1"/>
  </w:num>
  <w:num w:numId="2">
    <w:abstractNumId w:val="14"/>
  </w:num>
  <w:num w:numId="3">
    <w:abstractNumId w:val="12"/>
  </w:num>
  <w:num w:numId="4">
    <w:abstractNumId w:val="36"/>
  </w:num>
  <w:num w:numId="5">
    <w:abstractNumId w:val="13"/>
  </w:num>
  <w:num w:numId="6">
    <w:abstractNumId w:val="18"/>
  </w:num>
  <w:num w:numId="7">
    <w:abstractNumId w:val="24"/>
  </w:num>
  <w:num w:numId="8">
    <w:abstractNumId w:val="35"/>
  </w:num>
  <w:num w:numId="9">
    <w:abstractNumId w:val="15"/>
  </w:num>
  <w:num w:numId="10">
    <w:abstractNumId w:val="26"/>
  </w:num>
  <w:num w:numId="11">
    <w:abstractNumId w:val="31"/>
  </w:num>
  <w:num w:numId="12">
    <w:abstractNumId w:val="0"/>
    <w:lvlOverride w:ilvl="0">
      <w:lvl w:ilvl="0">
        <w:start w:val="1"/>
        <w:numFmt w:val="bullet"/>
        <w:pStyle w:val="guin"/>
        <w:lvlText w:val=""/>
        <w:legacy w:legacy="1" w:legacySpace="0" w:legacyIndent="360"/>
        <w:lvlJc w:val="left"/>
        <w:pPr>
          <w:ind w:left="1224" w:hanging="360"/>
        </w:pPr>
        <w:rPr>
          <w:rFonts w:ascii="Symbol" w:hAnsi="Symbol" w:hint="default"/>
          <w:sz w:val="16"/>
        </w:rPr>
      </w:lvl>
    </w:lvlOverride>
  </w:num>
  <w:num w:numId="13">
    <w:abstractNumId w:val="25"/>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10"/>
  </w:num>
  <w:num w:numId="24">
    <w:abstractNumId w:val="23"/>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30"/>
  </w:num>
  <w:num w:numId="28">
    <w:abstractNumId w:val="16"/>
  </w:num>
  <w:num w:numId="29">
    <w:abstractNumId w:val="20"/>
  </w:num>
  <w:num w:numId="30">
    <w:abstractNumId w:val="22"/>
  </w:num>
  <w:num w:numId="31">
    <w:abstractNumId w:val="32"/>
  </w:num>
  <w:num w:numId="32">
    <w:abstractNumId w:val="17"/>
  </w:num>
  <w:num w:numId="33">
    <w:abstractNumId w:val="27"/>
  </w:num>
  <w:num w:numId="34">
    <w:abstractNumId w:val="19"/>
  </w:num>
  <w:num w:numId="35">
    <w:abstractNumId w:val="21"/>
  </w:num>
  <w:num w:numId="36">
    <w:abstractNumId w:val="28"/>
  </w:num>
  <w:num w:numId="37">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FEE"/>
    <w:rsid w:val="00051215"/>
    <w:rsid w:val="00051507"/>
    <w:rsid w:val="0005600C"/>
    <w:rsid w:val="0006186C"/>
    <w:rsid w:val="000679FF"/>
    <w:rsid w:val="000B05B0"/>
    <w:rsid w:val="000C3C1A"/>
    <w:rsid w:val="000F57D1"/>
    <w:rsid w:val="001369C4"/>
    <w:rsid w:val="001A0019"/>
    <w:rsid w:val="001A077B"/>
    <w:rsid w:val="001B32EE"/>
    <w:rsid w:val="001B4716"/>
    <w:rsid w:val="001D76DF"/>
    <w:rsid w:val="001F453D"/>
    <w:rsid w:val="0020232B"/>
    <w:rsid w:val="0020786B"/>
    <w:rsid w:val="00246981"/>
    <w:rsid w:val="002878C1"/>
    <w:rsid w:val="002B161A"/>
    <w:rsid w:val="002B4BAF"/>
    <w:rsid w:val="002C053E"/>
    <w:rsid w:val="002C2089"/>
    <w:rsid w:val="002F48F6"/>
    <w:rsid w:val="002F57F3"/>
    <w:rsid w:val="00300CAD"/>
    <w:rsid w:val="00316559"/>
    <w:rsid w:val="00316B9D"/>
    <w:rsid w:val="003348B1"/>
    <w:rsid w:val="00374175"/>
    <w:rsid w:val="003B3ACC"/>
    <w:rsid w:val="003F24E1"/>
    <w:rsid w:val="004300B0"/>
    <w:rsid w:val="00445659"/>
    <w:rsid w:val="00453D42"/>
    <w:rsid w:val="004550B4"/>
    <w:rsid w:val="004824F4"/>
    <w:rsid w:val="004D2A06"/>
    <w:rsid w:val="004D66DF"/>
    <w:rsid w:val="004E2173"/>
    <w:rsid w:val="004E22C5"/>
    <w:rsid w:val="00500AA9"/>
    <w:rsid w:val="005022DD"/>
    <w:rsid w:val="0053275F"/>
    <w:rsid w:val="00536AD2"/>
    <w:rsid w:val="005665D9"/>
    <w:rsid w:val="005833DF"/>
    <w:rsid w:val="005C2130"/>
    <w:rsid w:val="005C2CFF"/>
    <w:rsid w:val="005C4378"/>
    <w:rsid w:val="005E4AAA"/>
    <w:rsid w:val="006526B5"/>
    <w:rsid w:val="00665C5C"/>
    <w:rsid w:val="006979F0"/>
    <w:rsid w:val="006D7C6D"/>
    <w:rsid w:val="00712B9B"/>
    <w:rsid w:val="00730C8E"/>
    <w:rsid w:val="007411DD"/>
    <w:rsid w:val="00754F61"/>
    <w:rsid w:val="00783406"/>
    <w:rsid w:val="0078761D"/>
    <w:rsid w:val="00787D1D"/>
    <w:rsid w:val="007C57AD"/>
    <w:rsid w:val="007D17B9"/>
    <w:rsid w:val="008257AE"/>
    <w:rsid w:val="00861BA6"/>
    <w:rsid w:val="00875CF2"/>
    <w:rsid w:val="00880652"/>
    <w:rsid w:val="008947FC"/>
    <w:rsid w:val="008A2D5B"/>
    <w:rsid w:val="008B7C9D"/>
    <w:rsid w:val="008C5420"/>
    <w:rsid w:val="0090046C"/>
    <w:rsid w:val="00944082"/>
    <w:rsid w:val="009665C9"/>
    <w:rsid w:val="00986FEE"/>
    <w:rsid w:val="00987465"/>
    <w:rsid w:val="009C4EFF"/>
    <w:rsid w:val="009E2E78"/>
    <w:rsid w:val="00A04CA1"/>
    <w:rsid w:val="00A112A8"/>
    <w:rsid w:val="00A3649E"/>
    <w:rsid w:val="00A931C6"/>
    <w:rsid w:val="00AB4801"/>
    <w:rsid w:val="00AB69A2"/>
    <w:rsid w:val="00AE3B41"/>
    <w:rsid w:val="00B02C9F"/>
    <w:rsid w:val="00B14FDC"/>
    <w:rsid w:val="00B17867"/>
    <w:rsid w:val="00B376DA"/>
    <w:rsid w:val="00B472A8"/>
    <w:rsid w:val="00B50AC1"/>
    <w:rsid w:val="00B6240D"/>
    <w:rsid w:val="00B640AB"/>
    <w:rsid w:val="00B94041"/>
    <w:rsid w:val="00BB49D7"/>
    <w:rsid w:val="00BB774E"/>
    <w:rsid w:val="00BC44B4"/>
    <w:rsid w:val="00BC6295"/>
    <w:rsid w:val="00BD1DA8"/>
    <w:rsid w:val="00BD2365"/>
    <w:rsid w:val="00BD4961"/>
    <w:rsid w:val="00C01592"/>
    <w:rsid w:val="00C019DA"/>
    <w:rsid w:val="00C10393"/>
    <w:rsid w:val="00C34B87"/>
    <w:rsid w:val="00C47608"/>
    <w:rsid w:val="00C56703"/>
    <w:rsid w:val="00C755E6"/>
    <w:rsid w:val="00C83DED"/>
    <w:rsid w:val="00C944BE"/>
    <w:rsid w:val="00CD2782"/>
    <w:rsid w:val="00CE26D8"/>
    <w:rsid w:val="00CF03FE"/>
    <w:rsid w:val="00CF0672"/>
    <w:rsid w:val="00D10DDD"/>
    <w:rsid w:val="00D357C2"/>
    <w:rsid w:val="00D5121F"/>
    <w:rsid w:val="00D74CA7"/>
    <w:rsid w:val="00E04625"/>
    <w:rsid w:val="00E377E2"/>
    <w:rsid w:val="00E6652D"/>
    <w:rsid w:val="00E7019D"/>
    <w:rsid w:val="00E70BA1"/>
    <w:rsid w:val="00EB3EB9"/>
    <w:rsid w:val="00EC51FF"/>
    <w:rsid w:val="00EC7727"/>
    <w:rsid w:val="00EF294C"/>
    <w:rsid w:val="00EF681E"/>
    <w:rsid w:val="00F01870"/>
    <w:rsid w:val="00F02460"/>
    <w:rsid w:val="00F0330A"/>
    <w:rsid w:val="00F20007"/>
    <w:rsid w:val="00F441A2"/>
    <w:rsid w:val="00F50D1F"/>
    <w:rsid w:val="00F5152D"/>
    <w:rsid w:val="00F53380"/>
    <w:rsid w:val="00F717A7"/>
    <w:rsid w:val="00F73729"/>
    <w:rsid w:val="00F84A73"/>
    <w:rsid w:val="00FC354D"/>
    <w:rsid w:val="00FC6C7A"/>
    <w:rsid w:val="00FE1116"/>
    <w:rsid w:val="00FE2B9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2AE36"/>
  <w15:chartTrackingRefBased/>
  <w15:docId w15:val="{7D6C7A63-3286-48AC-AD58-D77B46FC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14"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iPriority="14" w:unhideWhenUsed="1"/>
    <w:lsdException w:name="List 4" w:semiHidden="1" w:uiPriority="14"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4" w:unhideWhenUsed="1"/>
    <w:lsdException w:name="List Continue 2" w:semiHidden="1" w:uiPriority="14" w:unhideWhenUsed="1"/>
    <w:lsdException w:name="List Continue 3" w:semiHidden="1" w:uiPriority="14" w:unhideWhenUsed="1"/>
    <w:lsdException w:name="List Continue 4" w:semiHidden="1" w:uiPriority="14" w:unhideWhenUsed="1"/>
    <w:lsdException w:name="List Continue 5" w:semiHidden="1" w:uiPriority="14"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FEE"/>
    <w:pPr>
      <w:spacing w:after="0" w:line="240" w:lineRule="auto"/>
    </w:pPr>
    <w:rPr>
      <w:rFonts w:ascii="Times New Roman" w:eastAsia="Arial Unicode MS" w:hAnsi="Times New Roman" w:cs="Arial Unicode MS"/>
      <w:color w:val="000000"/>
      <w:sz w:val="20"/>
      <w:szCs w:val="20"/>
      <w:u w:color="000000"/>
      <w:lang w:val="es-ES_tradnl"/>
    </w:rPr>
  </w:style>
  <w:style w:type="paragraph" w:styleId="Ttulo1">
    <w:name w:val="heading 1"/>
    <w:basedOn w:val="Normal"/>
    <w:next w:val="Normal"/>
    <w:link w:val="Ttulo1Car"/>
    <w:uiPriority w:val="99"/>
    <w:qFormat/>
    <w:rsid w:val="002469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ight Slug"/>
    <w:basedOn w:val="Normal"/>
    <w:next w:val="Normal"/>
    <w:link w:val="Ttulo2Car"/>
    <w:unhideWhenUsed/>
    <w:qFormat/>
    <w:rsid w:val="00986FEE"/>
    <w:pPr>
      <w:keepNext/>
      <w:keepLines/>
      <w:spacing w:before="200" w:line="276" w:lineRule="auto"/>
      <w:outlineLvl w:val="1"/>
    </w:pPr>
    <w:rPr>
      <w:rFonts w:ascii="Cambria" w:eastAsia="Times New Roman" w:hAnsi="Cambria" w:cs="Times New Roman"/>
      <w:b/>
      <w:bCs/>
      <w:color w:val="4F81BD"/>
      <w:sz w:val="26"/>
      <w:szCs w:val="26"/>
      <w:lang w:val="es-AR"/>
    </w:rPr>
  </w:style>
  <w:style w:type="paragraph" w:styleId="Ttulo3">
    <w:name w:val="heading 3"/>
    <w:aliases w:val="Note to Director"/>
    <w:basedOn w:val="Normal"/>
    <w:next w:val="Textoindependiente"/>
    <w:link w:val="Ttulo3Car"/>
    <w:qFormat/>
    <w:rsid w:val="002F48F6"/>
    <w:pPr>
      <w:keepNext/>
      <w:keepLines/>
      <w:autoSpaceDE w:val="0"/>
      <w:autoSpaceDN w:val="0"/>
      <w:spacing w:after="60" w:line="280" w:lineRule="exact"/>
      <w:outlineLvl w:val="2"/>
    </w:pPr>
    <w:rPr>
      <w:rFonts w:asciiTheme="majorHAnsi" w:eastAsiaTheme="majorEastAsia" w:hAnsiTheme="majorHAnsi" w:cstheme="majorBidi"/>
      <w:bCs/>
      <w:color w:val="44546A" w:themeColor="text2"/>
      <w:sz w:val="28"/>
      <w:lang w:val="es-AR" w:eastAsia="es-AR"/>
    </w:rPr>
  </w:style>
  <w:style w:type="paragraph" w:styleId="Ttulo4">
    <w:name w:val="heading 4"/>
    <w:basedOn w:val="Normal"/>
    <w:next w:val="Textoindependiente"/>
    <w:link w:val="Ttulo4Car"/>
    <w:unhideWhenUsed/>
    <w:qFormat/>
    <w:rsid w:val="002F48F6"/>
    <w:pPr>
      <w:keepNext/>
      <w:keepLines/>
      <w:autoSpaceDE w:val="0"/>
      <w:autoSpaceDN w:val="0"/>
      <w:spacing w:after="60" w:line="240" w:lineRule="exact"/>
      <w:outlineLvl w:val="3"/>
    </w:pPr>
    <w:rPr>
      <w:rFonts w:asciiTheme="majorHAnsi" w:eastAsiaTheme="majorEastAsia" w:hAnsiTheme="majorHAnsi" w:cstheme="majorBidi"/>
      <w:bCs/>
      <w:iCs/>
      <w:color w:val="4472C4" w:themeColor="accent1"/>
      <w:sz w:val="24"/>
      <w:lang w:val="es-AR" w:eastAsia="es-AR"/>
    </w:rPr>
  </w:style>
  <w:style w:type="paragraph" w:styleId="Ttulo5">
    <w:name w:val="heading 5"/>
    <w:basedOn w:val="Normal"/>
    <w:next w:val="Textoindependiente"/>
    <w:link w:val="Ttulo5Car"/>
    <w:unhideWhenUsed/>
    <w:qFormat/>
    <w:rsid w:val="002F48F6"/>
    <w:pPr>
      <w:keepNext/>
      <w:keepLines/>
      <w:autoSpaceDE w:val="0"/>
      <w:autoSpaceDN w:val="0"/>
      <w:spacing w:after="60" w:line="210" w:lineRule="exact"/>
      <w:outlineLvl w:val="4"/>
    </w:pPr>
    <w:rPr>
      <w:rFonts w:asciiTheme="majorHAnsi" w:eastAsiaTheme="majorEastAsia" w:hAnsiTheme="majorHAnsi" w:cstheme="majorBidi"/>
      <w:color w:val="44546A" w:themeColor="text2"/>
      <w:lang w:val="es-AR" w:eastAsia="es-AR"/>
    </w:rPr>
  </w:style>
  <w:style w:type="paragraph" w:styleId="Ttulo6">
    <w:name w:val="heading 6"/>
    <w:basedOn w:val="Normal"/>
    <w:next w:val="Textoindependiente"/>
    <w:link w:val="Ttulo6Car"/>
    <w:unhideWhenUsed/>
    <w:qFormat/>
    <w:rsid w:val="002F48F6"/>
    <w:pPr>
      <w:keepNext/>
      <w:keepLines/>
      <w:autoSpaceDE w:val="0"/>
      <w:autoSpaceDN w:val="0"/>
      <w:spacing w:after="60"/>
      <w:outlineLvl w:val="5"/>
    </w:pPr>
    <w:rPr>
      <w:rFonts w:asciiTheme="majorHAnsi" w:eastAsiaTheme="majorEastAsia" w:hAnsiTheme="majorHAnsi" w:cstheme="majorBidi"/>
      <w:iCs/>
      <w:color w:val="auto"/>
      <w:lang w:val="es-AR" w:eastAsia="es-AR"/>
    </w:rPr>
  </w:style>
  <w:style w:type="paragraph" w:styleId="Ttulo7">
    <w:name w:val="heading 7"/>
    <w:basedOn w:val="Normal"/>
    <w:next w:val="Textoindependiente"/>
    <w:link w:val="Ttulo7Car"/>
    <w:unhideWhenUsed/>
    <w:qFormat/>
    <w:rsid w:val="002F48F6"/>
    <w:pPr>
      <w:keepNext/>
      <w:keepLines/>
      <w:autoSpaceDE w:val="0"/>
      <w:autoSpaceDN w:val="0"/>
      <w:spacing w:after="60"/>
      <w:outlineLvl w:val="6"/>
    </w:pPr>
    <w:rPr>
      <w:rFonts w:asciiTheme="majorHAnsi" w:eastAsiaTheme="majorEastAsia" w:hAnsiTheme="majorHAnsi" w:cstheme="majorBidi"/>
      <w:iCs/>
      <w:color w:val="auto"/>
      <w:lang w:val="es-AR" w:eastAsia="es-AR"/>
    </w:rPr>
  </w:style>
  <w:style w:type="paragraph" w:styleId="Ttulo8">
    <w:name w:val="heading 8"/>
    <w:basedOn w:val="Normal"/>
    <w:next w:val="Textoindependiente"/>
    <w:link w:val="Ttulo8Car"/>
    <w:unhideWhenUsed/>
    <w:qFormat/>
    <w:rsid w:val="002F48F6"/>
    <w:pPr>
      <w:keepNext/>
      <w:keepLines/>
      <w:autoSpaceDE w:val="0"/>
      <w:autoSpaceDN w:val="0"/>
      <w:spacing w:after="60"/>
      <w:outlineLvl w:val="7"/>
    </w:pPr>
    <w:rPr>
      <w:rFonts w:asciiTheme="majorHAnsi" w:eastAsiaTheme="majorEastAsia" w:hAnsiTheme="majorHAnsi" w:cstheme="majorBidi"/>
      <w:color w:val="auto"/>
      <w:lang w:val="es-AR" w:eastAsia="es-AR"/>
    </w:rPr>
  </w:style>
  <w:style w:type="paragraph" w:styleId="Ttulo9">
    <w:name w:val="heading 9"/>
    <w:basedOn w:val="Normal"/>
    <w:next w:val="Textoindependiente"/>
    <w:link w:val="Ttulo9Car"/>
    <w:unhideWhenUsed/>
    <w:qFormat/>
    <w:rsid w:val="002F48F6"/>
    <w:pPr>
      <w:keepNext/>
      <w:keepLines/>
      <w:autoSpaceDE w:val="0"/>
      <w:autoSpaceDN w:val="0"/>
      <w:spacing w:after="60"/>
      <w:outlineLvl w:val="8"/>
    </w:pPr>
    <w:rPr>
      <w:rFonts w:asciiTheme="majorHAnsi" w:eastAsiaTheme="majorEastAsia" w:hAnsiTheme="majorHAnsi" w:cstheme="majorBidi"/>
      <w:iCs/>
      <w:color w:val="auto"/>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Tight Slug Car"/>
    <w:basedOn w:val="Fuentedeprrafopredeter"/>
    <w:link w:val="Ttulo2"/>
    <w:rsid w:val="00986FEE"/>
    <w:rPr>
      <w:rFonts w:ascii="Cambria" w:eastAsia="Times New Roman" w:hAnsi="Cambria" w:cs="Times New Roman"/>
      <w:b/>
      <w:bCs/>
      <w:color w:val="4F81BD"/>
      <w:sz w:val="26"/>
      <w:szCs w:val="26"/>
    </w:rPr>
  </w:style>
  <w:style w:type="character" w:styleId="Hipervnculo">
    <w:name w:val="Hyperlink"/>
    <w:uiPriority w:val="99"/>
    <w:rsid w:val="00986FEE"/>
    <w:rPr>
      <w:u w:val="single"/>
    </w:rPr>
  </w:style>
  <w:style w:type="paragraph" w:customStyle="1" w:styleId="HeaderFooter">
    <w:name w:val="Header &amp; Footer"/>
    <w:rsid w:val="00986FEE"/>
    <w:pPr>
      <w:tabs>
        <w:tab w:val="right" w:pos="9020"/>
      </w:tabs>
      <w:spacing w:after="0" w:line="240" w:lineRule="auto"/>
    </w:pPr>
    <w:rPr>
      <w:rFonts w:ascii="Helvetica" w:eastAsia="Arial Unicode MS" w:hAnsi="Helvetica" w:cs="Arial Unicode MS"/>
      <w:color w:val="000000"/>
      <w:sz w:val="24"/>
      <w:szCs w:val="24"/>
      <w:lang w:eastAsia="es-AR"/>
    </w:rPr>
  </w:style>
  <w:style w:type="paragraph" w:customStyle="1" w:styleId="Ttulo11">
    <w:name w:val="Título 11"/>
    <w:next w:val="Normal"/>
    <w:rsid w:val="00986FEE"/>
    <w:pPr>
      <w:keepNext/>
      <w:spacing w:before="240" w:after="60" w:line="240" w:lineRule="auto"/>
      <w:outlineLvl w:val="0"/>
    </w:pPr>
    <w:rPr>
      <w:rFonts w:ascii="Arial" w:eastAsia="Arial Unicode MS" w:hAnsi="Arial" w:cs="Arial Unicode MS"/>
      <w:b/>
      <w:bCs/>
      <w:color w:val="000000"/>
      <w:kern w:val="32"/>
      <w:sz w:val="32"/>
      <w:szCs w:val="32"/>
      <w:u w:color="000000"/>
      <w:lang w:val="es-ES_tradnl" w:eastAsia="es-AR"/>
    </w:rPr>
  </w:style>
  <w:style w:type="numbering" w:customStyle="1" w:styleId="Numbered">
    <w:name w:val="Numbered"/>
    <w:autoRedefine/>
    <w:rsid w:val="00986FEE"/>
  </w:style>
  <w:style w:type="paragraph" w:customStyle="1" w:styleId="footnotedescription">
    <w:name w:val="footnote description"/>
    <w:next w:val="Normal"/>
    <w:link w:val="footnotedescriptionChar"/>
    <w:autoRedefine/>
    <w:rsid w:val="00986FEE"/>
    <w:pPr>
      <w:spacing w:after="0"/>
      <w:ind w:left="142" w:hanging="142"/>
    </w:pPr>
    <w:rPr>
      <w:rFonts w:ascii="Times New Roman" w:eastAsia="Times New Roman" w:hAnsi="Times New Roman" w:cs="Times New Roman"/>
      <w:color w:val="000000"/>
      <w:sz w:val="18"/>
      <w:szCs w:val="18"/>
      <w:u w:color="000000"/>
      <w:lang w:val="es-ES_tradnl" w:eastAsia="es-AR"/>
    </w:rPr>
  </w:style>
  <w:style w:type="numbering" w:customStyle="1" w:styleId="ImportedStyle1">
    <w:name w:val="Imported Style 1"/>
    <w:autoRedefine/>
    <w:rsid w:val="00986FEE"/>
    <w:pPr>
      <w:numPr>
        <w:numId w:val="14"/>
      </w:numPr>
    </w:pPr>
  </w:style>
  <w:style w:type="numbering" w:customStyle="1" w:styleId="ImportedStyle2">
    <w:name w:val="Imported Style 2"/>
    <w:autoRedefine/>
    <w:rsid w:val="00986FEE"/>
    <w:pPr>
      <w:numPr>
        <w:numId w:val="15"/>
      </w:numPr>
    </w:pPr>
  </w:style>
  <w:style w:type="numbering" w:customStyle="1" w:styleId="ImportedStyle3">
    <w:name w:val="Imported Style 3"/>
    <w:rsid w:val="00986FEE"/>
    <w:pPr>
      <w:numPr>
        <w:numId w:val="16"/>
      </w:numPr>
    </w:pPr>
  </w:style>
  <w:style w:type="numbering" w:customStyle="1" w:styleId="ImportedStyle4">
    <w:name w:val="Imported Style 4"/>
    <w:rsid w:val="00986FEE"/>
  </w:style>
  <w:style w:type="numbering" w:customStyle="1" w:styleId="ImportedStyle5">
    <w:name w:val="Imported Style 5"/>
    <w:autoRedefine/>
    <w:rsid w:val="00986FEE"/>
    <w:pPr>
      <w:numPr>
        <w:numId w:val="18"/>
      </w:numPr>
    </w:pPr>
  </w:style>
  <w:style w:type="numbering" w:customStyle="1" w:styleId="ImportedStyle6">
    <w:name w:val="Imported Style 6"/>
    <w:rsid w:val="00986FEE"/>
    <w:pPr>
      <w:numPr>
        <w:numId w:val="19"/>
      </w:numPr>
    </w:pPr>
  </w:style>
  <w:style w:type="numbering" w:customStyle="1" w:styleId="ImportedStyle7">
    <w:name w:val="Imported Style 7"/>
    <w:autoRedefine/>
    <w:rsid w:val="00986FEE"/>
    <w:pPr>
      <w:numPr>
        <w:numId w:val="20"/>
      </w:numPr>
    </w:pPr>
  </w:style>
  <w:style w:type="numbering" w:customStyle="1" w:styleId="ImportedStyle8">
    <w:name w:val="Imported Style 8"/>
    <w:rsid w:val="00986FEE"/>
    <w:pPr>
      <w:numPr>
        <w:numId w:val="21"/>
      </w:numPr>
    </w:pPr>
  </w:style>
  <w:style w:type="paragraph" w:styleId="Prrafodelista">
    <w:name w:val="List Paragraph"/>
    <w:aliases w:val="הערת שוליים"/>
    <w:link w:val="PrrafodelistaCar"/>
    <w:uiPriority w:val="34"/>
    <w:qFormat/>
    <w:rsid w:val="00986FEE"/>
    <w:pPr>
      <w:spacing w:after="200" w:line="276" w:lineRule="auto"/>
      <w:ind w:left="720"/>
    </w:pPr>
    <w:rPr>
      <w:rFonts w:ascii="Calibri" w:eastAsia="Calibri" w:hAnsi="Calibri" w:cs="Calibri"/>
      <w:color w:val="000000"/>
      <w:u w:color="000000"/>
      <w:lang w:val="es-ES_tradnl" w:eastAsia="es-AR"/>
    </w:rPr>
  </w:style>
  <w:style w:type="numbering" w:customStyle="1" w:styleId="ImportedStyle9">
    <w:name w:val="Imported Style 9"/>
    <w:rsid w:val="00986FEE"/>
    <w:pPr>
      <w:numPr>
        <w:numId w:val="22"/>
      </w:numPr>
    </w:pPr>
  </w:style>
  <w:style w:type="numbering" w:customStyle="1" w:styleId="ImportedStyle10">
    <w:name w:val="Imported Style 10"/>
    <w:autoRedefine/>
    <w:rsid w:val="00986FEE"/>
  </w:style>
  <w:style w:type="numbering" w:customStyle="1" w:styleId="ImportedStyle11">
    <w:name w:val="Imported Style 11"/>
    <w:autoRedefine/>
    <w:rsid w:val="00986FEE"/>
  </w:style>
  <w:style w:type="numbering" w:customStyle="1" w:styleId="ImportedStyle12">
    <w:name w:val="Imported Style 12"/>
    <w:rsid w:val="00986FEE"/>
  </w:style>
  <w:style w:type="numbering" w:customStyle="1" w:styleId="ImportedStyle13">
    <w:name w:val="Imported Style 13"/>
    <w:rsid w:val="00986FEE"/>
  </w:style>
  <w:style w:type="numbering" w:customStyle="1" w:styleId="ImportedStyle14">
    <w:name w:val="Imported Style 14"/>
    <w:rsid w:val="00986FEE"/>
  </w:style>
  <w:style w:type="paragraph" w:styleId="Textodeglobo">
    <w:name w:val="Balloon Text"/>
    <w:basedOn w:val="Normal"/>
    <w:link w:val="TextodegloboCar"/>
    <w:uiPriority w:val="99"/>
    <w:rsid w:val="00986FEE"/>
    <w:rPr>
      <w:rFonts w:ascii="Segoe UI" w:hAnsi="Segoe UI" w:cs="Segoe UI"/>
      <w:sz w:val="18"/>
      <w:szCs w:val="18"/>
    </w:rPr>
  </w:style>
  <w:style w:type="character" w:customStyle="1" w:styleId="TextodegloboCar">
    <w:name w:val="Texto de globo Car"/>
    <w:basedOn w:val="Fuentedeprrafopredeter"/>
    <w:link w:val="Textodeglobo"/>
    <w:uiPriority w:val="99"/>
    <w:rsid w:val="00986FEE"/>
    <w:rPr>
      <w:rFonts w:ascii="Segoe UI" w:eastAsia="Arial Unicode MS" w:hAnsi="Segoe UI" w:cs="Segoe UI"/>
      <w:color w:val="000000"/>
      <w:sz w:val="18"/>
      <w:szCs w:val="18"/>
      <w:u w:color="000000"/>
      <w:lang w:val="es-ES_tradnl"/>
    </w:rPr>
  </w:style>
  <w:style w:type="character" w:styleId="Refdecomentario">
    <w:name w:val="annotation reference"/>
    <w:uiPriority w:val="99"/>
    <w:rsid w:val="00986FEE"/>
    <w:rPr>
      <w:sz w:val="16"/>
      <w:szCs w:val="16"/>
    </w:rPr>
  </w:style>
  <w:style w:type="paragraph" w:styleId="Textocomentario">
    <w:name w:val="annotation text"/>
    <w:basedOn w:val="Normal"/>
    <w:link w:val="TextocomentarioCar"/>
    <w:uiPriority w:val="99"/>
    <w:rsid w:val="00986FEE"/>
  </w:style>
  <w:style w:type="character" w:customStyle="1" w:styleId="TextocomentarioCar">
    <w:name w:val="Texto comentario Car"/>
    <w:basedOn w:val="Fuentedeprrafopredeter"/>
    <w:link w:val="Textocomentario"/>
    <w:uiPriority w:val="99"/>
    <w:rsid w:val="00986FEE"/>
    <w:rPr>
      <w:rFonts w:ascii="Times New Roman" w:eastAsia="Arial Unicode MS" w:hAnsi="Times New Roman" w:cs="Arial Unicode MS"/>
      <w:color w:val="000000"/>
      <w:sz w:val="20"/>
      <w:szCs w:val="20"/>
      <w:u w:color="000000"/>
      <w:lang w:val="es-ES_tradnl"/>
    </w:rPr>
  </w:style>
  <w:style w:type="paragraph" w:styleId="Asuntodelcomentario">
    <w:name w:val="annotation subject"/>
    <w:basedOn w:val="Textocomentario"/>
    <w:next w:val="Textocomentario"/>
    <w:link w:val="AsuntodelcomentarioCar"/>
    <w:uiPriority w:val="99"/>
    <w:rsid w:val="00986FEE"/>
    <w:rPr>
      <w:b/>
      <w:bCs/>
    </w:rPr>
  </w:style>
  <w:style w:type="character" w:customStyle="1" w:styleId="AsuntodelcomentarioCar">
    <w:name w:val="Asunto del comentario Car"/>
    <w:basedOn w:val="TextocomentarioCar"/>
    <w:link w:val="Asuntodelcomentario"/>
    <w:uiPriority w:val="99"/>
    <w:rsid w:val="00986FEE"/>
    <w:rPr>
      <w:rFonts w:ascii="Times New Roman" w:eastAsia="Arial Unicode MS" w:hAnsi="Times New Roman" w:cs="Arial Unicode MS"/>
      <w:b/>
      <w:bCs/>
      <w:color w:val="000000"/>
      <w:sz w:val="20"/>
      <w:szCs w:val="20"/>
      <w:u w:color="000000"/>
      <w:lang w:val="es-ES_tradnl"/>
    </w:rPr>
  </w:style>
  <w:style w:type="character" w:customStyle="1" w:styleId="footnotedescriptionChar">
    <w:name w:val="footnote description Char"/>
    <w:link w:val="footnotedescription"/>
    <w:rsid w:val="00986FEE"/>
    <w:rPr>
      <w:rFonts w:ascii="Times New Roman" w:eastAsia="Times New Roman" w:hAnsi="Times New Roman" w:cs="Times New Roman"/>
      <w:color w:val="000000"/>
      <w:sz w:val="18"/>
      <w:szCs w:val="18"/>
      <w:u w:color="000000"/>
      <w:lang w:val="es-ES_tradnl" w:eastAsia="es-AR"/>
    </w:rPr>
  </w:style>
  <w:style w:type="character" w:customStyle="1" w:styleId="footnotemark">
    <w:name w:val="footnote mark"/>
    <w:hidden/>
    <w:rsid w:val="00986FEE"/>
    <w:rPr>
      <w:rFonts w:ascii="Times New Roman" w:eastAsia="Times New Roman" w:hAnsi="Times New Roman" w:cs="Times New Roman"/>
      <w:color w:val="000000"/>
      <w:sz w:val="18"/>
      <w:vertAlign w:val="superscript"/>
    </w:rPr>
  </w:style>
  <w:style w:type="paragraph" w:styleId="Textoindependiente">
    <w:name w:val="Body Text"/>
    <w:aliases w:val="bt,b,Borrador,body text,CG-Single Sp 0.5,s2,!Body Text .5(J),Second Heading 2,Second Heading,!Body Text .5s2(J),CG-Single Sp 0,!Body Text,5(J),5s2(J),s9,Second Heading 9,CG-Single Sp 0.51,s21,Bodytext,BT,bt wide,MBP_Bd Single Sp .5 L"/>
    <w:basedOn w:val="Normal"/>
    <w:link w:val="TextoindependienteCar"/>
    <w:uiPriority w:val="99"/>
    <w:qFormat/>
    <w:rsid w:val="00986FEE"/>
    <w:pPr>
      <w:spacing w:after="240" w:line="264" w:lineRule="auto"/>
    </w:pPr>
    <w:rPr>
      <w:rFonts w:eastAsia="Times New Roman" w:cs="Times New Roman"/>
      <w:color w:val="auto"/>
      <w:sz w:val="24"/>
      <w:lang w:val="es-ES" w:eastAsia="es-ES"/>
    </w:rPr>
  </w:style>
  <w:style w:type="character" w:customStyle="1" w:styleId="TextoindependienteCar">
    <w:name w:val="Texto independiente Car"/>
    <w:aliases w:val="bt Car,b Car,Borrador Car,body text Car,CG-Single Sp 0.5 Car,s2 Car,!Body Text .5(J) Car,Second Heading 2 Car,Second Heading Car,!Body Text .5s2(J) Car,CG-Single Sp 0 Car,!Body Text Car,5(J) Car,5s2(J) Car,s9 Car,s21 Car,BT Car"/>
    <w:basedOn w:val="Fuentedeprrafopredeter"/>
    <w:link w:val="Textoindependiente"/>
    <w:uiPriority w:val="99"/>
    <w:rsid w:val="00986FEE"/>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uiPriority w:val="99"/>
    <w:unhideWhenUsed/>
    <w:rsid w:val="00986FEE"/>
    <w:pPr>
      <w:spacing w:after="120" w:line="276" w:lineRule="auto"/>
      <w:ind w:left="283"/>
    </w:pPr>
    <w:rPr>
      <w:rFonts w:ascii="Calibri" w:eastAsia="Calibri" w:hAnsi="Calibri" w:cs="Times New Roman"/>
      <w:color w:val="auto"/>
      <w:sz w:val="22"/>
      <w:szCs w:val="22"/>
      <w:lang w:val="x-none"/>
    </w:rPr>
  </w:style>
  <w:style w:type="character" w:customStyle="1" w:styleId="SangradetextonormalCar">
    <w:name w:val="Sangría de texto normal Car"/>
    <w:basedOn w:val="Fuentedeprrafopredeter"/>
    <w:link w:val="Sangradetextonormal"/>
    <w:uiPriority w:val="99"/>
    <w:rsid w:val="00986FEE"/>
    <w:rPr>
      <w:rFonts w:ascii="Calibri" w:eastAsia="Calibri" w:hAnsi="Calibri" w:cs="Times New Roman"/>
      <w:lang w:val="x-none"/>
    </w:rPr>
  </w:style>
  <w:style w:type="paragraph" w:styleId="Textonotapie">
    <w:name w:val="footnote text"/>
    <w:basedOn w:val="Normal"/>
    <w:link w:val="TextonotapieCar"/>
    <w:uiPriority w:val="99"/>
    <w:rsid w:val="00986FEE"/>
    <w:rPr>
      <w:rFonts w:eastAsia="Times New Roman" w:cs="Times New Roman"/>
      <w:color w:val="auto"/>
      <w:lang w:val="en-US" w:eastAsia="es-ES"/>
    </w:rPr>
  </w:style>
  <w:style w:type="character" w:customStyle="1" w:styleId="TextonotapieCar">
    <w:name w:val="Texto nota pie Car"/>
    <w:basedOn w:val="Fuentedeprrafopredeter"/>
    <w:link w:val="Textonotapie"/>
    <w:uiPriority w:val="99"/>
    <w:rsid w:val="00986FEE"/>
    <w:rPr>
      <w:rFonts w:ascii="Times New Roman" w:eastAsia="Times New Roman" w:hAnsi="Times New Roman" w:cs="Times New Roman"/>
      <w:sz w:val="20"/>
      <w:szCs w:val="20"/>
      <w:lang w:val="en-US" w:eastAsia="es-ES"/>
    </w:rPr>
  </w:style>
  <w:style w:type="character" w:styleId="Refdenotaalpie">
    <w:name w:val="footnote reference"/>
    <w:uiPriority w:val="99"/>
    <w:rsid w:val="00986FEE"/>
    <w:rPr>
      <w:vertAlign w:val="superscript"/>
    </w:rPr>
  </w:style>
  <w:style w:type="numbering" w:customStyle="1" w:styleId="ImportedStyle141">
    <w:name w:val="Imported Style 141"/>
    <w:rsid w:val="00986FEE"/>
  </w:style>
  <w:style w:type="paragraph" w:styleId="Textosinformato">
    <w:name w:val="Plain Text"/>
    <w:basedOn w:val="Normal"/>
    <w:link w:val="TextosinformatoCar"/>
    <w:uiPriority w:val="99"/>
    <w:unhideWhenUsed/>
    <w:rsid w:val="00246981"/>
    <w:rPr>
      <w:rFonts w:ascii="Calibri" w:eastAsia="Calibri" w:hAnsi="Calibri" w:cs="Times New Roman"/>
      <w:color w:val="auto"/>
      <w:szCs w:val="21"/>
      <w:lang w:val="x-none"/>
    </w:rPr>
  </w:style>
  <w:style w:type="character" w:customStyle="1" w:styleId="TextosinformatoCar">
    <w:name w:val="Texto sin formato Car"/>
    <w:basedOn w:val="Fuentedeprrafopredeter"/>
    <w:link w:val="Textosinformato"/>
    <w:uiPriority w:val="99"/>
    <w:rsid w:val="00246981"/>
    <w:rPr>
      <w:rFonts w:ascii="Calibri" w:eastAsia="Calibri" w:hAnsi="Calibri" w:cs="Times New Roman"/>
      <w:sz w:val="20"/>
      <w:szCs w:val="21"/>
      <w:lang w:val="x-none"/>
    </w:rPr>
  </w:style>
  <w:style w:type="character" w:customStyle="1" w:styleId="Ttulo1Car">
    <w:name w:val="Título 1 Car"/>
    <w:basedOn w:val="Fuentedeprrafopredeter"/>
    <w:link w:val="Ttulo1"/>
    <w:uiPriority w:val="99"/>
    <w:rsid w:val="00246981"/>
    <w:rPr>
      <w:rFonts w:asciiTheme="majorHAnsi" w:eastAsiaTheme="majorEastAsia" w:hAnsiTheme="majorHAnsi" w:cstheme="majorBidi"/>
      <w:color w:val="2F5496" w:themeColor="accent1" w:themeShade="BF"/>
      <w:sz w:val="32"/>
      <w:szCs w:val="32"/>
      <w:u w:color="000000"/>
      <w:lang w:val="es-ES_tradnl"/>
    </w:rPr>
  </w:style>
  <w:style w:type="paragraph" w:styleId="TtuloTDC">
    <w:name w:val="TOC Heading"/>
    <w:basedOn w:val="Ttulo1"/>
    <w:next w:val="Normal"/>
    <w:uiPriority w:val="39"/>
    <w:unhideWhenUsed/>
    <w:qFormat/>
    <w:rsid w:val="00246981"/>
    <w:pPr>
      <w:spacing w:before="480" w:line="276" w:lineRule="auto"/>
      <w:outlineLvl w:val="9"/>
    </w:pPr>
    <w:rPr>
      <w:b/>
      <w:bCs/>
      <w:sz w:val="28"/>
      <w:szCs w:val="28"/>
      <w:lang w:val="es-AR" w:eastAsia="es-AR"/>
    </w:rPr>
  </w:style>
  <w:style w:type="paragraph" w:customStyle="1" w:styleId="Default">
    <w:name w:val="Default"/>
    <w:rsid w:val="00246981"/>
    <w:pPr>
      <w:autoSpaceDE w:val="0"/>
      <w:autoSpaceDN w:val="0"/>
      <w:adjustRightInd w:val="0"/>
      <w:spacing w:after="0" w:line="240" w:lineRule="auto"/>
    </w:pPr>
    <w:rPr>
      <w:rFonts w:ascii="Times New Roman" w:eastAsia="Calibri" w:hAnsi="Times New Roman" w:cs="Times New Roman"/>
      <w:color w:val="000000"/>
      <w:sz w:val="24"/>
      <w:szCs w:val="24"/>
      <w:lang w:eastAsia="es-AR"/>
    </w:rPr>
  </w:style>
  <w:style w:type="paragraph" w:styleId="Piedepgina">
    <w:name w:val="footer"/>
    <w:basedOn w:val="Normal"/>
    <w:link w:val="PiedepginaCar"/>
    <w:uiPriority w:val="99"/>
    <w:rsid w:val="00783406"/>
    <w:pPr>
      <w:tabs>
        <w:tab w:val="center" w:pos="4419"/>
        <w:tab w:val="right" w:pos="8838"/>
      </w:tabs>
    </w:pPr>
    <w:rPr>
      <w:rFonts w:ascii="Calibri" w:eastAsia="Calibri" w:hAnsi="Calibri" w:cs="Times New Roman"/>
      <w:color w:val="auto"/>
      <w:lang w:val="x-none" w:eastAsia="x-none"/>
    </w:rPr>
  </w:style>
  <w:style w:type="character" w:customStyle="1" w:styleId="PiedepginaCar">
    <w:name w:val="Pie de página Car"/>
    <w:basedOn w:val="Fuentedeprrafopredeter"/>
    <w:link w:val="Piedepgina"/>
    <w:uiPriority w:val="99"/>
    <w:rsid w:val="00783406"/>
    <w:rPr>
      <w:rFonts w:ascii="Calibri" w:eastAsia="Calibri" w:hAnsi="Calibri" w:cs="Times New Roman"/>
      <w:sz w:val="20"/>
      <w:szCs w:val="20"/>
      <w:lang w:val="x-none" w:eastAsia="x-none"/>
    </w:rPr>
  </w:style>
  <w:style w:type="paragraph" w:styleId="TDC2">
    <w:name w:val="toc 2"/>
    <w:basedOn w:val="Normal"/>
    <w:next w:val="Normal"/>
    <w:autoRedefine/>
    <w:uiPriority w:val="39"/>
    <w:unhideWhenUsed/>
    <w:qFormat/>
    <w:rsid w:val="00783406"/>
    <w:pPr>
      <w:spacing w:after="100" w:line="276" w:lineRule="auto"/>
      <w:ind w:left="220"/>
    </w:pPr>
    <w:rPr>
      <w:rFonts w:asciiTheme="minorHAnsi" w:eastAsiaTheme="minorEastAsia" w:hAnsiTheme="minorHAnsi" w:cstheme="minorBidi"/>
      <w:color w:val="auto"/>
      <w:sz w:val="22"/>
      <w:szCs w:val="22"/>
      <w:lang w:val="es-AR" w:eastAsia="es-AR"/>
    </w:rPr>
  </w:style>
  <w:style w:type="paragraph" w:styleId="TDC3">
    <w:name w:val="toc 3"/>
    <w:basedOn w:val="Normal"/>
    <w:next w:val="Normal"/>
    <w:autoRedefine/>
    <w:uiPriority w:val="39"/>
    <w:unhideWhenUsed/>
    <w:qFormat/>
    <w:rsid w:val="00783406"/>
    <w:pPr>
      <w:spacing w:after="100" w:line="276" w:lineRule="auto"/>
      <w:ind w:left="440"/>
    </w:pPr>
    <w:rPr>
      <w:rFonts w:asciiTheme="minorHAnsi" w:eastAsiaTheme="minorEastAsia" w:hAnsiTheme="minorHAnsi" w:cstheme="minorBidi"/>
      <w:color w:val="auto"/>
      <w:sz w:val="22"/>
      <w:szCs w:val="22"/>
      <w:lang w:val="es-AR" w:eastAsia="es-AR"/>
    </w:rPr>
  </w:style>
  <w:style w:type="character" w:customStyle="1" w:styleId="PrrafodelistaCar">
    <w:name w:val="Párrafo de lista Car"/>
    <w:aliases w:val="הערת שוליים Car"/>
    <w:link w:val="Prrafodelista"/>
    <w:uiPriority w:val="99"/>
    <w:locked/>
    <w:rsid w:val="00783406"/>
    <w:rPr>
      <w:rFonts w:ascii="Calibri" w:eastAsia="Calibri" w:hAnsi="Calibri" w:cs="Calibri"/>
      <w:color w:val="000000"/>
      <w:u w:color="000000"/>
      <w:lang w:val="es-ES_tradnl" w:eastAsia="es-AR"/>
    </w:rPr>
  </w:style>
  <w:style w:type="paragraph" w:customStyle="1" w:styleId="BlockTextSgl">
    <w:name w:val="Block Text Sgl"/>
    <w:basedOn w:val="Normal"/>
    <w:link w:val="BlockTextSglChar"/>
    <w:qFormat/>
    <w:rsid w:val="00D357C2"/>
    <w:pPr>
      <w:spacing w:after="200"/>
    </w:pPr>
    <w:rPr>
      <w:rFonts w:eastAsia="Wingdings" w:cs="Times New Roman"/>
      <w:color w:val="auto"/>
      <w:szCs w:val="24"/>
      <w:lang w:val="en-US"/>
    </w:rPr>
  </w:style>
  <w:style w:type="character" w:customStyle="1" w:styleId="BlockTextSglChar">
    <w:name w:val="Block Text Sgl Char"/>
    <w:link w:val="BlockTextSgl"/>
    <w:rsid w:val="00D357C2"/>
    <w:rPr>
      <w:rFonts w:ascii="Times New Roman" w:eastAsia="Wingdings" w:hAnsi="Times New Roman" w:cs="Times New Roman"/>
      <w:sz w:val="20"/>
      <w:szCs w:val="24"/>
      <w:lang w:val="en-US"/>
    </w:rPr>
  </w:style>
  <w:style w:type="paragraph" w:styleId="Encabezado">
    <w:name w:val="header"/>
    <w:aliases w:val="encabezado"/>
    <w:basedOn w:val="Normal"/>
    <w:link w:val="EncabezadoCar"/>
    <w:uiPriority w:val="99"/>
    <w:unhideWhenUsed/>
    <w:rsid w:val="00BB774E"/>
    <w:pPr>
      <w:tabs>
        <w:tab w:val="center" w:pos="4419"/>
        <w:tab w:val="right" w:pos="8838"/>
      </w:tabs>
    </w:pPr>
  </w:style>
  <w:style w:type="character" w:customStyle="1" w:styleId="EncabezadoCar">
    <w:name w:val="Encabezado Car"/>
    <w:aliases w:val="encabezado Car"/>
    <w:basedOn w:val="Fuentedeprrafopredeter"/>
    <w:link w:val="Encabezado"/>
    <w:uiPriority w:val="99"/>
    <w:rsid w:val="00BB774E"/>
    <w:rPr>
      <w:rFonts w:ascii="Times New Roman" w:eastAsia="Arial Unicode MS" w:hAnsi="Times New Roman" w:cs="Arial Unicode MS"/>
      <w:color w:val="000000"/>
      <w:sz w:val="20"/>
      <w:szCs w:val="20"/>
      <w:u w:color="000000"/>
      <w:lang w:val="es-ES_tradnl"/>
    </w:rPr>
  </w:style>
  <w:style w:type="character" w:customStyle="1" w:styleId="Ttulo3Car">
    <w:name w:val="Título 3 Car"/>
    <w:aliases w:val="Note to Director Car"/>
    <w:basedOn w:val="Fuentedeprrafopredeter"/>
    <w:link w:val="Ttulo3"/>
    <w:rsid w:val="002F48F6"/>
    <w:rPr>
      <w:rFonts w:asciiTheme="majorHAnsi" w:eastAsiaTheme="majorEastAsia" w:hAnsiTheme="majorHAnsi" w:cstheme="majorBidi"/>
      <w:bCs/>
      <w:color w:val="44546A" w:themeColor="text2"/>
      <w:sz w:val="28"/>
      <w:szCs w:val="20"/>
      <w:lang w:eastAsia="es-AR"/>
    </w:rPr>
  </w:style>
  <w:style w:type="character" w:customStyle="1" w:styleId="Ttulo4Car">
    <w:name w:val="Título 4 Car"/>
    <w:basedOn w:val="Fuentedeprrafopredeter"/>
    <w:link w:val="Ttulo4"/>
    <w:rsid w:val="002F48F6"/>
    <w:rPr>
      <w:rFonts w:asciiTheme="majorHAnsi" w:eastAsiaTheme="majorEastAsia" w:hAnsiTheme="majorHAnsi" w:cstheme="majorBidi"/>
      <w:bCs/>
      <w:iCs/>
      <w:color w:val="4472C4" w:themeColor="accent1"/>
      <w:sz w:val="24"/>
      <w:szCs w:val="20"/>
      <w:lang w:eastAsia="es-AR"/>
    </w:rPr>
  </w:style>
  <w:style w:type="character" w:customStyle="1" w:styleId="Ttulo5Car">
    <w:name w:val="Título 5 Car"/>
    <w:basedOn w:val="Fuentedeprrafopredeter"/>
    <w:link w:val="Ttulo5"/>
    <w:rsid w:val="002F48F6"/>
    <w:rPr>
      <w:rFonts w:asciiTheme="majorHAnsi" w:eastAsiaTheme="majorEastAsia" w:hAnsiTheme="majorHAnsi" w:cstheme="majorBidi"/>
      <w:color w:val="44546A" w:themeColor="text2"/>
      <w:sz w:val="20"/>
      <w:szCs w:val="20"/>
      <w:lang w:eastAsia="es-AR"/>
    </w:rPr>
  </w:style>
  <w:style w:type="character" w:customStyle="1" w:styleId="Ttulo6Car">
    <w:name w:val="Título 6 Car"/>
    <w:basedOn w:val="Fuentedeprrafopredeter"/>
    <w:link w:val="Ttulo6"/>
    <w:rsid w:val="002F48F6"/>
    <w:rPr>
      <w:rFonts w:asciiTheme="majorHAnsi" w:eastAsiaTheme="majorEastAsia" w:hAnsiTheme="majorHAnsi" w:cstheme="majorBidi"/>
      <w:iCs/>
      <w:sz w:val="20"/>
      <w:szCs w:val="20"/>
      <w:lang w:eastAsia="es-AR"/>
    </w:rPr>
  </w:style>
  <w:style w:type="character" w:customStyle="1" w:styleId="Ttulo7Car">
    <w:name w:val="Título 7 Car"/>
    <w:basedOn w:val="Fuentedeprrafopredeter"/>
    <w:link w:val="Ttulo7"/>
    <w:rsid w:val="002F48F6"/>
    <w:rPr>
      <w:rFonts w:asciiTheme="majorHAnsi" w:eastAsiaTheme="majorEastAsia" w:hAnsiTheme="majorHAnsi" w:cstheme="majorBidi"/>
      <w:iCs/>
      <w:sz w:val="20"/>
      <w:szCs w:val="20"/>
      <w:lang w:eastAsia="es-AR"/>
    </w:rPr>
  </w:style>
  <w:style w:type="character" w:customStyle="1" w:styleId="Ttulo8Car">
    <w:name w:val="Título 8 Car"/>
    <w:basedOn w:val="Fuentedeprrafopredeter"/>
    <w:link w:val="Ttulo8"/>
    <w:rsid w:val="002F48F6"/>
    <w:rPr>
      <w:rFonts w:asciiTheme="majorHAnsi" w:eastAsiaTheme="majorEastAsia" w:hAnsiTheme="majorHAnsi" w:cstheme="majorBidi"/>
      <w:sz w:val="20"/>
      <w:szCs w:val="20"/>
      <w:lang w:eastAsia="es-AR"/>
    </w:rPr>
  </w:style>
  <w:style w:type="character" w:customStyle="1" w:styleId="Ttulo9Car">
    <w:name w:val="Título 9 Car"/>
    <w:basedOn w:val="Fuentedeprrafopredeter"/>
    <w:link w:val="Ttulo9"/>
    <w:rsid w:val="002F48F6"/>
    <w:rPr>
      <w:rFonts w:asciiTheme="majorHAnsi" w:eastAsiaTheme="majorEastAsia" w:hAnsiTheme="majorHAnsi" w:cstheme="majorBidi"/>
      <w:iCs/>
      <w:sz w:val="20"/>
      <w:szCs w:val="20"/>
      <w:lang w:eastAsia="es-AR"/>
    </w:rPr>
  </w:style>
  <w:style w:type="paragraph" w:styleId="Sinespaciado">
    <w:name w:val="No Spacing"/>
    <w:link w:val="SinespaciadoCar"/>
    <w:uiPriority w:val="99"/>
    <w:qFormat/>
    <w:rsid w:val="002F48F6"/>
    <w:pPr>
      <w:spacing w:after="0" w:line="240" w:lineRule="auto"/>
    </w:pPr>
    <w:rPr>
      <w:rFonts w:ascii="Calibri" w:eastAsia="Calibri" w:hAnsi="Calibri" w:cs="Calibri"/>
      <w:color w:val="000000"/>
      <w:sz w:val="20"/>
      <w:szCs w:val="24"/>
    </w:rPr>
  </w:style>
  <w:style w:type="character" w:customStyle="1" w:styleId="TextodegloboCar1">
    <w:name w:val="Texto de globo Car1"/>
    <w:basedOn w:val="Fuentedeprrafopredeter"/>
    <w:uiPriority w:val="99"/>
    <w:rsid w:val="002F48F6"/>
    <w:rPr>
      <w:rFonts w:ascii="Tahoma" w:hAnsi="Tahoma" w:cs="Tahoma"/>
      <w:sz w:val="16"/>
      <w:szCs w:val="16"/>
      <w:lang w:val="en-US"/>
    </w:rPr>
  </w:style>
  <w:style w:type="paragraph" w:styleId="TDC1">
    <w:name w:val="toc 1"/>
    <w:basedOn w:val="Normal"/>
    <w:next w:val="Normal"/>
    <w:autoRedefine/>
    <w:uiPriority w:val="39"/>
    <w:qFormat/>
    <w:rsid w:val="002F48F6"/>
    <w:pPr>
      <w:spacing w:after="100" w:line="276" w:lineRule="auto"/>
    </w:pPr>
    <w:rPr>
      <w:rFonts w:ascii="Calibri" w:eastAsia="Calibri" w:hAnsi="Calibri" w:cs="Times New Roman"/>
      <w:color w:val="auto"/>
      <w:lang w:val="es-AR" w:eastAsia="es-AR"/>
    </w:rPr>
  </w:style>
  <w:style w:type="paragraph" w:styleId="Descripcin">
    <w:name w:val="caption"/>
    <w:basedOn w:val="Normal"/>
    <w:next w:val="Normal"/>
    <w:unhideWhenUsed/>
    <w:qFormat/>
    <w:rsid w:val="002F48F6"/>
    <w:pPr>
      <w:spacing w:after="200"/>
    </w:pPr>
    <w:rPr>
      <w:rFonts w:ascii="Calibri" w:eastAsia="Calibri" w:hAnsi="Calibri" w:cs="Times New Roman"/>
      <w:b/>
      <w:bCs/>
      <w:color w:val="4472C4" w:themeColor="accent1"/>
      <w:sz w:val="18"/>
      <w:szCs w:val="18"/>
      <w:lang w:val="es-AR" w:eastAsia="es-AR"/>
    </w:rPr>
  </w:style>
  <w:style w:type="paragraph" w:styleId="Ttulo">
    <w:name w:val="Title"/>
    <w:basedOn w:val="Normal"/>
    <w:next w:val="Normal"/>
    <w:link w:val="TtuloCar"/>
    <w:qFormat/>
    <w:rsid w:val="002F48F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s-AR" w:eastAsia="es-AR"/>
    </w:rPr>
  </w:style>
  <w:style w:type="character" w:customStyle="1" w:styleId="TtuloCar">
    <w:name w:val="Título Car"/>
    <w:basedOn w:val="Fuentedeprrafopredeter"/>
    <w:link w:val="Ttulo"/>
    <w:rsid w:val="002F48F6"/>
    <w:rPr>
      <w:rFonts w:asciiTheme="majorHAnsi" w:eastAsiaTheme="majorEastAsia" w:hAnsiTheme="majorHAnsi" w:cstheme="majorBidi"/>
      <w:color w:val="323E4F" w:themeColor="text2" w:themeShade="BF"/>
      <w:spacing w:val="5"/>
      <w:kern w:val="28"/>
      <w:sz w:val="52"/>
      <w:szCs w:val="52"/>
      <w:lang w:eastAsia="es-AR"/>
    </w:rPr>
  </w:style>
  <w:style w:type="character" w:styleId="Hipervnculovisitado">
    <w:name w:val="FollowedHyperlink"/>
    <w:basedOn w:val="Fuentedeprrafopredeter"/>
    <w:uiPriority w:val="99"/>
    <w:unhideWhenUsed/>
    <w:rsid w:val="002F48F6"/>
    <w:rPr>
      <w:color w:val="954F72" w:themeColor="followedHyperlink"/>
      <w:u w:val="single"/>
    </w:rPr>
  </w:style>
  <w:style w:type="paragraph" w:styleId="Revisin">
    <w:name w:val="Revision"/>
    <w:hidden/>
    <w:uiPriority w:val="99"/>
    <w:semiHidden/>
    <w:rsid w:val="002F48F6"/>
    <w:pPr>
      <w:spacing w:after="0" w:line="240" w:lineRule="auto"/>
    </w:pPr>
    <w:rPr>
      <w:rFonts w:ascii="Calibri" w:eastAsia="Calibri" w:hAnsi="Calibri" w:cs="Times New Roman"/>
    </w:rPr>
  </w:style>
  <w:style w:type="paragraph" w:styleId="Subttulo">
    <w:name w:val="Subtitle"/>
    <w:basedOn w:val="Normal"/>
    <w:next w:val="Textoindependiente"/>
    <w:link w:val="SubttuloCar"/>
    <w:qFormat/>
    <w:rsid w:val="002F48F6"/>
    <w:pPr>
      <w:numPr>
        <w:ilvl w:val="1"/>
      </w:numPr>
      <w:autoSpaceDE w:val="0"/>
      <w:autoSpaceDN w:val="0"/>
    </w:pPr>
    <w:rPr>
      <w:rFonts w:asciiTheme="majorHAnsi" w:eastAsiaTheme="majorEastAsia" w:hAnsiTheme="majorHAnsi" w:cstheme="majorBidi"/>
      <w:iCs/>
      <w:color w:val="4472C4" w:themeColor="accent1"/>
      <w:sz w:val="36"/>
      <w:szCs w:val="24"/>
      <w:lang w:val="es-AR" w:eastAsia="es-AR"/>
    </w:rPr>
  </w:style>
  <w:style w:type="character" w:customStyle="1" w:styleId="SubttuloCar">
    <w:name w:val="Subtítulo Car"/>
    <w:basedOn w:val="Fuentedeprrafopredeter"/>
    <w:link w:val="Subttulo"/>
    <w:rsid w:val="002F48F6"/>
    <w:rPr>
      <w:rFonts w:asciiTheme="majorHAnsi" w:eastAsiaTheme="majorEastAsia" w:hAnsiTheme="majorHAnsi" w:cstheme="majorBidi"/>
      <w:iCs/>
      <w:color w:val="4472C4" w:themeColor="accent1"/>
      <w:sz w:val="36"/>
      <w:szCs w:val="24"/>
      <w:lang w:eastAsia="es-AR"/>
    </w:rPr>
  </w:style>
  <w:style w:type="paragraph" w:styleId="Textodebloque">
    <w:name w:val="Block Text"/>
    <w:basedOn w:val="Normal"/>
    <w:unhideWhenUsed/>
    <w:rsid w:val="002F48F6"/>
    <w:pPr>
      <w:pBdr>
        <w:top w:val="single" w:sz="2" w:space="10" w:color="auto"/>
        <w:left w:val="single" w:sz="2" w:space="10" w:color="auto"/>
        <w:bottom w:val="single" w:sz="2" w:space="10" w:color="auto"/>
        <w:right w:val="single" w:sz="2" w:space="10" w:color="auto"/>
      </w:pBdr>
      <w:autoSpaceDE w:val="0"/>
      <w:autoSpaceDN w:val="0"/>
      <w:ind w:left="1152" w:right="1152"/>
    </w:pPr>
    <w:rPr>
      <w:rFonts w:eastAsiaTheme="minorEastAsia" w:cs="Times New Roman"/>
      <w:i/>
      <w:iCs/>
      <w:color w:val="auto"/>
      <w:lang w:val="es-AR" w:eastAsia="es-AR"/>
    </w:rPr>
  </w:style>
  <w:style w:type="character" w:styleId="nfasisintenso">
    <w:name w:val="Intense Emphasis"/>
    <w:basedOn w:val="Fuentedeprrafopredeter"/>
    <w:uiPriority w:val="21"/>
    <w:qFormat/>
    <w:rsid w:val="002F48F6"/>
    <w:rPr>
      <w:b/>
      <w:bCs/>
      <w:i/>
      <w:iCs/>
      <w:color w:val="auto"/>
      <w:u w:val="none"/>
    </w:rPr>
  </w:style>
  <w:style w:type="paragraph" w:styleId="Citadestacada">
    <w:name w:val="Intense Quote"/>
    <w:basedOn w:val="Normal"/>
    <w:next w:val="Normal"/>
    <w:link w:val="CitadestacadaCar"/>
    <w:uiPriority w:val="30"/>
    <w:unhideWhenUsed/>
    <w:qFormat/>
    <w:rsid w:val="002F48F6"/>
    <w:pPr>
      <w:pBdr>
        <w:bottom w:val="single" w:sz="4" w:space="4" w:color="auto"/>
      </w:pBdr>
      <w:autoSpaceDE w:val="0"/>
      <w:autoSpaceDN w:val="0"/>
      <w:ind w:left="936" w:right="936"/>
    </w:pPr>
    <w:rPr>
      <w:rFonts w:eastAsia="Wingdings" w:cs="Times New Roman"/>
      <w:b/>
      <w:bCs/>
      <w:i/>
      <w:iCs/>
      <w:color w:val="auto"/>
      <w:lang w:val="es-AR" w:eastAsia="es-AR"/>
    </w:rPr>
  </w:style>
  <w:style w:type="character" w:customStyle="1" w:styleId="CitadestacadaCar">
    <w:name w:val="Cita destacada Car"/>
    <w:basedOn w:val="Fuentedeprrafopredeter"/>
    <w:link w:val="Citadestacada"/>
    <w:uiPriority w:val="30"/>
    <w:rsid w:val="002F48F6"/>
    <w:rPr>
      <w:rFonts w:ascii="Times New Roman" w:eastAsia="Wingdings" w:hAnsi="Times New Roman" w:cs="Times New Roman"/>
      <w:b/>
      <w:bCs/>
      <w:i/>
      <w:iCs/>
      <w:sz w:val="20"/>
      <w:szCs w:val="20"/>
      <w:lang w:eastAsia="es-AR"/>
    </w:rPr>
  </w:style>
  <w:style w:type="character" w:styleId="Referenciaintensa">
    <w:name w:val="Intense Reference"/>
    <w:basedOn w:val="Fuentedeprrafopredeter"/>
    <w:uiPriority w:val="32"/>
    <w:unhideWhenUsed/>
    <w:qFormat/>
    <w:rsid w:val="002F48F6"/>
    <w:rPr>
      <w:b/>
      <w:bCs/>
      <w:i w:val="0"/>
      <w:smallCaps/>
      <w:color w:val="auto"/>
      <w:spacing w:val="5"/>
      <w:u w:val="none"/>
    </w:rPr>
  </w:style>
  <w:style w:type="character" w:styleId="nfasissutil">
    <w:name w:val="Subtle Emphasis"/>
    <w:basedOn w:val="Fuentedeprrafopredeter"/>
    <w:uiPriority w:val="19"/>
    <w:unhideWhenUsed/>
    <w:qFormat/>
    <w:rsid w:val="002F48F6"/>
    <w:rPr>
      <w:b w:val="0"/>
      <w:i/>
      <w:iCs/>
      <w:color w:val="auto"/>
      <w:u w:val="none"/>
    </w:rPr>
  </w:style>
  <w:style w:type="character" w:styleId="Referenciasutil">
    <w:name w:val="Subtle Reference"/>
    <w:basedOn w:val="Fuentedeprrafopredeter"/>
    <w:uiPriority w:val="31"/>
    <w:unhideWhenUsed/>
    <w:qFormat/>
    <w:rsid w:val="002F48F6"/>
    <w:rPr>
      <w:b w:val="0"/>
      <w:i w:val="0"/>
      <w:smallCaps/>
      <w:color w:val="auto"/>
      <w:u w:val="single"/>
    </w:rPr>
  </w:style>
  <w:style w:type="paragraph" w:styleId="Listaconvietas">
    <w:name w:val="List Bullet"/>
    <w:basedOn w:val="Normal"/>
    <w:qFormat/>
    <w:rsid w:val="002F48F6"/>
    <w:pPr>
      <w:numPr>
        <w:numId w:val="8"/>
      </w:numPr>
      <w:autoSpaceDE w:val="0"/>
      <w:autoSpaceDN w:val="0"/>
    </w:pPr>
    <w:rPr>
      <w:rFonts w:eastAsia="Wingdings" w:cs="Times New Roman"/>
      <w:color w:val="auto"/>
      <w:lang w:val="es-AR" w:eastAsia="es-AR"/>
    </w:rPr>
  </w:style>
  <w:style w:type="paragraph" w:styleId="Listaconvietas2">
    <w:name w:val="List Bullet 2"/>
    <w:basedOn w:val="Normal"/>
    <w:rsid w:val="002F48F6"/>
    <w:pPr>
      <w:numPr>
        <w:ilvl w:val="1"/>
        <w:numId w:val="8"/>
      </w:numPr>
      <w:autoSpaceDE w:val="0"/>
      <w:autoSpaceDN w:val="0"/>
    </w:pPr>
    <w:rPr>
      <w:rFonts w:eastAsia="Wingdings" w:cs="Times New Roman"/>
      <w:color w:val="auto"/>
      <w:lang w:val="es-AR" w:eastAsia="es-AR"/>
    </w:rPr>
  </w:style>
  <w:style w:type="paragraph" w:styleId="Listaconvietas3">
    <w:name w:val="List Bullet 3"/>
    <w:basedOn w:val="Normal"/>
    <w:rsid w:val="002F48F6"/>
    <w:pPr>
      <w:numPr>
        <w:ilvl w:val="2"/>
        <w:numId w:val="8"/>
      </w:numPr>
      <w:autoSpaceDE w:val="0"/>
      <w:autoSpaceDN w:val="0"/>
    </w:pPr>
    <w:rPr>
      <w:rFonts w:eastAsia="Wingdings" w:cs="Times New Roman"/>
      <w:color w:val="auto"/>
      <w:lang w:val="es-AR" w:eastAsia="es-AR"/>
    </w:rPr>
  </w:style>
  <w:style w:type="table" w:styleId="Tablaconcuadrcula">
    <w:name w:val="Table Grid"/>
    <w:basedOn w:val="Tablanormal"/>
    <w:rsid w:val="002F48F6"/>
    <w:pPr>
      <w:spacing w:after="0" w:line="240" w:lineRule="auto"/>
    </w:pPr>
    <w:rPr>
      <w:color w:val="000000" w:themeColor="text1"/>
      <w:sz w:val="21"/>
      <w:szCs w:val="21"/>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ennegrita">
    <w:name w:val="Strong"/>
    <w:basedOn w:val="Fuentedeprrafopredeter"/>
    <w:qFormat/>
    <w:rsid w:val="002F48F6"/>
    <w:rPr>
      <w:b/>
      <w:bCs/>
    </w:rPr>
  </w:style>
  <w:style w:type="paragraph" w:styleId="Listaconnmeros">
    <w:name w:val="List Number"/>
    <w:basedOn w:val="Normal"/>
    <w:qFormat/>
    <w:rsid w:val="002F48F6"/>
    <w:pPr>
      <w:numPr>
        <w:numId w:val="9"/>
      </w:numPr>
      <w:autoSpaceDE w:val="0"/>
      <w:autoSpaceDN w:val="0"/>
    </w:pPr>
    <w:rPr>
      <w:rFonts w:eastAsia="Wingdings" w:cs="Times New Roman"/>
      <w:color w:val="auto"/>
      <w:lang w:val="es-AR" w:eastAsia="es-AR"/>
    </w:rPr>
  </w:style>
  <w:style w:type="paragraph" w:customStyle="1" w:styleId="BodySingle">
    <w:name w:val="Body Single"/>
    <w:basedOn w:val="Textoindependiente"/>
    <w:link w:val="BodySingleChar"/>
    <w:qFormat/>
    <w:rsid w:val="002F48F6"/>
    <w:pPr>
      <w:autoSpaceDE w:val="0"/>
      <w:autoSpaceDN w:val="0"/>
      <w:spacing w:after="0" w:line="240" w:lineRule="auto"/>
    </w:pPr>
    <w:rPr>
      <w:rFonts w:eastAsia="Wingdings"/>
    </w:rPr>
  </w:style>
  <w:style w:type="character" w:customStyle="1" w:styleId="BodySingleChar">
    <w:name w:val="Body Single Char"/>
    <w:basedOn w:val="TextoindependienteCar"/>
    <w:link w:val="BodySingle"/>
    <w:rsid w:val="002F48F6"/>
    <w:rPr>
      <w:rFonts w:ascii="Times New Roman" w:eastAsia="Wingdings" w:hAnsi="Times New Roman" w:cs="Times New Roman"/>
      <w:sz w:val="24"/>
      <w:szCs w:val="20"/>
      <w:lang w:val="es-ES" w:eastAsia="es-ES"/>
    </w:rPr>
  </w:style>
  <w:style w:type="table" w:styleId="Sombreadoclaro-nfasis2">
    <w:name w:val="Light Shading Accent 2"/>
    <w:basedOn w:val="Tablanormal"/>
    <w:uiPriority w:val="60"/>
    <w:rsid w:val="002F48F6"/>
    <w:pPr>
      <w:spacing w:after="0" w:line="240" w:lineRule="auto"/>
    </w:pPr>
    <w:rPr>
      <w:color w:val="C45911" w:themeColor="accent2" w:themeShade="BF"/>
      <w:sz w:val="21"/>
      <w:szCs w:val="21"/>
      <w:lang w:val="en-GB"/>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medio1-nfasis4">
    <w:name w:val="Medium Shading 1 Accent 4"/>
    <w:basedOn w:val="Tablanormal"/>
    <w:uiPriority w:val="63"/>
    <w:rsid w:val="002F48F6"/>
    <w:pPr>
      <w:spacing w:after="0" w:line="240" w:lineRule="auto"/>
    </w:pPr>
    <w:rPr>
      <w:color w:val="000000" w:themeColor="text1"/>
      <w:sz w:val="21"/>
      <w:szCs w:val="21"/>
      <w:lang w:val="en-GB"/>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MediumShading11">
    <w:name w:val="Medium Shading 11"/>
    <w:basedOn w:val="Tablanormal"/>
    <w:uiPriority w:val="63"/>
    <w:rsid w:val="002F48F6"/>
    <w:pPr>
      <w:spacing w:after="0" w:line="240" w:lineRule="auto"/>
    </w:pPr>
    <w:rPr>
      <w:color w:val="000000" w:themeColor="text1"/>
      <w:sz w:val="16"/>
      <w:szCs w:val="21"/>
      <w:lang w:val="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anormal"/>
    <w:uiPriority w:val="63"/>
    <w:rsid w:val="002F48F6"/>
    <w:pPr>
      <w:spacing w:after="0" w:line="240" w:lineRule="auto"/>
    </w:pPr>
    <w:rPr>
      <w:color w:val="000000" w:themeColor="text1"/>
      <w:sz w:val="21"/>
      <w:szCs w:val="21"/>
      <w:lang w:val="en-GB"/>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LightList1">
    <w:name w:val="Light List1"/>
    <w:basedOn w:val="Tablanormal"/>
    <w:uiPriority w:val="61"/>
    <w:rsid w:val="002F48F6"/>
    <w:pPr>
      <w:spacing w:after="0" w:line="240" w:lineRule="auto"/>
    </w:pPr>
    <w:rPr>
      <w:color w:val="000000" w:themeColor="text1"/>
      <w:sz w:val="21"/>
      <w:szCs w:val="21"/>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anormal"/>
    <w:uiPriority w:val="61"/>
    <w:rsid w:val="002F48F6"/>
    <w:pPr>
      <w:spacing w:after="0" w:line="240" w:lineRule="auto"/>
    </w:pPr>
    <w:rPr>
      <w:color w:val="000000" w:themeColor="text1"/>
      <w:sz w:val="21"/>
      <w:szCs w:val="21"/>
      <w:lang w:val="en-GB"/>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SectionHeading">
    <w:name w:val="Section Heading"/>
    <w:basedOn w:val="Ttulo1"/>
    <w:next w:val="Textoindependiente"/>
    <w:uiPriority w:val="12"/>
    <w:qFormat/>
    <w:rsid w:val="002F48F6"/>
    <w:pPr>
      <w:pageBreakBefore/>
      <w:framePr w:w="10478" w:wrap="notBeside" w:vAnchor="page" w:hAnchor="margin" w:y="1135"/>
      <w:autoSpaceDE w:val="0"/>
      <w:autoSpaceDN w:val="0"/>
      <w:spacing w:before="0" w:after="120" w:line="720" w:lineRule="exact"/>
    </w:pPr>
    <w:rPr>
      <w:bCs/>
      <w:color w:val="44546A" w:themeColor="text2"/>
      <w:sz w:val="72"/>
      <w:szCs w:val="28"/>
      <w:lang w:val="es-AR" w:eastAsia="es-AR"/>
    </w:rPr>
  </w:style>
  <w:style w:type="paragraph" w:customStyle="1" w:styleId="Logo">
    <w:name w:val="Logo"/>
    <w:basedOn w:val="Normal"/>
    <w:next w:val="Textoindependiente"/>
    <w:uiPriority w:val="15"/>
    <w:unhideWhenUsed/>
    <w:qFormat/>
    <w:rsid w:val="002F48F6"/>
    <w:pPr>
      <w:autoSpaceDE w:val="0"/>
      <w:autoSpaceDN w:val="0"/>
      <w:spacing w:line="204" w:lineRule="auto"/>
      <w:jc w:val="right"/>
    </w:pPr>
    <w:rPr>
      <w:rFonts w:ascii="PwC_Logo" w:eastAsia="Wingdings" w:hAnsi="PwC_Logo" w:cs="Times New Roman"/>
      <w:color w:val="44546A" w:themeColor="text2"/>
      <w:sz w:val="48"/>
      <w:szCs w:val="48"/>
      <w:lang w:val="es-AR" w:eastAsia="es-AR"/>
    </w:rPr>
  </w:style>
  <w:style w:type="paragraph" w:styleId="Listaconnmeros2">
    <w:name w:val="List Number 2"/>
    <w:basedOn w:val="Normal"/>
    <w:rsid w:val="002F48F6"/>
    <w:pPr>
      <w:numPr>
        <w:ilvl w:val="1"/>
        <w:numId w:val="9"/>
      </w:numPr>
      <w:autoSpaceDE w:val="0"/>
      <w:autoSpaceDN w:val="0"/>
    </w:pPr>
    <w:rPr>
      <w:rFonts w:eastAsia="Wingdings" w:cs="Times New Roman"/>
      <w:color w:val="auto"/>
      <w:lang w:val="es-AR" w:eastAsia="es-AR"/>
    </w:rPr>
  </w:style>
  <w:style w:type="paragraph" w:styleId="Listaconnmeros3">
    <w:name w:val="List Number 3"/>
    <w:basedOn w:val="Normal"/>
    <w:rsid w:val="002F48F6"/>
    <w:pPr>
      <w:numPr>
        <w:ilvl w:val="2"/>
        <w:numId w:val="9"/>
      </w:numPr>
      <w:autoSpaceDE w:val="0"/>
      <w:autoSpaceDN w:val="0"/>
    </w:pPr>
    <w:rPr>
      <w:rFonts w:eastAsia="Wingdings" w:cs="Times New Roman"/>
      <w:color w:val="auto"/>
      <w:lang w:val="es-AR" w:eastAsia="es-AR"/>
    </w:rPr>
  </w:style>
  <w:style w:type="table" w:customStyle="1" w:styleId="PwCTable1">
    <w:name w:val="PwC Table 1"/>
    <w:basedOn w:val="Tablanormal"/>
    <w:uiPriority w:val="99"/>
    <w:qFormat/>
    <w:rsid w:val="002F48F6"/>
    <w:pPr>
      <w:spacing w:after="0" w:line="240" w:lineRule="auto"/>
    </w:pPr>
    <w:rPr>
      <w:color w:val="000000" w:themeColor="text1"/>
      <w:sz w:val="18"/>
      <w:lang w:val="en-GB"/>
    </w:rPr>
    <w:tblPr>
      <w:tblStyleRowBandSize w:val="1"/>
      <w:tblBorders>
        <w:bottom w:val="single" w:sz="4" w:space="0" w:color="4472C4" w:themeColor="accent1"/>
        <w:insideH w:val="single" w:sz="4" w:space="0" w:color="4472C4" w:themeColor="accent1"/>
      </w:tblBorders>
      <w:tblCellMar>
        <w:top w:w="57" w:type="dxa"/>
        <w:left w:w="0" w:type="dxa"/>
        <w:bottom w:w="57" w:type="dxa"/>
        <w:right w:w="0" w:type="dxa"/>
      </w:tblCellMar>
    </w:tblPr>
    <w:tblStylePr w:type="firstRow">
      <w:pPr>
        <w:wordWrap/>
        <w:spacing w:beforeLines="0" w:beforeAutospacing="0" w:afterLines="0" w:afterAutospacing="0" w:line="210" w:lineRule="atLeast"/>
        <w:contextualSpacing w:val="0"/>
      </w:pPr>
      <w:rPr>
        <w:rFonts w:asciiTheme="majorHAnsi" w:hAnsiTheme="majorHAnsi"/>
        <w:b/>
        <w:color w:val="4472C4" w:themeColor="accent1"/>
        <w:sz w:val="18"/>
      </w:rPr>
      <w:tblPr/>
      <w:tcPr>
        <w:tcBorders>
          <w:top w:val="nil"/>
          <w:left w:val="nil"/>
          <w:bottom w:val="single" w:sz="8" w:space="0" w:color="44546A" w:themeColor="text2"/>
          <w:right w:val="nil"/>
          <w:insideH w:val="nil"/>
          <w:insideV w:val="nil"/>
          <w:tl2br w:val="nil"/>
          <w:tr2bl w:val="nil"/>
        </w:tcBorders>
      </w:tcPr>
    </w:tblStylePr>
    <w:tblStylePr w:type="lastRow">
      <w:tblPr/>
      <w:tcPr>
        <w:tcBorders>
          <w:top w:val="nil"/>
          <w:left w:val="nil"/>
          <w:bottom w:val="single" w:sz="4" w:space="0" w:color="4472C4" w:themeColor="accent1"/>
          <w:right w:val="nil"/>
          <w:insideH w:val="nil"/>
          <w:insideV w:val="nil"/>
          <w:tl2br w:val="nil"/>
          <w:tr2bl w:val="nil"/>
        </w:tcBorders>
      </w:tcPr>
    </w:tblStylePr>
    <w:tblStylePr w:type="band1Horz">
      <w:pPr>
        <w:wordWrap/>
        <w:spacing w:beforeLines="0" w:beforeAutospacing="0" w:afterLines="0" w:afterAutospacing="0" w:line="210" w:lineRule="atLeast"/>
      </w:pPr>
    </w:tblStylePr>
    <w:tblStylePr w:type="band2Horz">
      <w:pPr>
        <w:wordWrap/>
        <w:spacing w:beforeLines="0" w:beforeAutospacing="0" w:afterLines="0" w:afterAutospacing="0" w:line="210" w:lineRule="atLeast"/>
      </w:pPr>
    </w:tblStylePr>
  </w:style>
  <w:style w:type="numbering" w:customStyle="1" w:styleId="PwCListBullets1">
    <w:name w:val="PwC List Bullets 1"/>
    <w:uiPriority w:val="99"/>
    <w:rsid w:val="002F48F6"/>
    <w:pPr>
      <w:numPr>
        <w:numId w:val="8"/>
      </w:numPr>
    </w:pPr>
  </w:style>
  <w:style w:type="numbering" w:customStyle="1" w:styleId="PwCListNumbers1">
    <w:name w:val="PwC List Numbers 1"/>
    <w:uiPriority w:val="99"/>
    <w:rsid w:val="002F48F6"/>
    <w:pPr>
      <w:numPr>
        <w:numId w:val="9"/>
      </w:numPr>
    </w:pPr>
  </w:style>
  <w:style w:type="paragraph" w:styleId="Listaconvietas4">
    <w:name w:val="List Bullet 4"/>
    <w:basedOn w:val="Normal"/>
    <w:unhideWhenUsed/>
    <w:rsid w:val="002F48F6"/>
    <w:pPr>
      <w:numPr>
        <w:ilvl w:val="3"/>
        <w:numId w:val="8"/>
      </w:numPr>
      <w:autoSpaceDE w:val="0"/>
      <w:autoSpaceDN w:val="0"/>
    </w:pPr>
    <w:rPr>
      <w:rFonts w:eastAsia="Wingdings" w:cs="Times New Roman"/>
      <w:color w:val="auto"/>
      <w:lang w:val="es-AR" w:eastAsia="es-AR"/>
    </w:rPr>
  </w:style>
  <w:style w:type="paragraph" w:styleId="Continuarlista">
    <w:name w:val="List Continue"/>
    <w:basedOn w:val="Normal"/>
    <w:uiPriority w:val="14"/>
    <w:unhideWhenUsed/>
    <w:rsid w:val="002F48F6"/>
    <w:pPr>
      <w:autoSpaceDE w:val="0"/>
      <w:autoSpaceDN w:val="0"/>
      <w:ind w:left="397"/>
    </w:pPr>
    <w:rPr>
      <w:rFonts w:eastAsia="Wingdings" w:cs="Times New Roman"/>
      <w:color w:val="auto"/>
      <w:lang w:val="es-AR" w:eastAsia="es-AR"/>
    </w:rPr>
  </w:style>
  <w:style w:type="paragraph" w:styleId="Continuarlista2">
    <w:name w:val="List Continue 2"/>
    <w:basedOn w:val="Normal"/>
    <w:uiPriority w:val="14"/>
    <w:unhideWhenUsed/>
    <w:rsid w:val="002F48F6"/>
    <w:pPr>
      <w:autoSpaceDE w:val="0"/>
      <w:autoSpaceDN w:val="0"/>
      <w:ind w:left="794"/>
    </w:pPr>
    <w:rPr>
      <w:rFonts w:eastAsia="Wingdings" w:cs="Times New Roman"/>
      <w:color w:val="auto"/>
      <w:lang w:val="es-AR" w:eastAsia="es-AR"/>
    </w:rPr>
  </w:style>
  <w:style w:type="paragraph" w:styleId="Lista3">
    <w:name w:val="List 3"/>
    <w:basedOn w:val="Normal"/>
    <w:uiPriority w:val="14"/>
    <w:rsid w:val="002F48F6"/>
    <w:pPr>
      <w:autoSpaceDE w:val="0"/>
      <w:autoSpaceDN w:val="0"/>
      <w:ind w:left="1191" w:hanging="397"/>
    </w:pPr>
    <w:rPr>
      <w:rFonts w:eastAsia="Wingdings" w:cs="Times New Roman"/>
      <w:color w:val="auto"/>
      <w:lang w:val="es-AR" w:eastAsia="es-AR"/>
    </w:rPr>
  </w:style>
  <w:style w:type="paragraph" w:styleId="Lista4">
    <w:name w:val="List 4"/>
    <w:basedOn w:val="Normal"/>
    <w:uiPriority w:val="14"/>
    <w:unhideWhenUsed/>
    <w:rsid w:val="002F48F6"/>
    <w:pPr>
      <w:autoSpaceDE w:val="0"/>
      <w:autoSpaceDN w:val="0"/>
      <w:ind w:left="1588" w:hanging="397"/>
    </w:pPr>
    <w:rPr>
      <w:rFonts w:eastAsia="Wingdings" w:cs="Times New Roman"/>
      <w:color w:val="auto"/>
      <w:lang w:val="es-AR" w:eastAsia="es-AR"/>
    </w:rPr>
  </w:style>
  <w:style w:type="paragraph" w:styleId="Lista5">
    <w:name w:val="List 5"/>
    <w:basedOn w:val="Normal"/>
    <w:unhideWhenUsed/>
    <w:rsid w:val="002F48F6"/>
    <w:pPr>
      <w:autoSpaceDE w:val="0"/>
      <w:autoSpaceDN w:val="0"/>
      <w:ind w:left="1985" w:hanging="397"/>
    </w:pPr>
    <w:rPr>
      <w:rFonts w:eastAsia="Wingdings" w:cs="Times New Roman"/>
      <w:color w:val="auto"/>
      <w:lang w:val="es-AR" w:eastAsia="es-AR"/>
    </w:rPr>
  </w:style>
  <w:style w:type="paragraph" w:styleId="Continuarlista3">
    <w:name w:val="List Continue 3"/>
    <w:basedOn w:val="Normal"/>
    <w:uiPriority w:val="14"/>
    <w:unhideWhenUsed/>
    <w:rsid w:val="002F48F6"/>
    <w:pPr>
      <w:autoSpaceDE w:val="0"/>
      <w:autoSpaceDN w:val="0"/>
      <w:ind w:left="1191"/>
    </w:pPr>
    <w:rPr>
      <w:rFonts w:eastAsia="Wingdings" w:cs="Times New Roman"/>
      <w:color w:val="auto"/>
      <w:lang w:val="es-AR" w:eastAsia="es-AR"/>
    </w:rPr>
  </w:style>
  <w:style w:type="paragraph" w:styleId="Continuarlista4">
    <w:name w:val="List Continue 4"/>
    <w:basedOn w:val="Normal"/>
    <w:uiPriority w:val="14"/>
    <w:unhideWhenUsed/>
    <w:rsid w:val="002F48F6"/>
    <w:pPr>
      <w:autoSpaceDE w:val="0"/>
      <w:autoSpaceDN w:val="0"/>
      <w:ind w:left="1588"/>
    </w:pPr>
    <w:rPr>
      <w:rFonts w:eastAsia="Wingdings" w:cs="Times New Roman"/>
      <w:color w:val="auto"/>
      <w:lang w:val="es-AR" w:eastAsia="es-AR"/>
    </w:rPr>
  </w:style>
  <w:style w:type="paragraph" w:styleId="Continuarlista5">
    <w:name w:val="List Continue 5"/>
    <w:basedOn w:val="Normal"/>
    <w:uiPriority w:val="14"/>
    <w:unhideWhenUsed/>
    <w:rsid w:val="002F48F6"/>
    <w:pPr>
      <w:autoSpaceDE w:val="0"/>
      <w:autoSpaceDN w:val="0"/>
      <w:ind w:left="1985"/>
    </w:pPr>
    <w:rPr>
      <w:rFonts w:eastAsia="Wingdings" w:cs="Times New Roman"/>
      <w:color w:val="auto"/>
      <w:lang w:val="es-AR" w:eastAsia="es-AR"/>
    </w:rPr>
  </w:style>
  <w:style w:type="paragraph" w:styleId="Listaconnmeros4">
    <w:name w:val="List Number 4"/>
    <w:basedOn w:val="Normal"/>
    <w:unhideWhenUsed/>
    <w:rsid w:val="002F48F6"/>
    <w:pPr>
      <w:numPr>
        <w:ilvl w:val="3"/>
        <w:numId w:val="9"/>
      </w:numPr>
      <w:autoSpaceDE w:val="0"/>
      <w:autoSpaceDN w:val="0"/>
    </w:pPr>
    <w:rPr>
      <w:rFonts w:eastAsia="Wingdings" w:cs="Times New Roman"/>
      <w:color w:val="auto"/>
      <w:lang w:val="es-AR" w:eastAsia="es-AR"/>
    </w:rPr>
  </w:style>
  <w:style w:type="paragraph" w:styleId="Listaconnmeros5">
    <w:name w:val="List Number 5"/>
    <w:basedOn w:val="Normal"/>
    <w:unhideWhenUsed/>
    <w:rsid w:val="002F48F6"/>
    <w:pPr>
      <w:numPr>
        <w:ilvl w:val="4"/>
        <w:numId w:val="9"/>
      </w:numPr>
      <w:autoSpaceDE w:val="0"/>
      <w:autoSpaceDN w:val="0"/>
    </w:pPr>
    <w:rPr>
      <w:rFonts w:eastAsia="Wingdings" w:cs="Times New Roman"/>
      <w:color w:val="auto"/>
      <w:lang w:val="es-AR" w:eastAsia="es-AR"/>
    </w:rPr>
  </w:style>
  <w:style w:type="paragraph" w:styleId="Listaconvietas5">
    <w:name w:val="List Bullet 5"/>
    <w:basedOn w:val="Normal"/>
    <w:unhideWhenUsed/>
    <w:rsid w:val="002F48F6"/>
    <w:pPr>
      <w:numPr>
        <w:ilvl w:val="4"/>
        <w:numId w:val="8"/>
      </w:numPr>
      <w:autoSpaceDE w:val="0"/>
      <w:autoSpaceDN w:val="0"/>
    </w:pPr>
    <w:rPr>
      <w:rFonts w:eastAsia="Wingdings" w:cs="Times New Roman"/>
      <w:color w:val="auto"/>
      <w:lang w:val="es-AR" w:eastAsia="es-AR"/>
    </w:rPr>
  </w:style>
  <w:style w:type="paragraph" w:styleId="Lista2">
    <w:name w:val="List 2"/>
    <w:basedOn w:val="Normal"/>
    <w:rsid w:val="002F48F6"/>
    <w:pPr>
      <w:autoSpaceDE w:val="0"/>
      <w:autoSpaceDN w:val="0"/>
      <w:ind w:left="794" w:hanging="397"/>
    </w:pPr>
    <w:rPr>
      <w:rFonts w:eastAsia="Wingdings" w:cs="Times New Roman"/>
      <w:color w:val="auto"/>
      <w:lang w:val="es-AR" w:eastAsia="es-AR"/>
    </w:rPr>
  </w:style>
  <w:style w:type="paragraph" w:styleId="Lista">
    <w:name w:val="List"/>
    <w:basedOn w:val="Normal"/>
    <w:uiPriority w:val="14"/>
    <w:rsid w:val="002F48F6"/>
    <w:pPr>
      <w:autoSpaceDE w:val="0"/>
      <w:autoSpaceDN w:val="0"/>
      <w:ind w:left="397" w:hanging="397"/>
    </w:pPr>
    <w:rPr>
      <w:rFonts w:eastAsia="Wingdings" w:cs="Times New Roman"/>
      <w:color w:val="auto"/>
      <w:lang w:val="es-AR" w:eastAsia="es-AR"/>
    </w:rPr>
  </w:style>
  <w:style w:type="character" w:styleId="Nmerodepgina">
    <w:name w:val="page number"/>
    <w:basedOn w:val="Fuentedeprrafopredeter"/>
    <w:rsid w:val="002F48F6"/>
  </w:style>
  <w:style w:type="paragraph" w:customStyle="1" w:styleId="Texto">
    <w:name w:val="Texto"/>
    <w:basedOn w:val="Normal"/>
    <w:rsid w:val="002F48F6"/>
    <w:pPr>
      <w:widowControl w:val="0"/>
      <w:autoSpaceDE w:val="0"/>
      <w:autoSpaceDN w:val="0"/>
      <w:jc w:val="both"/>
    </w:pPr>
    <w:rPr>
      <w:rFonts w:eastAsia="Wingdings" w:cs="Times New Roman"/>
      <w:color w:val="auto"/>
      <w:lang w:val="es-AR" w:eastAsia="es-AR"/>
    </w:rPr>
  </w:style>
  <w:style w:type="paragraph" w:customStyle="1" w:styleId="Estndar">
    <w:name w:val="Estándar"/>
    <w:rsid w:val="002F48F6"/>
    <w:pPr>
      <w:widowControl w:val="0"/>
      <w:spacing w:after="0" w:line="240" w:lineRule="auto"/>
    </w:pPr>
    <w:rPr>
      <w:rFonts w:ascii="Times New Roman" w:eastAsia="Times New Roman" w:hAnsi="Times New Roman" w:cs="Times New Roman"/>
      <w:snapToGrid w:val="0"/>
      <w:color w:val="000000"/>
      <w:sz w:val="20"/>
      <w:szCs w:val="20"/>
      <w:lang w:val="es-ES"/>
    </w:rPr>
  </w:style>
  <w:style w:type="character" w:customStyle="1" w:styleId="TextoindependienteCar2">
    <w:name w:val="Texto independiente Car2"/>
    <w:aliases w:val="bt Car2,b Car2,Borrador Car2,body text Car1,CG-Single Sp 0.5 Car1,s2 Car1,!Body Text .5(J) Car1,Second Heading 2 Car1,Second Heading Car1,!Body Text .5s2(J) Car1,CG-Single Sp 0 Car1,!Body Text Car1,5(J) Car1,5s2(J) Car1,s9 Car1"/>
    <w:rsid w:val="002F48F6"/>
    <w:rPr>
      <w:rFonts w:ascii="Times New Roman" w:eastAsia="Times New Roman" w:hAnsi="Times New Roman" w:cs="Times New Roman"/>
      <w:sz w:val="20"/>
      <w:szCs w:val="20"/>
      <w:lang w:val="en-US"/>
    </w:rPr>
  </w:style>
  <w:style w:type="paragraph" w:customStyle="1" w:styleId="Textos">
    <w:name w:val="Textos"/>
    <w:basedOn w:val="Normal"/>
    <w:rsid w:val="002F48F6"/>
    <w:pPr>
      <w:jc w:val="both"/>
    </w:pPr>
    <w:rPr>
      <w:rFonts w:ascii="Wingdings" w:eastAsia="Times New Roman" w:hAnsi="Wingdings" w:cs="Times New Roman"/>
      <w:color w:val="auto"/>
      <w:sz w:val="24"/>
      <w:lang w:eastAsia="es-AR"/>
    </w:rPr>
  </w:style>
  <w:style w:type="paragraph" w:customStyle="1" w:styleId="Pie">
    <w:name w:val="Pie"/>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eastAsia="Times New Roman" w:hAnsi="Arial" w:cs="Times New Roman"/>
      <w:color w:val="auto"/>
      <w:sz w:val="16"/>
      <w:lang w:val="en-US" w:eastAsia="es-AR"/>
    </w:rPr>
  </w:style>
  <w:style w:type="character" w:customStyle="1" w:styleId="TextocomentarioCar1">
    <w:name w:val="Texto comentario Car1"/>
    <w:rsid w:val="002F48F6"/>
    <w:rPr>
      <w:lang w:val="en-US" w:eastAsia="en-US"/>
    </w:rPr>
  </w:style>
  <w:style w:type="character" w:styleId="nfasis">
    <w:name w:val="Emphasis"/>
    <w:qFormat/>
    <w:rsid w:val="002F48F6"/>
    <w:rPr>
      <w:i/>
      <w:iCs/>
    </w:rPr>
  </w:style>
  <w:style w:type="character" w:customStyle="1" w:styleId="Reenvio">
    <w:name w:val="Reenvio"/>
    <w:uiPriority w:val="99"/>
    <w:rsid w:val="002F48F6"/>
  </w:style>
  <w:style w:type="paragraph" w:customStyle="1" w:styleId="Simple">
    <w:name w:val="Simple"/>
    <w:rsid w:val="002F48F6"/>
    <w:pPr>
      <w:widowControl w:val="0"/>
      <w:spacing w:after="0" w:line="240" w:lineRule="auto"/>
    </w:pPr>
    <w:rPr>
      <w:rFonts w:ascii="Times New Roman" w:eastAsia="Times New Roman" w:hAnsi="Times New Roman" w:cs="Times New Roman"/>
      <w:snapToGrid w:val="0"/>
      <w:color w:val="000000"/>
      <w:sz w:val="24"/>
      <w:szCs w:val="20"/>
      <w:lang w:val="es-ES"/>
    </w:rPr>
  </w:style>
  <w:style w:type="paragraph" w:customStyle="1" w:styleId="Tabla">
    <w:name w:val="Tabla"/>
    <w:rsid w:val="002F48F6"/>
    <w:pPr>
      <w:widowControl w:val="0"/>
      <w:spacing w:after="0" w:line="240" w:lineRule="auto"/>
    </w:pPr>
    <w:rPr>
      <w:rFonts w:ascii="Arial" w:eastAsia="Times New Roman" w:hAnsi="Arial" w:cs="Times New Roman"/>
      <w:snapToGrid w:val="0"/>
      <w:color w:val="000000"/>
      <w:sz w:val="20"/>
      <w:szCs w:val="20"/>
      <w:lang w:val="es-ES"/>
    </w:rPr>
  </w:style>
  <w:style w:type="paragraph" w:customStyle="1" w:styleId="Textopredete">
    <w:name w:val="Texto predete"/>
    <w:basedOn w:val="Normal"/>
    <w:rsid w:val="002F48F6"/>
    <w:rPr>
      <w:rFonts w:eastAsia="Times New Roman" w:cs="Times New Roman"/>
      <w:color w:val="auto"/>
      <w:sz w:val="24"/>
      <w:lang w:val="en-US" w:eastAsia="es-AR"/>
    </w:rPr>
  </w:style>
  <w:style w:type="paragraph" w:customStyle="1" w:styleId="Textopredeterminado">
    <w:name w:val="Texto predeterminado"/>
    <w:basedOn w:val="Normal"/>
    <w:rsid w:val="002F48F6"/>
    <w:pPr>
      <w:jc w:val="both"/>
    </w:pPr>
    <w:rPr>
      <w:rFonts w:eastAsia="Times New Roman" w:cs="Times New Roman"/>
      <w:noProof/>
      <w:color w:val="auto"/>
      <w:sz w:val="24"/>
      <w:lang w:val="en-US" w:eastAsia="es-AR"/>
    </w:rPr>
  </w:style>
  <w:style w:type="paragraph" w:customStyle="1" w:styleId="Tabla8">
    <w:name w:val="Tabla8"/>
    <w:basedOn w:val="Normal"/>
    <w:rsid w:val="002F48F6"/>
    <w:rPr>
      <w:rFonts w:eastAsia="Times New Roman" w:cs="Times New Roman"/>
      <w:color w:val="auto"/>
      <w:sz w:val="16"/>
      <w:lang w:val="en-US" w:eastAsia="es-AR"/>
    </w:rPr>
  </w:style>
  <w:style w:type="paragraph" w:customStyle="1" w:styleId="Textonota2">
    <w:name w:val="Texto nota 2"/>
    <w:basedOn w:val="Normal"/>
    <w:rsid w:val="002F48F6"/>
    <w:pPr>
      <w:ind w:left="1152"/>
    </w:pPr>
    <w:rPr>
      <w:rFonts w:ascii="Arial" w:eastAsia="Times New Roman" w:hAnsi="Arial" w:cs="Times New Roman"/>
      <w:color w:val="auto"/>
      <w:sz w:val="19"/>
      <w:szCs w:val="24"/>
      <w:lang w:val="en-US" w:eastAsia="es-AR"/>
    </w:rPr>
  </w:style>
  <w:style w:type="paragraph" w:customStyle="1" w:styleId="CommentSubject1">
    <w:name w:val="Comment Subject1"/>
    <w:basedOn w:val="Textocomentario"/>
    <w:next w:val="Textocomentario"/>
    <w:semiHidden/>
    <w:rsid w:val="002F48F6"/>
    <w:rPr>
      <w:rFonts w:ascii="Wingdings" w:eastAsia="Times New Roman" w:hAnsi="Wingdings" w:cs="Times New Roman"/>
      <w:b/>
      <w:bCs/>
      <w:color w:val="auto"/>
      <w:lang w:eastAsia="es-AR"/>
    </w:rPr>
  </w:style>
  <w:style w:type="paragraph" w:customStyle="1" w:styleId="3Subttulo">
    <w:name w:val="3Subtítulo"/>
    <w:basedOn w:val="Normal"/>
    <w:rsid w:val="002F48F6"/>
    <w:pPr>
      <w:jc w:val="center"/>
    </w:pPr>
    <w:rPr>
      <w:rFonts w:eastAsia="Times New Roman" w:cs="Times New Roman"/>
      <w:color w:val="auto"/>
      <w:sz w:val="24"/>
      <w:lang w:eastAsia="es-ES"/>
    </w:rPr>
  </w:style>
  <w:style w:type="paragraph" w:customStyle="1" w:styleId="CharChar">
    <w:name w:val="Char Ch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styleId="Textoindependiente2">
    <w:name w:val="Body Text 2"/>
    <w:basedOn w:val="Normal"/>
    <w:link w:val="Textoindependiente2Car"/>
    <w:rsid w:val="002F48F6"/>
    <w:pPr>
      <w:spacing w:after="120" w:line="480" w:lineRule="auto"/>
    </w:pPr>
    <w:rPr>
      <w:rFonts w:eastAsia="Times New Roman" w:cs="Times New Roman"/>
      <w:color w:val="auto"/>
      <w:lang w:val="en-US" w:eastAsia="es-AR"/>
    </w:rPr>
  </w:style>
  <w:style w:type="character" w:customStyle="1" w:styleId="Textoindependiente2Car">
    <w:name w:val="Texto independiente 2 Car"/>
    <w:basedOn w:val="Fuentedeprrafopredeter"/>
    <w:link w:val="Textoindependiente2"/>
    <w:rsid w:val="002F48F6"/>
    <w:rPr>
      <w:rFonts w:ascii="Times New Roman" w:eastAsia="Times New Roman" w:hAnsi="Times New Roman" w:cs="Times New Roman"/>
      <w:sz w:val="20"/>
      <w:szCs w:val="20"/>
      <w:lang w:val="en-US" w:eastAsia="es-AR"/>
    </w:rPr>
  </w:style>
  <w:style w:type="paragraph" w:customStyle="1" w:styleId="TABLA80">
    <w:name w:val="TABLA8"/>
    <w:rsid w:val="002F48F6"/>
    <w:pPr>
      <w:widowControl w:val="0"/>
      <w:spacing w:after="0" w:line="240" w:lineRule="auto"/>
    </w:pPr>
    <w:rPr>
      <w:rFonts w:ascii="Times New Roman" w:eastAsia="Times New Roman" w:hAnsi="Times New Roman" w:cs="Times New Roman"/>
      <w:snapToGrid w:val="0"/>
      <w:color w:val="000000"/>
      <w:sz w:val="16"/>
      <w:szCs w:val="20"/>
      <w:lang w:val="es-ES"/>
    </w:rPr>
  </w:style>
  <w:style w:type="paragraph" w:customStyle="1" w:styleId="Textodetabla">
    <w:name w:val="Texto de tabla"/>
    <w:basedOn w:val="Normal"/>
    <w:rsid w:val="002F48F6"/>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eastAsia="Times New Roman" w:hAnsi="Arial" w:cs="Times New Roman"/>
      <w:color w:val="auto"/>
      <w:lang w:val="en-US" w:eastAsia="es-AR"/>
    </w:rPr>
  </w:style>
  <w:style w:type="paragraph" w:customStyle="1" w:styleId="Textospie8">
    <w:name w:val="Textos pie ( 8 )"/>
    <w:basedOn w:val="Normal"/>
    <w:rsid w:val="002F48F6"/>
    <w:pPr>
      <w:jc w:val="both"/>
    </w:pPr>
    <w:rPr>
      <w:rFonts w:ascii="Arial" w:eastAsia="Times New Roman" w:hAnsi="Arial" w:cs="Times New Roman"/>
      <w:color w:val="auto"/>
      <w:sz w:val="16"/>
      <w:lang w:val="en-US" w:eastAsia="es-ES"/>
    </w:rPr>
  </w:style>
  <w:style w:type="paragraph" w:customStyle="1" w:styleId="carol1">
    <w:name w:val="carol1"/>
    <w:basedOn w:val="Normal"/>
    <w:rsid w:val="002F48F6"/>
    <w:pPr>
      <w:numPr>
        <w:numId w:val="10"/>
      </w:numPr>
      <w:spacing w:line="240" w:lineRule="atLeast"/>
    </w:pPr>
    <w:rPr>
      <w:rFonts w:eastAsia="Times New Roman" w:cs="Times New Roman"/>
      <w:color w:val="auto"/>
      <w:lang w:val="en-GB" w:eastAsia="es-AR"/>
    </w:rPr>
  </w:style>
  <w:style w:type="paragraph" w:styleId="Sangra3detindependiente">
    <w:name w:val="Body Text Indent 3"/>
    <w:basedOn w:val="Normal"/>
    <w:link w:val="Sangra3detindependienteCar"/>
    <w:rsid w:val="002F48F6"/>
    <w:pPr>
      <w:autoSpaceDE w:val="0"/>
      <w:autoSpaceDN w:val="0"/>
      <w:adjustRightInd w:val="0"/>
      <w:spacing w:line="240" w:lineRule="atLeast"/>
      <w:ind w:left="284" w:hanging="261"/>
    </w:pPr>
    <w:rPr>
      <w:rFonts w:eastAsia="Times New Roman" w:cs="Times New Roman"/>
      <w:sz w:val="24"/>
      <w:lang w:val="en-GB" w:eastAsia="es-AR"/>
    </w:rPr>
  </w:style>
  <w:style w:type="character" w:customStyle="1" w:styleId="Sangra3detindependienteCar">
    <w:name w:val="Sangría 3 de t. independiente Car"/>
    <w:basedOn w:val="Fuentedeprrafopredeter"/>
    <w:link w:val="Sangra3detindependiente"/>
    <w:rsid w:val="002F48F6"/>
    <w:rPr>
      <w:rFonts w:ascii="Times New Roman" w:eastAsia="Times New Roman" w:hAnsi="Times New Roman" w:cs="Times New Roman"/>
      <w:color w:val="000000"/>
      <w:sz w:val="24"/>
      <w:szCs w:val="20"/>
      <w:lang w:val="en-GB" w:eastAsia="es-AR"/>
    </w:rPr>
  </w:style>
  <w:style w:type="paragraph" w:customStyle="1" w:styleId="Tabla10">
    <w:name w:val="Tabla10"/>
    <w:basedOn w:val="Normal"/>
    <w:rsid w:val="002F48F6"/>
    <w:rPr>
      <w:rFonts w:eastAsia="Times New Roman" w:cs="Times New Roman"/>
      <w:color w:val="auto"/>
      <w:lang w:val="en-US" w:eastAsia="es-AR"/>
    </w:rPr>
  </w:style>
  <w:style w:type="paragraph" w:customStyle="1" w:styleId="Style1">
    <w:name w:val="Style 1"/>
    <w:basedOn w:val="Normal"/>
    <w:rsid w:val="002F48F6"/>
    <w:pPr>
      <w:widowControl w:val="0"/>
      <w:autoSpaceDE w:val="0"/>
      <w:autoSpaceDN w:val="0"/>
      <w:adjustRightInd w:val="0"/>
    </w:pPr>
    <w:rPr>
      <w:rFonts w:eastAsia="Times New Roman" w:cs="Times New Roman"/>
      <w:color w:val="auto"/>
      <w:szCs w:val="24"/>
      <w:lang w:val="en-US" w:eastAsia="es-AR"/>
    </w:rPr>
  </w:style>
  <w:style w:type="paragraph" w:customStyle="1" w:styleId="TABLA100">
    <w:name w:val="TABLA10"/>
    <w:rsid w:val="002F48F6"/>
    <w:pPr>
      <w:widowControl w:val="0"/>
      <w:tabs>
        <w:tab w:val="left" w:pos="330"/>
        <w:tab w:val="left" w:pos="570"/>
        <w:tab w:val="left" w:pos="780"/>
      </w:tabs>
      <w:spacing w:after="0" w:line="240" w:lineRule="auto"/>
    </w:pPr>
    <w:rPr>
      <w:rFonts w:ascii="Times New Roman" w:eastAsia="Times New Roman" w:hAnsi="Times New Roman" w:cs="Times New Roman"/>
      <w:snapToGrid w:val="0"/>
      <w:color w:val="000000"/>
      <w:sz w:val="20"/>
      <w:szCs w:val="20"/>
      <w:lang w:val="es-ES"/>
    </w:rPr>
  </w:style>
  <w:style w:type="paragraph" w:customStyle="1" w:styleId="2titulo">
    <w:name w:val="2titulo"/>
    <w:basedOn w:val="Normal"/>
    <w:rsid w:val="002F48F6"/>
    <w:rPr>
      <w:rFonts w:eastAsia="Times New Roman" w:cs="Times New Roman"/>
      <w:color w:val="auto"/>
      <w:lang w:val="en-US" w:eastAsia="es-AR"/>
    </w:rPr>
  </w:style>
  <w:style w:type="paragraph" w:styleId="Textoindependiente3">
    <w:name w:val="Body Text 3"/>
    <w:basedOn w:val="Normal"/>
    <w:link w:val="Textoindependiente3Car"/>
    <w:rsid w:val="002F48F6"/>
    <w:pPr>
      <w:spacing w:after="220" w:line="220" w:lineRule="atLeast"/>
    </w:pPr>
    <w:rPr>
      <w:rFonts w:ascii="Arial" w:eastAsia="Wingdings" w:hAnsi="Arial" w:cs="Times New Roman"/>
      <w:color w:val="auto"/>
      <w:sz w:val="16"/>
      <w:lang w:val="en-GB" w:eastAsia="zh-CN"/>
    </w:rPr>
  </w:style>
  <w:style w:type="character" w:customStyle="1" w:styleId="Textoindependiente3Car">
    <w:name w:val="Texto independiente 3 Car"/>
    <w:basedOn w:val="Fuentedeprrafopredeter"/>
    <w:link w:val="Textoindependiente3"/>
    <w:rsid w:val="002F48F6"/>
    <w:rPr>
      <w:rFonts w:ascii="Arial" w:eastAsia="Wingdings" w:hAnsi="Arial" w:cs="Times New Roman"/>
      <w:sz w:val="16"/>
      <w:szCs w:val="20"/>
      <w:lang w:val="en-GB" w:eastAsia="zh-CN"/>
    </w:rPr>
  </w:style>
  <w:style w:type="paragraph" w:styleId="Direccinsobre">
    <w:name w:val="envelope address"/>
    <w:basedOn w:val="Normal"/>
    <w:rsid w:val="002F48F6"/>
    <w:pPr>
      <w:framePr w:w="7920" w:h="1980" w:hRule="exact" w:hSpace="180" w:wrap="auto" w:hAnchor="page" w:xAlign="center" w:yAlign="bottom"/>
      <w:spacing w:line="240" w:lineRule="atLeast"/>
      <w:ind w:left="2976"/>
    </w:pPr>
    <w:rPr>
      <w:rFonts w:ascii="Arial" w:eastAsia="Wingdings" w:hAnsi="Arial" w:cs="Times New Roman"/>
      <w:color w:val="auto"/>
      <w:lang w:val="en-GB" w:eastAsia="zh-CN"/>
    </w:rPr>
  </w:style>
  <w:style w:type="paragraph" w:styleId="Textoindependienteprimerasangra">
    <w:name w:val="Body Text First Indent"/>
    <w:basedOn w:val="Textoindependiente"/>
    <w:link w:val="TextoindependienteprimerasangraCar"/>
    <w:rsid w:val="002F48F6"/>
    <w:pPr>
      <w:autoSpaceDE w:val="0"/>
      <w:autoSpaceDN w:val="0"/>
      <w:spacing w:after="0" w:line="240" w:lineRule="auto"/>
      <w:ind w:firstLine="595"/>
    </w:pPr>
    <w:rPr>
      <w:rFonts w:ascii="Arial" w:eastAsia="Wingdings" w:hAnsi="Arial"/>
      <w:sz w:val="20"/>
      <w:lang w:val="es-AR" w:eastAsia="zh-CN"/>
    </w:rPr>
  </w:style>
  <w:style w:type="character" w:customStyle="1" w:styleId="TextoindependienteprimerasangraCar">
    <w:name w:val="Texto independiente primera sangría Car"/>
    <w:basedOn w:val="TextoindependienteCar"/>
    <w:link w:val="Textoindependienteprimerasangra"/>
    <w:rsid w:val="002F48F6"/>
    <w:rPr>
      <w:rFonts w:ascii="Arial" w:eastAsia="Wingdings" w:hAnsi="Arial" w:cs="Times New Roman"/>
      <w:sz w:val="20"/>
      <w:szCs w:val="20"/>
      <w:lang w:val="es-ES" w:eastAsia="zh-CN"/>
    </w:rPr>
  </w:style>
  <w:style w:type="paragraph" w:styleId="Cierre">
    <w:name w:val="Closing"/>
    <w:basedOn w:val="Normal"/>
    <w:link w:val="CierreCar"/>
    <w:rsid w:val="002F48F6"/>
    <w:pPr>
      <w:spacing w:line="240" w:lineRule="atLeast"/>
    </w:pPr>
    <w:rPr>
      <w:rFonts w:ascii="Arial" w:eastAsia="Wingdings" w:hAnsi="Arial" w:cs="Times New Roman"/>
      <w:color w:val="auto"/>
      <w:lang w:val="en-GB" w:eastAsia="zh-CN"/>
    </w:rPr>
  </w:style>
  <w:style w:type="character" w:customStyle="1" w:styleId="CierreCar">
    <w:name w:val="Cierre Car"/>
    <w:basedOn w:val="Fuentedeprrafopredeter"/>
    <w:link w:val="Cierre"/>
    <w:rsid w:val="002F48F6"/>
    <w:rPr>
      <w:rFonts w:ascii="Arial" w:eastAsia="Wingdings" w:hAnsi="Arial" w:cs="Times New Roman"/>
      <w:sz w:val="20"/>
      <w:szCs w:val="20"/>
      <w:lang w:val="en-GB" w:eastAsia="zh-CN"/>
    </w:rPr>
  </w:style>
  <w:style w:type="paragraph" w:styleId="ndice2">
    <w:name w:val="index 2"/>
    <w:basedOn w:val="Normal"/>
    <w:next w:val="Normal"/>
    <w:rsid w:val="002F48F6"/>
    <w:pPr>
      <w:spacing w:line="240" w:lineRule="atLeast"/>
      <w:ind w:left="400" w:hanging="200"/>
    </w:pPr>
    <w:rPr>
      <w:rFonts w:ascii="Arial" w:eastAsia="Wingdings" w:hAnsi="Arial" w:cs="Times New Roman"/>
      <w:color w:val="auto"/>
      <w:sz w:val="18"/>
      <w:lang w:val="en-GB" w:eastAsia="zh-CN"/>
    </w:rPr>
  </w:style>
  <w:style w:type="paragraph" w:styleId="ndice3">
    <w:name w:val="index 3"/>
    <w:basedOn w:val="Normal"/>
    <w:next w:val="Normal"/>
    <w:rsid w:val="002F48F6"/>
    <w:pPr>
      <w:spacing w:line="240" w:lineRule="atLeast"/>
      <w:ind w:left="600" w:hanging="200"/>
    </w:pPr>
    <w:rPr>
      <w:rFonts w:ascii="Arial" w:eastAsia="Wingdings" w:hAnsi="Arial" w:cs="Times New Roman"/>
      <w:color w:val="auto"/>
      <w:sz w:val="18"/>
      <w:lang w:val="en-GB" w:eastAsia="zh-CN"/>
    </w:rPr>
  </w:style>
  <w:style w:type="paragraph" w:customStyle="1" w:styleId="CharCharCharCharCharCharCharChar">
    <w:name w:val="Char Char Char Char Char Char Char Ch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CarCarCarCarCarCar">
    <w:name w:val="Car Car Car Car Car C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numbering" w:styleId="111111">
    <w:name w:val="Outline List 2"/>
    <w:basedOn w:val="Sinlista"/>
    <w:rsid w:val="002F48F6"/>
    <w:pPr>
      <w:numPr>
        <w:numId w:val="11"/>
      </w:numPr>
    </w:pPr>
  </w:style>
  <w:style w:type="paragraph" w:customStyle="1" w:styleId="titlet">
    <w:name w:val="title t"/>
    <w:basedOn w:val="Subttulo"/>
    <w:rsid w:val="002F48F6"/>
    <w:pPr>
      <w:numPr>
        <w:ilvl w:val="0"/>
      </w:numPr>
      <w:ind w:left="700" w:hanging="700"/>
    </w:pPr>
    <w:rPr>
      <w:rFonts w:ascii="Times New Roman" w:eastAsia="Wingdings" w:hAnsi="Times New Roman" w:cs="Times New Roman"/>
      <w:b/>
      <w:bCs/>
      <w:iCs w:val="0"/>
      <w:color w:val="auto"/>
      <w:sz w:val="20"/>
      <w:szCs w:val="20"/>
      <w:lang w:val="en-US"/>
    </w:rPr>
  </w:style>
  <w:style w:type="paragraph" w:customStyle="1" w:styleId="CarCar">
    <w:name w:val="Car C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Timesnewroman">
    <w:name w:val="Times new roman"/>
    <w:basedOn w:val="Normal"/>
    <w:rsid w:val="002F48F6"/>
    <w:rPr>
      <w:rFonts w:ascii="Arial" w:eastAsia="Times New Roman" w:hAnsi="Arial" w:cs="Arial"/>
      <w:color w:val="auto"/>
      <w:sz w:val="18"/>
      <w:szCs w:val="18"/>
      <w:lang w:val="en-US" w:eastAsia="es-AR"/>
    </w:rPr>
  </w:style>
  <w:style w:type="paragraph" w:customStyle="1" w:styleId="CharChar1">
    <w:name w:val="Char Char1"/>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Cabecera">
    <w:name w:val="Cabecera"/>
    <w:rsid w:val="002F48F6"/>
    <w:pPr>
      <w:widowControl w:val="0"/>
      <w:spacing w:after="0" w:line="240" w:lineRule="auto"/>
    </w:pPr>
    <w:rPr>
      <w:rFonts w:ascii="Times New Roman" w:eastAsia="Times New Roman" w:hAnsi="Times New Roman" w:cs="Times New Roman"/>
      <w:snapToGrid w:val="0"/>
      <w:color w:val="000000"/>
      <w:sz w:val="24"/>
      <w:szCs w:val="20"/>
      <w:lang w:val="es-ES"/>
    </w:rPr>
  </w:style>
  <w:style w:type="paragraph" w:customStyle="1" w:styleId="CharCharCharCharChar">
    <w:name w:val="Char Char Char Char Ch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Prrafodelista1">
    <w:name w:val="Párrafo de lista1"/>
    <w:basedOn w:val="Normal"/>
    <w:uiPriority w:val="34"/>
    <w:qFormat/>
    <w:rsid w:val="002F48F6"/>
    <w:pPr>
      <w:ind w:left="720"/>
    </w:pPr>
    <w:rPr>
      <w:rFonts w:eastAsia="Times New Roman" w:cs="Times New Roman"/>
      <w:color w:val="auto"/>
      <w:lang w:val="en-US" w:eastAsia="es-AR"/>
    </w:rPr>
  </w:style>
  <w:style w:type="paragraph" w:customStyle="1" w:styleId="Revisin1">
    <w:name w:val="Revisión1"/>
    <w:hidden/>
    <w:uiPriority w:val="99"/>
    <w:semiHidden/>
    <w:rsid w:val="002F48F6"/>
    <w:pPr>
      <w:spacing w:after="0" w:line="240" w:lineRule="auto"/>
    </w:pPr>
    <w:rPr>
      <w:rFonts w:ascii="Times New Roman" w:eastAsia="Times New Roman" w:hAnsi="Times New Roman" w:cs="Times New Roman"/>
      <w:sz w:val="20"/>
      <w:szCs w:val="20"/>
      <w:lang w:val="en-US"/>
    </w:rPr>
  </w:style>
  <w:style w:type="paragraph" w:customStyle="1" w:styleId="btext">
    <w:name w:val="btext"/>
    <w:basedOn w:val="Normal"/>
    <w:rsid w:val="002F48F6"/>
    <w:pPr>
      <w:spacing w:before="100" w:beforeAutospacing="1" w:after="100" w:afterAutospacing="1"/>
    </w:pPr>
    <w:rPr>
      <w:rFonts w:eastAsia="Times New Roman" w:cs="Times New Roman"/>
      <w:color w:val="auto"/>
      <w:sz w:val="24"/>
      <w:szCs w:val="24"/>
      <w:lang w:val="en-US" w:eastAsia="es-AR"/>
    </w:rPr>
  </w:style>
  <w:style w:type="paragraph" w:customStyle="1" w:styleId="CharChar2">
    <w:name w:val="Char Char2"/>
    <w:basedOn w:val="Normal"/>
    <w:rsid w:val="002F48F6"/>
    <w:pPr>
      <w:tabs>
        <w:tab w:val="left" w:pos="720"/>
      </w:tabs>
      <w:spacing w:after="160" w:line="240" w:lineRule="exact"/>
    </w:pPr>
    <w:rPr>
      <w:rFonts w:ascii="Wingdings" w:eastAsia="Wingdings" w:hAnsi="Wingdings" w:cs="Times New Roman"/>
      <w:color w:val="auto"/>
      <w:lang w:val="en-US" w:eastAsia="es-AR"/>
    </w:rPr>
  </w:style>
  <w:style w:type="character" w:customStyle="1" w:styleId="Ttulo1Car1">
    <w:name w:val="Título 1 Car1"/>
    <w:uiPriority w:val="9"/>
    <w:rsid w:val="002F48F6"/>
    <w:rPr>
      <w:rFonts w:ascii="Arial" w:eastAsia="Times New Roman" w:hAnsi="Arial"/>
      <w:b/>
      <w:bCs/>
      <w:kern w:val="32"/>
      <w:sz w:val="26"/>
      <w:szCs w:val="32"/>
      <w:u w:val="single"/>
    </w:rPr>
  </w:style>
  <w:style w:type="character" w:customStyle="1" w:styleId="Ttulo2Car1">
    <w:name w:val="Título 2 Car1"/>
    <w:aliases w:val="Tight Slug Car1"/>
    <w:uiPriority w:val="9"/>
    <w:rsid w:val="002F48F6"/>
    <w:rPr>
      <w:rFonts w:ascii="Arial" w:hAnsi="Arial"/>
      <w:b/>
      <w:bCs/>
      <w:iCs/>
      <w:szCs w:val="28"/>
      <w:u w:val="single"/>
      <w:lang w:val="es-ES" w:eastAsia="es-ES"/>
    </w:rPr>
  </w:style>
  <w:style w:type="paragraph" w:customStyle="1" w:styleId="Memo">
    <w:name w:val="Memo"/>
    <w:basedOn w:val="Normal"/>
    <w:link w:val="MemoChar"/>
    <w:qFormat/>
    <w:rsid w:val="002F48F6"/>
    <w:pPr>
      <w:autoSpaceDE w:val="0"/>
      <w:autoSpaceDN w:val="0"/>
      <w:adjustRightInd w:val="0"/>
      <w:spacing w:before="120" w:line="240" w:lineRule="atLeast"/>
      <w:jc w:val="both"/>
    </w:pPr>
    <w:rPr>
      <w:rFonts w:ascii="Arial" w:eastAsia="Times New Roman" w:hAnsi="Arial" w:cs="Times New Roman"/>
      <w:lang w:val="en-US" w:eastAsia="es-AR"/>
    </w:rPr>
  </w:style>
  <w:style w:type="character" w:customStyle="1" w:styleId="MemoChar">
    <w:name w:val="Memo Char"/>
    <w:link w:val="Memo"/>
    <w:rsid w:val="002F48F6"/>
    <w:rPr>
      <w:rFonts w:ascii="Arial" w:eastAsia="Times New Roman" w:hAnsi="Arial" w:cs="Times New Roman"/>
      <w:color w:val="000000"/>
      <w:sz w:val="20"/>
      <w:szCs w:val="20"/>
      <w:lang w:val="en-US" w:eastAsia="es-AR"/>
    </w:rPr>
  </w:style>
  <w:style w:type="character" w:customStyle="1" w:styleId="hps">
    <w:name w:val="hps"/>
    <w:basedOn w:val="Fuentedeprrafopredeter"/>
    <w:rsid w:val="002F48F6"/>
  </w:style>
  <w:style w:type="character" w:customStyle="1" w:styleId="AsuntodelcomentarioCar1">
    <w:name w:val="Asunto del comentario Car1"/>
    <w:uiPriority w:val="99"/>
    <w:semiHidden/>
    <w:rsid w:val="002F48F6"/>
    <w:rPr>
      <w:b/>
      <w:bCs/>
      <w:lang w:val="en-US" w:eastAsia="en-US"/>
    </w:rPr>
  </w:style>
  <w:style w:type="character" w:customStyle="1" w:styleId="EncabezadoCar1">
    <w:name w:val="Encabezado Car1"/>
    <w:aliases w:val="encabezado Car1"/>
    <w:uiPriority w:val="99"/>
    <w:rsid w:val="002F48F6"/>
    <w:rPr>
      <w:sz w:val="22"/>
      <w:lang w:val="en-GB" w:eastAsia="en-US"/>
    </w:rPr>
  </w:style>
  <w:style w:type="character" w:customStyle="1" w:styleId="PiedepginaCar1">
    <w:name w:val="Pie de página Car1"/>
    <w:uiPriority w:val="99"/>
    <w:rsid w:val="002F48F6"/>
    <w:rPr>
      <w:i/>
      <w:sz w:val="18"/>
      <w:lang w:val="en-GB" w:eastAsia="en-US"/>
    </w:rPr>
  </w:style>
  <w:style w:type="character" w:customStyle="1" w:styleId="Gras">
    <w:name w:val="Gras"/>
    <w:uiPriority w:val="99"/>
    <w:rsid w:val="002F48F6"/>
    <w:rPr>
      <w:rFonts w:ascii="Arial" w:hAnsi="Arial"/>
      <w:b/>
      <w:sz w:val="24"/>
    </w:rPr>
  </w:style>
  <w:style w:type="paragraph" w:customStyle="1" w:styleId="TextePrinc">
    <w:name w:val="TextePrinc"/>
    <w:basedOn w:val="Normal"/>
    <w:uiPriority w:val="99"/>
    <w:rsid w:val="002F48F6"/>
    <w:pPr>
      <w:tabs>
        <w:tab w:val="left" w:pos="1413"/>
        <w:tab w:val="left" w:pos="2122"/>
        <w:tab w:val="left" w:pos="2832"/>
        <w:tab w:val="left" w:pos="3538"/>
        <w:tab w:val="left" w:pos="4248"/>
        <w:tab w:val="left" w:pos="4957"/>
        <w:tab w:val="left" w:pos="5661"/>
        <w:tab w:val="left" w:pos="6368"/>
        <w:tab w:val="left" w:pos="7077"/>
        <w:tab w:val="left" w:pos="7787"/>
        <w:tab w:val="left" w:pos="8496"/>
      </w:tabs>
      <w:overflowPunct w:val="0"/>
      <w:autoSpaceDE w:val="0"/>
      <w:autoSpaceDN w:val="0"/>
      <w:adjustRightInd w:val="0"/>
      <w:textAlignment w:val="baseline"/>
    </w:pPr>
    <w:rPr>
      <w:rFonts w:ascii="Arial" w:eastAsia="Times New Roman" w:hAnsi="Arial" w:cs="Times New Roman"/>
      <w:noProof/>
      <w:sz w:val="18"/>
      <w:lang w:val="es-ES" w:eastAsia="es-ES"/>
    </w:rPr>
  </w:style>
  <w:style w:type="character" w:customStyle="1" w:styleId="Rango">
    <w:name w:val="Rango"/>
    <w:uiPriority w:val="99"/>
    <w:rsid w:val="002F48F6"/>
  </w:style>
  <w:style w:type="character" w:customStyle="1" w:styleId="TextonotapieCar1">
    <w:name w:val="Texto nota pie Car1"/>
    <w:uiPriority w:val="99"/>
    <w:semiHidden/>
    <w:rsid w:val="002F48F6"/>
    <w:rPr>
      <w:rFonts w:ascii="Times New Roman" w:eastAsia="Times New Roman" w:hAnsi="Times New Roman" w:cs="Times New Roman"/>
      <w:color w:val="auto"/>
      <w:sz w:val="20"/>
      <w:szCs w:val="20"/>
      <w:lang w:val="en-US"/>
    </w:rPr>
  </w:style>
  <w:style w:type="character" w:customStyle="1" w:styleId="TextoindependienteCar1">
    <w:name w:val="Texto independiente Car1"/>
    <w:aliases w:val="bt Car1,b Car1,Borrador Car1"/>
    <w:semiHidden/>
    <w:rsid w:val="002F48F6"/>
    <w:rPr>
      <w:rFonts w:ascii="Times New Roman" w:eastAsia="Times New Roman" w:hAnsi="Times New Roman" w:cs="Times New Roman"/>
      <w:sz w:val="20"/>
      <w:szCs w:val="20"/>
      <w:lang w:val="en-US"/>
    </w:rPr>
  </w:style>
  <w:style w:type="paragraph" w:customStyle="1" w:styleId="font5">
    <w:name w:val="font5"/>
    <w:basedOn w:val="Normal"/>
    <w:rsid w:val="002F48F6"/>
    <w:pPr>
      <w:spacing w:before="100" w:beforeAutospacing="1" w:after="100" w:afterAutospacing="1"/>
    </w:pPr>
    <w:rPr>
      <w:rFonts w:eastAsia="Times New Roman" w:cs="Times New Roman"/>
      <w:lang w:val="es-AR" w:eastAsia="es-AR"/>
    </w:rPr>
  </w:style>
  <w:style w:type="paragraph" w:customStyle="1" w:styleId="xl100">
    <w:name w:val="xl100"/>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1">
    <w:name w:val="xl101"/>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2">
    <w:name w:val="xl102"/>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03">
    <w:name w:val="xl103"/>
    <w:basedOn w:val="Normal"/>
    <w:rsid w:val="002F48F6"/>
    <w:pPr>
      <w:pBdr>
        <w:bottom w:val="single" w:sz="4" w:space="0" w:color="auto"/>
      </w:pBdr>
      <w:shd w:val="clear" w:color="000000" w:fill="FFFFFF"/>
      <w:spacing w:before="100" w:beforeAutospacing="1" w:after="100" w:afterAutospacing="1"/>
      <w:jc w:val="right"/>
    </w:pPr>
    <w:rPr>
      <w:rFonts w:eastAsia="Times New Roman" w:cs="Times New Roman"/>
      <w:lang w:val="es-AR" w:eastAsia="es-AR"/>
    </w:rPr>
  </w:style>
  <w:style w:type="paragraph" w:customStyle="1" w:styleId="xl104">
    <w:name w:val="xl104"/>
    <w:basedOn w:val="Normal"/>
    <w:rsid w:val="002F48F6"/>
    <w:pPr>
      <w:shd w:val="clear" w:color="000000" w:fill="FFFFFF"/>
      <w:spacing w:before="100" w:beforeAutospacing="1" w:after="100" w:afterAutospacing="1"/>
      <w:jc w:val="right"/>
    </w:pPr>
    <w:rPr>
      <w:rFonts w:eastAsia="Times New Roman" w:cs="Times New Roman"/>
      <w:lang w:val="es-AR" w:eastAsia="es-AR"/>
    </w:rPr>
  </w:style>
  <w:style w:type="paragraph" w:customStyle="1" w:styleId="xl105">
    <w:name w:val="xl105"/>
    <w:basedOn w:val="Normal"/>
    <w:rsid w:val="002F48F6"/>
    <w:pPr>
      <w:spacing w:before="100" w:beforeAutospacing="1" w:after="100" w:afterAutospacing="1"/>
      <w:jc w:val="right"/>
    </w:pPr>
    <w:rPr>
      <w:rFonts w:eastAsia="Times New Roman" w:cs="Times New Roman"/>
      <w:lang w:val="es-AR" w:eastAsia="es-AR"/>
    </w:rPr>
  </w:style>
  <w:style w:type="paragraph" w:customStyle="1" w:styleId="xl106">
    <w:name w:val="xl106"/>
    <w:basedOn w:val="Normal"/>
    <w:rsid w:val="002F48F6"/>
    <w:pP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07">
    <w:name w:val="xl107"/>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8">
    <w:name w:val="xl108"/>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9">
    <w:name w:val="xl109"/>
    <w:basedOn w:val="Normal"/>
    <w:rsid w:val="002F48F6"/>
    <w:pPr>
      <w:pBdr>
        <w:top w:val="single" w:sz="4" w:space="0" w:color="auto"/>
        <w:bottom w:val="single" w:sz="4" w:space="0" w:color="auto"/>
      </w:pBdr>
      <w:spacing w:before="100" w:beforeAutospacing="1" w:after="100" w:afterAutospacing="1"/>
      <w:jc w:val="right"/>
    </w:pPr>
    <w:rPr>
      <w:rFonts w:eastAsia="Times New Roman" w:cs="Times New Roman"/>
      <w:lang w:val="es-AR" w:eastAsia="es-AR"/>
    </w:rPr>
  </w:style>
  <w:style w:type="paragraph" w:customStyle="1" w:styleId="xl110">
    <w:name w:val="xl110"/>
    <w:basedOn w:val="Normal"/>
    <w:rsid w:val="002F48F6"/>
    <w:pP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11">
    <w:name w:val="xl111"/>
    <w:basedOn w:val="Normal"/>
    <w:rsid w:val="002F48F6"/>
    <w:pPr>
      <w:pBdr>
        <w:bottom w:val="single" w:sz="4" w:space="0" w:color="auto"/>
      </w:pBdr>
      <w:spacing w:before="100" w:beforeAutospacing="1" w:after="100" w:afterAutospacing="1"/>
      <w:jc w:val="right"/>
    </w:pPr>
    <w:rPr>
      <w:rFonts w:eastAsia="Times New Roman" w:cs="Times New Roman"/>
      <w:lang w:val="es-AR" w:eastAsia="es-AR"/>
    </w:rPr>
  </w:style>
  <w:style w:type="paragraph" w:customStyle="1" w:styleId="xl112">
    <w:name w:val="xl112"/>
    <w:basedOn w:val="Normal"/>
    <w:rsid w:val="002F48F6"/>
    <w:pPr>
      <w:spacing w:before="100" w:beforeAutospacing="1" w:after="100" w:afterAutospacing="1"/>
    </w:pPr>
    <w:rPr>
      <w:rFonts w:eastAsia="Times New Roman" w:cs="Times New Roman"/>
      <w:lang w:val="es-AR" w:eastAsia="es-AR"/>
    </w:rPr>
  </w:style>
  <w:style w:type="paragraph" w:customStyle="1" w:styleId="xl113">
    <w:name w:val="xl113"/>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14">
    <w:name w:val="xl114"/>
    <w:basedOn w:val="Normal"/>
    <w:rsid w:val="002F48F6"/>
    <w:pPr>
      <w:spacing w:before="100" w:beforeAutospacing="1" w:after="100" w:afterAutospacing="1"/>
    </w:pPr>
    <w:rPr>
      <w:rFonts w:eastAsia="Times New Roman" w:cs="Times New Roman"/>
      <w:lang w:val="es-AR" w:eastAsia="es-AR"/>
    </w:rPr>
  </w:style>
  <w:style w:type="paragraph" w:customStyle="1" w:styleId="xl115">
    <w:name w:val="xl115"/>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16">
    <w:name w:val="xl116"/>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17">
    <w:name w:val="xl117"/>
    <w:basedOn w:val="Normal"/>
    <w:rsid w:val="002F48F6"/>
    <w:pPr>
      <w:spacing w:before="100" w:beforeAutospacing="1" w:after="100" w:afterAutospacing="1"/>
    </w:pPr>
    <w:rPr>
      <w:rFonts w:eastAsia="Times New Roman" w:cs="Times New Roman"/>
      <w:lang w:val="es-AR" w:eastAsia="es-AR"/>
    </w:rPr>
  </w:style>
  <w:style w:type="paragraph" w:customStyle="1" w:styleId="xl118">
    <w:name w:val="xl118"/>
    <w:basedOn w:val="Normal"/>
    <w:rsid w:val="002F48F6"/>
    <w:pPr>
      <w:pBdr>
        <w:bottom w:val="single" w:sz="4" w:space="0" w:color="auto"/>
      </w:pBd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19">
    <w:name w:val="xl119"/>
    <w:basedOn w:val="Normal"/>
    <w:rsid w:val="002F48F6"/>
    <w:pPr>
      <w:pBdr>
        <w:top w:val="single" w:sz="4" w:space="0" w:color="auto"/>
        <w:bottom w:val="single" w:sz="4" w:space="0" w:color="auto"/>
      </w:pBdr>
      <w:shd w:val="clear" w:color="000000" w:fill="FFFF00"/>
      <w:spacing w:before="100" w:beforeAutospacing="1" w:after="100" w:afterAutospacing="1"/>
      <w:jc w:val="right"/>
    </w:pPr>
    <w:rPr>
      <w:rFonts w:eastAsia="Times New Roman" w:cs="Times New Roman"/>
      <w:lang w:val="es-AR" w:eastAsia="es-AR"/>
    </w:rPr>
  </w:style>
  <w:style w:type="paragraph" w:customStyle="1" w:styleId="xl120">
    <w:name w:val="xl120"/>
    <w:basedOn w:val="Normal"/>
    <w:rsid w:val="002F48F6"/>
    <w:pP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21">
    <w:name w:val="xl121"/>
    <w:basedOn w:val="Normal"/>
    <w:rsid w:val="002F48F6"/>
    <w:pPr>
      <w:pBdr>
        <w:bottom w:val="single" w:sz="4" w:space="0" w:color="auto"/>
      </w:pBd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22">
    <w:name w:val="xl122"/>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23">
    <w:name w:val="xl123"/>
    <w:basedOn w:val="Normal"/>
    <w:rsid w:val="002F48F6"/>
    <w:pP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4">
    <w:name w:val="xl124"/>
    <w:basedOn w:val="Normal"/>
    <w:rsid w:val="002F48F6"/>
    <w:pP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5">
    <w:name w:val="xl125"/>
    <w:basedOn w:val="Normal"/>
    <w:rsid w:val="002F48F6"/>
    <w:pPr>
      <w:pBdr>
        <w:bottom w:val="single" w:sz="4" w:space="0" w:color="auto"/>
      </w:pBd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6">
    <w:name w:val="xl126"/>
    <w:basedOn w:val="Normal"/>
    <w:rsid w:val="002F48F6"/>
    <w:pPr>
      <w:pBdr>
        <w:bottom w:val="single" w:sz="4" w:space="0" w:color="auto"/>
      </w:pBd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7">
    <w:name w:val="xl127"/>
    <w:basedOn w:val="Normal"/>
    <w:rsid w:val="002F48F6"/>
    <w:pPr>
      <w:pBdr>
        <w:top w:val="single" w:sz="4" w:space="0" w:color="auto"/>
        <w:bottom w:val="single" w:sz="4" w:space="0" w:color="auto"/>
      </w:pBdr>
      <w:spacing w:before="100" w:beforeAutospacing="1" w:after="100" w:afterAutospacing="1"/>
      <w:jc w:val="right"/>
      <w:textAlignment w:val="top"/>
    </w:pPr>
    <w:rPr>
      <w:rFonts w:eastAsia="Times New Roman" w:cs="Times New Roman"/>
      <w:lang w:val="es-AR" w:eastAsia="es-AR"/>
    </w:rPr>
  </w:style>
  <w:style w:type="character" w:customStyle="1" w:styleId="Ttulo4Car1">
    <w:name w:val="Título 4 Car1"/>
    <w:rsid w:val="002F48F6"/>
    <w:rPr>
      <w:rFonts w:ascii="Times New Roman" w:eastAsia="Wingdings" w:hAnsi="Times New Roman"/>
      <w:color w:val="000000"/>
      <w:sz w:val="24"/>
      <w:szCs w:val="24"/>
      <w:lang w:eastAsia="es-AR"/>
    </w:rPr>
  </w:style>
  <w:style w:type="character" w:customStyle="1" w:styleId="Ttulo5Car1">
    <w:name w:val="Título 5 Car1"/>
    <w:rsid w:val="002F48F6"/>
    <w:rPr>
      <w:rFonts w:ascii="Times New Roman" w:eastAsia="Wingdings" w:hAnsi="Times New Roman"/>
      <w:b/>
      <w:bCs/>
      <w:sz w:val="28"/>
      <w:szCs w:val="28"/>
      <w:lang w:val="es-AR" w:eastAsia="es-AR"/>
    </w:rPr>
  </w:style>
  <w:style w:type="character" w:customStyle="1" w:styleId="Ttulo7Car1">
    <w:name w:val="Título 7 Car1"/>
    <w:rsid w:val="002F48F6"/>
    <w:rPr>
      <w:rFonts w:ascii="Times New Roman" w:eastAsia="Wingdings" w:hAnsi="Times New Roman"/>
      <w:b/>
      <w:bCs/>
      <w:sz w:val="22"/>
      <w:szCs w:val="22"/>
      <w:lang w:val="es-AR" w:eastAsia="es-AR"/>
    </w:rPr>
  </w:style>
  <w:style w:type="character" w:customStyle="1" w:styleId="Ttulo8Car1">
    <w:name w:val="Título 8 Car1"/>
    <w:rsid w:val="002F48F6"/>
    <w:rPr>
      <w:rFonts w:ascii="Times New Roman" w:eastAsia="Wingdings" w:hAnsi="Times New Roman"/>
      <w:b/>
      <w:bCs/>
      <w:sz w:val="24"/>
      <w:szCs w:val="24"/>
      <w:lang w:val="es-AR" w:eastAsia="es-AR"/>
    </w:rPr>
  </w:style>
  <w:style w:type="character" w:customStyle="1" w:styleId="Ttulo9Car1">
    <w:name w:val="Título 9 Car1"/>
    <w:rsid w:val="002F48F6"/>
    <w:rPr>
      <w:rFonts w:ascii="Times New Roman" w:eastAsia="Wingdings" w:hAnsi="Times New Roman"/>
      <w:b/>
      <w:bCs/>
      <w:sz w:val="22"/>
      <w:szCs w:val="22"/>
      <w:u w:val="single"/>
      <w:lang w:val="es-AR" w:eastAsia="es-AR"/>
    </w:rPr>
  </w:style>
  <w:style w:type="paragraph" w:styleId="Sangra2detindependiente">
    <w:name w:val="Body Text Indent 2"/>
    <w:basedOn w:val="Normal"/>
    <w:link w:val="Sangra2detindependienteCar1"/>
    <w:rsid w:val="002F48F6"/>
    <w:pPr>
      <w:tabs>
        <w:tab w:val="left" w:pos="720"/>
        <w:tab w:val="left" w:pos="1843"/>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276" w:lineRule="exact"/>
      <w:ind w:left="1843"/>
      <w:jc w:val="both"/>
    </w:pPr>
    <w:rPr>
      <w:rFonts w:eastAsia="Wingdings" w:cs="Times New Roman"/>
      <w:color w:val="auto"/>
      <w:lang w:val="es-AR" w:eastAsia="es-AR"/>
    </w:rPr>
  </w:style>
  <w:style w:type="character" w:customStyle="1" w:styleId="Sangra2detindependienteCar">
    <w:name w:val="Sangría 2 de t. independiente Car"/>
    <w:basedOn w:val="Fuentedeprrafopredeter"/>
    <w:rsid w:val="002F48F6"/>
    <w:rPr>
      <w:rFonts w:ascii="Times New Roman" w:eastAsia="Arial Unicode MS" w:hAnsi="Times New Roman" w:cs="Arial Unicode MS"/>
      <w:color w:val="000000"/>
      <w:sz w:val="20"/>
      <w:szCs w:val="20"/>
      <w:u w:color="000000"/>
      <w:lang w:val="es-ES_tradnl"/>
    </w:rPr>
  </w:style>
  <w:style w:type="character" w:customStyle="1" w:styleId="Sangra2detindependienteCar1">
    <w:name w:val="Sangría 2 de t. independiente Car1"/>
    <w:link w:val="Sangra2detindependiente"/>
    <w:rsid w:val="002F48F6"/>
    <w:rPr>
      <w:rFonts w:ascii="Times New Roman" w:eastAsia="Wingdings" w:hAnsi="Times New Roman" w:cs="Times New Roman"/>
      <w:sz w:val="20"/>
      <w:szCs w:val="20"/>
      <w:lang w:eastAsia="es-AR"/>
    </w:rPr>
  </w:style>
  <w:style w:type="paragraph" w:styleId="Mapadeldocumento">
    <w:name w:val="Document Map"/>
    <w:basedOn w:val="Normal"/>
    <w:link w:val="MapadeldocumentoCar1"/>
    <w:rsid w:val="002F48F6"/>
    <w:pPr>
      <w:shd w:val="clear" w:color="auto" w:fill="000080"/>
      <w:autoSpaceDE w:val="0"/>
      <w:autoSpaceDN w:val="0"/>
    </w:pPr>
    <w:rPr>
      <w:rFonts w:eastAsia="Wingdings" w:cs="Times New Roman"/>
      <w:color w:val="auto"/>
      <w:lang w:val="es-AR" w:eastAsia="es-AR"/>
    </w:rPr>
  </w:style>
  <w:style w:type="character" w:customStyle="1" w:styleId="MapadeldocumentoCar">
    <w:name w:val="Mapa del documento Car"/>
    <w:basedOn w:val="Fuentedeprrafopredeter"/>
    <w:rsid w:val="002F48F6"/>
    <w:rPr>
      <w:rFonts w:ascii="Segoe UI" w:eastAsia="Arial Unicode MS" w:hAnsi="Segoe UI" w:cs="Segoe UI"/>
      <w:color w:val="000000"/>
      <w:sz w:val="16"/>
      <w:szCs w:val="16"/>
      <w:u w:color="000000"/>
      <w:lang w:val="es-ES_tradnl"/>
    </w:rPr>
  </w:style>
  <w:style w:type="character" w:customStyle="1" w:styleId="MapadeldocumentoCar1">
    <w:name w:val="Mapa del documento Car1"/>
    <w:link w:val="Mapadeldocumento"/>
    <w:rsid w:val="002F48F6"/>
    <w:rPr>
      <w:rFonts w:ascii="Times New Roman" w:eastAsia="Wingdings" w:hAnsi="Times New Roman" w:cs="Times New Roman"/>
      <w:sz w:val="20"/>
      <w:szCs w:val="20"/>
      <w:shd w:val="clear" w:color="auto" w:fill="000080"/>
      <w:lang w:eastAsia="es-AR"/>
    </w:rPr>
  </w:style>
  <w:style w:type="paragraph" w:customStyle="1" w:styleId="Textoprincip">
    <w:name w:val="Textoprincip"/>
    <w:basedOn w:val="Normal"/>
    <w:rsid w:val="002F48F6"/>
    <w:pPr>
      <w:widowControl w:val="0"/>
      <w:autoSpaceDE w:val="0"/>
      <w:autoSpaceDN w:val="0"/>
      <w:jc w:val="both"/>
    </w:pPr>
    <w:rPr>
      <w:rFonts w:eastAsia="Wingdings" w:cs="Times New Roman"/>
      <w:color w:val="auto"/>
      <w:lang w:val="es-AR" w:eastAsia="es-AR"/>
    </w:rPr>
  </w:style>
  <w:style w:type="paragraph" w:customStyle="1" w:styleId="ttulonota">
    <w:name w:val="título nota"/>
    <w:basedOn w:val="Normal"/>
    <w:rsid w:val="002F48F6"/>
    <w:pPr>
      <w:autoSpaceDE w:val="0"/>
      <w:autoSpaceDN w:val="0"/>
      <w:snapToGrid w:val="0"/>
      <w:jc w:val="both"/>
    </w:pPr>
    <w:rPr>
      <w:rFonts w:eastAsia="Wingdings" w:cs="Times New Roman"/>
      <w:b/>
      <w:bCs/>
      <w:color w:val="auto"/>
      <w:lang w:val="es-AR" w:eastAsia="es-AR"/>
    </w:rPr>
  </w:style>
  <w:style w:type="paragraph" w:customStyle="1" w:styleId="Ttuloprincipal">
    <w:name w:val="Título principal"/>
    <w:basedOn w:val="Normal"/>
    <w:rsid w:val="002F48F6"/>
    <w:pPr>
      <w:widowControl w:val="0"/>
      <w:autoSpaceDE w:val="0"/>
      <w:autoSpaceDN w:val="0"/>
      <w:jc w:val="center"/>
    </w:pPr>
    <w:rPr>
      <w:rFonts w:eastAsia="Wingdings" w:cs="Times New Roman"/>
      <w:b/>
      <w:bCs/>
      <w:color w:val="auto"/>
      <w:sz w:val="24"/>
      <w:szCs w:val="24"/>
      <w:lang w:val="es-AR" w:eastAsia="es-AR"/>
    </w:rPr>
  </w:style>
  <w:style w:type="paragraph" w:customStyle="1" w:styleId="Ttulonota0">
    <w:name w:val="Título nota"/>
    <w:basedOn w:val="Normal"/>
    <w:rsid w:val="002F48F6"/>
    <w:pPr>
      <w:widowControl w:val="0"/>
      <w:autoSpaceDE w:val="0"/>
      <w:autoSpaceDN w:val="0"/>
      <w:jc w:val="both"/>
    </w:pPr>
    <w:rPr>
      <w:rFonts w:eastAsia="Wingdings" w:cs="Times New Roman"/>
      <w:b/>
      <w:bCs/>
      <w:color w:val="auto"/>
      <w:lang w:val="es-AR" w:eastAsia="es-AR"/>
    </w:rPr>
  </w:style>
  <w:style w:type="paragraph" w:customStyle="1" w:styleId="BodyText21">
    <w:name w:val="Body Text 21"/>
    <w:basedOn w:val="Normal"/>
    <w:rsid w:val="002F48F6"/>
    <w:pPr>
      <w:widowControl w:val="0"/>
      <w:tabs>
        <w:tab w:val="center" w:pos="2435"/>
      </w:tabs>
      <w:suppressAutoHyphens/>
      <w:autoSpaceDE w:val="0"/>
      <w:autoSpaceDN w:val="0"/>
      <w:jc w:val="center"/>
    </w:pPr>
    <w:rPr>
      <w:rFonts w:eastAsia="Wingdings" w:cs="Times New Roman"/>
      <w:color w:val="auto"/>
      <w:spacing w:val="-3"/>
      <w:lang w:val="es-AR" w:eastAsia="es-AR"/>
    </w:rPr>
  </w:style>
  <w:style w:type="paragraph" w:styleId="Sangranormal">
    <w:name w:val="Normal Indent"/>
    <w:basedOn w:val="Normal"/>
    <w:rsid w:val="002F48F6"/>
    <w:pPr>
      <w:ind w:left="708"/>
    </w:pPr>
    <w:rPr>
      <w:rFonts w:eastAsia="Wingdings" w:cs="Times New Roman"/>
      <w:color w:val="auto"/>
      <w:lang w:eastAsia="es-ES"/>
    </w:rPr>
  </w:style>
  <w:style w:type="paragraph" w:customStyle="1" w:styleId="Notacuerpo">
    <w:name w:val="Nota cuerpo"/>
    <w:basedOn w:val="Normal"/>
    <w:rsid w:val="002F48F6"/>
    <w:pPr>
      <w:ind w:left="1440"/>
      <w:jc w:val="both"/>
    </w:pPr>
    <w:rPr>
      <w:rFonts w:ascii="Arial" w:eastAsia="Wingdings" w:hAnsi="Arial" w:cs="Times New Roman"/>
      <w:color w:val="auto"/>
      <w:sz w:val="24"/>
      <w:lang w:val="es-AR" w:eastAsia="es-ES"/>
    </w:rPr>
  </w:style>
  <w:style w:type="paragraph" w:customStyle="1" w:styleId="NotaN">
    <w:name w:val="Nota Nº"/>
    <w:basedOn w:val="Normal"/>
    <w:rsid w:val="002F48F6"/>
    <w:pPr>
      <w:jc w:val="both"/>
    </w:pPr>
    <w:rPr>
      <w:rFonts w:ascii="Arial" w:eastAsia="Wingdings" w:hAnsi="Arial" w:cs="Times New Roman"/>
      <w:b/>
      <w:color w:val="auto"/>
      <w:sz w:val="24"/>
      <w:u w:val="single"/>
      <w:lang w:val="es-AR" w:eastAsia="es-ES"/>
    </w:rPr>
  </w:style>
  <w:style w:type="paragraph" w:customStyle="1" w:styleId="AONormal">
    <w:name w:val="AONormal"/>
    <w:rsid w:val="002F48F6"/>
    <w:pPr>
      <w:autoSpaceDE w:val="0"/>
      <w:autoSpaceDN w:val="0"/>
      <w:adjustRightInd w:val="0"/>
      <w:spacing w:before="200" w:after="0" w:line="240" w:lineRule="auto"/>
    </w:pPr>
    <w:rPr>
      <w:rFonts w:ascii="Times New Roman" w:eastAsia="Wingdings" w:hAnsi="Times New Roman" w:cs="Times New Roman"/>
      <w:sz w:val="20"/>
      <w:szCs w:val="20"/>
      <w:lang w:val="en-US" w:eastAsia="zh-CN"/>
    </w:rPr>
  </w:style>
  <w:style w:type="paragraph" w:styleId="ndice1">
    <w:name w:val="index 1"/>
    <w:basedOn w:val="Normal"/>
    <w:next w:val="Normal"/>
    <w:rsid w:val="002F48F6"/>
    <w:rPr>
      <w:rFonts w:eastAsia="Wingdings" w:cs="Times New Roman"/>
      <w:color w:val="auto"/>
      <w:lang w:eastAsia="es-ES"/>
    </w:rPr>
  </w:style>
  <w:style w:type="paragraph" w:customStyle="1" w:styleId="xl32">
    <w:name w:val="xl32"/>
    <w:basedOn w:val="Normal"/>
    <w:rsid w:val="002F48F6"/>
    <w:pPr>
      <w:spacing w:before="100" w:beforeAutospacing="1" w:after="100" w:afterAutospacing="1"/>
      <w:jc w:val="center"/>
      <w:textAlignment w:val="center"/>
    </w:pPr>
    <w:rPr>
      <w:rFonts w:ascii="Wingdings" w:eastAsia="Wingdings" w:hAnsi="Wingdings" w:cs="Wingdings"/>
      <w:color w:val="auto"/>
      <w:sz w:val="24"/>
      <w:szCs w:val="24"/>
      <w:lang w:val="es-ES" w:eastAsia="es-ES"/>
    </w:rPr>
  </w:style>
  <w:style w:type="paragraph" w:customStyle="1" w:styleId="CarChar">
    <w:name w:val="Car Char"/>
    <w:basedOn w:val="Normal"/>
    <w:rsid w:val="002F48F6"/>
    <w:pPr>
      <w:spacing w:after="160" w:line="240" w:lineRule="exact"/>
    </w:pPr>
    <w:rPr>
      <w:rFonts w:ascii="Wingdings" w:eastAsia="Wingdings" w:hAnsi="Wingdings" w:cs="Times New Roman"/>
      <w:color w:val="auto"/>
      <w:lang w:val="en-US" w:eastAsia="es-AR"/>
    </w:rPr>
  </w:style>
  <w:style w:type="paragraph" w:customStyle="1" w:styleId="Documento1">
    <w:name w:val="Documento 1"/>
    <w:rsid w:val="002F48F6"/>
    <w:pPr>
      <w:keepNext/>
      <w:keepLines/>
      <w:tabs>
        <w:tab w:val="left" w:pos="-720"/>
      </w:tabs>
      <w:suppressAutoHyphens/>
      <w:spacing w:after="0" w:line="240" w:lineRule="auto"/>
    </w:pPr>
    <w:rPr>
      <w:rFonts w:ascii="Wingdings" w:eastAsia="Wingdings" w:hAnsi="Wingdings" w:cs="Wingdings"/>
      <w:sz w:val="24"/>
      <w:szCs w:val="24"/>
      <w:lang w:val="en-US" w:eastAsia="es-ES"/>
    </w:rPr>
  </w:style>
  <w:style w:type="character" w:customStyle="1" w:styleId="TtuloCar1">
    <w:name w:val="Título Car1"/>
    <w:rsid w:val="002F48F6"/>
    <w:rPr>
      <w:rFonts w:ascii="Times New Roman" w:eastAsia="Wingdings" w:hAnsi="Times New Roman"/>
      <w:b/>
      <w:bCs/>
      <w:spacing w:val="-4"/>
      <w:sz w:val="28"/>
      <w:szCs w:val="28"/>
    </w:rPr>
  </w:style>
  <w:style w:type="paragraph" w:customStyle="1" w:styleId="Estilo">
    <w:name w:val="Estilo"/>
    <w:basedOn w:val="Normal"/>
    <w:next w:val="BodyTextIndent1"/>
    <w:rsid w:val="002F48F6"/>
    <w:pPr>
      <w:tabs>
        <w:tab w:val="left" w:pos="-720"/>
        <w:tab w:val="left" w:pos="720"/>
        <w:tab w:val="left" w:pos="1440"/>
        <w:tab w:val="left" w:pos="2160"/>
      </w:tabs>
      <w:suppressAutoHyphens/>
      <w:ind w:left="1418"/>
      <w:jc w:val="both"/>
    </w:pPr>
    <w:rPr>
      <w:rFonts w:ascii="Arial" w:eastAsia="Wingdings" w:hAnsi="Arial" w:cs="Arial"/>
      <w:color w:val="auto"/>
      <w:spacing w:val="-3"/>
      <w:lang w:val="es-AR" w:eastAsia="es-ES"/>
    </w:rPr>
  </w:style>
  <w:style w:type="paragraph" w:customStyle="1" w:styleId="BodyTextIndent1">
    <w:name w:val="Body Text Indent1"/>
    <w:basedOn w:val="Normal"/>
    <w:rsid w:val="002F48F6"/>
    <w:pPr>
      <w:spacing w:after="120"/>
      <w:ind w:left="283"/>
    </w:pPr>
    <w:rPr>
      <w:rFonts w:eastAsia="Wingdings" w:cs="Times New Roman"/>
      <w:color w:val="auto"/>
      <w:lang w:val="es-AR" w:eastAsia="es-ES"/>
    </w:rPr>
  </w:style>
  <w:style w:type="paragraph" w:customStyle="1" w:styleId="BodyTex1">
    <w:name w:val="BodyTex1"/>
    <w:basedOn w:val="Textoindependiente"/>
    <w:rsid w:val="002F48F6"/>
    <w:pPr>
      <w:widowControl w:val="0"/>
      <w:tabs>
        <w:tab w:val="left" w:pos="454"/>
        <w:tab w:val="left" w:pos="907"/>
      </w:tabs>
      <w:autoSpaceDE w:val="0"/>
      <w:autoSpaceDN w:val="0"/>
      <w:spacing w:after="0" w:line="240" w:lineRule="auto"/>
      <w:ind w:left="851" w:hanging="851"/>
      <w:jc w:val="both"/>
    </w:pPr>
    <w:rPr>
      <w:rFonts w:eastAsia="Wingdings"/>
      <w:sz w:val="20"/>
      <w:lang w:val="en-US"/>
    </w:rPr>
  </w:style>
  <w:style w:type="paragraph" w:customStyle="1" w:styleId="Textonota">
    <w:name w:val="Texto nota"/>
    <w:basedOn w:val="Normal"/>
    <w:rsid w:val="002F48F6"/>
    <w:pPr>
      <w:widowControl w:val="0"/>
      <w:ind w:left="446"/>
      <w:jc w:val="both"/>
    </w:pPr>
    <w:rPr>
      <w:rFonts w:ascii="Wingdings" w:eastAsia="Wingdings" w:hAnsi="Wingdings" w:cs="Wingdings"/>
      <w:color w:val="auto"/>
      <w:lang w:eastAsia="es-ES"/>
    </w:rPr>
  </w:style>
  <w:style w:type="paragraph" w:customStyle="1" w:styleId="Estilo1">
    <w:name w:val="Estilo1"/>
    <w:basedOn w:val="Normal"/>
    <w:next w:val="BodyTextIndent1"/>
    <w:rsid w:val="002F48F6"/>
    <w:pPr>
      <w:tabs>
        <w:tab w:val="left" w:pos="-720"/>
        <w:tab w:val="left" w:pos="720"/>
        <w:tab w:val="left" w:pos="1440"/>
        <w:tab w:val="left" w:pos="2160"/>
      </w:tabs>
      <w:suppressAutoHyphens/>
      <w:ind w:left="1418"/>
      <w:jc w:val="both"/>
    </w:pPr>
    <w:rPr>
      <w:rFonts w:ascii="Arial" w:eastAsia="Wingdings" w:hAnsi="Arial" w:cs="Arial"/>
      <w:color w:val="auto"/>
      <w:spacing w:val="-3"/>
      <w:lang w:val="es-AR" w:eastAsia="es-ES"/>
    </w:rPr>
  </w:style>
  <w:style w:type="paragraph" w:customStyle="1" w:styleId="Textodenotaalfinal">
    <w:name w:val="Texto de nota al final"/>
    <w:basedOn w:val="Normal"/>
    <w:rsid w:val="002F48F6"/>
    <w:pPr>
      <w:widowControl w:val="0"/>
    </w:pPr>
    <w:rPr>
      <w:rFonts w:ascii="Courier New" w:eastAsia="Wingdings" w:hAnsi="Courier New" w:cs="Courier New"/>
      <w:color w:val="auto"/>
      <w:sz w:val="24"/>
      <w:szCs w:val="24"/>
      <w:lang w:val="es-ES" w:eastAsia="es-ES"/>
    </w:rPr>
  </w:style>
  <w:style w:type="paragraph" w:customStyle="1" w:styleId="Companies">
    <w:name w:val="Companies"/>
    <w:basedOn w:val="Normal"/>
    <w:rsid w:val="002F48F6"/>
    <w:pPr>
      <w:widowControl w:val="0"/>
      <w:tabs>
        <w:tab w:val="center" w:pos="4680"/>
        <w:tab w:val="right" w:pos="9360"/>
      </w:tabs>
    </w:pPr>
    <w:rPr>
      <w:rFonts w:ascii="Arial" w:eastAsia="Wingdings" w:hAnsi="Arial" w:cs="Arial"/>
      <w:b/>
      <w:bCs/>
      <w:color w:val="auto"/>
      <w:sz w:val="24"/>
      <w:szCs w:val="24"/>
      <w:lang w:val="en-US" w:eastAsia="es-ES"/>
    </w:rPr>
  </w:style>
  <w:style w:type="paragraph" w:customStyle="1" w:styleId="CPNormalLeft">
    <w:name w:val="CPNormalLeft"/>
    <w:basedOn w:val="CPNormal"/>
    <w:rsid w:val="002F48F6"/>
    <w:pPr>
      <w:widowControl/>
      <w:spacing w:after="240" w:line="240" w:lineRule="exact"/>
      <w:ind w:firstLine="0"/>
      <w:jc w:val="left"/>
    </w:pPr>
    <w:rPr>
      <w:rFonts w:ascii="Arial" w:hAnsi="Arial" w:cs="Arial"/>
    </w:rPr>
  </w:style>
  <w:style w:type="paragraph" w:customStyle="1" w:styleId="CPNormal">
    <w:name w:val="CPNormal"/>
    <w:basedOn w:val="Normal"/>
    <w:rsid w:val="002F48F6"/>
    <w:pPr>
      <w:widowControl w:val="0"/>
      <w:spacing w:line="-240" w:lineRule="auto"/>
      <w:ind w:firstLine="720"/>
      <w:jc w:val="both"/>
    </w:pPr>
    <w:rPr>
      <w:rFonts w:eastAsia="Wingdings" w:cs="Times New Roman"/>
      <w:color w:val="auto"/>
      <w:lang w:val="en-US" w:eastAsia="es-ES"/>
    </w:rPr>
  </w:style>
  <w:style w:type="paragraph" w:customStyle="1" w:styleId="CPN-Leftbold">
    <w:name w:val="CPN-Left/bold"/>
    <w:basedOn w:val="Normal"/>
    <w:rsid w:val="002F48F6"/>
    <w:pPr>
      <w:keepNext/>
      <w:keepLines/>
      <w:tabs>
        <w:tab w:val="left" w:pos="990"/>
      </w:tabs>
      <w:spacing w:after="240"/>
      <w:jc w:val="both"/>
    </w:pPr>
    <w:rPr>
      <w:rFonts w:ascii="Arial" w:eastAsia="Wingdings" w:hAnsi="Arial" w:cs="Arial"/>
      <w:b/>
      <w:bCs/>
      <w:noProof/>
      <w:color w:val="auto"/>
      <w:lang w:val="es-AR" w:eastAsia="es-ES"/>
    </w:rPr>
  </w:style>
  <w:style w:type="paragraph" w:customStyle="1" w:styleId="CPN-normal">
    <w:name w:val="CPN-normal"/>
    <w:basedOn w:val="Normal"/>
    <w:rsid w:val="002F48F6"/>
    <w:pPr>
      <w:widowControl w:val="0"/>
      <w:spacing w:after="240" w:line="-240" w:lineRule="auto"/>
      <w:ind w:firstLine="720"/>
      <w:jc w:val="both"/>
    </w:pPr>
    <w:rPr>
      <w:rFonts w:ascii="Arial" w:eastAsia="Wingdings" w:hAnsi="Arial" w:cs="Arial"/>
      <w:color w:val="auto"/>
      <w:lang w:val="en-US" w:eastAsia="es-ES"/>
    </w:rPr>
  </w:style>
  <w:style w:type="paragraph" w:customStyle="1" w:styleId="CPTableCol-1">
    <w:name w:val="CPTableCol-1"/>
    <w:basedOn w:val="CPTableText"/>
    <w:rsid w:val="002F48F6"/>
    <w:pPr>
      <w:tabs>
        <w:tab w:val="right" w:leader="dot" w:pos="2970"/>
      </w:tabs>
      <w:spacing w:line="240" w:lineRule="auto"/>
      <w:jc w:val="left"/>
    </w:pPr>
    <w:rPr>
      <w:rFonts w:ascii="Wingdings" w:hAnsi="Wingdings" w:cs="Wingdings"/>
    </w:rPr>
  </w:style>
  <w:style w:type="paragraph" w:customStyle="1" w:styleId="CPTableText">
    <w:name w:val="CPTableText"/>
    <w:basedOn w:val="CPNormal"/>
    <w:rsid w:val="002F48F6"/>
    <w:pPr>
      <w:widowControl/>
      <w:spacing w:line="240" w:lineRule="exact"/>
      <w:ind w:firstLine="0"/>
    </w:pPr>
    <w:rPr>
      <w:rFonts w:ascii="Arial" w:hAnsi="Arial" w:cs="Arial"/>
    </w:rPr>
  </w:style>
  <w:style w:type="paragraph" w:customStyle="1" w:styleId="CPN-nleftbold">
    <w:name w:val="CPN-n/*leftbold"/>
    <w:basedOn w:val="CPN-normal"/>
    <w:rsid w:val="002F48F6"/>
    <w:pPr>
      <w:keepNext/>
      <w:keepLines/>
      <w:ind w:firstLine="0"/>
      <w:jc w:val="left"/>
    </w:pPr>
    <w:rPr>
      <w:b/>
      <w:bCs/>
    </w:rPr>
  </w:style>
  <w:style w:type="paragraph" w:customStyle="1" w:styleId="CPN-nheading">
    <w:name w:val="CPN-n/heading"/>
    <w:basedOn w:val="Normal"/>
    <w:rsid w:val="002F48F6"/>
    <w:pPr>
      <w:keepNext/>
      <w:keepLines/>
      <w:spacing w:before="120" w:after="240" w:line="240" w:lineRule="exact"/>
      <w:jc w:val="center"/>
    </w:pPr>
    <w:rPr>
      <w:rFonts w:ascii="Arial" w:eastAsia="Wingdings" w:hAnsi="Arial" w:cs="Arial"/>
      <w:b/>
      <w:bCs/>
      <w:color w:val="auto"/>
      <w:lang w:val="en-US" w:eastAsia="es-ES"/>
    </w:rPr>
  </w:style>
  <w:style w:type="character" w:customStyle="1" w:styleId="TABLES9PT">
    <w:name w:val="TABLES 9PT"/>
    <w:rsid w:val="002F48F6"/>
    <w:rPr>
      <w:rFonts w:ascii="Times New Roman" w:hAnsi="Times New Roman"/>
      <w:sz w:val="18"/>
    </w:rPr>
  </w:style>
  <w:style w:type="paragraph" w:styleId="NormalWeb">
    <w:name w:val="Normal (Web)"/>
    <w:basedOn w:val="Normal"/>
    <w:rsid w:val="002F48F6"/>
    <w:pPr>
      <w:spacing w:before="100" w:after="100"/>
    </w:pPr>
    <w:rPr>
      <w:rFonts w:ascii="Wingdings" w:eastAsia="Wingdings" w:cs="Wingdings"/>
      <w:color w:val="auto"/>
      <w:sz w:val="24"/>
      <w:szCs w:val="24"/>
      <w:lang w:val="es-ES" w:eastAsia="es-ES"/>
    </w:rPr>
  </w:style>
  <w:style w:type="paragraph" w:customStyle="1" w:styleId="BodyText2SglJ">
    <w:name w:val="Body Text 2 Sgl J"/>
    <w:aliases w:val="b2"/>
    <w:basedOn w:val="Normal"/>
    <w:rsid w:val="002F48F6"/>
    <w:pPr>
      <w:spacing w:after="240"/>
      <w:ind w:firstLine="720"/>
      <w:jc w:val="both"/>
    </w:pPr>
    <w:rPr>
      <w:rFonts w:eastAsia="Wingdings" w:cs="Times New Roman"/>
      <w:color w:val="auto"/>
      <w:lang w:val="en-US" w:eastAsia="es-AR"/>
    </w:rPr>
  </w:style>
  <w:style w:type="character" w:customStyle="1" w:styleId="Tcnico3">
    <w:name w:val="TÀ)Àcnico 3"/>
    <w:rsid w:val="002F48F6"/>
    <w:rPr>
      <w:rFonts w:ascii="Wingdings" w:hAnsi="Wingdings" w:cs="Wingdings"/>
      <w:sz w:val="24"/>
      <w:szCs w:val="24"/>
      <w:lang w:val="en-US"/>
    </w:rPr>
  </w:style>
  <w:style w:type="paragraph" w:customStyle="1" w:styleId="BodyText2Sgl11pt">
    <w:name w:val="Body Text 2 Sgl 11pt"/>
    <w:basedOn w:val="Normal"/>
    <w:rsid w:val="002F48F6"/>
    <w:pPr>
      <w:spacing w:after="240"/>
      <w:ind w:firstLine="720"/>
    </w:pPr>
    <w:rPr>
      <w:rFonts w:eastAsia="Wingdings" w:cs="Times New Roman"/>
      <w:color w:val="auto"/>
      <w:lang w:val="en-US" w:eastAsia="es-AR"/>
    </w:rPr>
  </w:style>
  <w:style w:type="paragraph" w:customStyle="1" w:styleId="ListB">
    <w:name w:val="ListB"/>
    <w:basedOn w:val="Normal"/>
    <w:rsid w:val="002F48F6"/>
    <w:pPr>
      <w:keepNext/>
      <w:spacing w:after="240"/>
    </w:pPr>
    <w:rPr>
      <w:rFonts w:eastAsia="Wingdings" w:cs="Times New Roman"/>
      <w:b/>
      <w:bCs/>
      <w:color w:val="auto"/>
      <w:lang w:val="es-ES" w:eastAsia="es-AR"/>
    </w:rPr>
  </w:style>
  <w:style w:type="paragraph" w:customStyle="1" w:styleId="TABLENOTES">
    <w:name w:val="TABLE NOTES"/>
    <w:basedOn w:val="Normal"/>
    <w:next w:val="Normal"/>
    <w:rsid w:val="002F48F6"/>
    <w:pPr>
      <w:ind w:left="432" w:hanging="432"/>
    </w:pPr>
    <w:rPr>
      <w:rFonts w:eastAsia="Wingdings" w:cs="Times New Roman"/>
      <w:color w:val="auto"/>
      <w:sz w:val="14"/>
      <w:szCs w:val="14"/>
      <w:lang w:val="en-US" w:eastAsia="es-AR"/>
    </w:rPr>
  </w:style>
  <w:style w:type="paragraph" w:customStyle="1" w:styleId="LISTIB">
    <w:name w:val="LISTIB"/>
    <w:basedOn w:val="Normal"/>
    <w:rsid w:val="002F48F6"/>
    <w:pPr>
      <w:keepNext/>
      <w:spacing w:after="240"/>
      <w:ind w:left="720"/>
    </w:pPr>
    <w:rPr>
      <w:rFonts w:eastAsia="Wingdings" w:cs="Times New Roman"/>
      <w:b/>
      <w:bCs/>
      <w:i/>
      <w:iCs/>
      <w:color w:val="auto"/>
      <w:lang w:val="en-US" w:eastAsia="es-AR"/>
    </w:rPr>
  </w:style>
  <w:style w:type="paragraph" w:customStyle="1" w:styleId="CPN-Left-bold">
    <w:name w:val="CPN-Left-bold"/>
    <w:basedOn w:val="Normal"/>
    <w:rsid w:val="002F48F6"/>
    <w:pPr>
      <w:keepNext/>
      <w:keepLines/>
      <w:overflowPunct w:val="0"/>
      <w:autoSpaceDE w:val="0"/>
      <w:autoSpaceDN w:val="0"/>
      <w:adjustRightInd w:val="0"/>
      <w:spacing w:after="200"/>
      <w:jc w:val="both"/>
      <w:textAlignment w:val="baseline"/>
    </w:pPr>
    <w:rPr>
      <w:rFonts w:eastAsia="Wingdings" w:cs="Times New Roman"/>
      <w:b/>
      <w:bCs/>
      <w:color w:val="auto"/>
      <w:lang w:val="en-US" w:eastAsia="es-AR"/>
    </w:rPr>
  </w:style>
  <w:style w:type="paragraph" w:customStyle="1" w:styleId="ListExh">
    <w:name w:val="List Exh."/>
    <w:basedOn w:val="Normal"/>
    <w:next w:val="Normal"/>
    <w:rsid w:val="002F48F6"/>
    <w:pPr>
      <w:tabs>
        <w:tab w:val="num" w:pos="0"/>
        <w:tab w:val="num" w:pos="360"/>
        <w:tab w:val="num" w:pos="1975"/>
      </w:tabs>
      <w:spacing w:after="240"/>
      <w:ind w:left="1975" w:hanging="57"/>
    </w:pPr>
    <w:rPr>
      <w:rFonts w:eastAsia="Wingdings" w:cs="Times New Roman"/>
      <w:noProof/>
      <w:color w:val="auto"/>
      <w:sz w:val="24"/>
      <w:szCs w:val="24"/>
      <w:lang w:val="en-US" w:eastAsia="es-AR"/>
    </w:rPr>
  </w:style>
  <w:style w:type="paragraph" w:customStyle="1" w:styleId="TOCPage">
    <w:name w:val="TOC Page"/>
    <w:basedOn w:val="Normal"/>
    <w:rsid w:val="002F48F6"/>
    <w:pPr>
      <w:spacing w:after="240"/>
      <w:jc w:val="right"/>
    </w:pPr>
    <w:rPr>
      <w:rFonts w:eastAsia="Wingdings" w:cs="Times New Roman"/>
      <w:b/>
      <w:bCs/>
      <w:color w:val="auto"/>
      <w:sz w:val="24"/>
      <w:szCs w:val="24"/>
      <w:lang w:val="en-US" w:eastAsia="es-AR"/>
    </w:rPr>
  </w:style>
  <w:style w:type="paragraph" w:customStyle="1" w:styleId="Bullet39Sgl">
    <w:name w:val="Bullet .39 Sgl"/>
    <w:basedOn w:val="Normal"/>
    <w:rsid w:val="002F48F6"/>
    <w:pPr>
      <w:tabs>
        <w:tab w:val="left" w:pos="850"/>
        <w:tab w:val="num" w:pos="1440"/>
      </w:tabs>
      <w:autoSpaceDE w:val="0"/>
      <w:autoSpaceDN w:val="0"/>
      <w:adjustRightInd w:val="0"/>
      <w:spacing w:after="240"/>
      <w:ind w:left="1440" w:hanging="57"/>
    </w:pPr>
    <w:rPr>
      <w:rFonts w:eastAsia="Wingdings" w:cs="Times New Roman"/>
      <w:color w:val="auto"/>
      <w:lang w:val="en-US" w:eastAsia="es-ES"/>
    </w:rPr>
  </w:style>
  <w:style w:type="paragraph" w:customStyle="1" w:styleId="CPN-nleft-italics">
    <w:name w:val="CPN-n/*left-italics"/>
    <w:basedOn w:val="CPN-normal"/>
    <w:rsid w:val="002F48F6"/>
    <w:pPr>
      <w:keepNext/>
      <w:keepLines/>
      <w:ind w:left="720" w:firstLine="0"/>
    </w:pPr>
    <w:rPr>
      <w:i/>
      <w:iCs/>
      <w:u w:val="single"/>
    </w:rPr>
  </w:style>
  <w:style w:type="paragraph" w:customStyle="1" w:styleId="CPN-bullet">
    <w:name w:val="CPN-bullet"/>
    <w:basedOn w:val="Normal"/>
    <w:rsid w:val="002F48F6"/>
    <w:pPr>
      <w:widowControl w:val="0"/>
      <w:tabs>
        <w:tab w:val="left" w:pos="990"/>
      </w:tabs>
      <w:spacing w:after="240"/>
      <w:ind w:left="900" w:hanging="360"/>
      <w:jc w:val="both"/>
    </w:pPr>
    <w:rPr>
      <w:rFonts w:ascii="Arial" w:eastAsia="Wingdings" w:hAnsi="Arial" w:cs="Arial"/>
      <w:color w:val="auto"/>
      <w:lang w:val="en-AU" w:eastAsia="es-ES"/>
    </w:rPr>
  </w:style>
  <w:style w:type="paragraph" w:customStyle="1" w:styleId="Organizacin">
    <w:name w:val="Organización"/>
    <w:basedOn w:val="Textoindependiente"/>
    <w:rsid w:val="002F48F6"/>
    <w:pPr>
      <w:keepLines/>
      <w:framePr w:w="8640" w:h="1440" w:wrap="notBeside" w:vAnchor="page" w:hAnchor="margin" w:xAlign="center" w:y="889" w:anchorLock="1"/>
      <w:autoSpaceDE w:val="0"/>
      <w:autoSpaceDN w:val="0"/>
      <w:spacing w:after="80" w:line="240" w:lineRule="auto"/>
      <w:jc w:val="center"/>
    </w:pPr>
    <w:rPr>
      <w:rFonts w:ascii="Wingdings" w:eastAsia="Wingdings" w:hAnsi="Wingdings" w:cs="Wingdings"/>
      <w:caps/>
      <w:spacing w:val="75"/>
      <w:sz w:val="20"/>
    </w:rPr>
  </w:style>
  <w:style w:type="paragraph" w:customStyle="1" w:styleId="CPN-Left">
    <w:name w:val="CPN-Left"/>
    <w:basedOn w:val="Normal"/>
    <w:rsid w:val="002F48F6"/>
    <w:pPr>
      <w:widowControl w:val="0"/>
    </w:pPr>
    <w:rPr>
      <w:rFonts w:ascii="Wingdings" w:eastAsia="Wingdings" w:hAnsi="Wingdings" w:cs="Wingdings"/>
      <w:color w:val="auto"/>
      <w:sz w:val="24"/>
      <w:szCs w:val="24"/>
      <w:lang w:val="en-US" w:eastAsia="es-ES"/>
    </w:rPr>
  </w:style>
  <w:style w:type="paragraph" w:customStyle="1" w:styleId="xl24">
    <w:name w:val="xl24"/>
    <w:basedOn w:val="Normal"/>
    <w:rsid w:val="002F48F6"/>
    <w:pP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25">
    <w:name w:val="xl25"/>
    <w:basedOn w:val="Normal"/>
    <w:rsid w:val="002F48F6"/>
    <w:pPr>
      <w:pBdr>
        <w:top w:val="single" w:sz="4" w:space="0" w:color="auto"/>
        <w:bottom w:val="single" w:sz="4" w:space="0" w:color="auto"/>
      </w:pBdr>
      <w:shd w:val="clear" w:color="auto" w:fill="FFFFFF"/>
      <w:spacing w:before="100" w:beforeAutospacing="1" w:after="100" w:afterAutospacing="1"/>
    </w:pPr>
    <w:rPr>
      <w:rFonts w:ascii="Wingdings" w:eastAsia="Wingdings" w:hAnsi="Wingdings" w:cs="Wingdings"/>
      <w:b/>
      <w:bCs/>
      <w:color w:val="auto"/>
      <w:sz w:val="24"/>
      <w:szCs w:val="24"/>
      <w:lang w:val="es-ES" w:eastAsia="es-ES"/>
    </w:rPr>
  </w:style>
  <w:style w:type="paragraph" w:customStyle="1" w:styleId="xl26">
    <w:name w:val="xl26"/>
    <w:basedOn w:val="Normal"/>
    <w:rsid w:val="002F48F6"/>
    <w:pPr>
      <w:pBdr>
        <w:top w:val="single" w:sz="4" w:space="0" w:color="auto"/>
        <w:left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27">
    <w:name w:val="xl27"/>
    <w:basedOn w:val="Normal"/>
    <w:rsid w:val="002F48F6"/>
    <w:pPr>
      <w:pBdr>
        <w:top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28">
    <w:name w:val="xl28"/>
    <w:basedOn w:val="Normal"/>
    <w:rsid w:val="002F48F6"/>
    <w:pPr>
      <w:pBdr>
        <w:top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29">
    <w:name w:val="xl29"/>
    <w:basedOn w:val="Normal"/>
    <w:rsid w:val="002F48F6"/>
    <w:pPr>
      <w:pBdr>
        <w:top w:val="single" w:sz="4" w:space="0" w:color="auto"/>
      </w:pBdr>
      <w:shd w:val="clear" w:color="auto" w:fill="FFFFFF"/>
      <w:spacing w:before="100" w:beforeAutospacing="1" w:after="100" w:afterAutospacing="1"/>
      <w:jc w:val="center"/>
    </w:pPr>
    <w:rPr>
      <w:rFonts w:ascii="Wingdings" w:eastAsia="Wingdings" w:hAnsi="Wingdings" w:cs="Wingdings"/>
      <w:b/>
      <w:bCs/>
      <w:color w:val="auto"/>
      <w:sz w:val="24"/>
      <w:szCs w:val="24"/>
      <w:lang w:val="es-ES" w:eastAsia="es-ES"/>
    </w:rPr>
  </w:style>
  <w:style w:type="paragraph" w:customStyle="1" w:styleId="xl30">
    <w:name w:val="xl30"/>
    <w:basedOn w:val="Normal"/>
    <w:rsid w:val="002F48F6"/>
    <w:pPr>
      <w:pBdr>
        <w:top w:val="single" w:sz="4" w:space="0" w:color="auto"/>
        <w:right w:val="single" w:sz="4" w:space="0" w:color="auto"/>
      </w:pBdr>
      <w:shd w:val="clear" w:color="auto" w:fill="FFFFFF"/>
      <w:spacing w:before="100" w:beforeAutospacing="1" w:after="100" w:afterAutospacing="1"/>
      <w:jc w:val="center"/>
    </w:pPr>
    <w:rPr>
      <w:rFonts w:ascii="Wingdings" w:eastAsia="Wingdings" w:hAnsi="Wingdings" w:cs="Wingdings"/>
      <w:b/>
      <w:bCs/>
      <w:color w:val="auto"/>
      <w:sz w:val="24"/>
      <w:szCs w:val="24"/>
      <w:lang w:val="es-ES" w:eastAsia="es-ES"/>
    </w:rPr>
  </w:style>
  <w:style w:type="paragraph" w:customStyle="1" w:styleId="xl31">
    <w:name w:val="xl31"/>
    <w:basedOn w:val="Normal"/>
    <w:rsid w:val="002F48F6"/>
    <w:pPr>
      <w:pBdr>
        <w:left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33">
    <w:name w:val="xl33"/>
    <w:basedOn w:val="Normal"/>
    <w:rsid w:val="002F48F6"/>
    <w:pP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34">
    <w:name w:val="xl34"/>
    <w:basedOn w:val="Normal"/>
    <w:rsid w:val="002F48F6"/>
    <w:pPr>
      <w:pBdr>
        <w:right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35">
    <w:name w:val="xl35"/>
    <w:basedOn w:val="Normal"/>
    <w:rsid w:val="002F48F6"/>
    <w:pPr>
      <w:pBdr>
        <w:left w:val="single" w:sz="4" w:space="0" w:color="auto"/>
      </w:pBdr>
      <w:shd w:val="clear" w:color="auto" w:fill="FFFFFF"/>
      <w:spacing w:before="100" w:beforeAutospacing="1" w:after="100" w:afterAutospacing="1"/>
    </w:pPr>
    <w:rPr>
      <w:rFonts w:ascii="Wingdings" w:eastAsia="Wingdings" w:hAnsi="Wingdings" w:cs="Wingdings"/>
      <w:b/>
      <w:bCs/>
      <w:color w:val="auto"/>
      <w:lang w:val="es-ES" w:eastAsia="es-ES"/>
    </w:rPr>
  </w:style>
  <w:style w:type="paragraph" w:customStyle="1" w:styleId="xl36">
    <w:name w:val="xl36"/>
    <w:basedOn w:val="Normal"/>
    <w:rsid w:val="002F48F6"/>
    <w:pPr>
      <w:pBdr>
        <w:top w:val="single" w:sz="4" w:space="0" w:color="auto"/>
        <w:bottom w:val="single" w:sz="4" w:space="0" w:color="auto"/>
        <w:right w:val="single" w:sz="4" w:space="0" w:color="auto"/>
      </w:pBdr>
      <w:shd w:val="clear" w:color="auto" w:fill="FFFFFF"/>
      <w:spacing w:before="100" w:beforeAutospacing="1" w:after="100" w:afterAutospacing="1"/>
    </w:pPr>
    <w:rPr>
      <w:rFonts w:ascii="Wingdings" w:eastAsia="Wingdings" w:hAnsi="Wingdings" w:cs="Wingdings"/>
      <w:b/>
      <w:bCs/>
      <w:color w:val="auto"/>
      <w:sz w:val="24"/>
      <w:szCs w:val="24"/>
      <w:lang w:val="es-ES" w:eastAsia="es-ES"/>
    </w:rPr>
  </w:style>
  <w:style w:type="paragraph" w:customStyle="1" w:styleId="xl37">
    <w:name w:val="xl37"/>
    <w:basedOn w:val="Normal"/>
    <w:rsid w:val="002F48F6"/>
    <w:pPr>
      <w:pBdr>
        <w:left w:val="single" w:sz="4" w:space="0" w:color="auto"/>
      </w:pBdr>
      <w:shd w:val="clear" w:color="auto" w:fill="FFFFFF"/>
      <w:spacing w:before="100" w:beforeAutospacing="1" w:after="100" w:afterAutospacing="1"/>
    </w:pPr>
    <w:rPr>
      <w:rFonts w:eastAsia="Wingdings" w:cs="Times New Roman"/>
      <w:color w:val="auto"/>
      <w:lang w:val="es-ES" w:eastAsia="es-ES"/>
    </w:rPr>
  </w:style>
  <w:style w:type="paragraph" w:customStyle="1" w:styleId="xl38">
    <w:name w:val="xl38"/>
    <w:basedOn w:val="Normal"/>
    <w:rsid w:val="002F48F6"/>
    <w:pPr>
      <w:pBdr>
        <w:right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39">
    <w:name w:val="xl39"/>
    <w:basedOn w:val="Normal"/>
    <w:rsid w:val="002F48F6"/>
    <w:pPr>
      <w:pBdr>
        <w:top w:val="single" w:sz="4" w:space="0" w:color="auto"/>
        <w:bottom w:val="single" w:sz="4" w:space="0" w:color="auto"/>
        <w:right w:val="single" w:sz="4" w:space="0" w:color="auto"/>
      </w:pBdr>
      <w:shd w:val="clear" w:color="auto" w:fill="FFFFFF"/>
      <w:spacing w:before="100" w:beforeAutospacing="1" w:after="100" w:afterAutospacing="1"/>
    </w:pPr>
    <w:rPr>
      <w:rFonts w:ascii="Wingdings" w:eastAsia="Wingdings" w:hAnsi="Wingdings" w:cs="Wingdings"/>
      <w:b/>
      <w:bCs/>
      <w:color w:val="auto"/>
      <w:sz w:val="24"/>
      <w:szCs w:val="24"/>
      <w:lang w:val="es-ES" w:eastAsia="es-ES"/>
    </w:rPr>
  </w:style>
  <w:style w:type="paragraph" w:customStyle="1" w:styleId="xl40">
    <w:name w:val="xl40"/>
    <w:basedOn w:val="Normal"/>
    <w:rsid w:val="002F48F6"/>
    <w:pPr>
      <w:pBdr>
        <w:right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41">
    <w:name w:val="xl41"/>
    <w:basedOn w:val="Normal"/>
    <w:rsid w:val="002F48F6"/>
    <w:pPr>
      <w:pBdr>
        <w:left w:val="single" w:sz="4" w:space="0" w:color="auto"/>
        <w:bottom w:val="single" w:sz="4" w:space="0" w:color="auto"/>
      </w:pBdr>
      <w:shd w:val="clear" w:color="auto" w:fill="FFFFFF"/>
      <w:spacing w:before="100" w:beforeAutospacing="1" w:after="100" w:afterAutospacing="1"/>
    </w:pPr>
    <w:rPr>
      <w:rFonts w:ascii="Wingdings" w:eastAsia="Wingdings" w:hAnsi="Wingdings" w:cs="Wingdings"/>
      <w:b/>
      <w:bCs/>
      <w:color w:val="auto"/>
      <w:lang w:val="es-ES" w:eastAsia="es-ES"/>
    </w:rPr>
  </w:style>
  <w:style w:type="paragraph" w:customStyle="1" w:styleId="xl42">
    <w:name w:val="xl42"/>
    <w:basedOn w:val="Normal"/>
    <w:rsid w:val="002F48F6"/>
    <w:pPr>
      <w:pBdr>
        <w:bottom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43">
    <w:name w:val="xl43"/>
    <w:basedOn w:val="Normal"/>
    <w:rsid w:val="002F48F6"/>
    <w:pPr>
      <w:pBdr>
        <w:bottom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character" w:customStyle="1" w:styleId="TABLES10PT">
    <w:name w:val="TABLES10PT"/>
    <w:rsid w:val="002F48F6"/>
    <w:rPr>
      <w:rFonts w:ascii="Times New Roman" w:hAnsi="Times New Roman"/>
      <w:sz w:val="20"/>
    </w:rPr>
  </w:style>
  <w:style w:type="paragraph" w:customStyle="1" w:styleId="CPN-nitalics">
    <w:name w:val="CPN-n/italics"/>
    <w:basedOn w:val="Normal"/>
    <w:rsid w:val="002F48F6"/>
    <w:pPr>
      <w:keepNext/>
      <w:overflowPunct w:val="0"/>
      <w:autoSpaceDE w:val="0"/>
      <w:autoSpaceDN w:val="0"/>
      <w:adjustRightInd w:val="0"/>
      <w:spacing w:after="240" w:line="240" w:lineRule="exact"/>
      <w:textAlignment w:val="baseline"/>
    </w:pPr>
    <w:rPr>
      <w:rFonts w:eastAsia="Wingdings" w:cs="Times New Roman"/>
      <w:i/>
      <w:iCs/>
      <w:color w:val="auto"/>
      <w:lang w:val="en-US" w:eastAsia="es-ES"/>
    </w:rPr>
  </w:style>
  <w:style w:type="paragraph" w:styleId="DireccinHTML">
    <w:name w:val="HTML Address"/>
    <w:basedOn w:val="Normal"/>
    <w:link w:val="DireccinHTMLCar1"/>
    <w:rsid w:val="002F48F6"/>
    <w:rPr>
      <w:rFonts w:eastAsia="Wingdings" w:cs="Times New Roman"/>
      <w:i/>
      <w:iCs/>
      <w:color w:val="auto"/>
      <w:lang w:val="es-AR" w:eastAsia="es-AR"/>
    </w:rPr>
  </w:style>
  <w:style w:type="character" w:customStyle="1" w:styleId="DireccinHTMLCar">
    <w:name w:val="Dirección HTML Car"/>
    <w:basedOn w:val="Fuentedeprrafopredeter"/>
    <w:rsid w:val="002F48F6"/>
    <w:rPr>
      <w:rFonts w:ascii="Times New Roman" w:eastAsia="Arial Unicode MS" w:hAnsi="Times New Roman" w:cs="Arial Unicode MS"/>
      <w:i/>
      <w:iCs/>
      <w:color w:val="000000"/>
      <w:sz w:val="20"/>
      <w:szCs w:val="20"/>
      <w:u w:color="000000"/>
      <w:lang w:val="es-ES_tradnl"/>
    </w:rPr>
  </w:style>
  <w:style w:type="character" w:customStyle="1" w:styleId="DireccinHTMLCar1">
    <w:name w:val="Dirección HTML Car1"/>
    <w:link w:val="DireccinHTML"/>
    <w:rsid w:val="002F48F6"/>
    <w:rPr>
      <w:rFonts w:ascii="Times New Roman" w:eastAsia="Wingdings" w:hAnsi="Times New Roman" w:cs="Times New Roman"/>
      <w:i/>
      <w:iCs/>
      <w:sz w:val="20"/>
      <w:szCs w:val="20"/>
      <w:lang w:eastAsia="es-AR"/>
    </w:rPr>
  </w:style>
  <w:style w:type="paragraph" w:styleId="Firmadecorreoelectrnico">
    <w:name w:val="E-mail Signature"/>
    <w:basedOn w:val="Normal"/>
    <w:link w:val="FirmadecorreoelectrnicoCar1"/>
    <w:rsid w:val="002F48F6"/>
    <w:rPr>
      <w:rFonts w:eastAsia="Wingdings" w:cs="Times New Roman"/>
      <w:color w:val="auto"/>
      <w:lang w:val="es-AR" w:eastAsia="es-AR"/>
    </w:rPr>
  </w:style>
  <w:style w:type="character" w:customStyle="1" w:styleId="FirmadecorreoelectrnicoCar">
    <w:name w:val="Firma de correo electrónico Car"/>
    <w:basedOn w:val="Fuentedeprrafopredeter"/>
    <w:rsid w:val="002F48F6"/>
    <w:rPr>
      <w:rFonts w:ascii="Times New Roman" w:eastAsia="Arial Unicode MS" w:hAnsi="Times New Roman" w:cs="Arial Unicode MS"/>
      <w:color w:val="000000"/>
      <w:sz w:val="20"/>
      <w:szCs w:val="20"/>
      <w:u w:color="000000"/>
      <w:lang w:val="es-ES_tradnl"/>
    </w:rPr>
  </w:style>
  <w:style w:type="character" w:customStyle="1" w:styleId="FirmadecorreoelectrnicoCar1">
    <w:name w:val="Firma de correo electrónico Car1"/>
    <w:link w:val="Firmadecorreoelectrnico"/>
    <w:rsid w:val="002F48F6"/>
    <w:rPr>
      <w:rFonts w:ascii="Times New Roman" w:eastAsia="Wingdings" w:hAnsi="Times New Roman" w:cs="Times New Roman"/>
      <w:sz w:val="20"/>
      <w:szCs w:val="20"/>
      <w:lang w:eastAsia="es-AR"/>
    </w:rPr>
  </w:style>
  <w:style w:type="paragraph" w:styleId="HTMLconformatoprevio">
    <w:name w:val="HTML Preformatted"/>
    <w:basedOn w:val="Normal"/>
    <w:link w:val="HTMLconformatoprevioCar1"/>
    <w:rsid w:val="002F48F6"/>
    <w:rPr>
      <w:rFonts w:ascii="Courier New" w:eastAsia="Wingdings" w:hAnsi="Courier New" w:cs="Times New Roman"/>
      <w:color w:val="auto"/>
      <w:lang w:val="es-AR" w:eastAsia="es-AR"/>
    </w:rPr>
  </w:style>
  <w:style w:type="character" w:customStyle="1" w:styleId="HTMLconformatoprevioCar">
    <w:name w:val="HTML con formato previo Car"/>
    <w:basedOn w:val="Fuentedeprrafopredeter"/>
    <w:rsid w:val="002F48F6"/>
    <w:rPr>
      <w:rFonts w:ascii="Consolas" w:eastAsia="Arial Unicode MS" w:hAnsi="Consolas" w:cs="Arial Unicode MS"/>
      <w:color w:val="000000"/>
      <w:sz w:val="20"/>
      <w:szCs w:val="20"/>
      <w:u w:color="000000"/>
      <w:lang w:val="es-ES_tradnl"/>
    </w:rPr>
  </w:style>
  <w:style w:type="character" w:customStyle="1" w:styleId="HTMLconformatoprevioCar1">
    <w:name w:val="HTML con formato previo Car1"/>
    <w:link w:val="HTMLconformatoprevio"/>
    <w:rsid w:val="002F48F6"/>
    <w:rPr>
      <w:rFonts w:ascii="Courier New" w:eastAsia="Wingdings" w:hAnsi="Courier New" w:cs="Times New Roman"/>
      <w:sz w:val="20"/>
      <w:szCs w:val="20"/>
      <w:lang w:eastAsia="es-AR"/>
    </w:rPr>
  </w:style>
  <w:style w:type="character" w:customStyle="1" w:styleId="DeltaViewInsertion">
    <w:name w:val="DeltaView Insertion"/>
    <w:rsid w:val="002F48F6"/>
    <w:rPr>
      <w:color w:val="0000FF"/>
      <w:u w:val="double"/>
    </w:rPr>
  </w:style>
  <w:style w:type="paragraph" w:customStyle="1" w:styleId="blocktextbold">
    <w:name w:val="block text bold"/>
    <w:basedOn w:val="Textodebloque"/>
    <w:rsid w:val="002F48F6"/>
    <w:pPr>
      <w:pBdr>
        <w:top w:val="none" w:sz="0" w:space="0" w:color="auto"/>
        <w:left w:val="none" w:sz="0" w:space="0" w:color="auto"/>
        <w:bottom w:val="none" w:sz="0" w:space="0" w:color="auto"/>
        <w:right w:val="none" w:sz="0" w:space="0" w:color="auto"/>
      </w:pBdr>
      <w:ind w:left="0" w:right="0"/>
    </w:pPr>
    <w:rPr>
      <w:rFonts w:eastAsia="Wingdings"/>
      <w:b/>
      <w:bCs/>
      <w:i w:val="0"/>
      <w:iCs w:val="0"/>
      <w:lang w:val="en-US"/>
    </w:rPr>
  </w:style>
  <w:style w:type="paragraph" w:customStyle="1" w:styleId="notaalpie">
    <w:name w:val="nota al pie"/>
    <w:basedOn w:val="Normal"/>
    <w:rsid w:val="002F48F6"/>
    <w:rPr>
      <w:rFonts w:ascii="Wingdings" w:eastAsia="Wingdings" w:hAnsi="Wingdings" w:cs="Wingdings"/>
      <w:color w:val="auto"/>
      <w:sz w:val="16"/>
      <w:szCs w:val="16"/>
      <w:lang w:val="es-AR" w:eastAsia="es-ES"/>
    </w:rPr>
  </w:style>
  <w:style w:type="paragraph" w:customStyle="1" w:styleId="Prder7">
    <w:name w:val="PÀÀr. der. 7"/>
    <w:rsid w:val="002F48F6"/>
    <w:pPr>
      <w:widowControl w:val="0"/>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left="5040" w:hanging="222"/>
    </w:pPr>
    <w:rPr>
      <w:rFonts w:ascii="Wingdings" w:eastAsia="Wingdings" w:hAnsi="Wingdings" w:cs="Wingdings"/>
      <w:sz w:val="24"/>
      <w:szCs w:val="24"/>
      <w:lang w:val="en-US" w:eastAsia="es-ES"/>
    </w:rPr>
  </w:style>
  <w:style w:type="paragraph" w:customStyle="1" w:styleId="WW-Textoindependiente3">
    <w:name w:val="WW-Texto independiente 3"/>
    <w:basedOn w:val="Normal"/>
    <w:rsid w:val="002F48F6"/>
    <w:pPr>
      <w:tabs>
        <w:tab w:val="left" w:pos="3402"/>
      </w:tabs>
      <w:suppressAutoHyphens/>
      <w:jc w:val="both"/>
    </w:pPr>
    <w:rPr>
      <w:rFonts w:eastAsia="Wingdings" w:cs="Times New Roman"/>
      <w:color w:val="auto"/>
      <w:lang w:val="es-AR" w:eastAsia="es-AR"/>
    </w:rPr>
  </w:style>
  <w:style w:type="paragraph" w:customStyle="1" w:styleId="NormalArial">
    <w:name w:val="Normal + Arial"/>
    <w:aliases w:val="Justificado,Izquierda:  2,75 cm,Comprimido  0,2 pto"/>
    <w:basedOn w:val="Normal"/>
    <w:rsid w:val="002F48F6"/>
    <w:pPr>
      <w:spacing w:line="280" w:lineRule="exact"/>
      <w:ind w:left="1080" w:right="-289"/>
      <w:jc w:val="both"/>
    </w:pPr>
    <w:rPr>
      <w:rFonts w:ascii="Arial" w:eastAsia="Wingdings" w:hAnsi="Arial" w:cs="Arial"/>
      <w:color w:val="auto"/>
      <w:lang w:val="es-AR" w:eastAsia="es-ES"/>
    </w:rPr>
  </w:style>
  <w:style w:type="character" w:customStyle="1" w:styleId="TextosinformatoCar1">
    <w:name w:val="Texto sin formato Car1"/>
    <w:uiPriority w:val="99"/>
    <w:rsid w:val="002F48F6"/>
    <w:rPr>
      <w:rFonts w:ascii="Courier New" w:eastAsia="Wingdings" w:hAnsi="Courier New" w:cs="Times New Roman"/>
      <w:color w:val="auto"/>
      <w:sz w:val="20"/>
      <w:szCs w:val="20"/>
      <w:lang w:val="es-ES_tradnl" w:eastAsia="es-AR"/>
    </w:rPr>
  </w:style>
  <w:style w:type="paragraph" w:customStyle="1" w:styleId="BodyText2SglChar">
    <w:name w:val="Body Text 2 Sgl Char"/>
    <w:basedOn w:val="Normal"/>
    <w:rsid w:val="002F48F6"/>
    <w:pPr>
      <w:spacing w:after="240"/>
      <w:ind w:firstLine="720"/>
    </w:pPr>
    <w:rPr>
      <w:rFonts w:eastAsia="Wingdings" w:cs="Times New Roman"/>
      <w:color w:val="auto"/>
      <w:szCs w:val="24"/>
      <w:lang w:val="en-US" w:eastAsia="es-AR"/>
    </w:rPr>
  </w:style>
  <w:style w:type="character" w:customStyle="1" w:styleId="BodyText2SglCharChar">
    <w:name w:val="Body Text 2 Sgl Char Char"/>
    <w:rsid w:val="002F48F6"/>
    <w:rPr>
      <w:sz w:val="22"/>
      <w:szCs w:val="24"/>
      <w:lang w:val="en-US" w:eastAsia="en-US" w:bidi="ar-SA"/>
    </w:rPr>
  </w:style>
  <w:style w:type="paragraph" w:customStyle="1" w:styleId="Table10pt">
    <w:name w:val="Table 10 pt"/>
    <w:basedOn w:val="Normal"/>
    <w:rsid w:val="002F48F6"/>
    <w:pPr>
      <w:autoSpaceDE w:val="0"/>
      <w:autoSpaceDN w:val="0"/>
      <w:adjustRightInd w:val="0"/>
    </w:pPr>
    <w:rPr>
      <w:rFonts w:ascii="Wingdings" w:eastAsia="Wingdings" w:hAnsi="Wingdings" w:cs="Wingdings"/>
      <w:color w:val="auto"/>
      <w:lang w:val="en-US" w:eastAsia="es-ES"/>
    </w:rPr>
  </w:style>
  <w:style w:type="paragraph" w:customStyle="1" w:styleId="TableNotes0">
    <w:name w:val="Table Notes"/>
    <w:basedOn w:val="Normal"/>
    <w:rsid w:val="002F48F6"/>
    <w:pPr>
      <w:autoSpaceDE w:val="0"/>
      <w:autoSpaceDN w:val="0"/>
      <w:adjustRightInd w:val="0"/>
      <w:spacing w:after="120"/>
      <w:ind w:left="360" w:hanging="360"/>
    </w:pPr>
    <w:rPr>
      <w:rFonts w:ascii="Wingdings" w:eastAsia="Wingdings" w:hAnsi="Wingdings" w:cs="Wingdings"/>
      <w:color w:val="auto"/>
      <w:sz w:val="17"/>
      <w:szCs w:val="17"/>
      <w:lang w:val="en-US" w:eastAsia="es-ES"/>
    </w:rPr>
  </w:style>
  <w:style w:type="paragraph" w:customStyle="1" w:styleId="TableLine">
    <w:name w:val="Table Line"/>
    <w:basedOn w:val="Normal"/>
    <w:next w:val="TableNotes0"/>
    <w:rsid w:val="002F48F6"/>
    <w:pPr>
      <w:pBdr>
        <w:bottom w:val="single" w:sz="4" w:space="1" w:color="auto"/>
      </w:pBdr>
      <w:autoSpaceDE w:val="0"/>
      <w:autoSpaceDN w:val="0"/>
      <w:adjustRightInd w:val="0"/>
      <w:spacing w:after="60"/>
      <w:ind w:right="7920"/>
    </w:pPr>
    <w:rPr>
      <w:rFonts w:ascii="Wingdings" w:eastAsia="Wingdings" w:hAnsi="Wingdings" w:cs="Wingdings"/>
      <w:color w:val="auto"/>
      <w:lang w:val="en-US" w:eastAsia="es-ES"/>
    </w:rPr>
  </w:style>
  <w:style w:type="character" w:customStyle="1" w:styleId="Table9pt">
    <w:name w:val="Table 9pt"/>
    <w:rsid w:val="002F48F6"/>
    <w:rPr>
      <w:rFonts w:ascii="Times New Roman" w:hAnsi="Times New Roman" w:cs="Times New Roman"/>
      <w:spacing w:val="0"/>
      <w:sz w:val="18"/>
      <w:szCs w:val="18"/>
    </w:rPr>
  </w:style>
  <w:style w:type="paragraph" w:customStyle="1" w:styleId="BodyText2Sgl">
    <w:name w:val="Body Text 2 Sgl"/>
    <w:basedOn w:val="Normal"/>
    <w:rsid w:val="002F48F6"/>
    <w:pPr>
      <w:spacing w:after="240"/>
      <w:ind w:firstLine="720"/>
    </w:pPr>
    <w:rPr>
      <w:rFonts w:eastAsia="Wingdings" w:cs="Times New Roman"/>
      <w:color w:val="auto"/>
      <w:szCs w:val="24"/>
      <w:lang w:val="en-US" w:eastAsia="es-AR"/>
    </w:rPr>
  </w:style>
  <w:style w:type="paragraph" w:customStyle="1" w:styleId="TitleIndentBI">
    <w:name w:val="Title Indent BI"/>
    <w:basedOn w:val="Normal"/>
    <w:rsid w:val="002F48F6"/>
    <w:pPr>
      <w:keepNext/>
      <w:keepLines/>
      <w:widowControl w:val="0"/>
      <w:spacing w:after="240"/>
      <w:ind w:left="720"/>
    </w:pPr>
    <w:rPr>
      <w:rFonts w:eastAsia="Wingdings" w:cs="Times New Roman"/>
      <w:b/>
      <w:i/>
      <w:color w:val="auto"/>
      <w:szCs w:val="24"/>
      <w:lang w:val="en-US" w:eastAsia="es-AR"/>
    </w:rPr>
  </w:style>
  <w:style w:type="character" w:customStyle="1" w:styleId="BodyText2SglCar">
    <w:name w:val="Body Text 2 Sgl Car"/>
    <w:rsid w:val="002F48F6"/>
    <w:rPr>
      <w:sz w:val="22"/>
      <w:szCs w:val="24"/>
      <w:lang w:val="en-US" w:eastAsia="en-US" w:bidi="ar-SA"/>
    </w:rPr>
  </w:style>
  <w:style w:type="paragraph" w:customStyle="1" w:styleId="BodyTextIndent2">
    <w:name w:val="Body Text Indent2"/>
    <w:basedOn w:val="Normal"/>
    <w:rsid w:val="002F48F6"/>
    <w:pPr>
      <w:spacing w:after="120"/>
      <w:ind w:left="283"/>
    </w:pPr>
    <w:rPr>
      <w:rFonts w:eastAsia="Wingdings" w:cs="Times New Roman"/>
      <w:color w:val="auto"/>
      <w:lang w:val="es-AR" w:eastAsia="es-ES"/>
    </w:rPr>
  </w:style>
  <w:style w:type="paragraph" w:customStyle="1" w:styleId="Texto1">
    <w:name w:val="Texto 1"/>
    <w:basedOn w:val="Normal"/>
    <w:rsid w:val="002F48F6"/>
    <w:pPr>
      <w:ind w:left="360"/>
    </w:pPr>
    <w:rPr>
      <w:rFonts w:ascii="Arial" w:eastAsia="Times New Roman" w:hAnsi="Arial" w:cs="Times New Roman"/>
      <w:color w:val="auto"/>
      <w:sz w:val="19"/>
      <w:lang w:eastAsia="es-AR"/>
    </w:rPr>
  </w:style>
  <w:style w:type="paragraph" w:customStyle="1" w:styleId="Texto2">
    <w:name w:val="Texto 2"/>
    <w:basedOn w:val="Normal"/>
    <w:rsid w:val="002F48F6"/>
    <w:pPr>
      <w:ind w:left="864"/>
    </w:pPr>
    <w:rPr>
      <w:rFonts w:ascii="Arial" w:eastAsia="Times New Roman" w:hAnsi="Arial" w:cs="Times New Roman"/>
      <w:color w:val="auto"/>
      <w:sz w:val="19"/>
      <w:lang w:eastAsia="es-AR"/>
    </w:rPr>
  </w:style>
  <w:style w:type="paragraph" w:customStyle="1" w:styleId="Textonota1">
    <w:name w:val="Texto nota 1"/>
    <w:basedOn w:val="Textonota"/>
    <w:rsid w:val="002F48F6"/>
    <w:pPr>
      <w:widowControl/>
      <w:ind w:left="806"/>
      <w:jc w:val="left"/>
    </w:pPr>
    <w:rPr>
      <w:rFonts w:ascii="Arial" w:eastAsia="Times New Roman" w:hAnsi="Arial" w:cs="Times New Roman"/>
      <w:sz w:val="19"/>
      <w:lang w:eastAsia="en-US"/>
    </w:rPr>
  </w:style>
  <w:style w:type="paragraph" w:customStyle="1" w:styleId="Texto3">
    <w:name w:val="Texto 3"/>
    <w:basedOn w:val="Normal"/>
    <w:rsid w:val="002F48F6"/>
    <w:pPr>
      <w:ind w:left="1224"/>
    </w:pPr>
    <w:rPr>
      <w:rFonts w:ascii="Arial" w:eastAsia="Times New Roman" w:hAnsi="Arial" w:cs="Times New Roman"/>
      <w:color w:val="auto"/>
      <w:sz w:val="19"/>
      <w:lang w:eastAsia="es-AR"/>
    </w:rPr>
  </w:style>
  <w:style w:type="paragraph" w:customStyle="1" w:styleId="Textoinfaud">
    <w:name w:val="Texto inf. aud."/>
    <w:basedOn w:val="Normal"/>
    <w:rsid w:val="002F48F6"/>
    <w:pPr>
      <w:tabs>
        <w:tab w:val="left" w:pos="720"/>
        <w:tab w:val="left" w:pos="1080"/>
      </w:tabs>
      <w:spacing w:line="360" w:lineRule="atLeast"/>
    </w:pPr>
    <w:rPr>
      <w:rFonts w:ascii="Arial" w:eastAsia="Times New Roman" w:hAnsi="Arial" w:cs="Times New Roman"/>
      <w:color w:val="auto"/>
      <w:sz w:val="19"/>
      <w:lang w:eastAsia="es-AR"/>
    </w:rPr>
  </w:style>
  <w:style w:type="paragraph" w:customStyle="1" w:styleId="Textoinfaud1">
    <w:name w:val="Texto inf. aud.1"/>
    <w:basedOn w:val="Textoinfaud"/>
    <w:rsid w:val="002F48F6"/>
    <w:pPr>
      <w:tabs>
        <w:tab w:val="clear" w:pos="1080"/>
      </w:tabs>
      <w:ind w:left="360"/>
      <w:jc w:val="both"/>
    </w:pPr>
  </w:style>
  <w:style w:type="paragraph" w:customStyle="1" w:styleId="Textonota3">
    <w:name w:val="Texto nota 3"/>
    <w:basedOn w:val="Textonota1"/>
    <w:rsid w:val="002F48F6"/>
    <w:pPr>
      <w:ind w:left="893"/>
    </w:pPr>
  </w:style>
  <w:style w:type="paragraph" w:customStyle="1" w:styleId="Textoindependiente21">
    <w:name w:val="Texto independiente 21"/>
    <w:basedOn w:val="Normal"/>
    <w:rsid w:val="002F48F6"/>
    <w:pPr>
      <w:tabs>
        <w:tab w:val="left" w:pos="1134"/>
      </w:tabs>
      <w:spacing w:line="280" w:lineRule="atLeast"/>
      <w:jc w:val="both"/>
    </w:pPr>
    <w:rPr>
      <w:rFonts w:ascii="Arial" w:eastAsia="Times New Roman" w:hAnsi="Arial" w:cs="Times New Roman"/>
      <w:color w:val="auto"/>
      <w:lang w:val="en-US" w:eastAsia="es-AR"/>
    </w:rPr>
  </w:style>
  <w:style w:type="paragraph" w:styleId="Textonotaalfinal">
    <w:name w:val="endnote text"/>
    <w:basedOn w:val="Normal"/>
    <w:link w:val="TextonotaalfinalCar1"/>
    <w:rsid w:val="002F48F6"/>
    <w:rPr>
      <w:rFonts w:eastAsia="Times New Roman" w:cs="Times New Roman"/>
      <w:color w:val="auto"/>
      <w:lang w:eastAsia="es-AR"/>
    </w:rPr>
  </w:style>
  <w:style w:type="character" w:customStyle="1" w:styleId="TextonotaalfinalCar">
    <w:name w:val="Texto nota al final Car"/>
    <w:basedOn w:val="Fuentedeprrafopredeter"/>
    <w:rsid w:val="002F48F6"/>
    <w:rPr>
      <w:rFonts w:ascii="Times New Roman" w:eastAsia="Arial Unicode MS" w:hAnsi="Times New Roman" w:cs="Arial Unicode MS"/>
      <w:color w:val="000000"/>
      <w:sz w:val="20"/>
      <w:szCs w:val="20"/>
      <w:u w:color="000000"/>
      <w:lang w:val="es-ES_tradnl"/>
    </w:rPr>
  </w:style>
  <w:style w:type="character" w:customStyle="1" w:styleId="TextonotaalfinalCar1">
    <w:name w:val="Texto nota al final Car1"/>
    <w:link w:val="Textonotaalfinal"/>
    <w:rsid w:val="002F48F6"/>
    <w:rPr>
      <w:rFonts w:ascii="Times New Roman" w:eastAsia="Times New Roman" w:hAnsi="Times New Roman" w:cs="Times New Roman"/>
      <w:sz w:val="20"/>
      <w:szCs w:val="20"/>
      <w:lang w:val="es-ES_tradnl" w:eastAsia="es-AR"/>
    </w:rPr>
  </w:style>
  <w:style w:type="paragraph" w:customStyle="1" w:styleId="TEXTO0">
    <w:name w:val="TEXTO"/>
    <w:basedOn w:val="Normal"/>
    <w:rsid w:val="002F48F6"/>
    <w:pPr>
      <w:jc w:val="both"/>
    </w:pPr>
    <w:rPr>
      <w:rFonts w:eastAsia="Times New Roman" w:cs="Times New Roman"/>
      <w:color w:val="auto"/>
      <w:sz w:val="24"/>
      <w:lang w:eastAsia="es-AR"/>
    </w:rPr>
  </w:style>
  <w:style w:type="paragraph" w:customStyle="1" w:styleId="TITULOS">
    <w:name w:val="TITULOS"/>
    <w:basedOn w:val="Normal"/>
    <w:rsid w:val="002F48F6"/>
    <w:rPr>
      <w:rFonts w:eastAsia="Times New Roman" w:cs="Times New Roman"/>
      <w:color w:val="auto"/>
      <w:sz w:val="24"/>
      <w:lang w:eastAsia="es-AR"/>
    </w:rPr>
  </w:style>
  <w:style w:type="paragraph" w:customStyle="1" w:styleId="Titulo2Vieta">
    <w:name w:val="Titulo 2 Viñeta"/>
    <w:basedOn w:val="Normal"/>
    <w:rsid w:val="002F48F6"/>
    <w:pPr>
      <w:numPr>
        <w:numId w:val="13"/>
      </w:numPr>
      <w:spacing w:after="120" w:line="360" w:lineRule="auto"/>
      <w:jc w:val="both"/>
    </w:pPr>
    <w:rPr>
      <w:rFonts w:ascii="Arial" w:eastAsia="Times New Roman" w:hAnsi="Arial" w:cs="Times New Roman"/>
      <w:color w:val="auto"/>
      <w:lang w:val="es-AR" w:eastAsia="es-ES"/>
    </w:rPr>
  </w:style>
  <w:style w:type="paragraph" w:customStyle="1" w:styleId="guin">
    <w:name w:val="guión"/>
    <w:basedOn w:val="Normal"/>
    <w:rsid w:val="002F48F6"/>
    <w:pPr>
      <w:numPr>
        <w:numId w:val="12"/>
      </w:numPr>
      <w:tabs>
        <w:tab w:val="left" w:pos="425"/>
      </w:tabs>
      <w:ind w:left="1152"/>
    </w:pPr>
    <w:rPr>
      <w:rFonts w:eastAsia="Times New Roman" w:cs="Times New Roman"/>
      <w:color w:val="auto"/>
      <w:sz w:val="24"/>
      <w:szCs w:val="24"/>
      <w:lang w:val="en-US" w:eastAsia="es-ES"/>
    </w:rPr>
  </w:style>
  <w:style w:type="paragraph" w:customStyle="1" w:styleId="Textoindependientebodytextbt">
    <w:name w:val="Texto independiente.body text.bt"/>
    <w:basedOn w:val="Normal"/>
    <w:rsid w:val="002F48F6"/>
    <w:pPr>
      <w:jc w:val="both"/>
    </w:pPr>
    <w:rPr>
      <w:rFonts w:eastAsia="Times New Roman" w:cs="Times New Roman"/>
      <w:color w:val="auto"/>
      <w:lang w:eastAsia="es-ES"/>
    </w:rPr>
  </w:style>
  <w:style w:type="paragraph" w:customStyle="1" w:styleId="CG-Title-Left-Italic">
    <w:name w:val="CG-Title-Left-Italic"/>
    <w:aliases w:val="t6"/>
    <w:basedOn w:val="Normal"/>
    <w:next w:val="Normal"/>
    <w:rsid w:val="002F48F6"/>
    <w:pPr>
      <w:keepNext/>
      <w:spacing w:after="240"/>
      <w:ind w:left="720"/>
      <w:jc w:val="both"/>
    </w:pPr>
    <w:rPr>
      <w:rFonts w:eastAsia="Times New Roman" w:cs="Times New Roman"/>
      <w:b/>
      <w:i/>
      <w:color w:val="auto"/>
      <w:lang w:val="en-US" w:eastAsia="es-ES"/>
    </w:rPr>
  </w:style>
  <w:style w:type="paragraph" w:customStyle="1" w:styleId="CG-SingleSp">
    <w:name w:val="CG-Single Sp"/>
    <w:aliases w:val="s1,DPWfd tbl stub10,Second Heading 1"/>
    <w:basedOn w:val="Normal"/>
    <w:rsid w:val="002F48F6"/>
    <w:pPr>
      <w:spacing w:after="240"/>
      <w:jc w:val="both"/>
    </w:pPr>
    <w:rPr>
      <w:rFonts w:eastAsia="Times New Roman" w:cs="Times New Roman"/>
      <w:color w:val="auto"/>
      <w:lang w:val="en-US" w:eastAsia="es-ES"/>
    </w:rPr>
  </w:style>
  <w:style w:type="paragraph" w:customStyle="1" w:styleId="CG-Title-Left-Bold">
    <w:name w:val="CG-Title-Left-Bold"/>
    <w:aliases w:val="t3"/>
    <w:basedOn w:val="Normal"/>
    <w:next w:val="Normal"/>
    <w:rsid w:val="002F48F6"/>
    <w:pPr>
      <w:keepNext/>
      <w:spacing w:after="240"/>
    </w:pPr>
    <w:rPr>
      <w:rFonts w:eastAsia="Times New Roman" w:cs="Times New Roman"/>
      <w:b/>
      <w:color w:val="auto"/>
      <w:lang w:val="en-US" w:eastAsia="es-AR"/>
    </w:rPr>
  </w:style>
  <w:style w:type="paragraph" w:customStyle="1" w:styleId="Annex9Heading5">
    <w:name w:val="Annex 9 Heading 5"/>
    <w:basedOn w:val="Normal"/>
    <w:next w:val="Textoindependiente"/>
    <w:rsid w:val="002F48F6"/>
    <w:pPr>
      <w:tabs>
        <w:tab w:val="left" w:pos="-720"/>
      </w:tabs>
      <w:suppressAutoHyphens/>
      <w:spacing w:after="240"/>
      <w:ind w:firstLine="1440"/>
      <w:jc w:val="both"/>
      <w:outlineLvl w:val="4"/>
    </w:pPr>
    <w:rPr>
      <w:rFonts w:eastAsia="Times New Roman" w:cs="Times New Roman"/>
      <w:noProof/>
      <w:spacing w:val="-3"/>
      <w:lang w:val="es-AR" w:eastAsia="es-ES"/>
    </w:rPr>
  </w:style>
  <w:style w:type="paragraph" w:customStyle="1" w:styleId="Annex9Heading6">
    <w:name w:val="Annex 9 Heading 6"/>
    <w:basedOn w:val="Normal"/>
    <w:next w:val="Textoindependiente"/>
    <w:rsid w:val="002F48F6"/>
    <w:pPr>
      <w:keepNext/>
      <w:jc w:val="center"/>
      <w:outlineLvl w:val="5"/>
    </w:pPr>
    <w:rPr>
      <w:rFonts w:eastAsia="Times New Roman" w:cs="Times New Roman"/>
      <w:noProof/>
      <w:color w:val="auto"/>
      <w:lang w:val="es-AR" w:eastAsia="es-ES"/>
    </w:rPr>
  </w:style>
  <w:style w:type="paragraph" w:customStyle="1" w:styleId="Annex9Heading7">
    <w:name w:val="Annex 9 Heading 7"/>
    <w:basedOn w:val="Normal"/>
    <w:next w:val="Textoindependiente"/>
    <w:rsid w:val="002F48F6"/>
    <w:pPr>
      <w:keepNext/>
      <w:tabs>
        <w:tab w:val="left" w:pos="-720"/>
      </w:tabs>
      <w:suppressAutoHyphens/>
      <w:jc w:val="center"/>
      <w:outlineLvl w:val="6"/>
    </w:pPr>
    <w:rPr>
      <w:rFonts w:eastAsia="Times New Roman" w:cs="Times New Roman"/>
      <w:noProof/>
      <w:spacing w:val="-3"/>
      <w:lang w:val="es-AR" w:eastAsia="es-ES"/>
    </w:rPr>
  </w:style>
  <w:style w:type="paragraph" w:customStyle="1" w:styleId="Annex9Heading8">
    <w:name w:val="Annex 9 Heading 8"/>
    <w:basedOn w:val="Normal"/>
    <w:next w:val="Textoindependiente"/>
    <w:rsid w:val="002F48F6"/>
    <w:pPr>
      <w:spacing w:before="240"/>
      <w:ind w:left="3600" w:hanging="720"/>
      <w:outlineLvl w:val="7"/>
    </w:pPr>
    <w:rPr>
      <w:rFonts w:eastAsia="Times New Roman" w:cs="Times New Roman"/>
      <w:noProof/>
      <w:color w:val="auto"/>
      <w:lang w:val="es-AR" w:eastAsia="es-ES"/>
    </w:rPr>
  </w:style>
  <w:style w:type="paragraph" w:customStyle="1" w:styleId="Annex9Heading9">
    <w:name w:val="Annex 9 Heading 9"/>
    <w:basedOn w:val="Normal"/>
    <w:next w:val="Textoindependiente"/>
    <w:rsid w:val="002F48F6"/>
    <w:pPr>
      <w:spacing w:before="240"/>
      <w:ind w:left="4320" w:hanging="720"/>
      <w:outlineLvl w:val="8"/>
    </w:pPr>
    <w:rPr>
      <w:rFonts w:eastAsia="Times New Roman" w:cs="Times New Roman"/>
      <w:noProof/>
      <w:color w:val="auto"/>
      <w:lang w:val="es-AR" w:eastAsia="es-ES"/>
    </w:rPr>
  </w:style>
  <w:style w:type="paragraph" w:customStyle="1" w:styleId="ListLegal3">
    <w:name w:val="List Legal 3"/>
    <w:basedOn w:val="Normal"/>
    <w:next w:val="Textoindependiente21"/>
    <w:rsid w:val="002F48F6"/>
    <w:pPr>
      <w:tabs>
        <w:tab w:val="left" w:pos="50"/>
        <w:tab w:val="num" w:pos="360"/>
      </w:tabs>
      <w:spacing w:after="240"/>
      <w:ind w:left="619" w:hanging="619"/>
      <w:jc w:val="both"/>
    </w:pPr>
    <w:rPr>
      <w:rFonts w:eastAsia="Times New Roman" w:cs="Times New Roman"/>
      <w:color w:val="auto"/>
      <w:lang w:val="en-US" w:eastAsia="es-ES"/>
    </w:rPr>
  </w:style>
  <w:style w:type="paragraph" w:customStyle="1" w:styleId="ListRoman3">
    <w:name w:val="List Roman 3"/>
    <w:basedOn w:val="Normal"/>
    <w:next w:val="Textoindependiente3"/>
    <w:rsid w:val="002F48F6"/>
    <w:pPr>
      <w:tabs>
        <w:tab w:val="left" w:pos="68"/>
        <w:tab w:val="num" w:pos="360"/>
      </w:tabs>
      <w:spacing w:after="240"/>
      <w:ind w:left="360" w:hanging="360"/>
      <w:jc w:val="both"/>
    </w:pPr>
    <w:rPr>
      <w:rFonts w:eastAsia="Times New Roman" w:cs="Times New Roman"/>
      <w:color w:val="auto"/>
      <w:lang w:val="en-US" w:eastAsia="es-ES"/>
    </w:rPr>
  </w:style>
  <w:style w:type="paragraph" w:customStyle="1" w:styleId="PartHeadings">
    <w:name w:val="Part Headings"/>
    <w:basedOn w:val="Normal"/>
    <w:next w:val="Normal"/>
    <w:rsid w:val="002F48F6"/>
    <w:pPr>
      <w:suppressAutoHyphens/>
      <w:spacing w:after="300" w:line="312" w:lineRule="auto"/>
      <w:ind w:left="360" w:hanging="360"/>
      <w:jc w:val="center"/>
      <w:outlineLvl w:val="2"/>
    </w:pPr>
    <w:rPr>
      <w:rFonts w:eastAsia="Times New Roman" w:cs="Times New Roman"/>
      <w:b/>
      <w:color w:val="auto"/>
      <w:sz w:val="21"/>
      <w:lang w:val="en-US" w:eastAsia="es-ES"/>
    </w:rPr>
  </w:style>
  <w:style w:type="paragraph" w:customStyle="1" w:styleId="CG-Title-Left-BoldItal">
    <w:name w:val="CG-Title-Left-BoldItal"/>
    <w:aliases w:val="t3i"/>
    <w:basedOn w:val="CG-Title-Left-Bold"/>
    <w:rsid w:val="002F48F6"/>
    <w:rPr>
      <w:i/>
      <w:lang w:eastAsia="es-ES"/>
    </w:rPr>
  </w:style>
  <w:style w:type="paragraph" w:customStyle="1" w:styleId="KPMG">
    <w:name w:val="KPMG"/>
    <w:basedOn w:val="Normal"/>
    <w:rsid w:val="002F48F6"/>
    <w:pPr>
      <w:jc w:val="both"/>
    </w:pPr>
    <w:rPr>
      <w:rFonts w:ascii="Wingdings" w:eastAsia="Times New Roman" w:hAnsi="Wingdings" w:cs="Times New Roman"/>
      <w:color w:val="auto"/>
      <w:sz w:val="24"/>
      <w:lang w:val="es-AR" w:eastAsia="es-AR"/>
    </w:rPr>
  </w:style>
  <w:style w:type="paragraph" w:styleId="ndice8">
    <w:name w:val="index 8"/>
    <w:basedOn w:val="Normal"/>
    <w:next w:val="Normal"/>
    <w:autoRedefine/>
    <w:rsid w:val="002F48F6"/>
    <w:pPr>
      <w:tabs>
        <w:tab w:val="left" w:pos="0"/>
        <w:tab w:val="right" w:pos="9072"/>
      </w:tabs>
      <w:jc w:val="center"/>
    </w:pPr>
    <w:rPr>
      <w:rFonts w:eastAsia="Times New Roman" w:cs="Times New Roman"/>
      <w:color w:val="auto"/>
      <w:lang w:eastAsia="es-AR"/>
    </w:rPr>
  </w:style>
  <w:style w:type="paragraph" w:customStyle="1" w:styleId="BodyText22">
    <w:name w:val="Body Text 22"/>
    <w:basedOn w:val="Normal"/>
    <w:rsid w:val="002F48F6"/>
    <w:pPr>
      <w:jc w:val="both"/>
    </w:pPr>
    <w:rPr>
      <w:rFonts w:eastAsia="Times New Roman" w:cs="Times New Roman"/>
      <w:color w:val="auto"/>
      <w:lang w:val="es-ES" w:eastAsia="es-ES"/>
    </w:rPr>
  </w:style>
  <w:style w:type="paragraph" w:customStyle="1" w:styleId="Sinespaciado1">
    <w:name w:val="Sin espaciado1"/>
    <w:aliases w:val="No Spacing1,Normal2"/>
    <w:basedOn w:val="BodyText2Sgl"/>
    <w:qFormat/>
    <w:rsid w:val="002F48F6"/>
    <w:pPr>
      <w:tabs>
        <w:tab w:val="left" w:pos="0"/>
      </w:tabs>
      <w:ind w:firstLine="0"/>
      <w:jc w:val="both"/>
    </w:pPr>
    <w:rPr>
      <w:rFonts w:ascii="Wingdings" w:hAnsi="Wingdings" w:cs="Wingdings"/>
      <w:color w:val="000000"/>
      <w:szCs w:val="20"/>
      <w:lang w:val="es-ES"/>
    </w:rPr>
  </w:style>
  <w:style w:type="paragraph" w:customStyle="1" w:styleId="Car">
    <w:name w:val="Car"/>
    <w:basedOn w:val="Normal"/>
    <w:rsid w:val="002F48F6"/>
    <w:pPr>
      <w:spacing w:after="160" w:line="240" w:lineRule="exact"/>
    </w:pPr>
    <w:rPr>
      <w:rFonts w:ascii="Wingdings" w:eastAsia="Wingdings" w:hAnsi="Wingdings" w:cs="Times New Roman"/>
      <w:color w:val="auto"/>
      <w:lang w:val="en-US" w:eastAsia="es-AR"/>
    </w:rPr>
  </w:style>
  <w:style w:type="paragraph" w:customStyle="1" w:styleId="2Ttulo">
    <w:name w:val="2Título"/>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pPr>
    <w:rPr>
      <w:rFonts w:eastAsia="Times New Roman" w:cs="Times New Roman"/>
      <w:b/>
      <w:color w:val="auto"/>
      <w:sz w:val="24"/>
      <w:lang w:val="es-AR" w:eastAsia="es-ES"/>
    </w:rPr>
  </w:style>
  <w:style w:type="paragraph" w:customStyle="1" w:styleId="AnexoN">
    <w:name w:val="Anexo Nº"/>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right"/>
    </w:pPr>
    <w:rPr>
      <w:rFonts w:eastAsia="Times New Roman" w:cs="Times New Roman"/>
      <w:b/>
      <w:color w:val="auto"/>
      <w:sz w:val="24"/>
      <w:lang w:val="es-AR" w:eastAsia="es-ES"/>
    </w:rPr>
  </w:style>
  <w:style w:type="paragraph" w:customStyle="1" w:styleId="CarChar1">
    <w:name w:val="Car Char1"/>
    <w:basedOn w:val="Normal"/>
    <w:rsid w:val="002F48F6"/>
    <w:pPr>
      <w:spacing w:after="160" w:line="240" w:lineRule="exact"/>
    </w:pPr>
    <w:rPr>
      <w:rFonts w:ascii="Wingdings" w:eastAsia="Wingdings" w:hAnsi="Wingdings" w:cs="Times New Roman"/>
      <w:color w:val="auto"/>
      <w:lang w:val="en-US" w:eastAsia="es-AR"/>
    </w:rPr>
  </w:style>
  <w:style w:type="character" w:customStyle="1" w:styleId="Tcnico31">
    <w:name w:val="TÀ)Àcnico 31"/>
    <w:rsid w:val="002F48F6"/>
    <w:rPr>
      <w:rFonts w:ascii="Wingdings" w:hAnsi="Wingdings" w:cs="Wingdings"/>
      <w:sz w:val="24"/>
      <w:szCs w:val="24"/>
      <w:lang w:val="en-US"/>
    </w:rPr>
  </w:style>
  <w:style w:type="paragraph" w:customStyle="1" w:styleId="Prder71">
    <w:name w:val="PÀÀr. der. 71"/>
    <w:rsid w:val="002F48F6"/>
    <w:pPr>
      <w:widowControl w:val="0"/>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left="5040" w:hanging="222"/>
    </w:pPr>
    <w:rPr>
      <w:rFonts w:ascii="Wingdings" w:eastAsia="Wingdings" w:hAnsi="Wingdings" w:cs="Wingdings"/>
      <w:sz w:val="24"/>
      <w:szCs w:val="24"/>
      <w:lang w:val="en-US" w:eastAsia="es-ES"/>
    </w:rPr>
  </w:style>
  <w:style w:type="paragraph" w:customStyle="1" w:styleId="Car1">
    <w:name w:val="Car1"/>
    <w:basedOn w:val="Normal"/>
    <w:rsid w:val="002F48F6"/>
    <w:pPr>
      <w:spacing w:after="160" w:line="240" w:lineRule="exact"/>
    </w:pPr>
    <w:rPr>
      <w:rFonts w:ascii="Wingdings" w:eastAsia="Wingdings" w:hAnsi="Wingdings" w:cs="Times New Roman"/>
      <w:color w:val="auto"/>
      <w:lang w:val="en-US" w:eastAsia="es-AR"/>
    </w:rPr>
  </w:style>
  <w:style w:type="paragraph" w:customStyle="1" w:styleId="TableSlug">
    <w:name w:val="Table Slug"/>
    <w:aliases w:val="ts"/>
    <w:basedOn w:val="Normal"/>
    <w:rsid w:val="002F48F6"/>
    <w:pPr>
      <w:pBdr>
        <w:bottom w:val="single" w:sz="4" w:space="1" w:color="auto"/>
      </w:pBdr>
      <w:spacing w:after="120"/>
      <w:ind w:right="7200"/>
    </w:pPr>
    <w:rPr>
      <w:rFonts w:eastAsia="Wingdings" w:cs="Times New Roman"/>
      <w:color w:val="auto"/>
      <w:sz w:val="16"/>
      <w:szCs w:val="24"/>
      <w:lang w:val="en-US" w:eastAsia="es-ES"/>
    </w:rPr>
  </w:style>
  <w:style w:type="paragraph" w:customStyle="1" w:styleId="TAbleLastFootnote">
    <w:name w:val="TAble Last Footnote"/>
    <w:aliases w:val="tlf"/>
    <w:basedOn w:val="Normal"/>
    <w:rsid w:val="002F48F6"/>
    <w:pPr>
      <w:spacing w:after="240"/>
      <w:ind w:left="432" w:hanging="432"/>
    </w:pPr>
    <w:rPr>
      <w:rFonts w:eastAsia="Wingdings" w:cs="Times New Roman"/>
      <w:color w:val="auto"/>
      <w:sz w:val="16"/>
      <w:lang w:val="en-US" w:eastAsia="es-AR"/>
    </w:rPr>
  </w:style>
  <w:style w:type="paragraph" w:customStyle="1" w:styleId="CarCharCar3CharCarCharCar">
    <w:name w:val="Car Char Car3 Char Car Char Car"/>
    <w:basedOn w:val="Normal"/>
    <w:rsid w:val="002F48F6"/>
    <w:pPr>
      <w:spacing w:after="160" w:line="240" w:lineRule="exact"/>
    </w:pPr>
    <w:rPr>
      <w:rFonts w:ascii="Wingdings" w:eastAsia="Wingdings" w:hAnsi="Wingdings" w:cs="Times New Roman"/>
      <w:color w:val="auto"/>
      <w:lang w:val="en-US" w:eastAsia="es-AR"/>
    </w:rPr>
  </w:style>
  <w:style w:type="paragraph" w:customStyle="1" w:styleId="otros">
    <w:name w:val="otros"/>
    <w:basedOn w:val="Normal"/>
    <w:rsid w:val="002F48F6"/>
    <w:pPr>
      <w:jc w:val="both"/>
    </w:pPr>
    <w:rPr>
      <w:rFonts w:eastAsia="Times New Roman" w:cs="Times New Roman"/>
      <w:b/>
      <w:color w:val="auto"/>
      <w:sz w:val="24"/>
      <w:lang w:eastAsia="es-AR"/>
    </w:rPr>
  </w:style>
  <w:style w:type="character" w:styleId="MquinadeescribirHTML">
    <w:name w:val="HTML Typewriter"/>
    <w:uiPriority w:val="99"/>
    <w:unhideWhenUsed/>
    <w:rsid w:val="002F48F6"/>
    <w:rPr>
      <w:rFonts w:ascii="Courier New" w:eastAsia="Wingdings" w:hAnsi="Courier New" w:cs="Courier New" w:hint="default"/>
      <w:sz w:val="20"/>
      <w:szCs w:val="20"/>
    </w:rPr>
  </w:style>
  <w:style w:type="paragraph" w:customStyle="1" w:styleId="Titulos0">
    <w:name w:val="Titulos"/>
    <w:basedOn w:val="Normal"/>
    <w:rsid w:val="002F48F6"/>
    <w:rPr>
      <w:rFonts w:eastAsia="Times New Roman" w:cs="Times New Roman"/>
      <w:b/>
      <w:caps/>
      <w:color w:val="auto"/>
      <w:sz w:val="24"/>
      <w:lang w:eastAsia="es-ES"/>
    </w:rPr>
  </w:style>
  <w:style w:type="paragraph" w:customStyle="1" w:styleId="3-Ttulo">
    <w:name w:val="3-Título"/>
    <w:basedOn w:val="Normal"/>
    <w:rsid w:val="002F48F6"/>
    <w:pPr>
      <w:spacing w:line="264" w:lineRule="auto"/>
      <w:jc w:val="both"/>
    </w:pPr>
    <w:rPr>
      <w:rFonts w:ascii="Wingdings" w:eastAsia="Times New Roman" w:hAnsi="Wingdings" w:cs="Times New Roman"/>
      <w:b/>
      <w:color w:val="2172AE"/>
      <w:lang w:eastAsia="es-ES"/>
    </w:rPr>
  </w:style>
  <w:style w:type="paragraph" w:customStyle="1" w:styleId="CG-BoldItalic">
    <w:name w:val="CG-Bold/Italic"/>
    <w:aliases w:val="bi"/>
    <w:basedOn w:val="Normal"/>
    <w:rsid w:val="002F48F6"/>
    <w:pPr>
      <w:keepNext/>
      <w:spacing w:after="240"/>
    </w:pPr>
    <w:rPr>
      <w:rFonts w:eastAsia="Wingdings" w:cs="Times New Roman"/>
      <w:b/>
      <w:bCs/>
      <w:i/>
      <w:iCs/>
      <w:color w:val="auto"/>
      <w:lang w:val="en-US" w:eastAsia="es-AR"/>
    </w:rPr>
  </w:style>
  <w:style w:type="paragraph" w:customStyle="1" w:styleId="4-subttulo">
    <w:name w:val="4-subtítulo"/>
    <w:basedOn w:val="Normal"/>
    <w:qFormat/>
    <w:rsid w:val="002F48F6"/>
    <w:pPr>
      <w:spacing w:line="264" w:lineRule="auto"/>
      <w:jc w:val="both"/>
    </w:pPr>
    <w:rPr>
      <w:rFonts w:ascii="Wingdings" w:eastAsia="Wingdings" w:hAnsi="Wingdings" w:cs="Times New Roman"/>
      <w:b/>
      <w:color w:val="2172AE"/>
      <w:lang w:eastAsia="es-ES"/>
    </w:rPr>
  </w:style>
  <w:style w:type="paragraph" w:customStyle="1" w:styleId="Nota-cuerpo">
    <w:name w:val="Nota - cuerpo"/>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rPr>
      <w:rFonts w:eastAsia="Times New Roman" w:cs="Times New Roman"/>
      <w:color w:val="auto"/>
      <w:sz w:val="24"/>
      <w:lang w:val="es-AR" w:eastAsia="es-AR"/>
    </w:rPr>
  </w:style>
  <w:style w:type="paragraph" w:customStyle="1" w:styleId="1Empresa3">
    <w:name w:val="1Empresa:3"/>
    <w:basedOn w:val="Normal"/>
    <w:rsid w:val="002F48F6"/>
    <w:pPr>
      <w:jc w:val="center"/>
    </w:pPr>
    <w:rPr>
      <w:rFonts w:eastAsia="Times New Roman" w:cs="Times New Roman"/>
      <w:b/>
      <w:color w:val="auto"/>
      <w:sz w:val="36"/>
      <w:lang w:eastAsia="es-ES"/>
    </w:rPr>
  </w:style>
  <w:style w:type="paragraph" w:customStyle="1" w:styleId="Textodetabla3">
    <w:name w:val="Texto de tabla:3"/>
    <w:basedOn w:val="Normal"/>
    <w:rsid w:val="002F48F6"/>
    <w:pPr>
      <w:tabs>
        <w:tab w:val="decimal"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both"/>
    </w:pPr>
    <w:rPr>
      <w:rFonts w:eastAsia="Times New Roman" w:cs="Times New Roman"/>
      <w:color w:val="auto"/>
      <w:sz w:val="16"/>
      <w:lang w:val="es-AR" w:eastAsia="es-ES"/>
    </w:rPr>
  </w:style>
  <w:style w:type="character" w:customStyle="1" w:styleId="SinespaciadoCar">
    <w:name w:val="Sin espaciado Car"/>
    <w:link w:val="Sinespaciado"/>
    <w:uiPriority w:val="99"/>
    <w:rsid w:val="002F48F6"/>
    <w:rPr>
      <w:rFonts w:ascii="Calibri" w:eastAsia="Calibri" w:hAnsi="Calibri" w:cs="Calibri"/>
      <w:color w:val="000000"/>
      <w:sz w:val="20"/>
      <w:szCs w:val="24"/>
    </w:rPr>
  </w:style>
  <w:style w:type="character" w:customStyle="1" w:styleId="LibreTtuloCar">
    <w:name w:val="[Libre] Título Car"/>
    <w:link w:val="LibreTtulo"/>
    <w:locked/>
    <w:rsid w:val="00754F61"/>
    <w:rPr>
      <w:rFonts w:ascii="Georgia" w:eastAsia="SimSun" w:hAnsi="Georgia"/>
      <w:lang w:val="es-MX" w:eastAsia="zh-CN"/>
    </w:rPr>
  </w:style>
  <w:style w:type="paragraph" w:customStyle="1" w:styleId="LibreTtulo">
    <w:name w:val="[Libre] Título"/>
    <w:basedOn w:val="Ttulo2"/>
    <w:link w:val="LibreTtuloCar"/>
    <w:qFormat/>
    <w:rsid w:val="00754F61"/>
    <w:pPr>
      <w:keepNext w:val="0"/>
      <w:keepLines w:val="0"/>
      <w:spacing w:before="0" w:after="120" w:line="360" w:lineRule="auto"/>
      <w:jc w:val="both"/>
    </w:pPr>
    <w:rPr>
      <w:rFonts w:ascii="Georgia" w:eastAsia="SimSun" w:hAnsi="Georgia" w:cstheme="minorBidi"/>
      <w:b w:val="0"/>
      <w:bCs w:val="0"/>
      <w:color w:val="auto"/>
      <w:sz w:val="22"/>
      <w:szCs w:val="22"/>
      <w:lang w:val="es-MX" w:eastAsia="zh-CN"/>
    </w:rPr>
  </w:style>
  <w:style w:type="character" w:customStyle="1" w:styleId="LibreTextoCar">
    <w:name w:val="[Libre] Texto Car"/>
    <w:link w:val="LibreTexto"/>
    <w:locked/>
    <w:rsid w:val="0006186C"/>
    <w:rPr>
      <w:rFonts w:ascii="Georgia" w:eastAsia="SimSun" w:hAnsi="Georgia" w:cs="Times New Roman"/>
      <w:u w:color="000000"/>
      <w:lang w:val="es-MX" w:eastAsia="zh-CN"/>
    </w:rPr>
  </w:style>
  <w:style w:type="paragraph" w:customStyle="1" w:styleId="LibreTexto">
    <w:name w:val="[Libre] Texto"/>
    <w:basedOn w:val="Normal"/>
    <w:link w:val="LibreTextoCar"/>
    <w:qFormat/>
    <w:rsid w:val="0006186C"/>
    <w:pPr>
      <w:spacing w:after="120" w:line="360" w:lineRule="auto"/>
      <w:jc w:val="both"/>
    </w:pPr>
    <w:rPr>
      <w:rFonts w:ascii="Georgia" w:eastAsia="SimSun" w:hAnsi="Georgia" w:cs="Times New Roman"/>
      <w:color w:val="auto"/>
      <w:sz w:val="22"/>
      <w:szCs w:val="22"/>
      <w:lang w:val="es-MX" w:eastAsia="zh-CN"/>
    </w:rPr>
  </w:style>
  <w:style w:type="paragraph" w:customStyle="1" w:styleId="WordDefaultStyle">
    <w:name w:val="Word Default Style"/>
    <w:rsid w:val="00051507"/>
    <w:pPr>
      <w:spacing w:after="0" w:line="240" w:lineRule="auto"/>
    </w:pPr>
    <w:rPr>
      <w:rFonts w:ascii="Times New Roman" w:eastAsia="Arial Unicode MS" w:hAnsi="Times New Roman" w:cs="Arial Unicode MS"/>
      <w:color w:val="000000"/>
      <w:sz w:val="20"/>
      <w:szCs w:val="20"/>
      <w:lang w:val="es-ES_tradnl" w:eastAsia="es-AR"/>
    </w:rPr>
  </w:style>
  <w:style w:type="numbering" w:customStyle="1" w:styleId="ImportedStyle30">
    <w:name w:val="Imported Style 3.0"/>
    <w:rsid w:val="00051507"/>
    <w:pPr>
      <w:numPr>
        <w:numId w:val="17"/>
      </w:numPr>
    </w:pPr>
  </w:style>
  <w:style w:type="paragraph" w:customStyle="1" w:styleId="Textoindependiente1">
    <w:name w:val="Texto independiente1"/>
    <w:rsid w:val="00051507"/>
    <w:pPr>
      <w:spacing w:after="0" w:line="240" w:lineRule="auto"/>
    </w:pPr>
    <w:rPr>
      <w:rFonts w:ascii="Times New Roman" w:eastAsia="Arial Unicode MS" w:hAnsi="Times New Roman" w:cs="Arial Unicode MS"/>
      <w:color w:val="000000"/>
      <w:sz w:val="20"/>
      <w:szCs w:val="20"/>
      <w:u w:color="000000"/>
      <w:lang w:val="es-ES_tradnl" w:eastAsia="es-AR"/>
    </w:rPr>
  </w:style>
  <w:style w:type="numbering" w:customStyle="1" w:styleId="ImportedStyle16">
    <w:name w:val="Imported Style 16"/>
    <w:rsid w:val="00051507"/>
    <w:pPr>
      <w:numPr>
        <w:numId w:val="23"/>
      </w:numPr>
    </w:pPr>
  </w:style>
  <w:style w:type="numbering" w:customStyle="1" w:styleId="Sinlista1">
    <w:name w:val="Sin lista1"/>
    <w:next w:val="Sinlista"/>
    <w:uiPriority w:val="99"/>
    <w:semiHidden/>
    <w:unhideWhenUsed/>
    <w:rsid w:val="00051507"/>
  </w:style>
  <w:style w:type="paragraph" w:customStyle="1" w:styleId="1Empresa">
    <w:name w:val="1Empresa"/>
    <w:basedOn w:val="Normal"/>
    <w:rsid w:val="000515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pPr>
    <w:rPr>
      <w:rFonts w:eastAsia="Times New Roman" w:cs="Times New Roman"/>
      <w:b/>
      <w:color w:val="auto"/>
      <w:sz w:val="36"/>
      <w:lang w:val="es-AR"/>
    </w:rPr>
  </w:style>
  <w:style w:type="paragraph" w:customStyle="1" w:styleId="AnexoI">
    <w:name w:val="Anexo I"/>
    <w:basedOn w:val="Normal"/>
    <w:rsid w:val="00051507"/>
    <w:pPr>
      <w:jc w:val="right"/>
    </w:pPr>
    <w:rPr>
      <w:rFonts w:eastAsia="Times New Roman" w:cs="Times New Roman"/>
      <w:b/>
      <w:color w:val="auto"/>
      <w:sz w:val="24"/>
      <w:lang w:val="es-AR"/>
    </w:rPr>
  </w:style>
  <w:style w:type="paragraph" w:customStyle="1" w:styleId="tabla81">
    <w:name w:val="tabla 8"/>
    <w:basedOn w:val="Normal"/>
    <w:rsid w:val="00051507"/>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pPr>
    <w:rPr>
      <w:rFonts w:ascii="Univers" w:eastAsia="Times New Roman" w:hAnsi="Univers" w:cs="Times New Roman"/>
      <w:color w:val="auto"/>
      <w:sz w:val="16"/>
      <w:lang w:val="es-AR"/>
    </w:rPr>
  </w:style>
  <w:style w:type="paragraph" w:customStyle="1" w:styleId="Nota">
    <w:name w:val="Nota"/>
    <w:basedOn w:val="Normal"/>
    <w:rsid w:val="000515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pPr>
    <w:rPr>
      <w:rFonts w:ascii="Arial" w:eastAsia="Times New Roman" w:hAnsi="Arial" w:cs="Times New Roman"/>
      <w:b/>
      <w:color w:val="auto"/>
      <w:sz w:val="24"/>
      <w:u w:val="single"/>
      <w:lang w:val="en-US"/>
    </w:rPr>
  </w:style>
  <w:style w:type="paragraph" w:customStyle="1" w:styleId="tabletextctab">
    <w:name w:val="table text c/tab"/>
    <w:basedOn w:val="Normal"/>
    <w:rsid w:val="00051507"/>
    <w:pPr>
      <w:tabs>
        <w:tab w:val="left" w:pos="288"/>
      </w:tabs>
      <w:ind w:left="720" w:hanging="720"/>
      <w:jc w:val="both"/>
    </w:pPr>
    <w:rPr>
      <w:rFonts w:ascii="Arial" w:eastAsia="Times New Roman" w:hAnsi="Arial" w:cs="Times New Roman"/>
      <w:color w:val="auto"/>
      <w:lang w:val="es-AR"/>
    </w:rPr>
  </w:style>
  <w:style w:type="paragraph" w:customStyle="1" w:styleId="Empresa">
    <w:name w:val="Empresa"/>
    <w:basedOn w:val="Normal"/>
    <w:rsid w:val="00051507"/>
    <w:pPr>
      <w:jc w:val="center"/>
    </w:pPr>
    <w:rPr>
      <w:rFonts w:eastAsia="Times New Roman" w:cs="Times New Roman"/>
      <w:b/>
      <w:color w:val="auto"/>
      <w:sz w:val="36"/>
      <w:lang w:val="es-AR"/>
    </w:rPr>
  </w:style>
  <w:style w:type="paragraph" w:styleId="Fecha">
    <w:name w:val="Date"/>
    <w:basedOn w:val="Normal"/>
    <w:link w:val="FechaCar"/>
    <w:rsid w:val="00051507"/>
    <w:pPr>
      <w:jc w:val="both"/>
    </w:pPr>
    <w:rPr>
      <w:rFonts w:ascii="Arial" w:eastAsia="Times New Roman" w:hAnsi="Arial" w:cs="Times New Roman"/>
      <w:b/>
      <w:color w:val="auto"/>
      <w:sz w:val="24"/>
      <w:u w:val="single"/>
      <w:lang w:val="es-AR"/>
    </w:rPr>
  </w:style>
  <w:style w:type="character" w:customStyle="1" w:styleId="FechaCar">
    <w:name w:val="Fecha Car"/>
    <w:basedOn w:val="Fuentedeprrafopredeter"/>
    <w:link w:val="Fecha"/>
    <w:rsid w:val="00051507"/>
    <w:rPr>
      <w:rFonts w:ascii="Arial" w:eastAsia="Times New Roman" w:hAnsi="Arial" w:cs="Times New Roman"/>
      <w:b/>
      <w:sz w:val="24"/>
      <w:szCs w:val="20"/>
      <w:u w:val="single" w:color="000000"/>
    </w:rPr>
  </w:style>
  <w:style w:type="paragraph" w:customStyle="1" w:styleId="Firmas">
    <w:name w:val="Firmas"/>
    <w:basedOn w:val="Normal"/>
    <w:rsid w:val="00051507"/>
    <w:rPr>
      <w:rFonts w:ascii="Arial" w:eastAsia="Times New Roman" w:hAnsi="Arial" w:cs="Times New Roman"/>
      <w:color w:val="auto"/>
      <w:sz w:val="16"/>
      <w:lang w:val="es-AR"/>
    </w:rPr>
  </w:style>
  <w:style w:type="paragraph" w:customStyle="1" w:styleId="notabajocuadro10">
    <w:name w:val="nota bajo cuadro 10"/>
    <w:basedOn w:val="Normal"/>
    <w:rsid w:val="00051507"/>
    <w:pPr>
      <w:jc w:val="both"/>
    </w:pPr>
    <w:rPr>
      <w:rFonts w:ascii="Arial" w:eastAsia="Times New Roman" w:hAnsi="Arial" w:cs="Times New Roman"/>
      <w:color w:val="auto"/>
      <w:lang w:val="es-AR"/>
    </w:rPr>
  </w:style>
  <w:style w:type="paragraph" w:customStyle="1" w:styleId="notabajocuadro8">
    <w:name w:val="nota bajo cuadro 8"/>
    <w:basedOn w:val="Normal"/>
    <w:rsid w:val="00051507"/>
    <w:rPr>
      <w:rFonts w:ascii="Arial" w:eastAsia="Times New Roman" w:hAnsi="Arial" w:cs="Times New Roman"/>
      <w:color w:val="auto"/>
      <w:sz w:val="16"/>
      <w:lang w:val="es-AR"/>
    </w:rPr>
  </w:style>
  <w:style w:type="paragraph" w:customStyle="1" w:styleId="Notacuerpo1">
    <w:name w:val="Nota cuerpo:1"/>
    <w:basedOn w:val="Normal"/>
    <w:rsid w:val="000515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440"/>
      <w:jc w:val="both"/>
    </w:pPr>
    <w:rPr>
      <w:rFonts w:ascii="Arial" w:eastAsia="Times New Roman" w:hAnsi="Arial" w:cs="Times New Roman"/>
      <w:color w:val="auto"/>
      <w:sz w:val="24"/>
    </w:rPr>
  </w:style>
  <w:style w:type="paragraph" w:customStyle="1" w:styleId="Textodetabla2">
    <w:name w:val="Texto de tabla:2"/>
    <w:basedOn w:val="Normal"/>
    <w:rsid w:val="00051507"/>
    <w:pPr>
      <w:tabs>
        <w:tab w:val="decimal"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Pr>
      <w:rFonts w:ascii="Arial" w:eastAsia="Times New Roman" w:hAnsi="Arial" w:cs="Times New Roman"/>
      <w:color w:val="auto"/>
      <w:lang w:val="es-AR"/>
    </w:rPr>
  </w:style>
  <w:style w:type="character" w:customStyle="1" w:styleId="Documento4">
    <w:name w:val="Documento 4"/>
    <w:rsid w:val="00051507"/>
    <w:rPr>
      <w:b/>
      <w:i/>
      <w:sz w:val="24"/>
    </w:rPr>
  </w:style>
  <w:style w:type="paragraph" w:customStyle="1" w:styleId="Textospie81">
    <w:name w:val="Textos pie ( 8 ):1"/>
    <w:basedOn w:val="Normal"/>
    <w:rsid w:val="00051507"/>
    <w:pPr>
      <w:jc w:val="both"/>
    </w:pPr>
    <w:rPr>
      <w:rFonts w:ascii="Arial" w:eastAsia="Times New Roman" w:hAnsi="Arial" w:cs="Times New Roman"/>
      <w:color w:val="auto"/>
      <w:sz w:val="16"/>
      <w:lang w:val="es-AR"/>
    </w:rPr>
  </w:style>
  <w:style w:type="paragraph" w:customStyle="1" w:styleId="Textopredeterminado1">
    <w:name w:val="Texto predeterminado:1"/>
    <w:basedOn w:val="Normal"/>
    <w:rsid w:val="00051507"/>
    <w:pPr>
      <w:jc w:val="both"/>
    </w:pPr>
    <w:rPr>
      <w:rFonts w:ascii="Arial" w:eastAsia="Times New Roman" w:hAnsi="Arial" w:cs="Times New Roman"/>
      <w:color w:val="auto"/>
      <w:sz w:val="24"/>
    </w:rPr>
  </w:style>
  <w:style w:type="paragraph" w:customStyle="1" w:styleId="Textodetabla1">
    <w:name w:val="Texto de tabla:1"/>
    <w:basedOn w:val="Normal"/>
    <w:rsid w:val="00051507"/>
    <w:pPr>
      <w:tabs>
        <w:tab w:val="decimal"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Pr>
      <w:rFonts w:ascii="Arial" w:eastAsia="Times New Roman" w:hAnsi="Arial" w:cs="Times New Roman"/>
      <w:color w:val="auto"/>
      <w:sz w:val="16"/>
      <w:lang w:val="es-AR"/>
    </w:rPr>
  </w:style>
  <w:style w:type="paragraph" w:customStyle="1" w:styleId="BalloonText1">
    <w:name w:val="Balloon Text1"/>
    <w:basedOn w:val="Normal"/>
    <w:semiHidden/>
    <w:rsid w:val="00051507"/>
    <w:pPr>
      <w:jc w:val="both"/>
    </w:pPr>
    <w:rPr>
      <w:rFonts w:ascii="Tahoma" w:eastAsia="Times New Roman" w:hAnsi="Tahoma" w:cs="Tahoma"/>
      <w:color w:val="auto"/>
      <w:sz w:val="16"/>
      <w:szCs w:val="16"/>
      <w:lang w:val="es-AR"/>
    </w:rPr>
  </w:style>
  <w:style w:type="paragraph" w:customStyle="1" w:styleId="TableText">
    <w:name w:val="Table Text"/>
    <w:basedOn w:val="Normal"/>
    <w:rsid w:val="00051507"/>
    <w:pPr>
      <w:tabs>
        <w:tab w:val="decimal" w:pos="0"/>
      </w:tabs>
      <w:jc w:val="both"/>
    </w:pPr>
    <w:rPr>
      <w:rFonts w:eastAsia="Times New Roman" w:cs="Times New Roman"/>
      <w:color w:val="auto"/>
      <w:lang w:val="es-AR"/>
    </w:rPr>
  </w:style>
  <w:style w:type="character" w:customStyle="1" w:styleId="Cuerpodeltexto">
    <w:name w:val="Cuerpo del texto_"/>
    <w:link w:val="Cuerpodeltexto0"/>
    <w:rsid w:val="00051507"/>
    <w:rPr>
      <w:sz w:val="24"/>
      <w:szCs w:val="24"/>
      <w:shd w:val="clear" w:color="auto" w:fill="FFFFFF"/>
    </w:rPr>
  </w:style>
  <w:style w:type="paragraph" w:customStyle="1" w:styleId="Cuerpodeltexto0">
    <w:name w:val="Cuerpo del texto"/>
    <w:basedOn w:val="Normal"/>
    <w:link w:val="Cuerpodeltexto"/>
    <w:rsid w:val="00051507"/>
    <w:pPr>
      <w:shd w:val="clear" w:color="auto" w:fill="FFFFFF"/>
      <w:spacing w:line="281" w:lineRule="exact"/>
      <w:ind w:hanging="360"/>
    </w:pPr>
    <w:rPr>
      <w:rFonts w:asciiTheme="minorHAnsi" w:eastAsiaTheme="minorHAnsi" w:hAnsiTheme="minorHAnsi" w:cstheme="minorBidi"/>
      <w:color w:val="auto"/>
      <w:sz w:val="24"/>
      <w:szCs w:val="24"/>
      <w:lang w:val="es-AR"/>
    </w:rPr>
  </w:style>
  <w:style w:type="paragraph" w:customStyle="1" w:styleId="TtuloTDC1">
    <w:name w:val="Título TDC1"/>
    <w:basedOn w:val="Ttulo1"/>
    <w:next w:val="Normal"/>
    <w:uiPriority w:val="39"/>
    <w:unhideWhenUsed/>
    <w:qFormat/>
    <w:rsid w:val="00051507"/>
    <w:pPr>
      <w:spacing w:before="480" w:line="276" w:lineRule="auto"/>
      <w:outlineLvl w:val="9"/>
    </w:pPr>
    <w:rPr>
      <w:rFonts w:ascii="Cambria" w:eastAsia="Times New Roman" w:hAnsi="Cambria" w:cs="Times New Roman"/>
      <w:b/>
      <w:bCs/>
      <w:color w:val="365F91"/>
      <w:sz w:val="28"/>
      <w:szCs w:val="28"/>
      <w:lang w:val="es-AR" w:eastAsia="es-AR"/>
    </w:rPr>
  </w:style>
  <w:style w:type="paragraph" w:customStyle="1" w:styleId="TDC21">
    <w:name w:val="TDC 21"/>
    <w:basedOn w:val="Normal"/>
    <w:next w:val="Normal"/>
    <w:autoRedefine/>
    <w:uiPriority w:val="39"/>
    <w:unhideWhenUsed/>
    <w:qFormat/>
    <w:rsid w:val="00051507"/>
    <w:pPr>
      <w:spacing w:after="100" w:line="276" w:lineRule="auto"/>
      <w:ind w:left="220"/>
    </w:pPr>
    <w:rPr>
      <w:rFonts w:ascii="Calibri" w:eastAsia="Times New Roman" w:hAnsi="Calibri" w:cs="Times New Roman"/>
      <w:color w:val="auto"/>
      <w:sz w:val="22"/>
      <w:szCs w:val="22"/>
      <w:lang w:val="es-AR" w:eastAsia="es-AR"/>
    </w:rPr>
  </w:style>
  <w:style w:type="paragraph" w:customStyle="1" w:styleId="Descripcin1">
    <w:name w:val="Descripción1"/>
    <w:basedOn w:val="Normal"/>
    <w:next w:val="Normal"/>
    <w:unhideWhenUsed/>
    <w:qFormat/>
    <w:rsid w:val="00051507"/>
    <w:pPr>
      <w:spacing w:after="200"/>
    </w:pPr>
    <w:rPr>
      <w:rFonts w:ascii="Calibri" w:eastAsia="Calibri" w:hAnsi="Calibri" w:cs="Times New Roman"/>
      <w:b/>
      <w:bCs/>
      <w:color w:val="4F81BD"/>
      <w:sz w:val="18"/>
      <w:szCs w:val="18"/>
      <w:lang w:val="es-AR"/>
    </w:rPr>
  </w:style>
  <w:style w:type="paragraph" w:customStyle="1" w:styleId="TDC31">
    <w:name w:val="TDC 31"/>
    <w:basedOn w:val="Normal"/>
    <w:next w:val="Normal"/>
    <w:autoRedefine/>
    <w:uiPriority w:val="39"/>
    <w:unhideWhenUsed/>
    <w:qFormat/>
    <w:rsid w:val="00051507"/>
    <w:pPr>
      <w:spacing w:after="100" w:line="276" w:lineRule="auto"/>
      <w:ind w:left="440"/>
    </w:pPr>
    <w:rPr>
      <w:rFonts w:ascii="Calibri" w:eastAsia="Times New Roman" w:hAnsi="Calibri" w:cs="Times New Roman"/>
      <w:color w:val="auto"/>
      <w:sz w:val="22"/>
      <w:szCs w:val="22"/>
      <w:lang w:val="es-AR" w:eastAsia="es-AR"/>
    </w:rPr>
  </w:style>
  <w:style w:type="character" w:customStyle="1" w:styleId="Hipervnculovisitado1">
    <w:name w:val="Hipervínculo visitado1"/>
    <w:uiPriority w:val="99"/>
    <w:semiHidden/>
    <w:unhideWhenUsed/>
    <w:rsid w:val="00051507"/>
    <w:rPr>
      <w:color w:val="800080"/>
      <w:u w:val="single"/>
    </w:rPr>
  </w:style>
  <w:style w:type="numbering" w:customStyle="1" w:styleId="PwCListBullets11">
    <w:name w:val="PwC List Bullets 11"/>
    <w:uiPriority w:val="99"/>
    <w:rsid w:val="00051507"/>
  </w:style>
  <w:style w:type="character" w:customStyle="1" w:styleId="A9">
    <w:name w:val="A9"/>
    <w:uiPriority w:val="99"/>
    <w:rsid w:val="00051507"/>
    <w:rPr>
      <w:rFonts w:cs="HelveticaNeueLT Std"/>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72532">
      <w:bodyDiv w:val="1"/>
      <w:marLeft w:val="0"/>
      <w:marRight w:val="0"/>
      <w:marTop w:val="0"/>
      <w:marBottom w:val="0"/>
      <w:divBdr>
        <w:top w:val="none" w:sz="0" w:space="0" w:color="auto"/>
        <w:left w:val="none" w:sz="0" w:space="0" w:color="auto"/>
        <w:bottom w:val="none" w:sz="0" w:space="0" w:color="auto"/>
        <w:right w:val="none" w:sz="0" w:space="0" w:color="auto"/>
      </w:divBdr>
    </w:div>
    <w:div w:id="167911120">
      <w:bodyDiv w:val="1"/>
      <w:marLeft w:val="0"/>
      <w:marRight w:val="0"/>
      <w:marTop w:val="0"/>
      <w:marBottom w:val="0"/>
      <w:divBdr>
        <w:top w:val="none" w:sz="0" w:space="0" w:color="auto"/>
        <w:left w:val="none" w:sz="0" w:space="0" w:color="auto"/>
        <w:bottom w:val="none" w:sz="0" w:space="0" w:color="auto"/>
        <w:right w:val="none" w:sz="0" w:space="0" w:color="auto"/>
      </w:divBdr>
    </w:div>
    <w:div w:id="169757691">
      <w:bodyDiv w:val="1"/>
      <w:marLeft w:val="0"/>
      <w:marRight w:val="0"/>
      <w:marTop w:val="0"/>
      <w:marBottom w:val="0"/>
      <w:divBdr>
        <w:top w:val="none" w:sz="0" w:space="0" w:color="auto"/>
        <w:left w:val="none" w:sz="0" w:space="0" w:color="auto"/>
        <w:bottom w:val="none" w:sz="0" w:space="0" w:color="auto"/>
        <w:right w:val="none" w:sz="0" w:space="0" w:color="auto"/>
      </w:divBdr>
    </w:div>
    <w:div w:id="194121913">
      <w:bodyDiv w:val="1"/>
      <w:marLeft w:val="0"/>
      <w:marRight w:val="0"/>
      <w:marTop w:val="0"/>
      <w:marBottom w:val="0"/>
      <w:divBdr>
        <w:top w:val="none" w:sz="0" w:space="0" w:color="auto"/>
        <w:left w:val="none" w:sz="0" w:space="0" w:color="auto"/>
        <w:bottom w:val="none" w:sz="0" w:space="0" w:color="auto"/>
        <w:right w:val="none" w:sz="0" w:space="0" w:color="auto"/>
      </w:divBdr>
    </w:div>
    <w:div w:id="298193766">
      <w:bodyDiv w:val="1"/>
      <w:marLeft w:val="0"/>
      <w:marRight w:val="0"/>
      <w:marTop w:val="0"/>
      <w:marBottom w:val="0"/>
      <w:divBdr>
        <w:top w:val="none" w:sz="0" w:space="0" w:color="auto"/>
        <w:left w:val="none" w:sz="0" w:space="0" w:color="auto"/>
        <w:bottom w:val="none" w:sz="0" w:space="0" w:color="auto"/>
        <w:right w:val="none" w:sz="0" w:space="0" w:color="auto"/>
      </w:divBdr>
    </w:div>
    <w:div w:id="311833060">
      <w:bodyDiv w:val="1"/>
      <w:marLeft w:val="0"/>
      <w:marRight w:val="0"/>
      <w:marTop w:val="0"/>
      <w:marBottom w:val="0"/>
      <w:divBdr>
        <w:top w:val="none" w:sz="0" w:space="0" w:color="auto"/>
        <w:left w:val="none" w:sz="0" w:space="0" w:color="auto"/>
        <w:bottom w:val="none" w:sz="0" w:space="0" w:color="auto"/>
        <w:right w:val="none" w:sz="0" w:space="0" w:color="auto"/>
      </w:divBdr>
    </w:div>
    <w:div w:id="456532108">
      <w:bodyDiv w:val="1"/>
      <w:marLeft w:val="0"/>
      <w:marRight w:val="0"/>
      <w:marTop w:val="0"/>
      <w:marBottom w:val="0"/>
      <w:divBdr>
        <w:top w:val="none" w:sz="0" w:space="0" w:color="auto"/>
        <w:left w:val="none" w:sz="0" w:space="0" w:color="auto"/>
        <w:bottom w:val="none" w:sz="0" w:space="0" w:color="auto"/>
        <w:right w:val="none" w:sz="0" w:space="0" w:color="auto"/>
      </w:divBdr>
    </w:div>
    <w:div w:id="523252545">
      <w:bodyDiv w:val="1"/>
      <w:marLeft w:val="0"/>
      <w:marRight w:val="0"/>
      <w:marTop w:val="0"/>
      <w:marBottom w:val="0"/>
      <w:divBdr>
        <w:top w:val="none" w:sz="0" w:space="0" w:color="auto"/>
        <w:left w:val="none" w:sz="0" w:space="0" w:color="auto"/>
        <w:bottom w:val="none" w:sz="0" w:space="0" w:color="auto"/>
        <w:right w:val="none" w:sz="0" w:space="0" w:color="auto"/>
      </w:divBdr>
    </w:div>
    <w:div w:id="589702734">
      <w:bodyDiv w:val="1"/>
      <w:marLeft w:val="0"/>
      <w:marRight w:val="0"/>
      <w:marTop w:val="0"/>
      <w:marBottom w:val="0"/>
      <w:divBdr>
        <w:top w:val="none" w:sz="0" w:space="0" w:color="auto"/>
        <w:left w:val="none" w:sz="0" w:space="0" w:color="auto"/>
        <w:bottom w:val="none" w:sz="0" w:space="0" w:color="auto"/>
        <w:right w:val="none" w:sz="0" w:space="0" w:color="auto"/>
      </w:divBdr>
    </w:div>
    <w:div w:id="618101785">
      <w:bodyDiv w:val="1"/>
      <w:marLeft w:val="0"/>
      <w:marRight w:val="0"/>
      <w:marTop w:val="0"/>
      <w:marBottom w:val="0"/>
      <w:divBdr>
        <w:top w:val="none" w:sz="0" w:space="0" w:color="auto"/>
        <w:left w:val="none" w:sz="0" w:space="0" w:color="auto"/>
        <w:bottom w:val="none" w:sz="0" w:space="0" w:color="auto"/>
        <w:right w:val="none" w:sz="0" w:space="0" w:color="auto"/>
      </w:divBdr>
    </w:div>
    <w:div w:id="642201283">
      <w:bodyDiv w:val="1"/>
      <w:marLeft w:val="0"/>
      <w:marRight w:val="0"/>
      <w:marTop w:val="0"/>
      <w:marBottom w:val="0"/>
      <w:divBdr>
        <w:top w:val="none" w:sz="0" w:space="0" w:color="auto"/>
        <w:left w:val="none" w:sz="0" w:space="0" w:color="auto"/>
        <w:bottom w:val="none" w:sz="0" w:space="0" w:color="auto"/>
        <w:right w:val="none" w:sz="0" w:space="0" w:color="auto"/>
      </w:divBdr>
    </w:div>
    <w:div w:id="923219252">
      <w:bodyDiv w:val="1"/>
      <w:marLeft w:val="0"/>
      <w:marRight w:val="0"/>
      <w:marTop w:val="0"/>
      <w:marBottom w:val="0"/>
      <w:divBdr>
        <w:top w:val="none" w:sz="0" w:space="0" w:color="auto"/>
        <w:left w:val="none" w:sz="0" w:space="0" w:color="auto"/>
        <w:bottom w:val="none" w:sz="0" w:space="0" w:color="auto"/>
        <w:right w:val="none" w:sz="0" w:space="0" w:color="auto"/>
      </w:divBdr>
    </w:div>
    <w:div w:id="923487772">
      <w:bodyDiv w:val="1"/>
      <w:marLeft w:val="0"/>
      <w:marRight w:val="0"/>
      <w:marTop w:val="0"/>
      <w:marBottom w:val="0"/>
      <w:divBdr>
        <w:top w:val="none" w:sz="0" w:space="0" w:color="auto"/>
        <w:left w:val="none" w:sz="0" w:space="0" w:color="auto"/>
        <w:bottom w:val="none" w:sz="0" w:space="0" w:color="auto"/>
        <w:right w:val="none" w:sz="0" w:space="0" w:color="auto"/>
      </w:divBdr>
    </w:div>
    <w:div w:id="1127044309">
      <w:bodyDiv w:val="1"/>
      <w:marLeft w:val="0"/>
      <w:marRight w:val="0"/>
      <w:marTop w:val="0"/>
      <w:marBottom w:val="0"/>
      <w:divBdr>
        <w:top w:val="none" w:sz="0" w:space="0" w:color="auto"/>
        <w:left w:val="none" w:sz="0" w:space="0" w:color="auto"/>
        <w:bottom w:val="none" w:sz="0" w:space="0" w:color="auto"/>
        <w:right w:val="none" w:sz="0" w:space="0" w:color="auto"/>
      </w:divBdr>
    </w:div>
    <w:div w:id="1176502900">
      <w:bodyDiv w:val="1"/>
      <w:marLeft w:val="0"/>
      <w:marRight w:val="0"/>
      <w:marTop w:val="0"/>
      <w:marBottom w:val="0"/>
      <w:divBdr>
        <w:top w:val="none" w:sz="0" w:space="0" w:color="auto"/>
        <w:left w:val="none" w:sz="0" w:space="0" w:color="auto"/>
        <w:bottom w:val="none" w:sz="0" w:space="0" w:color="auto"/>
        <w:right w:val="none" w:sz="0" w:space="0" w:color="auto"/>
      </w:divBdr>
    </w:div>
    <w:div w:id="1235361922">
      <w:bodyDiv w:val="1"/>
      <w:marLeft w:val="0"/>
      <w:marRight w:val="0"/>
      <w:marTop w:val="0"/>
      <w:marBottom w:val="0"/>
      <w:divBdr>
        <w:top w:val="none" w:sz="0" w:space="0" w:color="auto"/>
        <w:left w:val="none" w:sz="0" w:space="0" w:color="auto"/>
        <w:bottom w:val="none" w:sz="0" w:space="0" w:color="auto"/>
        <w:right w:val="none" w:sz="0" w:space="0" w:color="auto"/>
      </w:divBdr>
    </w:div>
    <w:div w:id="1320813587">
      <w:bodyDiv w:val="1"/>
      <w:marLeft w:val="0"/>
      <w:marRight w:val="0"/>
      <w:marTop w:val="0"/>
      <w:marBottom w:val="0"/>
      <w:divBdr>
        <w:top w:val="none" w:sz="0" w:space="0" w:color="auto"/>
        <w:left w:val="none" w:sz="0" w:space="0" w:color="auto"/>
        <w:bottom w:val="none" w:sz="0" w:space="0" w:color="auto"/>
        <w:right w:val="none" w:sz="0" w:space="0" w:color="auto"/>
      </w:divBdr>
    </w:div>
    <w:div w:id="1722099698">
      <w:bodyDiv w:val="1"/>
      <w:marLeft w:val="0"/>
      <w:marRight w:val="0"/>
      <w:marTop w:val="0"/>
      <w:marBottom w:val="0"/>
      <w:divBdr>
        <w:top w:val="none" w:sz="0" w:space="0" w:color="auto"/>
        <w:left w:val="none" w:sz="0" w:space="0" w:color="auto"/>
        <w:bottom w:val="none" w:sz="0" w:space="0" w:color="auto"/>
        <w:right w:val="none" w:sz="0" w:space="0" w:color="auto"/>
      </w:divBdr>
    </w:div>
    <w:div w:id="1735813283">
      <w:bodyDiv w:val="1"/>
      <w:marLeft w:val="0"/>
      <w:marRight w:val="0"/>
      <w:marTop w:val="0"/>
      <w:marBottom w:val="0"/>
      <w:divBdr>
        <w:top w:val="none" w:sz="0" w:space="0" w:color="auto"/>
        <w:left w:val="none" w:sz="0" w:space="0" w:color="auto"/>
        <w:bottom w:val="none" w:sz="0" w:space="0" w:color="auto"/>
        <w:right w:val="none" w:sz="0" w:space="0" w:color="auto"/>
      </w:divBdr>
    </w:div>
    <w:div w:id="1882744149">
      <w:bodyDiv w:val="1"/>
      <w:marLeft w:val="0"/>
      <w:marRight w:val="0"/>
      <w:marTop w:val="0"/>
      <w:marBottom w:val="0"/>
      <w:divBdr>
        <w:top w:val="none" w:sz="0" w:space="0" w:color="auto"/>
        <w:left w:val="none" w:sz="0" w:space="0" w:color="auto"/>
        <w:bottom w:val="none" w:sz="0" w:space="0" w:color="auto"/>
        <w:right w:val="none" w:sz="0" w:space="0" w:color="auto"/>
      </w:divBdr>
    </w:div>
    <w:div w:id="200076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ntTable" Target="fontTable.xml"/><Relationship Id="rId21" Type="http://schemas.openxmlformats.org/officeDocument/2006/relationships/image" Target="media/image12.png"/><Relationship Id="rId34" Type="http://schemas.openxmlformats.org/officeDocument/2006/relationships/hyperlink" Target="http://www.albanesi.com.ar/linea-etica.php"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www.albanesi.com.ar/programa-integridad.php"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5.png"/><Relationship Id="rId10" Type="http://schemas.openxmlformats.org/officeDocument/2006/relationships/chart" Target="charts/chart2.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4.png"/><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rga\DiscoH\Grupo%20Albanesi\Contabilidad\Trimestrales%20-%20Anuales\Generadoras\2021\Anual%2012-2021\Memorias\Informacion%20macro\Grafico%20inflaci&#243;n%202021%20(Actualizar).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7742080731287903"/>
          <c:y val="3.111111111111111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lineChart>
        <c:grouping val="standard"/>
        <c:varyColors val="0"/>
        <c:ser>
          <c:idx val="0"/>
          <c:order val="0"/>
          <c:tx>
            <c:strRef>
              <c:f>PBI!$D$9</c:f>
              <c:strCache>
                <c:ptCount val="1"/>
                <c:pt idx="0">
                  <c:v>PBI argentina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PBI!$E$8:$N$8</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PBI!$E$9:$N$9</c:f>
              <c:numCache>
                <c:formatCode>General</c:formatCode>
                <c:ptCount val="10"/>
                <c:pt idx="0">
                  <c:v>-1</c:v>
                </c:pt>
                <c:pt idx="1">
                  <c:v>2.4</c:v>
                </c:pt>
                <c:pt idx="2">
                  <c:v>-2.5</c:v>
                </c:pt>
                <c:pt idx="3">
                  <c:v>2.7</c:v>
                </c:pt>
                <c:pt idx="4">
                  <c:v>-2.1</c:v>
                </c:pt>
                <c:pt idx="5">
                  <c:v>2.8</c:v>
                </c:pt>
                <c:pt idx="6">
                  <c:v>-2.6</c:v>
                </c:pt>
                <c:pt idx="7">
                  <c:v>-2.1</c:v>
                </c:pt>
                <c:pt idx="8">
                  <c:v>-9.9</c:v>
                </c:pt>
                <c:pt idx="9">
                  <c:v>10</c:v>
                </c:pt>
              </c:numCache>
            </c:numRef>
          </c:val>
          <c:smooth val="0"/>
          <c:extLst>
            <c:ext xmlns:c16="http://schemas.microsoft.com/office/drawing/2014/chart" uri="{C3380CC4-5D6E-409C-BE32-E72D297353CC}">
              <c16:uniqueId val="{00000000-6C5B-4D7C-B49E-6F9B44EAE7CA}"/>
            </c:ext>
          </c:extLst>
        </c:ser>
        <c:dLbls>
          <c:showLegendKey val="0"/>
          <c:showVal val="0"/>
          <c:showCatName val="0"/>
          <c:showSerName val="0"/>
          <c:showPercent val="0"/>
          <c:showBubbleSize val="0"/>
        </c:dLbls>
        <c:marker val="1"/>
        <c:smooth val="0"/>
        <c:axId val="1534552832"/>
        <c:axId val="1534553248"/>
      </c:lineChart>
      <c:catAx>
        <c:axId val="153455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534553248"/>
        <c:crosses val="autoZero"/>
        <c:auto val="1"/>
        <c:lblAlgn val="ctr"/>
        <c:lblOffset val="100"/>
        <c:noMultiLvlLbl val="0"/>
      </c:catAx>
      <c:valAx>
        <c:axId val="1534553248"/>
        <c:scaling>
          <c:orientation val="minMax"/>
          <c:min val="-1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534552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725"/>
          <c:y val="0.04"/>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IPC!$D$3</c:f>
              <c:strCache>
                <c:ptCount val="1"/>
                <c:pt idx="0">
                  <c:v>Inflación (IPC)</c:v>
                </c:pt>
              </c:strCache>
            </c:strRef>
          </c:tx>
          <c:spPr>
            <a:solidFill>
              <a:schemeClr val="accent1"/>
            </a:solidFill>
            <a:ln>
              <a:noFill/>
            </a:ln>
            <a:effectLst/>
          </c:spPr>
          <c:invertIfNegative val="0"/>
          <c:cat>
            <c:numRef>
              <c:f>IPC!$C$4:$C$8</c:f>
              <c:numCache>
                <c:formatCode>General</c:formatCode>
                <c:ptCount val="5"/>
                <c:pt idx="0">
                  <c:v>2017</c:v>
                </c:pt>
                <c:pt idx="1">
                  <c:v>2018</c:v>
                </c:pt>
                <c:pt idx="2">
                  <c:v>2019</c:v>
                </c:pt>
                <c:pt idx="3">
                  <c:v>2020</c:v>
                </c:pt>
                <c:pt idx="4">
                  <c:v>2021</c:v>
                </c:pt>
              </c:numCache>
            </c:numRef>
          </c:cat>
          <c:val>
            <c:numRef>
              <c:f>IPC!$D$4:$D$8</c:f>
              <c:numCache>
                <c:formatCode>0.0%</c:formatCode>
                <c:ptCount val="5"/>
                <c:pt idx="0">
                  <c:v>0.24795599999999984</c:v>
                </c:pt>
                <c:pt idx="1">
                  <c:v>0.4764559006888065</c:v>
                </c:pt>
                <c:pt idx="2">
                  <c:v>0.5383240201633388</c:v>
                </c:pt>
                <c:pt idx="3">
                  <c:v>0.36140587812345415</c:v>
                </c:pt>
                <c:pt idx="4">
                  <c:v>0.5089999999999999</c:v>
                </c:pt>
              </c:numCache>
            </c:numRef>
          </c:val>
          <c:extLst>
            <c:ext xmlns:c16="http://schemas.microsoft.com/office/drawing/2014/chart" uri="{C3380CC4-5D6E-409C-BE32-E72D297353CC}">
              <c16:uniqueId val="{00000000-547F-4F3C-9C6F-8D9A7F37427C}"/>
            </c:ext>
          </c:extLst>
        </c:ser>
        <c:dLbls>
          <c:showLegendKey val="0"/>
          <c:showVal val="0"/>
          <c:showCatName val="0"/>
          <c:showSerName val="0"/>
          <c:showPercent val="0"/>
          <c:showBubbleSize val="0"/>
        </c:dLbls>
        <c:gapWidth val="150"/>
        <c:axId val="1800814560"/>
        <c:axId val="1800799168"/>
      </c:barChart>
      <c:catAx>
        <c:axId val="180081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800799168"/>
        <c:crosses val="autoZero"/>
        <c:auto val="1"/>
        <c:lblAlgn val="ctr"/>
        <c:lblOffset val="100"/>
        <c:noMultiLvlLbl val="0"/>
      </c:catAx>
      <c:valAx>
        <c:axId val="1800799168"/>
        <c:scaling>
          <c:orientation val="minMax"/>
          <c:min val="0.1500000000000000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800814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937C4-0E26-48C8-BAEA-6C3C293CA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14582</Words>
  <Characters>80201</Characters>
  <Application>Microsoft Office Word</Application>
  <DocSecurity>0</DocSecurity>
  <Lines>668</Lines>
  <Paragraphs>189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Soledad Baratta</dc:creator>
  <cp:keywords/>
  <dc:description/>
  <cp:lastModifiedBy>Soledad Baratta</cp:lastModifiedBy>
  <cp:revision>2</cp:revision>
  <cp:lastPrinted>2021-03-16T15:43:00Z</cp:lastPrinted>
  <dcterms:created xsi:type="dcterms:W3CDTF">2022-03-10T15:31:00Z</dcterms:created>
  <dcterms:modified xsi:type="dcterms:W3CDTF">2022-03-10T15:31:00Z</dcterms:modified>
</cp:coreProperties>
</file>