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4F278" w14:textId="6863CF4F" w:rsidR="00C63F84" w:rsidRPr="00A371FB" w:rsidRDefault="00F927BF" w:rsidP="006B1FB8">
      <w:pPr>
        <w:jc w:val="center"/>
        <w:rPr>
          <w:rFonts w:ascii="Times New Roman" w:hAnsi="Times New Roman"/>
          <w:b/>
          <w:sz w:val="22"/>
          <w:szCs w:val="22"/>
          <w:u w:val="single"/>
        </w:rPr>
      </w:pPr>
      <w:r>
        <w:rPr>
          <w:noProof/>
        </w:rPr>
        <w:drawing>
          <wp:inline distT="0" distB="0" distL="0" distR="0" wp14:anchorId="5814EB8E" wp14:editId="359D88F8">
            <wp:extent cx="2689225" cy="729615"/>
            <wp:effectExtent l="0" t="0" r="0" b="0"/>
            <wp:docPr id="2" name="Picture 1" descr="Logo CT Roca - Alta"/>
            <wp:cNvGraphicFramePr/>
            <a:graphic xmlns:a="http://schemas.openxmlformats.org/drawingml/2006/main">
              <a:graphicData uri="http://schemas.openxmlformats.org/drawingml/2006/picture">
                <pic:pic xmlns:pic="http://schemas.openxmlformats.org/drawingml/2006/picture">
                  <pic:nvPicPr>
                    <pic:cNvPr id="1" name="Picture 1" descr="Logo CT Roca - Alta"/>
                    <pic:cNvPicPr/>
                  </pic:nvPicPr>
                  <pic:blipFill rotWithShape="1">
                    <a:blip r:embed="rId8" cstate="print">
                      <a:extLst>
                        <a:ext uri="{28A0092B-C50C-407E-A947-70E740481C1C}">
                          <a14:useLocalDpi xmlns:a14="http://schemas.microsoft.com/office/drawing/2010/main" val="0"/>
                        </a:ext>
                      </a:extLst>
                    </a:blip>
                    <a:srcRect t="-1" b="7510"/>
                    <a:stretch/>
                  </pic:blipFill>
                  <pic:spPr bwMode="auto">
                    <a:xfrm>
                      <a:off x="0" y="0"/>
                      <a:ext cx="2689225" cy="729615"/>
                    </a:xfrm>
                    <a:prstGeom prst="rect">
                      <a:avLst/>
                    </a:prstGeom>
                    <a:noFill/>
                    <a:ln>
                      <a:noFill/>
                    </a:ln>
                    <a:extLst>
                      <a:ext uri="{53640926-AAD7-44D8-BBD7-CCE9431645EC}">
                        <a14:shadowObscured xmlns:a14="http://schemas.microsoft.com/office/drawing/2010/main"/>
                      </a:ext>
                    </a:extLst>
                  </pic:spPr>
                </pic:pic>
              </a:graphicData>
            </a:graphic>
          </wp:inline>
        </w:drawing>
      </w:r>
    </w:p>
    <w:p w14:paraId="3766E36A" w14:textId="77777777" w:rsidR="00C63F84" w:rsidRPr="00A371FB" w:rsidRDefault="00C63F84" w:rsidP="006B1FB8">
      <w:pPr>
        <w:jc w:val="center"/>
        <w:rPr>
          <w:rFonts w:ascii="Times New Roman" w:hAnsi="Times New Roman"/>
          <w:b/>
          <w:sz w:val="22"/>
          <w:szCs w:val="22"/>
          <w:u w:val="single"/>
        </w:rPr>
      </w:pPr>
    </w:p>
    <w:p w14:paraId="36B2B38C" w14:textId="29B6BA81" w:rsidR="00C63F84" w:rsidRPr="00A371FB" w:rsidRDefault="00C63F84" w:rsidP="00C63F84">
      <w:pPr>
        <w:jc w:val="both"/>
        <w:rPr>
          <w:rFonts w:ascii="Times New Roman" w:hAnsi="Times New Roman"/>
          <w:b/>
          <w:bCs/>
          <w:sz w:val="22"/>
          <w:szCs w:val="22"/>
          <w:u w:val="single"/>
        </w:rPr>
      </w:pPr>
      <w:r w:rsidRPr="00A371FB">
        <w:rPr>
          <w:rFonts w:ascii="Times New Roman" w:hAnsi="Times New Roman"/>
          <w:b/>
          <w:bCs/>
          <w:sz w:val="22"/>
          <w:szCs w:val="22"/>
          <w:u w:val="single"/>
        </w:rPr>
        <w:t>ACTA DE DIRECTORIO</w:t>
      </w:r>
    </w:p>
    <w:p w14:paraId="06CC9D4E" w14:textId="1EBB01CC" w:rsidR="00C63F84" w:rsidRPr="00A371FB" w:rsidRDefault="00C63F84" w:rsidP="00C63F84">
      <w:pPr>
        <w:jc w:val="both"/>
        <w:rPr>
          <w:rFonts w:ascii="Times New Roman" w:hAnsi="Times New Roman"/>
          <w:b/>
          <w:sz w:val="22"/>
          <w:szCs w:val="22"/>
          <w:u w:val="single"/>
        </w:rPr>
      </w:pPr>
      <w:r w:rsidRPr="00A371FB">
        <w:rPr>
          <w:rFonts w:ascii="Times New Roman" w:hAnsi="Times New Roman"/>
          <w:sz w:val="22"/>
          <w:szCs w:val="22"/>
        </w:rPr>
        <w:t xml:space="preserve">En la Ciudad Autónoma de Buenos Aires, a los 09 días del mes de marzo de 2023, siendo las 09:30, se reúnen por videoconferencia de acuerdo con lo establecido en el artículo séptimo del Estatuto, los miembros del Directorio de </w:t>
      </w:r>
      <w:r w:rsidRPr="00A371FB">
        <w:rPr>
          <w:rFonts w:ascii="Times New Roman" w:hAnsi="Times New Roman"/>
          <w:b/>
          <w:bCs/>
          <w:sz w:val="22"/>
          <w:szCs w:val="22"/>
        </w:rPr>
        <w:t>CENTRAL TÉRMICA ROCA S.A.</w:t>
      </w:r>
      <w:r w:rsidRPr="00A371FB">
        <w:rPr>
          <w:rFonts w:ascii="Times New Roman" w:hAnsi="Times New Roman"/>
          <w:sz w:val="22"/>
          <w:szCs w:val="22"/>
        </w:rPr>
        <w:t xml:space="preserve"> (en adelante, la “Sociedad”), cuyos nombres figuran al pie de la presente. Asisten mediante videoconferencia, los siguientes miembros del Directorio: Armando Losón (h), María Eleonora Bauzas, Roque Antonio Villa, Guillermo G. Brun, y Julián P. Sarti. Asiste también por videoconferencia a la reunión el Síndico Titular, Dr. Marcelo Pablo Lerner en representación de la Comisión Fiscalizadora. Preside la reunión el Sr. Armando Losón (h), quien manifiesta que la presente reunión será celebrada de manera no presencial por medio de la aplicación Microsoft Teams, conforme los requisitos establecidos en el Estatuto y conforme la normativa vigente</w:t>
      </w:r>
      <w:r w:rsidR="00A371FB" w:rsidRPr="00A371FB">
        <w:rPr>
          <w:rFonts w:ascii="Times New Roman" w:hAnsi="Times New Roman"/>
          <w:sz w:val="22"/>
          <w:szCs w:val="22"/>
        </w:rPr>
        <w:t xml:space="preserve">Pasa a considerarse, el primer punto del Orden del Día: 1) </w:t>
      </w:r>
      <w:r w:rsidR="00A371FB" w:rsidRPr="004A538C">
        <w:rPr>
          <w:rFonts w:ascii="Times New Roman" w:hAnsi="Times New Roman"/>
          <w:b/>
          <w:bCs/>
          <w:sz w:val="22"/>
          <w:szCs w:val="22"/>
          <w:u w:val="single"/>
        </w:rPr>
        <w:t>Consideración de la documentación por el ejercicio económico de la Sociedad, cerrado al 31 de diciembre de 2022.</w:t>
      </w:r>
      <w:r w:rsidR="00A371FB" w:rsidRPr="004A538C">
        <w:rPr>
          <w:rFonts w:ascii="Times New Roman" w:hAnsi="Times New Roman"/>
          <w:sz w:val="22"/>
          <w:szCs w:val="22"/>
        </w:rPr>
        <w:t xml:space="preserve"> En tal sentido, expresa el Sr. Presidente que, atento a que dicha documentación obra en poder de los señores Directores con anticipación suficiente a esta reunión y no habiéndose formulado ninguna objeción a la misma hasta el presente, propone se la tenga por leída y aprobada. Sometida la moción a votación, el Directorio </w:t>
      </w:r>
      <w:r w:rsidR="00A371FB" w:rsidRPr="004A538C">
        <w:rPr>
          <w:rFonts w:ascii="Times New Roman" w:hAnsi="Times New Roman"/>
          <w:b/>
          <w:bCs/>
          <w:sz w:val="22"/>
          <w:szCs w:val="22"/>
          <w:u w:val="single"/>
        </w:rPr>
        <w:t>RESUELVE</w:t>
      </w:r>
      <w:r w:rsidR="00A371FB" w:rsidRPr="004A538C">
        <w:rPr>
          <w:rFonts w:ascii="Times New Roman" w:hAnsi="Times New Roman"/>
          <w:sz w:val="22"/>
          <w:szCs w:val="22"/>
        </w:rPr>
        <w:t xml:space="preserve"> aprobar por unanimidad de los presentes los siguientes elementos: a) la </w:t>
      </w:r>
      <w:r w:rsidR="00A371FB" w:rsidRPr="004A538C">
        <w:rPr>
          <w:rFonts w:ascii="Times New Roman" w:hAnsi="Times New Roman"/>
          <w:bCs/>
          <w:sz w:val="22"/>
          <w:szCs w:val="22"/>
        </w:rPr>
        <w:t>Memoria, que se transcribe a continuación</w:t>
      </w:r>
      <w:r w:rsidR="00A371FB">
        <w:rPr>
          <w:rFonts w:ascii="Times New Roman" w:hAnsi="Times New Roman"/>
          <w:bCs/>
          <w:sz w:val="22"/>
          <w:szCs w:val="22"/>
        </w:rPr>
        <w:t>:</w:t>
      </w:r>
    </w:p>
    <w:p w14:paraId="1DD9A740" w14:textId="77777777" w:rsidR="00C63F84" w:rsidRPr="00A371FB" w:rsidRDefault="00C63F84" w:rsidP="006B1FB8">
      <w:pPr>
        <w:jc w:val="center"/>
        <w:rPr>
          <w:rFonts w:ascii="Times New Roman" w:hAnsi="Times New Roman"/>
          <w:b/>
          <w:sz w:val="22"/>
          <w:szCs w:val="22"/>
          <w:u w:val="single"/>
        </w:rPr>
      </w:pPr>
    </w:p>
    <w:p w14:paraId="79330474" w14:textId="72BB7DE5" w:rsidR="000459D1" w:rsidRPr="00A371FB" w:rsidRDefault="000459D1" w:rsidP="006B1FB8">
      <w:pPr>
        <w:jc w:val="center"/>
        <w:rPr>
          <w:rFonts w:ascii="Times New Roman" w:hAnsi="Times New Roman"/>
          <w:b/>
          <w:sz w:val="22"/>
          <w:szCs w:val="22"/>
          <w:u w:val="single"/>
        </w:rPr>
      </w:pPr>
      <w:r w:rsidRPr="00A371FB">
        <w:rPr>
          <w:rFonts w:ascii="Times New Roman" w:hAnsi="Times New Roman"/>
          <w:b/>
          <w:sz w:val="22"/>
          <w:szCs w:val="22"/>
          <w:u w:val="single"/>
        </w:rPr>
        <w:t>Memoria Ejercicio 2</w:t>
      </w:r>
      <w:r w:rsidR="00BB14D3" w:rsidRPr="00A371FB">
        <w:rPr>
          <w:rFonts w:ascii="Times New Roman" w:hAnsi="Times New Roman"/>
          <w:b/>
          <w:sz w:val="22"/>
          <w:szCs w:val="22"/>
          <w:u w:val="single"/>
        </w:rPr>
        <w:t>02</w:t>
      </w:r>
      <w:r w:rsidR="000834D5" w:rsidRPr="00A371FB">
        <w:rPr>
          <w:rFonts w:ascii="Times New Roman" w:hAnsi="Times New Roman"/>
          <w:b/>
          <w:sz w:val="22"/>
          <w:szCs w:val="22"/>
          <w:u w:val="single"/>
        </w:rPr>
        <w:t>2</w:t>
      </w:r>
    </w:p>
    <w:p w14:paraId="44B216BC" w14:textId="77777777" w:rsidR="000459D1" w:rsidRPr="00A371FB" w:rsidRDefault="000459D1" w:rsidP="00F65DA0">
      <w:pPr>
        <w:spacing w:after="100" w:afterAutospacing="1" w:line="240" w:lineRule="exact"/>
        <w:jc w:val="both"/>
        <w:rPr>
          <w:rFonts w:ascii="Times New Roman" w:hAnsi="Times New Roman"/>
          <w:bCs/>
          <w:sz w:val="22"/>
          <w:szCs w:val="22"/>
        </w:rPr>
      </w:pPr>
      <w:r w:rsidRPr="00A371FB">
        <w:rPr>
          <w:rFonts w:ascii="Times New Roman" w:hAnsi="Times New Roman"/>
          <w:bCs/>
          <w:sz w:val="22"/>
          <w:szCs w:val="22"/>
        </w:rPr>
        <w:t xml:space="preserve">Sres. Accionistas de </w:t>
      </w:r>
      <w:r w:rsidR="004A62E9" w:rsidRPr="00A371FB">
        <w:rPr>
          <w:rFonts w:ascii="Times New Roman" w:hAnsi="Times New Roman"/>
          <w:bCs/>
          <w:sz w:val="22"/>
          <w:szCs w:val="22"/>
        </w:rPr>
        <w:t>CTR</w:t>
      </w:r>
      <w:r w:rsidRPr="00A371FB">
        <w:rPr>
          <w:rFonts w:ascii="Times New Roman" w:hAnsi="Times New Roman"/>
          <w:bCs/>
          <w:sz w:val="22"/>
          <w:szCs w:val="22"/>
        </w:rPr>
        <w:t>,</w:t>
      </w:r>
    </w:p>
    <w:p w14:paraId="0EDA949A" w14:textId="580EB236" w:rsidR="00F90239" w:rsidRPr="00A371FB" w:rsidRDefault="000459D1" w:rsidP="00F90239">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En cumplimiento con disposiciones legales y estatuarias vigentes, el Directorio somete a vuestra consideración la presente Memoria, la Reseña Informativa, los Estados Financieros, Estados de Resultados Integrales, Estados de Cambios en el Patrimonio, Estados de Flujos de Efectivo, Notas a los Estados Financieros, correspondientes al ejercicio económico finalizado el 31 de diciembre de </w:t>
      </w:r>
      <w:r w:rsidR="00BB14D3" w:rsidRPr="00A371FB">
        <w:rPr>
          <w:rFonts w:ascii="Times New Roman" w:eastAsia="Wingdings" w:hAnsi="Times New Roman"/>
          <w:sz w:val="22"/>
          <w:szCs w:val="22"/>
        </w:rPr>
        <w:t>202</w:t>
      </w:r>
      <w:r w:rsidR="000834D5" w:rsidRPr="00A371FB">
        <w:rPr>
          <w:rFonts w:ascii="Times New Roman" w:eastAsia="Wingdings" w:hAnsi="Times New Roman"/>
          <w:sz w:val="22"/>
          <w:szCs w:val="22"/>
        </w:rPr>
        <w:t>2</w:t>
      </w:r>
      <w:r w:rsidRPr="00A371FB">
        <w:rPr>
          <w:rFonts w:ascii="Times New Roman" w:eastAsia="Wingdings" w:hAnsi="Times New Roman"/>
          <w:sz w:val="22"/>
          <w:szCs w:val="22"/>
        </w:rPr>
        <w:t>.</w:t>
      </w:r>
    </w:p>
    <w:p w14:paraId="03D6DC0D" w14:textId="0ABF19FA" w:rsidR="00377FF7" w:rsidRPr="00A371FB" w:rsidRDefault="00BB14D3" w:rsidP="00BB14D3">
      <w:pPr>
        <w:pStyle w:val="Ttulo2"/>
        <w:rPr>
          <w:sz w:val="22"/>
          <w:szCs w:val="22"/>
        </w:rPr>
      </w:pPr>
      <w:bookmarkStart w:id="0" w:name="_Toc63686707"/>
      <w:r w:rsidRPr="00A371FB">
        <w:rPr>
          <w:rFonts w:ascii="Times New Roman" w:hAnsi="Times New Roman" w:cs="Times New Roman"/>
          <w:sz w:val="22"/>
          <w:szCs w:val="22"/>
        </w:rPr>
        <w:t>1</w:t>
      </w:r>
      <w:r w:rsidRPr="00A371FB">
        <w:rPr>
          <w:rFonts w:ascii="Times New Roman" w:hAnsi="Times New Roman" w:cs="Times New Roman"/>
          <w:bCs w:val="0"/>
          <w:color w:val="548DD4" w:themeColor="text2" w:themeTint="99"/>
          <w:sz w:val="22"/>
          <w:szCs w:val="22"/>
        </w:rPr>
        <w:t xml:space="preserve">. </w:t>
      </w:r>
      <w:r w:rsidR="00377FF7" w:rsidRPr="00A371FB">
        <w:rPr>
          <w:rFonts w:ascii="Times New Roman" w:hAnsi="Times New Roman" w:cs="Times New Roman"/>
          <w:bCs w:val="0"/>
          <w:color w:val="548DD4" w:themeColor="text2" w:themeTint="99"/>
          <w:sz w:val="22"/>
          <w:szCs w:val="22"/>
        </w:rPr>
        <w:t>ACTIVIDAD DE LA COMPAÑÍA</w:t>
      </w:r>
      <w:bookmarkEnd w:id="0"/>
      <w:r w:rsidR="00377FF7" w:rsidRPr="00A371FB">
        <w:rPr>
          <w:rFonts w:ascii="Times New Roman" w:hAnsi="Times New Roman" w:cs="Times New Roman"/>
          <w:bCs w:val="0"/>
          <w:color w:val="548DD4" w:themeColor="text2" w:themeTint="99"/>
          <w:sz w:val="22"/>
          <w:szCs w:val="22"/>
        </w:rPr>
        <w:fldChar w:fldCharType="begin"/>
      </w:r>
      <w:r w:rsidR="00377FF7" w:rsidRPr="00A371FB">
        <w:rPr>
          <w:rFonts w:ascii="Times New Roman" w:hAnsi="Times New Roman" w:cs="Times New Roman"/>
          <w:bCs w:val="0"/>
          <w:color w:val="548DD4" w:themeColor="text2" w:themeTint="99"/>
          <w:sz w:val="22"/>
          <w:szCs w:val="22"/>
        </w:rPr>
        <w:instrText xml:space="preserve"> XE "ACTIVIDAD DE LA COMPAÑÍA" </w:instrText>
      </w:r>
      <w:r w:rsidR="00377FF7" w:rsidRPr="00A371FB">
        <w:rPr>
          <w:rFonts w:ascii="Times New Roman" w:hAnsi="Times New Roman" w:cs="Times New Roman"/>
          <w:bCs w:val="0"/>
          <w:color w:val="548DD4" w:themeColor="text2" w:themeTint="99"/>
          <w:sz w:val="22"/>
          <w:szCs w:val="22"/>
        </w:rPr>
        <w:fldChar w:fldCharType="end"/>
      </w:r>
      <w:r w:rsidR="00377FF7" w:rsidRPr="00A371FB">
        <w:rPr>
          <w:rFonts w:ascii="Times New Roman" w:hAnsi="Times New Roman" w:cs="Times New Roman"/>
          <w:bCs w:val="0"/>
          <w:color w:val="548DD4" w:themeColor="text2" w:themeTint="99"/>
          <w:sz w:val="22"/>
          <w:szCs w:val="22"/>
        </w:rPr>
        <w:fldChar w:fldCharType="begin"/>
      </w:r>
      <w:r w:rsidR="00377FF7" w:rsidRPr="00A371FB">
        <w:rPr>
          <w:rFonts w:ascii="Times New Roman" w:hAnsi="Times New Roman" w:cs="Times New Roman"/>
          <w:bCs w:val="0"/>
          <w:color w:val="548DD4" w:themeColor="text2" w:themeTint="99"/>
          <w:sz w:val="22"/>
          <w:szCs w:val="22"/>
        </w:rPr>
        <w:instrText xml:space="preserve"> XE "ACTIVIDAD DE LA COMPAÑÍA" </w:instrText>
      </w:r>
      <w:r w:rsidR="00377FF7" w:rsidRPr="00A371FB">
        <w:rPr>
          <w:rFonts w:ascii="Times New Roman" w:hAnsi="Times New Roman" w:cs="Times New Roman"/>
          <w:bCs w:val="0"/>
          <w:color w:val="548DD4" w:themeColor="text2" w:themeTint="99"/>
          <w:sz w:val="22"/>
          <w:szCs w:val="22"/>
        </w:rPr>
        <w:fldChar w:fldCharType="end"/>
      </w:r>
      <w:r w:rsidR="00377FF7" w:rsidRPr="00A371FB">
        <w:rPr>
          <w:rFonts w:ascii="Times New Roman" w:hAnsi="Times New Roman" w:cs="Times New Roman"/>
          <w:bCs w:val="0"/>
          <w:color w:val="548DD4" w:themeColor="text2" w:themeTint="99"/>
          <w:sz w:val="22"/>
          <w:szCs w:val="22"/>
        </w:rPr>
        <w:fldChar w:fldCharType="begin"/>
      </w:r>
      <w:r w:rsidR="00377FF7" w:rsidRPr="00A371FB">
        <w:rPr>
          <w:rFonts w:ascii="Times New Roman" w:hAnsi="Times New Roman" w:cs="Times New Roman"/>
          <w:bCs w:val="0"/>
          <w:color w:val="548DD4" w:themeColor="text2" w:themeTint="99"/>
          <w:sz w:val="22"/>
          <w:szCs w:val="22"/>
        </w:rPr>
        <w:instrText xml:space="preserve"> XE "ACTIVIDAD DE LA COMPAÑÍA" </w:instrText>
      </w:r>
      <w:r w:rsidR="00377FF7" w:rsidRPr="00A371FB">
        <w:rPr>
          <w:rFonts w:ascii="Times New Roman" w:hAnsi="Times New Roman" w:cs="Times New Roman"/>
          <w:bCs w:val="0"/>
          <w:color w:val="548DD4" w:themeColor="text2" w:themeTint="99"/>
          <w:sz w:val="22"/>
          <w:szCs w:val="22"/>
        </w:rPr>
        <w:fldChar w:fldCharType="end"/>
      </w:r>
      <w:r w:rsidR="00377FF7" w:rsidRPr="00A371FB">
        <w:rPr>
          <w:rFonts w:ascii="Times New Roman" w:hAnsi="Times New Roman" w:cs="Times New Roman"/>
          <w:bCs w:val="0"/>
          <w:color w:val="548DD4" w:themeColor="text2" w:themeTint="99"/>
          <w:sz w:val="22"/>
          <w:szCs w:val="22"/>
        </w:rPr>
        <w:t xml:space="preserve">  </w:t>
      </w:r>
    </w:p>
    <w:p w14:paraId="623EC390" w14:textId="77777777" w:rsidR="0009116E" w:rsidRPr="00A371FB" w:rsidRDefault="0009116E" w:rsidP="00BB14D3">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0B49A27D" w14:textId="01CA9E55" w:rsidR="00601188" w:rsidRPr="00A371FB" w:rsidRDefault="00601188" w:rsidP="00601188">
      <w:pPr>
        <w:jc w:val="both"/>
        <w:rPr>
          <w:rFonts w:ascii="Times New Roman" w:eastAsia="Times New Roman" w:hAnsi="Times New Roman"/>
          <w:sz w:val="22"/>
          <w:szCs w:val="22"/>
        </w:rPr>
      </w:pPr>
      <w:r w:rsidRPr="00A371FB">
        <w:rPr>
          <w:rFonts w:ascii="Times New Roman" w:eastAsia="Times New Roman" w:hAnsi="Times New Roman"/>
          <w:sz w:val="22"/>
          <w:szCs w:val="22"/>
        </w:rPr>
        <w:t xml:space="preserve">CTR, es una sociedad cuya actividad principal es la generación y venta de energía eléctrica. La capacidad nominal instalada es de 190 MW, bajo la Resolución SE 220/07 y Resolución SE 826/2022. </w:t>
      </w:r>
    </w:p>
    <w:p w14:paraId="35F38E2D" w14:textId="5528CEA3" w:rsidR="00601188" w:rsidRPr="00A371FB" w:rsidRDefault="00601188" w:rsidP="00601188">
      <w:pPr>
        <w:jc w:val="both"/>
        <w:rPr>
          <w:rFonts w:ascii="Times New Roman" w:eastAsia="Times New Roman" w:hAnsi="Times New Roman"/>
          <w:sz w:val="22"/>
          <w:szCs w:val="22"/>
        </w:rPr>
      </w:pPr>
      <w:r w:rsidRPr="00A371FB">
        <w:rPr>
          <w:rFonts w:ascii="Times New Roman" w:eastAsia="Times New Roman" w:hAnsi="Times New Roman"/>
          <w:sz w:val="22"/>
          <w:szCs w:val="22"/>
        </w:rPr>
        <w:t xml:space="preserve">En el año 2011, el Grupo Albanesi a través de CTR adquirió una central ubicada en las proximidades de la ciudad de Gral. Roca, provincia de Río Negro, sobre la ruta Provincial Nº 6, km 11,1, (la “Central”) que se encontraba indisponible desde el año 2009. </w:t>
      </w:r>
    </w:p>
    <w:p w14:paraId="73D926E3" w14:textId="198C200E" w:rsidR="00601188" w:rsidRPr="00A371FB" w:rsidRDefault="00601188" w:rsidP="00601188">
      <w:pPr>
        <w:jc w:val="both"/>
        <w:rPr>
          <w:rFonts w:ascii="Times New Roman" w:eastAsia="Times New Roman" w:hAnsi="Times New Roman"/>
          <w:sz w:val="22"/>
          <w:szCs w:val="22"/>
        </w:rPr>
      </w:pPr>
      <w:r w:rsidRPr="00A371FB">
        <w:rPr>
          <w:rFonts w:ascii="Times New Roman" w:eastAsia="Times New Roman" w:hAnsi="Times New Roman"/>
          <w:sz w:val="22"/>
          <w:szCs w:val="22"/>
        </w:rPr>
        <w:t>La participación en el capital social accionario de CTR está conformada un 75% por GMSA y el 25% restante por Tefu S.A.</w:t>
      </w:r>
    </w:p>
    <w:p w14:paraId="1676BAD6" w14:textId="2FB68597" w:rsidR="00601188" w:rsidRPr="00A371FB" w:rsidRDefault="00601188" w:rsidP="00601188">
      <w:pPr>
        <w:jc w:val="both"/>
        <w:rPr>
          <w:rFonts w:ascii="Times New Roman" w:eastAsia="Times New Roman" w:hAnsi="Times New Roman"/>
          <w:sz w:val="22"/>
          <w:szCs w:val="22"/>
        </w:rPr>
      </w:pPr>
      <w:r w:rsidRPr="00A371FB">
        <w:rPr>
          <w:rFonts w:ascii="Times New Roman" w:eastAsia="Times New Roman" w:hAnsi="Times New Roman"/>
          <w:sz w:val="22"/>
          <w:szCs w:val="22"/>
        </w:rPr>
        <w:t>El Grupo Albanesi posee a la fecha de firma de los presentes estados financieros una capacidad instalada total de 1.380 MW, ampliándose con 408 MW adicionales contando todos los nuevos proyectos adjudicados.</w:t>
      </w:r>
    </w:p>
    <w:p w14:paraId="33A5A686" w14:textId="2B6DC456" w:rsidR="00315FA1" w:rsidRPr="00A371FB" w:rsidRDefault="00601188" w:rsidP="00315FA1">
      <w:pPr>
        <w:jc w:val="both"/>
        <w:rPr>
          <w:rFonts w:ascii="Times New Roman" w:eastAsia="Times New Roman" w:hAnsi="Times New Roman"/>
          <w:sz w:val="22"/>
          <w:szCs w:val="22"/>
        </w:rPr>
      </w:pPr>
      <w:r w:rsidRPr="00A371FB">
        <w:rPr>
          <w:rFonts w:ascii="Times New Roman" w:eastAsia="Times New Roman" w:hAnsi="Times New Roman"/>
          <w:sz w:val="22"/>
          <w:szCs w:val="22"/>
        </w:rPr>
        <w:lastRenderedPageBreak/>
        <w:t>El Grupo Albanesi se insertó en el mercado energético en 2004 con la adquisición de la central térmica Luis Piedra Buena S.A. De esta forma el desarrollo del mercado eléctrico paso a formar parte de uno de los objetivos principales del Grupo.</w:t>
      </w:r>
    </w:p>
    <w:p w14:paraId="74F22BF5" w14:textId="2D11D403" w:rsidR="00315FA1" w:rsidRPr="00A371FB" w:rsidRDefault="00601188" w:rsidP="00315FA1">
      <w:pPr>
        <w:jc w:val="both"/>
        <w:rPr>
          <w:sz w:val="22"/>
          <w:szCs w:val="22"/>
        </w:rPr>
      </w:pPr>
      <w:r w:rsidRPr="00A371FB">
        <w:rPr>
          <w:noProof/>
          <w:sz w:val="22"/>
          <w:szCs w:val="22"/>
        </w:rPr>
        <w:drawing>
          <wp:inline distT="0" distB="0" distL="0" distR="0" wp14:anchorId="7197988F" wp14:editId="5FC48914">
            <wp:extent cx="5645150" cy="2101850"/>
            <wp:effectExtent l="0" t="0" r="0" b="0"/>
            <wp:docPr id="17" name="Imagen 17"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Escala de tiempo&#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5150" cy="2101850"/>
                    </a:xfrm>
                    <a:prstGeom prst="rect">
                      <a:avLst/>
                    </a:prstGeom>
                    <a:noFill/>
                    <a:ln>
                      <a:noFill/>
                    </a:ln>
                  </pic:spPr>
                </pic:pic>
              </a:graphicData>
            </a:graphic>
          </wp:inline>
        </w:drawing>
      </w:r>
    </w:p>
    <w:p w14:paraId="1FFF367B" w14:textId="5BD9973F" w:rsidR="00601188" w:rsidRPr="00A371FB" w:rsidRDefault="00601188" w:rsidP="00315FA1">
      <w:pPr>
        <w:jc w:val="both"/>
        <w:rPr>
          <w:sz w:val="22"/>
          <w:szCs w:val="22"/>
        </w:rPr>
      </w:pPr>
      <w:r w:rsidRPr="00A371FB">
        <w:rPr>
          <w:noProof/>
          <w:sz w:val="22"/>
          <w:szCs w:val="22"/>
        </w:rPr>
        <w:drawing>
          <wp:inline distT="0" distB="0" distL="0" distR="0" wp14:anchorId="458C44E5" wp14:editId="15D3D320">
            <wp:extent cx="6120130" cy="1673754"/>
            <wp:effectExtent l="0" t="0" r="0" b="3175"/>
            <wp:docPr id="18" name="Imagen 18"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de barras&#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1673754"/>
                    </a:xfrm>
                    <a:prstGeom prst="rect">
                      <a:avLst/>
                    </a:prstGeom>
                    <a:noFill/>
                    <a:ln>
                      <a:noFill/>
                    </a:ln>
                  </pic:spPr>
                </pic:pic>
              </a:graphicData>
            </a:graphic>
          </wp:inline>
        </w:drawing>
      </w:r>
    </w:p>
    <w:p w14:paraId="098D4893" w14:textId="77777777" w:rsidR="00315FA1" w:rsidRPr="00A371FB" w:rsidRDefault="00315FA1" w:rsidP="00315FA1">
      <w:pPr>
        <w:jc w:val="center"/>
        <w:rPr>
          <w:sz w:val="22"/>
          <w:szCs w:val="22"/>
        </w:rPr>
      </w:pPr>
    </w:p>
    <w:p w14:paraId="41A77D25" w14:textId="77777777" w:rsidR="00643F87" w:rsidRPr="00A371FB" w:rsidRDefault="00643F87" w:rsidP="001444BD">
      <w:pPr>
        <w:spacing w:after="0" w:line="240" w:lineRule="auto"/>
        <w:jc w:val="both"/>
        <w:rPr>
          <w:rFonts w:ascii="Times New Roman" w:hAnsi="Times New Roman"/>
          <w:sz w:val="22"/>
          <w:szCs w:val="22"/>
          <w:lang w:val="es-ES"/>
        </w:rPr>
      </w:pPr>
    </w:p>
    <w:p w14:paraId="40133FAD" w14:textId="5FDDA1AD" w:rsidR="00601188" w:rsidRPr="00A371FB" w:rsidRDefault="000459D1">
      <w:pPr>
        <w:pStyle w:val="Ttulo2"/>
        <w:numPr>
          <w:ilvl w:val="0"/>
          <w:numId w:val="8"/>
        </w:numPr>
        <w:autoSpaceDE w:val="0"/>
        <w:autoSpaceDN w:val="0"/>
        <w:spacing w:before="0" w:after="100" w:afterAutospacing="1" w:line="360" w:lineRule="exact"/>
        <w:ind w:left="284" w:hanging="284"/>
        <w:jc w:val="both"/>
        <w:rPr>
          <w:rFonts w:ascii="Times New Roman" w:hAnsi="Times New Roman" w:cs="Times New Roman"/>
          <w:bCs w:val="0"/>
          <w:color w:val="548DD4" w:themeColor="text2" w:themeTint="99"/>
          <w:sz w:val="22"/>
          <w:szCs w:val="22"/>
        </w:rPr>
      </w:pPr>
      <w:bookmarkStart w:id="1" w:name="_Toc63686708"/>
      <w:r w:rsidRPr="00A371FB">
        <w:rPr>
          <w:rFonts w:ascii="Times New Roman" w:hAnsi="Times New Roman" w:cs="Times New Roman"/>
          <w:bCs w:val="0"/>
          <w:color w:val="548DD4" w:themeColor="text2" w:themeTint="99"/>
          <w:sz w:val="22"/>
          <w:szCs w:val="22"/>
        </w:rPr>
        <w:t>CONTEXTO MACROECONÓMICO</w:t>
      </w:r>
      <w:bookmarkEnd w:id="1"/>
      <w:r w:rsidRPr="00A371FB">
        <w:rPr>
          <w:rFonts w:ascii="Times New Roman" w:hAnsi="Times New Roman" w:cs="Times New Roman"/>
          <w:bCs w:val="0"/>
          <w:color w:val="548DD4" w:themeColor="text2" w:themeTint="99"/>
          <w:sz w:val="22"/>
          <w:szCs w:val="22"/>
        </w:rPr>
        <w:fldChar w:fldCharType="begin"/>
      </w:r>
      <w:r w:rsidRPr="00A371FB">
        <w:rPr>
          <w:rFonts w:ascii="Times New Roman" w:hAnsi="Times New Roman" w:cs="Times New Roman"/>
          <w:bCs w:val="0"/>
          <w:color w:val="548DD4" w:themeColor="text2" w:themeTint="99"/>
          <w:sz w:val="22"/>
          <w:szCs w:val="22"/>
        </w:rPr>
        <w:instrText xml:space="preserve"> XE "CONTEXTO MACROECONÓMICO" </w:instrText>
      </w:r>
      <w:r w:rsidRPr="00A371FB">
        <w:rPr>
          <w:rFonts w:ascii="Times New Roman" w:hAnsi="Times New Roman" w:cs="Times New Roman"/>
          <w:bCs w:val="0"/>
          <w:color w:val="548DD4" w:themeColor="text2" w:themeTint="99"/>
          <w:sz w:val="22"/>
          <w:szCs w:val="22"/>
        </w:rPr>
        <w:fldChar w:fldCharType="end"/>
      </w:r>
      <w:r w:rsidRPr="00A371FB">
        <w:rPr>
          <w:rFonts w:ascii="Times New Roman" w:hAnsi="Times New Roman" w:cs="Times New Roman"/>
          <w:bCs w:val="0"/>
          <w:color w:val="548DD4" w:themeColor="text2" w:themeTint="99"/>
          <w:sz w:val="22"/>
          <w:szCs w:val="22"/>
        </w:rPr>
        <w:fldChar w:fldCharType="begin"/>
      </w:r>
      <w:r w:rsidRPr="00A371FB">
        <w:rPr>
          <w:rFonts w:ascii="Times New Roman" w:hAnsi="Times New Roman" w:cs="Times New Roman"/>
          <w:bCs w:val="0"/>
          <w:color w:val="548DD4" w:themeColor="text2" w:themeTint="99"/>
          <w:sz w:val="22"/>
          <w:szCs w:val="22"/>
        </w:rPr>
        <w:instrText xml:space="preserve"> XE "CONTEXTO MACROECONÓMICO" </w:instrText>
      </w:r>
      <w:r w:rsidRPr="00A371FB">
        <w:rPr>
          <w:rFonts w:ascii="Times New Roman" w:hAnsi="Times New Roman" w:cs="Times New Roman"/>
          <w:bCs w:val="0"/>
          <w:color w:val="548DD4" w:themeColor="text2" w:themeTint="99"/>
          <w:sz w:val="22"/>
          <w:szCs w:val="22"/>
        </w:rPr>
        <w:fldChar w:fldCharType="end"/>
      </w:r>
      <w:r w:rsidRPr="00A371FB">
        <w:rPr>
          <w:rFonts w:ascii="Times New Roman" w:hAnsi="Times New Roman" w:cs="Times New Roman"/>
          <w:bCs w:val="0"/>
          <w:color w:val="548DD4" w:themeColor="text2" w:themeTint="99"/>
          <w:sz w:val="22"/>
          <w:szCs w:val="22"/>
        </w:rPr>
        <w:t xml:space="preserve"> </w:t>
      </w:r>
      <w:bookmarkStart w:id="2" w:name="_Hlk32325536"/>
      <w:bookmarkStart w:id="3" w:name="_Hlk63689675"/>
    </w:p>
    <w:p w14:paraId="37A567C4"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r w:rsidRPr="00A371FB">
        <w:rPr>
          <w:rFonts w:ascii="Times New Roman" w:eastAsia="Wingdings" w:hAnsi="Times New Roman"/>
          <w:b/>
          <w:bCs/>
          <w:sz w:val="22"/>
          <w:szCs w:val="22"/>
        </w:rPr>
        <w:t>Contexto internacional</w:t>
      </w:r>
    </w:p>
    <w:p w14:paraId="5F8AA04B"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p>
    <w:p w14:paraId="64345222"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hAnsi="Times New Roman"/>
          <w:sz w:val="22"/>
          <w:szCs w:val="22"/>
        </w:rPr>
      </w:pPr>
      <w:r w:rsidRPr="00A371FB">
        <w:rPr>
          <w:rFonts w:ascii="Times New Roman" w:hAnsi="Times New Roman"/>
          <w:sz w:val="22"/>
          <w:szCs w:val="22"/>
        </w:rPr>
        <w:t>Se proyecta que el crecimiento mundial registre un descenso estimado de 3,4% en 2022, a 2,9% en 2023, para luego repuntar a 3,1% en 2024; según informe de enero 2023 del World Economic Outlook de Fondo Monetario Internacional (FMI).</w:t>
      </w:r>
    </w:p>
    <w:p w14:paraId="463FC9FA"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hAnsi="Times New Roman"/>
          <w:sz w:val="22"/>
          <w:szCs w:val="22"/>
        </w:rPr>
      </w:pPr>
      <w:r w:rsidRPr="00A371FB">
        <w:rPr>
          <w:rFonts w:ascii="Times New Roman" w:hAnsi="Times New Roman"/>
          <w:sz w:val="22"/>
          <w:szCs w:val="22"/>
        </w:rPr>
        <w:t>El pronóstico para 2023 es 0,2 puntos porcentuales más alto que el vaticinado en la edición de Perspectivas de la economía mundial (informe WEO) de octubre de 2022, pero inferior a la media histórica (2000–19) de 3,8%. La subida de las tasas de interés de los bancos centrales para combatir la inflación y la guerra de Rusia en Ucrania continúan lastrando la actividad económica. La rápida propagación de la COVID-19 en China frenó el crecimiento en 2022, pero la reciente reapertura ha desbrozado el camino para una recuperación más veloz de lo anticipado. Se prevé que la inflación mundial disminuya de 8,8% en 2022 a 6,6% en 2023 y a 4,3% en 2024, niveles aún superiores a los observados antes de la pandemia (2017–19) de alrededor del 3,5%.</w:t>
      </w:r>
    </w:p>
    <w:p w14:paraId="18345DAE"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hAnsi="Times New Roman"/>
          <w:sz w:val="22"/>
          <w:szCs w:val="22"/>
        </w:rPr>
      </w:pPr>
      <w:r w:rsidRPr="00A371FB">
        <w:rPr>
          <w:rFonts w:ascii="Times New Roman" w:hAnsi="Times New Roman"/>
          <w:sz w:val="22"/>
          <w:szCs w:val="22"/>
        </w:rPr>
        <w:t>La balanza de riesgos continúa inclinada a la baja, pero los riesgos adversos se han moderado. Entre los riesgos al alza, son plausibles un impulso más fuerte de la demanda reprimida en numerosas economías o una caída más veloz de la inflación. Entre los riesgos a la baja, una evolución sanitaria severa en China podría frenar la recuperación, la guerra de Rusia en Ucrania podría intensificarse y un endurecimiento de las condiciones mundiales de financiamiento podría agudizar las tensiones por sobreendeudamiento. Los mercados financieros también podrían redeterminar súbitamente los precios en respuesta a novedades adversas en cuanto a la inflación, en tanto que la fragmentación geopolítica podría frenar el progreso económico.</w:t>
      </w:r>
    </w:p>
    <w:p w14:paraId="19535574" w14:textId="54904F60"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hAnsi="Times New Roman"/>
          <w:sz w:val="22"/>
          <w:szCs w:val="22"/>
        </w:rPr>
      </w:pPr>
      <w:r w:rsidRPr="00A371FB">
        <w:rPr>
          <w:rFonts w:ascii="Times New Roman" w:hAnsi="Times New Roman"/>
          <w:sz w:val="22"/>
          <w:szCs w:val="22"/>
        </w:rPr>
        <w:lastRenderedPageBreak/>
        <w:t>En la mayoría de las economías, ante la crisis del costo de vida, la prioridad sigue siendo lograr una desinflación sostenida. Con condiciones monetarias más restrictivas y un menor ritmo de crecimiento que podrían incidir en la estabilidad financiera y de la deuda, resulta necesario recurrir a herramientas macroprudenciales y afianzar los marcos para la reestructuración de la deuda. Al acelerar la vacunación contra la COVID-19 en China se protegería la recuperación, con efectos secundarios positivos a escala transfronteriza. El apoyo fiscal debe focalizarse mejor en los grupos más afectados por la carestía de los alimentos y la energía, y deben retirarse las medidas de alivio fiscal de amplia base. La cooperación multilateral más estrecha es esencial para preservar las ventajas del sistema multilateral basado en reglas y para mitigar el cambio climático limitando las emisiones y promoviendo la inversión ecológica.</w:t>
      </w:r>
    </w:p>
    <w:p w14:paraId="2D020647"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r w:rsidRPr="00A371FB">
        <w:rPr>
          <w:rFonts w:ascii="Times New Roman" w:eastAsia="Wingdings" w:hAnsi="Times New Roman"/>
          <w:b/>
          <w:bCs/>
          <w:sz w:val="22"/>
          <w:szCs w:val="22"/>
        </w:rPr>
        <w:t>Contexto regional</w:t>
      </w:r>
    </w:p>
    <w:p w14:paraId="41B7A20B"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p>
    <w:p w14:paraId="3CD04814"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En América Latina y el Caribe se proyecta que el crecimiento disminuya de 3,9% en 2022 a 1,8% en 2023, con una revisión al alza para 2023 de 0,1 puntos porcentuales desde octubre. La revisión del pronóstico refleja mejoras de 0,2 puntos porcentuales para Brasil y 0,5 puntos porcentuales para México debidas a la inesperada resiliencia de la demanda interna, un crecimiento mayor de lo previsto en las economías de los principales socios comerciales y, en el caso de Brasil, un apoyo fiscal superior al previsto. Se proyecta que el crecimiento en la región aumente a 2,1% en 2024, si bien con una revisión a la baja de 0,3 puntos porcentuales debido a las condiciones financieras más restrictivas, los precios más bajos de las materias primas exportadas y rebajas en el crecimiento de los socios comerciales.</w:t>
      </w:r>
    </w:p>
    <w:p w14:paraId="1D69F711" w14:textId="3F41F46F"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p>
    <w:p w14:paraId="604B2901" w14:textId="3E70EDAB"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p>
    <w:p w14:paraId="0D5A9EF4" w14:textId="6890A458"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p>
    <w:p w14:paraId="05380BD0"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r w:rsidRPr="00A371FB">
        <w:rPr>
          <w:rFonts w:ascii="Times New Roman" w:eastAsia="Wingdings" w:hAnsi="Times New Roman"/>
          <w:b/>
          <w:bCs/>
          <w:sz w:val="22"/>
          <w:szCs w:val="22"/>
        </w:rPr>
        <w:t>Argentina</w:t>
      </w:r>
    </w:p>
    <w:p w14:paraId="5229ECB9"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p>
    <w:p w14:paraId="2D6B5DF5"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 recuperación de Argentina de 2022 se estima que fue un 4% según informe de enero 2022 del World Economic Outlook de FMI. El FMI proyecta un crecimiento 2% en el 2023 y 2% en el 2024.</w:t>
      </w:r>
    </w:p>
    <w:p w14:paraId="0B00574D"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noProof/>
          <w:sz w:val="22"/>
          <w:szCs w:val="22"/>
        </w:rPr>
        <w:drawing>
          <wp:anchor distT="0" distB="0" distL="114300" distR="114300" simplePos="0" relativeHeight="251713536" behindDoc="1" locked="0" layoutInCell="1" allowOverlap="1" wp14:anchorId="199EEB33" wp14:editId="00B1B881">
            <wp:simplePos x="0" y="0"/>
            <wp:positionH relativeFrom="margin">
              <wp:align>center</wp:align>
            </wp:positionH>
            <wp:positionV relativeFrom="paragraph">
              <wp:posOffset>59055</wp:posOffset>
            </wp:positionV>
            <wp:extent cx="3276600" cy="2190750"/>
            <wp:effectExtent l="0" t="0" r="0" b="0"/>
            <wp:wrapNone/>
            <wp:docPr id="26" name="Gráfico 26">
              <a:extLst xmlns:a="http://schemas.openxmlformats.org/drawingml/2006/main">
                <a:ext uri="{FF2B5EF4-FFF2-40B4-BE49-F238E27FC236}">
                  <a16:creationId xmlns:a16="http://schemas.microsoft.com/office/drawing/2014/main" id="{678BFC2A-1C0F-496E-BCFC-901262A2A4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2721C98A"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563D7F2F"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104515EE"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4566F57F"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19E4DF28"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7C51C916"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689C3CBD"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4CD3004B"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55BF0AB9"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1D0B2E01"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50F0AB30"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3BE42D93"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1415AF66"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3BB531C6" w14:textId="24F6332B"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En diciembre de 2022, el Estimador Mensual de Actividad Económica (EMAE) decreció 1,2% respecto al mismo mes de 2021.</w:t>
      </w:r>
    </w:p>
    <w:p w14:paraId="31435CCF"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004C4FEA"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En la misma dirección, y de acuerdo al Informe de Avance del Nivel de Actividad que elabora el Indec, el producto interno bruto (PIB), la evolución macroeconómica del segundo trimestre de 2022 determinó, de acuerdo con las estimaciones preliminares, una variación en la oferta global, medida a precios del año 2004, de 9,9% con respecto al mismo período del año anterior, debido a un crecimiento de 6,9% del PIB y a una variación de 23,1% en las importaciones de bienes y servicios reales. </w:t>
      </w:r>
    </w:p>
    <w:p w14:paraId="0AA267E7"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1378BC9F"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lastRenderedPageBreak/>
        <w:t xml:space="preserve">En la demanda global se observó un incremento de 18,8% en la formación bruta de capital fijo, el consumo privado creció 10,7%, las exportaciones de bienes y servicios reales registraron un incremento de 9,3% y el consumo público ascendió 5,3%. </w:t>
      </w:r>
    </w:p>
    <w:p w14:paraId="19E8EE5B"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180CD20B"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En términos desestacionalizados, con respecto al primer trimestre de 2022, las importaciones crecieron 2,9%, el consumo privado registró un incremento de 1,8%, el consumo público ascendió 0,2%, las exportaciones crecieron 3,5% y la formación bruta de capital fijo tuvo un aumento de 7,8%.</w:t>
      </w:r>
    </w:p>
    <w:p w14:paraId="72A854B0"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3EE2BBF0" w14:textId="1EF68711"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En diciembre de 2022, el Índice de Producción Industrial Manufacturero (IPI manufacturero) muestra una caída de 2,7% respecto a igual mes de 2021. El acumulado enero-diciembre de 2022 presenta un incremento de 4,3% respecto a igual período de 2021. En diciembre de 2022, el índice de la serie desestacionalizada muestra una variación negativa de 1,2% respecto al mes anterior y la índice serie tendencia-ciclo registra una variación negativa de 0,4% respecto al mes anterior.</w:t>
      </w:r>
    </w:p>
    <w:p w14:paraId="1B50B068"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36B9F936"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018C4939" w14:textId="4B1AC7E3"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Respecto a la evolución de los precios, de acuerdo el IPC (Índice de Precios Consumidor) alcanzó un 94,8% acumulado en 2022 (INDEC) versus un 50,9% para el 2021. A continuación, se detalla la inflación de los últimos 5 años.</w:t>
      </w:r>
    </w:p>
    <w:p w14:paraId="7DE1AF19"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noProof/>
          <w:sz w:val="22"/>
          <w:szCs w:val="22"/>
        </w:rPr>
      </w:pPr>
      <w:r w:rsidRPr="00A371FB">
        <w:rPr>
          <w:noProof/>
          <w:sz w:val="22"/>
          <w:szCs w:val="22"/>
        </w:rPr>
        <w:drawing>
          <wp:anchor distT="0" distB="0" distL="114300" distR="114300" simplePos="0" relativeHeight="251714560" behindDoc="1" locked="0" layoutInCell="1" allowOverlap="1" wp14:anchorId="3CFFF073" wp14:editId="41B83F79">
            <wp:simplePos x="0" y="0"/>
            <wp:positionH relativeFrom="page">
              <wp:align>center</wp:align>
            </wp:positionH>
            <wp:positionV relativeFrom="paragraph">
              <wp:posOffset>173355</wp:posOffset>
            </wp:positionV>
            <wp:extent cx="4419600" cy="2857500"/>
            <wp:effectExtent l="0" t="0" r="0" b="0"/>
            <wp:wrapNone/>
            <wp:docPr id="27" name="Gráfico 27">
              <a:extLst xmlns:a="http://schemas.openxmlformats.org/drawingml/2006/main">
                <a:ext uri="{FF2B5EF4-FFF2-40B4-BE49-F238E27FC236}">
                  <a16:creationId xmlns:a16="http://schemas.microsoft.com/office/drawing/2014/main" id="{84431778-4F2A-4AE9-B8FC-76C2A2FD8A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56075668"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728AB09D"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4DA67943"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0686CD7E"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7C861F8E"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4075810C"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76E489F0"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388CC190"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0AEA7114"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5F00D5D8"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3E18A78B"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52E064CC"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0587D622"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472E78AB"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5CD8194D"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694F8F5D"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2C3BCE4F"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0D667948"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Según el informe del INDEC del Intercambio Comercial Argentino, en diciembre de 2022, las exportaciones alcanzaron 6.119 millones de dólares y las importaciones, 5.017 millones de dólares. El intercambio comercial (exportaciones más importaciones) disminuyó 13,0% en relación con igual mes del año anterior, y alcanzó un monto de 11.136 millones de dólares. La balanza comercial registró un superávit de 1.102 millones de dólares. </w:t>
      </w:r>
    </w:p>
    <w:p w14:paraId="2F4764B2"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60EEDA94"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Las exportaciones cayeron 7,1% respecto a igual mes de 2021 (-468 millones de dólares) debido a una baja de 13,1% en las cantidades, ya que los precios se incrementaron 6,8%. En términos desestacionalizados, las exportaciones descendieron 8,6% y la tendencia-ciclo, 1,8% con relación a noviembre de 2022. Los productos primarios (PP) disminuyeron 26,4% y las manufacturas de origen industrial (MOI), 9,4%; mientras que los combustibles y energía (CyE) aumentaron 7,5% y las manufacturas de origen agropecuario (MOA), 5,4%. </w:t>
      </w:r>
    </w:p>
    <w:p w14:paraId="46443868"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4234C30D"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Las importaciones disminuyeron 19,3% respecto a diciembre de 2021 (-1.199 millones de dólares) debido a un descenso de 21,8% en las cantidades, puesto que los precios crecieron 3,3%. En términos desestacionalizados, las compras al exterior cayeron 2,0% y la tendencia-ciclo, 3,0% con relación a noviembre </w:t>
      </w:r>
      <w:r w:rsidRPr="00A371FB">
        <w:rPr>
          <w:rFonts w:ascii="Times New Roman" w:eastAsia="Wingdings" w:hAnsi="Times New Roman"/>
          <w:sz w:val="22"/>
          <w:szCs w:val="22"/>
        </w:rPr>
        <w:lastRenderedPageBreak/>
        <w:t xml:space="preserve">de 2022. Todos los usos económicos registraron variaciones negativas. Combustibles y lubricantes (CyL) cayó 38,6%; resto, 35,4%; mayormente debido a la disminución de bienes despachados mediante servicios postales (couriers); bienes de capital (BK), 23,9%; bienes intermedios (BI), 19,3%; piezas y accesorios para bienes de capital (PyA), 10,5%; bienes de consumo (BC), 8,4%; y vehículos automotores de pasajeros (VA), 5,2%. </w:t>
      </w:r>
    </w:p>
    <w:p w14:paraId="7D2B9852"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0C7F7063"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El saldo de la balanza comercial fue de 1.102 millones de dólares, 731 millones de dólares superior al saldo de igual mes del año anterior, período en el cual se había registrado un superávit de 371 millones de dólares.</w:t>
      </w:r>
    </w:p>
    <w:p w14:paraId="10073D57" w14:textId="77777777" w:rsidR="00601188" w:rsidRPr="00A371FB" w:rsidRDefault="00601188"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00C8EF00" w14:textId="77777777" w:rsidR="00601188" w:rsidRPr="00A371FB" w:rsidRDefault="00601188" w:rsidP="00601188">
      <w:pPr>
        <w:tabs>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El tipo de cambio oficial mayorista concluyó el 2022 en $177,16 por lo que la devaluación acumulada en 2022 alcanzó el 72,47%.</w:t>
      </w:r>
    </w:p>
    <w:p w14:paraId="378595E9" w14:textId="77777777" w:rsidR="00601188" w:rsidRPr="00A371FB" w:rsidRDefault="00601188" w:rsidP="00601188">
      <w:pPr>
        <w:tabs>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1AD4ED5B" w14:textId="77777777" w:rsidR="00601188" w:rsidRPr="00A371FB" w:rsidRDefault="00601188" w:rsidP="00601188">
      <w:pPr>
        <w:tabs>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Según el informe monetario mensual del BCRA, en diciembre la Base Monetaria se ubicó en promedio en $4.781,9 miles de millones, lo que implicó un aumento mensual de 9%.</w:t>
      </w:r>
    </w:p>
    <w:p w14:paraId="75A2759A" w14:textId="77777777" w:rsidR="00601188" w:rsidRPr="00A371FB" w:rsidRDefault="00601188" w:rsidP="00601188">
      <w:pPr>
        <w:tabs>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748681F7" w14:textId="77777777" w:rsidR="00601188" w:rsidRPr="00A371FB" w:rsidRDefault="00601188" w:rsidP="00601188">
      <w:pPr>
        <w:tabs>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Las Reservas Internacionales del BCRA finalizaron el año con un saldo de US$44.597 millones, registrando un incremento de US$6.588 millones en diciembre. Este aumento estuvo impulsado principalmente por el desembolso de US$6.021 millones del FMI realizado en el marco del Programa de Facilidades Extendidas (PFE), que fue compensado parcialmente por pagos de capital a dicho organismo por US$2.717 millones. A su vez, desde su reapertura el 28 de noviembre, el Programa de Incremento Exportador le permitió al BCRA adquirir divisas por US$3.155 millones y, junto con el resto de las operaciones cambiarias del sector privado, dejó un saldo neto de US$2.330 millones. También aportaron positivamente las ganancias por valuación de los activos externos netos y la variación de los saldos en dólares en cuenta corriente en el BCRA.</w:t>
      </w:r>
    </w:p>
    <w:p w14:paraId="6734C5A8" w14:textId="77777777" w:rsidR="00601188" w:rsidRPr="00A371FB" w:rsidRDefault="00601188" w:rsidP="00601188">
      <w:pPr>
        <w:tabs>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6E8FB1A5" w14:textId="77777777" w:rsidR="00601188" w:rsidRPr="00A371FB" w:rsidRDefault="00601188" w:rsidP="00601188">
      <w:pPr>
        <w:tabs>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Finalmente, el tipo de cambio nominal (TCN) bilateral respecto del dólar estadounidense aumentó 6,4% en diciembre para ubicarse, en promedio, en $172,45/US$. De esta manera, el BCRA ha desacelerado el ritmo de depreciación de la moneda doméstica en consonancia con la moderación de la inflación.</w:t>
      </w:r>
    </w:p>
    <w:p w14:paraId="5552F707" w14:textId="77777777" w:rsidR="00B16720" w:rsidRPr="00A371FB" w:rsidRDefault="00B16720" w:rsidP="0009116E">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p>
    <w:bookmarkEnd w:id="2"/>
    <w:bookmarkEnd w:id="3"/>
    <w:p w14:paraId="4DB9FA43" w14:textId="77777777" w:rsidR="007F74D5" w:rsidRPr="00A371FB" w:rsidRDefault="007F74D5" w:rsidP="007F74D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r w:rsidRPr="00A371FB">
        <w:rPr>
          <w:rFonts w:ascii="Times New Roman" w:eastAsia="Wingdings" w:hAnsi="Times New Roman"/>
          <w:b/>
          <w:bCs/>
          <w:sz w:val="22"/>
          <w:szCs w:val="22"/>
        </w:rPr>
        <w:t>Características estructurales del sector energético</w:t>
      </w:r>
    </w:p>
    <w:p w14:paraId="72C2B547" w14:textId="77777777" w:rsidR="007F74D5" w:rsidRPr="00A371FB" w:rsidRDefault="007F74D5" w:rsidP="007F74D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p>
    <w:p w14:paraId="063DF670" w14:textId="77777777" w:rsidR="00794D95" w:rsidRPr="00A371FB" w:rsidRDefault="00794D95" w:rsidP="00794D95">
      <w:pPr>
        <w:tabs>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La demanda y consumo energético en la Argentina evidencia una correlación positiva con el Producto Bruto Interno como sucede en países con desarrollo económico intermedio. Esta correlación implica que, a mayor crecimiento económico, la demanda energética consolidada de todos los productos energéticos también se incrementa. La evolución inversa cuando decrece la economía también se cumple, aunque con menor intensidad ya que a disminución de la actividad económica se corresponde una reducción en el consumo energético de menor magnitud. </w:t>
      </w:r>
    </w:p>
    <w:p w14:paraId="1223D00D" w14:textId="77777777" w:rsidR="00794D95" w:rsidRPr="00A371FB" w:rsidRDefault="00794D95" w:rsidP="00794D95">
      <w:pPr>
        <w:tabs>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02F14065" w14:textId="77777777" w:rsidR="00794D95" w:rsidRPr="00A371FB" w:rsidRDefault="00794D95" w:rsidP="00794D95">
      <w:pPr>
        <w:tabs>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Arial" w:hAnsi="Arial" w:cs="Arial"/>
          <w:sz w:val="22"/>
          <w:szCs w:val="22"/>
          <w:lang w:eastAsia="es-ES"/>
        </w:rPr>
      </w:pPr>
      <w:r w:rsidRPr="00A371FB">
        <w:rPr>
          <w:rFonts w:ascii="Times New Roman" w:eastAsia="Wingdings" w:hAnsi="Times New Roman"/>
          <w:sz w:val="22"/>
          <w:szCs w:val="22"/>
        </w:rPr>
        <w:t xml:space="preserve">El crecimiento histórico del consumo energético tuvo un promedio anual de 2.6% desde 1959 hasta </w:t>
      </w:r>
      <w:r w:rsidRPr="00A371FB">
        <w:rPr>
          <w:rFonts w:ascii="Times New Roman" w:hAnsi="Times New Roman"/>
          <w:sz w:val="22"/>
          <w:szCs w:val="22"/>
          <w:lang w:eastAsia="es-ES"/>
        </w:rPr>
        <w:t>2022</w:t>
      </w:r>
      <w:r w:rsidRPr="00A371FB">
        <w:rPr>
          <w:rFonts w:ascii="Arial" w:hAnsi="Arial" w:cs="Arial"/>
          <w:sz w:val="22"/>
          <w:szCs w:val="22"/>
          <w:vertAlign w:val="superscript"/>
          <w:lang w:eastAsia="en-US"/>
        </w:rPr>
        <w:footnoteReference w:id="2"/>
      </w:r>
      <w:r w:rsidRPr="00A371FB">
        <w:rPr>
          <w:rFonts w:ascii="Times New Roman" w:eastAsia="Wingdings" w:hAnsi="Times New Roman"/>
          <w:sz w:val="22"/>
          <w:szCs w:val="22"/>
        </w:rPr>
        <w:t>, y un promedio anual normalizado de solo 0.7% anual desde la gran crisis de 2002. Tras la importante caída de consumo energético y del PBI en 2020 de -8.6% y -9.9% respectivamente, se produjo una reversión relevante en 2021 con +5.4% y +10.3% respectivamente. Nuestra estimación preliminar para 2022 indica una recuperación menor de +3.1% en consumo energético, y +5.5% del PBI.</w:t>
      </w:r>
      <w:r w:rsidRPr="00A371FB">
        <w:rPr>
          <w:rFonts w:ascii="Arial" w:hAnsi="Arial" w:cs="Arial"/>
          <w:sz w:val="22"/>
          <w:szCs w:val="22"/>
          <w:lang w:eastAsia="es-ES"/>
        </w:rPr>
        <w:t xml:space="preserve"> </w:t>
      </w:r>
    </w:p>
    <w:p w14:paraId="7C40029C" w14:textId="77777777" w:rsidR="00794D95" w:rsidRPr="00A371FB" w:rsidRDefault="00794D95" w:rsidP="00794D95">
      <w:pPr>
        <w:tabs>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3EB1030D" w14:textId="77777777" w:rsidR="00794D95" w:rsidRPr="00A371FB" w:rsidRDefault="00794D95" w:rsidP="00794D95">
      <w:pPr>
        <w:spacing w:after="120"/>
        <w:ind w:left="284"/>
        <w:jc w:val="center"/>
        <w:rPr>
          <w:rFonts w:ascii="Arial" w:hAnsi="Arial" w:cs="Arial"/>
          <w:sz w:val="22"/>
          <w:szCs w:val="22"/>
          <w:lang w:eastAsia="es-ES"/>
        </w:rPr>
      </w:pPr>
      <w:r w:rsidRPr="00A371FB">
        <w:rPr>
          <w:rFonts w:ascii="Arial" w:hAnsi="Arial" w:cs="Arial"/>
          <w:noProof/>
          <w:sz w:val="22"/>
          <w:szCs w:val="22"/>
          <w:lang w:eastAsia="es-ES"/>
        </w:rPr>
        <w:lastRenderedPageBreak/>
        <w:drawing>
          <wp:inline distT="0" distB="0" distL="0" distR="0" wp14:anchorId="3E2D5508" wp14:editId="6C23F490">
            <wp:extent cx="3515995" cy="1830052"/>
            <wp:effectExtent l="0" t="0" r="8255" b="0"/>
            <wp:docPr id="14" name="Imagen 14"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Gráfico, Gráfico de líneas&#10;&#10;Descripción generada automá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38026" cy="1841519"/>
                    </a:xfrm>
                    <a:prstGeom prst="rect">
                      <a:avLst/>
                    </a:prstGeom>
                    <a:noFill/>
                  </pic:spPr>
                </pic:pic>
              </a:graphicData>
            </a:graphic>
          </wp:inline>
        </w:drawing>
      </w:r>
    </w:p>
    <w:p w14:paraId="27CED52D"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Los cambios de políticas económicas alteran las variaciones de consumo energético. En 2018 la recesión de -2.6% - tras la buena marcha de 2017 con +2.8% - con temperaturas inferiores a las del año previo en meses de verano, impactaron en la demanda de energía, que se redujo -6.0% interanual. En 2019 pese a la nueva caída del PBI de -2.1% respecto a 2018, se produjo un incremento en el consumo energético de 2.2% respecto a 2018, con influencia de tarifas de gas y electricidad congeladas desde inicios de año, y precios de combustibles congelados desde agosto 2019. </w:t>
      </w:r>
    </w:p>
    <w:p w14:paraId="44D4F5D1"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Las consecuencias de las medidas de restricción impuestas para contener los efectos de la pandemia COVID 19 desde marzo 2020, impactaron de modo contundente en la economía argentina. Durante 2020, las medidas de aislamiento derivaron en una contracción económica histórica de -9.9%. La reducción en el consumo energético también fue histórica, con reducción de -8.6% pese a las bajas temperaturas del invierno en relación al invierno 2019.  </w:t>
      </w:r>
    </w:p>
    <w:p w14:paraId="38E71DEE" w14:textId="4C505BF5"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574067C" w14:textId="41E4A683" w:rsidR="00794D95" w:rsidRPr="00A371FB" w:rsidRDefault="00A371FB"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Arial" w:hAnsi="Arial" w:cs="Arial"/>
          <w:noProof/>
          <w:sz w:val="22"/>
          <w:szCs w:val="22"/>
          <w:lang w:eastAsia="es-ES"/>
        </w:rPr>
        <w:drawing>
          <wp:anchor distT="0" distB="0" distL="114300" distR="114300" simplePos="0" relativeHeight="251695104" behindDoc="1" locked="0" layoutInCell="1" allowOverlap="1" wp14:anchorId="3A6A1E4A" wp14:editId="06AF7275">
            <wp:simplePos x="0" y="0"/>
            <wp:positionH relativeFrom="margin">
              <wp:posOffset>1107440</wp:posOffset>
            </wp:positionH>
            <wp:positionV relativeFrom="paragraph">
              <wp:posOffset>-37465</wp:posOffset>
            </wp:positionV>
            <wp:extent cx="3535680" cy="1954530"/>
            <wp:effectExtent l="0" t="0" r="7620" b="7620"/>
            <wp:wrapNone/>
            <wp:docPr id="15" name="Imagen 15"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Gráfico, Gráfico de líneas&#10;&#10;Descripción generada automá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35680" cy="1954530"/>
                    </a:xfrm>
                    <a:prstGeom prst="rect">
                      <a:avLst/>
                    </a:prstGeom>
                    <a:noFill/>
                  </pic:spPr>
                </pic:pic>
              </a:graphicData>
            </a:graphic>
          </wp:anchor>
        </w:drawing>
      </w:r>
    </w:p>
    <w:p w14:paraId="1F29806A"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6303349"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522C23A7"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026096FD"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4E8D08CE"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590D927E" w14:textId="77777777" w:rsidR="00A371FB" w:rsidRDefault="00A371FB"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39796B7" w14:textId="4850A66E"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En 2021, la economía se recuperó con crecimiento de +10.3% anual según datos del INDEC con incremento de +5.3% en consumo energético. Las primeras estimaciones que elabora G&amp;G Energy Consultants para el consumo de energía en 2022 muestran una expansión de +3.1% con temperaturas algo más frías que las históricas en mayo y junio 2022.  </w:t>
      </w:r>
    </w:p>
    <w:p w14:paraId="47D8611C" w14:textId="5CCECF4A"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531244E4" w14:textId="5555B710"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7EE9B0DF" w14:textId="6F15ECE0"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6633573E" w14:textId="77E5172A"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5AA6C5A8" w14:textId="6A6272E3"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60BEBF6F" w14:textId="1C271418" w:rsidR="00C63F84" w:rsidRPr="00A371FB" w:rsidRDefault="00C63F84"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FD2961A" w14:textId="545CD04E" w:rsidR="00C63F84" w:rsidRPr="00A371FB"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Arial" w:hAnsi="Arial" w:cs="Arial"/>
          <w:noProof/>
          <w:sz w:val="22"/>
          <w:szCs w:val="22"/>
          <w:lang w:eastAsia="es-ES"/>
        </w:rPr>
        <w:drawing>
          <wp:anchor distT="0" distB="0" distL="114300" distR="114300" simplePos="0" relativeHeight="251696128" behindDoc="1" locked="0" layoutInCell="1" allowOverlap="1" wp14:anchorId="192E7AA8" wp14:editId="3DB1C177">
            <wp:simplePos x="0" y="0"/>
            <wp:positionH relativeFrom="margin">
              <wp:posOffset>1068737</wp:posOffset>
            </wp:positionH>
            <wp:positionV relativeFrom="paragraph">
              <wp:posOffset>280670</wp:posOffset>
            </wp:positionV>
            <wp:extent cx="3576320" cy="2320946"/>
            <wp:effectExtent l="0" t="0" r="5080" b="3175"/>
            <wp:wrapNone/>
            <wp:docPr id="1" name="Imagen 1"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de dispersión&#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76320" cy="2320946"/>
                    </a:xfrm>
                    <a:prstGeom prst="rect">
                      <a:avLst/>
                    </a:prstGeom>
                    <a:noFill/>
                  </pic:spPr>
                </pic:pic>
              </a:graphicData>
            </a:graphic>
          </wp:anchor>
        </w:drawing>
      </w:r>
    </w:p>
    <w:p w14:paraId="4A9A36D5" w14:textId="77777777" w:rsidR="00C63F84" w:rsidRPr="00A371FB" w:rsidRDefault="00C63F84"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548F43C7" w14:textId="77777777" w:rsidR="00C63F84" w:rsidRPr="00A371FB" w:rsidRDefault="00C63F84"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420B05F6"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67C5142"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2A8A6ECC"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68906EB"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70B92772"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35BFDD26"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6ED8A988"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0BA0F174" w14:textId="1C93D82B"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El estancamiento del consumo de energía primaria desde 2011 hasta la pandemia en 2020 que se resalta en el gráfico anterior, parece haber finalizado junto con el estancamiento económico revertido desde 2021 y consolidado en 2020. Este proceso tuvo la particularidad de un estancamiento en el consumo energético entre 2016 y 2018, influido por el proceso de recomposición de tarifas de gas y electricidad. Este impacto de estancamiento en el consumo energético fue superado por la crisis económica de 2020, evidenciando de algún modo que la marcha de la economía impacta de modo más decisivo en el consumo energético. Por esto, en la extensión de este ciclo económico positivo de 2021 y 2022, sería de esperar que las tarifas energéticas se recompongan parcialmente como comenzó a fin de 2022, ya que la política de ajustes tarifario no necesariamente influye en la marcha económica.</w:t>
      </w:r>
    </w:p>
    <w:p w14:paraId="385B9F9F"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El crecimiento del consumo energético en años de la primera década del siglo XXI fue resultado de un crecimiento económico elevado, impulsado preponderantemente por los segmentos Residencial y Comercial en su demanda de diversos productos energéticos, como se advierte en los parámetros del consumo gasífero, de naftas y especialmente de electricidad. El estancamiento económico entre 2011 y 2020 con alternancia entre años positivos y negativos de similar nivel, redujo las tasas de crecimiento del consumo energético que se situaron sobre la media histórica entre 2003 y 2011. Probablemente los niveles tarifarios de combustibles, gas y electricidad deprimidos de aquellos años hayan incentivado el consumo energético en este periodo, aunque probaron ser insostenibles para la macroeconomía argentina.</w:t>
      </w:r>
    </w:p>
    <w:p w14:paraId="2E075E3F"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hAnsi="Times New Roman"/>
          <w:sz w:val="22"/>
          <w:szCs w:val="22"/>
          <w:lang w:eastAsia="es-ES"/>
        </w:rPr>
        <w:t>La elasticidad del consumo energético en relación al PBI</w:t>
      </w:r>
      <w:r w:rsidRPr="00A371FB">
        <w:rPr>
          <w:rFonts w:ascii="Times New Roman" w:hAnsi="Times New Roman"/>
          <w:sz w:val="22"/>
          <w:szCs w:val="22"/>
          <w:vertAlign w:val="superscript"/>
          <w:lang w:eastAsia="en-US"/>
        </w:rPr>
        <w:footnoteReference w:id="3"/>
      </w:r>
      <w:r w:rsidRPr="00A371FB">
        <w:rPr>
          <w:rFonts w:ascii="Times New Roman" w:hAnsi="Times New Roman"/>
          <w:sz w:val="22"/>
          <w:szCs w:val="22"/>
          <w:lang w:eastAsia="es-ES"/>
        </w:rPr>
        <w:t xml:space="preserve"> en los últimos dos grandes ciclos</w:t>
      </w:r>
      <w:r w:rsidRPr="00A371FB">
        <w:rPr>
          <w:rFonts w:ascii="Arial" w:hAnsi="Arial" w:cs="Arial"/>
          <w:sz w:val="22"/>
          <w:szCs w:val="22"/>
          <w:lang w:eastAsia="es-ES"/>
        </w:rPr>
        <w:t xml:space="preserve"> </w:t>
      </w:r>
      <w:r w:rsidRPr="00A371FB">
        <w:rPr>
          <w:rFonts w:ascii="Times New Roman" w:eastAsia="Wingdings" w:hAnsi="Times New Roman"/>
          <w:sz w:val="22"/>
          <w:szCs w:val="22"/>
        </w:rPr>
        <w:t xml:space="preserve">político-económicos – década de 1990 y de 2000-2020 - es menor a décadas previas. Las restricciones a la demanda energética por suministro insuficiente, y la necesidad de importar energía para complementar la oferta doméstica, tuvieron impacto en la economía y en el sector Industrial en particular. </w:t>
      </w:r>
    </w:p>
    <w:p w14:paraId="6BB7554D"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Si existiera un proceso de crecimiento económico sólido en el futuro, la necesidad de abastecimiento energético sin dudas será creciente y mayor al de los últimos veinte años.</w:t>
      </w:r>
    </w:p>
    <w:p w14:paraId="73505093" w14:textId="6FF5DE3F"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6B2FFCEE" w14:textId="59A7F738"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2B071519" w14:textId="587CB39B"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49C12371" w14:textId="0CA63380"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1798B35" w14:textId="465C0F39" w:rsidR="00794D95" w:rsidRPr="00A371FB"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noProof/>
          <w:sz w:val="22"/>
          <w:szCs w:val="22"/>
          <w:lang w:eastAsia="en-US"/>
        </w:rPr>
        <w:drawing>
          <wp:anchor distT="0" distB="0" distL="114300" distR="114300" simplePos="0" relativeHeight="251697152" behindDoc="1" locked="0" layoutInCell="1" allowOverlap="1" wp14:anchorId="33AF6B85" wp14:editId="561699B4">
            <wp:simplePos x="0" y="0"/>
            <wp:positionH relativeFrom="margin">
              <wp:posOffset>-60325</wp:posOffset>
            </wp:positionH>
            <wp:positionV relativeFrom="paragraph">
              <wp:posOffset>81280</wp:posOffset>
            </wp:positionV>
            <wp:extent cx="5900420" cy="1771650"/>
            <wp:effectExtent l="0" t="0" r="508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0420" cy="1771650"/>
                    </a:xfrm>
                    <a:prstGeom prst="rect">
                      <a:avLst/>
                    </a:prstGeom>
                    <a:noFill/>
                    <a:ln>
                      <a:noFill/>
                    </a:ln>
                  </pic:spPr>
                </pic:pic>
              </a:graphicData>
            </a:graphic>
          </wp:anchor>
        </w:drawing>
      </w:r>
    </w:p>
    <w:p w14:paraId="4A0C41F4"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hAnsi="Times New Roman"/>
          <w:sz w:val="22"/>
          <w:szCs w:val="22"/>
          <w:lang w:eastAsia="es-ES"/>
        </w:rPr>
      </w:pPr>
    </w:p>
    <w:p w14:paraId="0B86EF66"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hAnsi="Times New Roman"/>
          <w:sz w:val="22"/>
          <w:szCs w:val="22"/>
          <w:lang w:eastAsia="es-ES"/>
        </w:rPr>
      </w:pPr>
    </w:p>
    <w:p w14:paraId="1B1503AE"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hAnsi="Times New Roman"/>
          <w:sz w:val="22"/>
          <w:szCs w:val="22"/>
          <w:lang w:eastAsia="es-ES"/>
        </w:rPr>
      </w:pPr>
    </w:p>
    <w:p w14:paraId="3FB8DF31"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hAnsi="Times New Roman"/>
          <w:sz w:val="22"/>
          <w:szCs w:val="22"/>
          <w:lang w:eastAsia="es-ES"/>
        </w:rPr>
      </w:pPr>
    </w:p>
    <w:p w14:paraId="57C77B06"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hAnsi="Times New Roman"/>
          <w:sz w:val="22"/>
          <w:szCs w:val="22"/>
          <w:lang w:eastAsia="es-ES"/>
        </w:rPr>
      </w:pPr>
    </w:p>
    <w:p w14:paraId="70F7D91B"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hAnsi="Times New Roman"/>
          <w:sz w:val="22"/>
          <w:szCs w:val="22"/>
          <w:lang w:eastAsia="es-ES"/>
        </w:rPr>
      </w:pPr>
    </w:p>
    <w:p w14:paraId="534B1CE9" w14:textId="53A960E1"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hAnsi="Times New Roman"/>
          <w:sz w:val="22"/>
          <w:szCs w:val="22"/>
          <w:lang w:eastAsia="es-ES"/>
        </w:rPr>
      </w:pPr>
      <w:r w:rsidRPr="00A371FB">
        <w:rPr>
          <w:rFonts w:ascii="Times New Roman" w:hAnsi="Times New Roman"/>
          <w:sz w:val="22"/>
          <w:szCs w:val="22"/>
          <w:lang w:eastAsia="es-ES"/>
        </w:rPr>
        <w:t>Las restricciones de abastecimiento de productos energéticos como el gas natural en el último ciclo de crecimiento económico hasta 2011, junto con crecimiento moderado de demanda energética en términos amplios</w:t>
      </w:r>
      <w:r w:rsidRPr="00A371FB">
        <w:rPr>
          <w:sz w:val="22"/>
          <w:szCs w:val="22"/>
          <w:vertAlign w:val="superscript"/>
          <w:lang w:eastAsia="en-US"/>
        </w:rPr>
        <w:footnoteReference w:id="4"/>
      </w:r>
      <w:r w:rsidRPr="00A371FB">
        <w:rPr>
          <w:sz w:val="22"/>
          <w:szCs w:val="22"/>
          <w:lang w:eastAsia="en-US"/>
        </w:rPr>
        <w:t>,</w:t>
      </w:r>
      <w:r w:rsidRPr="00A371FB">
        <w:rPr>
          <w:rFonts w:ascii="Times New Roman" w:hAnsi="Times New Roman"/>
          <w:sz w:val="22"/>
          <w:szCs w:val="22"/>
          <w:lang w:eastAsia="es-ES"/>
        </w:rPr>
        <w:t xml:space="preserve"> generaron problemas en el suministro efectivo de la demanda. La prioridad de abastecimiento de consumidores del segmento Residencial-Comercial de gas y electricidad junto a la recuperación industrial de pequeña y mediana relevancia dio lugar a restricciones y menor crecimiento del consumo energético de grandes consumidores.</w:t>
      </w:r>
    </w:p>
    <w:p w14:paraId="03A0E65F" w14:textId="77777777" w:rsidR="00794D95" w:rsidRPr="00A371FB" w:rsidRDefault="00794D95" w:rsidP="00794D95">
      <w:pPr>
        <w:spacing w:after="240"/>
        <w:ind w:left="284"/>
        <w:jc w:val="center"/>
        <w:rPr>
          <w:rFonts w:ascii="Arial" w:hAnsi="Arial" w:cs="Arial"/>
          <w:sz w:val="22"/>
          <w:szCs w:val="22"/>
          <w:lang w:eastAsia="es-ES"/>
        </w:rPr>
      </w:pPr>
      <w:r w:rsidRPr="00A371FB">
        <w:rPr>
          <w:rFonts w:ascii="Arial" w:hAnsi="Arial" w:cs="Arial"/>
          <w:noProof/>
          <w:sz w:val="22"/>
          <w:szCs w:val="22"/>
          <w:lang w:eastAsia="es-ES"/>
        </w:rPr>
        <w:drawing>
          <wp:inline distT="0" distB="0" distL="0" distR="0" wp14:anchorId="3CB959FC" wp14:editId="2DBDE14E">
            <wp:extent cx="3510915" cy="1970202"/>
            <wp:effectExtent l="0" t="0" r="0" b="0"/>
            <wp:docPr id="1125" name="Imagen 1125"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Imagen 1125" descr="Gráfico&#10;&#10;Descripción generada automáticamen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25032" cy="1978124"/>
                    </a:xfrm>
                    <a:prstGeom prst="rect">
                      <a:avLst/>
                    </a:prstGeom>
                    <a:noFill/>
                  </pic:spPr>
                </pic:pic>
              </a:graphicData>
            </a:graphic>
          </wp:inline>
        </w:drawing>
      </w:r>
    </w:p>
    <w:p w14:paraId="4EB2882D" w14:textId="2695E644"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hAnsi="Times New Roman"/>
          <w:sz w:val="22"/>
          <w:szCs w:val="22"/>
          <w:lang w:eastAsia="es-ES"/>
        </w:rPr>
        <w:t>La estructura del consumo primario energético en la Argentina es dependiente de los hidrocarburos, con 86.8% en 2016, 86.5% en 2017, 85.8% en 2018, 86.1% en 2019; 85.4% en 2020; 85.15% en 2021. Estimamos cambios poco significativos en 2021, probablemente en 85.7% por reducción de oferta hidroeléctrica compensada solo parcialmente por el crecimiento de fuentes renovables en abastecimiento eléctrico</w:t>
      </w:r>
      <w:r w:rsidRPr="00A371FB">
        <w:rPr>
          <w:rFonts w:ascii="Times New Roman" w:hAnsi="Times New Roman"/>
          <w:sz w:val="22"/>
          <w:szCs w:val="22"/>
          <w:vertAlign w:val="superscript"/>
          <w:lang w:eastAsia="en-US"/>
        </w:rPr>
        <w:footnoteReference w:id="5"/>
      </w:r>
      <w:r w:rsidRPr="00A371FB">
        <w:rPr>
          <w:rFonts w:ascii="Times New Roman" w:hAnsi="Times New Roman"/>
          <w:sz w:val="22"/>
          <w:szCs w:val="22"/>
          <w:lang w:eastAsia="es-ES"/>
        </w:rPr>
        <w:t xml:space="preserve">. </w:t>
      </w:r>
      <w:r w:rsidRPr="00A371FB">
        <w:rPr>
          <w:rFonts w:ascii="Times New Roman" w:eastAsia="Wingdings" w:hAnsi="Times New Roman"/>
          <w:sz w:val="22"/>
          <w:szCs w:val="22"/>
        </w:rPr>
        <w:t xml:space="preserve">Este porcentaje de fuentes de origen fósil se redujo levemente en los </w:t>
      </w:r>
      <w:r w:rsidRPr="00A371FB">
        <w:rPr>
          <w:rFonts w:ascii="Times New Roman" w:hAnsi="Times New Roman"/>
          <w:sz w:val="22"/>
          <w:szCs w:val="22"/>
          <w:lang w:eastAsia="es-ES"/>
        </w:rPr>
        <w:t>últimos años por la obligación impuesta a los refinadores de combustibles de incorporar porcentajes de biodiesel y bioetanol en su producción de gas oil y naftas, como también en la incorporación de plantas de generación eléctrica eólica y solar, especialmente en 2019, 2020 y 2021. Si bien el proceso de incorporación de plantas eléctricas de fuentes renovables continúa, es inferior al de años previos por saturación de líneas de transmisión eléctrica.</w:t>
      </w:r>
    </w:p>
    <w:p w14:paraId="321F12FF" w14:textId="488AAF93"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6D2882A5" w14:textId="009FD770"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4628F51E" w14:textId="0F18A1CE" w:rsidR="00794D95" w:rsidRPr="00A371FB"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Arial" w:hAnsi="Arial" w:cs="Arial"/>
          <w:noProof/>
          <w:sz w:val="22"/>
          <w:szCs w:val="22"/>
          <w:lang w:eastAsia="es-ES"/>
        </w:rPr>
        <w:drawing>
          <wp:anchor distT="0" distB="0" distL="114300" distR="114300" simplePos="0" relativeHeight="251698176" behindDoc="1" locked="0" layoutInCell="1" allowOverlap="1" wp14:anchorId="68792F1F" wp14:editId="20FEFC38">
            <wp:simplePos x="0" y="0"/>
            <wp:positionH relativeFrom="margin">
              <wp:posOffset>1774190</wp:posOffset>
            </wp:positionH>
            <wp:positionV relativeFrom="paragraph">
              <wp:posOffset>101600</wp:posOffset>
            </wp:positionV>
            <wp:extent cx="2567940" cy="1987550"/>
            <wp:effectExtent l="0" t="0" r="3810" b="0"/>
            <wp:wrapNone/>
            <wp:docPr id="1150" name="Imagen 1150"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Imagen 1150" descr="Gráfico&#10;&#10;Descripción generada automáticamen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67940" cy="1987550"/>
                    </a:xfrm>
                    <a:prstGeom prst="rect">
                      <a:avLst/>
                    </a:prstGeom>
                    <a:noFill/>
                  </pic:spPr>
                </pic:pic>
              </a:graphicData>
            </a:graphic>
          </wp:anchor>
        </w:drawing>
      </w:r>
    </w:p>
    <w:p w14:paraId="2C505F6F" w14:textId="14118452"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2269EF81"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5515FAF5"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5F77B1DD"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4EE74B4"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6594A872"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41301EC6"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0DEF6772" w14:textId="130EFDED"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 característica estructural de alta dependencia de derivados del petróleo y del gas natural se da en pocos países. Si bien la Argentina no posee grandes reservas convencionales de petróleo y gas natural en relación a su demanda interna, posee potencial relevante en recursos no convencionales de gas y petróleo. Por la naturaleza, característica y costo de las inversiones necesarias, existe dificultad de modificar la estructura de consumo primario energético en el corto plazo en favor de fuentes hidroeléctricas, nuclear, o renovables. Igualmente, diferentes Gobiernos mantuvieron objetivos ambiciosos de incremento de fuentes renovables en el abastecimiento eléctrico, limitados desde 2020 por financiamiento escaso y limitaciones en las líneas de transmisión eléctrica.</w:t>
      </w:r>
    </w:p>
    <w:p w14:paraId="34603311"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 participación del gas natural en el consumo energético primario (53.2% en 2018, 54.5% en 2019, 54.7% en 2020, 51.8% en 2021, y un estimado de 52.3% en 2022), fluctúa anualmente en función de las cantidades importadas de gas natural desde Bolivia, de Gas Natural Licuado (GNL) de diverso origen, y de producción local de gas desde distintas cuentas para satisfacer la demanda. A pesar de la mayor producción local desde los inviernos 2018 y especialmente 2019 reiterado en 2021 y 2022, la demanda de gas natural se encuentra parcialmente insatisfecha en meses de invierno en los segmentos Industrial y de Generación Termoeléctrica</w:t>
      </w:r>
      <w:r w:rsidRPr="00A371FB">
        <w:rPr>
          <w:sz w:val="22"/>
          <w:szCs w:val="22"/>
          <w:vertAlign w:val="superscript"/>
          <w:lang w:eastAsia="en-US"/>
        </w:rPr>
        <w:footnoteReference w:id="6"/>
      </w:r>
      <w:r w:rsidRPr="00A371FB">
        <w:rPr>
          <w:rFonts w:ascii="Times New Roman" w:eastAsia="Wingdings" w:hAnsi="Times New Roman"/>
          <w:sz w:val="22"/>
          <w:szCs w:val="22"/>
        </w:rPr>
        <w:t>. En el invierno 2020 se evidenció un mayor déficit de oferta por la reducción de producción comercial local de gas – el mayor porcentaje de caída anual de las últimas décadas -, que se mitigó parcialmente por la recuperación de cuenca Neuquina en los inviernos 2021 y 2022.</w:t>
      </w:r>
    </w:p>
    <w:p w14:paraId="6993E4EC"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Arial" w:hAnsi="Arial" w:cs="Arial"/>
          <w:noProof/>
          <w:sz w:val="22"/>
          <w:szCs w:val="22"/>
          <w:lang w:eastAsia="es-ES"/>
        </w:rPr>
        <w:drawing>
          <wp:anchor distT="0" distB="0" distL="114300" distR="114300" simplePos="0" relativeHeight="251699200" behindDoc="1" locked="0" layoutInCell="1" allowOverlap="1" wp14:anchorId="1BE1E14E" wp14:editId="438D3664">
            <wp:simplePos x="0" y="0"/>
            <wp:positionH relativeFrom="margin">
              <wp:align>center</wp:align>
            </wp:positionH>
            <wp:positionV relativeFrom="paragraph">
              <wp:posOffset>108585</wp:posOffset>
            </wp:positionV>
            <wp:extent cx="3499485" cy="1854792"/>
            <wp:effectExtent l="0" t="0" r="5715" b="0"/>
            <wp:wrapNone/>
            <wp:docPr id="1159" name="Imagen 1159"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 name="Imagen 1159" descr="Gráfico, Gráfico de líneas&#10;&#10;Descripción generada automáticament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99485" cy="1854792"/>
                    </a:xfrm>
                    <a:prstGeom prst="rect">
                      <a:avLst/>
                    </a:prstGeom>
                    <a:noFill/>
                  </pic:spPr>
                </pic:pic>
              </a:graphicData>
            </a:graphic>
          </wp:anchor>
        </w:drawing>
      </w:r>
    </w:p>
    <w:p w14:paraId="69C21217"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553CECD2"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D5626C8"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0D1A8F1E"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4EF117D0"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D2206D4"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22B5CF5" w14:textId="3F042591"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El Consumo Energético Final en la Argentina – esto es, el Consumo Primario Energético neto de las pérdidas intrínsecas en la propia producción y transporte de productos energéticos primarios y de la transformación en productos energético finales, se distribuye en forma equilibrada entre Transporte</w:t>
      </w:r>
      <w:r w:rsidRPr="00A371FB">
        <w:rPr>
          <w:sz w:val="22"/>
          <w:szCs w:val="22"/>
          <w:vertAlign w:val="superscript"/>
          <w:lang w:eastAsia="en-US"/>
        </w:rPr>
        <w:footnoteReference w:id="7"/>
      </w:r>
      <w:r w:rsidRPr="00A371FB">
        <w:rPr>
          <w:rFonts w:ascii="Times New Roman" w:eastAsia="Wingdings" w:hAnsi="Times New Roman"/>
          <w:sz w:val="22"/>
          <w:szCs w:val="22"/>
        </w:rPr>
        <w:t xml:space="preserve">, Industria y Residencial/Comercial. Esta distribución es similar a otros países en desarrollo con territorio extenso y tamaño medio de población. </w:t>
      </w:r>
    </w:p>
    <w:p w14:paraId="4988E258" w14:textId="23602409" w:rsidR="00601188" w:rsidRPr="00A371FB" w:rsidRDefault="00601188"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3A532D7C" w14:textId="2404BB13" w:rsidR="00601188" w:rsidRPr="00A371FB" w:rsidRDefault="00601188"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64899740" w14:textId="77777777" w:rsidR="00601188" w:rsidRPr="00A371FB" w:rsidRDefault="00601188"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2499E70A"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Arial" w:hAnsi="Arial" w:cs="Arial"/>
          <w:noProof/>
          <w:sz w:val="22"/>
          <w:szCs w:val="22"/>
          <w:lang w:eastAsia="es-ES"/>
        </w:rPr>
        <w:drawing>
          <wp:anchor distT="0" distB="0" distL="114300" distR="114300" simplePos="0" relativeHeight="251700224" behindDoc="1" locked="0" layoutInCell="1" allowOverlap="1" wp14:anchorId="1B6C77FE" wp14:editId="2B4400B3">
            <wp:simplePos x="0" y="0"/>
            <wp:positionH relativeFrom="margin">
              <wp:align>center</wp:align>
            </wp:positionH>
            <wp:positionV relativeFrom="paragraph">
              <wp:posOffset>10160</wp:posOffset>
            </wp:positionV>
            <wp:extent cx="2825750" cy="2407657"/>
            <wp:effectExtent l="0" t="0" r="0" b="0"/>
            <wp:wrapNone/>
            <wp:docPr id="1169" name="Imagen 116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 name="Imagen 1169" descr="Diagrama&#10;&#10;Descripción generada automá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25750" cy="2407657"/>
                    </a:xfrm>
                    <a:prstGeom prst="rect">
                      <a:avLst/>
                    </a:prstGeom>
                    <a:noFill/>
                  </pic:spPr>
                </pic:pic>
              </a:graphicData>
            </a:graphic>
          </wp:anchor>
        </w:drawing>
      </w:r>
    </w:p>
    <w:p w14:paraId="3F4141C6"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45852C49"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2100C0D1"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34F1D2AA" w14:textId="77777777" w:rsidR="00794D95" w:rsidRPr="00A371FB" w:rsidRDefault="00794D95" w:rsidP="00794D95">
      <w:pPr>
        <w:spacing w:after="240"/>
        <w:ind w:left="289"/>
        <w:jc w:val="center"/>
        <w:rPr>
          <w:rFonts w:ascii="Arial" w:hAnsi="Arial" w:cs="Arial"/>
          <w:sz w:val="22"/>
          <w:szCs w:val="22"/>
          <w:lang w:eastAsia="es-ES"/>
        </w:rPr>
      </w:pPr>
    </w:p>
    <w:p w14:paraId="3C2B9B33" w14:textId="77777777" w:rsidR="00794D95" w:rsidRPr="00A371FB" w:rsidRDefault="00794D95" w:rsidP="00794D95">
      <w:pPr>
        <w:spacing w:after="240"/>
        <w:ind w:left="284"/>
        <w:jc w:val="center"/>
        <w:rPr>
          <w:rFonts w:ascii="Arial" w:hAnsi="Arial" w:cs="Arial"/>
          <w:sz w:val="22"/>
          <w:szCs w:val="22"/>
          <w:lang w:eastAsia="es-ES"/>
        </w:rPr>
      </w:pPr>
    </w:p>
    <w:p w14:paraId="6FEDCC64" w14:textId="77777777" w:rsidR="00794D95" w:rsidRPr="00A371FB" w:rsidRDefault="00794D95" w:rsidP="00794D95">
      <w:pPr>
        <w:spacing w:after="240"/>
        <w:ind w:left="284"/>
        <w:jc w:val="center"/>
        <w:rPr>
          <w:rFonts w:ascii="Arial" w:hAnsi="Arial" w:cs="Arial"/>
          <w:sz w:val="22"/>
          <w:szCs w:val="22"/>
          <w:lang w:eastAsia="es-ES"/>
        </w:rPr>
      </w:pPr>
    </w:p>
    <w:p w14:paraId="10C70281" w14:textId="77777777" w:rsidR="00794D95" w:rsidRPr="00A371FB" w:rsidRDefault="00794D95" w:rsidP="00794D95">
      <w:pPr>
        <w:spacing w:after="240"/>
        <w:ind w:left="284"/>
        <w:jc w:val="center"/>
        <w:rPr>
          <w:rFonts w:ascii="Arial" w:hAnsi="Arial" w:cs="Arial"/>
          <w:sz w:val="22"/>
          <w:szCs w:val="22"/>
          <w:lang w:eastAsia="es-ES"/>
        </w:rPr>
      </w:pPr>
    </w:p>
    <w:p w14:paraId="3DB7D12D"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Como síntesis, pueden detallarse las siguientes características particulares de la demanda y oferta energética en la Argentina:</w:t>
      </w:r>
    </w:p>
    <w:p w14:paraId="4FE07BAC" w14:textId="77777777" w:rsidR="00794D95" w:rsidRPr="00A371FB" w:rsidRDefault="00794D95">
      <w:pPr>
        <w:numPr>
          <w:ilvl w:val="0"/>
          <w:numId w:val="14"/>
        </w:num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contextualSpacing/>
        <w:jc w:val="both"/>
        <w:rPr>
          <w:rFonts w:ascii="Times New Roman" w:eastAsia="Wingdings" w:hAnsi="Times New Roman"/>
          <w:sz w:val="22"/>
          <w:szCs w:val="22"/>
        </w:rPr>
      </w:pPr>
      <w:r w:rsidRPr="00A371FB">
        <w:rPr>
          <w:rFonts w:ascii="Times New Roman" w:eastAsia="Wingdings" w:hAnsi="Times New Roman"/>
          <w:sz w:val="22"/>
          <w:szCs w:val="22"/>
        </w:rPr>
        <w:t xml:space="preserve">Estructura atípicamente sesgada hacia el Petróleo y Gas, que es solo característica de los grandes exportadores de hidrocarburos como Medio Oriente, Rusia, países exportadores de LNG de África, o Venezuela. </w:t>
      </w:r>
    </w:p>
    <w:p w14:paraId="71F54488" w14:textId="77777777" w:rsidR="00794D95" w:rsidRPr="00A371FB" w:rsidRDefault="00794D95">
      <w:pPr>
        <w:numPr>
          <w:ilvl w:val="0"/>
          <w:numId w:val="14"/>
        </w:num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contextualSpacing/>
        <w:jc w:val="both"/>
        <w:rPr>
          <w:rFonts w:ascii="Times New Roman" w:eastAsia="Wingdings" w:hAnsi="Times New Roman"/>
          <w:sz w:val="22"/>
          <w:szCs w:val="22"/>
        </w:rPr>
      </w:pPr>
      <w:r w:rsidRPr="00A371FB">
        <w:rPr>
          <w:rFonts w:ascii="Times New Roman" w:eastAsia="Wingdings" w:hAnsi="Times New Roman"/>
          <w:sz w:val="22"/>
          <w:szCs w:val="22"/>
        </w:rPr>
        <w:t xml:space="preserve">Adicionalmente, posee la particularidad que entre 50 y 55% del consumo primario interno de energía se basa en gas natural, a pesar de las restricciones a la demanda potencial en meses de invierno. La restricción de abastecimiento final de gas lleva a la sustitución por otros combustibles como gas oil y fuel oil en generación eléctrica y algunas industrias, y a restricciones directas a la actividad industrial en algunas ramas industriales. </w:t>
      </w:r>
    </w:p>
    <w:p w14:paraId="69530772" w14:textId="77777777" w:rsidR="00794D95" w:rsidRPr="00A371FB" w:rsidRDefault="00794D95">
      <w:pPr>
        <w:numPr>
          <w:ilvl w:val="0"/>
          <w:numId w:val="14"/>
        </w:num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contextualSpacing/>
        <w:jc w:val="both"/>
        <w:rPr>
          <w:rFonts w:ascii="Times New Roman" w:eastAsia="Wingdings" w:hAnsi="Times New Roman"/>
          <w:sz w:val="22"/>
          <w:szCs w:val="22"/>
        </w:rPr>
      </w:pPr>
      <w:r w:rsidRPr="00A371FB">
        <w:rPr>
          <w:rFonts w:ascii="Times New Roman" w:eastAsia="Wingdings" w:hAnsi="Times New Roman"/>
          <w:sz w:val="22"/>
          <w:szCs w:val="22"/>
        </w:rPr>
        <w:t>Esta penetración del gas en el consumo energético es importante a nivel mundial y superada por pocos países que tienen grandes producciones excedentes de gas natural.</w:t>
      </w:r>
    </w:p>
    <w:p w14:paraId="31518BF0" w14:textId="77777777" w:rsidR="00794D95" w:rsidRPr="00A371FB" w:rsidRDefault="00794D95">
      <w:pPr>
        <w:numPr>
          <w:ilvl w:val="0"/>
          <w:numId w:val="14"/>
        </w:num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contextualSpacing/>
        <w:jc w:val="both"/>
        <w:rPr>
          <w:rFonts w:ascii="Times New Roman" w:eastAsia="Wingdings" w:hAnsi="Times New Roman"/>
          <w:sz w:val="22"/>
          <w:szCs w:val="22"/>
        </w:rPr>
      </w:pPr>
      <w:r w:rsidRPr="00A371FB">
        <w:rPr>
          <w:rFonts w:ascii="Times New Roman" w:eastAsia="Wingdings" w:hAnsi="Times New Roman"/>
          <w:sz w:val="22"/>
          <w:szCs w:val="22"/>
        </w:rPr>
        <w:t>Reducción en la oferta energética local en gas natural y petróleo en 2020 e inicios de 2021, en consonancia con reducción adicional de la demanda interna tras años de estancamiento. Se evidencia una fuerte reversión de esta tendencia desde mediados de 2021 extendidas a 2022 con reversión de la oferta de hidrocarburos en la cuenca Neuquina, y reducción en las otras cuencas productivas del país.</w:t>
      </w:r>
    </w:p>
    <w:p w14:paraId="207242C4" w14:textId="77777777" w:rsidR="00794D95" w:rsidRPr="00A371FB" w:rsidRDefault="00794D95">
      <w:pPr>
        <w:numPr>
          <w:ilvl w:val="0"/>
          <w:numId w:val="14"/>
        </w:num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contextualSpacing/>
        <w:jc w:val="both"/>
        <w:rPr>
          <w:rFonts w:ascii="Times New Roman" w:eastAsia="Wingdings" w:hAnsi="Times New Roman"/>
          <w:sz w:val="22"/>
          <w:szCs w:val="22"/>
        </w:rPr>
      </w:pPr>
      <w:r w:rsidRPr="00A371FB">
        <w:rPr>
          <w:rFonts w:ascii="Times New Roman" w:eastAsia="Wingdings" w:hAnsi="Times New Roman"/>
          <w:sz w:val="22"/>
          <w:szCs w:val="22"/>
        </w:rPr>
        <w:t>La reducción de inversión afectada por la crisis económica y sanitaria en 2020 llevó a la implementación de un plan de incentivos a la producción de gas lanzado a fin de 2020 conocido como Plan Gas.Ar, que permitió detener el proceso de caída productiva y permitir la saturación de capacidad de transporte de gas desde cuenca Neuquina en el invierno 2021 y mantenida en 2022.  Este Plan Gas.Ar fue extendido a fin de 2022 hasta diciembre 2028, con ampliación de volúmenes para completar las dos primeras etapas del nuevo gasoducto en construcción desde Neuquén hasta el oeste de Buenos Aires, y ampliación de tramos finales.</w:t>
      </w:r>
    </w:p>
    <w:p w14:paraId="5A78251B" w14:textId="77777777" w:rsidR="00794D95" w:rsidRPr="00A371FB" w:rsidRDefault="00794D95">
      <w:pPr>
        <w:numPr>
          <w:ilvl w:val="0"/>
          <w:numId w:val="14"/>
        </w:num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contextualSpacing/>
        <w:jc w:val="both"/>
        <w:rPr>
          <w:rFonts w:ascii="Times New Roman" w:eastAsia="Wingdings" w:hAnsi="Times New Roman"/>
          <w:sz w:val="22"/>
          <w:szCs w:val="22"/>
        </w:rPr>
      </w:pPr>
      <w:r w:rsidRPr="00A371FB">
        <w:rPr>
          <w:rFonts w:ascii="Times New Roman" w:eastAsia="Wingdings" w:hAnsi="Times New Roman"/>
          <w:sz w:val="22"/>
          <w:szCs w:val="22"/>
        </w:rPr>
        <w:t>A la demanda menor a la histórica que se produjo en 2020 en los segmentos Industrial, Transporte y Comercial tanto en gas como en electricidad, le sucedió una recuperación importante en 2021 y 2022 que supera a la demanda de 2019 previo a la pandemia.</w:t>
      </w:r>
    </w:p>
    <w:p w14:paraId="4E3456B9" w14:textId="77777777" w:rsidR="00794D95" w:rsidRPr="00A371FB" w:rsidRDefault="00794D95">
      <w:pPr>
        <w:numPr>
          <w:ilvl w:val="0"/>
          <w:numId w:val="14"/>
        </w:num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contextualSpacing/>
        <w:jc w:val="both"/>
        <w:rPr>
          <w:rFonts w:ascii="Times New Roman" w:eastAsia="Wingdings" w:hAnsi="Times New Roman"/>
          <w:sz w:val="22"/>
          <w:szCs w:val="22"/>
        </w:rPr>
      </w:pPr>
      <w:r w:rsidRPr="00A371FB">
        <w:rPr>
          <w:rFonts w:ascii="Times New Roman" w:eastAsia="Wingdings" w:hAnsi="Times New Roman"/>
          <w:sz w:val="22"/>
          <w:szCs w:val="22"/>
        </w:rPr>
        <w:t>El congelamiento de tarifas de gas y electricidad dispuesto mediante Decretos de Necesidad y Urgencia de diciembre 2019, se extendió durante el 2020 y solo tuvo un ajuste de 9% en el primer semestre de 2021. Si bien se implementaron ajustes adicionales inferiores a la evolución de la inflación, solo a fin de 2022 se inició un ajuste mayor para reducir el déficit fiscal y los subsidios, a la par que se avanzó con ajustes superiores a en la remuneración de márgenes de transporte y distribución de gas y electricidad. La Revisión Tarifaria Integral se postergó nuevamente hasta fin de 2023, quedando para el próximo Gobierno que asumirá en diciembre de 2023.</w:t>
      </w:r>
    </w:p>
    <w:p w14:paraId="4565CCB1"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p>
    <w:p w14:paraId="710B1E2C" w14:textId="77777777" w:rsidR="00601188" w:rsidRPr="00A371FB" w:rsidRDefault="00601188"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p>
    <w:p w14:paraId="48EFCFD9" w14:textId="18C5A301"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r w:rsidRPr="00A371FB">
        <w:rPr>
          <w:rFonts w:ascii="Times New Roman" w:eastAsia="Wingdings" w:hAnsi="Times New Roman"/>
          <w:b/>
          <w:bCs/>
          <w:sz w:val="22"/>
          <w:szCs w:val="22"/>
        </w:rPr>
        <w:t xml:space="preserve">SUMINISTRO DE ENERGÍA ELÉCTRICA Y ESTRUCTURA DE DEMANDA </w:t>
      </w:r>
    </w:p>
    <w:p w14:paraId="33058D1A"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p>
    <w:p w14:paraId="7702ED0B"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El parque de generación eléctrica en la Argentina evolucionó de modo dispar a lo largo de la historia, con diferentes períodos de incremento de la oferta en respuesta a las políticas imperantes para satisfacer la demanda. </w:t>
      </w:r>
    </w:p>
    <w:p w14:paraId="464CAD97"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CAMMESA reporta la existencia de 42.927 MW nominales instalados y habilitados comercialmente a fin de 2022, con una reducción de -0.1% equivalente a -62 MW. Esta es la primera reducción de potencia nominal instalada desde 2006 con incrementos netos de 2.5% en 2021, y 5.7% en 2020. La reducción neta se debe a retiro de unidades térmicas por expiración de contratos de diverso origen con CAMMESA, y menor incorporación de unidades nuevas. Para dar una dimensión de esta reducción, en 2021 se instalaron 1.038 MW, 2.232 MW en 2020, 1.181 MW en 2019, y 2.388 MW en 2018</w:t>
      </w:r>
      <w:r w:rsidRPr="00A371FB">
        <w:rPr>
          <w:rFonts w:ascii="Times New Roman" w:eastAsia="Wingdings" w:hAnsi="Times New Roman"/>
          <w:sz w:val="22"/>
          <w:szCs w:val="22"/>
          <w:vertAlign w:val="superscript"/>
        </w:rPr>
        <w:footnoteReference w:id="8"/>
      </w:r>
      <w:r w:rsidRPr="00A371FB">
        <w:rPr>
          <w:rFonts w:ascii="Times New Roman" w:eastAsia="Wingdings" w:hAnsi="Times New Roman"/>
          <w:sz w:val="22"/>
          <w:szCs w:val="22"/>
        </w:rPr>
        <w:t>.</w:t>
      </w:r>
    </w:p>
    <w:p w14:paraId="06AC5798"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1CA91E9D"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Las incorporaciones fueron unidades modernas con consumos específicos competitivos en caso de unidades térmicas, con disponibilidad efectiva elevada. La potencia disponible operativa estimada por G&amp;G Energy Consultants previo al verano 2022/2023 se sitúa en torno a 29.000 MW – levemente superior a la demanda máxima de potencia -, con una reserva rotante de 7.2% en el orden de 2.050 MW. No obstante, este nivel de potencia instalada nominal, existe un sostenido incremento de indisponibilidad de unidades térmicas debido a las bajas remuneraciones que paga CAMMESA por unidades disponibles sin contratos específicos. </w:t>
      </w:r>
    </w:p>
    <w:p w14:paraId="1F082FF3"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182438A0"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En días de alta temperatura como el 6 de diciembre 2022 en que se estableció un nuevo récord de consumo de potencia máxima de 28.283 MW con una reserva rotante de 7.2% con 2.036 MW e importaciones de 1.699 MW, la indisponibilidad llega a niveles muy elevados. Ese día se reportaron 9.075 MW de unidades térmicas indisponibles debido a la política de remuneraciones mínimas sin ajustes para unidades vendiendo al mercado spot sin contratos. Ese día no existieron reservas hidroeléctricas ni nucleares, con 941 MW hidroeléctricos y 1.582 MW nucleares en mantenimiento</w:t>
      </w:r>
      <w:r w:rsidRPr="00A371FB">
        <w:rPr>
          <w:rFonts w:ascii="Times New Roman" w:eastAsia="Wingdings" w:hAnsi="Times New Roman"/>
          <w:sz w:val="22"/>
          <w:szCs w:val="22"/>
          <w:vertAlign w:val="superscript"/>
        </w:rPr>
        <w:footnoteReference w:id="9"/>
      </w:r>
      <w:r w:rsidRPr="00A371FB">
        <w:rPr>
          <w:rFonts w:ascii="Times New Roman" w:eastAsia="Wingdings" w:hAnsi="Times New Roman"/>
          <w:sz w:val="22"/>
          <w:szCs w:val="22"/>
          <w:vertAlign w:val="superscript"/>
        </w:rPr>
        <w:t>.</w:t>
      </w:r>
      <w:r w:rsidRPr="00A371FB">
        <w:rPr>
          <w:rFonts w:ascii="Times New Roman" w:eastAsia="Wingdings" w:hAnsi="Times New Roman"/>
          <w:sz w:val="22"/>
          <w:szCs w:val="22"/>
        </w:rPr>
        <w:t xml:space="preserve"> </w:t>
      </w:r>
    </w:p>
    <w:p w14:paraId="621DBFED"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2A58DCA9"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A diferencia de 2017 y 2018 en que se incorporaron varias unidades pequeñas de motores</w:t>
      </w:r>
      <w:r w:rsidRPr="00A371FB">
        <w:rPr>
          <w:rFonts w:ascii="Times New Roman" w:eastAsia="Wingdings" w:hAnsi="Times New Roman"/>
          <w:sz w:val="22"/>
          <w:szCs w:val="22"/>
          <w:vertAlign w:val="superscript"/>
        </w:rPr>
        <w:footnoteReference w:id="10"/>
      </w:r>
      <w:r w:rsidRPr="00A371FB">
        <w:rPr>
          <w:rFonts w:ascii="Times New Roman" w:eastAsia="Wingdings" w:hAnsi="Times New Roman"/>
          <w:sz w:val="22"/>
          <w:szCs w:val="22"/>
          <w:vertAlign w:val="superscript"/>
        </w:rPr>
        <w:t xml:space="preserve"> </w:t>
      </w:r>
      <w:r w:rsidRPr="00A371FB">
        <w:rPr>
          <w:rFonts w:ascii="Times New Roman" w:eastAsia="Wingdings" w:hAnsi="Times New Roman"/>
          <w:sz w:val="22"/>
          <w:szCs w:val="22"/>
        </w:rPr>
        <w:t>y Turbinas a Gas (TG) en respuesta a la contratación lanzada por la Resolución 21/2016, en 2019 comenzaron a incorporarse cierres de ciclos combinados o unidades turbo vapor (TV) en ciclos de cogeneración como el de CT Renova bajo Resolución 287/2017. En 2019 ingresaron TG por 174 MW comparado con 1.232 MW en 2018; en 2020 se redujo el parque de unidades TG en 1.112 MW pasando de ciclos abiertos a ciclos combinados bajo la Resolución 287/2017. En 2021 continuó este proceso con reducción de 343 MW de TG. En 2022 se retiraron 128 MW de unidades TG que se enviaron a otros países al finalizar los contratos bajo los cuales estuvieron disponibles. En 2019 se habían incorporado 210 MW en cierre de ciclos combinados comparado con 598 MW en 2018, y en 2020 el incremento fue sustancial con la adición de 1.875 MW en esta categoría de potencia; en 2021 se incorporaron 383 MW finalizando la mayor parte del proceso iniciado bajo la Resolución 27/2017, y en 2022 se produjo un ajuste negativo técnico de 3 MW sin incorporaciones. No se produjeron cambios en unidades hidroeléctricas, nucleares o grupos Turbo-Vapor en 2021 y 2022 tras repotenciación de algunos turbo grupos de centrales hidroeléctricas que habían incorporado 22 MW en 2019 y 22 MW en 2020. En 2019 se produjo el ingreso sustancial de 1.130 MW nominales de fuentes renovables – principalmente eólicas - comparado con 709 MW en 2018, y en 2020 a pesar de restricciones operativas en la construcción debido a las restricciones sanitarias, se incorporaron otros 1.408 MW renovables, principalmente eólicas. En 2021 se incorporaron nuevamente 1.002 MW renovables con mayor participación solar, y 60 MW en 2022.</w:t>
      </w:r>
    </w:p>
    <w:p w14:paraId="2E161903"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Arial" w:hAnsi="Arial" w:cs="Arial"/>
          <w:noProof/>
          <w:sz w:val="22"/>
          <w:szCs w:val="22"/>
        </w:rPr>
        <w:drawing>
          <wp:anchor distT="0" distB="0" distL="114300" distR="114300" simplePos="0" relativeHeight="251701248" behindDoc="1" locked="0" layoutInCell="1" allowOverlap="1" wp14:anchorId="6ADB9A0F" wp14:editId="05B212C9">
            <wp:simplePos x="0" y="0"/>
            <wp:positionH relativeFrom="margin">
              <wp:align>center</wp:align>
            </wp:positionH>
            <wp:positionV relativeFrom="paragraph">
              <wp:posOffset>19685</wp:posOffset>
            </wp:positionV>
            <wp:extent cx="2644775" cy="2089199"/>
            <wp:effectExtent l="0" t="0" r="3175" b="6350"/>
            <wp:wrapNone/>
            <wp:docPr id="21" name="Imagen 2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Diagrama&#10;&#10;Descripción generada automáticament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44775" cy="2089199"/>
                    </a:xfrm>
                    <a:prstGeom prst="rect">
                      <a:avLst/>
                    </a:prstGeom>
                    <a:noFill/>
                  </pic:spPr>
                </pic:pic>
              </a:graphicData>
            </a:graphic>
          </wp:anchor>
        </w:drawing>
      </w:r>
    </w:p>
    <w:p w14:paraId="20CA44DC"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0AC06B51"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2E1A92B"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76238692"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4BEE98D5"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4C5D9C6E"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2E4E64CC" w14:textId="6D6A86ED"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Las restricciones financieras del Estado condicionan el ritmo de incorporación de centrales como hidroeléctricas o nucleares, debido a su elevado monto de inversión y largos plazos de ejecución. Sin embargo, existen dos centrales en construcción con financiamiento de la República Popular China por 1.310 MW en Santa Cruz, y planes sin avance concreto para dos centrales nucleares de gran porte con financiamiento del mismo país. Por las demoras y costos de estos grandes proyectos, sucesivos gobiernos optaron por incorporar unidades de generación termoeléctrica de menor monto de inversión y plazo más corto de incorporación, aunque requiriendo suministro de gas natural y combustibles líquidos. Esta política de incorporación de generación termoeléctrica encontró restricciones de provisión de combustibles fósiles de producción local entre 2004 y 2017, en particular gas natural. Los Gobiernos han procurado brindar incentivos a la producción y recientemente ampliar la capacidad de transporte de gas. </w:t>
      </w:r>
    </w:p>
    <w:p w14:paraId="57B82CBD" w14:textId="529182C2" w:rsidR="00794D95" w:rsidRPr="00A371FB" w:rsidRDefault="00794D95"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El Gobierno entre 2016 y 2019 lanzó un programa agresivo de contratación de nueva potencia de generación, tanto de origen termoeléctrico como también de fuentes renovables. La incorporación de oferta se logró mediante contratos de disponibilidad de potencia y remuneración de despacho de energía para el caso de unidades térmicas de 10 y 15 años de extensión con remuneraciones en dólares estadunidenses. También se incorporaron unidades mediante contratos de largo plazo de 20 años de compra de la energía disponible con CAMMESA en el caso de unidades de generación eólica, solar, biomasa y pequeñas centrales hidroeléctricas.</w:t>
      </w:r>
    </w:p>
    <w:p w14:paraId="42A145CE" w14:textId="6A647050"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r w:rsidRPr="00A371FB">
        <w:rPr>
          <w:rFonts w:ascii="Times New Roman" w:eastAsia="Wingdings" w:hAnsi="Times New Roman"/>
          <w:b/>
          <w:bCs/>
          <w:sz w:val="22"/>
          <w:szCs w:val="22"/>
        </w:rPr>
        <w:t>Capacidad Nominal de Generación</w:t>
      </w:r>
    </w:p>
    <w:p w14:paraId="3FFFBD76" w14:textId="26B1BF4D"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p>
    <w:p w14:paraId="51143899" w14:textId="6F15964B"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La Potencia Instalada Nominal está concentrada en generación termoeléctrica, aunque el nivel de indisponibilidad de la misma es relativamente elevado en relación a otras fuentes de generación, a excepción de la nuclear que evidencia indisponibilidad recurrente por mantenimientos programados e intempestivos. Una cantidad no menor de unidades de potencia termoeléctrica muestra indisponibilidad de forma recurrente y no se encuentra en condiciones confiables para ser despachada, incluyendo el período de invierno en que las restricciones de combustibles reducen la potencia efectiva disponible. </w:t>
      </w:r>
    </w:p>
    <w:p w14:paraId="0FCC3288" w14:textId="12B7F2A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Arial" w:hAnsi="Arial" w:cs="Arial"/>
          <w:b/>
          <w:noProof/>
          <w:sz w:val="22"/>
          <w:szCs w:val="22"/>
          <w:lang w:eastAsia="en-US"/>
        </w:rPr>
        <w:drawing>
          <wp:anchor distT="0" distB="0" distL="114300" distR="114300" simplePos="0" relativeHeight="251702272" behindDoc="1" locked="0" layoutInCell="1" allowOverlap="1" wp14:anchorId="1B875AB3" wp14:editId="1E37FF9A">
            <wp:simplePos x="0" y="0"/>
            <wp:positionH relativeFrom="margin">
              <wp:align>center</wp:align>
            </wp:positionH>
            <wp:positionV relativeFrom="paragraph">
              <wp:posOffset>10160</wp:posOffset>
            </wp:positionV>
            <wp:extent cx="3962254" cy="2018209"/>
            <wp:effectExtent l="0" t="0" r="635" b="1270"/>
            <wp:wrapNone/>
            <wp:docPr id="31" name="Imagen 3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Gráfico&#10;&#10;Descripción generada automáticamen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62254" cy="2018209"/>
                    </a:xfrm>
                    <a:prstGeom prst="rect">
                      <a:avLst/>
                    </a:prstGeom>
                    <a:noFill/>
                  </pic:spPr>
                </pic:pic>
              </a:graphicData>
            </a:graphic>
          </wp:anchor>
        </w:drawing>
      </w:r>
    </w:p>
    <w:p w14:paraId="27BB42EE" w14:textId="64AC6763"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56036ECA" w14:textId="5ECAECF9"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5CBE1C6A" w14:textId="533625D2"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0454F0F8" w14:textId="06D55C9A"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49AD0122" w14:textId="36B361D9"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0D11412F" w14:textId="2E1534A9"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69FE54A8" w14:textId="1D57512D"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Puede verse la potencia instalada a diciembre 2022 y su evolución respecto a 2021 en las dos Tablas siguientes</w:t>
      </w:r>
      <w:r w:rsidRPr="00A371FB">
        <w:rPr>
          <w:rFonts w:ascii="Times New Roman" w:eastAsia="Wingdings" w:hAnsi="Times New Roman"/>
          <w:sz w:val="22"/>
          <w:szCs w:val="22"/>
          <w:vertAlign w:val="superscript"/>
        </w:rPr>
        <w:footnoteReference w:id="11"/>
      </w:r>
      <w:r w:rsidRPr="00A371FB">
        <w:rPr>
          <w:rFonts w:ascii="Times New Roman" w:eastAsia="Wingdings" w:hAnsi="Times New Roman"/>
          <w:sz w:val="22"/>
          <w:szCs w:val="22"/>
          <w:vertAlign w:val="superscript"/>
        </w:rPr>
        <w:t>:</w:t>
      </w:r>
    </w:p>
    <w:p w14:paraId="0D8DCC32" w14:textId="687EA602" w:rsidR="00794D95" w:rsidRPr="00A371FB" w:rsidRDefault="00794D95" w:rsidP="00794D95">
      <w:pPr>
        <w:spacing w:after="240" w:line="264" w:lineRule="auto"/>
        <w:jc w:val="both"/>
        <w:rPr>
          <w:rFonts w:ascii="Times New Roman" w:eastAsia="Times New Roman" w:hAnsi="Times New Roman"/>
          <w:sz w:val="22"/>
          <w:szCs w:val="22"/>
          <w:lang w:eastAsia="es-ES"/>
        </w:rPr>
      </w:pPr>
    </w:p>
    <w:p w14:paraId="7AC90631" w14:textId="02100A1C" w:rsidR="00794D95" w:rsidRPr="00A371FB" w:rsidRDefault="00C63F84" w:rsidP="00794D95">
      <w:pPr>
        <w:spacing w:after="240" w:line="264" w:lineRule="auto"/>
        <w:jc w:val="both"/>
        <w:rPr>
          <w:rFonts w:ascii="Times New Roman" w:eastAsia="Times New Roman" w:hAnsi="Times New Roman"/>
          <w:sz w:val="22"/>
          <w:szCs w:val="22"/>
          <w:lang w:eastAsia="es-ES"/>
        </w:rPr>
      </w:pPr>
      <w:r w:rsidRPr="00A371FB">
        <w:rPr>
          <w:rFonts w:ascii="Times New Roman" w:eastAsia="Times New Roman" w:hAnsi="Times New Roman"/>
          <w:noProof/>
          <w:sz w:val="22"/>
          <w:szCs w:val="22"/>
          <w:lang w:eastAsia="es-ES"/>
        </w:rPr>
        <w:drawing>
          <wp:anchor distT="0" distB="0" distL="114300" distR="114300" simplePos="0" relativeHeight="251711488" behindDoc="1" locked="0" layoutInCell="1" allowOverlap="1" wp14:anchorId="2067EC7A" wp14:editId="40C8B632">
            <wp:simplePos x="0" y="0"/>
            <wp:positionH relativeFrom="page">
              <wp:posOffset>1513840</wp:posOffset>
            </wp:positionH>
            <wp:positionV relativeFrom="paragraph">
              <wp:posOffset>102870</wp:posOffset>
            </wp:positionV>
            <wp:extent cx="4638040" cy="404304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38040" cy="4043045"/>
                    </a:xfrm>
                    <a:prstGeom prst="rect">
                      <a:avLst/>
                    </a:prstGeom>
                    <a:noFill/>
                    <a:ln>
                      <a:noFill/>
                    </a:ln>
                  </pic:spPr>
                </pic:pic>
              </a:graphicData>
            </a:graphic>
          </wp:anchor>
        </w:drawing>
      </w:r>
    </w:p>
    <w:p w14:paraId="41D02598" w14:textId="693F0817" w:rsidR="00794D95" w:rsidRPr="00A371FB" w:rsidRDefault="00794D95" w:rsidP="00794D95">
      <w:pPr>
        <w:spacing w:after="240" w:line="264" w:lineRule="auto"/>
        <w:jc w:val="both"/>
        <w:rPr>
          <w:rFonts w:ascii="Times New Roman" w:eastAsia="Times New Roman" w:hAnsi="Times New Roman"/>
          <w:sz w:val="22"/>
          <w:szCs w:val="22"/>
          <w:lang w:eastAsia="es-ES"/>
        </w:rPr>
      </w:pPr>
    </w:p>
    <w:p w14:paraId="32264C53" w14:textId="77777777" w:rsidR="00794D95" w:rsidRPr="00A371FB" w:rsidRDefault="00794D95" w:rsidP="00794D95">
      <w:pPr>
        <w:spacing w:after="240" w:line="264" w:lineRule="auto"/>
        <w:jc w:val="both"/>
        <w:rPr>
          <w:rFonts w:ascii="Times New Roman" w:eastAsia="Times New Roman" w:hAnsi="Times New Roman"/>
          <w:sz w:val="22"/>
          <w:szCs w:val="22"/>
          <w:lang w:eastAsia="es-ES"/>
        </w:rPr>
      </w:pPr>
    </w:p>
    <w:p w14:paraId="6DA54A3B" w14:textId="1DA7DA2A" w:rsidR="00794D95" w:rsidRPr="00A371FB" w:rsidRDefault="00794D95" w:rsidP="00601188">
      <w:pPr>
        <w:spacing w:after="240" w:line="264" w:lineRule="auto"/>
        <w:rPr>
          <w:rFonts w:ascii="Times New Roman" w:eastAsia="Times New Roman" w:hAnsi="Times New Roman"/>
          <w:sz w:val="22"/>
          <w:szCs w:val="22"/>
          <w:lang w:eastAsia="es-ES"/>
        </w:rPr>
      </w:pPr>
    </w:p>
    <w:p w14:paraId="0754F065" w14:textId="77777777" w:rsidR="00C63F84" w:rsidRPr="00A371FB" w:rsidRDefault="00C63F84"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B84206D" w14:textId="77777777" w:rsidR="00C63F84" w:rsidRPr="00A371FB" w:rsidRDefault="00C63F84"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4D824AB7" w14:textId="77777777" w:rsidR="00C63F84" w:rsidRPr="00A371FB" w:rsidRDefault="00C63F84"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3731AAC3" w14:textId="77777777" w:rsidR="00C63F84" w:rsidRPr="00A371FB" w:rsidRDefault="00C63F84"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0B90EBEF" w14:textId="77777777" w:rsidR="00C63F84" w:rsidRPr="00A371FB" w:rsidRDefault="00C63F84"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72A6C0D" w14:textId="77777777" w:rsidR="00C63F84" w:rsidRPr="00A371FB" w:rsidRDefault="00C63F84"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3503CE72" w14:textId="77777777" w:rsidR="00C63F84" w:rsidRPr="00A371FB" w:rsidRDefault="00C63F84"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073B4386" w14:textId="77777777" w:rsidR="00C63F84" w:rsidRPr="00A371FB" w:rsidRDefault="00C63F84"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3CCCE8AC" w14:textId="77777777" w:rsidR="00C63F84" w:rsidRPr="00A371FB" w:rsidRDefault="00C63F84"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60BEE044" w14:textId="77777777" w:rsidR="00C63F84" w:rsidRPr="00A371FB" w:rsidRDefault="00C63F84"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637B9727" w14:textId="77777777" w:rsidR="00C63F84" w:rsidRPr="00A371FB" w:rsidRDefault="00C63F84"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791DA8D9" w14:textId="15AE86F1"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El récord de demanda de potencia eléctrica para un Día Hábil fue superado en sucesivas oportunidades desde diciembre 2021 durante olas de calor en la región central del país. El registro máximo de 2022 se produjo el viernes 14 de enero de 2022 con incremento de 6.7% (4.108 MW de aumento) respecto al del 25 de enero de 2021, alcanzando 28.231 MW con restricciones forzadas de difícil estimación. El martes 6 de diciembre de 2022 se superó nuevamente este registro con 28.283 MW con 0.2% (52 MW) y cortes a la demanda. El sábado 15 de enero de 2022 de muy alta temperatura se superó el récord de consumo de potencia para un día Sábado con 26.719 MW y un aumento extraordinario de 18.2% (4.108 MW de aumento) respecto al registro que se mantenía desde el 23 de enero de 2021. Este valor no fue superado hasta la fecha. </w:t>
      </w:r>
    </w:p>
    <w:p w14:paraId="01E390EF"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En cuanto a los registros máximos de consumo de energía diaria también se verifican en verano. El viernes 14 de enero de 2022 se llegó al récord de consumo de energía para un día hábil con 575.9 MWh, 5.8% mayor al de enero de 2019. El sábado 15 y domingo 16 de enero de 2022 se superaron los registros de energía para fines de semana con 559.0 MWh y 478.9 MWh respectivamente. Estos valores no fueron superados en el verano 2022/2023 hasta la fecha.</w:t>
      </w:r>
    </w:p>
    <w:p w14:paraId="123BDD4B" w14:textId="6C37EDA3"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Como se mencionó, en diciembre de 2022 se alcanzó un nuevo registro máximo de potencia eléctrica, aunque con solo 71 MW de excedentes de capacidad de generación, por la extraordinaria indisponibilidad que se presentó de 9.075 MW térmicos más 941 MW hidroeléctricos y 1.582 MW nucleares</w:t>
      </w:r>
      <w:r w:rsidRPr="00A371FB">
        <w:rPr>
          <w:rFonts w:ascii="Times New Roman" w:eastAsia="Wingdings" w:hAnsi="Times New Roman"/>
          <w:sz w:val="22"/>
          <w:szCs w:val="22"/>
          <w:vertAlign w:val="superscript"/>
        </w:rPr>
        <w:footnoteReference w:id="12"/>
      </w:r>
      <w:r w:rsidRPr="00A371FB">
        <w:rPr>
          <w:rFonts w:ascii="Times New Roman" w:eastAsia="Wingdings" w:hAnsi="Times New Roman"/>
          <w:sz w:val="22"/>
          <w:szCs w:val="22"/>
        </w:rPr>
        <w:t>. Esta indisponibilidad impidió mantener el despacho récord del parque termoeléctrico de 17.274 MW el 25 de enero de 2021, y fue aún menor a los 16.408 MW del 14 de enero de 2022 con 411 MW en disponibilidad remanente.</w:t>
      </w:r>
    </w:p>
    <w:p w14:paraId="1DA55021" w14:textId="22D858DA" w:rsidR="00794D95" w:rsidRPr="00A371FB" w:rsidRDefault="00A371FB"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noProof/>
          <w:sz w:val="22"/>
          <w:szCs w:val="22"/>
          <w:lang w:eastAsia="en-US"/>
        </w:rPr>
        <w:drawing>
          <wp:anchor distT="0" distB="0" distL="114300" distR="114300" simplePos="0" relativeHeight="251703296" behindDoc="1" locked="0" layoutInCell="1" allowOverlap="1" wp14:anchorId="2859BA87" wp14:editId="60D57A43">
            <wp:simplePos x="0" y="0"/>
            <wp:positionH relativeFrom="page">
              <wp:align>center</wp:align>
            </wp:positionH>
            <wp:positionV relativeFrom="paragraph">
              <wp:posOffset>156210</wp:posOffset>
            </wp:positionV>
            <wp:extent cx="4208645" cy="1581651"/>
            <wp:effectExtent l="0" t="0" r="190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08645" cy="1581651"/>
                    </a:xfrm>
                    <a:prstGeom prst="rect">
                      <a:avLst/>
                    </a:prstGeom>
                    <a:noFill/>
                    <a:ln>
                      <a:noFill/>
                    </a:ln>
                  </pic:spPr>
                </pic:pic>
              </a:graphicData>
            </a:graphic>
          </wp:anchor>
        </w:drawing>
      </w:r>
    </w:p>
    <w:p w14:paraId="69FFD036" w14:textId="1EC4EFC2"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5E399BC" w14:textId="49167024"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578D8D46" w14:textId="20D4E816"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6C71974F" w14:textId="77777777" w:rsidR="00794D95" w:rsidRPr="00A371FB" w:rsidRDefault="00794D95" w:rsidP="00794D95">
      <w:pPr>
        <w:spacing w:after="240" w:line="264" w:lineRule="auto"/>
        <w:jc w:val="center"/>
        <w:rPr>
          <w:rFonts w:ascii="Times New Roman" w:eastAsia="Times New Roman" w:hAnsi="Times New Roman"/>
          <w:sz w:val="22"/>
          <w:szCs w:val="22"/>
          <w:lang w:eastAsia="es-ES"/>
        </w:rPr>
      </w:pPr>
    </w:p>
    <w:p w14:paraId="5CC6AC95"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541177B5" w14:textId="77777777" w:rsidR="00C63F84" w:rsidRPr="00A371FB" w:rsidRDefault="00C63F84"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9D11EA2" w14:textId="77777777" w:rsidR="00C63F84" w:rsidRPr="00A371FB" w:rsidRDefault="00C63F84"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7E205203" w14:textId="77777777" w:rsidR="00C63F84" w:rsidRPr="00A371FB" w:rsidRDefault="00C63F84"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4CD7A5C6" w14:textId="0690DAA3"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 escasez de reserva de generación eléctrica que se verificó en inviernos y veranos hasta 2016, fue resuelta con la incorporación de una cantidad importante de potencia. Durante los días fríos de los inviernos 2019 y 2020 se comprobó que la incorporación de nueva potencia eléctrica, que se acentuó tras el programa de inversiones desde 2016, modificó la amplia capacidad disponible solo afectada por disponibilidad de combustibles. Esta situación se revirtió desde 2020 ya que la insuficiente remuneración a la potencia y energía en el mercado spot y la finalización de algunos contratos con CAMMESA – que no fueron renovados -, constituye un factor relevante en la acumulación extraordinaria de indisponibilidad de estas unidades.</w:t>
      </w:r>
    </w:p>
    <w:p w14:paraId="0A07CCD7" w14:textId="2A382615" w:rsidR="00794D95" w:rsidRPr="00A371FB" w:rsidRDefault="00794D95" w:rsidP="0060118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 indisponibilidad termoeléctrica que había mejorado hasta 2018-2019, no se sostuvo desde 2021 ya que los generadores con unidades que no cuentan con contratos a término con CAMMESA no pudieron sostener las inversiones en mantenimiento necesarias que habían logrado hasta 2018/2019, en que comenzó a reducirse la remuneración que perciben. Un ajuste de estas remuneraciones a fin de 2022 que se detallará más adelante no fue suficiente ni tuvo tiempo para mejorar esta indisponibilidad. Desde los últimos meses de 2021, CAMMESA reportaba en sus Informes Mensuales la disminución de disponibilidad del parque térmico:</w:t>
      </w:r>
    </w:p>
    <w:p w14:paraId="684A18D0" w14:textId="0B7C1D2C"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7DA6D30D" w14:textId="3DF3790F"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Arial" w:hAnsi="Arial" w:cs="Arial"/>
          <w:noProof/>
          <w:sz w:val="22"/>
          <w:szCs w:val="22"/>
          <w:lang w:eastAsia="en-US"/>
        </w:rPr>
        <w:drawing>
          <wp:anchor distT="0" distB="0" distL="114300" distR="114300" simplePos="0" relativeHeight="251704320" behindDoc="1" locked="0" layoutInCell="1" allowOverlap="1" wp14:anchorId="0F3B4872" wp14:editId="6E5AEB57">
            <wp:simplePos x="0" y="0"/>
            <wp:positionH relativeFrom="margin">
              <wp:posOffset>1313815</wp:posOffset>
            </wp:positionH>
            <wp:positionV relativeFrom="paragraph">
              <wp:posOffset>-94615</wp:posOffset>
            </wp:positionV>
            <wp:extent cx="3588913" cy="1987550"/>
            <wp:effectExtent l="0" t="0" r="0" b="0"/>
            <wp:wrapNone/>
            <wp:docPr id="16" name="Imagen 16"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Gráfico, Gráfico de barras&#10;&#10;Descripción generada automáticament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88913" cy="1987550"/>
                    </a:xfrm>
                    <a:prstGeom prst="rect">
                      <a:avLst/>
                    </a:prstGeom>
                    <a:noFill/>
                  </pic:spPr>
                </pic:pic>
              </a:graphicData>
            </a:graphic>
          </wp:anchor>
        </w:drawing>
      </w:r>
    </w:p>
    <w:p w14:paraId="03FBA4B8"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67EAD838"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3775D115"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3DE2EC52"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4590C986"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5E8FFB4F" w14:textId="40781269"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59671771" w14:textId="62FB26F6"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58128E32" w14:textId="4905148F"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62F28126"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54A8F98A"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7179F5ED"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Los ingresos a generadores eléctricos por diferentes conceptos fueron ajustados entre 2016 y 2018, y se utilizaron para mantener el parque en condiciones de disponibilidad y así recibir pagos por su disponibilidad efectiva. A su vez, la incorporación de unidades nuevas permitió compensar un incremento en la indisponibilidad de unidades más antiguas. El incremento de potencia disponible había mejorado hasta 2019-2021 con el ingreso de centrales nuevas. En 2021 se destacó la incorporación de la unidad de cogeneración de Terminal 6 en que participa Central Puerto S.A., y la operación estable de la cogeneración de Renova en la que participa el Grupo Albanesi. </w:t>
      </w:r>
    </w:p>
    <w:p w14:paraId="6EDC7A48"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En 2022 no hubo incorporaciones relevantes y continuó el retraso de construcción de algunos meses del gran ciclo combinado de Ensenada de Barragán de Pampa Energía-YPF en ensayos en enero 2023, y el de Brigadier López de Central Puerto. </w:t>
      </w:r>
    </w:p>
    <w:p w14:paraId="1B4C1FA8"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Las empresas del Grupo Albanesi participaron de modo relevante en varias centrales con el cumplimiento de incorporación de potencia en general en plazos convenidos con nuevas unidades ingresadas. La última central de este proceso inversor fue la citada unidad de cogeneración Renova en 2021 (Central Térmica Cogeneración Timbúes). Previamente, la nueva capacidad de generación incorporada por el Grupo Albanesi respondió a la licitación pública internacional convocada por Resolución SEE 21/2016 de la Secretaría de Energía Eléctrica del Ministerio de Energía y Minería, en el que el Grupo Albanesi resultó adjudicatario de 420 MW. Las centrales adjudicadas bajo dicha Resolución 21 ya se encuentran completadas. El Grupo Albanesi participó activamente con las siguientes centrales:</w:t>
      </w:r>
    </w:p>
    <w:p w14:paraId="5267417A" w14:textId="77777777" w:rsidR="00794D95" w:rsidRPr="00A371FB" w:rsidRDefault="00794D95">
      <w:pPr>
        <w:numPr>
          <w:ilvl w:val="0"/>
          <w:numId w:val="11"/>
        </w:numPr>
        <w:spacing w:after="120" w:line="264" w:lineRule="auto"/>
        <w:ind w:left="0" w:firstLine="0"/>
        <w:jc w:val="both"/>
        <w:rPr>
          <w:rFonts w:ascii="Times New Roman" w:eastAsia="Times New Roman" w:hAnsi="Times New Roman"/>
          <w:sz w:val="22"/>
          <w:szCs w:val="22"/>
          <w:lang w:eastAsia="es-ES"/>
        </w:rPr>
      </w:pPr>
      <w:r w:rsidRPr="00A371FB">
        <w:rPr>
          <w:rFonts w:ascii="Times New Roman" w:eastAsia="Times New Roman" w:hAnsi="Times New Roman"/>
          <w:sz w:val="22"/>
          <w:szCs w:val="22"/>
          <w:lang w:eastAsia="es-ES"/>
        </w:rPr>
        <w:t>CTE de GMSA fue habilitada comercialmente en septiembre 2017, con dos turbinas Siemens SGT800 de 50 MW cada una, y una tercera turbina de 50 MW también incorporada en 2018.</w:t>
      </w:r>
    </w:p>
    <w:p w14:paraId="5E47D02B" w14:textId="77777777" w:rsidR="00794D95" w:rsidRPr="00A371FB" w:rsidRDefault="00794D95">
      <w:pPr>
        <w:numPr>
          <w:ilvl w:val="0"/>
          <w:numId w:val="11"/>
        </w:numPr>
        <w:spacing w:after="120" w:line="264" w:lineRule="auto"/>
        <w:ind w:left="0" w:firstLine="0"/>
        <w:jc w:val="both"/>
        <w:rPr>
          <w:rFonts w:ascii="Times New Roman" w:eastAsia="Times New Roman" w:hAnsi="Times New Roman"/>
          <w:sz w:val="22"/>
          <w:szCs w:val="22"/>
          <w:lang w:eastAsia="es-ES"/>
        </w:rPr>
      </w:pPr>
      <w:r w:rsidRPr="00A371FB">
        <w:rPr>
          <w:rFonts w:ascii="Times New Roman" w:eastAsia="Times New Roman" w:hAnsi="Times New Roman"/>
          <w:sz w:val="22"/>
          <w:szCs w:val="22"/>
          <w:lang w:eastAsia="es-ES"/>
        </w:rPr>
        <w:t>CTI de GMSA obtuvo la habilitación comercial de una turbina Siemens SGT800 de 50 MW adicional en agosto 2017, y la segunda turbina adicional de similar potencia en 2018.</w:t>
      </w:r>
    </w:p>
    <w:p w14:paraId="0409DC37" w14:textId="77777777" w:rsidR="00794D95" w:rsidRPr="00A371FB" w:rsidRDefault="00794D95">
      <w:pPr>
        <w:numPr>
          <w:ilvl w:val="0"/>
          <w:numId w:val="11"/>
        </w:numPr>
        <w:spacing w:after="120" w:line="264" w:lineRule="auto"/>
        <w:ind w:left="0" w:firstLine="0"/>
        <w:jc w:val="both"/>
        <w:rPr>
          <w:rFonts w:ascii="Times New Roman" w:eastAsia="Times New Roman" w:hAnsi="Times New Roman"/>
          <w:sz w:val="22"/>
          <w:szCs w:val="22"/>
          <w:lang w:eastAsia="es-ES"/>
        </w:rPr>
      </w:pPr>
      <w:r w:rsidRPr="00A371FB">
        <w:rPr>
          <w:rFonts w:ascii="Times New Roman" w:eastAsia="Times New Roman" w:hAnsi="Times New Roman"/>
          <w:sz w:val="22"/>
          <w:szCs w:val="22"/>
          <w:lang w:eastAsia="es-ES"/>
        </w:rPr>
        <w:t xml:space="preserve">CTRi de GMSA obtuvo la habilitación comercial de una nueva turbina Siemens SGT800 de 50 MW en mayo 2017, adicional a 40 MW existentes. </w:t>
      </w:r>
    </w:p>
    <w:p w14:paraId="0951CE40" w14:textId="77777777" w:rsidR="00794D95" w:rsidRPr="00A371FB" w:rsidRDefault="00794D95">
      <w:pPr>
        <w:numPr>
          <w:ilvl w:val="0"/>
          <w:numId w:val="11"/>
        </w:numPr>
        <w:spacing w:after="120" w:line="264" w:lineRule="auto"/>
        <w:ind w:left="0" w:firstLine="0"/>
        <w:jc w:val="both"/>
        <w:rPr>
          <w:rFonts w:ascii="Times New Roman" w:eastAsia="Times New Roman" w:hAnsi="Times New Roman"/>
          <w:sz w:val="22"/>
          <w:szCs w:val="22"/>
          <w:lang w:eastAsia="es-ES"/>
        </w:rPr>
      </w:pPr>
      <w:r w:rsidRPr="00A371FB">
        <w:rPr>
          <w:rFonts w:ascii="Times New Roman" w:eastAsia="Times New Roman" w:hAnsi="Times New Roman"/>
          <w:sz w:val="22"/>
          <w:szCs w:val="22"/>
          <w:lang w:eastAsia="es-ES"/>
        </w:rPr>
        <w:t>CTMM de GMSA incorporó 100 MW de potencia nominal en julio 2017, que se agregaron a 250 MW preexistentes.</w:t>
      </w:r>
    </w:p>
    <w:p w14:paraId="22621D6E" w14:textId="77777777" w:rsidR="00794D95" w:rsidRPr="00A371FB" w:rsidRDefault="00794D95">
      <w:pPr>
        <w:numPr>
          <w:ilvl w:val="0"/>
          <w:numId w:val="11"/>
        </w:numPr>
        <w:spacing w:after="120" w:line="264" w:lineRule="auto"/>
        <w:ind w:left="0" w:firstLine="0"/>
        <w:jc w:val="both"/>
        <w:rPr>
          <w:rFonts w:ascii="Times New Roman" w:eastAsia="Times New Roman" w:hAnsi="Times New Roman"/>
          <w:sz w:val="22"/>
          <w:szCs w:val="22"/>
          <w:lang w:eastAsia="es-ES"/>
        </w:rPr>
      </w:pPr>
      <w:r w:rsidRPr="00A371FB">
        <w:rPr>
          <w:rFonts w:ascii="Times New Roman" w:eastAsia="Times New Roman" w:hAnsi="Times New Roman"/>
          <w:sz w:val="22"/>
          <w:szCs w:val="22"/>
          <w:lang w:eastAsia="es-ES"/>
        </w:rPr>
        <w:t>En CTRO se implementó el cierre a ciclo combinado incorporando una unidad turbo vapor de 60 MW en 2018 a la turbina a gas de 130 MW preexistente.</w:t>
      </w:r>
    </w:p>
    <w:p w14:paraId="290FD6EF"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Adicionalmente, diferentes empresas del Grupo Albanesi fueron adjudicadas con contratos a término con CAMMESA para expandir su potencia en los próximos años. En el marco de la licitación pública internacional para cierre de ciclo combinado y cogeneración eléctrica convocada la Resolución SEE 287-E/2017 de la Secretaría de Energía Eléctrica del Ministerio de Energía y Minería, el Grupo Albanesi resultó adjudicado con 3 proyectos para instalar 351 MW de nueva capacidad, junto a otras unidades de diferentes empresas. Albanesi logró la operación plena de la denominada cogeneración Renova en Santa Fe a pesar de la interrupción de financiamiento al país desde la crisis de 2018/2019. El grupo Albanesi participó en el proceso de incorporación de capacidad de generación bajo Resolución SEE 287-E/2017, con las siguientes centrales: </w:t>
      </w:r>
    </w:p>
    <w:p w14:paraId="5FB55DB9" w14:textId="77777777" w:rsidR="00794D95" w:rsidRPr="00A371FB" w:rsidRDefault="00794D95">
      <w:pPr>
        <w:numPr>
          <w:ilvl w:val="0"/>
          <w:numId w:val="11"/>
        </w:numPr>
        <w:spacing w:after="120" w:line="264" w:lineRule="auto"/>
        <w:ind w:left="0" w:firstLine="0"/>
        <w:jc w:val="both"/>
        <w:rPr>
          <w:rFonts w:ascii="Times New Roman" w:eastAsia="Times New Roman" w:hAnsi="Times New Roman"/>
          <w:sz w:val="22"/>
          <w:szCs w:val="22"/>
          <w:lang w:eastAsia="es-ES"/>
        </w:rPr>
      </w:pPr>
      <w:r w:rsidRPr="00A371FB">
        <w:rPr>
          <w:rFonts w:ascii="Times New Roman" w:eastAsia="Times New Roman" w:hAnsi="Times New Roman"/>
          <w:sz w:val="22"/>
          <w:szCs w:val="22"/>
          <w:lang w:eastAsia="es-ES"/>
        </w:rPr>
        <w:t>El proyecto de cogeneración de la Central Térmica Cogeneración Timbúes de 172 MW en la provincia de Santa Fe, en asociación con Renova – productor de aceite y crushing de soja - que se encuentra en operación desde 2019 y a plena capacidad completa en 2021</w:t>
      </w:r>
    </w:p>
    <w:p w14:paraId="4BD96650" w14:textId="77777777" w:rsidR="00794D95" w:rsidRPr="00A371FB" w:rsidRDefault="00794D95">
      <w:pPr>
        <w:numPr>
          <w:ilvl w:val="0"/>
          <w:numId w:val="11"/>
        </w:numPr>
        <w:spacing w:after="120" w:line="264" w:lineRule="auto"/>
        <w:ind w:left="0" w:firstLine="0"/>
        <w:jc w:val="both"/>
        <w:rPr>
          <w:rFonts w:ascii="Times New Roman" w:eastAsia="Times New Roman" w:hAnsi="Times New Roman"/>
          <w:sz w:val="22"/>
          <w:szCs w:val="22"/>
          <w:lang w:eastAsia="es-ES"/>
        </w:rPr>
      </w:pPr>
      <w:r w:rsidRPr="00A371FB">
        <w:rPr>
          <w:rFonts w:ascii="Times New Roman" w:eastAsia="Times New Roman" w:hAnsi="Times New Roman"/>
          <w:sz w:val="22"/>
          <w:szCs w:val="22"/>
          <w:lang w:eastAsia="es-ES"/>
        </w:rPr>
        <w:t>Cierre de Ciclo por 125 MW adicionales con unidades turbo vapor en la CTMM, en Córdoba.</w:t>
      </w:r>
    </w:p>
    <w:p w14:paraId="49155951" w14:textId="60BC502E" w:rsidR="00794D95" w:rsidRPr="00A371FB" w:rsidRDefault="00794D95">
      <w:pPr>
        <w:numPr>
          <w:ilvl w:val="0"/>
          <w:numId w:val="11"/>
        </w:numPr>
        <w:spacing w:after="120" w:line="264" w:lineRule="auto"/>
        <w:ind w:left="0" w:firstLine="0"/>
        <w:jc w:val="both"/>
        <w:rPr>
          <w:rFonts w:ascii="Times New Roman" w:eastAsia="Times New Roman" w:hAnsi="Times New Roman"/>
          <w:sz w:val="22"/>
          <w:szCs w:val="22"/>
          <w:lang w:eastAsia="es-ES"/>
        </w:rPr>
      </w:pPr>
      <w:r w:rsidRPr="00A371FB">
        <w:rPr>
          <w:rFonts w:ascii="Times New Roman" w:eastAsia="Times New Roman" w:hAnsi="Times New Roman"/>
          <w:sz w:val="22"/>
          <w:szCs w:val="22"/>
          <w:lang w:eastAsia="es-ES"/>
        </w:rPr>
        <w:t>Cierre de Ciclo por 150 MW en unidades turbo vapor en la CTE, en Buenos Aires.</w:t>
      </w:r>
    </w:p>
    <w:p w14:paraId="531053C3"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 Demanda Bruta de Electricidad para mercado interno y externo – incluyendo las pérdidas en el sistema de transmisión y distribución y el consumo propio en unidades de generación rotante –, se sustentó en el suministro termoeléctrico en las últimas décadas, acompañado con un leve incremento de la oferta hidroeléctrica por la incorporación de la etapa final de la CH Yacyretá desde el 2006. Desde 2017 se incorpora la generación renovable, con relevancia creciente.</w:t>
      </w:r>
    </w:p>
    <w:p w14:paraId="346A49CA" w14:textId="77777777" w:rsidR="00794D95" w:rsidRPr="00A371FB" w:rsidRDefault="00794D95" w:rsidP="00794D95">
      <w:pPr>
        <w:spacing w:after="240"/>
        <w:ind w:left="283"/>
        <w:jc w:val="center"/>
        <w:rPr>
          <w:rFonts w:ascii="Arial" w:hAnsi="Arial" w:cs="Arial"/>
          <w:sz w:val="22"/>
          <w:szCs w:val="22"/>
          <w:lang w:eastAsia="es-ES"/>
        </w:rPr>
      </w:pPr>
      <w:r w:rsidRPr="00A371FB">
        <w:rPr>
          <w:rFonts w:ascii="Arial" w:hAnsi="Arial" w:cs="Arial"/>
          <w:noProof/>
          <w:sz w:val="22"/>
          <w:szCs w:val="22"/>
          <w:lang w:eastAsia="es-ES"/>
        </w:rPr>
        <w:drawing>
          <wp:inline distT="0" distB="0" distL="0" distR="0" wp14:anchorId="53E10B5D" wp14:editId="7B7DD283">
            <wp:extent cx="3544974" cy="1980812"/>
            <wp:effectExtent l="0" t="0" r="0" b="635"/>
            <wp:docPr id="24" name="Imagen 24"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Gráfico&#10;&#10;Descripción generada automáticamen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70818" cy="1995253"/>
                    </a:xfrm>
                    <a:prstGeom prst="rect">
                      <a:avLst/>
                    </a:prstGeom>
                    <a:noFill/>
                  </pic:spPr>
                </pic:pic>
              </a:graphicData>
            </a:graphic>
          </wp:inline>
        </w:drawing>
      </w:r>
    </w:p>
    <w:p w14:paraId="6C9D9E13" w14:textId="5C20A7C5" w:rsidR="00794D95" w:rsidRPr="00A371FB" w:rsidRDefault="00794D95" w:rsidP="00794D95">
      <w:pPr>
        <w:spacing w:after="240"/>
        <w:ind w:left="283"/>
        <w:jc w:val="center"/>
        <w:rPr>
          <w:rFonts w:ascii="Arial" w:hAnsi="Arial" w:cs="Arial"/>
          <w:sz w:val="22"/>
          <w:szCs w:val="22"/>
          <w:lang w:eastAsia="es-ES"/>
        </w:rPr>
      </w:pPr>
    </w:p>
    <w:p w14:paraId="75C63AFB" w14:textId="6BD10755" w:rsidR="00794D95" w:rsidRPr="00A371FB" w:rsidRDefault="00A371FB" w:rsidP="00794D95">
      <w:pPr>
        <w:spacing w:after="240"/>
        <w:ind w:left="283"/>
        <w:jc w:val="center"/>
        <w:rPr>
          <w:rFonts w:ascii="Arial" w:hAnsi="Arial" w:cs="Arial"/>
          <w:sz w:val="22"/>
          <w:szCs w:val="22"/>
          <w:lang w:eastAsia="es-ES"/>
        </w:rPr>
      </w:pPr>
      <w:r w:rsidRPr="00A371FB">
        <w:rPr>
          <w:rFonts w:ascii="Arial" w:hAnsi="Arial" w:cs="Arial"/>
          <w:noProof/>
          <w:sz w:val="22"/>
          <w:szCs w:val="22"/>
          <w:lang w:eastAsia="es-ES"/>
        </w:rPr>
        <w:drawing>
          <wp:anchor distT="0" distB="0" distL="114300" distR="114300" simplePos="0" relativeHeight="251705344" behindDoc="1" locked="0" layoutInCell="1" allowOverlap="1" wp14:anchorId="2501E2BA" wp14:editId="3FACD775">
            <wp:simplePos x="0" y="0"/>
            <wp:positionH relativeFrom="margin">
              <wp:posOffset>1440815</wp:posOffset>
            </wp:positionH>
            <wp:positionV relativeFrom="paragraph">
              <wp:posOffset>-196215</wp:posOffset>
            </wp:positionV>
            <wp:extent cx="2876550" cy="2660302"/>
            <wp:effectExtent l="0" t="0" r="0" b="6985"/>
            <wp:wrapNone/>
            <wp:docPr id="1124" name="Imagen 112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Imagen 1124" descr="Diagrama&#10;&#10;Descripción generada automáticament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76550" cy="2660302"/>
                    </a:xfrm>
                    <a:prstGeom prst="rect">
                      <a:avLst/>
                    </a:prstGeom>
                    <a:noFill/>
                  </pic:spPr>
                </pic:pic>
              </a:graphicData>
            </a:graphic>
          </wp:anchor>
        </w:drawing>
      </w:r>
    </w:p>
    <w:p w14:paraId="50D1A798" w14:textId="77777777" w:rsidR="00794D95" w:rsidRPr="00A371FB" w:rsidRDefault="00794D95" w:rsidP="00794D95">
      <w:pPr>
        <w:spacing w:after="240"/>
        <w:ind w:left="283"/>
        <w:jc w:val="center"/>
        <w:rPr>
          <w:rFonts w:ascii="Arial" w:hAnsi="Arial" w:cs="Arial"/>
          <w:sz w:val="22"/>
          <w:szCs w:val="22"/>
          <w:lang w:eastAsia="es-ES"/>
        </w:rPr>
      </w:pPr>
    </w:p>
    <w:p w14:paraId="1617482A" w14:textId="77777777" w:rsidR="00794D95" w:rsidRPr="00A371FB" w:rsidRDefault="00794D95" w:rsidP="00794D95">
      <w:pPr>
        <w:spacing w:after="240"/>
        <w:ind w:left="284"/>
        <w:jc w:val="center"/>
        <w:rPr>
          <w:rFonts w:ascii="Arial" w:hAnsi="Arial" w:cs="Arial"/>
          <w:sz w:val="22"/>
          <w:szCs w:val="22"/>
          <w:lang w:eastAsia="es-ES"/>
        </w:rPr>
      </w:pPr>
    </w:p>
    <w:p w14:paraId="163833D9"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0529D557"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30EA255A"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21A7B0C2"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3934CBC2"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39799DAE"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09A2EBA3"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4A36945F"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2AE6D748"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74DDA5AB"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La demanda de energía eléctrica mostró entre 2016 y 2020 un desaceleramiento de su tendencia al crecimiento por efecto de incrementos tarifarios y bajo crecimiento económico, con profundización de la tendencia en 2019 influido por temperaturas invernales moderadas y crisis económica. Durante 2020, la contribución de exportaciones a Brasil en los últimos meses permitió mostrar un repunte de 1.2% respecto a 2019, aunque la demanda del mercado interno se redujo por los efectos del aislamiento sanitario. </w:t>
      </w:r>
    </w:p>
    <w:p w14:paraId="61244A1E"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483C5B08"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4E7D1E98"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 demanda interna bruta de electricidad se redujo -3.0% en 2019, y -0.9% en 2020, con fuerte recuperación de +4.9% en 2021 y un sólido +4.2% en 2022. La reactivación económica desde 2021 con apertura de actividades, llevó a una expansión de la demanda interna importante en ese año, que se extendió a 2022. Si se computaran las exportaciones eléctricas a Brasil de 2020 y 2021, la expansión de demanda agregada de aquel año fue +5.4% en 2021 y +1.1% de 2020.</w:t>
      </w:r>
    </w:p>
    <w:p w14:paraId="0A7B2840" w14:textId="77777777" w:rsidR="00601188" w:rsidRPr="00A371FB" w:rsidRDefault="00601188"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p>
    <w:p w14:paraId="430FFD5E" w14:textId="77777777" w:rsidR="00601188" w:rsidRPr="00A371FB" w:rsidRDefault="00601188"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p>
    <w:p w14:paraId="310B7B25" w14:textId="1AC0978C"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r w:rsidRPr="00A371FB">
        <w:rPr>
          <w:rFonts w:ascii="Times New Roman" w:eastAsia="Wingdings" w:hAnsi="Times New Roman"/>
          <w:b/>
          <w:bCs/>
          <w:sz w:val="22"/>
          <w:szCs w:val="22"/>
        </w:rPr>
        <w:t xml:space="preserve">Demanda de energía eléctrica </w:t>
      </w:r>
    </w:p>
    <w:p w14:paraId="208010B0"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b/>
          <w:bCs/>
          <w:sz w:val="22"/>
          <w:szCs w:val="22"/>
        </w:rPr>
      </w:pPr>
    </w:p>
    <w:p w14:paraId="6C0CE609"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CAMMESA divide a la Argentina en Regiones que presentan características similares desde el punto de vista de la demanda, de características socio-económicas, y de integración de cada subsistema eléctrico. </w:t>
      </w:r>
    </w:p>
    <w:p w14:paraId="45E1C6A7"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 demanda se localiza concentrada en el área CABA-Gran Buenos Aires-Litoral, que representaba 62.2% de la demanda eléctrica total del país en 2021; estimamos cambios mínimos en 2022</w:t>
      </w:r>
      <w:r w:rsidRPr="00A371FB">
        <w:rPr>
          <w:rFonts w:ascii="Times New Roman" w:eastAsia="Wingdings" w:hAnsi="Times New Roman"/>
          <w:sz w:val="22"/>
          <w:szCs w:val="22"/>
          <w:vertAlign w:val="superscript"/>
        </w:rPr>
        <w:footnoteReference w:id="13"/>
      </w:r>
      <w:r w:rsidRPr="00A371FB">
        <w:rPr>
          <w:rFonts w:ascii="Times New Roman" w:eastAsia="Wingdings" w:hAnsi="Times New Roman"/>
          <w:sz w:val="22"/>
          <w:szCs w:val="22"/>
          <w:vertAlign w:val="superscript"/>
        </w:rPr>
        <w:t xml:space="preserve"> </w:t>
      </w:r>
      <w:r w:rsidRPr="00A371FB">
        <w:rPr>
          <w:rFonts w:ascii="Times New Roman" w:eastAsia="Wingdings" w:hAnsi="Times New Roman"/>
          <w:sz w:val="22"/>
          <w:szCs w:val="22"/>
        </w:rPr>
        <w:t>al reabrirse actividades principalmente en el Gran Buenos Aires en 2021 y 2022. Si bien las tasas de crecimiento en otras regiones como Noroeste, Comahue y Patagonia son superiores al resto de las regiones, los cambios de la presente estructura no serán materiales en el futuro por lo cual las inversiones de abastecimiento eléctrico se concentrarán en estas regiones.</w:t>
      </w:r>
    </w:p>
    <w:p w14:paraId="018ED75A"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En 2020, la se redujo la demanda bruta interna -1.0% pese al congelamiento tarifario, debido a las restricciones y aislamiento. La caída económica de -9.9% impactó en el ritmo de incremento de demanda. En 2021, se produjo una fuerte reversión de la demanda bruta interna con +4.9% con congelamiento tarifario y reactivación económica. En 2022 se extendió el crecimiento de la demanda eléctrica en el mercado interno con +4.2%, con cierta disminución de las tasas en los últimos meses del año.</w:t>
      </w:r>
    </w:p>
    <w:p w14:paraId="5FE853A3"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r w:rsidRPr="00A371FB">
        <w:rPr>
          <w:rFonts w:ascii="Arial" w:hAnsi="Arial" w:cs="Arial"/>
          <w:noProof/>
          <w:sz w:val="22"/>
          <w:szCs w:val="22"/>
          <w:lang w:eastAsia="es-ES"/>
        </w:rPr>
        <w:drawing>
          <wp:anchor distT="0" distB="0" distL="114300" distR="114300" simplePos="0" relativeHeight="251706368" behindDoc="1" locked="0" layoutInCell="1" allowOverlap="1" wp14:anchorId="139E413C" wp14:editId="393959D0">
            <wp:simplePos x="0" y="0"/>
            <wp:positionH relativeFrom="margin">
              <wp:align>center</wp:align>
            </wp:positionH>
            <wp:positionV relativeFrom="paragraph">
              <wp:posOffset>6985</wp:posOffset>
            </wp:positionV>
            <wp:extent cx="3525520" cy="1885919"/>
            <wp:effectExtent l="0" t="0" r="0" b="635"/>
            <wp:wrapNone/>
            <wp:docPr id="1163" name="Imagen 1163"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Imagen 1163" descr="Gráfico, Gráfico de líneas&#10;&#10;Descripción generada automáticament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25520" cy="1885919"/>
                    </a:xfrm>
                    <a:prstGeom prst="rect">
                      <a:avLst/>
                    </a:prstGeom>
                    <a:noFill/>
                  </pic:spPr>
                </pic:pic>
              </a:graphicData>
            </a:graphic>
          </wp:anchor>
        </w:drawing>
      </w:r>
    </w:p>
    <w:p w14:paraId="6EDD7A0B"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419FD788"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2C1C46A9"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53CF9B75"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5E8BBE14"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3207F8A8"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76DB1461"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4DA9B4CA"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0289846D"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70A9F14F"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429B47E1"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5A216DF6"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 evolución de la demanda de energía y su tendencia, puede verse en la variación del promedio móvil de doce meses, que muestra la inercia del proceso hasta mitad de 2019, incipiente recuperación posterior, renovada caída por efecto del aislamiento social de 2020 hasta inicios de 2021, y la fuerte recuperación posterior. Consideramos que el crecimiento se extenderá con disminución de la tendencia hasta el invierno 2023.</w:t>
      </w:r>
    </w:p>
    <w:p w14:paraId="4F844D6F" w14:textId="60EFA214"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219B77B7" w14:textId="0BEE4414"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644C5988" w14:textId="4925E1B3"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60139D22" w14:textId="78CFD301"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6B7FFC50"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27FF7689" w14:textId="29A04CDF"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0E7327C9"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72C9FE77" w14:textId="4FAD7C74"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4A342121" w14:textId="777E0BCD"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0249AC28" w14:textId="57DEB570" w:rsidR="00601188" w:rsidRPr="00A371FB"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r w:rsidRPr="00A371FB">
        <w:rPr>
          <w:rFonts w:ascii="Arial" w:hAnsi="Arial" w:cs="Arial"/>
          <w:noProof/>
          <w:sz w:val="22"/>
          <w:szCs w:val="22"/>
          <w:lang w:eastAsia="es-ES"/>
        </w:rPr>
        <w:drawing>
          <wp:anchor distT="0" distB="0" distL="114300" distR="114300" simplePos="0" relativeHeight="251707392" behindDoc="1" locked="0" layoutInCell="1" allowOverlap="1" wp14:anchorId="6837512F" wp14:editId="2F6969D0">
            <wp:simplePos x="0" y="0"/>
            <wp:positionH relativeFrom="margin">
              <wp:posOffset>1123950</wp:posOffset>
            </wp:positionH>
            <wp:positionV relativeFrom="paragraph">
              <wp:posOffset>17780</wp:posOffset>
            </wp:positionV>
            <wp:extent cx="3568065" cy="1949737"/>
            <wp:effectExtent l="0" t="0" r="0" b="0"/>
            <wp:wrapNone/>
            <wp:docPr id="1166" name="Imagen 1166"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Imagen 1166" descr="Gráfico&#10;&#10;Descripción generada automáticament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68065" cy="1949737"/>
                    </a:xfrm>
                    <a:prstGeom prst="rect">
                      <a:avLst/>
                    </a:prstGeom>
                    <a:noFill/>
                  </pic:spPr>
                </pic:pic>
              </a:graphicData>
            </a:graphic>
          </wp:anchor>
        </w:drawing>
      </w:r>
    </w:p>
    <w:p w14:paraId="3D7C18DB" w14:textId="5CD25828" w:rsidR="00601188" w:rsidRPr="00A371FB" w:rsidRDefault="00601188"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0C8CE521" w14:textId="143EDA5D" w:rsidR="00601188" w:rsidRPr="00A371FB" w:rsidRDefault="00601188"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5689AE78" w14:textId="77777777" w:rsidR="00601188" w:rsidRPr="00A371FB" w:rsidRDefault="00601188"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4CE7B93E" w14:textId="50AA02E4"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70BA5996" w14:textId="235AF864"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380BB612" w14:textId="27A5F8D6"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34549DA4" w14:textId="69CA4A7A"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2D3072E6" w14:textId="7B5A69AE"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36B49E9F" w14:textId="4D8AE21C"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4A361506" w14:textId="41A07ECF"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17D16A2A"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hAnsi="Times New Roman"/>
          <w:sz w:val="22"/>
          <w:szCs w:val="22"/>
          <w:lang w:eastAsia="es-ES"/>
        </w:rPr>
      </w:pPr>
    </w:p>
    <w:p w14:paraId="57E27EB6" w14:textId="3D647860" w:rsidR="00794D95" w:rsidRPr="00A371FB" w:rsidRDefault="00794D95" w:rsidP="00794D95">
      <w:pPr>
        <w:spacing w:after="120"/>
        <w:jc w:val="center"/>
        <w:rPr>
          <w:rFonts w:ascii="Times New Roman" w:hAnsi="Times New Roman"/>
          <w:sz w:val="22"/>
          <w:szCs w:val="22"/>
          <w:lang w:eastAsia="es-ES"/>
        </w:rPr>
      </w:pPr>
    </w:p>
    <w:p w14:paraId="2723E176" w14:textId="5520C6C5" w:rsidR="00794D95" w:rsidRPr="00A371FB" w:rsidRDefault="00794D95" w:rsidP="00794D95">
      <w:pPr>
        <w:spacing w:after="0"/>
        <w:jc w:val="center"/>
        <w:rPr>
          <w:rFonts w:ascii="Times New Roman" w:hAnsi="Times New Roman"/>
          <w:sz w:val="22"/>
          <w:szCs w:val="22"/>
          <w:lang w:eastAsia="es-ES"/>
        </w:rPr>
      </w:pPr>
    </w:p>
    <w:p w14:paraId="268D4170" w14:textId="5294EA86"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0EEB028A" w14:textId="515394AC"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2177CC86" w14:textId="253DC304"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Arial" w:hAnsi="Arial" w:cs="Arial"/>
          <w:noProof/>
          <w:sz w:val="22"/>
          <w:szCs w:val="22"/>
          <w:lang w:eastAsia="es-ES"/>
        </w:rPr>
        <w:drawing>
          <wp:anchor distT="0" distB="0" distL="114300" distR="114300" simplePos="0" relativeHeight="251708416" behindDoc="1" locked="0" layoutInCell="1" allowOverlap="1" wp14:anchorId="010CB233" wp14:editId="2D87189D">
            <wp:simplePos x="0" y="0"/>
            <wp:positionH relativeFrom="margin">
              <wp:posOffset>1211580</wp:posOffset>
            </wp:positionH>
            <wp:positionV relativeFrom="paragraph">
              <wp:posOffset>22860</wp:posOffset>
            </wp:positionV>
            <wp:extent cx="3544570" cy="1795067"/>
            <wp:effectExtent l="0" t="0" r="0" b="0"/>
            <wp:wrapNone/>
            <wp:docPr id="1167" name="Imagen 1167"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 name="Imagen 1167" descr="Gráfico&#10;&#10;Descripción generada automáticament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44570" cy="1795067"/>
                    </a:xfrm>
                    <a:prstGeom prst="rect">
                      <a:avLst/>
                    </a:prstGeom>
                    <a:noFill/>
                  </pic:spPr>
                </pic:pic>
              </a:graphicData>
            </a:graphic>
          </wp:anchor>
        </w:drawing>
      </w:r>
    </w:p>
    <w:p w14:paraId="4453164B"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6BDD285C"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3D2455F9"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2D25DC2C"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5B84B7B7"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53C34912" w14:textId="77777777" w:rsidR="004A538C" w:rsidRDefault="004A538C"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41429CD" w14:textId="0D88CA3D"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Desde fines de 2015, la actividad económica mostró reducción y en especial el sector industrial, que es un sector relevante en el consumo total de electricidad. El aislamiento de 2020 llevó a reducciones interanuales inusuales de dos dígitos, y no debidas a la influencia de temperaturas de invierno o de verano. La reversión desde mitad de 2021 se advierte con nuevos registros interanuales de más de 10% y hasta 15% en el invierno 2021.</w:t>
      </w:r>
    </w:p>
    <w:p w14:paraId="64945538"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Arial" w:hAnsi="Arial" w:cs="Arial"/>
          <w:noProof/>
          <w:sz w:val="22"/>
          <w:szCs w:val="22"/>
          <w:lang w:eastAsia="es-ES"/>
        </w:rPr>
        <w:drawing>
          <wp:anchor distT="0" distB="0" distL="114300" distR="114300" simplePos="0" relativeHeight="251709440" behindDoc="1" locked="0" layoutInCell="1" allowOverlap="1" wp14:anchorId="73FD1366" wp14:editId="4EDE3055">
            <wp:simplePos x="0" y="0"/>
            <wp:positionH relativeFrom="margin">
              <wp:align>center</wp:align>
            </wp:positionH>
            <wp:positionV relativeFrom="paragraph">
              <wp:posOffset>29845</wp:posOffset>
            </wp:positionV>
            <wp:extent cx="3575050" cy="1863952"/>
            <wp:effectExtent l="0" t="0" r="6350" b="3175"/>
            <wp:wrapNone/>
            <wp:docPr id="1171" name="Imagen 1171" descr="Una captura de pantalla de un celular con texto e imagen&#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 name="Imagen 1171" descr="Una captura de pantalla de un celular con texto e imagen&#10;&#10;Descripción generada automáticamente con confianza baj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75050" cy="1863952"/>
                    </a:xfrm>
                    <a:prstGeom prst="rect">
                      <a:avLst/>
                    </a:prstGeom>
                    <a:noFill/>
                  </pic:spPr>
                </pic:pic>
              </a:graphicData>
            </a:graphic>
          </wp:anchor>
        </w:drawing>
      </w:r>
    </w:p>
    <w:p w14:paraId="29962494"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00061670"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049783E8"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43AC1E1E"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3D0C4D4B"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BFE0932"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7BB3798F"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2F4B5E35"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7969E972"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6F2DC494"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49DB5FDF"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Arial" w:hAnsi="Arial" w:cs="Arial"/>
          <w:noProof/>
          <w:sz w:val="22"/>
          <w:szCs w:val="22"/>
          <w:lang w:eastAsia="en-US"/>
        </w:rPr>
        <w:drawing>
          <wp:anchor distT="0" distB="0" distL="114300" distR="114300" simplePos="0" relativeHeight="251710464" behindDoc="1" locked="0" layoutInCell="1" allowOverlap="1" wp14:anchorId="3CF10585" wp14:editId="056D9497">
            <wp:simplePos x="0" y="0"/>
            <wp:positionH relativeFrom="margin">
              <wp:align>center</wp:align>
            </wp:positionH>
            <wp:positionV relativeFrom="paragraph">
              <wp:posOffset>-532765</wp:posOffset>
            </wp:positionV>
            <wp:extent cx="2800350" cy="1926982"/>
            <wp:effectExtent l="0" t="0" r="0" b="0"/>
            <wp:wrapNone/>
            <wp:docPr id="1178" name="Imagen 1178"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Imagen 1178" descr="Gráfico&#10;&#10;Descripción generada automáticament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00350" cy="1926982"/>
                    </a:xfrm>
                    <a:prstGeom prst="rect">
                      <a:avLst/>
                    </a:prstGeom>
                    <a:noFill/>
                  </pic:spPr>
                </pic:pic>
              </a:graphicData>
            </a:graphic>
          </wp:anchor>
        </w:drawing>
      </w:r>
    </w:p>
    <w:p w14:paraId="7FF9BC75"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2ABFDB87"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1D5589CF"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759493C7"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5FF6215E"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p>
    <w:p w14:paraId="006AF888"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En 2019 se produjo una reducción de -2.9% en la demanda anual de energía eléctrica. El segmento de demanda eléctrica Residencial se contrajo -2.6% en 2019 tras expansión de +2.0% en 2018, influido por las temperaturas de invierno y de verano</w:t>
      </w:r>
      <w:r w:rsidRPr="00A371FB">
        <w:rPr>
          <w:rFonts w:ascii="Times New Roman" w:eastAsia="Wingdings" w:hAnsi="Times New Roman"/>
          <w:sz w:val="22"/>
          <w:szCs w:val="22"/>
          <w:vertAlign w:val="superscript"/>
        </w:rPr>
        <w:footnoteReference w:id="14"/>
      </w:r>
      <w:r w:rsidRPr="00A371FB">
        <w:rPr>
          <w:rFonts w:ascii="Times New Roman" w:eastAsia="Wingdings" w:hAnsi="Times New Roman"/>
          <w:sz w:val="22"/>
          <w:szCs w:val="22"/>
          <w:vertAlign w:val="superscript"/>
        </w:rPr>
        <w:t xml:space="preserve"> </w:t>
      </w:r>
      <w:r w:rsidRPr="00A371FB">
        <w:rPr>
          <w:rFonts w:ascii="Times New Roman" w:eastAsia="Wingdings" w:hAnsi="Times New Roman"/>
          <w:sz w:val="22"/>
          <w:szCs w:val="22"/>
        </w:rPr>
        <w:t>. En 2020 se registró un fuerte aumento de 8.1% por el congelamiento tarifario y el aislamiento social, con más personas en sus domicilios. En 2021, el consumo eléctrico del segmento Residencial aumentó +1.3% a pesar de menor número de personas en sus domicilios, impulsado por reactivación económica y congelamiento tarifario. Estimamos que en 2022 el consumo Residencial aumentó +3.8% con congelamiento tarifario y meses de alta temperatura al inicio del año, y frío en mayo y junio.</w:t>
      </w:r>
    </w:p>
    <w:p w14:paraId="22CD23AB"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En 2019 la tendencia de demanda eléctrica del segmento Comercial y PyMEs se acentuó a -3.2%</w:t>
      </w:r>
      <w:r w:rsidRPr="00A371FB">
        <w:rPr>
          <w:rFonts w:ascii="Times New Roman" w:eastAsia="Wingdings" w:hAnsi="Times New Roman"/>
          <w:sz w:val="22"/>
          <w:szCs w:val="22"/>
          <w:vertAlign w:val="superscript"/>
        </w:rPr>
        <w:footnoteReference w:id="15"/>
      </w:r>
      <w:r w:rsidRPr="00A371FB">
        <w:rPr>
          <w:rFonts w:ascii="Times New Roman" w:eastAsia="Wingdings" w:hAnsi="Times New Roman"/>
          <w:sz w:val="22"/>
          <w:szCs w:val="22"/>
          <w:vertAlign w:val="superscript"/>
        </w:rPr>
        <w:t xml:space="preserve"> </w:t>
      </w:r>
      <w:r w:rsidRPr="00A371FB">
        <w:rPr>
          <w:rFonts w:ascii="Times New Roman" w:eastAsia="Wingdings" w:hAnsi="Times New Roman"/>
          <w:sz w:val="22"/>
          <w:szCs w:val="22"/>
        </w:rPr>
        <w:t>con una recesión económica fuerte en este sector. En 2020 se registró una fuerte contracción de -5.3% por la grave crisis económica y aislamiento, con reversión parcial de +4.5% en 2021 y mayor aun en +5.3% en 2022.</w:t>
      </w:r>
    </w:p>
    <w:p w14:paraId="0DD8CF46" w14:textId="77777777" w:rsidR="00794D95" w:rsidRPr="00A371FB" w:rsidRDefault="00794D95" w:rsidP="00794D95">
      <w:pPr>
        <w:spacing w:after="240"/>
        <w:jc w:val="center"/>
        <w:rPr>
          <w:rFonts w:ascii="Times New Roman" w:hAnsi="Times New Roman"/>
          <w:sz w:val="22"/>
          <w:szCs w:val="22"/>
          <w:lang w:eastAsia="en-US"/>
        </w:rPr>
      </w:pPr>
      <w:r w:rsidRPr="00A371FB">
        <w:rPr>
          <w:rFonts w:ascii="Arial" w:hAnsi="Arial" w:cs="Arial"/>
          <w:noProof/>
          <w:sz w:val="22"/>
          <w:szCs w:val="22"/>
          <w:lang w:eastAsia="es-ES"/>
        </w:rPr>
        <w:drawing>
          <wp:inline distT="0" distB="0" distL="0" distR="0" wp14:anchorId="57EA0D17" wp14:editId="490519F3">
            <wp:extent cx="3559810" cy="2083388"/>
            <wp:effectExtent l="0" t="0" r="2540" b="0"/>
            <wp:docPr id="1179" name="Imagen 1179" descr="Gráfico, Gráfico de líneas,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Imagen 1179" descr="Gráfico, Gráfico de líneas, Histograma&#10;&#10;Descripción generada automáticament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74109" cy="2091756"/>
                    </a:xfrm>
                    <a:prstGeom prst="rect">
                      <a:avLst/>
                    </a:prstGeom>
                    <a:noFill/>
                  </pic:spPr>
                </pic:pic>
              </a:graphicData>
            </a:graphic>
          </wp:inline>
        </w:drawing>
      </w:r>
    </w:p>
    <w:p w14:paraId="4415E509" w14:textId="77777777" w:rsidR="00794D95" w:rsidRPr="00A371FB" w:rsidRDefault="00794D95" w:rsidP="00794D9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En 2019 la tendencia recesiva se acentuó hasta mitad de año, con contracción anual de -3.8%</w:t>
      </w:r>
      <w:r w:rsidRPr="00A371FB">
        <w:rPr>
          <w:rFonts w:ascii="Times New Roman" w:eastAsia="Wingdings" w:hAnsi="Times New Roman"/>
          <w:sz w:val="22"/>
          <w:szCs w:val="22"/>
          <w:vertAlign w:val="superscript"/>
        </w:rPr>
        <w:footnoteReference w:id="16"/>
      </w:r>
      <w:r w:rsidRPr="00A371FB">
        <w:rPr>
          <w:rFonts w:ascii="Times New Roman" w:eastAsia="Wingdings" w:hAnsi="Times New Roman"/>
          <w:sz w:val="22"/>
          <w:szCs w:val="22"/>
          <w:vertAlign w:val="superscript"/>
        </w:rPr>
        <w:t>.</w:t>
      </w:r>
      <w:r w:rsidRPr="00A371FB">
        <w:rPr>
          <w:rFonts w:ascii="Times New Roman" w:eastAsia="Wingdings" w:hAnsi="Times New Roman"/>
          <w:sz w:val="22"/>
          <w:szCs w:val="22"/>
        </w:rPr>
        <w:t xml:space="preserve"> En 2020 se registró una fuerte contracción de -11.3% por la crisis económica, con recuperación desde fin de año al comparar con malos meses de 2019. En 2021 la reversión fue muy importante con +13.2% situando el consumo de este segmento por sobre el fin de 2019. En 2022 la recuperación continuó con dinamismo hasta mitad de año, acumulando una expansión anual de +1.8%.</w:t>
      </w:r>
    </w:p>
    <w:p w14:paraId="17006BD4" w14:textId="77777777" w:rsidR="00794D95" w:rsidRPr="00A371FB" w:rsidRDefault="00794D95" w:rsidP="00794D95">
      <w:pPr>
        <w:spacing w:after="240"/>
        <w:ind w:left="284"/>
        <w:jc w:val="center"/>
        <w:rPr>
          <w:rFonts w:ascii="Arial" w:hAnsi="Arial" w:cs="Arial"/>
          <w:sz w:val="22"/>
          <w:szCs w:val="22"/>
          <w:lang w:eastAsia="es-ES"/>
        </w:rPr>
      </w:pPr>
      <w:r w:rsidRPr="00A371FB">
        <w:rPr>
          <w:rFonts w:ascii="Arial" w:hAnsi="Arial" w:cs="Arial"/>
          <w:noProof/>
          <w:sz w:val="22"/>
          <w:szCs w:val="22"/>
          <w:lang w:eastAsia="es-ES"/>
        </w:rPr>
        <w:drawing>
          <wp:inline distT="0" distB="0" distL="0" distR="0" wp14:anchorId="63C15D03" wp14:editId="0C1A1ED9">
            <wp:extent cx="3963670" cy="2331988"/>
            <wp:effectExtent l="0" t="0" r="0" b="0"/>
            <wp:docPr id="1181" name="Imagen 118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 name="Imagen 1181" descr="Gráfico&#10;&#10;Descripción generada automáticament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74757" cy="2338511"/>
                    </a:xfrm>
                    <a:prstGeom prst="rect">
                      <a:avLst/>
                    </a:prstGeom>
                    <a:noFill/>
                  </pic:spPr>
                </pic:pic>
              </a:graphicData>
            </a:graphic>
          </wp:inline>
        </w:drawing>
      </w:r>
    </w:p>
    <w:p w14:paraId="69316BDB" w14:textId="77777777" w:rsidR="006071C8" w:rsidRPr="00A371FB" w:rsidRDefault="006071C8" w:rsidP="00462A83">
      <w:pPr>
        <w:pStyle w:val="Sangradetextonormal"/>
        <w:spacing w:after="0"/>
        <w:ind w:left="0"/>
        <w:jc w:val="both"/>
        <w:rPr>
          <w:rFonts w:ascii="Times New Roman" w:hAnsi="Times New Roman"/>
          <w:sz w:val="22"/>
          <w:szCs w:val="22"/>
          <w:lang w:val="es-AR" w:eastAsia="es-ES"/>
        </w:rPr>
      </w:pPr>
    </w:p>
    <w:p w14:paraId="7F56024B" w14:textId="58D564C7" w:rsidR="006C5DFD" w:rsidRPr="00A371FB" w:rsidRDefault="000459D1">
      <w:pPr>
        <w:pStyle w:val="Ttulo2"/>
        <w:numPr>
          <w:ilvl w:val="0"/>
          <w:numId w:val="8"/>
        </w:numPr>
        <w:autoSpaceDE w:val="0"/>
        <w:autoSpaceDN w:val="0"/>
        <w:spacing w:before="0" w:line="240" w:lineRule="exact"/>
        <w:ind w:left="426"/>
        <w:jc w:val="both"/>
        <w:rPr>
          <w:rFonts w:ascii="Times New Roman" w:hAnsi="Times New Roman" w:cs="Times New Roman"/>
          <w:bCs w:val="0"/>
          <w:color w:val="548DD4" w:themeColor="text2" w:themeTint="99"/>
          <w:sz w:val="22"/>
          <w:szCs w:val="22"/>
        </w:rPr>
      </w:pPr>
      <w:bookmarkStart w:id="5" w:name="_Toc63686709"/>
      <w:bookmarkStart w:id="6" w:name="_Hlk95142238"/>
      <w:r w:rsidRPr="00A371FB">
        <w:rPr>
          <w:rFonts w:ascii="Times New Roman" w:hAnsi="Times New Roman" w:cs="Times New Roman"/>
          <w:bCs w:val="0"/>
          <w:color w:val="548DD4" w:themeColor="text2" w:themeTint="99"/>
          <w:sz w:val="22"/>
          <w:szCs w:val="22"/>
        </w:rPr>
        <w:t>PUNTOS DESTACADOS DEL EJERCICIO 20</w:t>
      </w:r>
      <w:r w:rsidR="0015344E" w:rsidRPr="00A371FB">
        <w:rPr>
          <w:rFonts w:ascii="Times New Roman" w:hAnsi="Times New Roman" w:cs="Times New Roman"/>
          <w:bCs w:val="0"/>
          <w:color w:val="548DD4" w:themeColor="text2" w:themeTint="99"/>
          <w:sz w:val="22"/>
          <w:szCs w:val="22"/>
        </w:rPr>
        <w:t>2</w:t>
      </w:r>
      <w:bookmarkEnd w:id="5"/>
      <w:r w:rsidR="000834D5" w:rsidRPr="00A371FB">
        <w:rPr>
          <w:rFonts w:ascii="Times New Roman" w:hAnsi="Times New Roman" w:cs="Times New Roman"/>
          <w:bCs w:val="0"/>
          <w:color w:val="548DD4" w:themeColor="text2" w:themeTint="99"/>
          <w:sz w:val="22"/>
          <w:szCs w:val="22"/>
        </w:rPr>
        <w:t>2</w:t>
      </w:r>
      <w:r w:rsidRPr="00A371FB">
        <w:rPr>
          <w:rFonts w:ascii="Times New Roman" w:hAnsi="Times New Roman" w:cs="Times New Roman"/>
          <w:b w:val="0"/>
          <w:sz w:val="22"/>
          <w:szCs w:val="22"/>
        </w:rPr>
        <w:fldChar w:fldCharType="begin"/>
      </w:r>
      <w:r w:rsidRPr="00A371FB">
        <w:rPr>
          <w:rFonts w:ascii="Times New Roman" w:hAnsi="Times New Roman" w:cs="Times New Roman"/>
          <w:sz w:val="22"/>
          <w:szCs w:val="22"/>
        </w:rPr>
        <w:instrText xml:space="preserve"> XE "PUNTOS DESTACADOS DEL EJERCICIO 2014" </w:instrText>
      </w:r>
      <w:r w:rsidRPr="00A371FB">
        <w:rPr>
          <w:rFonts w:ascii="Times New Roman" w:hAnsi="Times New Roman" w:cs="Times New Roman"/>
          <w:b w:val="0"/>
          <w:sz w:val="22"/>
          <w:szCs w:val="22"/>
        </w:rPr>
        <w:fldChar w:fldCharType="end"/>
      </w:r>
      <w:r w:rsidRPr="00A371FB">
        <w:rPr>
          <w:rFonts w:ascii="Times New Roman" w:hAnsi="Times New Roman" w:cs="Times New Roman"/>
          <w:b w:val="0"/>
          <w:sz w:val="22"/>
          <w:szCs w:val="22"/>
        </w:rPr>
        <w:fldChar w:fldCharType="begin"/>
      </w:r>
      <w:r w:rsidRPr="00A371FB">
        <w:rPr>
          <w:rFonts w:ascii="Times New Roman" w:hAnsi="Times New Roman" w:cs="Times New Roman"/>
          <w:sz w:val="22"/>
          <w:szCs w:val="22"/>
        </w:rPr>
        <w:instrText xml:space="preserve"> XE "PUNTOS DESTACADOS DEL EJERCICIO 2014" </w:instrText>
      </w:r>
      <w:r w:rsidRPr="00A371FB">
        <w:rPr>
          <w:rFonts w:ascii="Times New Roman" w:hAnsi="Times New Roman" w:cs="Times New Roman"/>
          <w:b w:val="0"/>
          <w:sz w:val="22"/>
          <w:szCs w:val="22"/>
        </w:rPr>
        <w:fldChar w:fldCharType="end"/>
      </w:r>
    </w:p>
    <w:p w14:paraId="63DD1AA2" w14:textId="77777777" w:rsidR="00BB14D3" w:rsidRPr="00A371FB" w:rsidRDefault="00BB14D3" w:rsidP="00BB14D3">
      <w:pPr>
        <w:pStyle w:val="Prrafodelista"/>
        <w:spacing w:after="100" w:afterAutospacing="1" w:line="240" w:lineRule="exact"/>
        <w:ind w:left="360"/>
        <w:jc w:val="both"/>
        <w:rPr>
          <w:rFonts w:ascii="Times New Roman" w:hAnsi="Times New Roman"/>
          <w:b/>
          <w:sz w:val="22"/>
          <w:szCs w:val="22"/>
          <w:u w:val="single"/>
          <w:lang w:val="es-ES"/>
        </w:rPr>
      </w:pPr>
    </w:p>
    <w:p w14:paraId="6ACE5476" w14:textId="6720795F" w:rsidR="000459D1" w:rsidRPr="00A371FB" w:rsidRDefault="000459D1" w:rsidP="005C4D6F">
      <w:pPr>
        <w:pStyle w:val="Prrafodelista"/>
        <w:numPr>
          <w:ilvl w:val="1"/>
          <w:numId w:val="1"/>
        </w:numPr>
        <w:spacing w:after="100" w:afterAutospacing="1" w:line="240" w:lineRule="exact"/>
        <w:jc w:val="both"/>
        <w:rPr>
          <w:rFonts w:ascii="Times New Roman" w:hAnsi="Times New Roman"/>
          <w:b/>
          <w:sz w:val="22"/>
          <w:szCs w:val="22"/>
          <w:u w:val="single"/>
          <w:lang w:val="es-ES"/>
        </w:rPr>
      </w:pPr>
      <w:r w:rsidRPr="00A371FB">
        <w:rPr>
          <w:rFonts w:ascii="Times New Roman" w:hAnsi="Times New Roman"/>
          <w:b/>
          <w:sz w:val="22"/>
          <w:szCs w:val="22"/>
          <w:u w:val="single"/>
          <w:lang w:val="es-ES"/>
        </w:rPr>
        <w:t xml:space="preserve">Energía Eléctrica </w:t>
      </w:r>
    </w:p>
    <w:p w14:paraId="18FFB0FA" w14:textId="77777777" w:rsidR="006071C8" w:rsidRPr="00A371FB" w:rsidRDefault="006071C8" w:rsidP="006071C8">
      <w:pPr>
        <w:pStyle w:val="Prrafodelista"/>
        <w:autoSpaceDE w:val="0"/>
        <w:autoSpaceDN w:val="0"/>
        <w:spacing w:after="0" w:line="240" w:lineRule="exact"/>
        <w:ind w:left="284"/>
        <w:jc w:val="both"/>
        <w:rPr>
          <w:rFonts w:ascii="Times New Roman" w:hAnsi="Times New Roman"/>
          <w:b/>
          <w:color w:val="0070C0"/>
          <w:sz w:val="22"/>
          <w:szCs w:val="22"/>
          <w:u w:val="single"/>
        </w:rPr>
      </w:pPr>
    </w:p>
    <w:p w14:paraId="22A45817" w14:textId="2A0FA194"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 demanda total de energía en el año 2022 registró una variación positiva respecto al año 2021 del orden de 4,6%.  En el año 2022 todos los consumos terminan con una demanda mayor en comparación con el año 2021. Sin embargo, la demanda residencial, fue quien termina impulsado el crecimiento de la demanda. Prácticamente la demanda se comportó de la misma manera en relación a la temperatura (curvas similares) en los últimos dos años.</w:t>
      </w:r>
    </w:p>
    <w:p w14:paraId="15D42135" w14:textId="77777777"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060AA03C" w14:textId="77777777"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 demanda de los Grandes Usuarios del MEM presentó un incremento en el año 2022 frente al 2021 del orden del 1,8%</w:t>
      </w:r>
    </w:p>
    <w:p w14:paraId="60B1D731" w14:textId="77777777"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219951E3" w14:textId="36EBE10E"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En el mes de diciembre 2022 se alcanzó el máximo registro de demanda de potencia alcanzado hasta el momento. El nuevo récord de potencia del SADI de 28.283 MW, fue alcanzado el 06/12/2022 a las 14:43 hs, con una temperatura promedio en GBA de 36,9 °C.</w:t>
      </w:r>
    </w:p>
    <w:p w14:paraId="1225A12B" w14:textId="77777777"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11E73833" w14:textId="27B55621"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En el año 2022, CTR mantuvo una disponibilidad promedio anual del 80%. La energía generada durante el 2022 por las unidades fue de 1.0</w:t>
      </w:r>
      <w:r w:rsidR="00637E59" w:rsidRPr="00A371FB">
        <w:rPr>
          <w:rFonts w:ascii="Times New Roman" w:eastAsia="Wingdings" w:hAnsi="Times New Roman"/>
          <w:sz w:val="22"/>
          <w:szCs w:val="22"/>
        </w:rPr>
        <w:t>65</w:t>
      </w:r>
      <w:r w:rsidRPr="00A371FB">
        <w:rPr>
          <w:rFonts w:ascii="Times New Roman" w:eastAsia="Wingdings" w:hAnsi="Times New Roman"/>
          <w:sz w:val="22"/>
          <w:szCs w:val="22"/>
        </w:rPr>
        <w:t>.</w:t>
      </w:r>
      <w:r w:rsidR="00637E59" w:rsidRPr="00A371FB">
        <w:rPr>
          <w:rFonts w:ascii="Times New Roman" w:eastAsia="Wingdings" w:hAnsi="Times New Roman"/>
          <w:sz w:val="22"/>
          <w:szCs w:val="22"/>
        </w:rPr>
        <w:t>870</w:t>
      </w:r>
      <w:r w:rsidRPr="00A371FB">
        <w:rPr>
          <w:rFonts w:ascii="Times New Roman" w:eastAsia="Wingdings" w:hAnsi="Times New Roman"/>
          <w:sz w:val="22"/>
          <w:szCs w:val="22"/>
        </w:rPr>
        <w:t xml:space="preserve"> MWh.</w:t>
      </w:r>
    </w:p>
    <w:p w14:paraId="6E63C1FC" w14:textId="77777777"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0415C900" w14:textId="61BA3B5A"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En el mes de junio de 2022 venció el Contrato de Demanda en el marco de la Resolución SE 220/07 de la TG de la Central Térmica Roca pasando a ser remunerada como máquina de base bajo Resolución 826/2022.  El Contrato de Demanda de la unidad TV de la Central continúa vigente.</w:t>
      </w:r>
    </w:p>
    <w:p w14:paraId="25C37CF0" w14:textId="77777777" w:rsidR="00312D54" w:rsidRPr="00A371FB" w:rsidRDefault="00312D54" w:rsidP="00312D54">
      <w:pPr>
        <w:spacing w:after="0" w:line="240" w:lineRule="auto"/>
        <w:ind w:right="-232"/>
        <w:jc w:val="both"/>
        <w:rPr>
          <w:rFonts w:ascii="Times New Roman" w:hAnsi="Times New Roman"/>
          <w:color w:val="000000"/>
          <w:sz w:val="22"/>
          <w:szCs w:val="22"/>
        </w:rPr>
      </w:pPr>
    </w:p>
    <w:p w14:paraId="1D3A9382" w14:textId="64C59823" w:rsidR="00320E3C" w:rsidRPr="00A371FB" w:rsidRDefault="000459D1" w:rsidP="00320E3C">
      <w:pPr>
        <w:pStyle w:val="Prrafodelista"/>
        <w:numPr>
          <w:ilvl w:val="1"/>
          <w:numId w:val="1"/>
        </w:numPr>
        <w:spacing w:after="100" w:afterAutospacing="1" w:line="240" w:lineRule="exact"/>
        <w:jc w:val="both"/>
        <w:rPr>
          <w:rFonts w:ascii="Times New Roman" w:hAnsi="Times New Roman"/>
          <w:b/>
          <w:sz w:val="22"/>
          <w:szCs w:val="22"/>
          <w:u w:val="single"/>
          <w:lang w:val="es-ES"/>
        </w:rPr>
      </w:pPr>
      <w:r w:rsidRPr="00A371FB">
        <w:rPr>
          <w:rFonts w:ascii="Times New Roman" w:hAnsi="Times New Roman"/>
          <w:b/>
          <w:sz w:val="22"/>
          <w:szCs w:val="22"/>
          <w:u w:val="single"/>
          <w:lang w:val="es-ES"/>
        </w:rPr>
        <w:t>Mantenimiento</w:t>
      </w:r>
      <w:bookmarkStart w:id="7" w:name="_Hlk506977750"/>
    </w:p>
    <w:p w14:paraId="6A036219" w14:textId="77777777"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El objetivo de las tareas de mantenimiento durante el ejercicio fue el de mantener la disponibilidad del ciclo combinado. </w:t>
      </w:r>
    </w:p>
    <w:p w14:paraId="1ED74F19" w14:textId="77777777"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450228C8" w14:textId="51787560"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El plan de mantenimiento abarcó tanto a la turbina de gas, la turbina de vapor, el HRSG, como a los equipos auxiliares y edilicios.</w:t>
      </w:r>
    </w:p>
    <w:p w14:paraId="7EE34B0E" w14:textId="77777777"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70C36672" w14:textId="77777777"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Asimismo, se mantuvieron vigentes los acuerdos de asistencia local de GE y provisión de partes.</w:t>
      </w:r>
    </w:p>
    <w:p w14:paraId="133E281D" w14:textId="77777777"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5295AE63" w14:textId="799B1196"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Durante el mantenimiento programado mayor se desarrolló la inspección mayor de la turbina de gas, Rotor out, que implico el cambio de partes calientes (alabes y toberas) con tecnología AGP, revisión de cojinetes 1, 2 y 3 (los cuales fueron cambiados por cojinetes nuevos). El alcance de la intervención comprende la revisión mediante NDT de todos los alabes del compresor y el cambio de partes de combustión, adoptando la nueva tecnología de 32K que implico modificación de cañerías y nuevas válvulas. Se aprovecho la oportunidad de la parada para el cambio completo de aceite de TG y cambio de las válvulas de control de gas SRV (Stop ratio valve) y GCV (gas control valve), cambio y revisión del accionamiento de los IGV y calibración de todos los LVDT.</w:t>
      </w:r>
    </w:p>
    <w:p w14:paraId="4CFEAA64" w14:textId="77777777"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534FDB3D" w14:textId="654C6590"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En este mantenimiento mayor se realizó la extracción completa del rotor del generador y se realizaron todos los ensayos correspondientes.</w:t>
      </w:r>
    </w:p>
    <w:p w14:paraId="399A93BE" w14:textId="77777777"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7A22BF07" w14:textId="4AB26904"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Con las horas acumuladas por la turbina de gas, le correspondería una HGP según el documento de GE GER-3620N. Sin embargo, aprovechando la nueva tecnología disponible por el fabricante, se decide cambiar la tecnología actual, por la nueva tecnología de combustión por la denominada 32k, lo que permite extender la próxima intervención a 32 000 horas.</w:t>
      </w:r>
    </w:p>
    <w:p w14:paraId="22077C09" w14:textId="77777777"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142E2EED" w14:textId="7118B00B" w:rsidR="00320E3C" w:rsidRPr="00A371FB" w:rsidRDefault="00320E3C" w:rsidP="00320E3C">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Cabe destacar que este mantenimiento mayor, se realizó con personal propio, con mano de obra local y supervisión por personal especializado del fabricante (General Electric) lo que garantiza la garantía del correcto servicio, estado de partes y montaje de las mismas.</w:t>
      </w:r>
    </w:p>
    <w:p w14:paraId="5AC5B3C6" w14:textId="77777777" w:rsidR="00320E3C" w:rsidRPr="00A371FB" w:rsidRDefault="00320E3C" w:rsidP="00C85568">
      <w:pPr>
        <w:spacing w:after="0" w:line="240" w:lineRule="auto"/>
        <w:ind w:right="-232"/>
        <w:jc w:val="both"/>
        <w:rPr>
          <w:rFonts w:ascii="Times New Roman" w:hAnsi="Times New Roman"/>
          <w:color w:val="000000"/>
          <w:sz w:val="22"/>
          <w:szCs w:val="22"/>
        </w:rPr>
      </w:pPr>
    </w:p>
    <w:bookmarkEnd w:id="6"/>
    <w:p w14:paraId="1C01CE6B" w14:textId="77777777" w:rsidR="00DA7BD5" w:rsidRPr="00A371FB" w:rsidRDefault="00DA7BD5" w:rsidP="00DA7BD5">
      <w:pPr>
        <w:spacing w:after="0" w:line="240" w:lineRule="auto"/>
        <w:ind w:right="-232"/>
        <w:jc w:val="both"/>
        <w:rPr>
          <w:rFonts w:ascii="Times New Roman" w:hAnsi="Times New Roman"/>
          <w:sz w:val="22"/>
          <w:szCs w:val="22"/>
          <w:lang w:val="es-ES"/>
        </w:rPr>
      </w:pPr>
    </w:p>
    <w:bookmarkEnd w:id="7"/>
    <w:p w14:paraId="06981ACC" w14:textId="3AD8833B" w:rsidR="00A458BD" w:rsidRPr="00A371FB" w:rsidRDefault="000459D1" w:rsidP="005C4D6F">
      <w:pPr>
        <w:pStyle w:val="Prrafodelista"/>
        <w:numPr>
          <w:ilvl w:val="1"/>
          <w:numId w:val="1"/>
        </w:numPr>
        <w:spacing w:after="0" w:line="240" w:lineRule="exact"/>
        <w:jc w:val="both"/>
        <w:rPr>
          <w:rFonts w:ascii="Times New Roman" w:hAnsi="Times New Roman"/>
          <w:b/>
          <w:sz w:val="22"/>
          <w:szCs w:val="22"/>
          <w:lang w:val="es-ES"/>
        </w:rPr>
      </w:pPr>
      <w:r w:rsidRPr="00A371FB">
        <w:rPr>
          <w:rFonts w:ascii="Times New Roman" w:hAnsi="Times New Roman"/>
          <w:b/>
          <w:sz w:val="22"/>
          <w:szCs w:val="22"/>
          <w:u w:val="single"/>
          <w:lang w:val="es-ES"/>
        </w:rPr>
        <w:t>Medio Ambiente</w:t>
      </w:r>
    </w:p>
    <w:p w14:paraId="45901A93" w14:textId="77777777" w:rsidR="00A458BD" w:rsidRPr="00A371FB" w:rsidRDefault="00A458BD" w:rsidP="00462A83">
      <w:pPr>
        <w:pStyle w:val="Sangradetextonormal"/>
        <w:spacing w:after="0"/>
        <w:ind w:left="0"/>
        <w:jc w:val="both"/>
        <w:rPr>
          <w:rFonts w:ascii="Times New Roman" w:hAnsi="Times New Roman"/>
          <w:b/>
          <w:sz w:val="22"/>
          <w:szCs w:val="22"/>
          <w:lang w:val="es-AR" w:eastAsia="es-ES"/>
        </w:rPr>
      </w:pPr>
    </w:p>
    <w:p w14:paraId="7662A827" w14:textId="77777777" w:rsidR="00C85568" w:rsidRPr="00A371FB" w:rsidRDefault="00C85568" w:rsidP="00C85568">
      <w:pPr>
        <w:pStyle w:val="Sangradetextonormal"/>
        <w:spacing w:after="0"/>
        <w:ind w:left="0"/>
        <w:jc w:val="both"/>
        <w:rPr>
          <w:rFonts w:ascii="Times New Roman" w:hAnsi="Times New Roman"/>
          <w:b/>
          <w:sz w:val="22"/>
          <w:szCs w:val="22"/>
          <w:lang w:val="es-AR" w:eastAsia="es-ES"/>
        </w:rPr>
      </w:pPr>
      <w:bookmarkStart w:id="8" w:name="_Hlk28940889"/>
      <w:r w:rsidRPr="00A371FB">
        <w:rPr>
          <w:rFonts w:ascii="Times New Roman" w:hAnsi="Times New Roman"/>
          <w:b/>
          <w:sz w:val="22"/>
          <w:szCs w:val="22"/>
          <w:lang w:val="es-AR" w:eastAsia="es-ES"/>
        </w:rPr>
        <w:t xml:space="preserve">Sistema de Gestión Ambiental Corporativo </w:t>
      </w:r>
    </w:p>
    <w:p w14:paraId="2BC6D8C1" w14:textId="68A3C75F" w:rsidR="00C85568" w:rsidRPr="00A371FB" w:rsidRDefault="00C85568" w:rsidP="004D4467">
      <w:pPr>
        <w:pStyle w:val="Sangradetextonormal"/>
        <w:spacing w:after="0"/>
        <w:ind w:left="0"/>
        <w:jc w:val="both"/>
        <w:rPr>
          <w:rFonts w:ascii="Times New Roman" w:hAnsi="Times New Roman"/>
          <w:b/>
          <w:sz w:val="22"/>
          <w:szCs w:val="22"/>
          <w:lang w:val="es-AR" w:eastAsia="es-ES"/>
        </w:rPr>
      </w:pPr>
    </w:p>
    <w:p w14:paraId="42AB7979" w14:textId="77777777" w:rsidR="000834D5" w:rsidRPr="00A371FB" w:rsidRDefault="000834D5" w:rsidP="000834D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 certificación del Sistema de Gestión Ambiental bajo Norma ISO 14001:2015 se mantiene disponible en todas las Centrales de generación de energía eléctrica del Grupo sustentado en un diseño e implementación de alcance corporativo. Dentro de este marco se destaca especialmente:</w:t>
      </w:r>
    </w:p>
    <w:p w14:paraId="475FE089" w14:textId="77777777" w:rsidR="000834D5" w:rsidRPr="00A371FB" w:rsidRDefault="000834D5" w:rsidP="000834D5">
      <w:pPr>
        <w:pStyle w:val="Prrafodelista"/>
        <w:spacing w:after="100" w:afterAutospacing="1" w:line="240" w:lineRule="exact"/>
        <w:ind w:left="0"/>
        <w:jc w:val="both"/>
        <w:rPr>
          <w:rFonts w:ascii="Times New Roman" w:hAnsi="Times New Roman"/>
          <w:color w:val="000000" w:themeColor="text1"/>
          <w:sz w:val="22"/>
          <w:szCs w:val="22"/>
          <w:lang w:val="es-ES"/>
        </w:rPr>
      </w:pPr>
    </w:p>
    <w:p w14:paraId="4435CFD8" w14:textId="77777777" w:rsidR="000834D5" w:rsidRPr="00A371FB" w:rsidRDefault="000834D5">
      <w:pPr>
        <w:pStyle w:val="Prrafodelista"/>
        <w:numPr>
          <w:ilvl w:val="0"/>
          <w:numId w:val="13"/>
        </w:numPr>
        <w:spacing w:after="100" w:afterAutospacing="1" w:line="240" w:lineRule="exact"/>
        <w:ind w:left="426"/>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GMSA, CTMM cuenta además con un Sistema de Gestión de Calidad certificado bajo Norma ISO 9001:2015 e implementado de manera integrada con su Sistema de Gestión Ambiental.</w:t>
      </w:r>
    </w:p>
    <w:p w14:paraId="6BA05395" w14:textId="6938A4F3" w:rsidR="000834D5" w:rsidRPr="00A371FB" w:rsidRDefault="000834D5">
      <w:pPr>
        <w:pStyle w:val="Prrafodelista"/>
        <w:numPr>
          <w:ilvl w:val="0"/>
          <w:numId w:val="13"/>
        </w:numPr>
        <w:spacing w:after="100" w:afterAutospacing="1" w:line="240" w:lineRule="exact"/>
        <w:ind w:left="426"/>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GMSA, CTE dispone desde diciembre de 2021 de la certificación ISO 45001:2018 de Seguridad y Salud en el trabajo.</w:t>
      </w:r>
    </w:p>
    <w:p w14:paraId="00B36A2D" w14:textId="77777777" w:rsidR="000834D5" w:rsidRPr="00A371FB" w:rsidRDefault="000834D5" w:rsidP="000834D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La gestión ambiental administrada bajo esta modalidad corporativa permite proceder unificada y coordinadamente en todos los sitios de trabajo aunando criterios para la determinación de los aspectos ambientales de la actividad, sus evaluaciones de significancia y los controles operacionales adoptados en respuesta. </w:t>
      </w:r>
    </w:p>
    <w:p w14:paraId="7DFCFB50" w14:textId="77777777" w:rsidR="000834D5" w:rsidRPr="00A371FB" w:rsidRDefault="000834D5" w:rsidP="000834D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6D422A64" w14:textId="77777777" w:rsidR="000834D5" w:rsidRPr="00A371FB" w:rsidRDefault="000834D5" w:rsidP="000834D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Sustentado en una documentación predominantemente estandarizada e implementada en un marco de trabajo apoyado en el desempeño solidario y cooperativo entre las partes, se ha logrado en el tiempo un crecimiento conjunto sostenido, sujeto a revisiones periódicas de desempeño y procesos de mejora continua.</w:t>
      </w:r>
    </w:p>
    <w:p w14:paraId="1E612D26" w14:textId="77777777" w:rsidR="000834D5" w:rsidRPr="00A371FB" w:rsidRDefault="000834D5" w:rsidP="000834D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p>
    <w:p w14:paraId="110DD729" w14:textId="77777777" w:rsidR="000834D5" w:rsidRPr="00A371FB" w:rsidRDefault="000834D5" w:rsidP="000834D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Los beneficios fundamentales de esta cultura de trabajo pueden evidenciarse en aspectos que identifican especialmente a la organización en su conjunto, como:</w:t>
      </w:r>
    </w:p>
    <w:p w14:paraId="5B03F6E4" w14:textId="77777777" w:rsidR="000834D5" w:rsidRPr="00A371FB" w:rsidRDefault="000834D5" w:rsidP="000834D5">
      <w:pPr>
        <w:pStyle w:val="Sangradetextonormal"/>
        <w:spacing w:after="0"/>
        <w:ind w:left="0"/>
        <w:jc w:val="both"/>
        <w:rPr>
          <w:rFonts w:ascii="Times New Roman" w:hAnsi="Times New Roman"/>
          <w:color w:val="000000" w:themeColor="text1"/>
          <w:sz w:val="22"/>
          <w:szCs w:val="22"/>
          <w:lang w:val="es-AR" w:eastAsia="es-ES"/>
        </w:rPr>
      </w:pPr>
    </w:p>
    <w:p w14:paraId="42236F1B" w14:textId="77777777" w:rsidR="000834D5" w:rsidRPr="00A371FB" w:rsidRDefault="000834D5">
      <w:pPr>
        <w:pStyle w:val="Sangradetextonormal"/>
        <w:numPr>
          <w:ilvl w:val="0"/>
          <w:numId w:val="17"/>
        </w:numPr>
        <w:spacing w:after="0"/>
        <w:ind w:left="0" w:firstLine="0"/>
        <w:jc w:val="both"/>
        <w:rPr>
          <w:rFonts w:ascii="Times New Roman" w:hAnsi="Times New Roman"/>
          <w:color w:val="000000" w:themeColor="text1"/>
          <w:sz w:val="22"/>
          <w:szCs w:val="22"/>
          <w:lang w:val="es-AR" w:eastAsia="es-ES"/>
        </w:rPr>
      </w:pPr>
      <w:r w:rsidRPr="00A371FB">
        <w:rPr>
          <w:rFonts w:ascii="Times New Roman" w:hAnsi="Times New Roman"/>
          <w:color w:val="000000" w:themeColor="text1"/>
          <w:sz w:val="22"/>
          <w:szCs w:val="22"/>
          <w:lang w:val="es-AR" w:eastAsia="es-ES"/>
        </w:rPr>
        <w:t>La concientización ambiental y el involucramiento del personal en el cumplimiento de los objetivos establecidos.</w:t>
      </w:r>
    </w:p>
    <w:p w14:paraId="646A3653" w14:textId="77777777" w:rsidR="000834D5" w:rsidRPr="00A371FB" w:rsidRDefault="000834D5">
      <w:pPr>
        <w:pStyle w:val="Sangradetextonormal"/>
        <w:numPr>
          <w:ilvl w:val="0"/>
          <w:numId w:val="17"/>
        </w:numPr>
        <w:spacing w:after="0"/>
        <w:ind w:left="0" w:firstLine="0"/>
        <w:jc w:val="both"/>
        <w:rPr>
          <w:rFonts w:ascii="Times New Roman" w:hAnsi="Times New Roman"/>
          <w:color w:val="000000" w:themeColor="text1"/>
          <w:sz w:val="22"/>
          <w:szCs w:val="22"/>
          <w:lang w:val="es-AR" w:eastAsia="es-ES"/>
        </w:rPr>
      </w:pPr>
      <w:r w:rsidRPr="00A371FB">
        <w:rPr>
          <w:rFonts w:ascii="Times New Roman" w:hAnsi="Times New Roman"/>
          <w:color w:val="000000" w:themeColor="text1"/>
          <w:sz w:val="22"/>
          <w:szCs w:val="22"/>
          <w:lang w:val="es-AR" w:eastAsia="es-ES"/>
        </w:rPr>
        <w:t>La importancia prioritaria brindada al ejercicio de la gestión preventiva.</w:t>
      </w:r>
    </w:p>
    <w:p w14:paraId="59B2EDFC" w14:textId="77777777" w:rsidR="000834D5" w:rsidRPr="00A371FB" w:rsidRDefault="000834D5">
      <w:pPr>
        <w:pStyle w:val="Sangradetextonormal"/>
        <w:numPr>
          <w:ilvl w:val="0"/>
          <w:numId w:val="17"/>
        </w:numPr>
        <w:spacing w:after="0"/>
        <w:ind w:left="709" w:hanging="709"/>
        <w:jc w:val="both"/>
        <w:rPr>
          <w:rFonts w:ascii="Times New Roman" w:hAnsi="Times New Roman"/>
          <w:color w:val="000000" w:themeColor="text1"/>
          <w:sz w:val="22"/>
          <w:szCs w:val="22"/>
          <w:lang w:val="es-AR" w:eastAsia="es-ES"/>
        </w:rPr>
      </w:pPr>
      <w:r w:rsidRPr="00A371FB">
        <w:rPr>
          <w:rFonts w:ascii="Times New Roman" w:hAnsi="Times New Roman"/>
          <w:color w:val="000000" w:themeColor="text1"/>
          <w:sz w:val="22"/>
          <w:szCs w:val="22"/>
          <w:lang w:val="es-AR" w:eastAsia="es-ES"/>
        </w:rPr>
        <w:t>La ausencia histórica de incidentes ambientales producto de una cultura de trabajo arraigada en profundos valores éticos y profesionales.</w:t>
      </w:r>
    </w:p>
    <w:p w14:paraId="4060C299" w14:textId="77777777" w:rsidR="000834D5" w:rsidRPr="00A371FB" w:rsidRDefault="000834D5">
      <w:pPr>
        <w:pStyle w:val="Sangradetextonormal"/>
        <w:numPr>
          <w:ilvl w:val="0"/>
          <w:numId w:val="17"/>
        </w:numPr>
        <w:spacing w:after="0"/>
        <w:ind w:left="709" w:hanging="709"/>
        <w:jc w:val="both"/>
        <w:rPr>
          <w:rFonts w:ascii="Times New Roman" w:hAnsi="Times New Roman"/>
          <w:color w:val="000000" w:themeColor="text1"/>
          <w:sz w:val="22"/>
          <w:szCs w:val="22"/>
          <w:lang w:val="es-AR" w:eastAsia="es-ES"/>
        </w:rPr>
      </w:pPr>
      <w:r w:rsidRPr="00A371FB">
        <w:rPr>
          <w:rFonts w:ascii="Times New Roman" w:hAnsi="Times New Roman"/>
          <w:color w:val="000000" w:themeColor="text1"/>
          <w:sz w:val="22"/>
          <w:szCs w:val="22"/>
          <w:lang w:val="es-AR" w:eastAsia="es-ES"/>
        </w:rPr>
        <w:t>El eficiente proceder demostrado frente a las acciones correctivas necesarias y la erradicación definitiva de sus causas raíz, la contención segura de los riesgos y el logro de nuevas oportunidades de mejora.</w:t>
      </w:r>
    </w:p>
    <w:p w14:paraId="5B16508E" w14:textId="77777777" w:rsidR="000834D5" w:rsidRPr="00A371FB" w:rsidRDefault="000834D5">
      <w:pPr>
        <w:pStyle w:val="Sangradetextonormal"/>
        <w:numPr>
          <w:ilvl w:val="0"/>
          <w:numId w:val="17"/>
        </w:numPr>
        <w:spacing w:after="0"/>
        <w:ind w:left="0" w:firstLine="0"/>
        <w:jc w:val="both"/>
        <w:rPr>
          <w:rFonts w:ascii="Times New Roman" w:hAnsi="Times New Roman"/>
          <w:color w:val="000000" w:themeColor="text1"/>
          <w:sz w:val="22"/>
          <w:szCs w:val="22"/>
          <w:lang w:val="es-AR" w:eastAsia="es-ES"/>
        </w:rPr>
      </w:pPr>
      <w:r w:rsidRPr="00A371FB">
        <w:rPr>
          <w:rFonts w:ascii="Times New Roman" w:hAnsi="Times New Roman"/>
          <w:color w:val="000000" w:themeColor="text1"/>
          <w:sz w:val="22"/>
          <w:szCs w:val="22"/>
          <w:lang w:val="es-AR" w:eastAsia="es-ES"/>
        </w:rPr>
        <w:t>La atención en tiempo y forma brindada al cumplimiento de los requisitos legales.</w:t>
      </w:r>
    </w:p>
    <w:p w14:paraId="021D43C9" w14:textId="77777777" w:rsidR="000834D5" w:rsidRPr="00A371FB" w:rsidRDefault="000834D5">
      <w:pPr>
        <w:pStyle w:val="Sangradetextonormal"/>
        <w:numPr>
          <w:ilvl w:val="0"/>
          <w:numId w:val="17"/>
        </w:numPr>
        <w:spacing w:after="0"/>
        <w:ind w:left="709" w:hanging="709"/>
        <w:jc w:val="both"/>
        <w:rPr>
          <w:rFonts w:ascii="Times New Roman" w:hAnsi="Times New Roman"/>
          <w:color w:val="000000" w:themeColor="text1"/>
          <w:sz w:val="22"/>
          <w:szCs w:val="22"/>
          <w:lang w:val="es-AR" w:eastAsia="es-ES"/>
        </w:rPr>
      </w:pPr>
      <w:r w:rsidRPr="00A371FB">
        <w:rPr>
          <w:rFonts w:ascii="Times New Roman" w:hAnsi="Times New Roman"/>
          <w:color w:val="000000" w:themeColor="text1"/>
          <w:sz w:val="22"/>
          <w:szCs w:val="22"/>
          <w:lang w:val="es-AR" w:eastAsia="es-ES"/>
        </w:rPr>
        <w:t xml:space="preserve">La superación en la gestión de los aspectos ambientales de la actividad con especial consideración de sus ciclos de vida y los intereses implicados de sostenibilidad ambiental. </w:t>
      </w:r>
    </w:p>
    <w:p w14:paraId="37BE3496" w14:textId="77777777" w:rsidR="000834D5" w:rsidRPr="00A371FB" w:rsidRDefault="000834D5">
      <w:pPr>
        <w:pStyle w:val="Sangradetextonormal"/>
        <w:numPr>
          <w:ilvl w:val="0"/>
          <w:numId w:val="17"/>
        </w:numPr>
        <w:spacing w:after="0"/>
        <w:ind w:left="709" w:hanging="709"/>
        <w:jc w:val="both"/>
        <w:rPr>
          <w:rFonts w:ascii="Times New Roman" w:hAnsi="Times New Roman"/>
          <w:color w:val="000000" w:themeColor="text1"/>
          <w:sz w:val="22"/>
          <w:szCs w:val="22"/>
          <w:lang w:val="es-AR" w:eastAsia="es-ES"/>
        </w:rPr>
      </w:pPr>
      <w:r w:rsidRPr="00A371FB">
        <w:rPr>
          <w:rFonts w:ascii="Times New Roman" w:hAnsi="Times New Roman"/>
          <w:color w:val="000000" w:themeColor="text1"/>
          <w:sz w:val="22"/>
          <w:szCs w:val="22"/>
          <w:lang w:val="es-AR" w:eastAsia="es-ES"/>
        </w:rPr>
        <w:t>La eficacia, fluidez y claridad de las comunicaciones internas para el tratamiento oportuno de las necesidades y desafíos de gestión.</w:t>
      </w:r>
    </w:p>
    <w:p w14:paraId="16F42BAC" w14:textId="77777777" w:rsidR="000834D5" w:rsidRPr="00A371FB" w:rsidRDefault="000834D5">
      <w:pPr>
        <w:pStyle w:val="Sangradetextonormal"/>
        <w:numPr>
          <w:ilvl w:val="0"/>
          <w:numId w:val="17"/>
        </w:numPr>
        <w:spacing w:after="0"/>
        <w:ind w:left="709" w:hanging="709"/>
        <w:jc w:val="both"/>
        <w:rPr>
          <w:rFonts w:ascii="Times New Roman" w:hAnsi="Times New Roman"/>
          <w:color w:val="000000" w:themeColor="text1"/>
          <w:sz w:val="22"/>
          <w:szCs w:val="22"/>
          <w:lang w:val="es-AR" w:eastAsia="es-ES"/>
        </w:rPr>
      </w:pPr>
      <w:r w:rsidRPr="00A371FB">
        <w:rPr>
          <w:rFonts w:ascii="Times New Roman" w:hAnsi="Times New Roman"/>
          <w:color w:val="000000" w:themeColor="text1"/>
          <w:sz w:val="22"/>
          <w:szCs w:val="22"/>
          <w:lang w:val="es-AR" w:eastAsia="es-ES"/>
        </w:rPr>
        <w:t>La preocupación y atención dada a los intereses y expectativas de la comunidad y otras partes externas interesadas.</w:t>
      </w:r>
    </w:p>
    <w:p w14:paraId="303C3369" w14:textId="77777777" w:rsidR="000834D5" w:rsidRPr="00A371FB" w:rsidRDefault="000834D5">
      <w:pPr>
        <w:pStyle w:val="Sangradetextonormal"/>
        <w:numPr>
          <w:ilvl w:val="0"/>
          <w:numId w:val="17"/>
        </w:numPr>
        <w:spacing w:after="0"/>
        <w:ind w:left="709" w:hanging="709"/>
        <w:jc w:val="both"/>
        <w:rPr>
          <w:rFonts w:ascii="Times New Roman" w:hAnsi="Times New Roman"/>
          <w:color w:val="000000" w:themeColor="text1"/>
          <w:sz w:val="22"/>
          <w:szCs w:val="22"/>
          <w:lang w:val="es-AR" w:eastAsia="es-ES"/>
        </w:rPr>
      </w:pPr>
      <w:r w:rsidRPr="00A371FB">
        <w:rPr>
          <w:rFonts w:ascii="Times New Roman" w:hAnsi="Times New Roman"/>
          <w:color w:val="000000" w:themeColor="text1"/>
          <w:sz w:val="22"/>
          <w:szCs w:val="22"/>
          <w:lang w:val="es-AR" w:eastAsia="es-ES"/>
        </w:rPr>
        <w:t>La estricta regularidad mantenida en el seguimiento y análisis de los parámetros ambientales.</w:t>
      </w:r>
    </w:p>
    <w:p w14:paraId="108D1964" w14:textId="77777777" w:rsidR="000834D5" w:rsidRPr="00A371FB" w:rsidRDefault="000834D5">
      <w:pPr>
        <w:pStyle w:val="Sangradetextonormal"/>
        <w:numPr>
          <w:ilvl w:val="0"/>
          <w:numId w:val="17"/>
        </w:numPr>
        <w:spacing w:after="0"/>
        <w:ind w:left="709" w:hanging="709"/>
        <w:jc w:val="both"/>
        <w:rPr>
          <w:rFonts w:ascii="Times New Roman" w:hAnsi="Times New Roman"/>
          <w:color w:val="000000" w:themeColor="text1"/>
          <w:sz w:val="22"/>
          <w:szCs w:val="22"/>
          <w:lang w:val="es-AR" w:eastAsia="es-ES"/>
        </w:rPr>
      </w:pPr>
      <w:r w:rsidRPr="00A371FB">
        <w:rPr>
          <w:rFonts w:ascii="Times New Roman" w:hAnsi="Times New Roman"/>
          <w:color w:val="000000" w:themeColor="text1"/>
          <w:sz w:val="22"/>
          <w:szCs w:val="22"/>
          <w:lang w:val="es-AR" w:eastAsia="es-ES"/>
        </w:rPr>
        <w:t>Los esfuerzos dedicados, con resultados meritorios, en la preservación del orden, la higiene y el cuidado estético de los espacios naturales.</w:t>
      </w:r>
    </w:p>
    <w:p w14:paraId="1013C76E" w14:textId="77777777" w:rsidR="000834D5" w:rsidRPr="00A371FB" w:rsidRDefault="000834D5" w:rsidP="000834D5">
      <w:pPr>
        <w:pStyle w:val="Sangradetextonormal"/>
        <w:spacing w:after="0"/>
        <w:ind w:left="0"/>
        <w:jc w:val="both"/>
        <w:rPr>
          <w:rFonts w:ascii="Times New Roman" w:hAnsi="Times New Roman"/>
          <w:sz w:val="22"/>
          <w:szCs w:val="22"/>
          <w:lang w:val="es-AR" w:eastAsia="es-ES"/>
        </w:rPr>
      </w:pPr>
    </w:p>
    <w:p w14:paraId="61D67FFB" w14:textId="77777777" w:rsidR="000834D5" w:rsidRPr="00A371FB" w:rsidRDefault="000834D5" w:rsidP="000834D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after="0"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Durante octubre de 2022 se concretó un nuevo proceso de auditoría externa a cargo de IRAM mediante el cual se dio cumplimiento a la primera instancia de seguimiento del mantenimiento de los Sistemas de Gestión Ambiental de los sitios dentro del actual período de certificación 2021-2024.</w:t>
      </w:r>
    </w:p>
    <w:p w14:paraId="6E246731" w14:textId="77777777" w:rsidR="000834D5" w:rsidRPr="00A371FB" w:rsidRDefault="000834D5" w:rsidP="004D4467">
      <w:pPr>
        <w:pStyle w:val="Sangradetextonormal"/>
        <w:spacing w:after="0"/>
        <w:ind w:left="0"/>
        <w:jc w:val="both"/>
        <w:rPr>
          <w:rFonts w:ascii="Times New Roman" w:hAnsi="Times New Roman"/>
          <w:b/>
          <w:sz w:val="22"/>
          <w:szCs w:val="22"/>
          <w:lang w:val="es-AR" w:eastAsia="es-ES"/>
        </w:rPr>
      </w:pPr>
    </w:p>
    <w:p w14:paraId="6BC83CCD" w14:textId="50D5BA3B" w:rsidR="00C85568" w:rsidRPr="00A371FB" w:rsidRDefault="00C85568" w:rsidP="001B5821">
      <w:pPr>
        <w:pStyle w:val="Prrafodelista"/>
        <w:numPr>
          <w:ilvl w:val="1"/>
          <w:numId w:val="1"/>
        </w:numPr>
        <w:spacing w:after="100" w:afterAutospacing="1" w:line="240" w:lineRule="exact"/>
        <w:ind w:left="426" w:hanging="426"/>
        <w:jc w:val="both"/>
        <w:rPr>
          <w:rFonts w:ascii="Times New Roman" w:hAnsi="Times New Roman"/>
          <w:b/>
          <w:sz w:val="22"/>
          <w:szCs w:val="22"/>
          <w:u w:val="single"/>
        </w:rPr>
      </w:pPr>
      <w:bookmarkStart w:id="9" w:name="_Hlk1685378"/>
      <w:r w:rsidRPr="00A371FB">
        <w:rPr>
          <w:rFonts w:ascii="Times New Roman" w:hAnsi="Times New Roman"/>
          <w:b/>
          <w:sz w:val="22"/>
          <w:szCs w:val="22"/>
          <w:u w:val="single"/>
        </w:rPr>
        <w:t xml:space="preserve">Recursos Humanos </w:t>
      </w:r>
    </w:p>
    <w:p w14:paraId="5E01F169" w14:textId="77777777" w:rsidR="001B5821" w:rsidRPr="00A371FB" w:rsidRDefault="001B5821" w:rsidP="001B5821">
      <w:pPr>
        <w:pStyle w:val="Sangradetextonormal"/>
        <w:spacing w:after="0"/>
        <w:ind w:left="0"/>
        <w:jc w:val="both"/>
        <w:rPr>
          <w:rFonts w:ascii="Times New Roman" w:hAnsi="Times New Roman"/>
          <w:sz w:val="22"/>
          <w:szCs w:val="22"/>
          <w:lang w:val="es-AR" w:eastAsia="es-ES"/>
        </w:rPr>
      </w:pPr>
      <w:r w:rsidRPr="00A371FB">
        <w:rPr>
          <w:rFonts w:ascii="Times New Roman" w:hAnsi="Times New Roman"/>
          <w:sz w:val="22"/>
          <w:szCs w:val="22"/>
          <w:lang w:val="es-AR" w:eastAsia="es-ES"/>
        </w:rPr>
        <w:t>2022 fue el año de consolidación de la organización de trabajo flexible implementada de manera parcial en la segunda mitad de 2021, manteniendo el esquema “hibrido de 3 x 2” 3 días en la oficina y 2 días en el domicilio del empleado; en el caso de las actividades de soporte, manteniendo el resto su presencia en nuestras operaciones de acuerdo a las necesidades operativas de cada localización.</w:t>
      </w:r>
    </w:p>
    <w:p w14:paraId="0B973AAA" w14:textId="77777777" w:rsidR="001B5821" w:rsidRPr="00A371FB" w:rsidRDefault="001B5821" w:rsidP="001B5821">
      <w:pPr>
        <w:pStyle w:val="Sangradetextonormal"/>
        <w:spacing w:after="0"/>
        <w:ind w:left="0"/>
        <w:jc w:val="both"/>
        <w:rPr>
          <w:rFonts w:ascii="Times New Roman" w:hAnsi="Times New Roman"/>
          <w:sz w:val="22"/>
          <w:szCs w:val="22"/>
          <w:lang w:val="es-AR" w:eastAsia="es-ES"/>
        </w:rPr>
      </w:pPr>
    </w:p>
    <w:p w14:paraId="43B2465A" w14:textId="77777777" w:rsidR="001B5821" w:rsidRPr="00A371FB" w:rsidRDefault="001B5821" w:rsidP="001B5821">
      <w:pPr>
        <w:pStyle w:val="Sangradetextonormal"/>
        <w:spacing w:after="0"/>
        <w:ind w:left="0"/>
        <w:jc w:val="both"/>
        <w:rPr>
          <w:rFonts w:ascii="Times New Roman" w:hAnsi="Times New Roman"/>
          <w:sz w:val="22"/>
          <w:szCs w:val="22"/>
          <w:lang w:val="es-AR" w:eastAsia="es-ES"/>
        </w:rPr>
      </w:pPr>
      <w:r w:rsidRPr="00A371FB">
        <w:rPr>
          <w:rFonts w:ascii="Times New Roman" w:hAnsi="Times New Roman"/>
          <w:sz w:val="22"/>
          <w:szCs w:val="22"/>
          <w:lang w:val="es-AR" w:eastAsia="es-ES"/>
        </w:rPr>
        <w:t>Tanto para este colectivo laboral como para el resto de las actividades declaradas como esenciales el objetivo sigue siendo el de “Asegurar la operatividad de la Empresa garantizando la preservación de la salud y bienestar de nuestro personal y sus familias”.</w:t>
      </w:r>
    </w:p>
    <w:p w14:paraId="2941C62F" w14:textId="77777777" w:rsidR="001B5821" w:rsidRPr="00A371FB" w:rsidRDefault="001B5821" w:rsidP="001B5821">
      <w:pPr>
        <w:pStyle w:val="Sangradetextonormal"/>
        <w:spacing w:after="0"/>
        <w:ind w:left="0"/>
        <w:jc w:val="both"/>
        <w:rPr>
          <w:rFonts w:ascii="Times New Roman" w:hAnsi="Times New Roman"/>
          <w:sz w:val="22"/>
          <w:szCs w:val="22"/>
          <w:lang w:val="es-AR" w:eastAsia="es-ES"/>
        </w:rPr>
      </w:pPr>
    </w:p>
    <w:p w14:paraId="5B5CCA98" w14:textId="77777777" w:rsidR="001B5821" w:rsidRPr="00A371FB" w:rsidRDefault="001B5821" w:rsidP="001B5821">
      <w:pPr>
        <w:pStyle w:val="Sangradetextonormal"/>
        <w:spacing w:after="0"/>
        <w:ind w:left="0"/>
        <w:jc w:val="both"/>
        <w:rPr>
          <w:rFonts w:ascii="Times New Roman" w:hAnsi="Times New Roman"/>
          <w:sz w:val="22"/>
          <w:szCs w:val="22"/>
          <w:lang w:val="es-AR" w:eastAsia="es-ES"/>
        </w:rPr>
      </w:pPr>
      <w:r w:rsidRPr="00A371FB">
        <w:rPr>
          <w:rFonts w:ascii="Times New Roman" w:hAnsi="Times New Roman"/>
          <w:sz w:val="22"/>
          <w:szCs w:val="22"/>
          <w:lang w:val="es-AR" w:eastAsia="es-ES"/>
        </w:rPr>
        <w:t>El lanzamiento de los proyectos de cierre de ciclo para CTE y CTMM; sumado al inicio nuestra primera incursión internacional en el área de Energía a partir del gerenciamiento de la Central de Cogeneración en la refinería de la estatal Peruana “Petroperú” situada en la provincia de Talara 1000 km al norte de lima marco el ritmos de todas las acciones del área tendientes a acompañar los desafíos para toda la organización y particularmente para los equipos Proyecto.</w:t>
      </w:r>
    </w:p>
    <w:p w14:paraId="11D51B0A" w14:textId="77777777" w:rsidR="001B5821" w:rsidRPr="00A371FB" w:rsidRDefault="001B5821" w:rsidP="001B5821">
      <w:pPr>
        <w:pStyle w:val="Sangradetextonormal"/>
        <w:spacing w:after="0"/>
        <w:ind w:left="0"/>
        <w:jc w:val="both"/>
        <w:rPr>
          <w:rFonts w:ascii="Times New Roman" w:hAnsi="Times New Roman"/>
          <w:sz w:val="22"/>
          <w:szCs w:val="22"/>
          <w:lang w:val="es-AR" w:eastAsia="es-ES"/>
        </w:rPr>
      </w:pPr>
    </w:p>
    <w:p w14:paraId="377AFEBD" w14:textId="77777777" w:rsidR="001B5821" w:rsidRPr="00A371FB" w:rsidRDefault="001B5821" w:rsidP="001B5821">
      <w:pPr>
        <w:pStyle w:val="Sangradetextonormal"/>
        <w:spacing w:after="0"/>
        <w:ind w:left="0"/>
        <w:jc w:val="both"/>
        <w:rPr>
          <w:rFonts w:ascii="Times New Roman" w:hAnsi="Times New Roman"/>
          <w:sz w:val="22"/>
          <w:szCs w:val="22"/>
          <w:lang w:val="es-AR" w:eastAsia="es-ES"/>
        </w:rPr>
      </w:pPr>
      <w:r w:rsidRPr="00A371FB">
        <w:rPr>
          <w:rFonts w:ascii="Times New Roman" w:hAnsi="Times New Roman"/>
          <w:sz w:val="22"/>
          <w:szCs w:val="22"/>
          <w:lang w:val="es-AR" w:eastAsia="es-ES"/>
        </w:rPr>
        <w:t>La necesidad de contar con recursos humanos para los nuevos proyectos intensifico los procesos de búsqueda y selección optimizando cada paso del on boarding para nuevos empleados, así como los procesos de Bienvenida al personal y capacitación a los puestos de trabajo.</w:t>
      </w:r>
    </w:p>
    <w:p w14:paraId="048B63AB" w14:textId="77777777" w:rsidR="001B5821" w:rsidRPr="00A371FB" w:rsidRDefault="001B5821" w:rsidP="001B5821">
      <w:pPr>
        <w:pStyle w:val="Sangradetextonormal"/>
        <w:spacing w:after="0"/>
        <w:ind w:left="0"/>
        <w:jc w:val="both"/>
        <w:rPr>
          <w:rFonts w:ascii="Times New Roman" w:hAnsi="Times New Roman"/>
          <w:sz w:val="22"/>
          <w:szCs w:val="22"/>
          <w:lang w:val="es-AR" w:eastAsia="es-ES"/>
        </w:rPr>
      </w:pPr>
    </w:p>
    <w:p w14:paraId="727B43C7" w14:textId="77777777" w:rsidR="001B5821" w:rsidRPr="00A371FB" w:rsidRDefault="001B5821" w:rsidP="001B5821">
      <w:pPr>
        <w:pStyle w:val="Sangradetextonormal"/>
        <w:spacing w:after="0"/>
        <w:ind w:left="0"/>
        <w:jc w:val="both"/>
        <w:rPr>
          <w:rFonts w:ascii="Times New Roman" w:hAnsi="Times New Roman"/>
          <w:sz w:val="22"/>
          <w:szCs w:val="22"/>
          <w:lang w:val="es-AR" w:eastAsia="es-ES"/>
        </w:rPr>
      </w:pPr>
      <w:r w:rsidRPr="00A371FB">
        <w:rPr>
          <w:rFonts w:ascii="Times New Roman" w:hAnsi="Times New Roman"/>
          <w:sz w:val="22"/>
          <w:szCs w:val="22"/>
          <w:lang w:val="es-AR" w:eastAsia="es-ES"/>
        </w:rPr>
        <w:t>En materia de compensaciones se terminó de consolidar el sistema de administración por grados salariales para el personal fuera de convenio que nos permitió administrar de una manera adecuada tanto la competitividad externa como la equidad interna de nuestra estructura, y pagar valores de mercado en función del valor relativo de cada puesto de la estructura. En materia gremial fue un año de intensa actividad paritaria en función del contexto inflacionario que marco la agenda.</w:t>
      </w:r>
    </w:p>
    <w:p w14:paraId="7DE40D05" w14:textId="77777777" w:rsidR="001B5821" w:rsidRPr="00A371FB" w:rsidRDefault="001B5821" w:rsidP="001B5821">
      <w:pPr>
        <w:pStyle w:val="Sangradetextonormal"/>
        <w:spacing w:after="0"/>
        <w:ind w:left="0"/>
        <w:jc w:val="both"/>
        <w:rPr>
          <w:rFonts w:ascii="Times New Roman" w:hAnsi="Times New Roman"/>
          <w:sz w:val="22"/>
          <w:szCs w:val="22"/>
          <w:lang w:val="es-AR" w:eastAsia="es-ES"/>
        </w:rPr>
      </w:pPr>
    </w:p>
    <w:p w14:paraId="30D47007" w14:textId="77777777" w:rsidR="001B5821" w:rsidRPr="00A371FB" w:rsidRDefault="001B5821" w:rsidP="001B5821">
      <w:pPr>
        <w:pStyle w:val="Sangradetextonormal"/>
        <w:spacing w:after="0"/>
        <w:ind w:left="0"/>
        <w:jc w:val="both"/>
        <w:rPr>
          <w:rFonts w:ascii="Times New Roman" w:hAnsi="Times New Roman"/>
          <w:sz w:val="22"/>
          <w:szCs w:val="22"/>
          <w:lang w:val="es-AR" w:eastAsia="es-ES"/>
        </w:rPr>
      </w:pPr>
      <w:r w:rsidRPr="00A371FB">
        <w:rPr>
          <w:rFonts w:ascii="Times New Roman" w:hAnsi="Times New Roman"/>
          <w:sz w:val="22"/>
          <w:szCs w:val="22"/>
          <w:lang w:val="es-AR" w:eastAsia="es-ES"/>
        </w:rPr>
        <w:t>En la primera semana de abril se llevó a cabo la premiación de las ideas presentadas por más de 40 empleados en el marco de la semana de la innovación que fu lanzada a fines de 2021 con el fin de promover la iniciativa y creatividad de nuestro personal proponiendo ideas de mejora tendientes a la mejora de la eficiencia y la productividad en toda la cadena de valor.</w:t>
      </w:r>
    </w:p>
    <w:p w14:paraId="60DA9615" w14:textId="77777777" w:rsidR="001B5821" w:rsidRPr="00A371FB" w:rsidRDefault="001B5821" w:rsidP="001B5821">
      <w:pPr>
        <w:pStyle w:val="Sangradetextonormal"/>
        <w:spacing w:after="0"/>
        <w:ind w:left="0"/>
        <w:jc w:val="both"/>
        <w:rPr>
          <w:rFonts w:ascii="Times New Roman" w:hAnsi="Times New Roman"/>
          <w:sz w:val="22"/>
          <w:szCs w:val="22"/>
          <w:lang w:eastAsia="es-ES"/>
        </w:rPr>
      </w:pPr>
    </w:p>
    <w:p w14:paraId="3CBC7FCB" w14:textId="77777777" w:rsidR="001B5821" w:rsidRPr="00A371FB" w:rsidRDefault="001B5821" w:rsidP="001B5821">
      <w:pPr>
        <w:pStyle w:val="Sangradetextonormal"/>
        <w:spacing w:after="0"/>
        <w:ind w:left="0"/>
        <w:jc w:val="both"/>
        <w:rPr>
          <w:rFonts w:ascii="Times New Roman" w:hAnsi="Times New Roman"/>
          <w:b/>
          <w:bCs/>
          <w:sz w:val="22"/>
          <w:szCs w:val="22"/>
          <w:u w:val="single"/>
          <w:lang w:eastAsia="es-ES"/>
        </w:rPr>
      </w:pPr>
      <w:r w:rsidRPr="00A371FB">
        <w:rPr>
          <w:rFonts w:ascii="Times New Roman" w:hAnsi="Times New Roman"/>
          <w:b/>
          <w:bCs/>
          <w:sz w:val="22"/>
          <w:szCs w:val="22"/>
          <w:u w:val="single"/>
          <w:lang w:eastAsia="es-ES"/>
        </w:rPr>
        <w:t>Comunicación al personal y Sistemas de información de RRHH</w:t>
      </w:r>
    </w:p>
    <w:p w14:paraId="267F5242" w14:textId="77777777" w:rsidR="001B5821" w:rsidRPr="00A371FB" w:rsidRDefault="001B5821" w:rsidP="001B5821">
      <w:pPr>
        <w:pStyle w:val="Sangradetextonormal"/>
        <w:spacing w:after="0"/>
        <w:ind w:left="0"/>
        <w:jc w:val="both"/>
        <w:rPr>
          <w:rFonts w:ascii="Times New Roman" w:hAnsi="Times New Roman"/>
          <w:b/>
          <w:bCs/>
          <w:sz w:val="22"/>
          <w:szCs w:val="22"/>
          <w:lang w:eastAsia="es-ES"/>
        </w:rPr>
      </w:pPr>
    </w:p>
    <w:p w14:paraId="7D837AB3" w14:textId="77777777" w:rsidR="001B5821" w:rsidRPr="00A371FB" w:rsidRDefault="001B5821" w:rsidP="001B5821">
      <w:pPr>
        <w:pStyle w:val="Sangradetextonormal"/>
        <w:spacing w:after="0"/>
        <w:ind w:left="0"/>
        <w:jc w:val="both"/>
        <w:rPr>
          <w:rFonts w:ascii="Times New Roman" w:hAnsi="Times New Roman"/>
          <w:sz w:val="22"/>
          <w:szCs w:val="22"/>
          <w:lang w:eastAsia="es-ES"/>
        </w:rPr>
      </w:pPr>
      <w:r w:rsidRPr="00A371FB">
        <w:rPr>
          <w:rFonts w:ascii="Times New Roman" w:hAnsi="Times New Roman"/>
          <w:sz w:val="22"/>
          <w:szCs w:val="22"/>
          <w:lang w:eastAsia="es-ES"/>
        </w:rPr>
        <w:t>Se consolidaron los canales de comunicación con el personal integrando la plataforma LinkedIn como un nuevo canal de comunicación con el personal y con el mercado pasando de 6000 a 21.000 seguidores en un año, sumándose a nuestros canales tradicionales como el Newsletter RH+, el e mail y la plataforma Succes Factors que siguió agregando nuevas funcionalidades.</w:t>
      </w:r>
    </w:p>
    <w:p w14:paraId="3807253B" w14:textId="77777777" w:rsidR="001B5821" w:rsidRPr="00A371FB" w:rsidRDefault="001B5821" w:rsidP="001B5821">
      <w:pPr>
        <w:pStyle w:val="Sangradetextonormal"/>
        <w:spacing w:after="0"/>
        <w:ind w:left="0"/>
        <w:jc w:val="both"/>
        <w:rPr>
          <w:rFonts w:ascii="Times New Roman" w:hAnsi="Times New Roman"/>
          <w:sz w:val="22"/>
          <w:szCs w:val="22"/>
          <w:lang w:eastAsia="es-ES"/>
        </w:rPr>
      </w:pPr>
    </w:p>
    <w:p w14:paraId="052C1A2F" w14:textId="77777777" w:rsidR="001B5821" w:rsidRPr="00A371FB" w:rsidRDefault="001B5821" w:rsidP="001B5821">
      <w:pPr>
        <w:pStyle w:val="Sangradetextonormal"/>
        <w:spacing w:after="0"/>
        <w:ind w:left="0"/>
        <w:jc w:val="both"/>
        <w:rPr>
          <w:rFonts w:ascii="Times New Roman" w:hAnsi="Times New Roman"/>
          <w:sz w:val="22"/>
          <w:szCs w:val="22"/>
          <w:lang w:eastAsia="es-ES"/>
        </w:rPr>
      </w:pPr>
      <w:r w:rsidRPr="00A371FB">
        <w:rPr>
          <w:rFonts w:ascii="Times New Roman" w:hAnsi="Times New Roman"/>
          <w:sz w:val="22"/>
          <w:szCs w:val="22"/>
          <w:lang w:eastAsia="es-ES"/>
        </w:rPr>
        <w:t>Se llevaron a cabo dos pulsos de clima organizacional; que se instaló ya como práctica habitual desde la pandemia, permitiendo el feedback directo de los empleados en temas de interés general o puntual facilitando la implementación de acciones correctivas en caso de ser necesario.</w:t>
      </w:r>
    </w:p>
    <w:p w14:paraId="07F53713" w14:textId="77777777" w:rsidR="001B5821" w:rsidRPr="00A371FB" w:rsidRDefault="001B5821" w:rsidP="001B5821">
      <w:pPr>
        <w:pStyle w:val="Sangradetextonormal"/>
        <w:spacing w:after="0"/>
        <w:ind w:left="0"/>
        <w:jc w:val="both"/>
        <w:rPr>
          <w:rFonts w:ascii="Times New Roman" w:hAnsi="Times New Roman"/>
          <w:sz w:val="22"/>
          <w:szCs w:val="22"/>
          <w:lang w:eastAsia="es-ES"/>
        </w:rPr>
      </w:pPr>
    </w:p>
    <w:p w14:paraId="654E77A4" w14:textId="77777777" w:rsidR="001B5821" w:rsidRPr="00A371FB" w:rsidRDefault="001B5821" w:rsidP="001B5821">
      <w:pPr>
        <w:pStyle w:val="Sangradetextonormal"/>
        <w:spacing w:after="0"/>
        <w:ind w:left="0"/>
        <w:jc w:val="both"/>
        <w:rPr>
          <w:rFonts w:ascii="Times New Roman" w:hAnsi="Times New Roman"/>
          <w:b/>
          <w:bCs/>
          <w:sz w:val="22"/>
          <w:szCs w:val="22"/>
          <w:u w:val="single"/>
          <w:lang w:eastAsia="es-ES"/>
        </w:rPr>
      </w:pPr>
      <w:r w:rsidRPr="00A371FB">
        <w:rPr>
          <w:rFonts w:ascii="Times New Roman" w:hAnsi="Times New Roman"/>
          <w:b/>
          <w:bCs/>
          <w:sz w:val="22"/>
          <w:szCs w:val="22"/>
          <w:u w:val="single"/>
          <w:lang w:eastAsia="es-ES"/>
        </w:rPr>
        <w:t>Empleos</w:t>
      </w:r>
    </w:p>
    <w:p w14:paraId="0E50C112" w14:textId="77777777" w:rsidR="001B5821" w:rsidRPr="00A371FB" w:rsidRDefault="001B5821" w:rsidP="001B5821">
      <w:pPr>
        <w:pStyle w:val="Sangradetextonormal"/>
        <w:spacing w:after="0"/>
        <w:ind w:left="0"/>
        <w:jc w:val="both"/>
        <w:rPr>
          <w:rFonts w:ascii="Times New Roman" w:hAnsi="Times New Roman"/>
          <w:b/>
          <w:bCs/>
          <w:sz w:val="22"/>
          <w:szCs w:val="22"/>
          <w:lang w:eastAsia="es-ES"/>
        </w:rPr>
      </w:pPr>
    </w:p>
    <w:p w14:paraId="4B0B97FF" w14:textId="4AE30981" w:rsidR="001B5821" w:rsidRPr="00A371FB" w:rsidRDefault="001B5821" w:rsidP="001B5821">
      <w:pPr>
        <w:pStyle w:val="Sangradetextonormal"/>
        <w:spacing w:after="0"/>
        <w:ind w:left="0"/>
        <w:jc w:val="both"/>
        <w:rPr>
          <w:rFonts w:ascii="Times New Roman" w:hAnsi="Times New Roman"/>
          <w:sz w:val="22"/>
          <w:szCs w:val="22"/>
          <w:lang w:eastAsia="es-ES"/>
        </w:rPr>
      </w:pPr>
      <w:r w:rsidRPr="00A371FB">
        <w:rPr>
          <w:rFonts w:ascii="Times New Roman" w:hAnsi="Times New Roman"/>
          <w:sz w:val="22"/>
          <w:szCs w:val="22"/>
          <w:lang w:eastAsia="es-ES"/>
        </w:rPr>
        <w:t>El nivel de empleos totales del Grupo descendió un 4,16 % respecto del año anterior.</w:t>
      </w:r>
    </w:p>
    <w:p w14:paraId="16D2DDEB" w14:textId="77777777" w:rsidR="001B5821" w:rsidRPr="00A371FB" w:rsidRDefault="001B5821" w:rsidP="001B5821">
      <w:pPr>
        <w:pStyle w:val="Sangradetextonormal"/>
        <w:spacing w:after="0"/>
        <w:ind w:left="0"/>
        <w:jc w:val="both"/>
        <w:rPr>
          <w:rFonts w:ascii="Times New Roman" w:hAnsi="Times New Roman"/>
          <w:sz w:val="22"/>
          <w:szCs w:val="22"/>
          <w:lang w:eastAsia="es-ES"/>
        </w:rPr>
      </w:pPr>
    </w:p>
    <w:p w14:paraId="32983067" w14:textId="77777777" w:rsidR="001B5821" w:rsidRPr="00A371FB" w:rsidRDefault="001B5821" w:rsidP="001B5821">
      <w:pPr>
        <w:pStyle w:val="Sangradetextonormal"/>
        <w:spacing w:after="0"/>
        <w:ind w:left="0"/>
        <w:jc w:val="both"/>
        <w:rPr>
          <w:rFonts w:ascii="Times New Roman" w:hAnsi="Times New Roman"/>
          <w:sz w:val="22"/>
          <w:szCs w:val="22"/>
          <w:lang w:eastAsia="es-ES"/>
        </w:rPr>
      </w:pPr>
      <w:r w:rsidRPr="00A371FB">
        <w:rPr>
          <w:rFonts w:ascii="Times New Roman" w:hAnsi="Times New Roman"/>
          <w:sz w:val="22"/>
          <w:szCs w:val="22"/>
          <w:lang w:eastAsia="es-ES"/>
        </w:rPr>
        <w:t xml:space="preserve">Un hecho relevante es que a través de nuestro programa de movilidad interna “MOBI” se pusieron en oferta 6 posiciones temporales para una movilidad internacional temporaria destinada a acompañar el proceso de transferencia de conocimiento al personal local que operara la Central de cogeneración de Talara en Perú. </w:t>
      </w:r>
    </w:p>
    <w:p w14:paraId="1385A375" w14:textId="77777777" w:rsidR="001B5821" w:rsidRPr="00A371FB" w:rsidRDefault="001B5821" w:rsidP="001B5821">
      <w:pPr>
        <w:pStyle w:val="Sangradetextonormal"/>
        <w:spacing w:after="0"/>
        <w:ind w:left="0"/>
        <w:jc w:val="both"/>
        <w:rPr>
          <w:rFonts w:ascii="Times New Roman" w:hAnsi="Times New Roman"/>
          <w:sz w:val="22"/>
          <w:szCs w:val="22"/>
          <w:lang w:eastAsia="es-ES"/>
        </w:rPr>
      </w:pPr>
    </w:p>
    <w:p w14:paraId="08DC7049" w14:textId="77777777" w:rsidR="001B5821" w:rsidRPr="00A371FB" w:rsidRDefault="001B5821" w:rsidP="001B5821">
      <w:pPr>
        <w:pStyle w:val="Sangradetextonormal"/>
        <w:spacing w:after="0"/>
        <w:ind w:left="0"/>
        <w:jc w:val="both"/>
        <w:rPr>
          <w:rFonts w:ascii="Times New Roman" w:hAnsi="Times New Roman"/>
          <w:sz w:val="22"/>
          <w:szCs w:val="22"/>
          <w:lang w:val="es-US" w:eastAsia="es-ES"/>
        </w:rPr>
      </w:pPr>
      <w:r w:rsidRPr="00A371FB">
        <w:rPr>
          <w:rFonts w:ascii="Times New Roman" w:hAnsi="Times New Roman"/>
          <w:sz w:val="22"/>
          <w:szCs w:val="22"/>
          <w:lang w:eastAsia="es-ES"/>
        </w:rPr>
        <w:t>La tasa de rotación en 2022 registro un crecimiento pasando al 10 %</w:t>
      </w:r>
      <w:r w:rsidRPr="00A371FB">
        <w:rPr>
          <w:rFonts w:ascii="Times New Roman" w:hAnsi="Times New Roman"/>
          <w:sz w:val="22"/>
          <w:szCs w:val="22"/>
          <w:lang w:val="es-US" w:eastAsia="es-ES"/>
        </w:rPr>
        <w:t>.</w:t>
      </w:r>
    </w:p>
    <w:p w14:paraId="0BCC5D84" w14:textId="77777777" w:rsidR="001B5821" w:rsidRPr="00A371FB" w:rsidRDefault="001B5821" w:rsidP="001B5821">
      <w:pPr>
        <w:pStyle w:val="Sangradetextonormal"/>
        <w:spacing w:after="0"/>
        <w:ind w:left="0"/>
        <w:jc w:val="both"/>
        <w:rPr>
          <w:rFonts w:ascii="Times New Roman" w:hAnsi="Times New Roman"/>
          <w:b/>
          <w:bCs/>
          <w:sz w:val="22"/>
          <w:szCs w:val="22"/>
          <w:u w:val="single"/>
          <w:lang w:eastAsia="es-ES"/>
        </w:rPr>
      </w:pPr>
    </w:p>
    <w:p w14:paraId="3A2C3EE3" w14:textId="77777777" w:rsidR="001B5821" w:rsidRPr="00A371FB" w:rsidRDefault="001B5821" w:rsidP="001B5821">
      <w:pPr>
        <w:pStyle w:val="Sangradetextonormal"/>
        <w:spacing w:after="0"/>
        <w:ind w:left="0"/>
        <w:jc w:val="both"/>
        <w:rPr>
          <w:rFonts w:ascii="Times New Roman" w:hAnsi="Times New Roman"/>
          <w:sz w:val="22"/>
          <w:szCs w:val="22"/>
          <w:lang w:eastAsia="es-ES"/>
        </w:rPr>
      </w:pPr>
      <w:r w:rsidRPr="00A371FB">
        <w:rPr>
          <w:rFonts w:ascii="Times New Roman" w:hAnsi="Times New Roman"/>
          <w:b/>
          <w:bCs/>
          <w:sz w:val="22"/>
          <w:szCs w:val="22"/>
          <w:u w:val="single"/>
          <w:lang w:eastAsia="es-ES"/>
        </w:rPr>
        <w:t xml:space="preserve">Capacitación </w:t>
      </w:r>
    </w:p>
    <w:p w14:paraId="4E754B34" w14:textId="77777777" w:rsidR="001B5821" w:rsidRPr="00A371FB" w:rsidRDefault="001B5821" w:rsidP="001B5821">
      <w:pPr>
        <w:pStyle w:val="Sangradetextonormal"/>
        <w:spacing w:after="0"/>
        <w:ind w:left="0"/>
        <w:jc w:val="both"/>
        <w:rPr>
          <w:rFonts w:ascii="Times New Roman" w:hAnsi="Times New Roman"/>
          <w:b/>
          <w:bCs/>
          <w:sz w:val="22"/>
          <w:szCs w:val="22"/>
          <w:u w:val="single"/>
          <w:lang w:eastAsia="es-ES"/>
        </w:rPr>
      </w:pPr>
    </w:p>
    <w:p w14:paraId="04D2E156" w14:textId="77777777" w:rsidR="001B5821" w:rsidRPr="00A371FB" w:rsidRDefault="001B5821" w:rsidP="001B5821">
      <w:pPr>
        <w:pStyle w:val="Sangradetextonormal"/>
        <w:spacing w:after="0"/>
        <w:ind w:left="0"/>
        <w:jc w:val="both"/>
        <w:rPr>
          <w:rFonts w:ascii="Times New Roman" w:hAnsi="Times New Roman"/>
          <w:sz w:val="22"/>
          <w:szCs w:val="22"/>
          <w:lang w:val="es-US" w:eastAsia="es-ES"/>
        </w:rPr>
      </w:pPr>
      <w:r w:rsidRPr="00A371FB">
        <w:rPr>
          <w:rFonts w:ascii="Times New Roman" w:hAnsi="Times New Roman"/>
          <w:sz w:val="22"/>
          <w:szCs w:val="22"/>
          <w:lang w:eastAsia="es-ES"/>
        </w:rPr>
        <w:t>Se impartieron más de 12.000 horas de Capacitación distribuidas en disciplinas blandas destinadas al management y mandos medios. La formación continua en idiomas, Compliance, habilidades Directivas y el Staff, además de la formación continua en idiomas y el desarrollo de competencias técnicas, Seguridad, Higiene y condiciones de trabajo y habilidades técnicas y de especialización para acompañar la evolución en el contenido de los puestos de trabajo que abarcan a todos los niveles de la organización. Además se hicieron las capacitaciones de bienvenida al personal que forman parte del proceso de on boarding de nuevos ingresos</w:t>
      </w:r>
      <w:r w:rsidRPr="00A371FB">
        <w:rPr>
          <w:rFonts w:ascii="Times New Roman" w:hAnsi="Times New Roman"/>
          <w:sz w:val="22"/>
          <w:szCs w:val="22"/>
          <w:lang w:val="es-US" w:eastAsia="es-ES"/>
        </w:rPr>
        <w:t>.</w:t>
      </w:r>
    </w:p>
    <w:p w14:paraId="291B52BF" w14:textId="77777777" w:rsidR="001B5821" w:rsidRPr="00A371FB" w:rsidRDefault="001B5821" w:rsidP="001B5821">
      <w:pPr>
        <w:pStyle w:val="Sangradetextonormal"/>
        <w:spacing w:after="0"/>
        <w:ind w:left="0"/>
        <w:jc w:val="both"/>
        <w:rPr>
          <w:rFonts w:ascii="Times New Roman" w:hAnsi="Times New Roman"/>
          <w:sz w:val="22"/>
          <w:szCs w:val="22"/>
          <w:lang w:eastAsia="es-ES"/>
        </w:rPr>
      </w:pPr>
    </w:p>
    <w:p w14:paraId="18422D33" w14:textId="77777777" w:rsidR="001B5821" w:rsidRPr="00A371FB" w:rsidRDefault="001B5821" w:rsidP="001B5821">
      <w:pPr>
        <w:pStyle w:val="Sangradetextonormal"/>
        <w:spacing w:after="0"/>
        <w:ind w:left="0"/>
        <w:jc w:val="both"/>
        <w:rPr>
          <w:rFonts w:ascii="Times New Roman" w:hAnsi="Times New Roman"/>
          <w:b/>
          <w:bCs/>
          <w:sz w:val="22"/>
          <w:szCs w:val="22"/>
          <w:u w:val="single"/>
          <w:lang w:eastAsia="es-ES"/>
        </w:rPr>
      </w:pPr>
      <w:r w:rsidRPr="00A371FB">
        <w:rPr>
          <w:rFonts w:ascii="Times New Roman" w:hAnsi="Times New Roman"/>
          <w:b/>
          <w:bCs/>
          <w:sz w:val="22"/>
          <w:szCs w:val="22"/>
          <w:u w:val="single"/>
          <w:lang w:eastAsia="es-ES"/>
        </w:rPr>
        <w:t>Bienestar y motivación</w:t>
      </w:r>
    </w:p>
    <w:p w14:paraId="3DCCBFC4" w14:textId="77777777" w:rsidR="001B5821" w:rsidRPr="00A371FB" w:rsidRDefault="001B5821" w:rsidP="001B5821">
      <w:pPr>
        <w:pStyle w:val="Sangradetextonormal"/>
        <w:spacing w:after="0"/>
        <w:ind w:left="0"/>
        <w:jc w:val="both"/>
        <w:rPr>
          <w:rFonts w:ascii="Times New Roman" w:hAnsi="Times New Roman"/>
          <w:b/>
          <w:bCs/>
          <w:sz w:val="22"/>
          <w:szCs w:val="22"/>
          <w:u w:val="single"/>
          <w:lang w:eastAsia="es-ES"/>
        </w:rPr>
      </w:pPr>
    </w:p>
    <w:p w14:paraId="72E58B8E" w14:textId="77777777" w:rsidR="001B5821" w:rsidRPr="00A371FB" w:rsidRDefault="001B5821" w:rsidP="001B5821">
      <w:pPr>
        <w:pStyle w:val="Sangradetextonormal"/>
        <w:spacing w:after="0"/>
        <w:ind w:left="0"/>
        <w:jc w:val="both"/>
        <w:rPr>
          <w:rFonts w:ascii="Times New Roman" w:hAnsi="Times New Roman"/>
          <w:sz w:val="22"/>
          <w:szCs w:val="22"/>
          <w:lang w:eastAsia="es-ES"/>
        </w:rPr>
      </w:pPr>
      <w:r w:rsidRPr="00A371FB">
        <w:rPr>
          <w:rFonts w:ascii="Times New Roman" w:hAnsi="Times New Roman"/>
          <w:sz w:val="22"/>
          <w:szCs w:val="22"/>
          <w:lang w:eastAsia="es-ES"/>
        </w:rPr>
        <w:t xml:space="preserve">Se mantienen las bases de nuestro programa de beneficios basado en el objetivo permanente de mejora la “Experiencia del empleado” introduciendo algunas modificaciones en nuestro programa. Basados en las opiniones de las encuestas de pulso se reintrodujo la fruta dentro del snack saludable que se brinda al personal de casa central que no cuenta con comedor en planta, retomando así una buena práctica que se interrumpió debido a las restricciones de protocolo sanitario impuesto por la pandemia. </w:t>
      </w:r>
    </w:p>
    <w:p w14:paraId="6B27C01E" w14:textId="77777777" w:rsidR="001B5821" w:rsidRPr="00A371FB" w:rsidRDefault="001B5821" w:rsidP="001B5821">
      <w:pPr>
        <w:pStyle w:val="Sangradetextonormal"/>
        <w:spacing w:after="0"/>
        <w:ind w:left="0"/>
        <w:jc w:val="both"/>
        <w:rPr>
          <w:rFonts w:ascii="Times New Roman" w:hAnsi="Times New Roman"/>
          <w:b/>
          <w:bCs/>
          <w:sz w:val="22"/>
          <w:szCs w:val="22"/>
          <w:u w:val="single"/>
          <w:lang w:val="es-US" w:eastAsia="es-ES"/>
        </w:rPr>
      </w:pPr>
    </w:p>
    <w:p w14:paraId="6F0230B6" w14:textId="77777777" w:rsidR="001B5821" w:rsidRPr="00A371FB" w:rsidRDefault="001B5821" w:rsidP="001B5821">
      <w:pPr>
        <w:pStyle w:val="Sangradetextonormal"/>
        <w:spacing w:after="0"/>
        <w:ind w:left="0"/>
        <w:jc w:val="both"/>
        <w:rPr>
          <w:rFonts w:ascii="Times New Roman" w:hAnsi="Times New Roman"/>
          <w:b/>
          <w:bCs/>
          <w:sz w:val="22"/>
          <w:szCs w:val="22"/>
          <w:u w:val="single"/>
          <w:lang w:eastAsia="es-ES"/>
        </w:rPr>
      </w:pPr>
      <w:r w:rsidRPr="00A371FB">
        <w:rPr>
          <w:rFonts w:ascii="Times New Roman" w:hAnsi="Times New Roman"/>
          <w:b/>
          <w:bCs/>
          <w:sz w:val="22"/>
          <w:szCs w:val="22"/>
          <w:u w:val="single"/>
          <w:lang w:eastAsia="es-ES"/>
        </w:rPr>
        <w:t>Prevención y funcionamiento en cada lugar donde se desarrollan actividades presenciales</w:t>
      </w:r>
    </w:p>
    <w:p w14:paraId="4213B306" w14:textId="77777777" w:rsidR="001B5821" w:rsidRPr="00A371FB" w:rsidRDefault="001B5821" w:rsidP="001B5821">
      <w:pPr>
        <w:pStyle w:val="Sangradetextonormal"/>
        <w:spacing w:after="0"/>
        <w:ind w:left="0"/>
        <w:jc w:val="both"/>
        <w:rPr>
          <w:rFonts w:ascii="Times New Roman" w:hAnsi="Times New Roman"/>
          <w:b/>
          <w:bCs/>
          <w:sz w:val="22"/>
          <w:szCs w:val="22"/>
          <w:u w:val="single"/>
          <w:lang w:eastAsia="es-ES"/>
        </w:rPr>
      </w:pPr>
    </w:p>
    <w:p w14:paraId="08C7BF3B" w14:textId="77777777" w:rsidR="001B5821" w:rsidRPr="00A371FB" w:rsidRDefault="001B5821">
      <w:pPr>
        <w:pStyle w:val="Sangradetextonormal"/>
        <w:numPr>
          <w:ilvl w:val="0"/>
          <w:numId w:val="19"/>
        </w:numPr>
        <w:spacing w:after="0"/>
        <w:jc w:val="both"/>
        <w:rPr>
          <w:rFonts w:ascii="Times New Roman" w:hAnsi="Times New Roman"/>
          <w:sz w:val="22"/>
          <w:szCs w:val="22"/>
          <w:lang w:eastAsia="es-ES"/>
        </w:rPr>
      </w:pPr>
      <w:r w:rsidRPr="00A371FB">
        <w:rPr>
          <w:rFonts w:ascii="Times New Roman" w:hAnsi="Times New Roman"/>
          <w:sz w:val="22"/>
          <w:szCs w:val="22"/>
          <w:lang w:eastAsia="es-ES"/>
        </w:rPr>
        <w:t>Se mantuvieron y actualizaron los  protocolos en cada sitio siguiendo las recomendaciones en la materia a nivel Local y nacional por los diferentes organismos gubernamentales.</w:t>
      </w:r>
    </w:p>
    <w:p w14:paraId="71FFE9EF" w14:textId="77777777" w:rsidR="001B5821" w:rsidRPr="00A371FB" w:rsidRDefault="001B5821" w:rsidP="001B5821">
      <w:pPr>
        <w:pStyle w:val="Sangradetextonormal"/>
        <w:spacing w:after="0"/>
        <w:ind w:left="0"/>
        <w:jc w:val="both"/>
        <w:rPr>
          <w:rFonts w:ascii="Times New Roman" w:hAnsi="Times New Roman"/>
          <w:sz w:val="22"/>
          <w:szCs w:val="22"/>
          <w:lang w:eastAsia="es-ES"/>
        </w:rPr>
      </w:pPr>
    </w:p>
    <w:p w14:paraId="01BE7C2D" w14:textId="77777777" w:rsidR="001B5821" w:rsidRPr="00A371FB" w:rsidRDefault="001B5821" w:rsidP="001B5821">
      <w:pPr>
        <w:pStyle w:val="Sangradetextonormal"/>
        <w:spacing w:after="0"/>
        <w:ind w:left="0"/>
        <w:jc w:val="both"/>
        <w:rPr>
          <w:rFonts w:ascii="Times New Roman" w:hAnsi="Times New Roman"/>
          <w:b/>
          <w:bCs/>
          <w:sz w:val="22"/>
          <w:szCs w:val="22"/>
          <w:u w:val="single"/>
          <w:lang w:eastAsia="es-ES"/>
        </w:rPr>
      </w:pPr>
      <w:r w:rsidRPr="00A371FB">
        <w:rPr>
          <w:rFonts w:ascii="Times New Roman" w:hAnsi="Times New Roman"/>
          <w:b/>
          <w:bCs/>
          <w:sz w:val="22"/>
          <w:szCs w:val="22"/>
          <w:u w:val="single"/>
          <w:lang w:eastAsia="es-ES"/>
        </w:rPr>
        <w:t>Sustentabilidad/RSE</w:t>
      </w:r>
    </w:p>
    <w:p w14:paraId="03AE71B0" w14:textId="77777777" w:rsidR="001B5821" w:rsidRPr="00A371FB" w:rsidRDefault="001B5821" w:rsidP="001B5821">
      <w:pPr>
        <w:pStyle w:val="Sangradetextonormal"/>
        <w:spacing w:after="0"/>
        <w:ind w:left="0"/>
        <w:jc w:val="both"/>
        <w:rPr>
          <w:rFonts w:ascii="Times New Roman" w:hAnsi="Times New Roman"/>
          <w:b/>
          <w:bCs/>
          <w:sz w:val="22"/>
          <w:szCs w:val="22"/>
          <w:u w:val="single"/>
          <w:lang w:eastAsia="es-ES"/>
        </w:rPr>
      </w:pPr>
    </w:p>
    <w:p w14:paraId="564C2E47" w14:textId="77777777" w:rsidR="001B5821" w:rsidRPr="00A371FB" w:rsidRDefault="001B5821" w:rsidP="001B5821">
      <w:pPr>
        <w:rPr>
          <w:rFonts w:ascii="Times New Roman" w:hAnsi="Times New Roman"/>
          <w:b/>
          <w:bCs/>
          <w:i/>
          <w:iCs/>
          <w:sz w:val="22"/>
          <w:szCs w:val="22"/>
        </w:rPr>
      </w:pPr>
      <w:r w:rsidRPr="00A371FB">
        <w:rPr>
          <w:rFonts w:ascii="Times New Roman" w:hAnsi="Times New Roman"/>
          <w:b/>
          <w:bCs/>
          <w:i/>
          <w:iCs/>
          <w:sz w:val="22"/>
          <w:szCs w:val="22"/>
        </w:rPr>
        <w:t>Balance Social</w:t>
      </w:r>
    </w:p>
    <w:p w14:paraId="43983340" w14:textId="77777777" w:rsidR="001B5821" w:rsidRPr="00A371FB" w:rsidRDefault="001B5821" w:rsidP="001B5821">
      <w:pPr>
        <w:pStyle w:val="Sangradetextonormal"/>
        <w:spacing w:after="0"/>
        <w:ind w:left="0"/>
        <w:jc w:val="both"/>
        <w:rPr>
          <w:rFonts w:ascii="Times New Roman" w:hAnsi="Times New Roman"/>
          <w:sz w:val="22"/>
          <w:szCs w:val="22"/>
          <w:lang w:val="es-US" w:eastAsia="es-ES"/>
        </w:rPr>
      </w:pPr>
      <w:r w:rsidRPr="00A371FB">
        <w:rPr>
          <w:rFonts w:ascii="Times New Roman" w:hAnsi="Times New Roman"/>
          <w:sz w:val="22"/>
          <w:szCs w:val="22"/>
          <w:lang w:eastAsia="es-ES"/>
        </w:rPr>
        <w:t>Un año más contribuyendo de manera continua al desarrollo de las comunidades donde operamos seguimos apoyando los siguientes proyectos educativos y de inclusión social</w:t>
      </w:r>
      <w:r w:rsidRPr="00A371FB">
        <w:rPr>
          <w:rFonts w:ascii="Times New Roman" w:hAnsi="Times New Roman"/>
          <w:sz w:val="22"/>
          <w:szCs w:val="22"/>
          <w:lang w:val="es-US" w:eastAsia="es-ES"/>
        </w:rPr>
        <w:t>.</w:t>
      </w:r>
    </w:p>
    <w:p w14:paraId="40F2E429" w14:textId="77777777" w:rsidR="001B5821" w:rsidRPr="00A371FB" w:rsidRDefault="001B5821" w:rsidP="001B5821">
      <w:pPr>
        <w:pStyle w:val="Sangradetextonormal"/>
        <w:spacing w:after="0"/>
        <w:ind w:left="0"/>
        <w:jc w:val="both"/>
        <w:rPr>
          <w:rFonts w:ascii="Times New Roman" w:hAnsi="Times New Roman"/>
          <w:sz w:val="22"/>
          <w:szCs w:val="22"/>
          <w:lang w:val="es-US" w:eastAsia="es-ES"/>
        </w:rPr>
      </w:pPr>
    </w:p>
    <w:p w14:paraId="4127BE6E" w14:textId="77777777" w:rsidR="001B5821" w:rsidRPr="00A371FB" w:rsidRDefault="001B5821" w:rsidP="001B5821">
      <w:pPr>
        <w:spacing w:after="0"/>
        <w:rPr>
          <w:rFonts w:ascii="Times New Roman" w:hAnsi="Times New Roman"/>
          <w:sz w:val="22"/>
          <w:szCs w:val="22"/>
          <w:lang w:eastAsia="es-ES"/>
        </w:rPr>
      </w:pPr>
      <w:r w:rsidRPr="00A371FB">
        <w:rPr>
          <w:rFonts w:ascii="Times New Roman" w:hAnsi="Times New Roman"/>
          <w:sz w:val="22"/>
          <w:szCs w:val="22"/>
          <w:lang w:eastAsia="es-ES"/>
        </w:rPr>
        <w:t>GMSA – Santiago del Estero</w:t>
      </w:r>
    </w:p>
    <w:p w14:paraId="2CC14B04" w14:textId="77777777" w:rsidR="001B5821" w:rsidRPr="00A371FB" w:rsidRDefault="001B5821" w:rsidP="001B5821">
      <w:pPr>
        <w:spacing w:after="0"/>
        <w:rPr>
          <w:rFonts w:ascii="Times New Roman" w:hAnsi="Times New Roman"/>
          <w:sz w:val="22"/>
          <w:szCs w:val="22"/>
          <w:lang w:eastAsia="es-ES"/>
        </w:rPr>
      </w:pPr>
      <w:r w:rsidRPr="00A371FB">
        <w:rPr>
          <w:rFonts w:ascii="Times New Roman" w:hAnsi="Times New Roman"/>
          <w:sz w:val="22"/>
          <w:szCs w:val="22"/>
          <w:lang w:eastAsia="es-ES"/>
        </w:rPr>
        <w:t>Fundación Grano de Mostaza.</w:t>
      </w:r>
    </w:p>
    <w:p w14:paraId="0E67B61E" w14:textId="77777777" w:rsidR="001B5821" w:rsidRPr="00A371FB" w:rsidRDefault="001B5821" w:rsidP="001B5821">
      <w:pPr>
        <w:spacing w:after="0"/>
        <w:rPr>
          <w:rFonts w:ascii="Times New Roman" w:hAnsi="Times New Roman"/>
          <w:sz w:val="22"/>
          <w:szCs w:val="22"/>
          <w:lang w:eastAsia="es-ES"/>
        </w:rPr>
      </w:pPr>
    </w:p>
    <w:p w14:paraId="3BC25253" w14:textId="77777777" w:rsidR="001B5821" w:rsidRPr="00A371FB" w:rsidRDefault="001B5821" w:rsidP="001B5821">
      <w:pPr>
        <w:spacing w:after="0"/>
        <w:rPr>
          <w:rFonts w:ascii="Times New Roman" w:hAnsi="Times New Roman"/>
          <w:sz w:val="22"/>
          <w:szCs w:val="22"/>
          <w:lang w:eastAsia="es-ES"/>
        </w:rPr>
      </w:pPr>
      <w:r w:rsidRPr="00A371FB">
        <w:rPr>
          <w:rFonts w:ascii="Times New Roman" w:hAnsi="Times New Roman"/>
          <w:sz w:val="22"/>
          <w:szCs w:val="22"/>
          <w:lang w:eastAsia="es-ES"/>
        </w:rPr>
        <w:t>GMSA – La Rioja</w:t>
      </w:r>
    </w:p>
    <w:p w14:paraId="28DD0130" w14:textId="77777777" w:rsidR="001B5821" w:rsidRPr="00A371FB" w:rsidRDefault="001B5821" w:rsidP="001B5821">
      <w:pPr>
        <w:spacing w:after="0"/>
        <w:rPr>
          <w:rFonts w:ascii="Times New Roman" w:hAnsi="Times New Roman"/>
          <w:sz w:val="22"/>
          <w:szCs w:val="22"/>
          <w:lang w:eastAsia="es-ES"/>
        </w:rPr>
      </w:pPr>
      <w:r w:rsidRPr="00A371FB">
        <w:rPr>
          <w:rFonts w:ascii="Times New Roman" w:hAnsi="Times New Roman"/>
          <w:sz w:val="22"/>
          <w:szCs w:val="22"/>
          <w:lang w:eastAsia="es-ES"/>
        </w:rPr>
        <w:t>Fundación Padre Praolini</w:t>
      </w:r>
    </w:p>
    <w:p w14:paraId="41834968" w14:textId="77777777" w:rsidR="001B5821" w:rsidRPr="00A371FB" w:rsidRDefault="001B5821" w:rsidP="001B5821">
      <w:pPr>
        <w:spacing w:after="0"/>
        <w:rPr>
          <w:rFonts w:ascii="Times New Roman" w:hAnsi="Times New Roman"/>
          <w:sz w:val="22"/>
          <w:szCs w:val="22"/>
          <w:lang w:eastAsia="es-ES"/>
        </w:rPr>
      </w:pPr>
    </w:p>
    <w:p w14:paraId="64A3F2BF" w14:textId="77777777" w:rsidR="001B5821" w:rsidRPr="00A371FB" w:rsidRDefault="001B5821" w:rsidP="001B5821">
      <w:pPr>
        <w:spacing w:after="0"/>
        <w:rPr>
          <w:rFonts w:ascii="Times New Roman" w:hAnsi="Times New Roman"/>
          <w:sz w:val="22"/>
          <w:szCs w:val="22"/>
          <w:lang w:eastAsia="es-ES"/>
        </w:rPr>
      </w:pPr>
      <w:r w:rsidRPr="00A371FB">
        <w:rPr>
          <w:rFonts w:ascii="Times New Roman" w:hAnsi="Times New Roman"/>
          <w:sz w:val="22"/>
          <w:szCs w:val="22"/>
          <w:lang w:eastAsia="es-ES"/>
        </w:rPr>
        <w:t>GMSA – Rio Cuarto – Córdoba</w:t>
      </w:r>
    </w:p>
    <w:p w14:paraId="00A46CAC" w14:textId="77777777" w:rsidR="001B5821" w:rsidRPr="00A371FB" w:rsidRDefault="001B5821" w:rsidP="001B5821">
      <w:pPr>
        <w:spacing w:after="0"/>
        <w:rPr>
          <w:rFonts w:ascii="Times New Roman" w:hAnsi="Times New Roman"/>
          <w:sz w:val="22"/>
          <w:szCs w:val="22"/>
          <w:lang w:eastAsia="es-ES"/>
        </w:rPr>
      </w:pPr>
      <w:r w:rsidRPr="00A371FB">
        <w:rPr>
          <w:rFonts w:ascii="Times New Roman" w:hAnsi="Times New Roman"/>
          <w:sz w:val="22"/>
          <w:szCs w:val="22"/>
          <w:lang w:eastAsia="es-ES"/>
        </w:rPr>
        <w:t>Colegio General Ignacio Foteringham</w:t>
      </w:r>
    </w:p>
    <w:p w14:paraId="3EE9A973" w14:textId="77777777" w:rsidR="001B5821" w:rsidRPr="00A371FB" w:rsidRDefault="001B5821" w:rsidP="001B5821">
      <w:pPr>
        <w:spacing w:after="0"/>
        <w:rPr>
          <w:rFonts w:ascii="Times New Roman" w:hAnsi="Times New Roman"/>
          <w:sz w:val="22"/>
          <w:szCs w:val="22"/>
          <w:lang w:eastAsia="es-ES"/>
        </w:rPr>
      </w:pPr>
    </w:p>
    <w:p w14:paraId="251665A4" w14:textId="77777777" w:rsidR="001B5821" w:rsidRPr="00A371FB" w:rsidRDefault="001B5821" w:rsidP="001B5821">
      <w:pPr>
        <w:rPr>
          <w:rFonts w:ascii="Times New Roman" w:hAnsi="Times New Roman"/>
          <w:b/>
          <w:bCs/>
          <w:i/>
          <w:iCs/>
          <w:sz w:val="22"/>
          <w:szCs w:val="22"/>
        </w:rPr>
      </w:pPr>
      <w:r w:rsidRPr="00A371FB">
        <w:rPr>
          <w:rFonts w:ascii="Times New Roman" w:hAnsi="Times New Roman"/>
          <w:b/>
          <w:bCs/>
          <w:i/>
          <w:iCs/>
          <w:sz w:val="22"/>
          <w:szCs w:val="22"/>
        </w:rPr>
        <w:t xml:space="preserve">Donación de material informático a instituciones Educativas </w:t>
      </w:r>
    </w:p>
    <w:p w14:paraId="674600BE" w14:textId="77777777" w:rsidR="001B5821" w:rsidRPr="00A371FB" w:rsidRDefault="001B5821" w:rsidP="001B5821">
      <w:pPr>
        <w:spacing w:after="0"/>
        <w:rPr>
          <w:rFonts w:ascii="Times New Roman" w:hAnsi="Times New Roman"/>
          <w:sz w:val="22"/>
          <w:szCs w:val="22"/>
          <w:lang w:eastAsia="es-ES"/>
        </w:rPr>
      </w:pPr>
      <w:r w:rsidRPr="00A371FB">
        <w:rPr>
          <w:rFonts w:ascii="Times New Roman" w:hAnsi="Times New Roman"/>
          <w:sz w:val="22"/>
          <w:szCs w:val="22"/>
          <w:lang w:eastAsia="es-ES"/>
        </w:rPr>
        <w:t>Timbues – Santa Fe</w:t>
      </w:r>
    </w:p>
    <w:p w14:paraId="039773C3" w14:textId="77777777" w:rsidR="001B5821" w:rsidRPr="00A371FB" w:rsidRDefault="001B5821" w:rsidP="001B5821">
      <w:pPr>
        <w:spacing w:after="0"/>
        <w:rPr>
          <w:rFonts w:ascii="Times New Roman" w:hAnsi="Times New Roman"/>
          <w:sz w:val="22"/>
          <w:szCs w:val="22"/>
          <w:lang w:eastAsia="es-ES"/>
        </w:rPr>
      </w:pPr>
      <w:r w:rsidRPr="00A371FB">
        <w:rPr>
          <w:rFonts w:ascii="Times New Roman" w:hAnsi="Times New Roman"/>
          <w:sz w:val="22"/>
          <w:szCs w:val="22"/>
          <w:lang w:eastAsia="es-ES"/>
        </w:rPr>
        <w:t>General Roca – Río Negro</w:t>
      </w:r>
    </w:p>
    <w:p w14:paraId="6440A12E" w14:textId="77777777" w:rsidR="001B5821" w:rsidRPr="00A371FB" w:rsidRDefault="001B5821" w:rsidP="001B5821">
      <w:pPr>
        <w:spacing w:after="0"/>
        <w:rPr>
          <w:rFonts w:ascii="Times New Roman" w:hAnsi="Times New Roman"/>
          <w:sz w:val="22"/>
          <w:szCs w:val="22"/>
          <w:lang w:eastAsia="es-ES"/>
        </w:rPr>
      </w:pPr>
      <w:r w:rsidRPr="00A371FB">
        <w:rPr>
          <w:rFonts w:ascii="Times New Roman" w:hAnsi="Times New Roman"/>
          <w:sz w:val="22"/>
          <w:szCs w:val="22"/>
          <w:lang w:eastAsia="es-ES"/>
        </w:rPr>
        <w:t>San Miguel de Tucumán – Tucumán</w:t>
      </w:r>
    </w:p>
    <w:p w14:paraId="1E745B66" w14:textId="77777777" w:rsidR="001B5821" w:rsidRPr="00A371FB" w:rsidRDefault="001B5821" w:rsidP="001B5821">
      <w:pPr>
        <w:spacing w:after="0"/>
        <w:rPr>
          <w:rFonts w:ascii="Times New Roman" w:hAnsi="Times New Roman"/>
          <w:sz w:val="22"/>
          <w:szCs w:val="22"/>
          <w:lang w:eastAsia="es-ES"/>
        </w:rPr>
      </w:pPr>
      <w:r w:rsidRPr="00A371FB">
        <w:rPr>
          <w:rFonts w:ascii="Times New Roman" w:hAnsi="Times New Roman"/>
          <w:sz w:val="22"/>
          <w:szCs w:val="22"/>
          <w:lang w:eastAsia="es-ES"/>
        </w:rPr>
        <w:t>Ezeiza – Buenos Aires</w:t>
      </w:r>
    </w:p>
    <w:p w14:paraId="70E30AEE" w14:textId="77777777" w:rsidR="001B5821" w:rsidRPr="00A371FB" w:rsidRDefault="001B5821" w:rsidP="001B5821">
      <w:pPr>
        <w:spacing w:after="0"/>
        <w:rPr>
          <w:rFonts w:ascii="Times New Roman" w:hAnsi="Times New Roman"/>
          <w:sz w:val="22"/>
          <w:szCs w:val="22"/>
          <w:lang w:eastAsia="es-ES"/>
        </w:rPr>
      </w:pPr>
      <w:r w:rsidRPr="00A371FB">
        <w:rPr>
          <w:rFonts w:ascii="Times New Roman" w:hAnsi="Times New Roman"/>
          <w:sz w:val="22"/>
          <w:szCs w:val="22"/>
          <w:lang w:eastAsia="es-ES"/>
        </w:rPr>
        <w:t>Frias – Santiago del Estero</w:t>
      </w:r>
    </w:p>
    <w:p w14:paraId="5127331D" w14:textId="77777777" w:rsidR="001B5821" w:rsidRPr="00A371FB" w:rsidRDefault="001B5821" w:rsidP="001B5821">
      <w:pPr>
        <w:spacing w:after="0"/>
        <w:rPr>
          <w:rFonts w:ascii="Times New Roman" w:hAnsi="Times New Roman"/>
          <w:sz w:val="22"/>
          <w:szCs w:val="22"/>
          <w:lang w:eastAsia="es-ES"/>
        </w:rPr>
      </w:pPr>
      <w:r w:rsidRPr="00A371FB">
        <w:rPr>
          <w:rFonts w:ascii="Times New Roman" w:hAnsi="Times New Roman"/>
          <w:sz w:val="22"/>
          <w:szCs w:val="22"/>
          <w:lang w:eastAsia="es-ES"/>
        </w:rPr>
        <w:t>Rio Cuarto – Córdoba</w:t>
      </w:r>
    </w:p>
    <w:p w14:paraId="063D5B65" w14:textId="77777777" w:rsidR="00EF4E30" w:rsidRPr="00A371FB" w:rsidRDefault="00EF4E30" w:rsidP="00C85568">
      <w:pPr>
        <w:pStyle w:val="Prrafodelista"/>
        <w:spacing w:line="280" w:lineRule="exact"/>
        <w:ind w:left="0"/>
        <w:jc w:val="both"/>
        <w:rPr>
          <w:rFonts w:ascii="Times New Roman" w:hAnsi="Times New Roman"/>
          <w:color w:val="000000" w:themeColor="text1"/>
          <w:sz w:val="22"/>
          <w:szCs w:val="22"/>
          <w:lang w:val="es-ES"/>
        </w:rPr>
      </w:pPr>
    </w:p>
    <w:p w14:paraId="7BD18379" w14:textId="158E7556" w:rsidR="00C85568" w:rsidRPr="00A371FB" w:rsidRDefault="00C85568" w:rsidP="005C4D6F">
      <w:pPr>
        <w:pStyle w:val="Prrafodelista"/>
        <w:numPr>
          <w:ilvl w:val="1"/>
          <w:numId w:val="1"/>
        </w:numPr>
        <w:spacing w:after="100" w:afterAutospacing="1" w:line="240" w:lineRule="exact"/>
        <w:ind w:left="426" w:hanging="426"/>
        <w:jc w:val="both"/>
        <w:rPr>
          <w:rFonts w:ascii="Times New Roman" w:hAnsi="Times New Roman"/>
          <w:b/>
          <w:sz w:val="22"/>
          <w:szCs w:val="22"/>
        </w:rPr>
      </w:pPr>
      <w:bookmarkStart w:id="10" w:name="_Hlk1677902"/>
      <w:r w:rsidRPr="00A371FB">
        <w:rPr>
          <w:rFonts w:ascii="Times New Roman" w:hAnsi="Times New Roman"/>
          <w:b/>
          <w:sz w:val="22"/>
          <w:szCs w:val="22"/>
          <w:u w:val="single"/>
        </w:rPr>
        <w:t>Sistemas y Comunicaciones</w:t>
      </w:r>
    </w:p>
    <w:p w14:paraId="153815D9" w14:textId="77777777" w:rsidR="000834D5" w:rsidRPr="00A371FB" w:rsidRDefault="000834D5" w:rsidP="000834D5">
      <w:pPr>
        <w:pStyle w:val="Prrafodelista"/>
        <w:spacing w:after="100" w:afterAutospacing="1" w:line="240" w:lineRule="exact"/>
        <w:ind w:left="426"/>
        <w:jc w:val="both"/>
        <w:rPr>
          <w:rFonts w:ascii="Times New Roman" w:hAnsi="Times New Roman"/>
          <w:b/>
          <w:sz w:val="22"/>
          <w:szCs w:val="22"/>
        </w:rPr>
      </w:pPr>
    </w:p>
    <w:bookmarkEnd w:id="10"/>
    <w:p w14:paraId="6C8EEB7E" w14:textId="77777777" w:rsidR="000834D5" w:rsidRPr="00A371FB" w:rsidRDefault="000834D5" w:rsidP="000834D5">
      <w:pPr>
        <w:pStyle w:val="Prrafodelista"/>
        <w:spacing w:line="280" w:lineRule="exact"/>
        <w:ind w:left="0"/>
        <w:jc w:val="both"/>
        <w:rPr>
          <w:rFonts w:ascii="Times New Roman" w:hAnsi="Times New Roman"/>
          <w:color w:val="000000" w:themeColor="text1"/>
          <w:sz w:val="22"/>
          <w:szCs w:val="22"/>
          <w:lang w:val="es-ES" w:eastAsia="en-US"/>
        </w:rPr>
      </w:pPr>
      <w:r w:rsidRPr="00A371FB">
        <w:rPr>
          <w:rFonts w:ascii="Times New Roman" w:hAnsi="Times New Roman"/>
          <w:color w:val="000000" w:themeColor="text1"/>
          <w:sz w:val="22"/>
          <w:szCs w:val="22"/>
          <w:lang w:val="es-ES"/>
        </w:rPr>
        <w:t>Durante el año 2022, el área de Sistemas y Comunicaciones continuó brindando mantenimiento, desarrollo, implementación, innovación y soluciones asociadas a aplicaciones, tecnología, telecomunicaciones, seguridad de la información y procesos, garantizando un adecuado nivel de servicio y cubriendo las necesidades del negocio de la compañía.</w:t>
      </w:r>
    </w:p>
    <w:p w14:paraId="41ED3F7B" w14:textId="77777777" w:rsidR="000834D5" w:rsidRPr="00A371FB" w:rsidRDefault="000834D5" w:rsidP="000834D5">
      <w:pPr>
        <w:pStyle w:val="Prrafodelista"/>
        <w:spacing w:line="280" w:lineRule="exact"/>
        <w:ind w:left="0"/>
        <w:jc w:val="both"/>
        <w:rPr>
          <w:rFonts w:ascii="Times New Roman" w:hAnsi="Times New Roman"/>
          <w:color w:val="000000" w:themeColor="text1"/>
          <w:sz w:val="22"/>
          <w:szCs w:val="22"/>
          <w:lang w:val="es-ES"/>
        </w:rPr>
      </w:pPr>
    </w:p>
    <w:p w14:paraId="45A916B1" w14:textId="77777777" w:rsidR="000834D5" w:rsidRPr="00A371FB" w:rsidRDefault="000834D5" w:rsidP="000834D5">
      <w:pPr>
        <w:pStyle w:val="Prrafodelista"/>
        <w:spacing w:line="280" w:lineRule="exact"/>
        <w:ind w:left="0"/>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Cabe destacar que el área cuenta con políticas y procedimientos acordes a normas y estándares internacionales los cuales son monitoreados en forma continua a fin de controlar el cumplimiento de los objetivos del sector, los controles internos, como así también asegurar la calidad y la mejora continua.</w:t>
      </w:r>
    </w:p>
    <w:p w14:paraId="02D8694F" w14:textId="77777777" w:rsidR="000834D5" w:rsidRPr="00A371FB" w:rsidRDefault="000834D5" w:rsidP="000834D5">
      <w:pPr>
        <w:spacing w:after="0" w:line="240" w:lineRule="auto"/>
        <w:rPr>
          <w:rFonts w:ascii="Times New Roman" w:hAnsi="Times New Roman"/>
          <w:sz w:val="22"/>
          <w:szCs w:val="22"/>
          <w:lang w:val="es-ES"/>
        </w:rPr>
      </w:pPr>
      <w:r w:rsidRPr="00A371FB">
        <w:rPr>
          <w:rFonts w:ascii="Times New Roman" w:hAnsi="Times New Roman"/>
          <w:sz w:val="22"/>
          <w:szCs w:val="22"/>
          <w:lang w:val="es-ES"/>
        </w:rPr>
        <w:t>Los proyectos y objetivos logrados durante el año 2022 se resumen a continuación:</w:t>
      </w:r>
    </w:p>
    <w:p w14:paraId="434CA97B" w14:textId="77777777" w:rsidR="000834D5" w:rsidRPr="00A371FB" w:rsidRDefault="000834D5" w:rsidP="000834D5">
      <w:pPr>
        <w:spacing w:after="0" w:line="240" w:lineRule="auto"/>
        <w:rPr>
          <w:rFonts w:ascii="Times New Roman" w:hAnsi="Times New Roman"/>
          <w:sz w:val="22"/>
          <w:szCs w:val="22"/>
          <w:lang w:val="es-ES"/>
        </w:rPr>
      </w:pPr>
    </w:p>
    <w:p w14:paraId="6F0EACD9" w14:textId="77777777" w:rsidR="000834D5"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Se realizaron mejoras en el sistema de acceso del data center corporativo, con el propósito de mejorar la seguridad del mismo.</w:t>
      </w:r>
    </w:p>
    <w:p w14:paraId="2109F785" w14:textId="77777777" w:rsidR="000834D5"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Se adquirieron 35 laptops para recambio de equipos obsoletos y nuevas asignaciones</w:t>
      </w:r>
    </w:p>
    <w:p w14:paraId="1669785E" w14:textId="77777777" w:rsidR="000834D5"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Se actualizaron y renovaron 30 celulares de la flota corporativa.</w:t>
      </w:r>
    </w:p>
    <w:p w14:paraId="673B79D3" w14:textId="77777777" w:rsidR="000834D5"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Se ampliaron y mejoraron los sistemas comerciales, obteniendo nuevas funcionalidades para la gestión diaria.</w:t>
      </w:r>
    </w:p>
    <w:p w14:paraId="6FBD7F06" w14:textId="77777777" w:rsidR="000834D5"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 xml:space="preserve">Se desarrollaron más de 120 mejoras a los programas de gestión utilizados diariamente. </w:t>
      </w:r>
    </w:p>
    <w:p w14:paraId="53BEEE2F" w14:textId="77777777" w:rsidR="000834D5"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Se implementó un portal de aplicaciones para utilización dinámica de SAP. (Aprobación de gastos, liberar pedidos, etc).</w:t>
      </w:r>
    </w:p>
    <w:p w14:paraId="5EC45538" w14:textId="77777777" w:rsidR="000834D5"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Se implementó un data wharehouse corporativo, para lograr integrar y combinar datos de distintas fuentes.</w:t>
      </w:r>
    </w:p>
    <w:p w14:paraId="2D061E83" w14:textId="77777777" w:rsidR="000834D5"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Se realizó la implementación de un software para monitoreo proactivo de equipos (Cámaras, Servidores, Equipos de Comunicación, etc).</w:t>
      </w:r>
    </w:p>
    <w:p w14:paraId="5ECD40E9" w14:textId="77777777" w:rsidR="000834D5"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Se realizó la ampliación del sistema CCTV, con la colocación de 8 domos nuevos.</w:t>
      </w:r>
    </w:p>
    <w:p w14:paraId="034002C4" w14:textId="77777777" w:rsidR="000834D5"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Se implemento una nueva herramienta para la apertura de tickets de soporte, junto con un dashboard para el seguimiento de las métricas definidas.</w:t>
      </w:r>
    </w:p>
    <w:p w14:paraId="49B6BDB1" w14:textId="77777777" w:rsidR="000834D5"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Se implemento un nuevo portal de proveedores para la gestión de la documentación de los mismos.</w:t>
      </w:r>
    </w:p>
    <w:p w14:paraId="02981AC1" w14:textId="77777777" w:rsidR="000834D5" w:rsidRPr="00A371FB" w:rsidRDefault="000834D5" w:rsidP="000834D5">
      <w:pPr>
        <w:pStyle w:val="Prrafodelista"/>
        <w:spacing w:line="280" w:lineRule="exact"/>
        <w:ind w:left="0"/>
        <w:jc w:val="both"/>
        <w:rPr>
          <w:rFonts w:ascii="Times New Roman" w:hAnsi="Times New Roman"/>
          <w:color w:val="000000" w:themeColor="text1"/>
          <w:sz w:val="22"/>
          <w:szCs w:val="22"/>
          <w:lang w:val="es-ES"/>
        </w:rPr>
      </w:pPr>
    </w:p>
    <w:p w14:paraId="2047145D" w14:textId="77777777" w:rsidR="000834D5" w:rsidRPr="00A371FB" w:rsidRDefault="000834D5" w:rsidP="000834D5">
      <w:pPr>
        <w:pStyle w:val="Prrafodelista"/>
        <w:spacing w:line="280" w:lineRule="exact"/>
        <w:ind w:left="0"/>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 xml:space="preserve">Cómo objetivo para el 2023, la Gerencia de Sistemas y Tecnologías de la Información continuará con el proceso de inversión tendiente a mejorar la productividad y la eficiencia de los procesos existentes, como así también la incorporación de tecnologías innovadoras, permitiendo de esta manera continuar con el proceso de mejora de las acciones enfocadas a garantizar la seguridad, confidencialidad, integridad y disponibilidad de la información. </w:t>
      </w:r>
    </w:p>
    <w:p w14:paraId="61E4FABE" w14:textId="77777777" w:rsidR="000834D5" w:rsidRPr="00A371FB" w:rsidRDefault="000834D5" w:rsidP="000834D5">
      <w:pPr>
        <w:spacing w:after="0" w:line="240" w:lineRule="auto"/>
        <w:rPr>
          <w:rFonts w:ascii="Times New Roman" w:hAnsi="Times New Roman"/>
          <w:sz w:val="22"/>
          <w:szCs w:val="22"/>
          <w:lang w:val="es-ES"/>
        </w:rPr>
      </w:pPr>
      <w:r w:rsidRPr="00A371FB">
        <w:rPr>
          <w:rFonts w:ascii="Times New Roman" w:hAnsi="Times New Roman"/>
          <w:sz w:val="22"/>
          <w:szCs w:val="22"/>
          <w:lang w:val="es-ES"/>
        </w:rPr>
        <w:t>Algunos de los proyectos para el año 2023 son:</w:t>
      </w:r>
    </w:p>
    <w:p w14:paraId="28743C64" w14:textId="77777777" w:rsidR="000834D5" w:rsidRPr="00A371FB" w:rsidRDefault="000834D5" w:rsidP="000834D5">
      <w:pPr>
        <w:spacing w:after="0" w:line="240" w:lineRule="auto"/>
        <w:rPr>
          <w:rFonts w:ascii="Times New Roman" w:hAnsi="Times New Roman"/>
          <w:sz w:val="22"/>
          <w:szCs w:val="22"/>
        </w:rPr>
      </w:pPr>
    </w:p>
    <w:p w14:paraId="0E3D9B5A" w14:textId="77777777" w:rsidR="000834D5"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bookmarkStart w:id="11" w:name="_Hlk123042007"/>
      <w:r w:rsidRPr="00A371FB">
        <w:rPr>
          <w:rFonts w:ascii="Times New Roman" w:hAnsi="Times New Roman"/>
          <w:color w:val="000000" w:themeColor="text1"/>
          <w:sz w:val="22"/>
          <w:szCs w:val="22"/>
          <w:lang w:val="es-ES"/>
        </w:rPr>
        <w:t>Desarrollo de portal de clientes para la gestión de documentación asociada a los mismos.</w:t>
      </w:r>
    </w:p>
    <w:p w14:paraId="6C7D890F" w14:textId="77777777" w:rsidR="000834D5"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Ampliación en funcionalidad en el portal de proveedores, para la gestión de licitaciones, compras, etc.</w:t>
      </w:r>
    </w:p>
    <w:p w14:paraId="26FFFB96" w14:textId="77777777" w:rsidR="000834D5"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Generación de nuevos dashboard para el seguimiento de métricas definidas por la compañía.</w:t>
      </w:r>
    </w:p>
    <w:p w14:paraId="45637C23" w14:textId="77777777" w:rsidR="000834D5"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Automatizaciones para el circuito de gestión del negocio comercial de GAS.</w:t>
      </w:r>
    </w:p>
    <w:p w14:paraId="149E31F8" w14:textId="77777777" w:rsidR="000834D5"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Continuar con la actualización del parque de PC, laptop y celulares.</w:t>
      </w:r>
    </w:p>
    <w:p w14:paraId="13EFB61D" w14:textId="77777777" w:rsidR="000834D5"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Mejoramiento de los sistemas comerciales y de facturación de energía.</w:t>
      </w:r>
    </w:p>
    <w:p w14:paraId="1751DC00" w14:textId="4EA61A74" w:rsidR="00C85568" w:rsidRPr="00A371FB" w:rsidRDefault="000834D5">
      <w:pPr>
        <w:pStyle w:val="Prrafodelista"/>
        <w:numPr>
          <w:ilvl w:val="0"/>
          <w:numId w:val="18"/>
        </w:numPr>
        <w:spacing w:line="280" w:lineRule="exact"/>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Continuar ampliando y mejorando la solución del sistema CCTV</w:t>
      </w:r>
      <w:bookmarkEnd w:id="11"/>
      <w:r w:rsidRPr="00A371FB">
        <w:rPr>
          <w:rFonts w:ascii="Times New Roman" w:hAnsi="Times New Roman"/>
          <w:color w:val="000000" w:themeColor="text1"/>
          <w:sz w:val="22"/>
          <w:szCs w:val="22"/>
          <w:lang w:val="es-ES"/>
        </w:rPr>
        <w:t>.</w:t>
      </w:r>
    </w:p>
    <w:p w14:paraId="5551A703" w14:textId="77777777" w:rsidR="00640E8B" w:rsidRPr="00A371FB" w:rsidRDefault="00640E8B" w:rsidP="00640E8B">
      <w:pPr>
        <w:pStyle w:val="Prrafodelista"/>
        <w:spacing w:line="280" w:lineRule="exact"/>
        <w:jc w:val="both"/>
        <w:rPr>
          <w:rFonts w:ascii="Times New Roman" w:hAnsi="Times New Roman"/>
          <w:color w:val="000000" w:themeColor="text1"/>
          <w:sz w:val="22"/>
          <w:szCs w:val="22"/>
          <w:lang w:val="es-ES"/>
        </w:rPr>
      </w:pPr>
    </w:p>
    <w:p w14:paraId="5DA22F4E" w14:textId="28808B7B" w:rsidR="00284EBB" w:rsidRPr="00A371FB" w:rsidRDefault="00C85568" w:rsidP="00284EBB">
      <w:pPr>
        <w:pStyle w:val="Prrafodelista"/>
        <w:numPr>
          <w:ilvl w:val="1"/>
          <w:numId w:val="1"/>
        </w:numPr>
        <w:spacing w:after="100" w:afterAutospacing="1" w:line="240" w:lineRule="exact"/>
        <w:ind w:left="426" w:hanging="426"/>
        <w:jc w:val="both"/>
        <w:rPr>
          <w:rFonts w:ascii="Times New Roman" w:hAnsi="Times New Roman"/>
          <w:b/>
          <w:sz w:val="22"/>
          <w:szCs w:val="22"/>
        </w:rPr>
      </w:pPr>
      <w:r w:rsidRPr="00A371FB">
        <w:rPr>
          <w:rFonts w:ascii="Times New Roman" w:hAnsi="Times New Roman"/>
          <w:b/>
          <w:sz w:val="22"/>
          <w:szCs w:val="22"/>
          <w:u w:val="single"/>
        </w:rPr>
        <w:t>Programa de Integridad</w:t>
      </w:r>
      <w:bookmarkEnd w:id="9"/>
    </w:p>
    <w:p w14:paraId="686224D6" w14:textId="77777777" w:rsidR="00284EBB" w:rsidRPr="00A371FB" w:rsidRDefault="00284EBB" w:rsidP="00284EBB">
      <w:pPr>
        <w:jc w:val="both"/>
        <w:rPr>
          <w:rFonts w:ascii="Times New Roman" w:eastAsia="Times New Roman" w:hAnsi="Times New Roman"/>
          <w:sz w:val="22"/>
          <w:szCs w:val="22"/>
        </w:rPr>
      </w:pPr>
      <w:r w:rsidRPr="00A371FB">
        <w:rPr>
          <w:rFonts w:ascii="Times New Roman" w:hAnsi="Times New Roman"/>
          <w:sz w:val="22"/>
          <w:szCs w:val="22"/>
        </w:rPr>
        <w:t xml:space="preserve">En febrero 2018, </w:t>
      </w:r>
      <w:r w:rsidRPr="00A371FB">
        <w:rPr>
          <w:rFonts w:ascii="Times New Roman" w:eastAsia="Times New Roman" w:hAnsi="Times New Roman"/>
          <w:sz w:val="22"/>
          <w:szCs w:val="22"/>
        </w:rPr>
        <w:t xml:space="preserve">en forma previa a la entrada en vigor de la ley nacional N° 27.401, </w:t>
      </w:r>
      <w:r w:rsidRPr="00A371FB">
        <w:rPr>
          <w:rFonts w:ascii="Times New Roman" w:hAnsi="Times New Roman"/>
          <w:sz w:val="22"/>
          <w:szCs w:val="22"/>
        </w:rPr>
        <w:t xml:space="preserve">el Grupo comenzó el </w:t>
      </w:r>
      <w:r w:rsidRPr="00A371FB">
        <w:rPr>
          <w:rFonts w:ascii="Times New Roman" w:eastAsia="Times New Roman" w:hAnsi="Times New Roman"/>
          <w:sz w:val="22"/>
          <w:szCs w:val="22"/>
        </w:rPr>
        <w:t xml:space="preserve">proceso de fortalecimiento de su Programa de Integridad (el “Programa de Integridad” o el “Programa”) para asegurar su efectividad en relación con los riesgos atinentes a sus actividades. </w:t>
      </w:r>
    </w:p>
    <w:p w14:paraId="182C2499" w14:textId="77777777" w:rsidR="00284EBB" w:rsidRPr="00A371FB" w:rsidRDefault="00284EBB" w:rsidP="00284EBB">
      <w:pPr>
        <w:jc w:val="both"/>
        <w:rPr>
          <w:rFonts w:ascii="Times New Roman" w:eastAsia="Times New Roman" w:hAnsi="Times New Roman"/>
          <w:sz w:val="22"/>
          <w:szCs w:val="22"/>
        </w:rPr>
      </w:pPr>
      <w:r w:rsidRPr="00A371FB">
        <w:rPr>
          <w:rFonts w:ascii="Times New Roman" w:eastAsia="Times New Roman" w:hAnsi="Times New Roman"/>
          <w:sz w:val="22"/>
          <w:szCs w:val="22"/>
        </w:rPr>
        <w:t xml:space="preserve">El Programa fue aprobado por Acta de Directorio de fecha 16 de agosto de 2018 y se sustentó inicialmente en: (i) un Código de Ética y Conducta (el “Código”), (ii) una Política Anticorrupción, (iii) una Política de Presentación en Licitaciones y Concursos, (iv) una Política de relacionamiento con funcionarios públicos; y (v) una Línea Ética para denuncias anónimas de terceros (la “Línea”), administrada por la firma PricewaterhouseCoopers (“PwC”). </w:t>
      </w:r>
    </w:p>
    <w:p w14:paraId="7084C8E9" w14:textId="77777777" w:rsidR="00284EBB" w:rsidRPr="00A371FB" w:rsidRDefault="00284EBB" w:rsidP="00284EBB">
      <w:pPr>
        <w:jc w:val="both"/>
        <w:rPr>
          <w:rStyle w:val="Hipervnculo"/>
          <w:rFonts w:ascii="Times New Roman" w:hAnsi="Times New Roman"/>
          <w:color w:val="0070C0"/>
          <w:sz w:val="22"/>
          <w:szCs w:val="22"/>
        </w:rPr>
      </w:pPr>
      <w:r w:rsidRPr="00A371FB">
        <w:rPr>
          <w:rFonts w:ascii="Times New Roman" w:eastAsia="Times New Roman" w:hAnsi="Times New Roman"/>
          <w:sz w:val="22"/>
          <w:szCs w:val="22"/>
        </w:rPr>
        <w:t>El Código y la Línea se encuentran disponibles en el sitio web de Albanesi (</w:t>
      </w:r>
      <w:hyperlink r:id="rId35" w:history="1">
        <w:r w:rsidRPr="00A371FB">
          <w:rPr>
            <w:rStyle w:val="Hipervnculo"/>
            <w:rFonts w:ascii="Times New Roman" w:hAnsi="Times New Roman"/>
            <w:sz w:val="22"/>
            <w:szCs w:val="22"/>
          </w:rPr>
          <w:t>http://www.albanesi.com.ar/programa-integridad.php</w:t>
        </w:r>
      </w:hyperlink>
      <w:r w:rsidRPr="00A371FB">
        <w:rPr>
          <w:rFonts w:ascii="Times New Roman" w:eastAsia="Times New Roman" w:hAnsi="Times New Roman"/>
          <w:sz w:val="22"/>
          <w:szCs w:val="22"/>
        </w:rPr>
        <w:t>),</w:t>
      </w:r>
      <w:r w:rsidRPr="00A371FB">
        <w:rPr>
          <w:rStyle w:val="Hipervnculo"/>
          <w:rFonts w:ascii="Times New Roman" w:hAnsi="Times New Roman"/>
          <w:sz w:val="22"/>
          <w:szCs w:val="22"/>
        </w:rPr>
        <w:t xml:space="preserve"> </w:t>
      </w:r>
      <w:r w:rsidRPr="00A371FB">
        <w:rPr>
          <w:rFonts w:ascii="Times New Roman" w:eastAsia="Times New Roman" w:hAnsi="Times New Roman"/>
          <w:sz w:val="22"/>
          <w:szCs w:val="22"/>
        </w:rPr>
        <w:t xml:space="preserve">en sustento de un criterio de publicidad y transparencia que continuó desarrollándose posteriormente a partir de su difusión a proveedores y clientes. </w:t>
      </w:r>
      <w:r w:rsidRPr="00A371FB">
        <w:rPr>
          <w:rFonts w:ascii="Times New Roman" w:hAnsi="Times New Roman"/>
          <w:bCs/>
          <w:sz w:val="22"/>
          <w:szCs w:val="22"/>
          <w:lang w:val="es-VE"/>
        </w:rPr>
        <w:t xml:space="preserve">El detalle de los cuatro canales de denuncia disponibles puede consultarse en el siguiente sitio web: </w:t>
      </w:r>
      <w:hyperlink r:id="rId36" w:history="1">
        <w:r w:rsidRPr="00A371FB">
          <w:rPr>
            <w:rStyle w:val="Hipervnculo"/>
            <w:rFonts w:ascii="Times New Roman" w:hAnsi="Times New Roman"/>
            <w:bCs/>
            <w:sz w:val="22"/>
            <w:szCs w:val="22"/>
          </w:rPr>
          <w:t>http://www.albanesi.com.ar/linea-etica.php</w:t>
        </w:r>
      </w:hyperlink>
      <w:r w:rsidRPr="00A371FB">
        <w:rPr>
          <w:rStyle w:val="Hipervnculo"/>
          <w:rFonts w:ascii="Times New Roman" w:hAnsi="Times New Roman"/>
          <w:bCs/>
          <w:sz w:val="22"/>
          <w:szCs w:val="22"/>
        </w:rPr>
        <w:t xml:space="preserve"> </w:t>
      </w:r>
      <w:r w:rsidRPr="00A371FB">
        <w:rPr>
          <w:rFonts w:ascii="Times New Roman" w:hAnsi="Times New Roman"/>
          <w:bCs/>
          <w:sz w:val="22"/>
          <w:szCs w:val="22"/>
          <w:lang w:val="es-VE"/>
        </w:rPr>
        <w:t xml:space="preserve">y, adicionalmente, hemos creado un reservorio actualizado del Programa que puede encontrarse en: </w:t>
      </w:r>
      <w:hyperlink r:id="rId37" w:history="1">
        <w:r w:rsidRPr="00A371FB">
          <w:rPr>
            <w:rStyle w:val="Hipervnculo"/>
            <w:rFonts w:ascii="Times New Roman" w:hAnsi="Times New Roman"/>
            <w:color w:val="0070C0"/>
            <w:sz w:val="22"/>
            <w:szCs w:val="22"/>
          </w:rPr>
          <w:t>Programa de Integridad de Albanesi</w:t>
        </w:r>
      </w:hyperlink>
      <w:r w:rsidRPr="00A371FB">
        <w:rPr>
          <w:rStyle w:val="Hipervnculo"/>
          <w:rFonts w:ascii="Times New Roman" w:hAnsi="Times New Roman"/>
          <w:color w:val="0070C0"/>
          <w:sz w:val="22"/>
          <w:szCs w:val="22"/>
        </w:rPr>
        <w:t>.</w:t>
      </w:r>
    </w:p>
    <w:p w14:paraId="311C8FDA" w14:textId="77777777" w:rsidR="00284EBB" w:rsidRPr="00A371FB" w:rsidRDefault="00284EBB" w:rsidP="00284EBB">
      <w:pPr>
        <w:jc w:val="both"/>
        <w:rPr>
          <w:rFonts w:ascii="Times New Roman" w:eastAsia="Times New Roman" w:hAnsi="Times New Roman"/>
          <w:sz w:val="22"/>
          <w:szCs w:val="22"/>
        </w:rPr>
      </w:pPr>
      <w:r w:rsidRPr="00A371FB">
        <w:rPr>
          <w:rFonts w:ascii="Times New Roman" w:eastAsia="Times New Roman" w:hAnsi="Times New Roman"/>
          <w:sz w:val="22"/>
          <w:szCs w:val="22"/>
        </w:rPr>
        <w:t>El Código prevé la creación de un Comité de Ética, que lleva adelante la investigación de las denuncias recibidas y eleva sus conclusiones al Directorio -de quien depende-, con fundamento en un Protocolo de Investigaciones que es parte del Programa. Dicho Comité está actualmente conformado por el Gerente Corporativo de Legales &amp; Compliance, el Gerente Corporativo de Auditoría Interna y un director de algunas de las Compañías, independiente de los accionistas del Grupo.</w:t>
      </w:r>
    </w:p>
    <w:p w14:paraId="2FC765C1" w14:textId="77777777" w:rsidR="00284EBB" w:rsidRPr="00A371FB" w:rsidRDefault="00284EBB" w:rsidP="00284EBB">
      <w:pPr>
        <w:jc w:val="both"/>
        <w:rPr>
          <w:rFonts w:ascii="Times New Roman" w:eastAsia="Times New Roman" w:hAnsi="Times New Roman"/>
          <w:sz w:val="22"/>
          <w:szCs w:val="22"/>
        </w:rPr>
      </w:pPr>
      <w:r w:rsidRPr="00A371FB">
        <w:rPr>
          <w:rFonts w:ascii="Times New Roman" w:eastAsia="Times New Roman" w:hAnsi="Times New Roman"/>
          <w:sz w:val="22"/>
          <w:szCs w:val="22"/>
        </w:rPr>
        <w:t xml:space="preserve">Paralelamente, se han elaborado políticas adicionales, tales como la Política sobre Donaciones, Becas y Patrocinios, la Política de Confidencialidad y Uso de Herramientas y Materiales de Trabajo, la Política de Rendición de Gastos de Viaje y la Política de </w:t>
      </w:r>
      <w:r w:rsidRPr="00A371FB">
        <w:rPr>
          <w:rFonts w:ascii="Times New Roman" w:eastAsia="Times New Roman" w:hAnsi="Times New Roman"/>
          <w:i/>
          <w:iCs/>
          <w:sz w:val="22"/>
          <w:szCs w:val="22"/>
        </w:rPr>
        <w:t>Due Diligence</w:t>
      </w:r>
      <w:r w:rsidRPr="00A371FB">
        <w:rPr>
          <w:rFonts w:ascii="Times New Roman" w:eastAsia="Times New Roman" w:hAnsi="Times New Roman"/>
          <w:sz w:val="22"/>
          <w:szCs w:val="22"/>
        </w:rPr>
        <w:t xml:space="preserve"> de Terceros, complementaria de una herramienta de Gestión de Riesgos de Integridad de Proveedores (“GRIP”) desarrollada con el soporte de PwC. </w:t>
      </w:r>
    </w:p>
    <w:p w14:paraId="0F976280" w14:textId="77777777" w:rsidR="00284EBB" w:rsidRPr="00A371FB" w:rsidRDefault="00284EBB" w:rsidP="00284EBB">
      <w:pPr>
        <w:jc w:val="both"/>
        <w:rPr>
          <w:rFonts w:ascii="Times New Roman" w:eastAsia="Times New Roman" w:hAnsi="Times New Roman"/>
          <w:sz w:val="22"/>
          <w:szCs w:val="22"/>
        </w:rPr>
      </w:pPr>
      <w:r w:rsidRPr="00A371FB">
        <w:rPr>
          <w:rFonts w:ascii="Times New Roman" w:eastAsia="Times New Roman" w:hAnsi="Times New Roman"/>
          <w:sz w:val="22"/>
          <w:szCs w:val="22"/>
        </w:rPr>
        <w:t xml:space="preserve">Asimismo, en cumplimiento con las disposiciones del Código, se generaron los siguientes registros: (i) de Regalos, (ii) de Relacionamiento con Funcionarios Públicos y (iii) de Conflictos de Interés, todos de uso mandatorio para nuestros empleados. </w:t>
      </w:r>
      <w:r w:rsidRPr="00A371FB">
        <w:rPr>
          <w:rFonts w:ascii="Times New Roman" w:eastAsia="Times New Roman" w:hAnsi="Times New Roman"/>
          <w:sz w:val="22"/>
          <w:szCs w:val="22"/>
        </w:rPr>
        <w:tab/>
      </w:r>
    </w:p>
    <w:p w14:paraId="3DAA839E" w14:textId="77777777" w:rsidR="00284EBB" w:rsidRPr="00A371FB" w:rsidRDefault="00284EBB" w:rsidP="00284EBB">
      <w:pPr>
        <w:jc w:val="both"/>
        <w:rPr>
          <w:rFonts w:ascii="Times New Roman" w:eastAsia="Times New Roman" w:hAnsi="Times New Roman"/>
          <w:sz w:val="22"/>
          <w:szCs w:val="22"/>
        </w:rPr>
      </w:pPr>
      <w:r w:rsidRPr="00A371FB">
        <w:rPr>
          <w:rFonts w:ascii="Times New Roman" w:eastAsia="Times New Roman" w:hAnsi="Times New Roman"/>
          <w:sz w:val="22"/>
          <w:szCs w:val="22"/>
        </w:rPr>
        <w:t>Durante los años 2019 y 2020, PwC efectuó una auditoría de Compliance y una evaluación del Programa (“</w:t>
      </w:r>
      <w:r w:rsidRPr="00A371FB">
        <w:rPr>
          <w:rFonts w:ascii="Times New Roman" w:eastAsia="Times New Roman" w:hAnsi="Times New Roman"/>
          <w:i/>
          <w:iCs/>
          <w:sz w:val="22"/>
          <w:szCs w:val="22"/>
        </w:rPr>
        <w:t>Integrity Program Effectiveness Assesment”)</w:t>
      </w:r>
      <w:r w:rsidRPr="00A371FB">
        <w:rPr>
          <w:rFonts w:ascii="Times New Roman" w:eastAsia="Times New Roman" w:hAnsi="Times New Roman"/>
          <w:sz w:val="22"/>
          <w:szCs w:val="22"/>
        </w:rPr>
        <w:t xml:space="preserve">. Ambas tareas involucraron entrevistas a empleados y directores de las Compañías, así como un análisis de transacciones y documentación de forma aleatoria, y permitieron recoger y documentar los avances y progresos que fueron implementadas desde la aprobación del Programa, así como las oportunidades de mejora a llevar a cabo en el futuro. </w:t>
      </w:r>
    </w:p>
    <w:p w14:paraId="51882A4D" w14:textId="77777777" w:rsidR="00284EBB" w:rsidRPr="00A371FB" w:rsidRDefault="00284EBB" w:rsidP="00284EBB">
      <w:pPr>
        <w:jc w:val="both"/>
        <w:rPr>
          <w:rFonts w:ascii="Times New Roman" w:eastAsia="Times New Roman" w:hAnsi="Times New Roman"/>
          <w:sz w:val="22"/>
          <w:szCs w:val="22"/>
        </w:rPr>
      </w:pPr>
      <w:r w:rsidRPr="00A371FB">
        <w:rPr>
          <w:rFonts w:ascii="Times New Roman" w:eastAsia="Times New Roman" w:hAnsi="Times New Roman"/>
          <w:sz w:val="22"/>
          <w:szCs w:val="22"/>
        </w:rPr>
        <w:t xml:space="preserve">Durante el 2021, se actualizó la Matriz de Riesgos de las Compañías diseñada en 2018, y en el curso de 2022 se aprobó un Código de Conducta para Terceros y se trabajó, junto con Estudio Muñiz Abogados, en el desarrollo e implementación de un Programa de Integridad para acompañar los nuevos negocios que el Grupo está desarrollando en la República del Perú. </w:t>
      </w:r>
    </w:p>
    <w:p w14:paraId="6C1E7B03" w14:textId="6673AD12" w:rsidR="00284EBB" w:rsidRPr="00A371FB" w:rsidRDefault="00284EBB" w:rsidP="00284EBB">
      <w:pPr>
        <w:jc w:val="both"/>
        <w:rPr>
          <w:rFonts w:ascii="Times New Roman" w:eastAsia="Times New Roman" w:hAnsi="Times New Roman"/>
          <w:sz w:val="22"/>
          <w:szCs w:val="22"/>
        </w:rPr>
      </w:pPr>
      <w:r w:rsidRPr="00A371FB">
        <w:rPr>
          <w:rFonts w:ascii="Times New Roman" w:eastAsia="Times New Roman" w:hAnsi="Times New Roman"/>
          <w:sz w:val="22"/>
          <w:szCs w:val="22"/>
        </w:rPr>
        <w:t>Por último, señalamos que, entre otros varios objetivos, el Plan de Compliance 2023 prevé una nueva auditoría, programada para el segundo semestre del año.</w:t>
      </w:r>
    </w:p>
    <w:bookmarkEnd w:id="8"/>
    <w:p w14:paraId="62E0146D" w14:textId="77777777" w:rsidR="00D6362C" w:rsidRPr="00A371FB" w:rsidRDefault="000459D1" w:rsidP="005C4D6F">
      <w:pPr>
        <w:pStyle w:val="Prrafodelista"/>
        <w:numPr>
          <w:ilvl w:val="1"/>
          <w:numId w:val="1"/>
        </w:numPr>
        <w:spacing w:after="100" w:afterAutospacing="1" w:line="240" w:lineRule="exact"/>
        <w:jc w:val="both"/>
        <w:rPr>
          <w:rFonts w:ascii="Times New Roman" w:hAnsi="Times New Roman"/>
          <w:b/>
          <w:sz w:val="22"/>
          <w:szCs w:val="22"/>
          <w:u w:val="single"/>
        </w:rPr>
      </w:pPr>
      <w:r w:rsidRPr="00A371FB">
        <w:rPr>
          <w:rFonts w:ascii="Times New Roman" w:hAnsi="Times New Roman"/>
          <w:b/>
          <w:sz w:val="22"/>
          <w:szCs w:val="22"/>
          <w:u w:val="single"/>
        </w:rPr>
        <w:t xml:space="preserve">Situación Financiera  </w:t>
      </w:r>
    </w:p>
    <w:p w14:paraId="55A6C58E" w14:textId="77777777" w:rsidR="00A2070F" w:rsidRPr="00A371FB" w:rsidRDefault="00A2070F" w:rsidP="00D36BDA">
      <w:pPr>
        <w:pStyle w:val="Prrafodelista"/>
        <w:ind w:left="0"/>
        <w:jc w:val="both"/>
        <w:rPr>
          <w:rFonts w:ascii="Times New Roman" w:hAnsi="Times New Roman"/>
          <w:sz w:val="22"/>
          <w:szCs w:val="22"/>
          <w:lang w:val="es-ES"/>
        </w:rPr>
      </w:pPr>
      <w:bookmarkStart w:id="12" w:name="_Hlk1641817"/>
    </w:p>
    <w:p w14:paraId="623C2609" w14:textId="7D43D41F" w:rsidR="00D36BDA" w:rsidRPr="00A371FB" w:rsidRDefault="00D36BDA" w:rsidP="00D36BDA">
      <w:pPr>
        <w:pStyle w:val="Prrafodelista"/>
        <w:ind w:left="0"/>
        <w:jc w:val="both"/>
        <w:rPr>
          <w:rFonts w:ascii="Times New Roman" w:hAnsi="Times New Roman"/>
          <w:sz w:val="22"/>
          <w:szCs w:val="22"/>
          <w:lang w:val="es-ES"/>
        </w:rPr>
      </w:pPr>
      <w:r w:rsidRPr="00A371FB">
        <w:rPr>
          <w:rFonts w:ascii="Times New Roman" w:hAnsi="Times New Roman"/>
          <w:sz w:val="22"/>
          <w:szCs w:val="22"/>
          <w:lang w:val="es-ES"/>
        </w:rPr>
        <w:t xml:space="preserve">La deuda bancaria y financiera de la Sociedad al 31 de diciembre del </w:t>
      </w:r>
      <w:r w:rsidR="00C85568" w:rsidRPr="00A371FB">
        <w:rPr>
          <w:rFonts w:ascii="Times New Roman" w:hAnsi="Times New Roman"/>
          <w:sz w:val="22"/>
          <w:szCs w:val="22"/>
          <w:lang w:val="es-ES"/>
        </w:rPr>
        <w:t>202</w:t>
      </w:r>
      <w:r w:rsidR="00E917D5" w:rsidRPr="00A371FB">
        <w:rPr>
          <w:rFonts w:ascii="Times New Roman" w:hAnsi="Times New Roman"/>
          <w:sz w:val="22"/>
          <w:szCs w:val="22"/>
          <w:lang w:val="es-ES"/>
        </w:rPr>
        <w:t>2</w:t>
      </w:r>
      <w:r w:rsidRPr="00A371FB">
        <w:rPr>
          <w:rFonts w:ascii="Times New Roman" w:hAnsi="Times New Roman"/>
          <w:sz w:val="22"/>
          <w:szCs w:val="22"/>
          <w:lang w:val="es-ES"/>
        </w:rPr>
        <w:t xml:space="preserve"> se encontraba estructurada de la siguiente forma:</w:t>
      </w:r>
    </w:p>
    <w:p w14:paraId="41AA50BE" w14:textId="18AE945A" w:rsidR="009008B8" w:rsidRPr="00A371FB" w:rsidRDefault="009008B8" w:rsidP="00D36BDA">
      <w:pPr>
        <w:pStyle w:val="Prrafodelista"/>
        <w:ind w:left="0"/>
        <w:jc w:val="both"/>
        <w:rPr>
          <w:rFonts w:ascii="Times New Roman" w:hAnsi="Times New Roman"/>
          <w:sz w:val="22"/>
          <w:szCs w:val="22"/>
          <w:lang w:val="es-ES"/>
        </w:rPr>
      </w:pPr>
    </w:p>
    <w:p w14:paraId="7C7E088C" w14:textId="595EFA16" w:rsidR="009008B8" w:rsidRPr="00A371FB" w:rsidRDefault="0010332B" w:rsidP="00A2070F">
      <w:pPr>
        <w:pStyle w:val="Prrafodelista"/>
        <w:ind w:left="0"/>
        <w:jc w:val="both"/>
        <w:rPr>
          <w:rFonts w:ascii="Times New Roman" w:hAnsi="Times New Roman"/>
          <w:sz w:val="22"/>
          <w:szCs w:val="22"/>
          <w:lang w:val="es-ES"/>
        </w:rPr>
      </w:pPr>
      <w:r w:rsidRPr="00A371FB">
        <w:rPr>
          <w:noProof/>
          <w:sz w:val="22"/>
          <w:szCs w:val="22"/>
        </w:rPr>
        <w:drawing>
          <wp:inline distT="0" distB="0" distL="0" distR="0" wp14:anchorId="42503340" wp14:editId="7F651737">
            <wp:extent cx="6120130" cy="410146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130" cy="4101465"/>
                    </a:xfrm>
                    <a:prstGeom prst="rect">
                      <a:avLst/>
                    </a:prstGeom>
                    <a:noFill/>
                    <a:ln>
                      <a:noFill/>
                    </a:ln>
                  </pic:spPr>
                </pic:pic>
              </a:graphicData>
            </a:graphic>
          </wp:inline>
        </w:drawing>
      </w:r>
    </w:p>
    <w:p w14:paraId="29C7D404" w14:textId="306BC2CE" w:rsidR="00E24946" w:rsidRPr="00A371FB" w:rsidRDefault="00E24946" w:rsidP="00F65DA0">
      <w:pPr>
        <w:pStyle w:val="Prrafodelista"/>
        <w:ind w:left="0"/>
        <w:jc w:val="both"/>
        <w:rPr>
          <w:rFonts w:ascii="Times New Roman" w:hAnsi="Times New Roman"/>
          <w:b/>
          <w:sz w:val="22"/>
          <w:szCs w:val="22"/>
          <w:u w:val="single"/>
          <w:lang w:val="es-ES"/>
        </w:rPr>
      </w:pPr>
      <w:bookmarkStart w:id="13" w:name="_Hlk506977830"/>
      <w:bookmarkEnd w:id="12"/>
    </w:p>
    <w:p w14:paraId="311D2171" w14:textId="6438A698" w:rsidR="0010332B" w:rsidRPr="00A371FB" w:rsidRDefault="0010332B" w:rsidP="00F65DA0">
      <w:pPr>
        <w:pStyle w:val="Prrafodelista"/>
        <w:ind w:left="0"/>
        <w:jc w:val="both"/>
        <w:rPr>
          <w:rFonts w:ascii="Times New Roman" w:hAnsi="Times New Roman"/>
          <w:b/>
          <w:sz w:val="22"/>
          <w:szCs w:val="22"/>
          <w:u w:val="single"/>
          <w:lang w:val="es-ES"/>
        </w:rPr>
      </w:pPr>
    </w:p>
    <w:p w14:paraId="6C5BFABF" w14:textId="77777777" w:rsidR="0010332B" w:rsidRPr="00A371FB" w:rsidRDefault="0010332B" w:rsidP="00F65DA0">
      <w:pPr>
        <w:pStyle w:val="Prrafodelista"/>
        <w:ind w:left="0"/>
        <w:jc w:val="both"/>
        <w:rPr>
          <w:rFonts w:ascii="Times New Roman" w:hAnsi="Times New Roman"/>
          <w:b/>
          <w:sz w:val="22"/>
          <w:szCs w:val="22"/>
          <w:u w:val="single"/>
          <w:lang w:val="es-ES"/>
        </w:rPr>
      </w:pPr>
    </w:p>
    <w:p w14:paraId="33C05951" w14:textId="2A8839B9" w:rsidR="00072121" w:rsidRPr="00A371FB" w:rsidRDefault="005D6535">
      <w:pPr>
        <w:pStyle w:val="Prrafodelista"/>
        <w:numPr>
          <w:ilvl w:val="0"/>
          <w:numId w:val="12"/>
        </w:numPr>
        <w:ind w:left="284" w:hanging="284"/>
        <w:jc w:val="both"/>
        <w:rPr>
          <w:rFonts w:ascii="Times New Roman" w:hAnsi="Times New Roman"/>
          <w:b/>
          <w:sz w:val="22"/>
          <w:szCs w:val="22"/>
          <w:lang w:val="es-ES"/>
        </w:rPr>
      </w:pPr>
      <w:r w:rsidRPr="00A371FB">
        <w:rPr>
          <w:rFonts w:ascii="Times New Roman" w:hAnsi="Times New Roman"/>
          <w:b/>
          <w:sz w:val="22"/>
          <w:szCs w:val="22"/>
          <w:lang w:val="es-ES"/>
        </w:rPr>
        <w:t>Breve comentario sobre las actividades de la emisora, incluyendo referencias a situaciones relevantes posteriores al cierre del ejercicio</w:t>
      </w:r>
      <w:r w:rsidR="00541A39" w:rsidRPr="00A371FB">
        <w:rPr>
          <w:rFonts w:ascii="Times New Roman" w:hAnsi="Times New Roman"/>
          <w:b/>
          <w:sz w:val="22"/>
          <w:szCs w:val="22"/>
          <w:lang w:val="es-ES"/>
        </w:rPr>
        <w:t xml:space="preserve"> </w:t>
      </w:r>
      <w:r w:rsidR="00541A39" w:rsidRPr="00A371FB">
        <w:rPr>
          <w:rFonts w:ascii="Times New Roman" w:hAnsi="Times New Roman"/>
          <w:bCs/>
          <w:sz w:val="22"/>
          <w:szCs w:val="22"/>
          <w:lang w:val="es-ES"/>
        </w:rPr>
        <w:t>(en miles de pesos)</w:t>
      </w:r>
    </w:p>
    <w:p w14:paraId="44BDAE17" w14:textId="7855A47E" w:rsidR="00E24946" w:rsidRPr="00A371FB" w:rsidRDefault="005D6535" w:rsidP="00EE4AFB">
      <w:pPr>
        <w:spacing w:line="280" w:lineRule="exact"/>
        <w:jc w:val="both"/>
        <w:rPr>
          <w:rFonts w:ascii="Times New Roman" w:hAnsi="Times New Roman"/>
          <w:color w:val="000000" w:themeColor="text1"/>
          <w:sz w:val="22"/>
          <w:szCs w:val="22"/>
          <w:lang w:val="es-ES" w:eastAsia="en-US"/>
        </w:rPr>
      </w:pPr>
      <w:r w:rsidRPr="00A371FB">
        <w:rPr>
          <w:rFonts w:ascii="Times New Roman" w:hAnsi="Times New Roman"/>
          <w:color w:val="000000" w:themeColor="text1"/>
          <w:sz w:val="22"/>
          <w:szCs w:val="22"/>
          <w:lang w:val="es-ES" w:eastAsia="en-US"/>
        </w:rPr>
        <w:t>De conformidad con lo dispuesto por la Resolución General Nº 368/01 y sus modificaciones de la CNV, se expone a continuación un análisis de los resultados de las operaciones de CTR y de su situación patrimonial y financiera, que debe ser leído junto con los estados financieros que se acompañan.</w:t>
      </w:r>
    </w:p>
    <w:p w14:paraId="05DE7A9D" w14:textId="3E489442" w:rsidR="005D6535" w:rsidRPr="00A371FB" w:rsidRDefault="00F8370E" w:rsidP="005D6535">
      <w:pPr>
        <w:widowControl w:val="0"/>
        <w:autoSpaceDE w:val="0"/>
        <w:autoSpaceDN w:val="0"/>
        <w:adjustRightInd w:val="0"/>
        <w:spacing w:before="32" w:after="0" w:line="240" w:lineRule="auto"/>
        <w:rPr>
          <w:rFonts w:ascii="Times New Roman" w:hAnsi="Times New Roman"/>
          <w:sz w:val="22"/>
          <w:szCs w:val="22"/>
        </w:rPr>
      </w:pPr>
      <w:r w:rsidRPr="00A371FB">
        <w:rPr>
          <w:noProof/>
          <w:sz w:val="22"/>
          <w:szCs w:val="22"/>
        </w:rPr>
        <w:object w:dxaOrig="8032" w:dyaOrig="2124" w14:anchorId="016C8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1.4pt;height:106.8pt" o:ole="">
            <v:imagedata r:id="rId39" o:title=""/>
          </v:shape>
          <o:OLEObject Type="Embed" ProgID="Excel.Sheet.12" ShapeID="_x0000_i1025" DrawAspect="Content" ObjectID="_1739883575" r:id="rId40"/>
        </w:object>
      </w:r>
    </w:p>
    <w:p w14:paraId="43128E02" w14:textId="77777777" w:rsidR="005D6535" w:rsidRPr="00A371FB" w:rsidRDefault="005D6535" w:rsidP="005D6535">
      <w:pPr>
        <w:widowControl w:val="0"/>
        <w:autoSpaceDE w:val="0"/>
        <w:autoSpaceDN w:val="0"/>
        <w:adjustRightInd w:val="0"/>
        <w:spacing w:after="0" w:line="224" w:lineRule="exact"/>
        <w:ind w:right="76"/>
        <w:jc w:val="both"/>
        <w:rPr>
          <w:rFonts w:ascii="Times New Roman" w:hAnsi="Times New Roman"/>
          <w:sz w:val="22"/>
          <w:szCs w:val="22"/>
        </w:rPr>
      </w:pPr>
    </w:p>
    <w:p w14:paraId="335EDC8B" w14:textId="322EF10A" w:rsidR="005D6535" w:rsidRPr="00A371FB" w:rsidRDefault="005D6535" w:rsidP="005D6535">
      <w:pPr>
        <w:jc w:val="both"/>
        <w:rPr>
          <w:rFonts w:ascii="Times New Roman" w:hAnsi="Times New Roman"/>
          <w:spacing w:val="1"/>
          <w:sz w:val="22"/>
          <w:szCs w:val="22"/>
        </w:rPr>
      </w:pPr>
      <w:r w:rsidRPr="00A371FB">
        <w:rPr>
          <w:rFonts w:ascii="Times New Roman" w:hAnsi="Times New Roman"/>
          <w:spacing w:val="1"/>
          <w:sz w:val="22"/>
          <w:szCs w:val="22"/>
        </w:rPr>
        <w:t>A continuación, se incluyen las ventas para cada mercado (en miles de pesos):</w:t>
      </w:r>
    </w:p>
    <w:p w14:paraId="63207A05" w14:textId="15875922" w:rsidR="00E24946" w:rsidRPr="00A371FB" w:rsidRDefault="00F8370E" w:rsidP="005D6535">
      <w:pPr>
        <w:widowControl w:val="0"/>
        <w:autoSpaceDE w:val="0"/>
        <w:autoSpaceDN w:val="0"/>
        <w:adjustRightInd w:val="0"/>
        <w:spacing w:before="32" w:after="0" w:line="240" w:lineRule="auto"/>
        <w:rPr>
          <w:rFonts w:ascii="Times New Roman" w:hAnsi="Times New Roman"/>
          <w:spacing w:val="-1"/>
          <w:sz w:val="22"/>
          <w:szCs w:val="22"/>
        </w:rPr>
      </w:pPr>
      <w:r w:rsidRPr="00A371FB">
        <w:rPr>
          <w:rFonts w:ascii="Times New Roman" w:hAnsi="Times New Roman"/>
          <w:spacing w:val="-1"/>
          <w:sz w:val="22"/>
          <w:szCs w:val="22"/>
        </w:rPr>
        <w:object w:dxaOrig="8032" w:dyaOrig="2112" w14:anchorId="04732687">
          <v:shape id="_x0000_i1026" type="#_x0000_t75" style="width:401.4pt;height:105.6pt" o:ole="">
            <v:imagedata r:id="rId41" o:title=""/>
          </v:shape>
          <o:OLEObject Type="Embed" ProgID="Excel.Sheet.12" ShapeID="_x0000_i1026" DrawAspect="Content" ObjectID="_1739883576" r:id="rId42"/>
        </w:object>
      </w:r>
    </w:p>
    <w:p w14:paraId="6D840F42" w14:textId="5B7584F2" w:rsidR="00E24946" w:rsidRPr="00A371FB" w:rsidRDefault="00E24946" w:rsidP="005D6535">
      <w:pPr>
        <w:widowControl w:val="0"/>
        <w:autoSpaceDE w:val="0"/>
        <w:autoSpaceDN w:val="0"/>
        <w:adjustRightInd w:val="0"/>
        <w:spacing w:before="32" w:after="0" w:line="240" w:lineRule="auto"/>
        <w:rPr>
          <w:rFonts w:ascii="Times New Roman" w:hAnsi="Times New Roman"/>
          <w:spacing w:val="-1"/>
          <w:sz w:val="22"/>
          <w:szCs w:val="22"/>
        </w:rPr>
      </w:pPr>
    </w:p>
    <w:p w14:paraId="467A29CE" w14:textId="77777777" w:rsidR="00E24946" w:rsidRPr="00A371FB" w:rsidRDefault="00E24946" w:rsidP="005D6535">
      <w:pPr>
        <w:widowControl w:val="0"/>
        <w:autoSpaceDE w:val="0"/>
        <w:autoSpaceDN w:val="0"/>
        <w:adjustRightInd w:val="0"/>
        <w:spacing w:before="32" w:after="0" w:line="240" w:lineRule="auto"/>
        <w:rPr>
          <w:rFonts w:ascii="Times New Roman" w:hAnsi="Times New Roman"/>
          <w:spacing w:val="-1"/>
          <w:sz w:val="22"/>
          <w:szCs w:val="22"/>
        </w:rPr>
      </w:pPr>
    </w:p>
    <w:p w14:paraId="4C7B3447" w14:textId="7A8C9647" w:rsidR="005D6535" w:rsidRPr="00A371FB" w:rsidRDefault="005D6535" w:rsidP="005D6535">
      <w:pPr>
        <w:widowControl w:val="0"/>
        <w:autoSpaceDE w:val="0"/>
        <w:autoSpaceDN w:val="0"/>
        <w:adjustRightInd w:val="0"/>
        <w:spacing w:before="40" w:after="0" w:line="240" w:lineRule="auto"/>
        <w:rPr>
          <w:rFonts w:ascii="Times New Roman" w:hAnsi="Times New Roman"/>
          <w:spacing w:val="2"/>
          <w:sz w:val="22"/>
          <w:szCs w:val="22"/>
        </w:rPr>
      </w:pPr>
      <w:r w:rsidRPr="00A371FB">
        <w:rPr>
          <w:rFonts w:ascii="Times New Roman" w:hAnsi="Times New Roman"/>
          <w:spacing w:val="2"/>
          <w:sz w:val="22"/>
          <w:szCs w:val="22"/>
        </w:rPr>
        <w:t>R</w:t>
      </w:r>
      <w:r w:rsidRPr="00A371FB">
        <w:rPr>
          <w:rFonts w:ascii="Times New Roman" w:hAnsi="Times New Roman"/>
          <w:spacing w:val="-2"/>
          <w:sz w:val="22"/>
          <w:szCs w:val="22"/>
        </w:rPr>
        <w:t>e</w:t>
      </w:r>
      <w:r w:rsidRPr="00A371FB">
        <w:rPr>
          <w:rFonts w:ascii="Times New Roman" w:hAnsi="Times New Roman"/>
          <w:sz w:val="22"/>
          <w:szCs w:val="22"/>
        </w:rPr>
        <w:t>s</w:t>
      </w:r>
      <w:r w:rsidRPr="00A371FB">
        <w:rPr>
          <w:rFonts w:ascii="Times New Roman" w:hAnsi="Times New Roman"/>
          <w:spacing w:val="-1"/>
          <w:sz w:val="22"/>
          <w:szCs w:val="22"/>
        </w:rPr>
        <w:t>u</w:t>
      </w:r>
      <w:r w:rsidRPr="00A371FB">
        <w:rPr>
          <w:rFonts w:ascii="Times New Roman" w:hAnsi="Times New Roman"/>
          <w:spacing w:val="1"/>
          <w:sz w:val="22"/>
          <w:szCs w:val="22"/>
        </w:rPr>
        <w:t>l</w:t>
      </w:r>
      <w:r w:rsidRPr="00A371FB">
        <w:rPr>
          <w:rFonts w:ascii="Times New Roman" w:hAnsi="Times New Roman"/>
          <w:spacing w:val="-1"/>
          <w:sz w:val="22"/>
          <w:szCs w:val="22"/>
        </w:rPr>
        <w:t>t</w:t>
      </w:r>
      <w:r w:rsidRPr="00A371FB">
        <w:rPr>
          <w:rFonts w:ascii="Times New Roman" w:hAnsi="Times New Roman"/>
          <w:spacing w:val="1"/>
          <w:sz w:val="22"/>
          <w:szCs w:val="22"/>
        </w:rPr>
        <w:t>a</w:t>
      </w:r>
      <w:r w:rsidRPr="00A371FB">
        <w:rPr>
          <w:rFonts w:ascii="Times New Roman" w:hAnsi="Times New Roman"/>
          <w:spacing w:val="-1"/>
          <w:sz w:val="22"/>
          <w:szCs w:val="22"/>
        </w:rPr>
        <w:t>d</w:t>
      </w:r>
      <w:r w:rsidRPr="00A371FB">
        <w:rPr>
          <w:rFonts w:ascii="Times New Roman" w:hAnsi="Times New Roman"/>
          <w:spacing w:val="1"/>
          <w:sz w:val="22"/>
          <w:szCs w:val="22"/>
        </w:rPr>
        <w:t>o</w:t>
      </w:r>
      <w:r w:rsidRPr="00A371FB">
        <w:rPr>
          <w:rFonts w:ascii="Times New Roman" w:hAnsi="Times New Roman"/>
          <w:sz w:val="22"/>
          <w:szCs w:val="22"/>
        </w:rPr>
        <w:t xml:space="preserve">s de los ejercicios finalizados </w:t>
      </w:r>
      <w:r w:rsidRPr="00A371FB">
        <w:rPr>
          <w:rFonts w:ascii="Times New Roman" w:hAnsi="Times New Roman"/>
          <w:spacing w:val="1"/>
          <w:sz w:val="22"/>
          <w:szCs w:val="22"/>
        </w:rPr>
        <w:t>e</w:t>
      </w:r>
      <w:r w:rsidRPr="00A371FB">
        <w:rPr>
          <w:rFonts w:ascii="Times New Roman" w:hAnsi="Times New Roman"/>
          <w:sz w:val="22"/>
          <w:szCs w:val="22"/>
        </w:rPr>
        <w:t>l</w:t>
      </w:r>
      <w:r w:rsidRPr="00A371FB">
        <w:rPr>
          <w:rFonts w:ascii="Times New Roman" w:hAnsi="Times New Roman"/>
          <w:spacing w:val="-1"/>
          <w:sz w:val="22"/>
          <w:szCs w:val="22"/>
        </w:rPr>
        <w:t xml:space="preserve"> </w:t>
      </w:r>
      <w:r w:rsidRPr="00A371FB">
        <w:rPr>
          <w:rFonts w:ascii="Times New Roman" w:hAnsi="Times New Roman"/>
          <w:spacing w:val="1"/>
          <w:sz w:val="22"/>
          <w:szCs w:val="22"/>
        </w:rPr>
        <w:t>31 de diciembre de 20</w:t>
      </w:r>
      <w:r w:rsidR="00A54C9D" w:rsidRPr="00A371FB">
        <w:rPr>
          <w:rFonts w:ascii="Times New Roman" w:hAnsi="Times New Roman"/>
          <w:spacing w:val="1"/>
          <w:sz w:val="22"/>
          <w:szCs w:val="22"/>
        </w:rPr>
        <w:t>2</w:t>
      </w:r>
      <w:r w:rsidR="0010332B" w:rsidRPr="00A371FB">
        <w:rPr>
          <w:rFonts w:ascii="Times New Roman" w:hAnsi="Times New Roman"/>
          <w:spacing w:val="1"/>
          <w:sz w:val="22"/>
          <w:szCs w:val="22"/>
        </w:rPr>
        <w:t>2</w:t>
      </w:r>
      <w:r w:rsidRPr="00A371FB">
        <w:rPr>
          <w:rFonts w:ascii="Times New Roman" w:hAnsi="Times New Roman"/>
          <w:spacing w:val="1"/>
          <w:sz w:val="22"/>
          <w:szCs w:val="22"/>
        </w:rPr>
        <w:t xml:space="preserve"> </w:t>
      </w:r>
      <w:r w:rsidRPr="00A371FB">
        <w:rPr>
          <w:rFonts w:ascii="Times New Roman" w:hAnsi="Times New Roman"/>
          <w:sz w:val="22"/>
          <w:szCs w:val="22"/>
        </w:rPr>
        <w:t xml:space="preserve">y </w:t>
      </w:r>
      <w:r w:rsidR="00A54C9D" w:rsidRPr="00A371FB">
        <w:rPr>
          <w:rFonts w:ascii="Times New Roman" w:hAnsi="Times New Roman"/>
          <w:spacing w:val="1"/>
          <w:sz w:val="22"/>
          <w:szCs w:val="22"/>
        </w:rPr>
        <w:t>202</w:t>
      </w:r>
      <w:r w:rsidR="0010332B" w:rsidRPr="00A371FB">
        <w:rPr>
          <w:rFonts w:ascii="Times New Roman" w:hAnsi="Times New Roman"/>
          <w:spacing w:val="1"/>
          <w:sz w:val="22"/>
          <w:szCs w:val="22"/>
        </w:rPr>
        <w:t>2</w:t>
      </w:r>
      <w:r w:rsidRPr="00A371FB">
        <w:rPr>
          <w:rFonts w:ascii="Times New Roman" w:hAnsi="Times New Roman"/>
          <w:spacing w:val="1"/>
          <w:sz w:val="22"/>
          <w:szCs w:val="22"/>
        </w:rPr>
        <w:t xml:space="preserve"> (en miles de pesos)</w:t>
      </w:r>
      <w:r w:rsidRPr="00A371FB">
        <w:rPr>
          <w:rFonts w:ascii="Times New Roman" w:hAnsi="Times New Roman"/>
          <w:w w:val="120"/>
          <w:sz w:val="22"/>
          <w:szCs w:val="22"/>
        </w:rPr>
        <w:t>:</w:t>
      </w:r>
      <w:r w:rsidRPr="00A371FB">
        <w:rPr>
          <w:rFonts w:ascii="Times New Roman" w:hAnsi="Times New Roman"/>
          <w:spacing w:val="2"/>
          <w:sz w:val="22"/>
          <w:szCs w:val="22"/>
        </w:rPr>
        <w:t xml:space="preserve"> </w:t>
      </w:r>
    </w:p>
    <w:p w14:paraId="52DC182D" w14:textId="77777777" w:rsidR="00E569CC" w:rsidRPr="00A371FB" w:rsidRDefault="00E569CC" w:rsidP="005D6535">
      <w:pPr>
        <w:widowControl w:val="0"/>
        <w:autoSpaceDE w:val="0"/>
        <w:autoSpaceDN w:val="0"/>
        <w:adjustRightInd w:val="0"/>
        <w:spacing w:before="40" w:after="0" w:line="240" w:lineRule="auto"/>
        <w:rPr>
          <w:rFonts w:ascii="Times New Roman" w:hAnsi="Times New Roman"/>
          <w:spacing w:val="2"/>
          <w:sz w:val="22"/>
          <w:szCs w:val="22"/>
        </w:rPr>
      </w:pPr>
    </w:p>
    <w:p w14:paraId="2D91635C" w14:textId="6DE8AE1A" w:rsidR="005D6535" w:rsidRPr="00A371FB" w:rsidRDefault="0010332B" w:rsidP="00653A6A">
      <w:pPr>
        <w:widowControl w:val="0"/>
        <w:autoSpaceDE w:val="0"/>
        <w:autoSpaceDN w:val="0"/>
        <w:adjustRightInd w:val="0"/>
        <w:spacing w:before="40" w:after="0" w:line="240" w:lineRule="auto"/>
        <w:rPr>
          <w:rFonts w:ascii="Times New Roman" w:hAnsi="Times New Roman"/>
          <w:spacing w:val="2"/>
          <w:sz w:val="22"/>
          <w:szCs w:val="22"/>
        </w:rPr>
      </w:pPr>
      <w:r w:rsidRPr="00A371FB">
        <w:rPr>
          <w:noProof/>
          <w:sz w:val="22"/>
          <w:szCs w:val="22"/>
        </w:rPr>
        <w:drawing>
          <wp:inline distT="0" distB="0" distL="0" distR="0" wp14:anchorId="50FA5E42" wp14:editId="316A8C7E">
            <wp:extent cx="6120130" cy="6063615"/>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6063615"/>
                    </a:xfrm>
                    <a:prstGeom prst="rect">
                      <a:avLst/>
                    </a:prstGeom>
                    <a:noFill/>
                    <a:ln>
                      <a:noFill/>
                    </a:ln>
                  </pic:spPr>
                </pic:pic>
              </a:graphicData>
            </a:graphic>
          </wp:inline>
        </w:drawing>
      </w:r>
      <w:r w:rsidR="005D6535" w:rsidRPr="00A371FB">
        <w:rPr>
          <w:rFonts w:ascii="Times New Roman" w:hAnsi="Times New Roman"/>
          <w:spacing w:val="2"/>
          <w:sz w:val="22"/>
          <w:szCs w:val="22"/>
        </w:rPr>
        <w:br w:type="page"/>
      </w:r>
    </w:p>
    <w:p w14:paraId="167F678E" w14:textId="10768776" w:rsidR="0010332B" w:rsidRPr="00A371FB" w:rsidRDefault="0010332B" w:rsidP="00EE4AFB">
      <w:pPr>
        <w:widowControl w:val="0"/>
        <w:autoSpaceDE w:val="0"/>
        <w:autoSpaceDN w:val="0"/>
        <w:adjustRightInd w:val="0"/>
        <w:spacing w:before="40" w:after="0" w:line="240" w:lineRule="auto"/>
        <w:jc w:val="both"/>
        <w:rPr>
          <w:rFonts w:ascii="Times New Roman" w:hAnsi="Times New Roman"/>
          <w:spacing w:val="-2"/>
          <w:w w:val="99"/>
          <w:sz w:val="22"/>
          <w:szCs w:val="22"/>
          <w:u w:val="single"/>
        </w:rPr>
      </w:pPr>
      <w:r w:rsidRPr="00A371FB">
        <w:rPr>
          <w:noProof/>
          <w:sz w:val="22"/>
          <w:szCs w:val="22"/>
        </w:rPr>
        <w:drawing>
          <wp:inline distT="0" distB="0" distL="0" distR="0" wp14:anchorId="09C6DF0F" wp14:editId="718CF9C2">
            <wp:extent cx="6120130" cy="177419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130" cy="1774190"/>
                    </a:xfrm>
                    <a:prstGeom prst="rect">
                      <a:avLst/>
                    </a:prstGeom>
                    <a:noFill/>
                    <a:ln>
                      <a:noFill/>
                    </a:ln>
                  </pic:spPr>
                </pic:pic>
              </a:graphicData>
            </a:graphic>
          </wp:inline>
        </w:drawing>
      </w:r>
    </w:p>
    <w:p w14:paraId="131B4CBB" w14:textId="77777777" w:rsidR="0010332B" w:rsidRPr="00A371FB" w:rsidRDefault="0010332B" w:rsidP="00EE4AFB">
      <w:pPr>
        <w:widowControl w:val="0"/>
        <w:autoSpaceDE w:val="0"/>
        <w:autoSpaceDN w:val="0"/>
        <w:adjustRightInd w:val="0"/>
        <w:spacing w:before="40" w:after="0" w:line="240" w:lineRule="auto"/>
        <w:jc w:val="both"/>
        <w:rPr>
          <w:rFonts w:ascii="Times New Roman" w:hAnsi="Times New Roman"/>
          <w:spacing w:val="-2"/>
          <w:w w:val="99"/>
          <w:sz w:val="22"/>
          <w:szCs w:val="22"/>
          <w:u w:val="single"/>
        </w:rPr>
      </w:pPr>
    </w:p>
    <w:p w14:paraId="7884EF09" w14:textId="1E50F747" w:rsidR="0010332B" w:rsidRPr="00A371FB" w:rsidRDefault="0010332B" w:rsidP="0010332B">
      <w:pPr>
        <w:widowControl w:val="0"/>
        <w:autoSpaceDE w:val="0"/>
        <w:autoSpaceDN w:val="0"/>
        <w:adjustRightInd w:val="0"/>
        <w:spacing w:before="9" w:after="0" w:line="180" w:lineRule="exact"/>
        <w:rPr>
          <w:rFonts w:ascii="Times New Roman" w:hAnsi="Times New Roman"/>
          <w:sz w:val="22"/>
          <w:szCs w:val="22"/>
          <w:u w:val="single"/>
        </w:rPr>
      </w:pPr>
      <w:r w:rsidRPr="00A371FB">
        <w:rPr>
          <w:rFonts w:ascii="Times New Roman" w:hAnsi="Times New Roman"/>
          <w:sz w:val="22"/>
          <w:szCs w:val="22"/>
          <w:u w:val="single"/>
        </w:rPr>
        <w:t>Ventas:</w:t>
      </w:r>
    </w:p>
    <w:p w14:paraId="24D1418E" w14:textId="232B1F15" w:rsidR="0010332B" w:rsidRPr="00A371FB" w:rsidRDefault="0010332B" w:rsidP="0010332B">
      <w:pPr>
        <w:spacing w:line="280" w:lineRule="exact"/>
        <w:jc w:val="both"/>
        <w:rPr>
          <w:rFonts w:ascii="Times New Roman" w:hAnsi="Times New Roman"/>
          <w:color w:val="000000" w:themeColor="text1"/>
          <w:sz w:val="22"/>
          <w:szCs w:val="22"/>
          <w:lang w:val="es-ES" w:eastAsia="en-US"/>
        </w:rPr>
      </w:pPr>
      <w:r w:rsidRPr="00A371FB">
        <w:rPr>
          <w:rFonts w:ascii="Times New Roman" w:hAnsi="Times New Roman"/>
          <w:color w:val="000000" w:themeColor="text1"/>
          <w:sz w:val="22"/>
          <w:szCs w:val="22"/>
          <w:lang w:val="es-ES" w:eastAsia="en-US"/>
        </w:rPr>
        <w:t>Las ventas netas ascendieron a $4.875.197 miles para el ejercicio finalizado el 31 de diciembre de 2022, comparado con los $4.058.069 miles del ejercicio 2021, lo que equivale a un aumento de $817.128 miles o 20%.</w:t>
      </w:r>
    </w:p>
    <w:p w14:paraId="79815ECC" w14:textId="77777777" w:rsidR="0010332B" w:rsidRPr="00A371FB" w:rsidRDefault="0010332B" w:rsidP="0010332B">
      <w:pPr>
        <w:spacing w:line="280" w:lineRule="exact"/>
        <w:jc w:val="both"/>
        <w:rPr>
          <w:rFonts w:ascii="Times New Roman" w:hAnsi="Times New Roman"/>
          <w:color w:val="000000" w:themeColor="text1"/>
          <w:sz w:val="22"/>
          <w:szCs w:val="22"/>
          <w:lang w:val="es-ES" w:eastAsia="en-US"/>
        </w:rPr>
      </w:pPr>
      <w:r w:rsidRPr="00A371FB">
        <w:rPr>
          <w:rFonts w:ascii="Times New Roman" w:hAnsi="Times New Roman"/>
          <w:color w:val="000000" w:themeColor="text1"/>
          <w:sz w:val="22"/>
          <w:szCs w:val="22"/>
          <w:lang w:val="es-ES" w:eastAsia="en-US"/>
        </w:rPr>
        <w:t>En el ejercicio finalizado el 31 de diciembre de 2022, el despacho de energía fue de 1.065.870 MWh, lo que representa una disminución de 85.040 MWh comparado con los 1.150.910 MWh del ejercicio 2021. Dicha variación se debió, principalmente, mantenimiento mayor realizado a fin de año por lo que no tuvo operativa en el mes de noviembre -diciembre.</w:t>
      </w:r>
    </w:p>
    <w:p w14:paraId="731EABCC" w14:textId="1D65A9F6" w:rsidR="0010332B" w:rsidRPr="00A371FB" w:rsidRDefault="0010332B" w:rsidP="0010332B">
      <w:pPr>
        <w:spacing w:line="280" w:lineRule="exact"/>
        <w:jc w:val="both"/>
        <w:rPr>
          <w:rFonts w:ascii="Times New Roman" w:hAnsi="Times New Roman"/>
          <w:color w:val="000000" w:themeColor="text1"/>
          <w:sz w:val="22"/>
          <w:szCs w:val="22"/>
          <w:lang w:val="es-ES" w:eastAsia="en-US"/>
        </w:rPr>
      </w:pPr>
      <w:r w:rsidRPr="00A371FB">
        <w:rPr>
          <w:rFonts w:ascii="Times New Roman" w:hAnsi="Times New Roman"/>
          <w:color w:val="000000" w:themeColor="text1"/>
          <w:sz w:val="22"/>
          <w:szCs w:val="22"/>
          <w:lang w:val="es-ES" w:eastAsia="en-US"/>
        </w:rPr>
        <w:t>A continuación, se describen los principales ingresos de la Sociedad, así como su comportamiento durante el ejercicio finalizado el 31 de diciembre de 2022 en comparación con el ejercicio 2021:</w:t>
      </w:r>
    </w:p>
    <w:p w14:paraId="7AB19C54" w14:textId="77777777" w:rsidR="0010332B" w:rsidRPr="00A371FB" w:rsidRDefault="0010332B" w:rsidP="0010332B">
      <w:pPr>
        <w:spacing w:after="0" w:line="240" w:lineRule="auto"/>
        <w:ind w:left="426"/>
        <w:jc w:val="both"/>
        <w:rPr>
          <w:rFonts w:ascii="Times New Roman" w:hAnsi="Times New Roman"/>
          <w:sz w:val="22"/>
          <w:szCs w:val="22"/>
        </w:rPr>
      </w:pPr>
    </w:p>
    <w:p w14:paraId="0AC74006" w14:textId="77777777" w:rsidR="0010332B" w:rsidRPr="00A371FB" w:rsidRDefault="0010332B">
      <w:pPr>
        <w:numPr>
          <w:ilvl w:val="0"/>
          <w:numId w:val="9"/>
        </w:numPr>
        <w:spacing w:after="0" w:line="240" w:lineRule="auto"/>
        <w:ind w:left="426" w:hanging="426"/>
        <w:jc w:val="both"/>
        <w:rPr>
          <w:rFonts w:ascii="Times New Roman" w:hAnsi="Times New Roman"/>
          <w:sz w:val="22"/>
          <w:szCs w:val="22"/>
        </w:rPr>
      </w:pPr>
      <w:r w:rsidRPr="00A371FB">
        <w:rPr>
          <w:rFonts w:ascii="Times New Roman" w:hAnsi="Times New Roman"/>
          <w:sz w:val="22"/>
          <w:szCs w:val="22"/>
        </w:rPr>
        <w:t>$4.875.197 miles por ventas de energía y potencia en el mercado a término a CAMMESA en el marco de la Resolución 220/07, lo que representó un aumento del 20% respecto de los $4.058.069 miles del ejercicio 2021. Dicha variación se explica, principalmente, por el incremento en el tipo de cambio.</w:t>
      </w:r>
    </w:p>
    <w:p w14:paraId="18EFE340" w14:textId="77777777" w:rsidR="0010332B" w:rsidRPr="00A371FB" w:rsidRDefault="0010332B" w:rsidP="0010332B">
      <w:pPr>
        <w:pStyle w:val="Prrafodelista"/>
        <w:widowControl w:val="0"/>
        <w:autoSpaceDE w:val="0"/>
        <w:autoSpaceDN w:val="0"/>
        <w:adjustRightInd w:val="0"/>
        <w:spacing w:before="9" w:after="0" w:line="180" w:lineRule="exact"/>
        <w:ind w:left="426"/>
        <w:jc w:val="both"/>
        <w:rPr>
          <w:rFonts w:ascii="Times New Roman" w:hAnsi="Times New Roman"/>
          <w:sz w:val="22"/>
          <w:szCs w:val="22"/>
        </w:rPr>
      </w:pPr>
    </w:p>
    <w:p w14:paraId="45EDC326" w14:textId="77777777" w:rsidR="0010332B" w:rsidRPr="00A371FB" w:rsidRDefault="0010332B" w:rsidP="0010332B">
      <w:pPr>
        <w:widowControl w:val="0"/>
        <w:autoSpaceDE w:val="0"/>
        <w:autoSpaceDN w:val="0"/>
        <w:adjustRightInd w:val="0"/>
        <w:spacing w:before="9" w:after="0" w:line="180" w:lineRule="exact"/>
        <w:rPr>
          <w:rFonts w:ascii="Times New Roman" w:hAnsi="Times New Roman"/>
          <w:sz w:val="22"/>
          <w:szCs w:val="22"/>
        </w:rPr>
      </w:pPr>
      <w:bookmarkStart w:id="14" w:name="_Hlk2159934"/>
      <w:r w:rsidRPr="00A371FB">
        <w:rPr>
          <w:rFonts w:ascii="Times New Roman" w:hAnsi="Times New Roman"/>
          <w:sz w:val="22"/>
          <w:szCs w:val="22"/>
          <w:u w:val="single"/>
        </w:rPr>
        <w:t>Costos de ventas:</w:t>
      </w:r>
    </w:p>
    <w:p w14:paraId="4D646BC9" w14:textId="64596811" w:rsidR="0010332B" w:rsidRPr="00A371FB" w:rsidRDefault="0010332B" w:rsidP="0010332B">
      <w:pPr>
        <w:spacing w:line="280" w:lineRule="exact"/>
        <w:jc w:val="both"/>
        <w:rPr>
          <w:rFonts w:ascii="Times New Roman" w:hAnsi="Times New Roman"/>
          <w:color w:val="000000" w:themeColor="text1"/>
          <w:sz w:val="22"/>
          <w:szCs w:val="22"/>
          <w:lang w:val="es-ES" w:eastAsia="en-US"/>
        </w:rPr>
      </w:pPr>
      <w:r w:rsidRPr="00A371FB">
        <w:rPr>
          <w:rFonts w:ascii="Times New Roman" w:hAnsi="Times New Roman"/>
          <w:color w:val="000000" w:themeColor="text1"/>
          <w:sz w:val="22"/>
          <w:szCs w:val="22"/>
          <w:lang w:val="es-ES" w:eastAsia="en-US"/>
        </w:rPr>
        <w:t>Los costos de venta totales para el ejercicio finalizado el 31 de diciembre de 2022 fueron de $1.988.776 miles comparado con $1.213.993 miles del ejercicio 2021, lo que equivale a un aumento de $774.993 miles o 64%.</w:t>
      </w:r>
    </w:p>
    <w:p w14:paraId="16234817" w14:textId="2B23119F" w:rsidR="0010332B" w:rsidRPr="00A371FB" w:rsidRDefault="0010332B" w:rsidP="0010332B">
      <w:pPr>
        <w:spacing w:line="280" w:lineRule="exact"/>
        <w:jc w:val="both"/>
        <w:rPr>
          <w:rFonts w:ascii="Times New Roman" w:hAnsi="Times New Roman"/>
          <w:color w:val="000000" w:themeColor="text1"/>
          <w:sz w:val="22"/>
          <w:szCs w:val="22"/>
          <w:lang w:val="es-ES" w:eastAsia="en-US"/>
        </w:rPr>
      </w:pPr>
      <w:r w:rsidRPr="00A371FB">
        <w:rPr>
          <w:rFonts w:ascii="Times New Roman" w:hAnsi="Times New Roman"/>
          <w:color w:val="000000" w:themeColor="text1"/>
          <w:sz w:val="22"/>
          <w:szCs w:val="22"/>
          <w:lang w:val="es-ES" w:eastAsia="en-US"/>
        </w:rPr>
        <w:t>A continuación, se describen los principales costos de venta de la Sociedad, así como su comportamiento durante el ejercicio finalizado el 31 de diciembre de 2022 en comparación con el ejercicio 2021:</w:t>
      </w:r>
    </w:p>
    <w:p w14:paraId="6291498F" w14:textId="1CDB12B1" w:rsidR="0010332B" w:rsidRPr="00A371FB" w:rsidRDefault="0010332B">
      <w:pPr>
        <w:numPr>
          <w:ilvl w:val="0"/>
          <w:numId w:val="9"/>
        </w:numPr>
        <w:spacing w:after="0" w:line="240" w:lineRule="auto"/>
        <w:ind w:left="426" w:hanging="426"/>
        <w:jc w:val="both"/>
        <w:rPr>
          <w:sz w:val="22"/>
          <w:szCs w:val="22"/>
        </w:rPr>
      </w:pPr>
      <w:r w:rsidRPr="00A371FB">
        <w:rPr>
          <w:rFonts w:ascii="Times New Roman" w:hAnsi="Times New Roman"/>
          <w:sz w:val="22"/>
          <w:szCs w:val="22"/>
        </w:rPr>
        <w:t xml:space="preserve">$1.386.650 miles por depreciación de bienes de uso, lo que representó un aumento del 61% respecto de los $860.995 miles del ejercicio 2021. Esta variación se origina, principalmente, por las altas de propiedades, planta y equipo durante el </w:t>
      </w:r>
      <w:r w:rsidR="00210655" w:rsidRPr="00A371FB">
        <w:rPr>
          <w:rFonts w:ascii="Times New Roman" w:hAnsi="Times New Roman"/>
          <w:sz w:val="22"/>
          <w:szCs w:val="22"/>
        </w:rPr>
        <w:t>ejercicio</w:t>
      </w:r>
      <w:r w:rsidRPr="00A371FB">
        <w:rPr>
          <w:rFonts w:ascii="Times New Roman" w:hAnsi="Times New Roman"/>
          <w:sz w:val="22"/>
          <w:szCs w:val="22"/>
        </w:rPr>
        <w:t>. Este punto no implica una salida de caja.</w:t>
      </w:r>
    </w:p>
    <w:p w14:paraId="7ABFDD6B" w14:textId="77777777" w:rsidR="0010332B" w:rsidRPr="00A371FB" w:rsidRDefault="0010332B" w:rsidP="0010332B">
      <w:pPr>
        <w:spacing w:after="0" w:line="240" w:lineRule="auto"/>
        <w:ind w:left="426"/>
        <w:jc w:val="both"/>
        <w:rPr>
          <w:sz w:val="22"/>
          <w:szCs w:val="22"/>
        </w:rPr>
      </w:pPr>
    </w:p>
    <w:p w14:paraId="2D9E5659" w14:textId="77777777" w:rsidR="0010332B" w:rsidRPr="00A371FB" w:rsidRDefault="0010332B">
      <w:pPr>
        <w:numPr>
          <w:ilvl w:val="0"/>
          <w:numId w:val="9"/>
        </w:numPr>
        <w:spacing w:after="0" w:line="240" w:lineRule="auto"/>
        <w:ind w:left="426" w:hanging="426"/>
        <w:jc w:val="both"/>
        <w:rPr>
          <w:rFonts w:ascii="Times New Roman" w:hAnsi="Times New Roman"/>
          <w:sz w:val="22"/>
          <w:szCs w:val="22"/>
          <w:u w:val="single"/>
        </w:rPr>
      </w:pPr>
      <w:r w:rsidRPr="00A371FB">
        <w:rPr>
          <w:rFonts w:ascii="Times New Roman" w:hAnsi="Times New Roman"/>
          <w:sz w:val="22"/>
          <w:szCs w:val="22"/>
        </w:rPr>
        <w:t>$271.155 miles por sueldos, cargas sociales y beneficios al personal, lo que representó un aumento del 80% respecto de los $150.462 miles para el ejercicio 2021. Dicha variación se explica por los incrementos salariales.</w:t>
      </w:r>
    </w:p>
    <w:p w14:paraId="2E634D34" w14:textId="77777777" w:rsidR="0010332B" w:rsidRPr="00A371FB" w:rsidRDefault="0010332B" w:rsidP="0010332B">
      <w:pPr>
        <w:spacing w:after="0" w:line="240" w:lineRule="auto"/>
        <w:ind w:left="426"/>
        <w:jc w:val="both"/>
        <w:rPr>
          <w:sz w:val="22"/>
          <w:szCs w:val="22"/>
        </w:rPr>
      </w:pPr>
    </w:p>
    <w:p w14:paraId="32959890" w14:textId="77777777" w:rsidR="0010332B" w:rsidRPr="00A371FB" w:rsidRDefault="0010332B" w:rsidP="0010332B">
      <w:pPr>
        <w:spacing w:after="0" w:line="240" w:lineRule="auto"/>
        <w:jc w:val="both"/>
        <w:rPr>
          <w:rFonts w:ascii="Times New Roman" w:hAnsi="Times New Roman"/>
          <w:sz w:val="22"/>
          <w:szCs w:val="22"/>
          <w:u w:val="single"/>
        </w:rPr>
      </w:pPr>
      <w:r w:rsidRPr="00A371FB">
        <w:rPr>
          <w:rFonts w:ascii="Times New Roman" w:hAnsi="Times New Roman"/>
          <w:sz w:val="22"/>
          <w:szCs w:val="22"/>
          <w:u w:val="single"/>
        </w:rPr>
        <w:t>Resultado bruto:</w:t>
      </w:r>
    </w:p>
    <w:p w14:paraId="300A8988"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color w:val="000000" w:themeColor="text1"/>
          <w:sz w:val="22"/>
          <w:szCs w:val="22"/>
          <w:lang w:val="es-ES" w:eastAsia="en-US"/>
        </w:rPr>
      </w:pPr>
    </w:p>
    <w:p w14:paraId="1F4AE93F" w14:textId="77777777" w:rsidR="0010332B" w:rsidRPr="00A371FB" w:rsidRDefault="0010332B" w:rsidP="0010332B">
      <w:pPr>
        <w:widowControl w:val="0"/>
        <w:autoSpaceDE w:val="0"/>
        <w:autoSpaceDN w:val="0"/>
        <w:adjustRightInd w:val="0"/>
        <w:spacing w:after="0" w:line="240" w:lineRule="auto"/>
        <w:ind w:right="49"/>
        <w:jc w:val="both"/>
        <w:rPr>
          <w:rFonts w:ascii="Times New Roman" w:hAnsi="Times New Roman"/>
          <w:color w:val="000000" w:themeColor="text1"/>
          <w:sz w:val="22"/>
          <w:szCs w:val="22"/>
          <w:lang w:val="es-ES" w:eastAsia="en-US"/>
        </w:rPr>
      </w:pPr>
      <w:r w:rsidRPr="00A371FB">
        <w:rPr>
          <w:rFonts w:ascii="Times New Roman" w:hAnsi="Times New Roman"/>
          <w:color w:val="000000" w:themeColor="text1"/>
          <w:sz w:val="22"/>
          <w:szCs w:val="22"/>
          <w:lang w:val="es-ES" w:eastAsia="en-US"/>
        </w:rPr>
        <w:t>El resultado bruto para el ejercicio finalizado el 31 de diciembre de 2022 ascendió a $2.886.421 miles comparado con $2.844.076 miles del ejercicio 2021, lo que equivale a un aumento de $2.345 miles o 1%. Dicha variación se explica principalmente por un aumento de ventas de energía y potencia en el mercado a término a CAMMESA.</w:t>
      </w:r>
    </w:p>
    <w:p w14:paraId="17E2CA44" w14:textId="77777777" w:rsidR="0010332B" w:rsidRPr="00A371FB" w:rsidRDefault="0010332B" w:rsidP="0010332B">
      <w:pPr>
        <w:spacing w:after="0" w:line="240" w:lineRule="auto"/>
        <w:rPr>
          <w:rFonts w:ascii="Times New Roman" w:hAnsi="Times New Roman"/>
          <w:color w:val="000000" w:themeColor="text1"/>
          <w:sz w:val="22"/>
          <w:szCs w:val="22"/>
          <w:lang w:val="es-ES" w:eastAsia="en-US"/>
        </w:rPr>
      </w:pPr>
      <w:r w:rsidRPr="00A371FB">
        <w:rPr>
          <w:rFonts w:ascii="Times New Roman" w:hAnsi="Times New Roman"/>
          <w:color w:val="000000" w:themeColor="text1"/>
          <w:sz w:val="22"/>
          <w:szCs w:val="22"/>
          <w:lang w:val="es-ES" w:eastAsia="en-US"/>
        </w:rPr>
        <w:br w:type="page"/>
      </w:r>
    </w:p>
    <w:p w14:paraId="727644E7" w14:textId="3CA8ABE1"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u w:val="single"/>
        </w:rPr>
      </w:pPr>
      <w:r w:rsidRPr="00A371FB">
        <w:rPr>
          <w:rFonts w:ascii="Times New Roman" w:hAnsi="Times New Roman"/>
          <w:sz w:val="22"/>
          <w:szCs w:val="22"/>
          <w:u w:val="single"/>
        </w:rPr>
        <w:t>Gastos de comercialización:</w:t>
      </w:r>
    </w:p>
    <w:p w14:paraId="2DD6B7B2"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u w:val="single"/>
        </w:rPr>
      </w:pPr>
    </w:p>
    <w:p w14:paraId="3E3E4695" w14:textId="77777777" w:rsidR="0010332B" w:rsidRPr="00A371FB" w:rsidRDefault="0010332B" w:rsidP="0010332B">
      <w:pPr>
        <w:widowControl w:val="0"/>
        <w:autoSpaceDE w:val="0"/>
        <w:autoSpaceDN w:val="0"/>
        <w:adjustRightInd w:val="0"/>
        <w:spacing w:after="0" w:line="240" w:lineRule="auto"/>
        <w:ind w:right="49"/>
        <w:jc w:val="both"/>
        <w:rPr>
          <w:rFonts w:ascii="Times New Roman" w:hAnsi="Times New Roman"/>
          <w:color w:val="000000" w:themeColor="text1"/>
          <w:sz w:val="22"/>
          <w:szCs w:val="22"/>
          <w:lang w:val="es-ES" w:eastAsia="en-US"/>
        </w:rPr>
      </w:pPr>
      <w:r w:rsidRPr="00A371FB">
        <w:rPr>
          <w:rFonts w:ascii="Times New Roman" w:hAnsi="Times New Roman"/>
          <w:color w:val="000000" w:themeColor="text1"/>
          <w:sz w:val="22"/>
          <w:szCs w:val="22"/>
          <w:lang w:val="es-ES" w:eastAsia="en-US"/>
        </w:rPr>
        <w:t>Los gastos de comercialización totales para el ejercicio finalizado el 31 de diciembre de 2022 ascendieron a $63.695 miles comparado con $47.382 miles del ejercicio 2021, lo que equivale a un incremento de $16.313 miles o 34%.</w:t>
      </w:r>
    </w:p>
    <w:p w14:paraId="762694EC"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rPr>
      </w:pPr>
    </w:p>
    <w:p w14:paraId="412C16EC"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rPr>
      </w:pPr>
      <w:r w:rsidRPr="00A371FB">
        <w:rPr>
          <w:rFonts w:ascii="Times New Roman" w:hAnsi="Times New Roman"/>
          <w:sz w:val="22"/>
          <w:szCs w:val="22"/>
        </w:rPr>
        <w:t>El principal componente de los gastos de comercialización de la Sociedad es el siguiente:</w:t>
      </w:r>
    </w:p>
    <w:p w14:paraId="537838DF"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rPr>
      </w:pPr>
    </w:p>
    <w:p w14:paraId="462A9462" w14:textId="77777777" w:rsidR="0010332B" w:rsidRPr="00A371FB" w:rsidRDefault="0010332B">
      <w:pPr>
        <w:pStyle w:val="Prrafodelista"/>
        <w:numPr>
          <w:ilvl w:val="0"/>
          <w:numId w:val="16"/>
        </w:numPr>
        <w:rPr>
          <w:rFonts w:ascii="Times New Roman" w:hAnsi="Times New Roman"/>
          <w:sz w:val="22"/>
          <w:szCs w:val="22"/>
        </w:rPr>
      </w:pPr>
      <w:r w:rsidRPr="00A371FB">
        <w:rPr>
          <w:rFonts w:ascii="Times New Roman" w:hAnsi="Times New Roman"/>
          <w:sz w:val="22"/>
          <w:szCs w:val="22"/>
        </w:rPr>
        <w:t>$63.695 miles por impuesto, tasas y contribuciones, lo que representó un incremento del 34% respecto de los $47.382 miles del ejercicio 2021. Dicha variación se debe debido a las mayores ventas de energía en el ejercicio finalizado el 31 de diciembre 2022 comparado con el mismo período 2021.</w:t>
      </w:r>
    </w:p>
    <w:p w14:paraId="6A8B577B"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u w:val="single"/>
        </w:rPr>
      </w:pPr>
    </w:p>
    <w:p w14:paraId="7EA7E864" w14:textId="4104EAC0"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u w:val="single"/>
        </w:rPr>
      </w:pPr>
      <w:r w:rsidRPr="00A371FB">
        <w:rPr>
          <w:rFonts w:ascii="Times New Roman" w:hAnsi="Times New Roman"/>
          <w:sz w:val="22"/>
          <w:szCs w:val="22"/>
          <w:u w:val="single"/>
        </w:rPr>
        <w:t>Gastos de administración:</w:t>
      </w:r>
    </w:p>
    <w:p w14:paraId="74AE9393"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u w:val="single"/>
        </w:rPr>
      </w:pPr>
    </w:p>
    <w:p w14:paraId="0A8B34F3"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rPr>
      </w:pPr>
      <w:r w:rsidRPr="00A371FB">
        <w:rPr>
          <w:rFonts w:ascii="Times New Roman" w:hAnsi="Times New Roman"/>
          <w:sz w:val="22"/>
          <w:szCs w:val="22"/>
        </w:rPr>
        <w:t>Los gastos de administración totales para el ejercicio finalizado el 31 de diciembre de 2022 ascendieron a $644.688 miles lo que representó un aumento del 101,3%, comparado con $320.186 miles del ejercicio 2021.</w:t>
      </w:r>
    </w:p>
    <w:p w14:paraId="197B020E" w14:textId="77777777" w:rsidR="0010332B" w:rsidRPr="00A371FB" w:rsidRDefault="0010332B" w:rsidP="0010332B">
      <w:pPr>
        <w:widowControl w:val="0"/>
        <w:autoSpaceDE w:val="0"/>
        <w:autoSpaceDN w:val="0"/>
        <w:adjustRightInd w:val="0"/>
        <w:spacing w:after="0" w:line="240" w:lineRule="auto"/>
        <w:ind w:right="79"/>
        <w:jc w:val="both"/>
        <w:rPr>
          <w:rFonts w:ascii="Times New Roman" w:hAnsi="Times New Roman"/>
          <w:sz w:val="22"/>
          <w:szCs w:val="22"/>
        </w:rPr>
      </w:pPr>
    </w:p>
    <w:p w14:paraId="1F0A9A45" w14:textId="77777777" w:rsidR="0010332B" w:rsidRPr="00A371FB" w:rsidRDefault="0010332B" w:rsidP="0010332B">
      <w:pPr>
        <w:widowControl w:val="0"/>
        <w:autoSpaceDE w:val="0"/>
        <w:autoSpaceDN w:val="0"/>
        <w:adjustRightInd w:val="0"/>
        <w:spacing w:after="0" w:line="240" w:lineRule="auto"/>
        <w:ind w:right="79"/>
        <w:jc w:val="both"/>
        <w:rPr>
          <w:rFonts w:ascii="Times New Roman" w:hAnsi="Times New Roman"/>
          <w:sz w:val="22"/>
          <w:szCs w:val="22"/>
        </w:rPr>
      </w:pPr>
      <w:r w:rsidRPr="00A371FB">
        <w:rPr>
          <w:rFonts w:ascii="Times New Roman" w:hAnsi="Times New Roman"/>
          <w:sz w:val="22"/>
          <w:szCs w:val="22"/>
        </w:rPr>
        <w:t>Los principales componentes de los gastos de administración de la Sociedad son los siguientes:</w:t>
      </w:r>
    </w:p>
    <w:p w14:paraId="74CD11F8" w14:textId="77777777" w:rsidR="0010332B" w:rsidRPr="00A371FB" w:rsidRDefault="0010332B" w:rsidP="0010332B">
      <w:pPr>
        <w:widowControl w:val="0"/>
        <w:autoSpaceDE w:val="0"/>
        <w:autoSpaceDN w:val="0"/>
        <w:adjustRightInd w:val="0"/>
        <w:spacing w:after="0" w:line="240" w:lineRule="auto"/>
        <w:ind w:right="79"/>
        <w:jc w:val="both"/>
        <w:rPr>
          <w:rFonts w:ascii="Times New Roman" w:hAnsi="Times New Roman"/>
          <w:sz w:val="22"/>
          <w:szCs w:val="22"/>
        </w:rPr>
      </w:pPr>
    </w:p>
    <w:p w14:paraId="7A374D2D" w14:textId="77777777" w:rsidR="0010332B" w:rsidRPr="00A371FB" w:rsidRDefault="0010332B">
      <w:pPr>
        <w:numPr>
          <w:ilvl w:val="0"/>
          <w:numId w:val="15"/>
        </w:numPr>
        <w:spacing w:after="0" w:line="240" w:lineRule="auto"/>
        <w:jc w:val="both"/>
        <w:rPr>
          <w:rFonts w:ascii="Times New Roman" w:hAnsi="Times New Roman"/>
          <w:sz w:val="22"/>
          <w:szCs w:val="22"/>
        </w:rPr>
      </w:pPr>
      <w:r w:rsidRPr="00A371FB">
        <w:rPr>
          <w:rFonts w:ascii="Times New Roman" w:hAnsi="Times New Roman"/>
          <w:sz w:val="22"/>
          <w:szCs w:val="22"/>
        </w:rPr>
        <w:t xml:space="preserve">$586.716 miles en honorarios y retribuciones por servicios, lo que representó un aumento del 98% comparado con los $296.417 miles correspondientes al ejercicio 2021. Dicha variación se debe a los aumentos de la facturación de servicios administrativos realizados por RGA. </w:t>
      </w:r>
    </w:p>
    <w:p w14:paraId="3698C1BE" w14:textId="77777777" w:rsidR="0010332B" w:rsidRPr="00A371FB" w:rsidRDefault="0010332B" w:rsidP="0010332B">
      <w:pPr>
        <w:spacing w:after="0" w:line="240" w:lineRule="auto"/>
        <w:jc w:val="both"/>
        <w:rPr>
          <w:rFonts w:ascii="Times New Roman" w:hAnsi="Times New Roman"/>
          <w:sz w:val="22"/>
          <w:szCs w:val="22"/>
        </w:rPr>
      </w:pPr>
    </w:p>
    <w:p w14:paraId="1D4D5C62"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u w:val="single"/>
        </w:rPr>
      </w:pPr>
      <w:r w:rsidRPr="00A371FB">
        <w:rPr>
          <w:rFonts w:ascii="Times New Roman" w:hAnsi="Times New Roman"/>
          <w:sz w:val="22"/>
          <w:szCs w:val="22"/>
          <w:u w:val="single"/>
        </w:rPr>
        <w:t>Otros ingresos y egresos operativos:</w:t>
      </w:r>
    </w:p>
    <w:p w14:paraId="3BDDE495"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u w:val="single"/>
        </w:rPr>
      </w:pPr>
    </w:p>
    <w:p w14:paraId="4A96FED2"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rPr>
      </w:pPr>
      <w:r w:rsidRPr="00A371FB">
        <w:rPr>
          <w:rFonts w:ascii="Times New Roman" w:hAnsi="Times New Roman"/>
          <w:sz w:val="22"/>
          <w:szCs w:val="22"/>
        </w:rPr>
        <w:t>Los otros ingresos operativos totales para el ejercicio finalizado el 31 de diciembre de 2022 ascendieron a $86 miles lo que representó un aumento del 100%, comparado con el ejercicio 2021. Dichos ingresos corresponden a la venta de un bien de uso.</w:t>
      </w:r>
    </w:p>
    <w:p w14:paraId="1DBA9E33"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rPr>
      </w:pPr>
    </w:p>
    <w:p w14:paraId="1B53D130"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rPr>
      </w:pPr>
      <w:r w:rsidRPr="00A371FB">
        <w:rPr>
          <w:rFonts w:ascii="Times New Roman" w:hAnsi="Times New Roman"/>
          <w:sz w:val="22"/>
          <w:szCs w:val="22"/>
        </w:rPr>
        <w:t>Los otros egresos operativos totales para el ejercicio finalizado el 31 de diciembre de 2021 ascendieron a $17 miles. Dichos gastos corresponden a la condonación de préstamos otorgados a Directores durante 2021.</w:t>
      </w:r>
    </w:p>
    <w:p w14:paraId="798CDCED"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rPr>
      </w:pPr>
    </w:p>
    <w:p w14:paraId="2C045CAC"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u w:val="single"/>
        </w:rPr>
      </w:pPr>
      <w:r w:rsidRPr="00A371FB">
        <w:rPr>
          <w:rFonts w:ascii="Times New Roman" w:hAnsi="Times New Roman"/>
          <w:sz w:val="22"/>
          <w:szCs w:val="22"/>
          <w:u w:val="single"/>
        </w:rPr>
        <w:t>Resultado operativo:</w:t>
      </w:r>
    </w:p>
    <w:p w14:paraId="3E63ED9A"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u w:val="single"/>
        </w:rPr>
      </w:pPr>
    </w:p>
    <w:p w14:paraId="1A9F12DA"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rPr>
      </w:pPr>
      <w:r w:rsidRPr="00A371FB">
        <w:rPr>
          <w:rFonts w:ascii="Times New Roman" w:hAnsi="Times New Roman"/>
          <w:sz w:val="22"/>
          <w:szCs w:val="22"/>
        </w:rPr>
        <w:t xml:space="preserve">El resultado operativo para el ejercicio finalizado el 31 de diciembre de 2022 ascendió a $2.178.124 miles comparado con $2.476.491 miles del ejercicio 2021, lo que equivale a una disminución de $298.367 miles o un 12%. </w:t>
      </w:r>
    </w:p>
    <w:p w14:paraId="63A2E9DE"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z w:val="22"/>
          <w:szCs w:val="22"/>
        </w:rPr>
      </w:pPr>
    </w:p>
    <w:p w14:paraId="7BF2DE15" w14:textId="77777777" w:rsidR="0010332B" w:rsidRPr="00A371FB" w:rsidRDefault="0010332B" w:rsidP="0010332B">
      <w:pPr>
        <w:widowControl w:val="0"/>
        <w:autoSpaceDE w:val="0"/>
        <w:autoSpaceDN w:val="0"/>
        <w:adjustRightInd w:val="0"/>
        <w:spacing w:after="0" w:line="240" w:lineRule="auto"/>
        <w:ind w:right="3937"/>
        <w:jc w:val="both"/>
        <w:rPr>
          <w:rFonts w:ascii="Times New Roman" w:hAnsi="Times New Roman"/>
          <w:spacing w:val="-2"/>
          <w:sz w:val="22"/>
          <w:szCs w:val="22"/>
          <w:u w:val="single"/>
        </w:rPr>
      </w:pPr>
      <w:r w:rsidRPr="00A371FB">
        <w:rPr>
          <w:rFonts w:ascii="Times New Roman" w:hAnsi="Times New Roman"/>
          <w:spacing w:val="-2"/>
          <w:sz w:val="22"/>
          <w:szCs w:val="22"/>
          <w:u w:val="single"/>
        </w:rPr>
        <w:t>Resultados financieros y por tenencia, netos:</w:t>
      </w:r>
    </w:p>
    <w:p w14:paraId="2F3ED62C" w14:textId="77777777" w:rsidR="0010332B" w:rsidRPr="00A371FB" w:rsidRDefault="0010332B" w:rsidP="0010332B">
      <w:pPr>
        <w:widowControl w:val="0"/>
        <w:autoSpaceDE w:val="0"/>
        <w:autoSpaceDN w:val="0"/>
        <w:adjustRightInd w:val="0"/>
        <w:spacing w:after="0" w:line="240" w:lineRule="auto"/>
        <w:ind w:right="73"/>
        <w:jc w:val="both"/>
        <w:rPr>
          <w:rFonts w:ascii="Times New Roman" w:hAnsi="Times New Roman"/>
          <w:spacing w:val="-2"/>
          <w:sz w:val="22"/>
          <w:szCs w:val="22"/>
        </w:rPr>
      </w:pPr>
    </w:p>
    <w:p w14:paraId="18AB2A48" w14:textId="3636E212" w:rsidR="0010332B" w:rsidRPr="00A371FB" w:rsidRDefault="0010332B" w:rsidP="0010332B">
      <w:pPr>
        <w:widowControl w:val="0"/>
        <w:autoSpaceDE w:val="0"/>
        <w:autoSpaceDN w:val="0"/>
        <w:adjustRightInd w:val="0"/>
        <w:spacing w:before="10" w:after="0" w:line="220" w:lineRule="exact"/>
        <w:jc w:val="both"/>
        <w:rPr>
          <w:rFonts w:ascii="Times New Roman" w:eastAsia="MS Mincho" w:hAnsi="Times New Roman"/>
          <w:sz w:val="22"/>
          <w:szCs w:val="22"/>
        </w:rPr>
      </w:pPr>
      <w:r w:rsidRPr="00A371FB">
        <w:rPr>
          <w:rFonts w:ascii="Times New Roman" w:eastAsia="MS Mincho" w:hAnsi="Times New Roman"/>
          <w:sz w:val="22"/>
          <w:szCs w:val="22"/>
        </w:rPr>
        <w:t xml:space="preserve">Los resultados financieros y por tenencia netos para el ejercicio finalizado el 31 de diciembre de 2022 totalizaron una pérdida de $2.950.244 miles, comparado con una pérdida de $1.159.161 miles del ejercicio 2021, representando un </w:t>
      </w:r>
      <w:r w:rsidR="00BA757F" w:rsidRPr="00A371FB">
        <w:rPr>
          <w:rFonts w:ascii="Times New Roman" w:eastAsia="MS Mincho" w:hAnsi="Times New Roman"/>
          <w:sz w:val="22"/>
          <w:szCs w:val="22"/>
        </w:rPr>
        <w:t>incremento</w:t>
      </w:r>
      <w:r w:rsidRPr="00A371FB">
        <w:rPr>
          <w:rFonts w:ascii="Times New Roman" w:eastAsia="MS Mincho" w:hAnsi="Times New Roman"/>
          <w:sz w:val="22"/>
          <w:szCs w:val="22"/>
        </w:rPr>
        <w:t xml:space="preserve"> del 155%. La variación se debe principalmente al efecto de la variación en el tipo de cambio y a la variación de intereses por préstamos.</w:t>
      </w:r>
    </w:p>
    <w:p w14:paraId="7981CCE4" w14:textId="77777777" w:rsidR="0010332B" w:rsidRPr="00A371FB" w:rsidRDefault="0010332B" w:rsidP="0010332B">
      <w:pPr>
        <w:widowControl w:val="0"/>
        <w:autoSpaceDE w:val="0"/>
        <w:autoSpaceDN w:val="0"/>
        <w:adjustRightInd w:val="0"/>
        <w:spacing w:before="10" w:after="0" w:line="220" w:lineRule="exact"/>
        <w:jc w:val="both"/>
        <w:rPr>
          <w:rFonts w:ascii="Times New Roman" w:eastAsia="MS Mincho" w:hAnsi="Times New Roman"/>
          <w:sz w:val="22"/>
          <w:szCs w:val="22"/>
        </w:rPr>
      </w:pPr>
    </w:p>
    <w:p w14:paraId="039E44A3" w14:textId="77777777" w:rsidR="0010332B" w:rsidRPr="00A371FB" w:rsidRDefault="0010332B" w:rsidP="0010332B">
      <w:pPr>
        <w:spacing w:after="0" w:line="240" w:lineRule="auto"/>
        <w:rPr>
          <w:rFonts w:ascii="Times New Roman" w:hAnsi="Times New Roman"/>
          <w:sz w:val="22"/>
          <w:szCs w:val="22"/>
        </w:rPr>
      </w:pPr>
      <w:r w:rsidRPr="00A371FB">
        <w:rPr>
          <w:rFonts w:ascii="Times New Roman" w:hAnsi="Times New Roman"/>
          <w:sz w:val="22"/>
          <w:szCs w:val="22"/>
        </w:rPr>
        <w:t>Los aspectos más salientes de dicha variación son los siguientes:</w:t>
      </w:r>
    </w:p>
    <w:p w14:paraId="69BBD3CA" w14:textId="77777777" w:rsidR="0010332B" w:rsidRPr="00A371FB" w:rsidRDefault="0010332B" w:rsidP="0010332B">
      <w:pPr>
        <w:spacing w:after="0" w:line="240" w:lineRule="auto"/>
        <w:rPr>
          <w:rFonts w:ascii="Times New Roman" w:hAnsi="Times New Roman"/>
          <w:sz w:val="22"/>
          <w:szCs w:val="22"/>
        </w:rPr>
      </w:pPr>
    </w:p>
    <w:p w14:paraId="65B8DD86" w14:textId="73C819E8" w:rsidR="0010332B" w:rsidRPr="00A371FB" w:rsidRDefault="0010332B">
      <w:pPr>
        <w:numPr>
          <w:ilvl w:val="0"/>
          <w:numId w:val="10"/>
        </w:numPr>
        <w:spacing w:after="0" w:line="240" w:lineRule="auto"/>
        <w:ind w:left="426" w:hanging="426"/>
        <w:jc w:val="both"/>
        <w:rPr>
          <w:rFonts w:ascii="Times New Roman" w:hAnsi="Times New Roman"/>
          <w:sz w:val="22"/>
          <w:szCs w:val="22"/>
        </w:rPr>
      </w:pPr>
      <w:r w:rsidRPr="00A371FB">
        <w:rPr>
          <w:rFonts w:ascii="Times New Roman" w:hAnsi="Times New Roman"/>
          <w:sz w:val="22"/>
          <w:szCs w:val="22"/>
        </w:rPr>
        <w:t>$828.761 miles de pérdida por intereses por préstamos, lo que representó una disminución del 23% respecto de los $1.070.650 miles de pérdida del ejercicio 202</w:t>
      </w:r>
      <w:r w:rsidR="00BA757F" w:rsidRPr="00A371FB">
        <w:rPr>
          <w:rFonts w:ascii="Times New Roman" w:hAnsi="Times New Roman"/>
          <w:sz w:val="22"/>
          <w:szCs w:val="22"/>
        </w:rPr>
        <w:t>1</w:t>
      </w:r>
      <w:r w:rsidRPr="00A371FB">
        <w:rPr>
          <w:rFonts w:ascii="Times New Roman" w:hAnsi="Times New Roman"/>
          <w:sz w:val="22"/>
          <w:szCs w:val="22"/>
        </w:rPr>
        <w:t>. La variación se debe a mayores intereses ganados con respecto al ejercicio 2021 por el aumento del mutuo interco con GMSA.</w:t>
      </w:r>
    </w:p>
    <w:p w14:paraId="0017422A" w14:textId="77777777" w:rsidR="0010332B" w:rsidRPr="00A371FB" w:rsidRDefault="0010332B" w:rsidP="0010332B">
      <w:pPr>
        <w:spacing w:after="0" w:line="240" w:lineRule="auto"/>
        <w:ind w:left="426"/>
        <w:jc w:val="both"/>
        <w:rPr>
          <w:rFonts w:ascii="Times New Roman" w:hAnsi="Times New Roman"/>
          <w:sz w:val="22"/>
          <w:szCs w:val="22"/>
        </w:rPr>
      </w:pPr>
    </w:p>
    <w:p w14:paraId="1751E8A0" w14:textId="22431B32" w:rsidR="0010332B" w:rsidRPr="00A371FB" w:rsidRDefault="0010332B">
      <w:pPr>
        <w:numPr>
          <w:ilvl w:val="0"/>
          <w:numId w:val="10"/>
        </w:numPr>
        <w:spacing w:after="0" w:line="240" w:lineRule="auto"/>
        <w:ind w:left="426" w:hanging="426"/>
        <w:jc w:val="both"/>
        <w:rPr>
          <w:rFonts w:ascii="Times New Roman" w:hAnsi="Times New Roman"/>
          <w:sz w:val="22"/>
          <w:szCs w:val="22"/>
        </w:rPr>
      </w:pPr>
      <w:r w:rsidRPr="00A371FB">
        <w:rPr>
          <w:rFonts w:ascii="Times New Roman" w:hAnsi="Times New Roman"/>
          <w:sz w:val="22"/>
          <w:szCs w:val="22"/>
        </w:rPr>
        <w:t>$2.031.844 miles de pérdida por diferencia de cambio neta, lo que representó un incremento del 848% respecto de los $214.450 miles de pérdida del ejercicio 2021. La variación se debe, principalmente, a que la posición activa en pesos por el ejercicio finalizado al 31 de diciembre de 2022 fue mayor que dicha posición del mismo ejercicio 2021, la cual genera mayor diferencial cambiario.</w:t>
      </w:r>
      <w:r w:rsidR="00A371FB">
        <w:rPr>
          <w:rFonts w:ascii="Times New Roman" w:hAnsi="Times New Roman"/>
          <w:sz w:val="22"/>
          <w:szCs w:val="22"/>
        </w:rPr>
        <w:t xml:space="preserve"> </w:t>
      </w:r>
    </w:p>
    <w:p w14:paraId="3C5611C7" w14:textId="15E36F12" w:rsidR="0010332B" w:rsidRPr="00A371FB" w:rsidRDefault="0010332B" w:rsidP="0010332B">
      <w:pPr>
        <w:spacing w:after="0" w:line="240" w:lineRule="auto"/>
        <w:rPr>
          <w:rFonts w:ascii="Times New Roman" w:hAnsi="Times New Roman"/>
          <w:sz w:val="22"/>
          <w:szCs w:val="22"/>
        </w:rPr>
      </w:pPr>
    </w:p>
    <w:p w14:paraId="4CF4C3A5" w14:textId="77777777" w:rsidR="0010332B" w:rsidRPr="00A371FB" w:rsidRDefault="0010332B" w:rsidP="0010332B">
      <w:pPr>
        <w:widowControl w:val="0"/>
        <w:autoSpaceDE w:val="0"/>
        <w:autoSpaceDN w:val="0"/>
        <w:adjustRightInd w:val="0"/>
        <w:spacing w:after="0" w:line="240" w:lineRule="auto"/>
        <w:ind w:right="3937"/>
        <w:jc w:val="both"/>
        <w:rPr>
          <w:rFonts w:ascii="Times New Roman" w:hAnsi="Times New Roman"/>
          <w:spacing w:val="-2"/>
          <w:sz w:val="22"/>
          <w:szCs w:val="22"/>
          <w:u w:val="single"/>
        </w:rPr>
      </w:pPr>
      <w:r w:rsidRPr="00A371FB">
        <w:rPr>
          <w:rFonts w:ascii="Times New Roman" w:hAnsi="Times New Roman"/>
          <w:spacing w:val="-2"/>
          <w:sz w:val="22"/>
          <w:szCs w:val="22"/>
          <w:u w:val="single"/>
        </w:rPr>
        <w:t>Resultados financieros y por tenencia, netos (Cont.):</w:t>
      </w:r>
    </w:p>
    <w:p w14:paraId="65027C16" w14:textId="77777777" w:rsidR="0010332B" w:rsidRPr="00A371FB" w:rsidRDefault="0010332B" w:rsidP="0010332B">
      <w:pPr>
        <w:spacing w:after="0" w:line="240" w:lineRule="auto"/>
        <w:ind w:left="426"/>
        <w:jc w:val="both"/>
        <w:rPr>
          <w:rFonts w:ascii="Times New Roman" w:hAnsi="Times New Roman"/>
          <w:sz w:val="22"/>
          <w:szCs w:val="22"/>
        </w:rPr>
      </w:pPr>
    </w:p>
    <w:p w14:paraId="2B5F4E75" w14:textId="77777777" w:rsidR="0010332B" w:rsidRPr="00A371FB" w:rsidRDefault="0010332B">
      <w:pPr>
        <w:numPr>
          <w:ilvl w:val="0"/>
          <w:numId w:val="10"/>
        </w:numPr>
        <w:spacing w:after="0" w:line="240" w:lineRule="auto"/>
        <w:ind w:left="426" w:hanging="426"/>
        <w:jc w:val="both"/>
        <w:rPr>
          <w:rFonts w:ascii="Times New Roman" w:hAnsi="Times New Roman"/>
          <w:sz w:val="22"/>
          <w:szCs w:val="22"/>
        </w:rPr>
      </w:pPr>
      <w:r w:rsidRPr="00A371FB">
        <w:rPr>
          <w:rFonts w:ascii="Times New Roman" w:hAnsi="Times New Roman"/>
          <w:sz w:val="22"/>
          <w:szCs w:val="22"/>
        </w:rPr>
        <w:t>$237.960 miles de pérdida por diferencia de cotización UVA, lo que representó una variación de $212.528 respecto de los $25.432 miles de pérdida del ejercicio 2021. La variación se principalmente a la toma de nuevos instrumentos financieros con cotización UVA durante el ejercicio 2022.</w:t>
      </w:r>
    </w:p>
    <w:p w14:paraId="025198A7" w14:textId="77777777" w:rsidR="0010332B" w:rsidRPr="00A371FB" w:rsidRDefault="0010332B" w:rsidP="0010332B">
      <w:pPr>
        <w:spacing w:after="0" w:line="240" w:lineRule="auto"/>
        <w:rPr>
          <w:rFonts w:ascii="Times New Roman" w:hAnsi="Times New Roman"/>
          <w:sz w:val="22"/>
          <w:szCs w:val="22"/>
        </w:rPr>
      </w:pPr>
    </w:p>
    <w:p w14:paraId="0F59F059" w14:textId="77777777" w:rsidR="0010332B" w:rsidRPr="00A371FB" w:rsidRDefault="0010332B" w:rsidP="0010332B">
      <w:pPr>
        <w:spacing w:after="0" w:line="240" w:lineRule="auto"/>
        <w:jc w:val="both"/>
        <w:rPr>
          <w:rFonts w:ascii="Times New Roman" w:hAnsi="Times New Roman"/>
          <w:sz w:val="22"/>
          <w:szCs w:val="22"/>
        </w:rPr>
      </w:pPr>
      <w:r w:rsidRPr="00A371FB">
        <w:rPr>
          <w:rFonts w:ascii="Times New Roman" w:hAnsi="Times New Roman"/>
          <w:spacing w:val="-2"/>
          <w:sz w:val="22"/>
          <w:szCs w:val="22"/>
          <w:u w:val="single"/>
        </w:rPr>
        <w:t>Resultado neto:</w:t>
      </w:r>
    </w:p>
    <w:p w14:paraId="08664A39" w14:textId="77777777" w:rsidR="0010332B" w:rsidRPr="00A371FB" w:rsidRDefault="0010332B" w:rsidP="0010332B">
      <w:pPr>
        <w:widowControl w:val="0"/>
        <w:autoSpaceDE w:val="0"/>
        <w:autoSpaceDN w:val="0"/>
        <w:adjustRightInd w:val="0"/>
        <w:spacing w:after="0" w:line="224" w:lineRule="exact"/>
        <w:ind w:right="74"/>
        <w:jc w:val="both"/>
        <w:rPr>
          <w:rFonts w:ascii="Times New Roman" w:eastAsia="MS Mincho" w:hAnsi="Times New Roman"/>
          <w:sz w:val="22"/>
          <w:szCs w:val="22"/>
        </w:rPr>
      </w:pPr>
    </w:p>
    <w:p w14:paraId="573A268D" w14:textId="77777777" w:rsidR="0010332B" w:rsidRPr="00A371FB" w:rsidRDefault="0010332B" w:rsidP="0010332B">
      <w:pPr>
        <w:widowControl w:val="0"/>
        <w:autoSpaceDE w:val="0"/>
        <w:autoSpaceDN w:val="0"/>
        <w:adjustRightInd w:val="0"/>
        <w:spacing w:after="0" w:line="224" w:lineRule="exact"/>
        <w:ind w:right="74"/>
        <w:jc w:val="both"/>
        <w:rPr>
          <w:rFonts w:ascii="Times New Roman" w:eastAsia="MS Mincho" w:hAnsi="Times New Roman"/>
          <w:sz w:val="22"/>
          <w:szCs w:val="22"/>
        </w:rPr>
      </w:pPr>
      <w:r w:rsidRPr="00A371FB">
        <w:rPr>
          <w:rFonts w:ascii="Times New Roman" w:eastAsia="MS Mincho" w:hAnsi="Times New Roman"/>
          <w:sz w:val="22"/>
          <w:szCs w:val="22"/>
        </w:rPr>
        <w:t>Para el ejercicio finalizado el 31 de diciembre de 2022, la Sociedad registra una pérdida antes de impuestos de $772.120 miles, comparada con los $1.317.300 miles de ganancia del ejercicio 2021, lo que representa una disminución del 159%. Dicha variación se explica principalmente por la variación de las ventas y costos de ventas y la variación del tipo de cambio.</w:t>
      </w:r>
    </w:p>
    <w:p w14:paraId="6CE5D1C0" w14:textId="77777777" w:rsidR="0010332B" w:rsidRPr="00A371FB" w:rsidRDefault="0010332B" w:rsidP="0010332B">
      <w:pPr>
        <w:widowControl w:val="0"/>
        <w:autoSpaceDE w:val="0"/>
        <w:autoSpaceDN w:val="0"/>
        <w:adjustRightInd w:val="0"/>
        <w:spacing w:after="0" w:line="224" w:lineRule="exact"/>
        <w:ind w:right="74"/>
        <w:jc w:val="both"/>
        <w:rPr>
          <w:rFonts w:ascii="Times New Roman" w:eastAsia="MS Mincho" w:hAnsi="Times New Roman"/>
          <w:sz w:val="22"/>
          <w:szCs w:val="22"/>
        </w:rPr>
      </w:pPr>
    </w:p>
    <w:p w14:paraId="47ACAD7B" w14:textId="46597558" w:rsidR="0010332B" w:rsidRPr="00A371FB" w:rsidRDefault="0010332B" w:rsidP="0010332B">
      <w:pPr>
        <w:spacing w:line="211" w:lineRule="atLeast"/>
        <w:ind w:right="144"/>
        <w:jc w:val="both"/>
        <w:rPr>
          <w:rFonts w:ascii="Times New Roman" w:hAnsi="Times New Roman"/>
          <w:sz w:val="22"/>
          <w:szCs w:val="22"/>
        </w:rPr>
      </w:pPr>
      <w:r w:rsidRPr="00A371FB">
        <w:rPr>
          <w:rFonts w:ascii="Times New Roman" w:eastAsia="MS Mincho" w:hAnsi="Times New Roman"/>
          <w:sz w:val="22"/>
          <w:szCs w:val="22"/>
        </w:rPr>
        <w:t xml:space="preserve">El resultado positivo de impuesto a las ganancias fue de $312.063 miles para el ejercicio finalizado el 31 de diciembre de 2022 en comparación con los $517.886 miles de pérdida del ejercicio 2021. Dicha variación se explica, principalmente, a que se ha registrado el reconocimiento del ajuste por inflación impositivo sobre los quebrantos acumulados, a partir del ejercicio 2021. Además, durante el ejercicio 2021 se </w:t>
      </w:r>
      <w:r w:rsidR="00BA757F" w:rsidRPr="00A371FB">
        <w:rPr>
          <w:rFonts w:ascii="Times New Roman" w:eastAsia="MS Mincho" w:hAnsi="Times New Roman"/>
          <w:sz w:val="22"/>
          <w:szCs w:val="22"/>
        </w:rPr>
        <w:t>ve</w:t>
      </w:r>
      <w:r w:rsidRPr="00A371FB">
        <w:rPr>
          <w:rFonts w:ascii="Times New Roman" w:eastAsia="MS Mincho" w:hAnsi="Times New Roman"/>
          <w:sz w:val="22"/>
          <w:szCs w:val="22"/>
        </w:rPr>
        <w:t xml:space="preserve"> el impacto que genera el cambio de alícuota, a partir de las modificaciones introducidas por la ley 27.630, en los saldos de activos y pasivos diferidos netos.</w:t>
      </w:r>
    </w:p>
    <w:p w14:paraId="468835E7" w14:textId="77777777" w:rsidR="0010332B" w:rsidRPr="00A371FB" w:rsidRDefault="0010332B" w:rsidP="0010332B">
      <w:pPr>
        <w:spacing w:line="211" w:lineRule="atLeast"/>
        <w:ind w:right="144"/>
        <w:jc w:val="both"/>
        <w:rPr>
          <w:rFonts w:ascii="Times New Roman" w:hAnsi="Times New Roman"/>
          <w:sz w:val="22"/>
          <w:szCs w:val="22"/>
        </w:rPr>
      </w:pPr>
      <w:r w:rsidRPr="00A371FB">
        <w:rPr>
          <w:rFonts w:ascii="Times New Roman" w:eastAsia="MS Mincho" w:hAnsi="Times New Roman"/>
          <w:sz w:val="22"/>
          <w:szCs w:val="22"/>
        </w:rPr>
        <w:t>Obteniendo así una pérdida después de impuesto a las ganancias de $460.947 miles comparado con los $1.835.216 miles de ganancia del ejercicio 2022.</w:t>
      </w:r>
    </w:p>
    <w:bookmarkEnd w:id="14"/>
    <w:p w14:paraId="7288C02C" w14:textId="77777777" w:rsidR="0010332B" w:rsidRPr="00A371FB" w:rsidRDefault="0010332B" w:rsidP="0010332B">
      <w:pPr>
        <w:pStyle w:val="Prrafodelista"/>
        <w:ind w:left="0"/>
        <w:rPr>
          <w:rFonts w:ascii="Times New Roman" w:hAnsi="Times New Roman"/>
          <w:spacing w:val="-2"/>
          <w:sz w:val="22"/>
          <w:szCs w:val="22"/>
          <w:u w:val="single"/>
        </w:rPr>
      </w:pPr>
      <w:r w:rsidRPr="00A371FB">
        <w:rPr>
          <w:rFonts w:ascii="Times New Roman" w:hAnsi="Times New Roman"/>
          <w:spacing w:val="-2"/>
          <w:sz w:val="22"/>
          <w:szCs w:val="22"/>
          <w:u w:val="single"/>
        </w:rPr>
        <w:t>Resultados integrales del ejercicio:</w:t>
      </w:r>
    </w:p>
    <w:p w14:paraId="03414F59" w14:textId="686067B6" w:rsidR="0010332B" w:rsidRPr="00A371FB" w:rsidRDefault="0010332B" w:rsidP="0010332B">
      <w:pPr>
        <w:spacing w:line="211" w:lineRule="atLeast"/>
        <w:ind w:right="144"/>
        <w:jc w:val="both"/>
        <w:rPr>
          <w:rFonts w:ascii="Times New Roman" w:eastAsia="MS Mincho" w:hAnsi="Times New Roman"/>
          <w:sz w:val="22"/>
          <w:szCs w:val="22"/>
        </w:rPr>
      </w:pPr>
      <w:r w:rsidRPr="00A371FB">
        <w:rPr>
          <w:rFonts w:ascii="Times New Roman" w:eastAsia="MS Mincho" w:hAnsi="Times New Roman"/>
          <w:sz w:val="22"/>
          <w:szCs w:val="22"/>
        </w:rPr>
        <w:t xml:space="preserve">La ganancia por los otros resultados integrales del ejercicio finalizado el 31 de diciembre de 2022 fue de $4.524.203 millones, representando un aumento del 1147% respecto a los 362.912 ejercicio de 2021. Dicha variación se debe a que los resultados del ejercicio 2021 incluyen el cambio de alícuota sobre el impuesto a las ganancias del revalúo de propiedades, planta y equipo realizado diciembre 2021. </w:t>
      </w:r>
    </w:p>
    <w:p w14:paraId="7B8DCA71" w14:textId="77777777" w:rsidR="0010332B" w:rsidRPr="00A371FB" w:rsidRDefault="0010332B" w:rsidP="0010332B">
      <w:pPr>
        <w:spacing w:line="211" w:lineRule="atLeast"/>
        <w:ind w:right="144"/>
        <w:jc w:val="both"/>
        <w:rPr>
          <w:rFonts w:ascii="Times New Roman" w:eastAsia="MS Mincho" w:hAnsi="Times New Roman"/>
          <w:sz w:val="22"/>
          <w:szCs w:val="22"/>
        </w:rPr>
      </w:pPr>
      <w:r w:rsidRPr="00A371FB">
        <w:rPr>
          <w:rFonts w:ascii="Times New Roman" w:eastAsia="MS Mincho" w:hAnsi="Times New Roman"/>
          <w:sz w:val="22"/>
          <w:szCs w:val="22"/>
        </w:rPr>
        <w:t>El resultado integral total del ejercicio es una ganancia de $4.064.146 miles, representando un aumento de 85% respecto de la ganancia integral del ejercicio de 2021, de $2.198.128 miles.</w:t>
      </w:r>
    </w:p>
    <w:p w14:paraId="03B8AD41" w14:textId="26143564" w:rsidR="00014C76" w:rsidRPr="00A371FB" w:rsidRDefault="005D6535" w:rsidP="0010332B">
      <w:pPr>
        <w:spacing w:after="0" w:line="240" w:lineRule="auto"/>
        <w:rPr>
          <w:rFonts w:ascii="Times New Roman" w:hAnsi="Times New Roman"/>
          <w:color w:val="000000"/>
          <w:sz w:val="22"/>
          <w:szCs w:val="22"/>
        </w:rPr>
      </w:pPr>
      <w:r w:rsidRPr="00A371FB">
        <w:rPr>
          <w:rFonts w:ascii="Times New Roman" w:hAnsi="Times New Roman"/>
          <w:b/>
          <w:bCs/>
          <w:spacing w:val="1"/>
          <w:sz w:val="22"/>
          <w:szCs w:val="22"/>
        </w:rPr>
        <w:t>2. Estructura patrimonial comparativa</w:t>
      </w:r>
      <w:r w:rsidR="009D0BA0" w:rsidRPr="00A371FB">
        <w:rPr>
          <w:rFonts w:ascii="Times New Roman" w:hAnsi="Times New Roman"/>
          <w:b/>
          <w:bCs/>
          <w:spacing w:val="1"/>
          <w:sz w:val="22"/>
          <w:szCs w:val="22"/>
        </w:rPr>
        <w:t xml:space="preserve"> </w:t>
      </w:r>
      <w:r w:rsidR="00014C76" w:rsidRPr="00A371FB">
        <w:rPr>
          <w:rFonts w:ascii="Times New Roman" w:hAnsi="Times New Roman"/>
          <w:color w:val="000000"/>
          <w:sz w:val="22"/>
          <w:szCs w:val="22"/>
        </w:rPr>
        <w:t>(en miles de pesos)</w:t>
      </w:r>
    </w:p>
    <w:p w14:paraId="705104CF" w14:textId="7DF6F47A" w:rsidR="0010332B" w:rsidRPr="00A371FB" w:rsidRDefault="0010332B" w:rsidP="0010332B">
      <w:pPr>
        <w:spacing w:after="0" w:line="240" w:lineRule="auto"/>
        <w:rPr>
          <w:rFonts w:ascii="Times New Roman" w:hAnsi="Times New Roman"/>
          <w:spacing w:val="1"/>
          <w:sz w:val="22"/>
          <w:szCs w:val="22"/>
        </w:rPr>
      </w:pPr>
    </w:p>
    <w:p w14:paraId="060DE0FD" w14:textId="77777777" w:rsidR="0010332B" w:rsidRPr="00A371FB" w:rsidRDefault="0010332B" w:rsidP="0010332B">
      <w:pPr>
        <w:spacing w:after="0" w:line="240" w:lineRule="auto"/>
        <w:rPr>
          <w:rFonts w:ascii="Times New Roman" w:hAnsi="Times New Roman"/>
          <w:spacing w:val="1"/>
          <w:sz w:val="22"/>
          <w:szCs w:val="22"/>
        </w:rPr>
      </w:pPr>
    </w:p>
    <w:p w14:paraId="414577BD" w14:textId="7402A8AF" w:rsidR="00EE4AFB" w:rsidRPr="00A371FB" w:rsidRDefault="0010332B" w:rsidP="00521129">
      <w:pPr>
        <w:spacing w:after="240" w:line="240" w:lineRule="atLeast"/>
        <w:ind w:right="26"/>
        <w:rPr>
          <w:rFonts w:ascii="Times New Roman" w:hAnsi="Times New Roman"/>
          <w:noProof/>
          <w:color w:val="000000"/>
          <w:sz w:val="22"/>
          <w:szCs w:val="22"/>
        </w:rPr>
      </w:pPr>
      <w:r w:rsidRPr="00A371FB">
        <w:rPr>
          <w:noProof/>
          <w:sz w:val="22"/>
          <w:szCs w:val="22"/>
        </w:rPr>
        <w:drawing>
          <wp:inline distT="0" distB="0" distL="0" distR="0" wp14:anchorId="657EEAE8" wp14:editId="67B857FB">
            <wp:extent cx="6120130" cy="2183130"/>
            <wp:effectExtent l="0" t="0" r="0" b="762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2183130"/>
                    </a:xfrm>
                    <a:prstGeom prst="rect">
                      <a:avLst/>
                    </a:prstGeom>
                    <a:noFill/>
                    <a:ln>
                      <a:noFill/>
                    </a:ln>
                  </pic:spPr>
                </pic:pic>
              </a:graphicData>
            </a:graphic>
          </wp:inline>
        </w:drawing>
      </w:r>
    </w:p>
    <w:p w14:paraId="250E3232" w14:textId="7E223C33" w:rsidR="0010332B" w:rsidRPr="00A371FB" w:rsidRDefault="0010332B" w:rsidP="00521129">
      <w:pPr>
        <w:spacing w:after="240" w:line="240" w:lineRule="atLeast"/>
        <w:ind w:right="26"/>
        <w:rPr>
          <w:rFonts w:ascii="Times New Roman" w:hAnsi="Times New Roman"/>
          <w:noProof/>
          <w:color w:val="000000"/>
          <w:sz w:val="22"/>
          <w:szCs w:val="22"/>
        </w:rPr>
      </w:pPr>
    </w:p>
    <w:p w14:paraId="026C669E" w14:textId="13A97911" w:rsidR="0010332B" w:rsidRPr="00A371FB" w:rsidRDefault="0010332B" w:rsidP="00521129">
      <w:pPr>
        <w:spacing w:after="240" w:line="240" w:lineRule="atLeast"/>
        <w:ind w:right="26"/>
        <w:rPr>
          <w:rFonts w:ascii="Times New Roman" w:hAnsi="Times New Roman"/>
          <w:noProof/>
          <w:color w:val="000000"/>
          <w:sz w:val="22"/>
          <w:szCs w:val="22"/>
        </w:rPr>
      </w:pPr>
    </w:p>
    <w:p w14:paraId="67964775" w14:textId="0B4052E3" w:rsidR="0010332B" w:rsidRPr="00A371FB" w:rsidRDefault="0010332B" w:rsidP="00521129">
      <w:pPr>
        <w:spacing w:after="240" w:line="240" w:lineRule="atLeast"/>
        <w:ind w:right="26"/>
        <w:rPr>
          <w:rFonts w:ascii="Times New Roman" w:hAnsi="Times New Roman"/>
          <w:noProof/>
          <w:color w:val="000000"/>
          <w:sz w:val="22"/>
          <w:szCs w:val="22"/>
        </w:rPr>
      </w:pPr>
    </w:p>
    <w:p w14:paraId="3DB879D9" w14:textId="69275A30" w:rsidR="0010332B" w:rsidRPr="00A371FB" w:rsidRDefault="0010332B" w:rsidP="00521129">
      <w:pPr>
        <w:spacing w:after="240" w:line="240" w:lineRule="atLeast"/>
        <w:ind w:right="26"/>
        <w:rPr>
          <w:rFonts w:ascii="Times New Roman" w:hAnsi="Times New Roman"/>
          <w:noProof/>
          <w:color w:val="000000"/>
          <w:sz w:val="22"/>
          <w:szCs w:val="22"/>
        </w:rPr>
      </w:pPr>
    </w:p>
    <w:p w14:paraId="25BBD3E8" w14:textId="77777777" w:rsidR="0010332B" w:rsidRPr="00A371FB" w:rsidRDefault="0010332B" w:rsidP="00521129">
      <w:pPr>
        <w:spacing w:after="240" w:line="240" w:lineRule="atLeast"/>
        <w:ind w:right="26"/>
        <w:rPr>
          <w:rFonts w:ascii="Times New Roman" w:hAnsi="Times New Roman"/>
          <w:noProof/>
          <w:color w:val="000000"/>
          <w:sz w:val="22"/>
          <w:szCs w:val="22"/>
        </w:rPr>
      </w:pPr>
    </w:p>
    <w:p w14:paraId="64B62A16" w14:textId="5AD1E4BC" w:rsidR="00014C76" w:rsidRPr="00A371FB" w:rsidRDefault="00014C76" w:rsidP="009D0BA0">
      <w:pPr>
        <w:spacing w:after="0" w:line="240" w:lineRule="auto"/>
        <w:rPr>
          <w:rFonts w:ascii="Times New Roman" w:hAnsi="Times New Roman"/>
          <w:b/>
          <w:bCs/>
          <w:color w:val="000000"/>
          <w:sz w:val="22"/>
          <w:szCs w:val="22"/>
        </w:rPr>
      </w:pPr>
      <w:r w:rsidRPr="00A371FB">
        <w:rPr>
          <w:rFonts w:ascii="Times New Roman" w:hAnsi="Times New Roman"/>
          <w:b/>
          <w:bCs/>
          <w:color w:val="000000"/>
          <w:sz w:val="22"/>
          <w:szCs w:val="22"/>
        </w:rPr>
        <w:t>3. Estructura de resultados comparativa</w:t>
      </w:r>
      <w:r w:rsidR="009D0BA0" w:rsidRPr="00A371FB">
        <w:rPr>
          <w:rFonts w:ascii="Times New Roman" w:hAnsi="Times New Roman"/>
          <w:b/>
          <w:bCs/>
          <w:color w:val="000000"/>
          <w:sz w:val="22"/>
          <w:szCs w:val="22"/>
        </w:rPr>
        <w:t xml:space="preserve"> </w:t>
      </w:r>
      <w:r w:rsidRPr="00A371FB">
        <w:rPr>
          <w:rFonts w:ascii="Times New Roman" w:hAnsi="Times New Roman"/>
          <w:color w:val="000000"/>
          <w:sz w:val="22"/>
          <w:szCs w:val="22"/>
        </w:rPr>
        <w:t>(en miles de pesos)</w:t>
      </w:r>
    </w:p>
    <w:p w14:paraId="74FE03E2" w14:textId="77777777" w:rsidR="009D0BA0" w:rsidRPr="00A371FB" w:rsidRDefault="009D0BA0" w:rsidP="009D0BA0">
      <w:pPr>
        <w:spacing w:after="0" w:line="240" w:lineRule="auto"/>
        <w:rPr>
          <w:rFonts w:ascii="Times New Roman" w:hAnsi="Times New Roman"/>
          <w:color w:val="000000"/>
          <w:sz w:val="22"/>
          <w:szCs w:val="22"/>
        </w:rPr>
      </w:pPr>
    </w:p>
    <w:p w14:paraId="7AE4C374" w14:textId="31BD3769" w:rsidR="0010332B" w:rsidRPr="00A371FB" w:rsidRDefault="0010332B" w:rsidP="006819E2">
      <w:pPr>
        <w:spacing w:after="240" w:line="240" w:lineRule="atLeast"/>
        <w:ind w:right="26"/>
        <w:rPr>
          <w:rFonts w:ascii="Times New Roman" w:hAnsi="Times New Roman"/>
          <w:b/>
          <w:bCs/>
          <w:color w:val="000000"/>
          <w:sz w:val="22"/>
          <w:szCs w:val="22"/>
        </w:rPr>
      </w:pPr>
      <w:r w:rsidRPr="00A371FB">
        <w:rPr>
          <w:noProof/>
          <w:sz w:val="22"/>
          <w:szCs w:val="22"/>
        </w:rPr>
        <w:drawing>
          <wp:inline distT="0" distB="0" distL="0" distR="0" wp14:anchorId="023D5415" wp14:editId="65511E42">
            <wp:extent cx="6120130" cy="2051685"/>
            <wp:effectExtent l="0" t="0" r="0" b="571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130" cy="2051685"/>
                    </a:xfrm>
                    <a:prstGeom prst="rect">
                      <a:avLst/>
                    </a:prstGeom>
                    <a:noFill/>
                    <a:ln>
                      <a:noFill/>
                    </a:ln>
                  </pic:spPr>
                </pic:pic>
              </a:graphicData>
            </a:graphic>
          </wp:inline>
        </w:drawing>
      </w:r>
    </w:p>
    <w:p w14:paraId="3BAD7FD4" w14:textId="7422ECD6" w:rsidR="00014C76" w:rsidRPr="00A371FB" w:rsidRDefault="00014C76" w:rsidP="006819E2">
      <w:pPr>
        <w:spacing w:after="240" w:line="240" w:lineRule="atLeast"/>
        <w:ind w:right="26"/>
        <w:rPr>
          <w:rFonts w:ascii="Times New Roman" w:hAnsi="Times New Roman"/>
          <w:b/>
          <w:bCs/>
          <w:color w:val="000000"/>
          <w:sz w:val="22"/>
          <w:szCs w:val="22"/>
        </w:rPr>
      </w:pPr>
      <w:r w:rsidRPr="00A371FB">
        <w:rPr>
          <w:rFonts w:ascii="Times New Roman" w:hAnsi="Times New Roman"/>
          <w:b/>
          <w:bCs/>
          <w:color w:val="000000"/>
          <w:sz w:val="22"/>
          <w:szCs w:val="22"/>
        </w:rPr>
        <w:t>4. Estructura del flujo de efectivo comparativa</w:t>
      </w:r>
      <w:r w:rsidR="009D0BA0" w:rsidRPr="00A371FB">
        <w:rPr>
          <w:rFonts w:ascii="Times New Roman" w:hAnsi="Times New Roman"/>
          <w:b/>
          <w:bCs/>
          <w:color w:val="000000"/>
          <w:sz w:val="22"/>
          <w:szCs w:val="22"/>
        </w:rPr>
        <w:t xml:space="preserve"> </w:t>
      </w:r>
      <w:r w:rsidR="009D0BA0" w:rsidRPr="00A371FB">
        <w:rPr>
          <w:rFonts w:ascii="Times New Roman" w:hAnsi="Times New Roman"/>
          <w:color w:val="000000"/>
          <w:sz w:val="22"/>
          <w:szCs w:val="22"/>
        </w:rPr>
        <w:t>(</w:t>
      </w:r>
      <w:r w:rsidRPr="00A371FB">
        <w:rPr>
          <w:rFonts w:ascii="Times New Roman" w:hAnsi="Times New Roman"/>
          <w:color w:val="000000"/>
          <w:sz w:val="22"/>
          <w:szCs w:val="22"/>
        </w:rPr>
        <w:t>en millones de pesos)</w:t>
      </w:r>
    </w:p>
    <w:p w14:paraId="410F418E" w14:textId="07EC190C" w:rsidR="0010332B" w:rsidRPr="00A371FB" w:rsidRDefault="00F8370E" w:rsidP="00014C76">
      <w:pPr>
        <w:spacing w:after="240" w:line="240" w:lineRule="atLeast"/>
        <w:ind w:right="26"/>
        <w:rPr>
          <w:rFonts w:ascii="Times New Roman" w:hAnsi="Times New Roman"/>
          <w:b/>
          <w:bCs/>
          <w:color w:val="000000"/>
          <w:sz w:val="22"/>
          <w:szCs w:val="22"/>
        </w:rPr>
      </w:pPr>
      <w:r w:rsidRPr="00A371FB">
        <w:rPr>
          <w:noProof/>
          <w:sz w:val="22"/>
          <w:szCs w:val="22"/>
        </w:rPr>
        <w:object w:dxaOrig="11461" w:dyaOrig="2260" w14:anchorId="326518FF">
          <v:shape id="_x0000_i1027" type="#_x0000_t75" style="width:486.6pt;height:96pt" o:ole="">
            <v:imagedata r:id="rId47" o:title=""/>
          </v:shape>
          <o:OLEObject Type="Embed" ProgID="Excel.Sheet.12" ShapeID="_x0000_i1027" DrawAspect="Content" ObjectID="_1739883577" r:id="rId48"/>
        </w:object>
      </w:r>
    </w:p>
    <w:p w14:paraId="68A49F0E" w14:textId="3DDF781A" w:rsidR="00014C76" w:rsidRPr="00A371FB" w:rsidRDefault="00014C76" w:rsidP="00014C76">
      <w:pPr>
        <w:spacing w:after="240" w:line="240" w:lineRule="atLeast"/>
        <w:ind w:right="26"/>
        <w:rPr>
          <w:rFonts w:ascii="Times New Roman" w:hAnsi="Times New Roman"/>
          <w:b/>
          <w:bCs/>
          <w:color w:val="000000"/>
          <w:sz w:val="22"/>
          <w:szCs w:val="22"/>
        </w:rPr>
      </w:pPr>
      <w:r w:rsidRPr="00A371FB">
        <w:rPr>
          <w:rFonts w:ascii="Times New Roman" w:hAnsi="Times New Roman"/>
          <w:b/>
          <w:bCs/>
          <w:color w:val="000000"/>
          <w:sz w:val="22"/>
          <w:szCs w:val="22"/>
        </w:rPr>
        <w:t>5. Índices comparativos:</w:t>
      </w:r>
    </w:p>
    <w:p w14:paraId="0195A693" w14:textId="70F7943F" w:rsidR="006406CC" w:rsidRPr="00A371FB" w:rsidRDefault="00300864" w:rsidP="00014C76">
      <w:pPr>
        <w:spacing w:after="240" w:line="240" w:lineRule="atLeast"/>
        <w:ind w:right="26"/>
        <w:rPr>
          <w:rFonts w:ascii="Times New Roman" w:hAnsi="Times New Roman"/>
          <w:b/>
          <w:bCs/>
          <w:color w:val="000000"/>
          <w:sz w:val="22"/>
          <w:szCs w:val="22"/>
        </w:rPr>
      </w:pPr>
      <w:r w:rsidRPr="00A371FB">
        <w:rPr>
          <w:noProof/>
          <w:sz w:val="22"/>
          <w:szCs w:val="22"/>
        </w:rPr>
        <w:drawing>
          <wp:inline distT="0" distB="0" distL="0" distR="0" wp14:anchorId="45793766" wp14:editId="1A7152CF">
            <wp:extent cx="5200650" cy="278130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00650" cy="2781300"/>
                    </a:xfrm>
                    <a:prstGeom prst="rect">
                      <a:avLst/>
                    </a:prstGeom>
                    <a:noFill/>
                    <a:ln>
                      <a:noFill/>
                    </a:ln>
                  </pic:spPr>
                </pic:pic>
              </a:graphicData>
            </a:graphic>
          </wp:inline>
        </w:drawing>
      </w:r>
    </w:p>
    <w:p w14:paraId="304EBD58" w14:textId="27A49CE4" w:rsidR="00D2779A" w:rsidRPr="00A371FB" w:rsidRDefault="00BA757F" w:rsidP="00BA757F">
      <w:pPr>
        <w:spacing w:after="240" w:line="240" w:lineRule="atLeast"/>
        <w:ind w:right="26"/>
        <w:rPr>
          <w:rFonts w:ascii="Times New Roman" w:hAnsi="Times New Roman"/>
          <w:spacing w:val="1"/>
          <w:sz w:val="22"/>
          <w:szCs w:val="22"/>
        </w:rPr>
      </w:pPr>
      <w:r w:rsidRPr="00A371FB">
        <w:rPr>
          <w:rFonts w:ascii="Times New Roman" w:hAnsi="Times New Roman"/>
          <w:color w:val="000000"/>
          <w:sz w:val="22"/>
          <w:szCs w:val="22"/>
        </w:rPr>
        <w:t xml:space="preserve">(*) </w:t>
      </w:r>
      <w:r w:rsidRPr="00A371FB">
        <w:rPr>
          <w:rFonts w:ascii="Times New Roman" w:eastAsia="Times New Roman" w:hAnsi="Times New Roman"/>
          <w:color w:val="000000"/>
          <w:sz w:val="22"/>
          <w:szCs w:val="22"/>
        </w:rPr>
        <w:t>Cifras no cubierta por el informe de auditor.</w:t>
      </w:r>
    </w:p>
    <w:p w14:paraId="5FDA48D5" w14:textId="163FE5F5" w:rsidR="00D2779A" w:rsidRPr="00A371FB" w:rsidRDefault="00D2779A" w:rsidP="00014C76">
      <w:pPr>
        <w:spacing w:after="240" w:line="240" w:lineRule="atLeast"/>
        <w:ind w:right="26"/>
        <w:rPr>
          <w:rFonts w:ascii="Times New Roman" w:hAnsi="Times New Roman"/>
          <w:spacing w:val="1"/>
          <w:sz w:val="22"/>
          <w:szCs w:val="22"/>
        </w:rPr>
      </w:pPr>
    </w:p>
    <w:p w14:paraId="2C659AF5" w14:textId="68EC2B95" w:rsidR="00300864" w:rsidRPr="00A371FB" w:rsidRDefault="00300864" w:rsidP="00014C76">
      <w:pPr>
        <w:spacing w:after="240" w:line="240" w:lineRule="atLeast"/>
        <w:ind w:right="26"/>
        <w:rPr>
          <w:rFonts w:ascii="Times New Roman" w:hAnsi="Times New Roman"/>
          <w:spacing w:val="1"/>
          <w:sz w:val="22"/>
          <w:szCs w:val="22"/>
        </w:rPr>
      </w:pPr>
    </w:p>
    <w:p w14:paraId="4750D788" w14:textId="3C532909" w:rsidR="00300864" w:rsidRPr="00A371FB" w:rsidRDefault="00300864" w:rsidP="00014C76">
      <w:pPr>
        <w:spacing w:after="240" w:line="240" w:lineRule="atLeast"/>
        <w:ind w:right="26"/>
        <w:rPr>
          <w:rFonts w:ascii="Times New Roman" w:hAnsi="Times New Roman"/>
          <w:spacing w:val="1"/>
          <w:sz w:val="22"/>
          <w:szCs w:val="22"/>
        </w:rPr>
      </w:pPr>
    </w:p>
    <w:p w14:paraId="5D5A0C45" w14:textId="77777777" w:rsidR="00300864" w:rsidRPr="00A371FB" w:rsidRDefault="00300864" w:rsidP="00014C76">
      <w:pPr>
        <w:spacing w:after="240" w:line="240" w:lineRule="atLeast"/>
        <w:ind w:right="26"/>
        <w:rPr>
          <w:rFonts w:ascii="Times New Roman" w:hAnsi="Times New Roman"/>
          <w:spacing w:val="1"/>
          <w:sz w:val="22"/>
          <w:szCs w:val="22"/>
        </w:rPr>
      </w:pPr>
    </w:p>
    <w:p w14:paraId="4F45C415" w14:textId="21B457B3" w:rsidR="009D0BA0" w:rsidRPr="00A371FB" w:rsidRDefault="000459D1">
      <w:pPr>
        <w:pStyle w:val="Ttulo2"/>
        <w:numPr>
          <w:ilvl w:val="0"/>
          <w:numId w:val="8"/>
        </w:numPr>
        <w:autoSpaceDE w:val="0"/>
        <w:autoSpaceDN w:val="0"/>
        <w:spacing w:before="0" w:after="100" w:afterAutospacing="1" w:line="240" w:lineRule="exact"/>
        <w:ind w:left="426"/>
        <w:jc w:val="both"/>
        <w:rPr>
          <w:rFonts w:ascii="Times New Roman" w:hAnsi="Times New Roman" w:cs="Times New Roman"/>
          <w:bCs w:val="0"/>
          <w:color w:val="548DD4" w:themeColor="text2" w:themeTint="99"/>
          <w:sz w:val="22"/>
          <w:szCs w:val="22"/>
        </w:rPr>
      </w:pPr>
      <w:bookmarkStart w:id="15" w:name="_Toc63686710"/>
      <w:r w:rsidRPr="00A371FB">
        <w:rPr>
          <w:rFonts w:ascii="Times New Roman" w:hAnsi="Times New Roman" w:cs="Times New Roman"/>
          <w:color w:val="548DD4" w:themeColor="text2" w:themeTint="99"/>
          <w:sz w:val="22"/>
          <w:szCs w:val="22"/>
        </w:rPr>
        <w:t>ESTRUCTURA SOCIETARIA</w:t>
      </w:r>
      <w:bookmarkEnd w:id="15"/>
      <w:r w:rsidRPr="00A371FB">
        <w:rPr>
          <w:rFonts w:ascii="Times New Roman" w:hAnsi="Times New Roman" w:cs="Times New Roman"/>
          <w:bCs w:val="0"/>
          <w:color w:val="548DD4" w:themeColor="text2" w:themeTint="99"/>
          <w:sz w:val="22"/>
          <w:szCs w:val="22"/>
        </w:rPr>
        <w:t xml:space="preserve"> </w:t>
      </w:r>
      <w:bookmarkEnd w:id="13"/>
      <w:r w:rsidRPr="00A371FB">
        <w:rPr>
          <w:rFonts w:ascii="Times New Roman" w:hAnsi="Times New Roman" w:cs="Times New Roman"/>
          <w:b w:val="0"/>
          <w:color w:val="548DD4" w:themeColor="text2" w:themeTint="99"/>
          <w:sz w:val="22"/>
          <w:szCs w:val="22"/>
        </w:rPr>
        <w:fldChar w:fldCharType="begin"/>
      </w:r>
      <w:r w:rsidRPr="00A371FB">
        <w:rPr>
          <w:rFonts w:ascii="Times New Roman" w:hAnsi="Times New Roman" w:cs="Times New Roman"/>
          <w:color w:val="548DD4" w:themeColor="text2" w:themeTint="99"/>
          <w:sz w:val="22"/>
          <w:szCs w:val="22"/>
        </w:rPr>
        <w:instrText xml:space="preserve"> XE "ESTRUCTURA SOCIETARIA" </w:instrText>
      </w:r>
      <w:r w:rsidRPr="00A371FB">
        <w:rPr>
          <w:rFonts w:ascii="Times New Roman" w:hAnsi="Times New Roman" w:cs="Times New Roman"/>
          <w:b w:val="0"/>
          <w:color w:val="548DD4" w:themeColor="text2" w:themeTint="99"/>
          <w:sz w:val="22"/>
          <w:szCs w:val="22"/>
        </w:rPr>
        <w:fldChar w:fldCharType="end"/>
      </w:r>
    </w:p>
    <w:p w14:paraId="403A50A8" w14:textId="30D05542" w:rsidR="00D2779A" w:rsidRPr="00A371FB" w:rsidRDefault="00C85568" w:rsidP="00D2779A">
      <w:pPr>
        <w:pStyle w:val="Prrafodelista"/>
        <w:spacing w:after="100" w:afterAutospacing="1" w:line="240" w:lineRule="exact"/>
        <w:ind w:left="0"/>
        <w:jc w:val="both"/>
        <w:rPr>
          <w:rFonts w:ascii="Times New Roman" w:hAnsi="Times New Roman"/>
          <w:sz w:val="22"/>
          <w:szCs w:val="22"/>
        </w:rPr>
      </w:pPr>
      <w:bookmarkStart w:id="16" w:name="_Hlk63688904"/>
      <w:r w:rsidRPr="00A371FB">
        <w:rPr>
          <w:rFonts w:ascii="Times New Roman" w:hAnsi="Times New Roman"/>
          <w:sz w:val="22"/>
          <w:szCs w:val="22"/>
        </w:rPr>
        <w:t>El siguiente cuadro ilustra la estructura organizativa al 31 de diciembre 202</w:t>
      </w:r>
      <w:r w:rsidR="00300864" w:rsidRPr="00A371FB">
        <w:rPr>
          <w:rFonts w:ascii="Times New Roman" w:hAnsi="Times New Roman"/>
          <w:sz w:val="22"/>
          <w:szCs w:val="22"/>
        </w:rPr>
        <w:t>2</w:t>
      </w:r>
      <w:r w:rsidR="00896C5A" w:rsidRPr="00A371FB">
        <w:rPr>
          <w:rFonts w:ascii="Times New Roman" w:hAnsi="Times New Roman"/>
          <w:sz w:val="22"/>
          <w:szCs w:val="22"/>
        </w:rPr>
        <w:t>.</w:t>
      </w:r>
    </w:p>
    <w:bookmarkEnd w:id="16"/>
    <w:p w14:paraId="183526C2" w14:textId="571E7CCA" w:rsidR="00D2779A" w:rsidRPr="00A371FB" w:rsidRDefault="006B2FB7" w:rsidP="00D2779A">
      <w:pPr>
        <w:spacing w:after="0"/>
        <w:jc w:val="center"/>
        <w:rPr>
          <w:sz w:val="22"/>
          <w:szCs w:val="22"/>
        </w:rPr>
      </w:pPr>
      <w:r w:rsidRPr="00A371FB">
        <w:rPr>
          <w:noProof/>
          <w:sz w:val="22"/>
          <w:szCs w:val="22"/>
        </w:rPr>
        <w:drawing>
          <wp:inline distT="0" distB="0" distL="0" distR="0" wp14:anchorId="47A629F3" wp14:editId="4CA41D94">
            <wp:extent cx="4581525" cy="3133725"/>
            <wp:effectExtent l="0" t="0" r="9525" b="9525"/>
            <wp:docPr id="42" name="Imagen 4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Diagrama&#10;&#10;Descripción generada automáticamente"/>
                    <pic:cNvPicPr/>
                  </pic:nvPicPr>
                  <pic:blipFill>
                    <a:blip r:embed="rId50"/>
                    <a:stretch>
                      <a:fillRect/>
                    </a:stretch>
                  </pic:blipFill>
                  <pic:spPr>
                    <a:xfrm>
                      <a:off x="0" y="0"/>
                      <a:ext cx="4581525" cy="3133725"/>
                    </a:xfrm>
                    <a:prstGeom prst="rect">
                      <a:avLst/>
                    </a:prstGeom>
                  </pic:spPr>
                </pic:pic>
              </a:graphicData>
            </a:graphic>
          </wp:inline>
        </w:drawing>
      </w:r>
    </w:p>
    <w:p w14:paraId="4A1C9F44" w14:textId="77777777" w:rsidR="00D2779A" w:rsidRPr="00A371FB" w:rsidRDefault="00D2779A" w:rsidP="00D2779A">
      <w:pPr>
        <w:pStyle w:val="BlockTextSgl"/>
        <w:tabs>
          <w:tab w:val="left" w:pos="284"/>
        </w:tabs>
        <w:spacing w:after="0"/>
        <w:rPr>
          <w:rFonts w:ascii="Garamond" w:hAnsi="Garamond"/>
          <w:sz w:val="22"/>
          <w:szCs w:val="22"/>
          <w:lang w:val="es-AR"/>
        </w:rPr>
      </w:pPr>
    </w:p>
    <w:p w14:paraId="4716D5C9" w14:textId="31D87F99" w:rsidR="00D2779A" w:rsidRPr="00A371FB" w:rsidRDefault="00D2779A" w:rsidP="00D2779A">
      <w:pPr>
        <w:pStyle w:val="BlockTextSgl"/>
        <w:tabs>
          <w:tab w:val="left" w:pos="284"/>
        </w:tabs>
        <w:spacing w:after="0"/>
        <w:rPr>
          <w:rFonts w:ascii="Garamond" w:hAnsi="Garamond"/>
          <w:sz w:val="22"/>
          <w:szCs w:val="22"/>
          <w:lang w:val="es-AR"/>
        </w:rPr>
      </w:pPr>
      <w:bookmarkStart w:id="17" w:name="_Hlk95383088"/>
      <w:r w:rsidRPr="00A371FB">
        <w:rPr>
          <w:rFonts w:ascii="Garamond" w:hAnsi="Garamond"/>
          <w:sz w:val="22"/>
          <w:szCs w:val="22"/>
          <w:lang w:val="es-AR"/>
        </w:rPr>
        <w:t xml:space="preserve">  Holen S.A., Armando Losón y Carlos Bauzas poseen el 5% restante de GROSA</w:t>
      </w:r>
      <w:r w:rsidR="0000042B" w:rsidRPr="00A371FB">
        <w:rPr>
          <w:rFonts w:ascii="Garamond" w:hAnsi="Garamond"/>
          <w:sz w:val="22"/>
          <w:szCs w:val="22"/>
          <w:lang w:val="es-AR"/>
        </w:rPr>
        <w:t xml:space="preserve"> y</w:t>
      </w:r>
      <w:r w:rsidRPr="00A371FB">
        <w:rPr>
          <w:rFonts w:ascii="Garamond" w:hAnsi="Garamond"/>
          <w:sz w:val="22"/>
          <w:szCs w:val="22"/>
          <w:lang w:val="es-AR"/>
        </w:rPr>
        <w:t xml:space="preserve"> G</w:t>
      </w:r>
      <w:r w:rsidR="009D0BA0" w:rsidRPr="00A371FB">
        <w:rPr>
          <w:rFonts w:ascii="Garamond" w:hAnsi="Garamond"/>
          <w:sz w:val="22"/>
          <w:szCs w:val="22"/>
          <w:lang w:val="es-AR"/>
        </w:rPr>
        <w:t>L</w:t>
      </w:r>
      <w:r w:rsidR="00D35400" w:rsidRPr="00A371FB">
        <w:rPr>
          <w:rFonts w:ascii="Garamond" w:hAnsi="Garamond"/>
          <w:sz w:val="22"/>
          <w:szCs w:val="22"/>
          <w:lang w:val="es-AR"/>
        </w:rPr>
        <w:t>SA</w:t>
      </w:r>
      <w:r w:rsidRPr="00A371FB">
        <w:rPr>
          <w:rFonts w:ascii="Garamond" w:hAnsi="Garamond"/>
          <w:sz w:val="22"/>
          <w:szCs w:val="22"/>
          <w:lang w:val="es-AR"/>
        </w:rPr>
        <w:t>.</w:t>
      </w:r>
    </w:p>
    <w:bookmarkEnd w:id="17"/>
    <w:p w14:paraId="6156068C" w14:textId="77777777" w:rsidR="00C85568" w:rsidRPr="00A371FB" w:rsidRDefault="00C85568" w:rsidP="005A7895">
      <w:pPr>
        <w:pStyle w:val="Prrafodelista"/>
        <w:ind w:left="0"/>
        <w:jc w:val="both"/>
        <w:rPr>
          <w:rFonts w:ascii="Times New Roman" w:hAnsi="Times New Roman"/>
          <w:b/>
          <w:sz w:val="22"/>
          <w:szCs w:val="22"/>
          <w:lang w:val="es-ES"/>
        </w:rPr>
      </w:pPr>
    </w:p>
    <w:p w14:paraId="26F849CF" w14:textId="77777777" w:rsidR="00D2779A" w:rsidRPr="00A371FB" w:rsidRDefault="00D2779A" w:rsidP="00D2779A">
      <w:pPr>
        <w:pStyle w:val="Prrafodelista"/>
        <w:ind w:left="0"/>
        <w:jc w:val="both"/>
        <w:rPr>
          <w:rFonts w:ascii="Times New Roman" w:hAnsi="Times New Roman"/>
          <w:b/>
          <w:sz w:val="22"/>
          <w:szCs w:val="22"/>
          <w:lang w:val="es-ES"/>
        </w:rPr>
      </w:pPr>
      <w:r w:rsidRPr="00A371FB">
        <w:rPr>
          <w:rFonts w:ascii="Times New Roman" w:hAnsi="Times New Roman"/>
          <w:b/>
          <w:sz w:val="22"/>
          <w:szCs w:val="22"/>
          <w:lang w:val="es-ES"/>
        </w:rPr>
        <w:t>Capital Social</w:t>
      </w:r>
    </w:p>
    <w:p w14:paraId="1E345CD9" w14:textId="77777777" w:rsidR="00D2779A" w:rsidRPr="00A371FB" w:rsidRDefault="00D2779A" w:rsidP="00D2779A">
      <w:pPr>
        <w:pStyle w:val="Prrafodelista"/>
        <w:ind w:left="0"/>
        <w:jc w:val="both"/>
        <w:rPr>
          <w:rFonts w:ascii="Times New Roman" w:hAnsi="Times New Roman"/>
          <w:sz w:val="22"/>
          <w:szCs w:val="22"/>
          <w:lang w:val="es-ES"/>
        </w:rPr>
      </w:pPr>
    </w:p>
    <w:p w14:paraId="59DAB1B8" w14:textId="55764DA9" w:rsidR="00D2779A" w:rsidRPr="00A371FB" w:rsidRDefault="00D2779A" w:rsidP="00D2779A">
      <w:pPr>
        <w:pStyle w:val="Prrafodelista"/>
        <w:ind w:left="0"/>
        <w:jc w:val="both"/>
        <w:rPr>
          <w:rFonts w:ascii="Times New Roman" w:hAnsi="Times New Roman"/>
          <w:sz w:val="22"/>
          <w:szCs w:val="22"/>
          <w:lang w:val="es-ES"/>
        </w:rPr>
      </w:pPr>
      <w:r w:rsidRPr="00A371FB">
        <w:rPr>
          <w:rFonts w:ascii="Times New Roman" w:hAnsi="Times New Roman"/>
          <w:sz w:val="22"/>
          <w:szCs w:val="22"/>
          <w:lang w:val="es-ES"/>
        </w:rPr>
        <w:t>Al 31 de diciembre de 20</w:t>
      </w:r>
      <w:r w:rsidR="00C85568" w:rsidRPr="00A371FB">
        <w:rPr>
          <w:rFonts w:ascii="Times New Roman" w:hAnsi="Times New Roman"/>
          <w:sz w:val="22"/>
          <w:szCs w:val="22"/>
          <w:lang w:val="es-ES"/>
        </w:rPr>
        <w:t>2</w:t>
      </w:r>
      <w:r w:rsidR="00300864" w:rsidRPr="00A371FB">
        <w:rPr>
          <w:rFonts w:ascii="Times New Roman" w:hAnsi="Times New Roman"/>
          <w:sz w:val="22"/>
          <w:szCs w:val="22"/>
          <w:lang w:val="es-ES"/>
        </w:rPr>
        <w:t>2</w:t>
      </w:r>
      <w:r w:rsidRPr="00A371FB">
        <w:rPr>
          <w:rFonts w:ascii="Times New Roman" w:hAnsi="Times New Roman"/>
          <w:sz w:val="22"/>
          <w:szCs w:val="22"/>
          <w:lang w:val="es-ES"/>
        </w:rPr>
        <w:t xml:space="preserve"> el capital social de la Sociedad estaba compuesto por 73.070.470 acciones ordinarias nominativas, no endosables de V/N $ 1 cada una, con derecho a 1 voto por acción; no habiéndose registrado variaciones en el monto del capital social ni en las tenencias accionarias durante el año 20</w:t>
      </w:r>
      <w:r w:rsidR="00C85568" w:rsidRPr="00A371FB">
        <w:rPr>
          <w:rFonts w:ascii="Times New Roman" w:hAnsi="Times New Roman"/>
          <w:sz w:val="22"/>
          <w:szCs w:val="22"/>
          <w:lang w:val="es-ES"/>
        </w:rPr>
        <w:t>2</w:t>
      </w:r>
      <w:r w:rsidR="00300864" w:rsidRPr="00A371FB">
        <w:rPr>
          <w:rFonts w:ascii="Times New Roman" w:hAnsi="Times New Roman"/>
          <w:sz w:val="22"/>
          <w:szCs w:val="22"/>
          <w:lang w:val="es-ES"/>
        </w:rPr>
        <w:t>2</w:t>
      </w:r>
      <w:r w:rsidRPr="00A371FB">
        <w:rPr>
          <w:rFonts w:ascii="Times New Roman" w:hAnsi="Times New Roman"/>
          <w:sz w:val="22"/>
          <w:szCs w:val="22"/>
          <w:lang w:val="es-ES"/>
        </w:rPr>
        <w:t>.</w:t>
      </w:r>
    </w:p>
    <w:p w14:paraId="35E0C539" w14:textId="77777777" w:rsidR="00D2779A" w:rsidRPr="00A371FB" w:rsidRDefault="00D2779A" w:rsidP="00D2779A">
      <w:pPr>
        <w:pStyle w:val="Prrafodelista"/>
        <w:ind w:left="0"/>
        <w:jc w:val="both"/>
        <w:rPr>
          <w:rFonts w:ascii="Times New Roman" w:hAnsi="Times New Roman"/>
          <w:sz w:val="22"/>
          <w:szCs w:val="22"/>
          <w:lang w:val="es-ES"/>
        </w:rPr>
      </w:pPr>
    </w:p>
    <w:p w14:paraId="0AFAEC55" w14:textId="06943B04" w:rsidR="00D2779A" w:rsidRPr="00A371FB" w:rsidRDefault="00D2779A" w:rsidP="00D2779A">
      <w:pPr>
        <w:pStyle w:val="Prrafodelista"/>
        <w:ind w:left="0"/>
        <w:jc w:val="both"/>
        <w:rPr>
          <w:rFonts w:ascii="Times New Roman" w:hAnsi="Times New Roman"/>
          <w:sz w:val="22"/>
          <w:szCs w:val="22"/>
          <w:lang w:val="es-ES"/>
        </w:rPr>
      </w:pPr>
      <w:r w:rsidRPr="00A371FB">
        <w:rPr>
          <w:rFonts w:ascii="Times New Roman" w:hAnsi="Times New Roman"/>
          <w:sz w:val="22"/>
          <w:szCs w:val="22"/>
          <w:lang w:val="es-ES"/>
        </w:rPr>
        <w:t>La estructura societaria durante el ejercicio finalizado el 31 de diciembre de 20</w:t>
      </w:r>
      <w:r w:rsidR="00C85568" w:rsidRPr="00A371FB">
        <w:rPr>
          <w:rFonts w:ascii="Times New Roman" w:hAnsi="Times New Roman"/>
          <w:sz w:val="22"/>
          <w:szCs w:val="22"/>
          <w:lang w:val="es-ES"/>
        </w:rPr>
        <w:t>2</w:t>
      </w:r>
      <w:r w:rsidR="00300864" w:rsidRPr="00A371FB">
        <w:rPr>
          <w:rFonts w:ascii="Times New Roman" w:hAnsi="Times New Roman"/>
          <w:sz w:val="22"/>
          <w:szCs w:val="22"/>
          <w:lang w:val="es-ES"/>
        </w:rPr>
        <w:t>2</w:t>
      </w:r>
      <w:r w:rsidRPr="00A371FB">
        <w:rPr>
          <w:rFonts w:ascii="Times New Roman" w:hAnsi="Times New Roman"/>
          <w:sz w:val="22"/>
          <w:szCs w:val="22"/>
          <w:lang w:val="es-ES"/>
        </w:rPr>
        <w:t>, se encontraba comprendida de la siguiente forma:</w:t>
      </w:r>
    </w:p>
    <w:p w14:paraId="57493D70" w14:textId="77777777" w:rsidR="00D2779A" w:rsidRPr="00A371FB" w:rsidRDefault="00D2779A" w:rsidP="00D2779A">
      <w:pPr>
        <w:pStyle w:val="Prrafodelista"/>
        <w:ind w:left="0"/>
        <w:jc w:val="both"/>
        <w:rPr>
          <w:rFonts w:ascii="Times New Roman" w:hAnsi="Times New Roman"/>
          <w:sz w:val="22"/>
          <w:szCs w:val="22"/>
          <w:lang w:val="es-ES"/>
        </w:rPr>
      </w:pPr>
    </w:p>
    <w:p w14:paraId="2FC6D33F" w14:textId="05B2E530" w:rsidR="00D2779A" w:rsidRPr="00A371FB" w:rsidRDefault="0000042B" w:rsidP="00D2779A">
      <w:pPr>
        <w:pStyle w:val="Prrafodelista"/>
        <w:ind w:left="0"/>
        <w:jc w:val="both"/>
        <w:rPr>
          <w:rFonts w:ascii="Times New Roman" w:hAnsi="Times New Roman"/>
          <w:sz w:val="22"/>
          <w:szCs w:val="22"/>
          <w:lang w:val="es-ES"/>
        </w:rPr>
      </w:pPr>
      <w:r w:rsidRPr="00A371FB">
        <w:rPr>
          <w:rFonts w:ascii="Times New Roman" w:hAnsi="Times New Roman"/>
          <w:sz w:val="22"/>
          <w:szCs w:val="22"/>
          <w:lang w:val="es-ES"/>
        </w:rPr>
        <w:t>GMSA</w:t>
      </w:r>
      <w:r w:rsidR="00D2779A" w:rsidRPr="00A371FB">
        <w:rPr>
          <w:rFonts w:ascii="Times New Roman" w:hAnsi="Times New Roman"/>
          <w:sz w:val="22"/>
          <w:szCs w:val="22"/>
          <w:lang w:val="es-ES"/>
        </w:rPr>
        <w:t xml:space="preserve"> (controlante)</w:t>
      </w:r>
      <w:r w:rsidR="00D2779A" w:rsidRPr="00A371FB">
        <w:rPr>
          <w:rFonts w:ascii="Times New Roman" w:hAnsi="Times New Roman"/>
          <w:sz w:val="22"/>
          <w:szCs w:val="22"/>
          <w:lang w:val="es-ES"/>
        </w:rPr>
        <w:tab/>
      </w:r>
      <w:r w:rsidR="00D2779A" w:rsidRPr="00A371FB">
        <w:rPr>
          <w:rFonts w:ascii="Times New Roman" w:hAnsi="Times New Roman"/>
          <w:sz w:val="22"/>
          <w:szCs w:val="22"/>
          <w:lang w:val="es-ES"/>
        </w:rPr>
        <w:tab/>
        <w:t xml:space="preserve">                            75 % </w:t>
      </w:r>
    </w:p>
    <w:p w14:paraId="79A2DE64" w14:textId="77777777" w:rsidR="00D2779A" w:rsidRPr="00A371FB" w:rsidRDefault="00D2779A" w:rsidP="00D2779A">
      <w:pPr>
        <w:pStyle w:val="Prrafodelista"/>
        <w:ind w:left="0"/>
        <w:jc w:val="both"/>
        <w:rPr>
          <w:rFonts w:ascii="Times New Roman" w:hAnsi="Times New Roman"/>
          <w:sz w:val="22"/>
          <w:szCs w:val="22"/>
          <w:lang w:val="es-ES"/>
        </w:rPr>
      </w:pPr>
      <w:r w:rsidRPr="00A371FB">
        <w:rPr>
          <w:rFonts w:ascii="Times New Roman" w:hAnsi="Times New Roman"/>
          <w:sz w:val="22"/>
          <w:szCs w:val="22"/>
          <w:lang w:val="es-ES"/>
        </w:rPr>
        <w:t>TEFU S.A.</w:t>
      </w:r>
      <w:r w:rsidRPr="00A371FB">
        <w:rPr>
          <w:rFonts w:ascii="Times New Roman" w:hAnsi="Times New Roman"/>
          <w:sz w:val="22"/>
          <w:szCs w:val="22"/>
          <w:lang w:val="es-ES"/>
        </w:rPr>
        <w:tab/>
      </w:r>
      <w:r w:rsidRPr="00A371FB">
        <w:rPr>
          <w:rFonts w:ascii="Times New Roman" w:hAnsi="Times New Roman"/>
          <w:sz w:val="22"/>
          <w:szCs w:val="22"/>
          <w:lang w:val="es-ES"/>
        </w:rPr>
        <w:tab/>
      </w:r>
      <w:r w:rsidRPr="00A371FB">
        <w:rPr>
          <w:rFonts w:ascii="Times New Roman" w:hAnsi="Times New Roman"/>
          <w:sz w:val="22"/>
          <w:szCs w:val="22"/>
          <w:lang w:val="es-ES"/>
        </w:rPr>
        <w:tab/>
      </w:r>
      <w:r w:rsidRPr="00A371FB">
        <w:rPr>
          <w:rFonts w:ascii="Times New Roman" w:hAnsi="Times New Roman"/>
          <w:sz w:val="22"/>
          <w:szCs w:val="22"/>
          <w:lang w:val="es-ES"/>
        </w:rPr>
        <w:tab/>
      </w:r>
      <w:r w:rsidRPr="00A371FB">
        <w:rPr>
          <w:rFonts w:ascii="Times New Roman" w:hAnsi="Times New Roman"/>
          <w:sz w:val="22"/>
          <w:szCs w:val="22"/>
          <w:lang w:val="es-ES"/>
        </w:rPr>
        <w:tab/>
        <w:t xml:space="preserve">25 % </w:t>
      </w:r>
    </w:p>
    <w:p w14:paraId="7C09F21E" w14:textId="77777777" w:rsidR="00D2779A" w:rsidRPr="00A371FB" w:rsidRDefault="00D2779A" w:rsidP="00D2779A">
      <w:pPr>
        <w:pStyle w:val="Prrafodelista"/>
        <w:ind w:left="0"/>
        <w:jc w:val="both"/>
        <w:rPr>
          <w:rFonts w:ascii="Times New Roman" w:hAnsi="Times New Roman"/>
          <w:sz w:val="22"/>
          <w:szCs w:val="22"/>
          <w:lang w:val="es-ES"/>
        </w:rPr>
      </w:pPr>
    </w:p>
    <w:p w14:paraId="249A6FFF" w14:textId="77777777" w:rsidR="00D2779A" w:rsidRPr="00A371FB" w:rsidRDefault="00D2779A" w:rsidP="00D2779A">
      <w:pPr>
        <w:pStyle w:val="Prrafodelista"/>
        <w:ind w:left="0"/>
        <w:jc w:val="both"/>
        <w:rPr>
          <w:rFonts w:ascii="Times New Roman" w:hAnsi="Times New Roman"/>
          <w:b/>
          <w:sz w:val="22"/>
          <w:szCs w:val="22"/>
          <w:lang w:val="es-ES"/>
        </w:rPr>
      </w:pPr>
      <w:bookmarkStart w:id="18" w:name="_Hlk63689082"/>
      <w:r w:rsidRPr="00A371FB">
        <w:rPr>
          <w:rFonts w:ascii="Times New Roman" w:hAnsi="Times New Roman"/>
          <w:b/>
          <w:sz w:val="22"/>
          <w:szCs w:val="22"/>
          <w:lang w:val="es-ES"/>
        </w:rPr>
        <w:t>Organización de la toma de decisiones</w:t>
      </w:r>
    </w:p>
    <w:p w14:paraId="53C7504B" w14:textId="77777777" w:rsidR="00D2779A" w:rsidRPr="00A371FB" w:rsidRDefault="00D2779A" w:rsidP="00D2779A">
      <w:pPr>
        <w:pStyle w:val="Prrafodelista"/>
        <w:ind w:left="0"/>
        <w:jc w:val="both"/>
        <w:rPr>
          <w:rFonts w:ascii="Times New Roman" w:hAnsi="Times New Roman"/>
          <w:sz w:val="22"/>
          <w:szCs w:val="22"/>
          <w:lang w:val="es-ES"/>
        </w:rPr>
      </w:pPr>
    </w:p>
    <w:p w14:paraId="2060321A" w14:textId="77777777" w:rsidR="00D2779A" w:rsidRPr="00A371FB" w:rsidRDefault="00D2779A" w:rsidP="00D2779A">
      <w:pPr>
        <w:pStyle w:val="Prrafodelista"/>
        <w:ind w:left="0"/>
        <w:jc w:val="both"/>
        <w:rPr>
          <w:rFonts w:ascii="Times New Roman" w:hAnsi="Times New Roman"/>
          <w:sz w:val="22"/>
          <w:szCs w:val="22"/>
          <w:lang w:val="es-ES"/>
        </w:rPr>
      </w:pPr>
      <w:r w:rsidRPr="00A371FB">
        <w:rPr>
          <w:rFonts w:ascii="Times New Roman" w:hAnsi="Times New Roman"/>
          <w:sz w:val="22"/>
          <w:szCs w:val="22"/>
          <w:lang w:val="es-ES"/>
        </w:rPr>
        <w:t>Conforme se expresa en los diferentes apartados del Anexo IV del Título IV de las Normas de la CNV, que acompaña a esta Memoria, referido al grado de cumplimiento del Código de Gobierno Societario, las políticas y estrategias de la Sociedad son definidas por el Directorio para ser ejecutadas por cada uno de los sectores bajo la supervisión de las Gerencias correspondientes y del mismo Directorio inclusive.</w:t>
      </w:r>
    </w:p>
    <w:p w14:paraId="256ED5A8" w14:textId="77777777" w:rsidR="00D2779A" w:rsidRPr="00A371FB" w:rsidRDefault="00D2779A" w:rsidP="00D2779A">
      <w:pPr>
        <w:pStyle w:val="Prrafodelista"/>
        <w:ind w:left="0"/>
        <w:jc w:val="both"/>
        <w:rPr>
          <w:rFonts w:ascii="Times New Roman" w:hAnsi="Times New Roman"/>
          <w:sz w:val="22"/>
          <w:szCs w:val="22"/>
          <w:lang w:val="es-ES"/>
        </w:rPr>
      </w:pPr>
    </w:p>
    <w:p w14:paraId="28074914" w14:textId="4E68D35A" w:rsidR="00D2779A" w:rsidRPr="00A371FB" w:rsidRDefault="00D2779A" w:rsidP="00D2779A">
      <w:pPr>
        <w:pStyle w:val="Prrafodelista"/>
        <w:ind w:left="0"/>
        <w:jc w:val="both"/>
        <w:rPr>
          <w:rFonts w:ascii="Times New Roman" w:hAnsi="Times New Roman"/>
          <w:sz w:val="22"/>
          <w:szCs w:val="22"/>
          <w:lang w:val="es-ES"/>
        </w:rPr>
      </w:pPr>
      <w:r w:rsidRPr="00A371FB">
        <w:rPr>
          <w:rFonts w:ascii="Times New Roman" w:hAnsi="Times New Roman"/>
          <w:sz w:val="22"/>
          <w:szCs w:val="22"/>
          <w:lang w:val="es-ES"/>
        </w:rPr>
        <w:t xml:space="preserve">Aquellas decisiones cuya magnitud y/o monto implicado resulten de importancia y/o relevantes, relacionadas a la administración de las actividades de la Sociedad, son resueltas en forma directa por el Directorio reunido especialmente a tal fin. </w:t>
      </w:r>
      <w:bookmarkStart w:id="19" w:name="_Hlk536701917"/>
      <w:r w:rsidRPr="00A371FB">
        <w:rPr>
          <w:rFonts w:ascii="Times New Roman" w:hAnsi="Times New Roman"/>
          <w:sz w:val="22"/>
          <w:szCs w:val="22"/>
          <w:lang w:val="es-ES" w:eastAsia="es-ES"/>
        </w:rPr>
        <w:t>En todos los casos acaecidos durante el año 20</w:t>
      </w:r>
      <w:r w:rsidR="00300864" w:rsidRPr="00A371FB">
        <w:rPr>
          <w:rFonts w:ascii="Times New Roman" w:hAnsi="Times New Roman"/>
          <w:sz w:val="22"/>
          <w:szCs w:val="22"/>
          <w:lang w:val="es-ES" w:eastAsia="es-ES"/>
        </w:rPr>
        <w:t>22</w:t>
      </w:r>
      <w:r w:rsidRPr="00A371FB">
        <w:rPr>
          <w:rFonts w:ascii="Times New Roman" w:hAnsi="Times New Roman"/>
          <w:sz w:val="22"/>
          <w:szCs w:val="22"/>
          <w:lang w:val="es-ES" w:eastAsia="es-ES"/>
        </w:rPr>
        <w:t>, las decisiones en la Asamblea de Accionistas han sido adoptadas por unanimidad, mientras que las relativas al Directorio han sido tomadas cumpliendo con las mayorías establecidas en el estatuto social.</w:t>
      </w:r>
      <w:bookmarkEnd w:id="19"/>
    </w:p>
    <w:p w14:paraId="546DE1AB" w14:textId="77777777" w:rsidR="0000042B" w:rsidRPr="00A371FB" w:rsidRDefault="0000042B" w:rsidP="00D2779A">
      <w:pPr>
        <w:pStyle w:val="Prrafodelista"/>
        <w:ind w:left="0"/>
        <w:jc w:val="both"/>
        <w:rPr>
          <w:rFonts w:ascii="Times New Roman" w:hAnsi="Times New Roman"/>
          <w:b/>
          <w:sz w:val="22"/>
          <w:szCs w:val="22"/>
          <w:lang w:val="es-ES"/>
        </w:rPr>
      </w:pPr>
    </w:p>
    <w:p w14:paraId="3E25296E" w14:textId="77777777" w:rsidR="006B2FB7" w:rsidRPr="00A371FB" w:rsidRDefault="006B2FB7" w:rsidP="00D2779A">
      <w:pPr>
        <w:pStyle w:val="Prrafodelista"/>
        <w:ind w:left="0"/>
        <w:jc w:val="both"/>
        <w:rPr>
          <w:rFonts w:ascii="Times New Roman" w:hAnsi="Times New Roman"/>
          <w:b/>
          <w:sz w:val="22"/>
          <w:szCs w:val="22"/>
          <w:lang w:val="es-ES"/>
        </w:rPr>
      </w:pPr>
    </w:p>
    <w:p w14:paraId="7245385D" w14:textId="2E5D7BDE" w:rsidR="006B2FB7" w:rsidRPr="00A371FB" w:rsidRDefault="006B2FB7" w:rsidP="00D2779A">
      <w:pPr>
        <w:pStyle w:val="Prrafodelista"/>
        <w:ind w:left="0"/>
        <w:jc w:val="both"/>
        <w:rPr>
          <w:rFonts w:ascii="Times New Roman" w:hAnsi="Times New Roman"/>
          <w:b/>
          <w:sz w:val="22"/>
          <w:szCs w:val="22"/>
          <w:lang w:val="es-ES"/>
        </w:rPr>
      </w:pPr>
    </w:p>
    <w:p w14:paraId="0D0FB348" w14:textId="77777777" w:rsidR="006B2FB7" w:rsidRPr="00A371FB" w:rsidRDefault="006B2FB7" w:rsidP="00D2779A">
      <w:pPr>
        <w:pStyle w:val="Prrafodelista"/>
        <w:ind w:left="0"/>
        <w:jc w:val="both"/>
        <w:rPr>
          <w:rFonts w:ascii="Times New Roman" w:hAnsi="Times New Roman"/>
          <w:b/>
          <w:sz w:val="22"/>
          <w:szCs w:val="22"/>
          <w:lang w:val="es-ES"/>
        </w:rPr>
      </w:pPr>
    </w:p>
    <w:p w14:paraId="0AA9BCE8" w14:textId="649040B8" w:rsidR="00D2779A" w:rsidRPr="00A371FB" w:rsidRDefault="00D2779A" w:rsidP="00D2779A">
      <w:pPr>
        <w:pStyle w:val="Prrafodelista"/>
        <w:ind w:left="0"/>
        <w:jc w:val="both"/>
        <w:rPr>
          <w:rFonts w:ascii="Times New Roman" w:hAnsi="Times New Roman"/>
          <w:b/>
          <w:sz w:val="22"/>
          <w:szCs w:val="22"/>
          <w:lang w:val="es-ES"/>
        </w:rPr>
      </w:pPr>
      <w:r w:rsidRPr="00A371FB">
        <w:rPr>
          <w:rFonts w:ascii="Times New Roman" w:hAnsi="Times New Roman"/>
          <w:b/>
          <w:sz w:val="22"/>
          <w:szCs w:val="22"/>
          <w:lang w:val="es-ES"/>
        </w:rPr>
        <w:t xml:space="preserve">Remuneraciones del Directorio </w:t>
      </w:r>
    </w:p>
    <w:p w14:paraId="2CC0B79F" w14:textId="77777777" w:rsidR="00D2779A" w:rsidRPr="00A371FB" w:rsidRDefault="00D2779A" w:rsidP="00D2779A">
      <w:pPr>
        <w:pStyle w:val="Prrafodelista"/>
        <w:jc w:val="both"/>
        <w:rPr>
          <w:rFonts w:ascii="Times New Roman" w:hAnsi="Times New Roman"/>
          <w:sz w:val="22"/>
          <w:szCs w:val="22"/>
          <w:lang w:val="es-ES"/>
        </w:rPr>
      </w:pPr>
    </w:p>
    <w:p w14:paraId="26BAEEBC" w14:textId="28C856C9" w:rsidR="00EE4AFB" w:rsidRPr="00A371FB" w:rsidRDefault="00D2779A" w:rsidP="00EE4AFB">
      <w:pPr>
        <w:pStyle w:val="Prrafodelista"/>
        <w:ind w:left="0"/>
        <w:jc w:val="both"/>
        <w:rPr>
          <w:rFonts w:ascii="Times New Roman" w:hAnsi="Times New Roman"/>
          <w:sz w:val="22"/>
          <w:szCs w:val="22"/>
          <w:lang w:val="es-ES"/>
        </w:rPr>
      </w:pPr>
      <w:r w:rsidRPr="00A371FB">
        <w:rPr>
          <w:rFonts w:ascii="Times New Roman" w:hAnsi="Times New Roman"/>
          <w:sz w:val="22"/>
          <w:szCs w:val="22"/>
          <w:lang w:val="es-ES"/>
        </w:rPr>
        <w:t>Las resoluciones de la Sociedad vinculadas a la determinación de los honorarios a regular para el Directorio, se ajustan a los límites y lineamientos previstos por el artículo 261 de la Ley N° 19.550 y los artículos 1° a 7° del Capítulo III del Título II de las Normas de la C</w:t>
      </w:r>
      <w:bookmarkEnd w:id="18"/>
    </w:p>
    <w:p w14:paraId="7F6633C1" w14:textId="5DA0BE8A" w:rsidR="000459D1" w:rsidRPr="00A371FB" w:rsidRDefault="000459D1">
      <w:pPr>
        <w:pStyle w:val="Ttulo2"/>
        <w:numPr>
          <w:ilvl w:val="0"/>
          <w:numId w:val="8"/>
        </w:numPr>
        <w:autoSpaceDE w:val="0"/>
        <w:autoSpaceDN w:val="0"/>
        <w:spacing w:before="0" w:line="240" w:lineRule="auto"/>
        <w:ind w:left="426"/>
        <w:jc w:val="both"/>
        <w:rPr>
          <w:rFonts w:ascii="Times New Roman" w:hAnsi="Times New Roman" w:cs="Times New Roman"/>
          <w:color w:val="548DD4" w:themeColor="text2" w:themeTint="99"/>
          <w:sz w:val="22"/>
          <w:szCs w:val="22"/>
        </w:rPr>
      </w:pPr>
      <w:bookmarkStart w:id="20" w:name="_Toc63686711"/>
      <w:r w:rsidRPr="00A371FB">
        <w:rPr>
          <w:rFonts w:ascii="Times New Roman" w:hAnsi="Times New Roman" w:cs="Times New Roman"/>
          <w:color w:val="548DD4" w:themeColor="text2" w:themeTint="99"/>
          <w:sz w:val="22"/>
          <w:szCs w:val="22"/>
        </w:rPr>
        <w:t>PERSPECTIVAS PARA EL EJERCICIO</w:t>
      </w:r>
      <w:r w:rsidR="009243AA" w:rsidRPr="00A371FB">
        <w:rPr>
          <w:rFonts w:ascii="Times New Roman" w:hAnsi="Times New Roman" w:cs="Times New Roman"/>
          <w:color w:val="548DD4" w:themeColor="text2" w:themeTint="99"/>
          <w:sz w:val="22"/>
          <w:szCs w:val="22"/>
        </w:rPr>
        <w:t xml:space="preserve"> </w:t>
      </w:r>
      <w:r w:rsidRPr="00A371FB">
        <w:rPr>
          <w:rFonts w:ascii="Times New Roman" w:hAnsi="Times New Roman" w:cs="Times New Roman"/>
          <w:color w:val="548DD4" w:themeColor="text2" w:themeTint="99"/>
          <w:sz w:val="22"/>
          <w:szCs w:val="22"/>
        </w:rPr>
        <w:t>20</w:t>
      </w:r>
      <w:r w:rsidR="00A458BD" w:rsidRPr="00A371FB">
        <w:rPr>
          <w:rFonts w:ascii="Times New Roman" w:hAnsi="Times New Roman" w:cs="Times New Roman"/>
          <w:color w:val="548DD4" w:themeColor="text2" w:themeTint="99"/>
          <w:sz w:val="22"/>
          <w:szCs w:val="22"/>
        </w:rPr>
        <w:t>2</w:t>
      </w:r>
      <w:bookmarkEnd w:id="20"/>
      <w:r w:rsidR="00CC0A55" w:rsidRPr="00A371FB">
        <w:rPr>
          <w:rFonts w:ascii="Times New Roman" w:hAnsi="Times New Roman" w:cs="Times New Roman"/>
          <w:color w:val="548DD4" w:themeColor="text2" w:themeTint="99"/>
          <w:sz w:val="22"/>
          <w:szCs w:val="22"/>
        </w:rPr>
        <w:t>3</w:t>
      </w:r>
    </w:p>
    <w:p w14:paraId="3269CD04" w14:textId="5E50707E" w:rsidR="00DA7BD5" w:rsidRPr="00A371FB" w:rsidRDefault="00DA7BD5" w:rsidP="00DA7BD5">
      <w:pPr>
        <w:pStyle w:val="Sangradetextonormal"/>
        <w:spacing w:after="0"/>
        <w:ind w:left="0"/>
        <w:jc w:val="both"/>
        <w:rPr>
          <w:rFonts w:ascii="Times New Roman" w:hAnsi="Times New Roman"/>
          <w:sz w:val="22"/>
          <w:szCs w:val="22"/>
          <w:lang w:val="es-ES"/>
        </w:rPr>
      </w:pPr>
      <w:bookmarkStart w:id="21" w:name="_Hlk63691092"/>
    </w:p>
    <w:p w14:paraId="28A7D091" w14:textId="2873E76C" w:rsidR="00C85568" w:rsidRPr="00A371FB" w:rsidRDefault="00C85568" w:rsidP="00CF2B5F">
      <w:pPr>
        <w:autoSpaceDE w:val="0"/>
        <w:autoSpaceDN w:val="0"/>
        <w:spacing w:after="0" w:line="240" w:lineRule="auto"/>
        <w:jc w:val="both"/>
        <w:rPr>
          <w:rFonts w:ascii="Times New Roman" w:hAnsi="Times New Roman"/>
          <w:b/>
          <w:sz w:val="22"/>
          <w:szCs w:val="22"/>
          <w:u w:val="single"/>
        </w:rPr>
      </w:pPr>
      <w:bookmarkStart w:id="22" w:name="_Hlk63689144"/>
      <w:r w:rsidRPr="00A371FB">
        <w:rPr>
          <w:rFonts w:ascii="Times New Roman" w:hAnsi="Times New Roman"/>
          <w:b/>
          <w:sz w:val="22"/>
          <w:szCs w:val="22"/>
        </w:rPr>
        <w:t>5.1</w:t>
      </w:r>
      <w:r w:rsidRPr="00A371FB">
        <w:rPr>
          <w:rFonts w:ascii="Times New Roman" w:hAnsi="Times New Roman"/>
          <w:b/>
          <w:sz w:val="22"/>
          <w:szCs w:val="22"/>
          <w:u w:val="single"/>
        </w:rPr>
        <w:t xml:space="preserve"> Perspectivas para el Mercado de Generadores Eléctricos en general</w:t>
      </w:r>
    </w:p>
    <w:p w14:paraId="0181F307" w14:textId="77777777" w:rsidR="00CF2B5F" w:rsidRPr="00A371FB" w:rsidRDefault="00CF2B5F" w:rsidP="00CF2B5F">
      <w:pPr>
        <w:autoSpaceDE w:val="0"/>
        <w:autoSpaceDN w:val="0"/>
        <w:spacing w:after="0" w:line="240" w:lineRule="auto"/>
        <w:jc w:val="both"/>
        <w:rPr>
          <w:rFonts w:ascii="Times New Roman" w:hAnsi="Times New Roman"/>
          <w:b/>
          <w:sz w:val="22"/>
          <w:szCs w:val="22"/>
          <w:u w:val="single"/>
        </w:rPr>
      </w:pPr>
    </w:p>
    <w:bookmarkEnd w:id="21"/>
    <w:bookmarkEnd w:id="22"/>
    <w:p w14:paraId="66E73DAC"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Tras las licitaciones para la contratación de potencia y energía nueva, organizadas desde 2016, se incorporaron numerosas centrales eléctricas como se describió en detalle. Los cambios regulatorios acaecidos desde entonces y en particular desde la inestabilidad financiera y económica iniciada en abril 2018, llevan a una situación compleja en el sector de generación eléctrica.</w:t>
      </w:r>
    </w:p>
    <w:p w14:paraId="5035D8AF"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Similar situación se verificó en el sector de gas natural, que resulta fundamental para el abastecimiento eléctrico por su incidencia en la generación termoeléctrica. La reducción de precios de gas en boca de pozo llevó a niveles inferiores al costo de desarrollo de reservas, por lo cual las inversiones se detuvieron con la consiguiente reducción de producción.</w:t>
      </w:r>
    </w:p>
    <w:p w14:paraId="3CC68C50"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El cambio de signo político en la Administración en diciembre 2019, acentuó la incertidumbre en el mercado eléctrico con demora en las decisiones necesarias para mantener condiciones adecuadas de suministro al mercado, que retomó su crecimiento en 2021 e inicio de 2022 con perspectivas de aceleramiento al menos en meses del primer semestre 2022 al comparar con meses de 2021 de aislamiento por la pandemia COVID 19. </w:t>
      </w:r>
    </w:p>
    <w:p w14:paraId="2801B1A1"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El congelamiento de tarifas, precios y remuneraciones extendido en términos prácticos desde febrero 2019 con un ajuste reducido en moneda corriente a consumidores finales generaron un déficit fiscal creciente. La firma de un Acuerdo con el Fondo Monetario Internacional al fin del primer trimestre de 2022 estableció metas estrictas de reducción del déficit. </w:t>
      </w:r>
    </w:p>
    <w:p w14:paraId="64083BC9"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En los últimos meses de 2022, el Ministerio de Economía comenzó a impulsar incrementos significativos en los precios de gas natural y electricidad a los consumidores con subsidios, con el fin prioritario de reducir el déficit fiscal. Adicionalmente se convocó a Audiencias Públicas para determinar ajustes en tarifas de empresas de transmisión eléctrica y distribución que son superiores a la inflación del último año, a cuenta del proceso de Revisión Tarifaria Integral que fue postergada para fin de 2023, o para la próxima Administración.</w:t>
      </w:r>
    </w:p>
    <w:p w14:paraId="2AEA871B"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Al momento de elaborar este Informe, la Secretaría de Energía se encuentra analizando la situación de los generadores termoeléctricos con el fin de incrementar la disponibilidad de las unidades principalmente termoeléctricas con el fin de mantener un mayor nivel de seguridad en el abastecimiento futuro. </w:t>
      </w:r>
    </w:p>
    <w:p w14:paraId="024DDEAB"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Asimismo, expresa la intención de licitar nuevas líneas de transmisión eléctrica, para la instalación de nuevas centrales de fuentes renovables, aunque el financiamiento y remuneración tarifaria se encuentra sin precisar.</w:t>
      </w:r>
    </w:p>
    <w:p w14:paraId="00640105"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Como se había anticipado en el inicio de 2022, el mantenimiento de unidades que no recibieron ajustes razonables en su remuneración impactó en el nivel de indisponibilidad de estas unidades de generación que despachan al mercado spot. En la incertidumbre actual no deberían esperarse nuevos ingresos de generación más allá de los cierres de ciclo combinado de las centrales Ensenada de Barragán y Estanislao López.</w:t>
      </w:r>
    </w:p>
    <w:p w14:paraId="1787C775"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Consideramos que en 2023 el proceso inversor en nuevas unidades no se reanudará más que en forma selectiva eventualmente, y que se concentrará en la mejora de condiciones para incrementar la disponibilidad de unidades con falta de mantenimiento.</w:t>
      </w:r>
    </w:p>
    <w:p w14:paraId="4EFB852D"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Dado el contexto de extensión en el tiempo de la tendencia positiva en la demanda de electricidad, es posible que la Secretaría de Energía acelere el ajuste de las remuneraciones a generadores en el mercado spot a la vez que cumple con los contratos de largo plazo con CAMMESA, para recuperar la disponibilidad que se había logrado.</w:t>
      </w:r>
    </w:p>
    <w:p w14:paraId="2230E957"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A pesar de la persistente depreciación del peso argentino, CAMMESA honró todos sus contratos a largo plazo respetando las condiciones económico-financieras, realizando los pagos al tipo de cambio oficial. A pesar de algunas demoras en los pagos, CAMMESA reconoció intereses por su demora a tasas de interés prevalecientes en el mercado y regularizó mayormente los mismos tras el invierno 2022. Este hecho de respeto a condiciones contractuales y pagos de acuerdo a la normativa en vigencia, es un dato importante en años de complejidad como fueron los del período 2018-2022. </w:t>
      </w:r>
    </w:p>
    <w:p w14:paraId="497467DA"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 incipiente mejora en la oferta hidroeléctrica durante el segundo semestre 2022 e inicios de 2023, junto a la reducción marcada de precios de importación de LNG en el mercado de futuros 2023, y de gas oil, podría redundar en un déficit menor en CAMMESA permitiendo los ajustes delineados previamente. Los ajustes aprobados en el Precio Estacional de la Energía a un número superior a lo previsto de consumidores Residenciales y Comerciales-PyMEs, contribuirán a reducir el déficit fiscal.</w:t>
      </w:r>
    </w:p>
    <w:p w14:paraId="11C0E759"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 extensión de condiciones de emergencia en la normativa del Sector Eléctrico requiere decisiones pendientes para normalizar su funcionamiento que consideramos quedarán pendientes para la próxima Administración, incluyendo el reajuste completo de Precios Estacionales de la Energía y de tarifas a los eslabones de la cadena de valor eléctrica.</w:t>
      </w:r>
    </w:p>
    <w:p w14:paraId="3077E9F2"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 perspectiva de funcionamiento y despacho comercial de los generadores termoeléctricos modernos y localizados en regiones de alto crecimiento de la demanda, es favorable ya que sus unidades recibirán requerimientos crecientes de despacho. Igualmente sucederá con aquellas centrales eléctricas sin contratos a término pero que han sido preservadas en su mantenimiento y disponibilidad. En este contexto que esperamos para 2023, las unidades de diversas centrales del Grupo Albanesi podrían requerir despacho con remuneraciones superiores, como se analizó previamente.</w:t>
      </w:r>
    </w:p>
    <w:p w14:paraId="0356ADA1"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Las perspectivas del Sector Energético son inciertas por demoras en las decisiones y por la situación económica y financiera del país y del Estado Nacional en particular. La política de mantenimiento de ajustes mínimos en tarifas y precios parece haberse modificado durante 2022, aunque la perspectiva en 2023 es incierta debido al proceso electoral.</w:t>
      </w:r>
    </w:p>
    <w:p w14:paraId="2F4F9C42"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Las perspectivas de abastecimiento de combustibles en invierno serán similares a las de inviernos previos debido a que el ingreso de la Etapa I del nuevo gasoducto está prevista para julio 2023 y podría demorarse. </w:t>
      </w:r>
    </w:p>
    <w:p w14:paraId="1C2A4E3F"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Las restricciones de financiamiento internacional para la Argentina demoran el ingreso de unidades de generación eléctrica bajo adjudicaciones con contratos a término, siendo 2021, 2022 y 2023 años de desaceleramiento en el proceso de inversiones lanzado entre 2016 y 2020, revalorizando el parque existente y los proyectos en proceso de construcción final. </w:t>
      </w:r>
    </w:p>
    <w:p w14:paraId="1E087831"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La ausencia de nuevas centrales hidroeléctricas en los próximos años y el deterioro del parque nuclear junto a la disminución de ingreso de nuevas centrales de fuentes renovables, brinda una perspectiva favorable al despacho de unidades termoeléctricas. La detención de decisiones de inversión para el ingreso de nuevas unidades de generación de fuentes renovables desde 2018 también contribuye a que el crecimiento esperado de demanda eléctrica se satisfaga con unidades termoeléctricas. Es probable que un mayor aumento de demanda de energía eléctrica en el primer semestre 2023, presione por mayor despacho termoeléctrico.  </w:t>
      </w:r>
    </w:p>
    <w:p w14:paraId="45F7B735"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Si se reanudara y financiara de algún modo que no parece claro la incorporación de nuevas plantas de energía renovable, podría plantear una atenuación del despacho termoeléctrico a partir de 2024-2025. Sin embargo, se requerirá para que esto suceda será necesario ampliar la capacidad de transmisión eléctrica. </w:t>
      </w:r>
    </w:p>
    <w:p w14:paraId="4B3C4A10" w14:textId="77777777" w:rsidR="00493296"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 xml:space="preserve">Las unidades renovables, por su característica intrínseca, requieren respaldo de unidades termoeléctricas en buenas condiciones de operación para poder operar, dada la interrumpibilidad natural de las mismas. El respaldo de unidades termoeléctricas aparece como imprescindible para respaldar a estas unidades. </w:t>
      </w:r>
    </w:p>
    <w:p w14:paraId="0175184E" w14:textId="28B62E6E" w:rsidR="00640E8B" w:rsidRPr="00A371FB" w:rsidRDefault="00493296" w:rsidP="00493296">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Times New Roman" w:eastAsia="Wingdings" w:hAnsi="Times New Roman"/>
          <w:sz w:val="22"/>
          <w:szCs w:val="22"/>
        </w:rPr>
      </w:pPr>
      <w:r w:rsidRPr="00A371FB">
        <w:rPr>
          <w:rFonts w:ascii="Times New Roman" w:eastAsia="Wingdings" w:hAnsi="Times New Roman"/>
          <w:sz w:val="22"/>
          <w:szCs w:val="22"/>
        </w:rPr>
        <w:t>La crisis fiscal desde 2020 y el Acuerdo alcanzado con el Fondo Monetario Internacional junto con una nueva etapa de Administración desde diciembre 2023, reabre la oportunidad para una estabilización en el mercado eléctrico que permita dotar de previsibilidad a un sector que requiere reglas de largo plazo para acompañar la demanda con inversiones adecuadas.</w:t>
      </w:r>
    </w:p>
    <w:p w14:paraId="165E502F" w14:textId="21888EB1" w:rsidR="000459D1" w:rsidRPr="00A371FB" w:rsidRDefault="002C0B9B" w:rsidP="00014C76">
      <w:pPr>
        <w:pStyle w:val="Textoindependiente"/>
        <w:spacing w:after="0" w:line="240" w:lineRule="exact"/>
        <w:jc w:val="both"/>
        <w:rPr>
          <w:b/>
          <w:sz w:val="22"/>
          <w:szCs w:val="22"/>
          <w:u w:val="single"/>
        </w:rPr>
      </w:pPr>
      <w:r w:rsidRPr="00A371FB">
        <w:rPr>
          <w:b/>
          <w:sz w:val="22"/>
          <w:szCs w:val="22"/>
        </w:rPr>
        <w:t>5</w:t>
      </w:r>
      <w:r w:rsidR="009161CE" w:rsidRPr="00A371FB">
        <w:rPr>
          <w:b/>
          <w:sz w:val="22"/>
          <w:szCs w:val="22"/>
        </w:rPr>
        <w:t>.</w:t>
      </w:r>
      <w:r w:rsidRPr="00A371FB">
        <w:rPr>
          <w:b/>
          <w:sz w:val="22"/>
          <w:szCs w:val="22"/>
        </w:rPr>
        <w:t>2</w:t>
      </w:r>
      <w:r w:rsidRPr="00A371FB">
        <w:rPr>
          <w:b/>
          <w:sz w:val="22"/>
          <w:szCs w:val="22"/>
          <w:u w:val="single"/>
        </w:rPr>
        <w:t xml:space="preserve"> </w:t>
      </w:r>
      <w:r w:rsidR="000459D1" w:rsidRPr="00A371FB">
        <w:rPr>
          <w:b/>
          <w:sz w:val="22"/>
          <w:szCs w:val="22"/>
          <w:u w:val="single"/>
        </w:rPr>
        <w:t>Perspectivas de la Sociedad</w:t>
      </w:r>
    </w:p>
    <w:p w14:paraId="4C1D95C5" w14:textId="77777777" w:rsidR="00014C76" w:rsidRPr="00A371FB" w:rsidRDefault="00014C76" w:rsidP="00014C76">
      <w:pPr>
        <w:pStyle w:val="Textoindependiente"/>
        <w:spacing w:after="0" w:line="240" w:lineRule="exact"/>
        <w:jc w:val="both"/>
        <w:rPr>
          <w:b/>
          <w:sz w:val="22"/>
          <w:szCs w:val="22"/>
          <w:u w:val="single"/>
        </w:rPr>
      </w:pPr>
    </w:p>
    <w:p w14:paraId="40F50504" w14:textId="77777777" w:rsidR="00E00566" w:rsidRPr="00A371FB" w:rsidRDefault="00E00566" w:rsidP="00014C76">
      <w:pPr>
        <w:pStyle w:val="Prrafodelista"/>
        <w:spacing w:after="0"/>
        <w:ind w:left="0"/>
        <w:jc w:val="both"/>
        <w:rPr>
          <w:rFonts w:ascii="Times New Roman" w:hAnsi="Times New Roman"/>
          <w:sz w:val="22"/>
          <w:szCs w:val="22"/>
          <w:u w:val="single"/>
          <w:lang w:val="es-ES"/>
        </w:rPr>
      </w:pPr>
      <w:r w:rsidRPr="00A371FB">
        <w:rPr>
          <w:rFonts w:ascii="Times New Roman" w:hAnsi="Times New Roman"/>
          <w:sz w:val="22"/>
          <w:szCs w:val="22"/>
          <w:u w:val="single"/>
          <w:lang w:val="es-ES"/>
        </w:rPr>
        <w:t xml:space="preserve">Energía Eléctrica </w:t>
      </w:r>
    </w:p>
    <w:p w14:paraId="25E5FAF3" w14:textId="77777777" w:rsidR="005C45BC" w:rsidRPr="00A371FB" w:rsidRDefault="005C45BC" w:rsidP="00E239E3">
      <w:pPr>
        <w:pStyle w:val="Prrafodelista"/>
        <w:spacing w:line="280" w:lineRule="exact"/>
        <w:ind w:left="0"/>
        <w:jc w:val="both"/>
        <w:rPr>
          <w:rFonts w:ascii="Times New Roman" w:hAnsi="Times New Roman"/>
          <w:color w:val="000000" w:themeColor="text1"/>
          <w:sz w:val="22"/>
          <w:szCs w:val="22"/>
          <w:lang w:val="es-ES"/>
        </w:rPr>
      </w:pPr>
    </w:p>
    <w:p w14:paraId="485333AF" w14:textId="03A2CB32" w:rsidR="00BA19DB" w:rsidRPr="00A371FB" w:rsidRDefault="00F91AFE" w:rsidP="00E239E3">
      <w:pPr>
        <w:pStyle w:val="Prrafodelista"/>
        <w:spacing w:line="280" w:lineRule="exact"/>
        <w:ind w:left="0"/>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Se espera continuar operando normalmente la unidad de generación conforme al despacho que defina CAMMESA. El objetivo principal es mantener el alto nivel de disponibilidad de la Central, hecho que asegura el nivel de rentabilidad de la compañía.</w:t>
      </w:r>
    </w:p>
    <w:p w14:paraId="70B86794" w14:textId="77777777" w:rsidR="005C45BC" w:rsidRPr="00A371FB" w:rsidRDefault="005C45BC" w:rsidP="00014C76">
      <w:pPr>
        <w:pStyle w:val="Prrafodelista"/>
        <w:spacing w:after="0" w:line="240" w:lineRule="exact"/>
        <w:ind w:left="0"/>
        <w:jc w:val="both"/>
        <w:rPr>
          <w:rFonts w:ascii="Times New Roman" w:hAnsi="Times New Roman"/>
          <w:sz w:val="22"/>
          <w:szCs w:val="22"/>
          <w:u w:val="single"/>
        </w:rPr>
      </w:pPr>
    </w:p>
    <w:p w14:paraId="0515DDCA" w14:textId="580FC9AA" w:rsidR="000459D1" w:rsidRPr="00A371FB" w:rsidRDefault="000459D1" w:rsidP="00014C76">
      <w:pPr>
        <w:pStyle w:val="Prrafodelista"/>
        <w:spacing w:after="0" w:line="240" w:lineRule="exact"/>
        <w:ind w:left="0"/>
        <w:jc w:val="both"/>
        <w:rPr>
          <w:rFonts w:ascii="Times New Roman" w:hAnsi="Times New Roman"/>
          <w:sz w:val="22"/>
          <w:szCs w:val="22"/>
        </w:rPr>
      </w:pPr>
      <w:r w:rsidRPr="00A371FB">
        <w:rPr>
          <w:rFonts w:ascii="Times New Roman" w:hAnsi="Times New Roman"/>
          <w:sz w:val="22"/>
          <w:szCs w:val="22"/>
          <w:u w:val="single"/>
        </w:rPr>
        <w:t>Situación Financiera</w:t>
      </w:r>
      <w:r w:rsidRPr="00A371FB">
        <w:rPr>
          <w:rFonts w:ascii="Times New Roman" w:hAnsi="Times New Roman"/>
          <w:sz w:val="22"/>
          <w:szCs w:val="22"/>
        </w:rPr>
        <w:t xml:space="preserve"> </w:t>
      </w:r>
    </w:p>
    <w:p w14:paraId="61BCF5EF" w14:textId="77777777" w:rsidR="00014C76" w:rsidRPr="00A371FB" w:rsidRDefault="00014C76" w:rsidP="00014C76">
      <w:pPr>
        <w:pStyle w:val="Prrafodelista"/>
        <w:spacing w:after="0" w:line="240" w:lineRule="exact"/>
        <w:ind w:left="0"/>
        <w:jc w:val="both"/>
        <w:rPr>
          <w:rFonts w:ascii="Times New Roman" w:hAnsi="Times New Roman"/>
          <w:sz w:val="22"/>
          <w:szCs w:val="22"/>
          <w:highlight w:val="yellow"/>
        </w:rPr>
      </w:pPr>
    </w:p>
    <w:p w14:paraId="1FD5DB42" w14:textId="2AC1BBD4" w:rsidR="006406CC" w:rsidRPr="00A371FB" w:rsidRDefault="006406CC" w:rsidP="006406CC">
      <w:pPr>
        <w:pStyle w:val="Prrafodelista"/>
        <w:spacing w:line="280" w:lineRule="exact"/>
        <w:ind w:left="0"/>
        <w:jc w:val="both"/>
        <w:rPr>
          <w:rFonts w:ascii="Times New Roman" w:hAnsi="Times New Roman"/>
          <w:color w:val="000000" w:themeColor="text1"/>
          <w:sz w:val="22"/>
          <w:szCs w:val="22"/>
          <w:lang w:val="es-ES"/>
        </w:rPr>
      </w:pPr>
      <w:bookmarkStart w:id="23" w:name="_Hlk34230911"/>
      <w:r w:rsidRPr="00A371FB">
        <w:rPr>
          <w:rFonts w:ascii="Times New Roman" w:hAnsi="Times New Roman"/>
          <w:sz w:val="22"/>
          <w:szCs w:val="22"/>
          <w:lang w:val="es-ES"/>
        </w:rPr>
        <w:t xml:space="preserve">Durante el corriente ejercicio la Sociedad espera continuar optimizando la estructura de financiamiento y manteniendo un nivel </w:t>
      </w:r>
      <w:r w:rsidRPr="00A371FB">
        <w:rPr>
          <w:rFonts w:ascii="Times New Roman" w:hAnsi="Times New Roman"/>
          <w:color w:val="000000" w:themeColor="text1"/>
          <w:sz w:val="22"/>
          <w:szCs w:val="22"/>
          <w:lang w:val="es-ES"/>
        </w:rPr>
        <w:t>de endeudamiento acorde a las necesidades operacionales de la Central.</w:t>
      </w:r>
    </w:p>
    <w:p w14:paraId="654F7D72" w14:textId="77777777" w:rsidR="006406CC" w:rsidRPr="00A371FB" w:rsidRDefault="006406CC" w:rsidP="006406CC">
      <w:pPr>
        <w:pStyle w:val="Prrafodelista"/>
        <w:spacing w:line="280" w:lineRule="exact"/>
        <w:ind w:left="0"/>
        <w:jc w:val="both"/>
        <w:rPr>
          <w:rFonts w:ascii="Times New Roman" w:hAnsi="Times New Roman"/>
          <w:color w:val="000000" w:themeColor="text1"/>
          <w:sz w:val="22"/>
          <w:szCs w:val="22"/>
          <w:lang w:val="es-ES"/>
        </w:rPr>
      </w:pPr>
    </w:p>
    <w:p w14:paraId="6A49331D" w14:textId="77777777" w:rsidR="006406CC" w:rsidRPr="00A371FB" w:rsidRDefault="006406CC" w:rsidP="006406CC">
      <w:pPr>
        <w:pStyle w:val="Prrafodelista"/>
        <w:spacing w:line="280" w:lineRule="exact"/>
        <w:ind w:left="0"/>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t>La estrategia asumida garantiza el cumplimiento de los compromisos de la Sociedad y aseguran la correcta y eficiente operación de la Central.</w:t>
      </w:r>
    </w:p>
    <w:p w14:paraId="7861751D" w14:textId="77777777" w:rsidR="00AB3F33" w:rsidRPr="00A371FB" w:rsidRDefault="00AB3F33" w:rsidP="00014C76">
      <w:pPr>
        <w:pStyle w:val="Prrafodelista"/>
        <w:spacing w:after="0" w:line="240" w:lineRule="exact"/>
        <w:ind w:left="0"/>
        <w:jc w:val="both"/>
        <w:rPr>
          <w:rFonts w:ascii="Times New Roman" w:hAnsi="Times New Roman"/>
          <w:sz w:val="22"/>
          <w:szCs w:val="22"/>
          <w:highlight w:val="yellow"/>
          <w:lang w:val="es-ES"/>
        </w:rPr>
      </w:pPr>
    </w:p>
    <w:p w14:paraId="4DD6E4D4" w14:textId="0BE0415B" w:rsidR="000459D1" w:rsidRPr="00A371FB" w:rsidRDefault="000459D1">
      <w:pPr>
        <w:pStyle w:val="Ttulo2"/>
        <w:numPr>
          <w:ilvl w:val="0"/>
          <w:numId w:val="8"/>
        </w:numPr>
        <w:autoSpaceDE w:val="0"/>
        <w:autoSpaceDN w:val="0"/>
        <w:spacing w:before="0" w:line="240" w:lineRule="exact"/>
        <w:ind w:left="426"/>
        <w:jc w:val="both"/>
        <w:rPr>
          <w:rFonts w:ascii="Times New Roman" w:hAnsi="Times New Roman" w:cs="Times New Roman"/>
          <w:color w:val="548DD4" w:themeColor="text2" w:themeTint="99"/>
          <w:sz w:val="22"/>
          <w:szCs w:val="22"/>
        </w:rPr>
      </w:pPr>
      <w:bookmarkStart w:id="24" w:name="_Toc63686712"/>
      <w:r w:rsidRPr="00A371FB">
        <w:rPr>
          <w:rFonts w:ascii="Times New Roman" w:hAnsi="Times New Roman" w:cs="Times New Roman"/>
          <w:bCs w:val="0"/>
          <w:color w:val="548DD4" w:themeColor="text2" w:themeTint="99"/>
          <w:sz w:val="22"/>
          <w:szCs w:val="22"/>
        </w:rPr>
        <w:t>DISTRIBUCIÓN DE RESULTADOS</w:t>
      </w:r>
      <w:bookmarkEnd w:id="24"/>
      <w:r w:rsidRPr="00A371FB">
        <w:rPr>
          <w:rFonts w:ascii="Times New Roman" w:hAnsi="Times New Roman" w:cs="Times New Roman"/>
          <w:bCs w:val="0"/>
          <w:color w:val="548DD4" w:themeColor="text2" w:themeTint="99"/>
          <w:sz w:val="22"/>
          <w:szCs w:val="22"/>
        </w:rPr>
        <w:fldChar w:fldCharType="begin"/>
      </w:r>
      <w:r w:rsidRPr="00A371FB">
        <w:rPr>
          <w:rFonts w:ascii="Times New Roman" w:hAnsi="Times New Roman" w:cs="Times New Roman"/>
          <w:bCs w:val="0"/>
          <w:color w:val="548DD4" w:themeColor="text2" w:themeTint="99"/>
          <w:sz w:val="22"/>
          <w:szCs w:val="22"/>
        </w:rPr>
        <w:instrText xml:space="preserve"> XE "DISTRIBUCIÓN DE RESULTADOS" </w:instrText>
      </w:r>
      <w:r w:rsidRPr="00A371FB">
        <w:rPr>
          <w:rFonts w:ascii="Times New Roman" w:hAnsi="Times New Roman" w:cs="Times New Roman"/>
          <w:bCs w:val="0"/>
          <w:color w:val="548DD4" w:themeColor="text2" w:themeTint="99"/>
          <w:sz w:val="22"/>
          <w:szCs w:val="22"/>
        </w:rPr>
        <w:fldChar w:fldCharType="end"/>
      </w:r>
      <w:r w:rsidRPr="00A371FB">
        <w:rPr>
          <w:rFonts w:ascii="Times New Roman" w:hAnsi="Times New Roman" w:cs="Times New Roman"/>
          <w:color w:val="548DD4" w:themeColor="text2" w:themeTint="99"/>
          <w:sz w:val="22"/>
          <w:szCs w:val="22"/>
        </w:rPr>
        <w:t xml:space="preserve"> </w:t>
      </w:r>
    </w:p>
    <w:p w14:paraId="353805AB" w14:textId="77777777" w:rsidR="006071C8" w:rsidRPr="00A371FB" w:rsidRDefault="006071C8" w:rsidP="006071C8">
      <w:pPr>
        <w:spacing w:after="0"/>
        <w:rPr>
          <w:sz w:val="22"/>
          <w:szCs w:val="22"/>
          <w:highlight w:val="yellow"/>
        </w:rPr>
      </w:pPr>
    </w:p>
    <w:p w14:paraId="3F972CA5" w14:textId="2FCFEEC6" w:rsidR="007843DC" w:rsidRPr="00A371FB" w:rsidRDefault="00E60B31" w:rsidP="007843DC">
      <w:pPr>
        <w:jc w:val="both"/>
        <w:rPr>
          <w:rFonts w:ascii="Times New Roman" w:hAnsi="Times New Roman"/>
          <w:sz w:val="22"/>
          <w:szCs w:val="22"/>
          <w:lang w:val="x-none"/>
        </w:rPr>
      </w:pPr>
      <w:r w:rsidRPr="00A371FB">
        <w:rPr>
          <w:rFonts w:ascii="Times New Roman" w:hAnsi="Times New Roman"/>
          <w:sz w:val="22"/>
          <w:szCs w:val="22"/>
          <w:lang w:val="x-none"/>
        </w:rPr>
        <w:t>En cumplimiento de las disposiciones legales vigentes, el Directorio de la Sociedad manifiesta que el resultado del ejercicio arroja una</w:t>
      </w:r>
      <w:r w:rsidR="006B2FB7" w:rsidRPr="00A371FB">
        <w:rPr>
          <w:rFonts w:ascii="Times New Roman" w:hAnsi="Times New Roman"/>
          <w:sz w:val="22"/>
          <w:szCs w:val="22"/>
          <w:lang w:val="es-US"/>
        </w:rPr>
        <w:t xml:space="preserve"> pérdida</w:t>
      </w:r>
      <w:r w:rsidRPr="00A371FB">
        <w:rPr>
          <w:rFonts w:ascii="Times New Roman" w:hAnsi="Times New Roman"/>
          <w:sz w:val="22"/>
          <w:szCs w:val="22"/>
          <w:lang w:val="x-none"/>
        </w:rPr>
        <w:t xml:space="preserve"> que asciende a la suma de $</w:t>
      </w:r>
      <w:r w:rsidR="006B2FB7" w:rsidRPr="00A371FB">
        <w:rPr>
          <w:rFonts w:ascii="Times New Roman" w:hAnsi="Times New Roman"/>
          <w:sz w:val="22"/>
          <w:szCs w:val="22"/>
        </w:rPr>
        <w:t>460.057</w:t>
      </w:r>
      <w:r w:rsidR="006406CC" w:rsidRPr="00A371FB">
        <w:rPr>
          <w:rFonts w:ascii="Times New Roman" w:hAnsi="Times New Roman"/>
          <w:sz w:val="22"/>
          <w:szCs w:val="22"/>
        </w:rPr>
        <w:t xml:space="preserve"> miles</w:t>
      </w:r>
      <w:r w:rsidR="007843DC" w:rsidRPr="00A371FB">
        <w:rPr>
          <w:rFonts w:ascii="Times New Roman" w:hAnsi="Times New Roman"/>
          <w:sz w:val="22"/>
          <w:szCs w:val="22"/>
          <w:lang w:val="es-US"/>
        </w:rPr>
        <w:t>,</w:t>
      </w:r>
      <w:r w:rsidR="007E5215" w:rsidRPr="00A371FB">
        <w:rPr>
          <w:rFonts w:ascii="Times New Roman" w:hAnsi="Times New Roman"/>
          <w:sz w:val="22"/>
          <w:szCs w:val="22"/>
        </w:rPr>
        <w:t xml:space="preserve"> </w:t>
      </w:r>
      <w:r w:rsidR="007843DC" w:rsidRPr="00A371FB">
        <w:rPr>
          <w:rFonts w:ascii="Times New Roman" w:hAnsi="Times New Roman"/>
          <w:sz w:val="22"/>
          <w:szCs w:val="22"/>
        </w:rPr>
        <w:t>obteniendo así resultados no asignados acumulados al 31 de diciembre de 202</w:t>
      </w:r>
      <w:r w:rsidR="006B2FB7" w:rsidRPr="00A371FB">
        <w:rPr>
          <w:rFonts w:ascii="Times New Roman" w:hAnsi="Times New Roman"/>
          <w:sz w:val="22"/>
          <w:szCs w:val="22"/>
        </w:rPr>
        <w:t>2</w:t>
      </w:r>
      <w:r w:rsidR="007843DC" w:rsidRPr="00A371FB">
        <w:rPr>
          <w:rFonts w:ascii="Times New Roman" w:hAnsi="Times New Roman"/>
          <w:sz w:val="22"/>
          <w:szCs w:val="22"/>
        </w:rPr>
        <w:t xml:space="preserve"> por $</w:t>
      </w:r>
      <w:r w:rsidR="006B2FB7" w:rsidRPr="00A371FB">
        <w:rPr>
          <w:rFonts w:ascii="Times New Roman" w:hAnsi="Times New Roman"/>
          <w:sz w:val="22"/>
          <w:szCs w:val="22"/>
        </w:rPr>
        <w:t>475.672</w:t>
      </w:r>
      <w:r w:rsidR="007843DC" w:rsidRPr="00A371FB">
        <w:rPr>
          <w:rFonts w:ascii="Times New Roman" w:hAnsi="Times New Roman"/>
          <w:sz w:val="22"/>
          <w:szCs w:val="22"/>
        </w:rPr>
        <w:t xml:space="preserve"> miles</w:t>
      </w:r>
      <w:r w:rsidR="007843DC" w:rsidRPr="00A371FB">
        <w:rPr>
          <w:rFonts w:ascii="Times New Roman" w:hAnsi="Times New Roman"/>
          <w:sz w:val="22"/>
          <w:szCs w:val="22"/>
          <w:lang w:val="x-none"/>
        </w:rPr>
        <w:t xml:space="preserve">. </w:t>
      </w:r>
      <w:bookmarkStart w:id="25" w:name="_Hlk1681360"/>
    </w:p>
    <w:p w14:paraId="3AB30A9A" w14:textId="6E4887FC" w:rsidR="004F0AFA" w:rsidRPr="00A371FB" w:rsidRDefault="007843DC" w:rsidP="004F0AFA">
      <w:pPr>
        <w:jc w:val="both"/>
        <w:rPr>
          <w:rFonts w:ascii="Times New Roman" w:hAnsi="Times New Roman"/>
          <w:sz w:val="22"/>
          <w:szCs w:val="22"/>
          <w:lang w:val="x-none"/>
        </w:rPr>
      </w:pPr>
      <w:r w:rsidRPr="00A371FB">
        <w:rPr>
          <w:rFonts w:ascii="Times New Roman" w:hAnsi="Times New Roman"/>
          <w:sz w:val="22"/>
          <w:szCs w:val="22"/>
        </w:rPr>
        <w:t>La Asamblea de Accionistas deliberará y decidirá finalmente el destino de las utilidades acumuladas detalladas anteriormente.</w:t>
      </w:r>
      <w:bookmarkEnd w:id="25"/>
    </w:p>
    <w:p w14:paraId="780122F4" w14:textId="77777777" w:rsidR="000459D1" w:rsidRPr="00A371FB" w:rsidRDefault="000459D1">
      <w:pPr>
        <w:pStyle w:val="Ttulo2"/>
        <w:numPr>
          <w:ilvl w:val="0"/>
          <w:numId w:val="8"/>
        </w:numPr>
        <w:autoSpaceDE w:val="0"/>
        <w:autoSpaceDN w:val="0"/>
        <w:spacing w:before="0" w:after="100" w:afterAutospacing="1" w:line="240" w:lineRule="exact"/>
        <w:ind w:left="426"/>
        <w:jc w:val="both"/>
        <w:rPr>
          <w:rFonts w:ascii="Times New Roman" w:hAnsi="Times New Roman" w:cs="Times New Roman"/>
          <w:bCs w:val="0"/>
          <w:color w:val="548DD4" w:themeColor="text2" w:themeTint="99"/>
          <w:sz w:val="22"/>
          <w:szCs w:val="22"/>
        </w:rPr>
      </w:pPr>
      <w:bookmarkStart w:id="26" w:name="_Toc63686713"/>
      <w:bookmarkEnd w:id="23"/>
      <w:r w:rsidRPr="00A371FB">
        <w:rPr>
          <w:rFonts w:ascii="Times New Roman" w:hAnsi="Times New Roman" w:cs="Times New Roman"/>
          <w:bCs w:val="0"/>
          <w:color w:val="548DD4" w:themeColor="text2" w:themeTint="99"/>
          <w:sz w:val="22"/>
          <w:szCs w:val="22"/>
        </w:rPr>
        <w:t>AGRADECIMIENTOS</w:t>
      </w:r>
      <w:bookmarkEnd w:id="26"/>
    </w:p>
    <w:p w14:paraId="5EA6EC31" w14:textId="66E7F51F" w:rsidR="000459D1" w:rsidRPr="00A371FB" w:rsidRDefault="000459D1" w:rsidP="00E239E3">
      <w:pPr>
        <w:pStyle w:val="Prrafodelista"/>
        <w:spacing w:line="280" w:lineRule="exact"/>
        <w:ind w:left="0"/>
        <w:jc w:val="both"/>
        <w:rPr>
          <w:rFonts w:ascii="Times New Roman" w:hAnsi="Times New Roman"/>
          <w:color w:val="000000" w:themeColor="text1"/>
          <w:sz w:val="22"/>
          <w:szCs w:val="22"/>
          <w:lang w:val="es-ES"/>
        </w:rPr>
      </w:pPr>
      <w:r w:rsidRPr="00A371FB">
        <w:rPr>
          <w:rFonts w:ascii="Times New Roman" w:hAnsi="Times New Roman"/>
          <w:color w:val="000000" w:themeColor="text1"/>
          <w:sz w:val="22"/>
          <w:szCs w:val="22"/>
          <w:lang w:val="es-ES"/>
        </w:rPr>
        <w:fldChar w:fldCharType="begin"/>
      </w:r>
      <w:r w:rsidRPr="00A371FB">
        <w:rPr>
          <w:rFonts w:ascii="Times New Roman" w:hAnsi="Times New Roman"/>
          <w:color w:val="000000" w:themeColor="text1"/>
          <w:sz w:val="22"/>
          <w:szCs w:val="22"/>
          <w:lang w:val="es-ES"/>
        </w:rPr>
        <w:instrText xml:space="preserve"> XE "AGRADECIMIENTOS" </w:instrText>
      </w:r>
      <w:r w:rsidRPr="00A371FB">
        <w:rPr>
          <w:rFonts w:ascii="Times New Roman" w:hAnsi="Times New Roman"/>
          <w:color w:val="000000" w:themeColor="text1"/>
          <w:sz w:val="22"/>
          <w:szCs w:val="22"/>
          <w:lang w:val="es-ES"/>
        </w:rPr>
        <w:fldChar w:fldCharType="end"/>
      </w:r>
      <w:r w:rsidRPr="00A371FB">
        <w:rPr>
          <w:rFonts w:ascii="Times New Roman" w:hAnsi="Times New Roman"/>
          <w:color w:val="000000" w:themeColor="text1"/>
          <w:sz w:val="22"/>
          <w:szCs w:val="22"/>
          <w:lang w:val="es-ES"/>
        </w:rPr>
        <w:t xml:space="preserve">Resulta importante para el Directorio manifestar su agradecimiento a todos los empleados de la Sociedad por la labor realizada durante el ejercicio que ha resultado fundamental para los logros técnicos y económicos obtenidos. Asimismo, reconoce expresamente la contribución de clientes y </w:t>
      </w:r>
      <w:r w:rsidR="00521129" w:rsidRPr="00A371FB">
        <w:rPr>
          <w:rFonts w:ascii="Times New Roman" w:hAnsi="Times New Roman"/>
          <w:color w:val="000000" w:themeColor="text1"/>
          <w:sz w:val="22"/>
          <w:szCs w:val="22"/>
          <w:lang w:val="es-ES"/>
        </w:rPr>
        <w:t>proveedores,</w:t>
      </w:r>
      <w:r w:rsidRPr="00A371FB">
        <w:rPr>
          <w:rFonts w:ascii="Times New Roman" w:hAnsi="Times New Roman"/>
          <w:color w:val="000000" w:themeColor="text1"/>
          <w:sz w:val="22"/>
          <w:szCs w:val="22"/>
          <w:lang w:val="es-ES"/>
        </w:rPr>
        <w:t xml:space="preserve"> así como de las entidades bancarias y demás colaboradores que han trabajado para una mejor gestión de la compañía durante el ejercicio.</w:t>
      </w:r>
    </w:p>
    <w:p w14:paraId="44BFEFE3" w14:textId="1BBC344F" w:rsidR="006B1FB8" w:rsidRPr="00A371FB" w:rsidRDefault="000459D1" w:rsidP="006071C8">
      <w:pPr>
        <w:spacing w:after="100" w:afterAutospacing="1" w:line="240" w:lineRule="exact"/>
        <w:jc w:val="both"/>
        <w:rPr>
          <w:rFonts w:ascii="Times New Roman" w:hAnsi="Times New Roman"/>
          <w:sz w:val="22"/>
          <w:szCs w:val="22"/>
        </w:rPr>
      </w:pPr>
      <w:r w:rsidRPr="00A371FB">
        <w:rPr>
          <w:rFonts w:ascii="Times New Roman" w:hAnsi="Times New Roman"/>
          <w:sz w:val="22"/>
          <w:szCs w:val="22"/>
        </w:rPr>
        <w:t xml:space="preserve">Ciudad Autónoma de Buenos Aires, </w:t>
      </w:r>
      <w:r w:rsidR="006B2FB7" w:rsidRPr="00A371FB">
        <w:rPr>
          <w:rFonts w:ascii="Times New Roman" w:hAnsi="Times New Roman"/>
          <w:sz w:val="22"/>
          <w:szCs w:val="22"/>
        </w:rPr>
        <w:t>9</w:t>
      </w:r>
      <w:r w:rsidR="004B4660" w:rsidRPr="00A371FB">
        <w:rPr>
          <w:rFonts w:ascii="Times New Roman" w:hAnsi="Times New Roman"/>
          <w:sz w:val="22"/>
          <w:szCs w:val="22"/>
        </w:rPr>
        <w:t xml:space="preserve"> </w:t>
      </w:r>
      <w:r w:rsidRPr="00A371FB">
        <w:rPr>
          <w:rFonts w:ascii="Times New Roman" w:hAnsi="Times New Roman"/>
          <w:sz w:val="22"/>
          <w:szCs w:val="22"/>
        </w:rPr>
        <w:t>de marzo de 20</w:t>
      </w:r>
      <w:r w:rsidR="009D0BA0" w:rsidRPr="00A371FB">
        <w:rPr>
          <w:rFonts w:ascii="Times New Roman" w:hAnsi="Times New Roman"/>
          <w:sz w:val="22"/>
          <w:szCs w:val="22"/>
        </w:rPr>
        <w:t>2</w:t>
      </w:r>
      <w:r w:rsidR="006B2FB7" w:rsidRPr="00A371FB">
        <w:rPr>
          <w:rFonts w:ascii="Times New Roman" w:hAnsi="Times New Roman"/>
          <w:sz w:val="22"/>
          <w:szCs w:val="22"/>
        </w:rPr>
        <w:t>3</w:t>
      </w:r>
      <w:r w:rsidR="00EE4AFB" w:rsidRPr="00A371FB">
        <w:rPr>
          <w:rFonts w:ascii="Times New Roman" w:hAnsi="Times New Roman"/>
          <w:sz w:val="22"/>
          <w:szCs w:val="22"/>
        </w:rPr>
        <w:t>.</w:t>
      </w:r>
    </w:p>
    <w:p w14:paraId="1262BA60" w14:textId="51757469" w:rsidR="00CD2BA5" w:rsidRPr="00A371FB" w:rsidRDefault="000459D1" w:rsidP="006B1FB8">
      <w:pPr>
        <w:spacing w:after="100" w:afterAutospacing="1" w:line="240" w:lineRule="exact"/>
        <w:jc w:val="right"/>
        <w:rPr>
          <w:rFonts w:ascii="Times New Roman" w:hAnsi="Times New Roman"/>
          <w:sz w:val="22"/>
          <w:szCs w:val="22"/>
        </w:rPr>
      </w:pPr>
      <w:r w:rsidRPr="00A371FB">
        <w:rPr>
          <w:rFonts w:ascii="Times New Roman" w:hAnsi="Times New Roman"/>
          <w:sz w:val="22"/>
          <w:szCs w:val="22"/>
        </w:rPr>
        <w:t>EL DIRECTORIO</w:t>
      </w:r>
    </w:p>
    <w:p w14:paraId="21FFB4F7" w14:textId="07FF7FCA" w:rsidR="00C63F84" w:rsidRPr="00A371FB" w:rsidRDefault="00C63F84" w:rsidP="00C63F84">
      <w:pPr>
        <w:rPr>
          <w:rFonts w:ascii="Times New Roman" w:hAnsi="Times New Roman"/>
          <w:sz w:val="22"/>
          <w:szCs w:val="22"/>
        </w:rPr>
      </w:pPr>
      <w:r w:rsidRPr="00A371FB">
        <w:rPr>
          <w:rFonts w:ascii="Times New Roman" w:hAnsi="Times New Roman"/>
          <w:b/>
          <w:sz w:val="22"/>
          <w:szCs w:val="22"/>
        </w:rPr>
        <w:t>b)</w:t>
      </w:r>
      <w:r w:rsidRPr="00A371FB">
        <w:rPr>
          <w:rFonts w:ascii="Times New Roman" w:hAnsi="Times New Roman"/>
          <w:sz w:val="22"/>
          <w:szCs w:val="22"/>
        </w:rPr>
        <w:t xml:space="preserve"> </w:t>
      </w:r>
      <w:r w:rsidRPr="00A371FB">
        <w:rPr>
          <w:rFonts w:ascii="Times New Roman" w:hAnsi="Times New Roman"/>
          <w:b/>
          <w:sz w:val="22"/>
          <w:szCs w:val="22"/>
        </w:rPr>
        <w:t>Informe de la Comisión Fiscalizadora</w:t>
      </w:r>
      <w:r w:rsidRPr="00A371FB">
        <w:rPr>
          <w:rFonts w:ascii="Times New Roman" w:hAnsi="Times New Roman"/>
          <w:sz w:val="22"/>
          <w:szCs w:val="22"/>
        </w:rPr>
        <w:t>:</w:t>
      </w:r>
    </w:p>
    <w:p w14:paraId="0999717C" w14:textId="77777777" w:rsidR="00C63F84" w:rsidRPr="00A371FB" w:rsidRDefault="00C63F84" w:rsidP="00C63F84">
      <w:pPr>
        <w:spacing w:after="0" w:line="320" w:lineRule="exact"/>
        <w:ind w:right="335" w:firstLine="425"/>
        <w:contextualSpacing/>
        <w:jc w:val="center"/>
        <w:rPr>
          <w:rFonts w:ascii="Times New Roman" w:hAnsi="Times New Roman"/>
          <w:b/>
          <w:sz w:val="22"/>
          <w:szCs w:val="22"/>
        </w:rPr>
      </w:pPr>
      <w:r w:rsidRPr="00A371FB">
        <w:rPr>
          <w:rFonts w:ascii="Times New Roman" w:hAnsi="Times New Roman"/>
          <w:b/>
          <w:sz w:val="22"/>
          <w:szCs w:val="22"/>
        </w:rPr>
        <w:t>Informe de la Comisión Fiscalizadora</w:t>
      </w:r>
    </w:p>
    <w:p w14:paraId="5EA35C57" w14:textId="77777777" w:rsidR="00C63F84" w:rsidRPr="00A371FB" w:rsidRDefault="00C63F84" w:rsidP="00C63F84">
      <w:pPr>
        <w:spacing w:after="0" w:line="320" w:lineRule="exact"/>
        <w:ind w:right="335" w:firstLine="425"/>
        <w:contextualSpacing/>
        <w:jc w:val="center"/>
        <w:rPr>
          <w:rFonts w:ascii="Times New Roman" w:hAnsi="Times New Roman"/>
          <w:b/>
          <w:sz w:val="22"/>
          <w:szCs w:val="22"/>
        </w:rPr>
      </w:pPr>
    </w:p>
    <w:p w14:paraId="3C1A5B95" w14:textId="77777777" w:rsidR="00C63F84" w:rsidRPr="00A371FB" w:rsidRDefault="00C63F84" w:rsidP="00C63F84">
      <w:pPr>
        <w:spacing w:after="0" w:line="240" w:lineRule="auto"/>
        <w:ind w:right="335"/>
        <w:contextualSpacing/>
        <w:rPr>
          <w:rFonts w:ascii="Times New Roman" w:hAnsi="Times New Roman"/>
          <w:sz w:val="22"/>
          <w:szCs w:val="22"/>
        </w:rPr>
      </w:pPr>
      <w:r w:rsidRPr="00A371FB">
        <w:rPr>
          <w:rFonts w:ascii="Times New Roman" w:hAnsi="Times New Roman"/>
          <w:sz w:val="22"/>
          <w:szCs w:val="22"/>
        </w:rPr>
        <w:t xml:space="preserve">A los señores Accionistas de </w:t>
      </w:r>
    </w:p>
    <w:p w14:paraId="5A384522" w14:textId="77777777" w:rsidR="00C63F84" w:rsidRPr="00A371FB" w:rsidRDefault="00C63F84" w:rsidP="00C63F84">
      <w:pPr>
        <w:spacing w:after="0" w:line="240" w:lineRule="auto"/>
        <w:ind w:right="335"/>
        <w:contextualSpacing/>
        <w:rPr>
          <w:rFonts w:ascii="Times New Roman" w:hAnsi="Times New Roman"/>
          <w:sz w:val="22"/>
          <w:szCs w:val="22"/>
        </w:rPr>
      </w:pPr>
      <w:r w:rsidRPr="00A371FB">
        <w:rPr>
          <w:rFonts w:ascii="Times New Roman" w:hAnsi="Times New Roman"/>
          <w:sz w:val="22"/>
          <w:szCs w:val="22"/>
        </w:rPr>
        <w:t>Central Térmica Roca S.A.</w:t>
      </w:r>
    </w:p>
    <w:p w14:paraId="3BC119AB" w14:textId="77777777" w:rsidR="00C63F84" w:rsidRPr="00A371FB" w:rsidRDefault="00C63F84" w:rsidP="00C63F84">
      <w:pPr>
        <w:spacing w:after="0" w:line="240" w:lineRule="auto"/>
        <w:jc w:val="both"/>
        <w:rPr>
          <w:rFonts w:ascii="Times New Roman" w:eastAsia="Arial Unicode MS" w:hAnsi="Times New Roman"/>
          <w:b/>
          <w:sz w:val="22"/>
          <w:szCs w:val="22"/>
        </w:rPr>
      </w:pPr>
    </w:p>
    <w:p w14:paraId="7A0299AC" w14:textId="77777777" w:rsidR="00C63F84" w:rsidRPr="00A371FB" w:rsidRDefault="00C63F84">
      <w:pPr>
        <w:numPr>
          <w:ilvl w:val="0"/>
          <w:numId w:val="20"/>
        </w:numPr>
        <w:spacing w:after="0" w:line="240" w:lineRule="auto"/>
        <w:ind w:left="397" w:hanging="397"/>
        <w:jc w:val="both"/>
        <w:rPr>
          <w:rFonts w:ascii="Times New Roman" w:eastAsia="Arial Unicode MS" w:hAnsi="Times New Roman"/>
          <w:spacing w:val="-3"/>
          <w:sz w:val="22"/>
          <w:szCs w:val="22"/>
        </w:rPr>
      </w:pPr>
      <w:r w:rsidRPr="00A371FB">
        <w:rPr>
          <w:rFonts w:ascii="Times New Roman" w:eastAsia="Arial Unicode MS" w:hAnsi="Times New Roman"/>
          <w:spacing w:val="-3"/>
          <w:sz w:val="22"/>
          <w:szCs w:val="22"/>
        </w:rPr>
        <w:t>1. De acuerdo con lo dispuesto en el artículo Nº 294 de la Ley N° 19.550, en las Normas de la Comisión Nacional de Valores (“CNV”) y en el Reglamento de la Bolsa de Comercio de Buenos Aires, hemos examinado el estado de situación financiera de Central Térmica Roca S.A. al 31 de diciembre de 2022, los correspondientes estados de resultados integrales, de cambios en el patrimonio y de flujos de efectivo por el ejercicio económico finalizado el 31 de diciembre de 2022 y las notas que los complementan. Además, hemos examinado la Memoria del Directorio, correspondiente a dicho ejercicio. La preparación y emisión de los mencionados estados financieros es responsabilidad de Central Térmica Roca S.A.</w:t>
      </w:r>
    </w:p>
    <w:p w14:paraId="50CE528B" w14:textId="77777777" w:rsidR="00C63F84" w:rsidRPr="00A371FB" w:rsidRDefault="00C63F84" w:rsidP="00C63F84">
      <w:pPr>
        <w:spacing w:after="0" w:line="240" w:lineRule="auto"/>
        <w:ind w:left="709"/>
        <w:jc w:val="both"/>
        <w:rPr>
          <w:rFonts w:ascii="Times New Roman" w:eastAsia="Arial Unicode MS" w:hAnsi="Times New Roman"/>
          <w:spacing w:val="-3"/>
          <w:sz w:val="22"/>
          <w:szCs w:val="22"/>
        </w:rPr>
      </w:pPr>
    </w:p>
    <w:p w14:paraId="16419077" w14:textId="77777777" w:rsidR="00C63F84" w:rsidRPr="00A371FB" w:rsidRDefault="00C63F84">
      <w:pPr>
        <w:numPr>
          <w:ilvl w:val="0"/>
          <w:numId w:val="20"/>
        </w:numPr>
        <w:spacing w:after="0" w:line="240" w:lineRule="auto"/>
        <w:ind w:left="397" w:hanging="397"/>
        <w:jc w:val="both"/>
        <w:rPr>
          <w:rFonts w:ascii="Times New Roman" w:eastAsia="Arial Unicode MS" w:hAnsi="Times New Roman"/>
          <w:spacing w:val="-3"/>
          <w:sz w:val="22"/>
          <w:szCs w:val="22"/>
        </w:rPr>
      </w:pPr>
      <w:r w:rsidRPr="00A371FB">
        <w:rPr>
          <w:rFonts w:ascii="Times New Roman" w:eastAsia="Arial Unicode MS" w:hAnsi="Times New Roman"/>
          <w:spacing w:val="-3"/>
          <w:sz w:val="22"/>
          <w:szCs w:val="22"/>
        </w:rPr>
        <w:t>2. Nuestro examen fue realizado de acuerdo con las normas de sindicatura vigentes. Dichas normas requieren que los exámenes de los estados financieros se efectúen de acuerdo con las normas de auditoría vigentes, e incluyan la verificación de la razonabilidad de la información significativa de los documentos examinados y su congruencia con la restante información sobre las decisiones societarias de las que hemos tomado conocimiento, expuestas en actas de Directorio y Asamblea, así como la adecuación de dichas decisiones a la ley y a los estatutos, en lo relativo a sus aspectos formales y documentales. Para realizar nuestra tarea profesional, hemos efectuado una revisión del trabajo realizado por los auditores externos de la Sociedad, Price Waterhouse &amp; Co. S.R.L, quienes emitieron su opinión sin salvedades en la misma fecha que este informe. Una auditoría requiere que el auditor planifique y desarrolle su tarea con el objetivo de obtener un grado razonable de seguridad acerca de la inexistencia de manifestaciones no veraces o errores significativos en los estados financieros. Una auditoría incluye examinar, sobre bases selectivas, los elementos de juicio que respaldan la información expuesta en los estados financieros, así como evaluar las normas contables utilizadas, las estimaciones significativas efectuadas por la Sociedad y la presentación de los estados financieros tomados en su conjunto. No hemos evaluado los criterios empresarios de administración, financiación, comercialización y explotación, dado que ellos son de incumbencia exclusiva del Directorio y de la Asamblea.</w:t>
      </w:r>
    </w:p>
    <w:p w14:paraId="6C4FE345" w14:textId="77777777" w:rsidR="00C63F84" w:rsidRPr="00A371FB" w:rsidRDefault="00C63F84" w:rsidP="00C63F84">
      <w:pPr>
        <w:spacing w:after="0" w:line="240" w:lineRule="auto"/>
        <w:ind w:left="709"/>
        <w:jc w:val="both"/>
        <w:rPr>
          <w:rFonts w:ascii="Times New Roman" w:eastAsia="Arial Unicode MS" w:hAnsi="Times New Roman"/>
          <w:spacing w:val="-3"/>
          <w:sz w:val="22"/>
          <w:szCs w:val="22"/>
        </w:rPr>
      </w:pPr>
    </w:p>
    <w:p w14:paraId="4FCEB731" w14:textId="77777777" w:rsidR="00C63F84" w:rsidRPr="00A371FB" w:rsidRDefault="00C63F84">
      <w:pPr>
        <w:numPr>
          <w:ilvl w:val="0"/>
          <w:numId w:val="20"/>
        </w:numPr>
        <w:spacing w:after="0" w:line="240" w:lineRule="auto"/>
        <w:ind w:left="397" w:hanging="397"/>
        <w:jc w:val="both"/>
        <w:rPr>
          <w:rFonts w:ascii="Times New Roman" w:eastAsia="Arial Unicode MS" w:hAnsi="Times New Roman"/>
          <w:spacing w:val="-3"/>
          <w:sz w:val="22"/>
          <w:szCs w:val="22"/>
        </w:rPr>
      </w:pPr>
      <w:r w:rsidRPr="00A371FB">
        <w:rPr>
          <w:rFonts w:ascii="Times New Roman" w:eastAsia="Arial Unicode MS" w:hAnsi="Times New Roman"/>
          <w:spacing w:val="-3"/>
          <w:sz w:val="22"/>
          <w:szCs w:val="22"/>
        </w:rPr>
        <w:t>3. Asimismo, en relación con la Memoria del Directorio correspondiente al ejercicio económico finalizado el 31 de diciembre de 2022, hemos verificado que contiene la información requerida por el artículo N° 66 de la Ley General de Sociedades N° 19.550, Ley 26.831 y sus modificatorias y, en lo que es materia de nuestra competencia, que sus datos numéricos concuerdan con los registros financieros de Central Térmica Roca S.A. y otra documentación pertinente.</w:t>
      </w:r>
    </w:p>
    <w:p w14:paraId="4856A6A5" w14:textId="77777777" w:rsidR="00C63F84" w:rsidRPr="00A371FB" w:rsidRDefault="00C63F84" w:rsidP="00C63F84">
      <w:pPr>
        <w:spacing w:after="0" w:line="240" w:lineRule="auto"/>
        <w:jc w:val="both"/>
        <w:rPr>
          <w:rFonts w:ascii="Times New Roman" w:eastAsia="Arial Unicode MS" w:hAnsi="Times New Roman"/>
          <w:spacing w:val="-3"/>
          <w:sz w:val="22"/>
          <w:szCs w:val="22"/>
        </w:rPr>
      </w:pPr>
    </w:p>
    <w:p w14:paraId="3F43EB99" w14:textId="77777777" w:rsidR="00C63F84" w:rsidRPr="00A371FB" w:rsidRDefault="00C63F84">
      <w:pPr>
        <w:numPr>
          <w:ilvl w:val="0"/>
          <w:numId w:val="20"/>
        </w:numPr>
        <w:spacing w:after="0" w:line="240" w:lineRule="auto"/>
        <w:ind w:left="397" w:hanging="397"/>
        <w:jc w:val="both"/>
        <w:rPr>
          <w:rFonts w:ascii="Times New Roman" w:eastAsia="Arial Unicode MS" w:hAnsi="Times New Roman"/>
          <w:spacing w:val="-3"/>
          <w:sz w:val="22"/>
          <w:szCs w:val="22"/>
        </w:rPr>
      </w:pPr>
      <w:r w:rsidRPr="00A371FB">
        <w:rPr>
          <w:rFonts w:ascii="Times New Roman" w:eastAsia="Arial Unicode MS" w:hAnsi="Times New Roman"/>
          <w:spacing w:val="-3"/>
          <w:sz w:val="22"/>
          <w:szCs w:val="22"/>
        </w:rPr>
        <w:t>4. Hemos verificado el cumplimiento en lo que respecta al estado de garantías de los Directores en gestión a la fecha de presentación de los estados financieros al 31 de diciembre de 2020, conforme lo establecido en el punto 1.4 del Anexo I de la Resolución Técnica N° 16 de la Federación Argentina de Consejos Profesionales de Ciencias Económicas.</w:t>
      </w:r>
    </w:p>
    <w:p w14:paraId="2BB21663" w14:textId="77777777" w:rsidR="00C63F84" w:rsidRPr="00A371FB" w:rsidRDefault="00C63F84" w:rsidP="00C63F84">
      <w:pPr>
        <w:spacing w:after="0" w:line="240" w:lineRule="auto"/>
        <w:jc w:val="both"/>
        <w:rPr>
          <w:rFonts w:ascii="Times New Roman" w:eastAsia="Arial Unicode MS" w:hAnsi="Times New Roman"/>
          <w:spacing w:val="-3"/>
          <w:sz w:val="22"/>
          <w:szCs w:val="22"/>
        </w:rPr>
      </w:pPr>
    </w:p>
    <w:p w14:paraId="6A11AA94" w14:textId="77777777" w:rsidR="00C63F84" w:rsidRPr="00A371FB" w:rsidRDefault="00C63F84">
      <w:pPr>
        <w:numPr>
          <w:ilvl w:val="0"/>
          <w:numId w:val="20"/>
        </w:numPr>
        <w:spacing w:after="0" w:line="240" w:lineRule="auto"/>
        <w:ind w:left="397" w:hanging="397"/>
        <w:jc w:val="both"/>
        <w:rPr>
          <w:rFonts w:ascii="Times New Roman" w:eastAsia="Arial Unicode MS" w:hAnsi="Times New Roman"/>
          <w:spacing w:val="-3"/>
          <w:sz w:val="22"/>
          <w:szCs w:val="22"/>
        </w:rPr>
      </w:pPr>
      <w:r w:rsidRPr="00A371FB">
        <w:rPr>
          <w:rFonts w:ascii="Times New Roman" w:eastAsia="Arial Unicode MS" w:hAnsi="Times New Roman"/>
          <w:spacing w:val="-3"/>
          <w:sz w:val="22"/>
          <w:szCs w:val="22"/>
        </w:rPr>
        <w:t>5. Basados en el trabajo realizado, con el alcance descripto más arriba, informamos que:</w:t>
      </w:r>
    </w:p>
    <w:p w14:paraId="42C9EF12" w14:textId="77777777" w:rsidR="00C63F84" w:rsidRPr="00A371FB" w:rsidRDefault="00C63F84" w:rsidP="00C63F84">
      <w:pPr>
        <w:jc w:val="both"/>
        <w:rPr>
          <w:rFonts w:ascii="Times New Roman" w:hAnsi="Times New Roman"/>
          <w:sz w:val="22"/>
          <w:szCs w:val="22"/>
        </w:rPr>
      </w:pPr>
    </w:p>
    <w:p w14:paraId="57E55051" w14:textId="77777777" w:rsidR="00C63F84" w:rsidRPr="00A371FB" w:rsidRDefault="00C63F84">
      <w:pPr>
        <w:pStyle w:val="Prrafodelista"/>
        <w:numPr>
          <w:ilvl w:val="0"/>
          <w:numId w:val="21"/>
        </w:numPr>
        <w:jc w:val="both"/>
        <w:rPr>
          <w:rFonts w:ascii="Times New Roman" w:eastAsia="Arial Unicode MS" w:hAnsi="Times New Roman"/>
          <w:spacing w:val="-3"/>
          <w:sz w:val="22"/>
          <w:szCs w:val="22"/>
        </w:rPr>
      </w:pPr>
      <w:r w:rsidRPr="00A371FB">
        <w:rPr>
          <w:rFonts w:ascii="Times New Roman" w:eastAsia="Arial Unicode MS" w:hAnsi="Times New Roman"/>
          <w:spacing w:val="-3"/>
          <w:sz w:val="22"/>
          <w:szCs w:val="22"/>
        </w:rPr>
        <w:t>En nuestra opinión, los estados financieros de Central Térmica Roca S.A. reflejan razonablemente, en todos sus aspectos significativos, su situación financiera al 31 de diciembre de 2022, su resultado integral, las variaciones en su patrimonio y el flujo de efectivo por el ejercicio económico finalizado en dicha fecha, de acuerdo con normas contables profesionales vigentes en la Ciudad Autónoma de Buenos Aires y normas de la CNV;</w:t>
      </w:r>
    </w:p>
    <w:p w14:paraId="134717E8" w14:textId="77777777" w:rsidR="00C63F84" w:rsidRPr="00A371FB" w:rsidRDefault="00C63F84">
      <w:pPr>
        <w:pStyle w:val="Prrafodelista"/>
        <w:numPr>
          <w:ilvl w:val="0"/>
          <w:numId w:val="21"/>
        </w:numPr>
        <w:jc w:val="both"/>
        <w:rPr>
          <w:rFonts w:ascii="Times New Roman" w:hAnsi="Times New Roman"/>
          <w:sz w:val="22"/>
          <w:szCs w:val="22"/>
        </w:rPr>
      </w:pPr>
      <w:r w:rsidRPr="00A371FB">
        <w:rPr>
          <w:rFonts w:ascii="Times New Roman" w:hAnsi="Times New Roman"/>
          <w:sz w:val="22"/>
          <w:szCs w:val="22"/>
        </w:rPr>
        <w:t>No tenemos observaciones que formular, en materia de nuestra competencia, en relación con la Memoria del Directorio, siendo las afirmaciones sobre hechos futuros responsabilidad exclusiva del Directorio;</w:t>
      </w:r>
    </w:p>
    <w:p w14:paraId="296CE903" w14:textId="77777777" w:rsidR="00C63F84" w:rsidRPr="00A371FB" w:rsidRDefault="00C63F84" w:rsidP="00C63F84">
      <w:pPr>
        <w:pStyle w:val="Prrafodelista"/>
        <w:jc w:val="both"/>
        <w:rPr>
          <w:rFonts w:ascii="Times New Roman" w:hAnsi="Times New Roman"/>
          <w:sz w:val="22"/>
          <w:szCs w:val="22"/>
        </w:rPr>
      </w:pPr>
    </w:p>
    <w:p w14:paraId="5233E7BD" w14:textId="77777777" w:rsidR="00C63F84" w:rsidRPr="00A371FB" w:rsidRDefault="00C63F84">
      <w:pPr>
        <w:pStyle w:val="Prrafodelista"/>
        <w:numPr>
          <w:ilvl w:val="0"/>
          <w:numId w:val="21"/>
        </w:numPr>
        <w:jc w:val="both"/>
        <w:rPr>
          <w:rFonts w:ascii="Times New Roman" w:hAnsi="Times New Roman"/>
          <w:sz w:val="22"/>
          <w:szCs w:val="22"/>
        </w:rPr>
      </w:pPr>
      <w:r w:rsidRPr="00A371FB">
        <w:rPr>
          <w:rFonts w:ascii="Times New Roman" w:hAnsi="Times New Roman"/>
          <w:sz w:val="22"/>
          <w:szCs w:val="22"/>
        </w:rPr>
        <w:t>Respecto de la independencia de los auditores externos y sobre la calidad de las políticas de auditoría aplicadas por el mismo y de las políticas de contabilización de Central Térmica Roca S.A., el informe de los auditores externos incluye la manifestación de haber aplicado las normas de auditoría vigentes en Argentina, que comprenden los requisitos de independencia, y no contiene salvedades en relación a la aplicación de dichas normas y de las normas contables  profesionales vigentes en Argentina, no teniendo observación alguna respecto de las políticas de contabilización referidas;</w:t>
      </w:r>
    </w:p>
    <w:p w14:paraId="2C4E1AB9" w14:textId="77777777" w:rsidR="00C63F84" w:rsidRPr="00A371FB" w:rsidRDefault="00C63F84" w:rsidP="00C63F84">
      <w:pPr>
        <w:pStyle w:val="Prrafodelista"/>
        <w:jc w:val="both"/>
        <w:rPr>
          <w:rFonts w:ascii="Times New Roman" w:hAnsi="Times New Roman"/>
          <w:sz w:val="22"/>
          <w:szCs w:val="22"/>
        </w:rPr>
      </w:pPr>
    </w:p>
    <w:p w14:paraId="4B63F59C" w14:textId="77777777" w:rsidR="00C63F84" w:rsidRPr="00A371FB" w:rsidRDefault="00C63F84">
      <w:pPr>
        <w:pStyle w:val="Prrafodelista"/>
        <w:numPr>
          <w:ilvl w:val="0"/>
          <w:numId w:val="21"/>
        </w:numPr>
        <w:jc w:val="both"/>
        <w:rPr>
          <w:rFonts w:ascii="Times New Roman" w:hAnsi="Times New Roman"/>
          <w:sz w:val="22"/>
          <w:szCs w:val="22"/>
        </w:rPr>
      </w:pPr>
      <w:r w:rsidRPr="00A371FB">
        <w:rPr>
          <w:rFonts w:ascii="Times New Roman" w:hAnsi="Times New Roman"/>
          <w:sz w:val="22"/>
          <w:szCs w:val="22"/>
        </w:rPr>
        <w:t>Se ha dado cumplimiento a lo dispuesto por la Resolución N° 797/2019 de la Comisión Nacional de Valores en relación con la presentación del informe de cumplimiento del Código de Gobierno Societario.</w:t>
      </w:r>
    </w:p>
    <w:p w14:paraId="54D249AC" w14:textId="77777777" w:rsidR="00C63F84" w:rsidRPr="00A371FB" w:rsidRDefault="00C63F84" w:rsidP="00C63F84">
      <w:pPr>
        <w:pStyle w:val="Prrafodelista"/>
        <w:jc w:val="both"/>
        <w:rPr>
          <w:rFonts w:ascii="Times New Roman" w:hAnsi="Times New Roman"/>
          <w:sz w:val="22"/>
          <w:szCs w:val="22"/>
        </w:rPr>
      </w:pPr>
    </w:p>
    <w:p w14:paraId="226129D2" w14:textId="77777777" w:rsidR="00C63F84" w:rsidRPr="00A371FB" w:rsidRDefault="00C63F84">
      <w:pPr>
        <w:pStyle w:val="Prrafodelista"/>
        <w:numPr>
          <w:ilvl w:val="0"/>
          <w:numId w:val="21"/>
        </w:numPr>
        <w:jc w:val="both"/>
        <w:rPr>
          <w:rFonts w:ascii="Times New Roman" w:hAnsi="Times New Roman"/>
          <w:sz w:val="22"/>
          <w:szCs w:val="22"/>
        </w:rPr>
      </w:pPr>
      <w:r w:rsidRPr="00A371FB">
        <w:rPr>
          <w:rFonts w:ascii="Times New Roman" w:hAnsi="Times New Roman"/>
          <w:sz w:val="22"/>
          <w:szCs w:val="22"/>
        </w:rPr>
        <w:t>En relación a lo determinado por las normas de la CNV, informamos que hemos leído el informe de los auditores externos, del que se desprende lo siguiente:</w:t>
      </w:r>
    </w:p>
    <w:p w14:paraId="048E2B12" w14:textId="77777777" w:rsidR="00C63F84" w:rsidRPr="00A371FB" w:rsidRDefault="00C63F84" w:rsidP="00C63F84">
      <w:pPr>
        <w:pStyle w:val="Prrafodelista"/>
        <w:jc w:val="both"/>
        <w:rPr>
          <w:rFonts w:ascii="Times New Roman" w:hAnsi="Times New Roman"/>
          <w:sz w:val="22"/>
          <w:szCs w:val="22"/>
        </w:rPr>
      </w:pPr>
    </w:p>
    <w:p w14:paraId="5D16F37B" w14:textId="77777777" w:rsidR="00C63F84" w:rsidRPr="00A371FB" w:rsidRDefault="00C63F84">
      <w:pPr>
        <w:pStyle w:val="Prrafodelista"/>
        <w:numPr>
          <w:ilvl w:val="0"/>
          <w:numId w:val="22"/>
        </w:numPr>
        <w:spacing w:after="0" w:line="240" w:lineRule="auto"/>
        <w:ind w:hanging="371"/>
        <w:jc w:val="both"/>
        <w:rPr>
          <w:rFonts w:ascii="Times New Roman" w:eastAsia="Arial Unicode MS" w:hAnsi="Times New Roman"/>
          <w:spacing w:val="-3"/>
          <w:sz w:val="22"/>
          <w:szCs w:val="22"/>
        </w:rPr>
      </w:pPr>
      <w:r w:rsidRPr="00A371FB">
        <w:rPr>
          <w:rFonts w:ascii="Times New Roman" w:eastAsia="Arial Unicode MS" w:hAnsi="Times New Roman"/>
          <w:spacing w:val="-3"/>
          <w:sz w:val="22"/>
          <w:szCs w:val="22"/>
        </w:rPr>
        <w:t>las normas de auditoría aplicadas son las aprobadas por el Consejo Profesional de Ciencias Económicas de la Ciudad Autónoma de Buenos Aires, las que contemplan los requisitos de independencia, y</w:t>
      </w:r>
    </w:p>
    <w:p w14:paraId="54879A63" w14:textId="77777777" w:rsidR="00C63F84" w:rsidRPr="00A371FB" w:rsidRDefault="00C63F84" w:rsidP="00C63F84">
      <w:pPr>
        <w:pStyle w:val="Prrafodelista"/>
        <w:spacing w:after="0" w:line="240" w:lineRule="auto"/>
        <w:ind w:left="1080"/>
        <w:jc w:val="both"/>
        <w:rPr>
          <w:rFonts w:ascii="Times New Roman" w:eastAsia="Arial Unicode MS" w:hAnsi="Times New Roman"/>
          <w:spacing w:val="-3"/>
          <w:sz w:val="22"/>
          <w:szCs w:val="22"/>
        </w:rPr>
      </w:pPr>
    </w:p>
    <w:p w14:paraId="713AA699" w14:textId="77777777" w:rsidR="00C63F84" w:rsidRPr="00A371FB" w:rsidRDefault="00C63F84">
      <w:pPr>
        <w:pStyle w:val="Prrafodelista"/>
        <w:numPr>
          <w:ilvl w:val="0"/>
          <w:numId w:val="22"/>
        </w:numPr>
        <w:spacing w:after="0" w:line="240" w:lineRule="auto"/>
        <w:ind w:hanging="371"/>
        <w:jc w:val="both"/>
        <w:rPr>
          <w:rFonts w:ascii="Times New Roman" w:eastAsia="Arial Unicode MS" w:hAnsi="Times New Roman"/>
          <w:spacing w:val="-3"/>
          <w:sz w:val="22"/>
          <w:szCs w:val="22"/>
        </w:rPr>
      </w:pPr>
      <w:r w:rsidRPr="00A371FB">
        <w:rPr>
          <w:rFonts w:ascii="Times New Roman" w:eastAsia="Arial Unicode MS" w:hAnsi="Times New Roman"/>
          <w:spacing w:val="-3"/>
          <w:sz w:val="22"/>
          <w:szCs w:val="22"/>
        </w:rPr>
        <w:t>los estados financieros han sido preparados de acuerdo con las Normas Internacionales de Información Financiera, adoptadas por la Federación Argentina de Consejos Profesionales de Ciencias Económicas (“FACPCE”) como normas contables profesionales e incorporadas por la Comisión Nacional de Valores (“CNV”) a su normativa, tal como fueron aprobadas por el Consejo de Normas Internacionales de Contabilidad (“IASB” por su sigla en inglés).</w:t>
      </w:r>
    </w:p>
    <w:p w14:paraId="7216253A" w14:textId="77777777" w:rsidR="00C63F84" w:rsidRPr="00A371FB" w:rsidRDefault="00C63F84" w:rsidP="00C63F84">
      <w:pPr>
        <w:spacing w:after="0" w:line="240" w:lineRule="auto"/>
        <w:ind w:left="1322"/>
        <w:jc w:val="both"/>
        <w:rPr>
          <w:rFonts w:ascii="Times New Roman" w:eastAsia="Arial Unicode MS" w:hAnsi="Times New Roman"/>
          <w:spacing w:val="-3"/>
          <w:sz w:val="22"/>
          <w:szCs w:val="22"/>
        </w:rPr>
      </w:pPr>
    </w:p>
    <w:p w14:paraId="569F26C4" w14:textId="77777777" w:rsidR="00C63F84" w:rsidRPr="00A371FB" w:rsidRDefault="00C63F84">
      <w:pPr>
        <w:pStyle w:val="Prrafodelista"/>
        <w:numPr>
          <w:ilvl w:val="0"/>
          <w:numId w:val="21"/>
        </w:numPr>
        <w:spacing w:after="0" w:line="240" w:lineRule="auto"/>
        <w:jc w:val="both"/>
        <w:rPr>
          <w:rFonts w:ascii="Times New Roman" w:eastAsia="Arial Unicode MS" w:hAnsi="Times New Roman"/>
          <w:spacing w:val="-3"/>
          <w:sz w:val="22"/>
          <w:szCs w:val="22"/>
        </w:rPr>
      </w:pPr>
      <w:r w:rsidRPr="00A371FB">
        <w:rPr>
          <w:rFonts w:ascii="Times New Roman" w:eastAsia="Arial Unicode MS" w:hAnsi="Times New Roman"/>
          <w:spacing w:val="-3"/>
          <w:sz w:val="22"/>
          <w:szCs w:val="22"/>
        </w:rPr>
        <w:t>Hemos aplicado los procedimientos sobre prevención de lavado de activos y financiación del terrorismo previstos en las correspondientes normas profesionales emitidas por la Federación Argentina de Consejos Profesionales de Ciencias Económicas.</w:t>
      </w:r>
    </w:p>
    <w:p w14:paraId="329F216B" w14:textId="77777777" w:rsidR="00C63F84" w:rsidRPr="00A371FB" w:rsidRDefault="00C63F84" w:rsidP="00C63F84">
      <w:pPr>
        <w:pStyle w:val="Prrafodelista"/>
        <w:spacing w:after="0" w:line="240" w:lineRule="auto"/>
        <w:jc w:val="both"/>
        <w:rPr>
          <w:rFonts w:ascii="Times New Roman" w:eastAsia="Arial Unicode MS" w:hAnsi="Times New Roman"/>
          <w:spacing w:val="-3"/>
          <w:sz w:val="22"/>
          <w:szCs w:val="22"/>
        </w:rPr>
      </w:pPr>
    </w:p>
    <w:p w14:paraId="5A72277C" w14:textId="77777777" w:rsidR="00C63F84" w:rsidRPr="00A371FB" w:rsidRDefault="00C63F84">
      <w:pPr>
        <w:numPr>
          <w:ilvl w:val="0"/>
          <w:numId w:val="20"/>
        </w:numPr>
        <w:spacing w:after="0" w:line="240" w:lineRule="auto"/>
        <w:jc w:val="both"/>
        <w:rPr>
          <w:rFonts w:ascii="Times New Roman" w:eastAsia="Arial Unicode MS" w:hAnsi="Times New Roman"/>
          <w:spacing w:val="-3"/>
          <w:sz w:val="22"/>
          <w:szCs w:val="22"/>
        </w:rPr>
      </w:pPr>
    </w:p>
    <w:p w14:paraId="1DD1D526" w14:textId="4EE5A184" w:rsidR="00C63F84" w:rsidRPr="00A371FB" w:rsidRDefault="00C63F84">
      <w:pPr>
        <w:numPr>
          <w:ilvl w:val="0"/>
          <w:numId w:val="20"/>
        </w:numPr>
        <w:spacing w:after="0" w:line="240" w:lineRule="auto"/>
        <w:ind w:left="397" w:hanging="397"/>
        <w:jc w:val="both"/>
        <w:rPr>
          <w:rFonts w:ascii="Times New Roman" w:eastAsia="Arial Unicode MS" w:hAnsi="Times New Roman"/>
          <w:spacing w:val="-3"/>
          <w:sz w:val="22"/>
          <w:szCs w:val="22"/>
        </w:rPr>
      </w:pPr>
      <w:r w:rsidRPr="00A371FB">
        <w:rPr>
          <w:rFonts w:ascii="Times New Roman" w:eastAsia="Arial Unicode MS" w:hAnsi="Times New Roman"/>
          <w:spacing w:val="-3"/>
          <w:sz w:val="22"/>
          <w:szCs w:val="22"/>
        </w:rPr>
        <w:t>En ejercicio del control de legalidad que nos compete, hemos aplicado durante el ejercicio los restantes procedimientos descriptos en el Artículo 294 de la Ley General de Sociedades N° 19.550, que consideramos necesarios de acuerdo con las circunstancias, no teniendo observaciones que formular al respecto.</w:t>
      </w:r>
    </w:p>
    <w:p w14:paraId="15EACD07" w14:textId="77777777" w:rsidR="00C63F84" w:rsidRPr="00A371FB" w:rsidRDefault="00C63F84" w:rsidP="00C63F84">
      <w:pPr>
        <w:spacing w:after="0" w:line="240" w:lineRule="auto"/>
        <w:jc w:val="both"/>
        <w:rPr>
          <w:rFonts w:ascii="Times New Roman" w:eastAsia="Arial Unicode MS" w:hAnsi="Times New Roman"/>
          <w:spacing w:val="-3"/>
          <w:sz w:val="22"/>
          <w:szCs w:val="22"/>
        </w:rPr>
      </w:pPr>
    </w:p>
    <w:p w14:paraId="6BC83E30" w14:textId="77777777" w:rsidR="00C63F84" w:rsidRPr="00A371FB" w:rsidRDefault="00C63F84" w:rsidP="00C63F84">
      <w:pPr>
        <w:spacing w:after="0" w:line="240" w:lineRule="auto"/>
        <w:ind w:right="49"/>
        <w:contextualSpacing/>
        <w:jc w:val="both"/>
        <w:rPr>
          <w:rFonts w:ascii="Times New Roman" w:hAnsi="Times New Roman"/>
          <w:sz w:val="22"/>
          <w:szCs w:val="22"/>
        </w:rPr>
      </w:pPr>
      <w:r w:rsidRPr="00A371FB">
        <w:rPr>
          <w:rFonts w:ascii="Times New Roman" w:hAnsi="Times New Roman"/>
          <w:sz w:val="22"/>
          <w:szCs w:val="22"/>
        </w:rPr>
        <w:t>Ciudad Autónoma de Buenos Aires, 9 de marzo de 2023</w:t>
      </w:r>
    </w:p>
    <w:p w14:paraId="6FD61783" w14:textId="6861946A" w:rsidR="00C63F84" w:rsidRPr="00A371FB" w:rsidRDefault="00C63F84" w:rsidP="00C63F84">
      <w:pPr>
        <w:rPr>
          <w:rFonts w:ascii="Times New Roman" w:hAnsi="Times New Roman"/>
          <w:sz w:val="22"/>
          <w:szCs w:val="22"/>
        </w:rPr>
      </w:pPr>
    </w:p>
    <w:p w14:paraId="0C2EF17D" w14:textId="1B1CF745" w:rsidR="00C63F84" w:rsidRPr="00A371FB" w:rsidRDefault="00C63F84" w:rsidP="00C63F84">
      <w:pPr>
        <w:jc w:val="both"/>
        <w:rPr>
          <w:rFonts w:ascii="Times New Roman" w:hAnsi="Times New Roman"/>
          <w:bCs/>
          <w:sz w:val="22"/>
          <w:szCs w:val="22"/>
        </w:rPr>
      </w:pPr>
      <w:r w:rsidRPr="00A371FB">
        <w:rPr>
          <w:rFonts w:ascii="Times New Roman" w:hAnsi="Times New Roman"/>
          <w:b/>
          <w:sz w:val="22"/>
          <w:szCs w:val="22"/>
        </w:rPr>
        <w:t xml:space="preserve">c) Estados Financieros, d) Estado de Situación Financiera, e) Estado de Resultados Integrales, f) Estado de Cambios en el Patrimonio, g) Estado de Flujo de Efectivo, h) Notas a los Estados Financieros, i) Reseña Informativa, j) Información adicional requerida por el artículo 12, Capítulo III, Título IV de la normativa de la Comisión Nacional de Valores, k) Informe de los Auditores Independientes, l) Inventario.  </w:t>
      </w:r>
      <w:r w:rsidRPr="00A371FB">
        <w:rPr>
          <w:rFonts w:ascii="Times New Roman" w:hAnsi="Times New Roman"/>
          <w:sz w:val="22"/>
          <w:szCs w:val="22"/>
        </w:rPr>
        <w:t xml:space="preserve">Asimismo, por unanimidad de los presentes el Directorio </w:t>
      </w:r>
      <w:r w:rsidRPr="00A371FB">
        <w:rPr>
          <w:rFonts w:ascii="Times New Roman" w:hAnsi="Times New Roman"/>
          <w:b/>
          <w:bCs/>
          <w:sz w:val="22"/>
          <w:szCs w:val="22"/>
          <w:u w:val="single"/>
        </w:rPr>
        <w:t>RESUELVE</w:t>
      </w:r>
      <w:r w:rsidRPr="00A371FB">
        <w:rPr>
          <w:rFonts w:ascii="Times New Roman" w:hAnsi="Times New Roman"/>
          <w:sz w:val="22"/>
          <w:szCs w:val="22"/>
        </w:rPr>
        <w:t xml:space="preserve"> designar al Sr. Presidente para que suscriba los Estados Financieros aprobados en la presente reunión en nombre y representación del Directorio. A </w:t>
      </w:r>
      <w:r w:rsidRPr="00BD130F">
        <w:rPr>
          <w:rFonts w:ascii="Times New Roman" w:hAnsi="Times New Roman"/>
          <w:sz w:val="22"/>
          <w:szCs w:val="22"/>
        </w:rPr>
        <w:t xml:space="preserve">continuación, el Sr. Presidente manifiesta que resulta necesario convocar a </w:t>
      </w:r>
      <w:r w:rsidRPr="00BD130F">
        <w:rPr>
          <w:rFonts w:ascii="Times New Roman" w:hAnsi="Times New Roman"/>
          <w:b/>
          <w:sz w:val="22"/>
          <w:szCs w:val="22"/>
        </w:rPr>
        <w:t>Asamblea General Ordinaria</w:t>
      </w:r>
      <w:r w:rsidRPr="00BD130F">
        <w:rPr>
          <w:rFonts w:ascii="Times New Roman" w:hAnsi="Times New Roman"/>
          <w:sz w:val="22"/>
          <w:szCs w:val="22"/>
        </w:rPr>
        <w:t xml:space="preserve"> para el día </w:t>
      </w:r>
      <w:r w:rsidR="00BD130F" w:rsidRPr="00BD130F">
        <w:rPr>
          <w:rFonts w:ascii="Times New Roman" w:hAnsi="Times New Roman"/>
          <w:b/>
          <w:bCs/>
          <w:sz w:val="22"/>
          <w:szCs w:val="22"/>
        </w:rPr>
        <w:t>19</w:t>
      </w:r>
      <w:r w:rsidRPr="00BD130F">
        <w:rPr>
          <w:rFonts w:ascii="Times New Roman" w:hAnsi="Times New Roman"/>
          <w:b/>
          <w:bCs/>
          <w:sz w:val="22"/>
          <w:szCs w:val="22"/>
        </w:rPr>
        <w:t xml:space="preserve"> de </w:t>
      </w:r>
      <w:r w:rsidR="00BD130F" w:rsidRPr="00BD130F">
        <w:rPr>
          <w:rFonts w:ascii="Times New Roman" w:hAnsi="Times New Roman"/>
          <w:b/>
          <w:bCs/>
          <w:sz w:val="22"/>
          <w:szCs w:val="22"/>
        </w:rPr>
        <w:t>abril</w:t>
      </w:r>
      <w:r w:rsidRPr="00BD130F">
        <w:rPr>
          <w:rFonts w:ascii="Times New Roman" w:hAnsi="Times New Roman"/>
          <w:b/>
          <w:bCs/>
          <w:sz w:val="22"/>
          <w:szCs w:val="22"/>
        </w:rPr>
        <w:t xml:space="preserve"> de 2023</w:t>
      </w:r>
      <w:r w:rsidRPr="00BD130F">
        <w:rPr>
          <w:rFonts w:ascii="Times New Roman" w:hAnsi="Times New Roman"/>
          <w:sz w:val="22"/>
          <w:szCs w:val="22"/>
        </w:rPr>
        <w:t xml:space="preserve"> a las </w:t>
      </w:r>
      <w:r w:rsidRPr="00BD130F">
        <w:rPr>
          <w:rFonts w:ascii="Times New Roman" w:hAnsi="Times New Roman"/>
          <w:b/>
          <w:bCs/>
          <w:sz w:val="22"/>
          <w:szCs w:val="22"/>
        </w:rPr>
        <w:t>1</w:t>
      </w:r>
      <w:r w:rsidR="00BD130F">
        <w:rPr>
          <w:rFonts w:ascii="Times New Roman" w:hAnsi="Times New Roman"/>
          <w:b/>
          <w:bCs/>
          <w:sz w:val="22"/>
          <w:szCs w:val="22"/>
        </w:rPr>
        <w:t>1</w:t>
      </w:r>
      <w:r w:rsidRPr="00BD130F">
        <w:rPr>
          <w:rFonts w:ascii="Times New Roman" w:hAnsi="Times New Roman"/>
          <w:b/>
          <w:bCs/>
          <w:sz w:val="22"/>
          <w:szCs w:val="22"/>
        </w:rPr>
        <w:t>:</w:t>
      </w:r>
      <w:r w:rsidR="00BD130F">
        <w:rPr>
          <w:rFonts w:ascii="Times New Roman" w:hAnsi="Times New Roman"/>
          <w:b/>
          <w:bCs/>
          <w:sz w:val="22"/>
          <w:szCs w:val="22"/>
        </w:rPr>
        <w:t>3</w:t>
      </w:r>
      <w:r w:rsidRPr="00BD130F">
        <w:rPr>
          <w:rFonts w:ascii="Times New Roman" w:hAnsi="Times New Roman"/>
          <w:b/>
          <w:bCs/>
          <w:sz w:val="22"/>
          <w:szCs w:val="22"/>
        </w:rPr>
        <w:t>0 horas</w:t>
      </w:r>
      <w:r w:rsidRPr="00BD130F">
        <w:rPr>
          <w:rFonts w:ascii="Times New Roman" w:hAnsi="Times New Roman"/>
          <w:sz w:val="22"/>
          <w:szCs w:val="22"/>
        </w:rPr>
        <w:t xml:space="preserve"> a celebrarse </w:t>
      </w:r>
      <w:r w:rsidR="007E2CDC" w:rsidRPr="00BD130F">
        <w:rPr>
          <w:rFonts w:ascii="Times New Roman" w:hAnsi="Times New Roman"/>
          <w:sz w:val="22"/>
          <w:szCs w:val="22"/>
        </w:rPr>
        <w:t>a ser celebrada a través de videoconferencia mediante el sistema “Microsoft Teams</w:t>
      </w:r>
      <w:r w:rsidR="007E2CDC" w:rsidRPr="004A538C">
        <w:rPr>
          <w:rFonts w:ascii="Times New Roman" w:hAnsi="Times New Roman"/>
          <w:sz w:val="22"/>
          <w:szCs w:val="22"/>
        </w:rPr>
        <w:t>” u otro que se comunique, y de manera presencial desde la sede social sita en Av. Leandro N. Alem 855, Piso 14 de la Ciudad Autónoma de Buenos Aires</w:t>
      </w:r>
      <w:r w:rsidRPr="00A371FB">
        <w:rPr>
          <w:rFonts w:ascii="Times New Roman" w:hAnsi="Times New Roman"/>
          <w:sz w:val="22"/>
          <w:szCs w:val="22"/>
        </w:rPr>
        <w:t>a fin de considerar el siguiente Orden del Día</w:t>
      </w:r>
      <w:r w:rsidRPr="00A371FB">
        <w:rPr>
          <w:rFonts w:ascii="Times New Roman" w:hAnsi="Times New Roman"/>
          <w:bCs/>
          <w:sz w:val="22"/>
          <w:szCs w:val="22"/>
        </w:rPr>
        <w:t xml:space="preserve">: </w:t>
      </w:r>
    </w:p>
    <w:p w14:paraId="7FF2F01E" w14:textId="3613732C" w:rsidR="00C63F84" w:rsidRPr="00A371FB" w:rsidRDefault="00C63F84">
      <w:pPr>
        <w:pStyle w:val="Prrafodelista"/>
        <w:widowControl w:val="0"/>
        <w:numPr>
          <w:ilvl w:val="0"/>
          <w:numId w:val="23"/>
        </w:numPr>
        <w:tabs>
          <w:tab w:val="left" w:pos="284"/>
        </w:tabs>
        <w:autoSpaceDE w:val="0"/>
        <w:autoSpaceDN w:val="0"/>
        <w:adjustRightInd w:val="0"/>
        <w:spacing w:after="0" w:line="240" w:lineRule="auto"/>
        <w:ind w:left="0" w:firstLine="0"/>
        <w:contextualSpacing w:val="0"/>
        <w:jc w:val="both"/>
        <w:rPr>
          <w:rFonts w:ascii="Times New Roman" w:hAnsi="Times New Roman"/>
          <w:b/>
          <w:bCs/>
          <w:sz w:val="22"/>
          <w:szCs w:val="22"/>
        </w:rPr>
      </w:pPr>
      <w:r w:rsidRPr="00A371FB">
        <w:rPr>
          <w:rFonts w:ascii="Times New Roman" w:hAnsi="Times New Roman"/>
          <w:b/>
          <w:bCs/>
          <w:sz w:val="22"/>
          <w:szCs w:val="22"/>
        </w:rPr>
        <w:t>Consideración, de corresponder, de la celebración de la Asamblea General Ordinaria a distancia;</w:t>
      </w:r>
    </w:p>
    <w:p w14:paraId="25F2B971" w14:textId="77777777" w:rsidR="00C63F84" w:rsidRPr="00A371FB" w:rsidRDefault="00C63F84">
      <w:pPr>
        <w:pStyle w:val="Prrafodelista"/>
        <w:widowControl w:val="0"/>
        <w:numPr>
          <w:ilvl w:val="0"/>
          <w:numId w:val="23"/>
        </w:numPr>
        <w:tabs>
          <w:tab w:val="left" w:pos="284"/>
        </w:tabs>
        <w:autoSpaceDE w:val="0"/>
        <w:autoSpaceDN w:val="0"/>
        <w:adjustRightInd w:val="0"/>
        <w:spacing w:after="0" w:line="240" w:lineRule="auto"/>
        <w:ind w:left="0" w:firstLine="0"/>
        <w:contextualSpacing w:val="0"/>
        <w:jc w:val="both"/>
        <w:rPr>
          <w:rFonts w:ascii="Times New Roman" w:hAnsi="Times New Roman"/>
          <w:b/>
          <w:sz w:val="22"/>
          <w:szCs w:val="22"/>
        </w:rPr>
      </w:pPr>
      <w:r w:rsidRPr="00A371FB">
        <w:rPr>
          <w:rFonts w:ascii="Times New Roman" w:hAnsi="Times New Roman"/>
          <w:b/>
          <w:bCs/>
          <w:sz w:val="22"/>
          <w:szCs w:val="22"/>
        </w:rPr>
        <w:t xml:space="preserve">Designación de dos accionistas para firmar el acta; </w:t>
      </w:r>
    </w:p>
    <w:p w14:paraId="65042F11" w14:textId="799A444F" w:rsidR="00C63F84" w:rsidRPr="00A371FB" w:rsidRDefault="00C63F84">
      <w:pPr>
        <w:pStyle w:val="Prrafodelista"/>
        <w:widowControl w:val="0"/>
        <w:numPr>
          <w:ilvl w:val="0"/>
          <w:numId w:val="23"/>
        </w:numPr>
        <w:tabs>
          <w:tab w:val="left" w:pos="284"/>
        </w:tabs>
        <w:autoSpaceDE w:val="0"/>
        <w:autoSpaceDN w:val="0"/>
        <w:adjustRightInd w:val="0"/>
        <w:spacing w:after="0" w:line="240" w:lineRule="auto"/>
        <w:ind w:left="0" w:firstLine="0"/>
        <w:contextualSpacing w:val="0"/>
        <w:jc w:val="both"/>
        <w:rPr>
          <w:rFonts w:ascii="Times New Roman" w:hAnsi="Times New Roman"/>
          <w:b/>
          <w:bCs/>
          <w:sz w:val="22"/>
          <w:szCs w:val="22"/>
        </w:rPr>
      </w:pPr>
      <w:r w:rsidRPr="00A371FB">
        <w:rPr>
          <w:rFonts w:ascii="Times New Roman" w:hAnsi="Times New Roman"/>
          <w:b/>
          <w:bCs/>
          <w:sz w:val="22"/>
          <w:szCs w:val="22"/>
        </w:rPr>
        <w:t>Consideración de la documentación prevista por el art. 234, inciso 1° de la Ley N° 19.550 correspondiente al ejercicio económico de la Sociedad cerrado el 31 de diciembre de 2022;</w:t>
      </w:r>
    </w:p>
    <w:p w14:paraId="2E3B7A6B" w14:textId="00B08B7D" w:rsidR="00C63F84" w:rsidRPr="00A371FB" w:rsidRDefault="00C63F84">
      <w:pPr>
        <w:pStyle w:val="Prrafodelista"/>
        <w:widowControl w:val="0"/>
        <w:numPr>
          <w:ilvl w:val="0"/>
          <w:numId w:val="23"/>
        </w:numPr>
        <w:tabs>
          <w:tab w:val="left" w:pos="284"/>
        </w:tabs>
        <w:autoSpaceDE w:val="0"/>
        <w:autoSpaceDN w:val="0"/>
        <w:adjustRightInd w:val="0"/>
        <w:spacing w:after="0" w:line="240" w:lineRule="auto"/>
        <w:ind w:left="0" w:firstLine="0"/>
        <w:contextualSpacing w:val="0"/>
        <w:jc w:val="both"/>
        <w:rPr>
          <w:rFonts w:ascii="Times New Roman" w:hAnsi="Times New Roman"/>
          <w:b/>
          <w:bCs/>
          <w:sz w:val="22"/>
          <w:szCs w:val="22"/>
        </w:rPr>
      </w:pPr>
      <w:r w:rsidRPr="00A371FB">
        <w:rPr>
          <w:rFonts w:ascii="Times New Roman" w:hAnsi="Times New Roman"/>
          <w:b/>
          <w:bCs/>
          <w:sz w:val="22"/>
          <w:szCs w:val="22"/>
        </w:rPr>
        <w:t>Consideración del resultado del ejercicio y su destino;</w:t>
      </w:r>
    </w:p>
    <w:p w14:paraId="6C8E9CFA" w14:textId="77777777" w:rsidR="00C63F84" w:rsidRPr="00A371FB" w:rsidRDefault="00C63F84">
      <w:pPr>
        <w:pStyle w:val="Prrafodelista"/>
        <w:widowControl w:val="0"/>
        <w:numPr>
          <w:ilvl w:val="0"/>
          <w:numId w:val="23"/>
        </w:numPr>
        <w:tabs>
          <w:tab w:val="left" w:pos="284"/>
        </w:tabs>
        <w:autoSpaceDE w:val="0"/>
        <w:autoSpaceDN w:val="0"/>
        <w:adjustRightInd w:val="0"/>
        <w:spacing w:after="0" w:line="240" w:lineRule="auto"/>
        <w:ind w:left="0" w:firstLine="0"/>
        <w:contextualSpacing w:val="0"/>
        <w:jc w:val="both"/>
        <w:rPr>
          <w:rFonts w:ascii="Times New Roman" w:hAnsi="Times New Roman"/>
          <w:b/>
          <w:bCs/>
          <w:sz w:val="22"/>
          <w:szCs w:val="22"/>
        </w:rPr>
      </w:pPr>
      <w:r w:rsidRPr="00A371FB">
        <w:rPr>
          <w:rFonts w:ascii="Times New Roman" w:hAnsi="Times New Roman"/>
          <w:b/>
          <w:bCs/>
          <w:sz w:val="22"/>
          <w:szCs w:val="22"/>
        </w:rPr>
        <w:t>Consideración de la gestión del Directorio y la Comisión Fiscalizadora;</w:t>
      </w:r>
    </w:p>
    <w:p w14:paraId="3629220D" w14:textId="77777777" w:rsidR="00C63F84" w:rsidRPr="00A371FB" w:rsidRDefault="00C63F84">
      <w:pPr>
        <w:pStyle w:val="Prrafodelista"/>
        <w:widowControl w:val="0"/>
        <w:numPr>
          <w:ilvl w:val="0"/>
          <w:numId w:val="23"/>
        </w:numPr>
        <w:tabs>
          <w:tab w:val="left" w:pos="284"/>
        </w:tabs>
        <w:autoSpaceDE w:val="0"/>
        <w:autoSpaceDN w:val="0"/>
        <w:adjustRightInd w:val="0"/>
        <w:spacing w:after="0" w:line="240" w:lineRule="auto"/>
        <w:ind w:left="0" w:firstLine="0"/>
        <w:contextualSpacing w:val="0"/>
        <w:jc w:val="both"/>
        <w:rPr>
          <w:rFonts w:ascii="Times New Roman" w:hAnsi="Times New Roman"/>
          <w:b/>
          <w:bCs/>
          <w:sz w:val="22"/>
          <w:szCs w:val="22"/>
        </w:rPr>
      </w:pPr>
      <w:r w:rsidRPr="00A371FB">
        <w:rPr>
          <w:rFonts w:ascii="Times New Roman" w:hAnsi="Times New Roman"/>
          <w:b/>
          <w:bCs/>
          <w:sz w:val="22"/>
          <w:szCs w:val="22"/>
        </w:rPr>
        <w:t xml:space="preserve">Remuneración al Directorio y Comisión Fiscalizadora; </w:t>
      </w:r>
    </w:p>
    <w:p w14:paraId="60E8D9BF" w14:textId="0E5CEB27" w:rsidR="00C63F84" w:rsidRPr="00A371FB" w:rsidRDefault="00C63F84">
      <w:pPr>
        <w:pStyle w:val="Prrafodelista"/>
        <w:widowControl w:val="0"/>
        <w:numPr>
          <w:ilvl w:val="0"/>
          <w:numId w:val="23"/>
        </w:numPr>
        <w:tabs>
          <w:tab w:val="left" w:pos="284"/>
        </w:tabs>
        <w:autoSpaceDE w:val="0"/>
        <w:autoSpaceDN w:val="0"/>
        <w:adjustRightInd w:val="0"/>
        <w:spacing w:after="0" w:line="240" w:lineRule="auto"/>
        <w:ind w:left="0" w:firstLine="0"/>
        <w:contextualSpacing w:val="0"/>
        <w:jc w:val="both"/>
        <w:rPr>
          <w:rFonts w:ascii="Times New Roman" w:hAnsi="Times New Roman"/>
          <w:b/>
          <w:sz w:val="22"/>
          <w:szCs w:val="22"/>
        </w:rPr>
      </w:pPr>
      <w:r w:rsidRPr="00A371FB">
        <w:rPr>
          <w:rFonts w:ascii="Times New Roman" w:hAnsi="Times New Roman"/>
          <w:b/>
          <w:sz w:val="22"/>
          <w:szCs w:val="22"/>
        </w:rPr>
        <w:t>Designación del Auditor Externo que dictaminará sobre los estados financieros correspondientes al ejercicio iniciado el 1° de enero de 2023 y determinación de su retribución;</w:t>
      </w:r>
    </w:p>
    <w:p w14:paraId="1DB5FC41" w14:textId="43F943CB" w:rsidR="00C63F84" w:rsidRPr="00A371FB" w:rsidRDefault="00C63F84">
      <w:pPr>
        <w:pStyle w:val="Prrafodelista"/>
        <w:widowControl w:val="0"/>
        <w:numPr>
          <w:ilvl w:val="0"/>
          <w:numId w:val="23"/>
        </w:numPr>
        <w:tabs>
          <w:tab w:val="left" w:pos="284"/>
        </w:tabs>
        <w:autoSpaceDE w:val="0"/>
        <w:autoSpaceDN w:val="0"/>
        <w:adjustRightInd w:val="0"/>
        <w:spacing w:after="0" w:line="240" w:lineRule="auto"/>
        <w:ind w:left="0" w:firstLine="0"/>
        <w:contextualSpacing w:val="0"/>
        <w:jc w:val="both"/>
        <w:rPr>
          <w:rFonts w:ascii="Times New Roman" w:hAnsi="Times New Roman"/>
          <w:b/>
          <w:sz w:val="22"/>
          <w:szCs w:val="22"/>
        </w:rPr>
      </w:pPr>
      <w:r w:rsidRPr="00A371FB">
        <w:rPr>
          <w:rFonts w:ascii="Times New Roman" w:hAnsi="Times New Roman"/>
          <w:b/>
          <w:sz w:val="22"/>
          <w:szCs w:val="22"/>
        </w:rPr>
        <w:t>Determinación del número de miembros del Directorio y designación de sus integrantes por el término de 3 (tres) ejercicios;</w:t>
      </w:r>
    </w:p>
    <w:p w14:paraId="642C3659" w14:textId="77777777" w:rsidR="008D4421" w:rsidRDefault="00C63F84" w:rsidP="008D4421">
      <w:pPr>
        <w:pStyle w:val="Prrafodelista"/>
        <w:widowControl w:val="0"/>
        <w:numPr>
          <w:ilvl w:val="0"/>
          <w:numId w:val="23"/>
        </w:numPr>
        <w:tabs>
          <w:tab w:val="left" w:pos="284"/>
        </w:tabs>
        <w:autoSpaceDE w:val="0"/>
        <w:autoSpaceDN w:val="0"/>
        <w:adjustRightInd w:val="0"/>
        <w:spacing w:after="0" w:line="240" w:lineRule="auto"/>
        <w:ind w:left="0" w:firstLine="0"/>
        <w:contextualSpacing w:val="0"/>
        <w:jc w:val="both"/>
        <w:rPr>
          <w:rFonts w:ascii="Times New Roman" w:hAnsi="Times New Roman"/>
          <w:b/>
          <w:sz w:val="22"/>
          <w:szCs w:val="22"/>
        </w:rPr>
      </w:pPr>
      <w:r w:rsidRPr="00A371FB">
        <w:rPr>
          <w:rFonts w:ascii="Times New Roman" w:hAnsi="Times New Roman"/>
          <w:b/>
          <w:sz w:val="22"/>
          <w:szCs w:val="22"/>
        </w:rPr>
        <w:t>Designación de miembros de la Comisión Fiscalizadora</w:t>
      </w:r>
      <w:r w:rsidR="00317AD5" w:rsidRPr="00A371FB">
        <w:rPr>
          <w:rFonts w:ascii="Times New Roman" w:hAnsi="Times New Roman"/>
          <w:b/>
          <w:sz w:val="22"/>
          <w:szCs w:val="22"/>
        </w:rPr>
        <w:t xml:space="preserve"> por el término de 3 (tres) ejercicios;</w:t>
      </w:r>
    </w:p>
    <w:p w14:paraId="68D696BC" w14:textId="2ACF0CD6" w:rsidR="00BD130F" w:rsidRPr="008D4421" w:rsidRDefault="00C63F84" w:rsidP="008D4421">
      <w:pPr>
        <w:pStyle w:val="Prrafodelista"/>
        <w:widowControl w:val="0"/>
        <w:numPr>
          <w:ilvl w:val="0"/>
          <w:numId w:val="23"/>
        </w:numPr>
        <w:tabs>
          <w:tab w:val="left" w:pos="284"/>
        </w:tabs>
        <w:autoSpaceDE w:val="0"/>
        <w:autoSpaceDN w:val="0"/>
        <w:adjustRightInd w:val="0"/>
        <w:spacing w:after="0" w:line="240" w:lineRule="auto"/>
        <w:ind w:left="0" w:firstLine="0"/>
        <w:contextualSpacing w:val="0"/>
        <w:jc w:val="both"/>
        <w:rPr>
          <w:rFonts w:ascii="Times New Roman" w:hAnsi="Times New Roman"/>
          <w:b/>
          <w:sz w:val="22"/>
          <w:szCs w:val="22"/>
        </w:rPr>
      </w:pPr>
      <w:r w:rsidRPr="008D4421">
        <w:rPr>
          <w:rFonts w:ascii="Times New Roman" w:hAnsi="Times New Roman"/>
          <w:b/>
          <w:bCs/>
          <w:sz w:val="22"/>
          <w:szCs w:val="22"/>
        </w:rPr>
        <w:t>Otorgamiento de las autorizaciones necesarias en relación con lo resuelto en los puntos anteriores del Orden del Día</w:t>
      </w:r>
      <w:r w:rsidRPr="008D4421">
        <w:rPr>
          <w:rFonts w:ascii="Times New Roman" w:hAnsi="Times New Roman"/>
          <w:b/>
          <w:sz w:val="22"/>
          <w:szCs w:val="22"/>
        </w:rPr>
        <w:t>.</w:t>
      </w:r>
    </w:p>
    <w:p w14:paraId="25672A8C" w14:textId="77777777" w:rsidR="00BD130F" w:rsidRPr="00BD130F" w:rsidRDefault="00BD130F" w:rsidP="00BD130F">
      <w:pPr>
        <w:pStyle w:val="Prrafodelista"/>
        <w:widowControl w:val="0"/>
        <w:tabs>
          <w:tab w:val="left" w:pos="284"/>
        </w:tabs>
        <w:autoSpaceDE w:val="0"/>
        <w:autoSpaceDN w:val="0"/>
        <w:adjustRightInd w:val="0"/>
        <w:spacing w:after="0" w:line="240" w:lineRule="auto"/>
        <w:ind w:left="0"/>
        <w:contextualSpacing w:val="0"/>
        <w:jc w:val="both"/>
        <w:rPr>
          <w:rFonts w:ascii="Times New Roman" w:hAnsi="Times New Roman"/>
          <w:b/>
          <w:sz w:val="22"/>
          <w:szCs w:val="22"/>
        </w:rPr>
      </w:pPr>
    </w:p>
    <w:p w14:paraId="6B4E1283" w14:textId="4C654FE6" w:rsidR="00C63F84" w:rsidRPr="00A371FB" w:rsidRDefault="00C63F84" w:rsidP="00C63F84">
      <w:pPr>
        <w:contextualSpacing/>
        <w:jc w:val="both"/>
        <w:rPr>
          <w:rFonts w:ascii="Times New Roman" w:hAnsi="Times New Roman"/>
          <w:sz w:val="22"/>
          <w:szCs w:val="22"/>
        </w:rPr>
      </w:pPr>
      <w:r w:rsidRPr="00A371FB">
        <w:rPr>
          <w:rFonts w:ascii="Times New Roman" w:hAnsi="Times New Roman"/>
          <w:sz w:val="22"/>
          <w:szCs w:val="22"/>
        </w:rPr>
        <w:t>El Sr. Presidente manifiesta que la totalidad de los accionistas están en conocimiento del temario de la Asamblea que se convoca por este acto y que han asegurado su asistencia y prestación de conformidad a los puntos a tratarse en la misma por lo que, en virtud de lo establecido por el art. 237, último párrafo de la Ley N° 19.550 y sus modificaciones mociona para que se prescinda de la publicación de la convocatoria en el Boletín Oficial. El Sr. Síndico Titular deja constancia de la regularidad de las decisiones adoptadas. No habiendo más asuntos que tratar, se levanta la sesión siendo las 10</w:t>
      </w:r>
      <w:r w:rsidR="008D4421">
        <w:rPr>
          <w:rFonts w:ascii="Times New Roman" w:hAnsi="Times New Roman"/>
          <w:sz w:val="22"/>
          <w:szCs w:val="22"/>
        </w:rPr>
        <w:t xml:space="preserve"> </w:t>
      </w:r>
      <w:r w:rsidRPr="00A371FB">
        <w:rPr>
          <w:rFonts w:ascii="Times New Roman" w:hAnsi="Times New Roman"/>
          <w:sz w:val="22"/>
          <w:szCs w:val="22"/>
        </w:rPr>
        <w:t>horas.</w:t>
      </w:r>
    </w:p>
    <w:p w14:paraId="02879495" w14:textId="0F2DCE8D" w:rsidR="00C63F84" w:rsidRDefault="00C63F84" w:rsidP="00C63F84">
      <w:pPr>
        <w:rPr>
          <w:rFonts w:ascii="Times New Roman" w:hAnsi="Times New Roman"/>
          <w:sz w:val="22"/>
          <w:szCs w:val="22"/>
        </w:rPr>
      </w:pPr>
    </w:p>
    <w:p w14:paraId="6B599F02" w14:textId="2D6D5EA3" w:rsidR="008D4421" w:rsidRPr="00A371FB" w:rsidRDefault="008D4421" w:rsidP="00C63F84">
      <w:pPr>
        <w:rPr>
          <w:rFonts w:ascii="Times New Roman" w:hAnsi="Times New Roman"/>
          <w:sz w:val="22"/>
          <w:szCs w:val="22"/>
        </w:rPr>
      </w:pPr>
      <w:r>
        <w:rPr>
          <w:rFonts w:ascii="Times New Roman" w:hAnsi="Times New Roman"/>
          <w:sz w:val="22"/>
          <w:szCs w:val="22"/>
        </w:rPr>
        <w:t xml:space="preserve">Asistentes: </w:t>
      </w:r>
      <w:r w:rsidRPr="00A371FB">
        <w:rPr>
          <w:rFonts w:ascii="Times New Roman" w:hAnsi="Times New Roman"/>
          <w:sz w:val="22"/>
          <w:szCs w:val="22"/>
        </w:rPr>
        <w:t>Armando Losón (h), María Eleonora Bauzas, Roque Antonio Villa, Guillermo G. Brun, Julián P. Sarti</w:t>
      </w:r>
      <w:r>
        <w:rPr>
          <w:rFonts w:ascii="Times New Roman" w:hAnsi="Times New Roman"/>
          <w:sz w:val="22"/>
          <w:szCs w:val="22"/>
        </w:rPr>
        <w:t xml:space="preserve">, y </w:t>
      </w:r>
      <w:r w:rsidRPr="00A371FB">
        <w:rPr>
          <w:rFonts w:ascii="Times New Roman" w:hAnsi="Times New Roman"/>
          <w:sz w:val="22"/>
          <w:szCs w:val="22"/>
        </w:rPr>
        <w:t>Marcelo Pablo Lerner en representación de la Comisión Fiscalizadora</w:t>
      </w:r>
      <w:r>
        <w:rPr>
          <w:rFonts w:ascii="Times New Roman" w:hAnsi="Times New Roman"/>
          <w:sz w:val="22"/>
          <w:szCs w:val="22"/>
        </w:rPr>
        <w:t>.</w:t>
      </w:r>
    </w:p>
    <w:sectPr w:rsidR="008D4421" w:rsidRPr="00A371FB" w:rsidSect="006819E2">
      <w:footerReference w:type="default" r:id="rId51"/>
      <w:pgSz w:w="12240" w:h="15840" w:code="1"/>
      <w:pgMar w:top="709" w:right="1043" w:bottom="851" w:left="155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8E152" w14:textId="77777777" w:rsidR="007D34F9" w:rsidRDefault="007D34F9" w:rsidP="00612F7D">
      <w:pPr>
        <w:spacing w:after="0" w:line="240" w:lineRule="auto"/>
      </w:pPr>
      <w:r>
        <w:separator/>
      </w:r>
    </w:p>
  </w:endnote>
  <w:endnote w:type="continuationSeparator" w:id="0">
    <w:p w14:paraId="51B516F6" w14:textId="77777777" w:rsidR="007D34F9" w:rsidRDefault="007D34F9" w:rsidP="00612F7D">
      <w:pPr>
        <w:spacing w:after="0" w:line="240" w:lineRule="auto"/>
      </w:pPr>
      <w:r>
        <w:continuationSeparator/>
      </w:r>
    </w:p>
  </w:endnote>
  <w:endnote w:type="continuationNotice" w:id="1">
    <w:p w14:paraId="2083BAE0" w14:textId="77777777" w:rsidR="007D34F9" w:rsidRDefault="007D34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wC_Logo">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NeueLT Std">
    <w:altName w:val="Aria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B8D6" w14:textId="251DF8ED" w:rsidR="000C5D56" w:rsidRPr="000F4B4F" w:rsidRDefault="000C5D56">
    <w:pPr>
      <w:pStyle w:val="Piedepgina"/>
      <w:jc w:val="center"/>
      <w:rPr>
        <w:rFonts w:ascii="Times New Roman" w:hAnsi="Times New Roman"/>
        <w:caps/>
      </w:rPr>
    </w:pPr>
    <w:r w:rsidRPr="000F4B4F">
      <w:rPr>
        <w:rFonts w:ascii="Times New Roman" w:hAnsi="Times New Roman"/>
        <w:caps/>
      </w:rPr>
      <w:fldChar w:fldCharType="begin"/>
    </w:r>
    <w:r w:rsidRPr="000F4B4F">
      <w:rPr>
        <w:rFonts w:ascii="Times New Roman" w:hAnsi="Times New Roman"/>
        <w:caps/>
      </w:rPr>
      <w:instrText>PAGE   \* MERGEFORMAT</w:instrText>
    </w:r>
    <w:r w:rsidRPr="000F4B4F">
      <w:rPr>
        <w:rFonts w:ascii="Times New Roman" w:hAnsi="Times New Roman"/>
        <w:caps/>
      </w:rPr>
      <w:fldChar w:fldCharType="separate"/>
    </w:r>
    <w:r w:rsidRPr="000F4B4F">
      <w:rPr>
        <w:rFonts w:ascii="Times New Roman" w:hAnsi="Times New Roman"/>
        <w:caps/>
        <w:noProof/>
        <w:lang w:val="es-ES"/>
      </w:rPr>
      <w:t>32</w:t>
    </w:r>
    <w:r w:rsidRPr="000F4B4F">
      <w:rPr>
        <w:rFonts w:ascii="Times New Roman" w:hAnsi="Times New Roman"/>
        <w:cap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E6D91" w14:textId="77777777" w:rsidR="007D34F9" w:rsidRDefault="007D34F9" w:rsidP="00612F7D">
      <w:pPr>
        <w:spacing w:after="0" w:line="240" w:lineRule="auto"/>
      </w:pPr>
      <w:r>
        <w:separator/>
      </w:r>
    </w:p>
  </w:footnote>
  <w:footnote w:type="continuationSeparator" w:id="0">
    <w:p w14:paraId="4E411E3F" w14:textId="77777777" w:rsidR="007D34F9" w:rsidRDefault="007D34F9" w:rsidP="00612F7D">
      <w:pPr>
        <w:spacing w:after="0" w:line="240" w:lineRule="auto"/>
      </w:pPr>
      <w:r>
        <w:continuationSeparator/>
      </w:r>
    </w:p>
  </w:footnote>
  <w:footnote w:type="continuationNotice" w:id="1">
    <w:p w14:paraId="2A4A214D" w14:textId="77777777" w:rsidR="007D34F9" w:rsidRDefault="007D34F9">
      <w:pPr>
        <w:spacing w:after="0" w:line="240" w:lineRule="auto"/>
      </w:pPr>
    </w:p>
  </w:footnote>
  <w:footnote w:id="2">
    <w:p w14:paraId="611E2DBE" w14:textId="77777777" w:rsidR="00794D95" w:rsidRPr="00173F1E" w:rsidRDefault="00794D95" w:rsidP="00794D95">
      <w:pPr>
        <w:pStyle w:val="Textonotapie"/>
        <w:jc w:val="both"/>
        <w:rPr>
          <w:rFonts w:ascii="Arial" w:hAnsi="Arial" w:cs="Arial"/>
          <w:color w:val="000000" w:themeColor="text1"/>
          <w:lang w:val="es-MX"/>
        </w:rPr>
      </w:pPr>
      <w:bookmarkStart w:id="4" w:name="_Hlk126248003"/>
      <w:bookmarkEnd w:id="4"/>
      <w:r w:rsidRPr="00173F1E">
        <w:rPr>
          <w:rStyle w:val="Refdenotaalpie"/>
          <w:rFonts w:ascii="Arial" w:hAnsi="Arial" w:cs="Arial"/>
          <w:color w:val="000000" w:themeColor="text1"/>
        </w:rPr>
        <w:footnoteRef/>
      </w:r>
      <w:r w:rsidRPr="00173F1E">
        <w:rPr>
          <w:rFonts w:ascii="Arial" w:hAnsi="Arial" w:cs="Arial"/>
          <w:color w:val="000000" w:themeColor="text1"/>
          <w:lang w:val="es-AR"/>
        </w:rPr>
        <w:t xml:space="preserve"> </w:t>
      </w:r>
      <w:r w:rsidRPr="00C17173">
        <w:rPr>
          <w:color w:val="000000" w:themeColor="text1"/>
          <w:lang w:val="es-MX"/>
        </w:rPr>
        <w:t>Datos oficiales de Secretaría de Energía desde 1959 a 2021, y estimación preliminar asumida por G&amp;G Energy Consultants para 2022.</w:t>
      </w:r>
    </w:p>
  </w:footnote>
  <w:footnote w:id="3">
    <w:p w14:paraId="5DCDB3BA" w14:textId="77777777" w:rsidR="00794D95" w:rsidRPr="00173F1E" w:rsidRDefault="00794D95" w:rsidP="00794D95">
      <w:pPr>
        <w:pStyle w:val="Textonotapie"/>
        <w:ind w:left="142" w:hanging="142"/>
        <w:jc w:val="both"/>
        <w:rPr>
          <w:rFonts w:ascii="Arial" w:hAnsi="Arial" w:cs="Arial"/>
          <w:lang w:val="es-MX"/>
        </w:rPr>
      </w:pPr>
      <w:r w:rsidRPr="00173F1E">
        <w:rPr>
          <w:rStyle w:val="Refdenotaalpie"/>
          <w:rFonts w:ascii="Arial" w:hAnsi="Arial" w:cs="Arial"/>
        </w:rPr>
        <w:footnoteRef/>
      </w:r>
      <w:r w:rsidRPr="00173F1E">
        <w:rPr>
          <w:rFonts w:ascii="Arial" w:hAnsi="Arial" w:cs="Arial"/>
          <w:lang w:val="es-AR"/>
        </w:rPr>
        <w:t xml:space="preserve"> </w:t>
      </w:r>
      <w:r w:rsidRPr="00BA371A">
        <w:rPr>
          <w:lang w:val="es-MX"/>
        </w:rPr>
        <w:t>Los datos de 1982-1989 muestran una elasticidad aparentemente elevada debido a que la inestabilidad y volatilidad del PBI arrojaron un promedio negativo, que distorsiona el cálculo.</w:t>
      </w:r>
    </w:p>
  </w:footnote>
  <w:footnote w:id="4">
    <w:p w14:paraId="3774E161" w14:textId="77777777" w:rsidR="00794D95" w:rsidRPr="00BA371A" w:rsidRDefault="00794D95" w:rsidP="00794D95">
      <w:pPr>
        <w:pStyle w:val="Textonotapie"/>
        <w:ind w:left="142" w:hanging="142"/>
        <w:jc w:val="both"/>
        <w:rPr>
          <w:lang w:val="es-ES"/>
        </w:rPr>
      </w:pPr>
      <w:r w:rsidRPr="00BA371A">
        <w:rPr>
          <w:rStyle w:val="Refdenotaalpie"/>
        </w:rPr>
        <w:footnoteRef/>
      </w:r>
      <w:r w:rsidRPr="00BA371A">
        <w:rPr>
          <w:lang w:val="es-ES"/>
        </w:rPr>
        <w:t xml:space="preserve"> Cuando se analiza algún subsector en particular como el eléctrico, se advierte que la tasa de crecimiento de la demanda es superior a la del crecimiento del PBI.</w:t>
      </w:r>
    </w:p>
  </w:footnote>
  <w:footnote w:id="5">
    <w:p w14:paraId="19F714EA" w14:textId="77777777" w:rsidR="00794D95" w:rsidRPr="00173F1E" w:rsidRDefault="00794D95" w:rsidP="00794D95">
      <w:pPr>
        <w:pStyle w:val="Textonotapie"/>
        <w:ind w:left="142" w:hanging="142"/>
        <w:jc w:val="both"/>
        <w:rPr>
          <w:rFonts w:ascii="Arial" w:hAnsi="Arial" w:cs="Arial"/>
          <w:lang w:val="es-MX"/>
        </w:rPr>
      </w:pPr>
      <w:r w:rsidRPr="00BA371A">
        <w:rPr>
          <w:rStyle w:val="Refdenotaalpie"/>
        </w:rPr>
        <w:footnoteRef/>
      </w:r>
      <w:r w:rsidRPr="00BA371A">
        <w:rPr>
          <w:lang w:val="es-AR"/>
        </w:rPr>
        <w:t xml:space="preserve"> </w:t>
      </w:r>
      <w:r w:rsidRPr="00BA371A">
        <w:rPr>
          <w:lang w:val="es-MX"/>
        </w:rPr>
        <w:t>Últimos datos oficiales de 2021. Estimación de 2022 elaborada por G&amp;G Energy Consultants, expresado en millones de Toneladas Equivalentes de Petróleo para Consumo Primario Energético.</w:t>
      </w:r>
      <w:r w:rsidRPr="00173F1E">
        <w:rPr>
          <w:rFonts w:ascii="Arial" w:hAnsi="Arial" w:cs="Arial"/>
          <w:lang w:val="es-MX"/>
        </w:rPr>
        <w:t xml:space="preserve"> </w:t>
      </w:r>
    </w:p>
  </w:footnote>
  <w:footnote w:id="6">
    <w:p w14:paraId="36EA2435" w14:textId="77777777" w:rsidR="00794D95" w:rsidRPr="00173F1E" w:rsidRDefault="00794D95" w:rsidP="00794D95">
      <w:pPr>
        <w:pStyle w:val="Textonotapie"/>
        <w:ind w:left="142" w:hanging="142"/>
        <w:jc w:val="both"/>
        <w:rPr>
          <w:rFonts w:ascii="Arial" w:hAnsi="Arial" w:cs="Arial"/>
          <w:lang w:val="es-AR"/>
        </w:rPr>
      </w:pPr>
      <w:r w:rsidRPr="00173F1E">
        <w:rPr>
          <w:rStyle w:val="Refdenotaalpie"/>
          <w:rFonts w:ascii="Arial" w:hAnsi="Arial" w:cs="Arial"/>
          <w:lang w:val="es-AR"/>
        </w:rPr>
        <w:footnoteRef/>
      </w:r>
      <w:r w:rsidRPr="00173F1E">
        <w:rPr>
          <w:rFonts w:ascii="Arial" w:hAnsi="Arial" w:cs="Arial"/>
          <w:lang w:val="es-AR"/>
        </w:rPr>
        <w:t xml:space="preserve"> </w:t>
      </w:r>
      <w:r w:rsidRPr="00F10336">
        <w:rPr>
          <w:lang w:val="es-AR"/>
        </w:rPr>
        <w:t>De no existir restricciones a la demanda de gas, su participación en la matriz primaria podría ser superior en torno a 60%.</w:t>
      </w:r>
    </w:p>
  </w:footnote>
  <w:footnote w:id="7">
    <w:p w14:paraId="4F7BDEDE" w14:textId="77777777" w:rsidR="00794D95" w:rsidRPr="00B54AE1" w:rsidRDefault="00794D95" w:rsidP="00794D95">
      <w:pPr>
        <w:pStyle w:val="Textonotapie"/>
        <w:rPr>
          <w:rFonts w:ascii="Arial" w:hAnsi="Arial" w:cs="Arial"/>
          <w:lang w:val="es-AR"/>
        </w:rPr>
      </w:pPr>
      <w:r w:rsidRPr="00B54AE1">
        <w:rPr>
          <w:rStyle w:val="Refdenotaalpie"/>
          <w:rFonts w:ascii="Arial" w:hAnsi="Arial" w:cs="Arial"/>
        </w:rPr>
        <w:footnoteRef/>
      </w:r>
      <w:r w:rsidRPr="00A371FB">
        <w:rPr>
          <w:rFonts w:ascii="Arial" w:hAnsi="Arial" w:cs="Arial"/>
          <w:lang w:val="es-ES"/>
        </w:rPr>
        <w:t xml:space="preserve"> </w:t>
      </w:r>
      <w:r w:rsidRPr="00E669A1">
        <w:rPr>
          <w:lang w:val="es-AR"/>
        </w:rPr>
        <w:t>Puede advertirse la fuerte contracción en el Transporte en el aislamiento de 2020.</w:t>
      </w:r>
    </w:p>
  </w:footnote>
  <w:footnote w:id="8">
    <w:p w14:paraId="5E21CDC7" w14:textId="77777777" w:rsidR="00794D95" w:rsidRPr="008E0E72" w:rsidRDefault="00794D95" w:rsidP="00794D95">
      <w:pPr>
        <w:pStyle w:val="Textonotapie"/>
        <w:ind w:left="312" w:hanging="170"/>
        <w:jc w:val="both"/>
        <w:rPr>
          <w:color w:val="000000" w:themeColor="text1"/>
          <w:lang w:val="es-AR"/>
        </w:rPr>
      </w:pPr>
      <w:r w:rsidRPr="008E0E72">
        <w:rPr>
          <w:rStyle w:val="Refdenotaalpie"/>
          <w:color w:val="000000" w:themeColor="text1"/>
          <w:lang w:val="es-AR"/>
        </w:rPr>
        <w:footnoteRef/>
      </w:r>
      <w:r w:rsidRPr="008E0E72">
        <w:rPr>
          <w:color w:val="000000" w:themeColor="text1"/>
          <w:lang w:val="es-AR"/>
        </w:rPr>
        <w:t xml:space="preserve"> En 2016 habían ingresado 408 MW; en 2017 2.179 MW, de acuerdo con los datos publicados por CAMMESA en enero 2023. </w:t>
      </w:r>
    </w:p>
  </w:footnote>
  <w:footnote w:id="9">
    <w:p w14:paraId="51E0310B" w14:textId="77777777" w:rsidR="00794D95" w:rsidRPr="00803B86" w:rsidRDefault="00794D95" w:rsidP="00794D95">
      <w:pPr>
        <w:pStyle w:val="Textonotapie"/>
        <w:ind w:left="312" w:hanging="170"/>
        <w:jc w:val="both"/>
        <w:rPr>
          <w:rFonts w:ascii="Arial" w:hAnsi="Arial" w:cs="Arial"/>
          <w:color w:val="000000" w:themeColor="text1"/>
          <w:lang w:val="es-AR"/>
        </w:rPr>
      </w:pPr>
      <w:r w:rsidRPr="008E0E72">
        <w:rPr>
          <w:rStyle w:val="Refdenotaalpie"/>
          <w:color w:val="000000" w:themeColor="text1"/>
          <w:lang w:val="es-AR"/>
        </w:rPr>
        <w:footnoteRef/>
      </w:r>
      <w:r w:rsidRPr="008E0E72">
        <w:rPr>
          <w:color w:val="000000" w:themeColor="text1"/>
          <w:lang w:val="es-AR"/>
        </w:rPr>
        <w:t xml:space="preserve"> La diferencia entre la potencia nominal y la efectiva se debe a que algunas unidades poseen restricciones por insuficiencia de abastecimiento de combustibles, dificultades en alcanzar el rendimiento nominal, pero principalmente porque un número de unidades de generación térmica se encuentran recurrentemente en mantenimiento, o limitadas por cuestiones técnicas. También debe considerarse que las unidades renovables no despachan su potencia nominal todas las horas, sino que responden a parámetros particulares de velocidad puntual del viento y radiación.</w:t>
      </w:r>
    </w:p>
  </w:footnote>
  <w:footnote w:id="10">
    <w:p w14:paraId="20C66676" w14:textId="77777777" w:rsidR="00794D95" w:rsidRPr="00112C84" w:rsidRDefault="00794D95" w:rsidP="00794D95">
      <w:pPr>
        <w:pStyle w:val="Textonotapie"/>
        <w:ind w:left="312" w:hanging="170"/>
        <w:jc w:val="both"/>
        <w:rPr>
          <w:lang w:val="es-AR"/>
        </w:rPr>
      </w:pPr>
      <w:r w:rsidRPr="00112C84">
        <w:rPr>
          <w:rStyle w:val="Refdenotaalpie"/>
          <w:color w:val="000000" w:themeColor="text1"/>
          <w:lang w:val="es-AR"/>
        </w:rPr>
        <w:footnoteRef/>
      </w:r>
      <w:r w:rsidRPr="00112C84">
        <w:rPr>
          <w:color w:val="000000" w:themeColor="text1"/>
          <w:lang w:val="es-AR"/>
        </w:rPr>
        <w:t xml:space="preserve"> En 2018 se retiraron 201 MW de este tipo de unidades. En 2019 se retiraron 155 MW motores Diésel y 198 MW en unidades TV.</w:t>
      </w:r>
    </w:p>
  </w:footnote>
  <w:footnote w:id="11">
    <w:p w14:paraId="7655932E" w14:textId="77777777" w:rsidR="00794D95" w:rsidRPr="00D902CE" w:rsidRDefault="00794D95" w:rsidP="00794D95">
      <w:pPr>
        <w:pStyle w:val="Textonotapie"/>
        <w:rPr>
          <w:rFonts w:ascii="Arial" w:hAnsi="Arial" w:cs="Arial"/>
          <w:lang w:val="es-AR"/>
        </w:rPr>
      </w:pPr>
      <w:r w:rsidRPr="00D902CE">
        <w:rPr>
          <w:rStyle w:val="Refdenotaalpie"/>
          <w:rFonts w:ascii="Arial" w:hAnsi="Arial" w:cs="Arial"/>
        </w:rPr>
        <w:footnoteRef/>
      </w:r>
      <w:r w:rsidRPr="00A371FB">
        <w:rPr>
          <w:rFonts w:ascii="Arial" w:hAnsi="Arial" w:cs="Arial"/>
          <w:lang w:val="es-ES"/>
        </w:rPr>
        <w:t xml:space="preserve"> </w:t>
      </w:r>
      <w:r w:rsidRPr="00191EEF">
        <w:rPr>
          <w:lang w:val="es-AR"/>
        </w:rPr>
        <w:t>Pueden existir errores de redondeo en las sumas.</w:t>
      </w:r>
      <w:r w:rsidRPr="00D902CE">
        <w:rPr>
          <w:rFonts w:ascii="Arial" w:hAnsi="Arial" w:cs="Arial"/>
          <w:lang w:val="es-AR"/>
        </w:rPr>
        <w:t xml:space="preserve"> </w:t>
      </w:r>
    </w:p>
  </w:footnote>
  <w:footnote w:id="12">
    <w:p w14:paraId="4BFC5581" w14:textId="77777777" w:rsidR="00794D95" w:rsidRPr="00A74062" w:rsidRDefault="00794D95" w:rsidP="00794D95">
      <w:pPr>
        <w:pStyle w:val="Textonotapie"/>
        <w:ind w:left="142" w:hanging="142"/>
        <w:jc w:val="both"/>
        <w:rPr>
          <w:rFonts w:ascii="Arial" w:hAnsi="Arial" w:cs="Arial"/>
          <w:lang w:val="es-AR"/>
        </w:rPr>
      </w:pPr>
      <w:r w:rsidRPr="00A74062">
        <w:rPr>
          <w:rStyle w:val="Refdenotaalpie"/>
          <w:rFonts w:ascii="Arial" w:hAnsi="Arial" w:cs="Arial"/>
        </w:rPr>
        <w:footnoteRef/>
      </w:r>
      <w:r w:rsidRPr="00A371FB">
        <w:rPr>
          <w:rFonts w:ascii="Arial" w:hAnsi="Arial" w:cs="Arial"/>
          <w:lang w:val="es-ES"/>
        </w:rPr>
        <w:t xml:space="preserve"> </w:t>
      </w:r>
      <w:r w:rsidRPr="00191EEF">
        <w:rPr>
          <w:lang w:val="es-AR"/>
        </w:rPr>
        <w:t>El 14 de enero de 2022 la indisponibilidad, si bien elevada, fue menor a la de diciembre 2022: 8.191 MW térmicos más 505 MW hidroeléctricos y 230 MW nucleares.</w:t>
      </w:r>
    </w:p>
  </w:footnote>
  <w:footnote w:id="13">
    <w:p w14:paraId="2A691134" w14:textId="77777777" w:rsidR="00794D95" w:rsidRPr="00546111" w:rsidRDefault="00794D95" w:rsidP="00794D95">
      <w:pPr>
        <w:pStyle w:val="Textonotapie"/>
        <w:rPr>
          <w:rFonts w:ascii="Arial" w:hAnsi="Arial" w:cs="Arial"/>
          <w:lang w:val="es-AR"/>
        </w:rPr>
      </w:pPr>
      <w:r w:rsidRPr="00546111">
        <w:rPr>
          <w:rStyle w:val="Refdenotaalpie"/>
          <w:rFonts w:ascii="Arial" w:hAnsi="Arial" w:cs="Arial"/>
          <w:lang w:val="es-AR"/>
        </w:rPr>
        <w:footnoteRef/>
      </w:r>
      <w:r w:rsidRPr="00546111">
        <w:rPr>
          <w:rFonts w:ascii="Arial" w:hAnsi="Arial" w:cs="Arial"/>
          <w:lang w:val="es-AR"/>
        </w:rPr>
        <w:t xml:space="preserve"> </w:t>
      </w:r>
      <w:r w:rsidRPr="00252069">
        <w:rPr>
          <w:lang w:val="es-AR"/>
        </w:rPr>
        <w:t>2021 es el último dato oficial publicado.</w:t>
      </w:r>
    </w:p>
  </w:footnote>
  <w:footnote w:id="14">
    <w:p w14:paraId="1BC5BB7A" w14:textId="77777777" w:rsidR="00794D95" w:rsidRPr="00A911BD" w:rsidRDefault="00794D95" w:rsidP="00794D95">
      <w:pPr>
        <w:pStyle w:val="Textonotapie"/>
        <w:ind w:left="170" w:hanging="170"/>
        <w:jc w:val="both"/>
        <w:rPr>
          <w:lang w:val="es-AR"/>
        </w:rPr>
      </w:pPr>
      <w:r w:rsidRPr="00A911BD">
        <w:rPr>
          <w:rStyle w:val="Refdenotaalpie"/>
        </w:rPr>
        <w:footnoteRef/>
      </w:r>
      <w:r w:rsidRPr="00A371FB">
        <w:rPr>
          <w:lang w:val="es-ES"/>
        </w:rPr>
        <w:t xml:space="preserve"> </w:t>
      </w:r>
      <w:r w:rsidRPr="00A911BD">
        <w:rPr>
          <w:lang w:val="es-AR"/>
        </w:rPr>
        <w:t>En 2017 la demanda eléctrica del segmento Residencial se había reducido -2.0% por efecto de ajustes tarifarios y temperaturas moderadas, tras +3.0% en 2016, un registro mayor al +2.1% del recesivo 2014, pero inferior al +7.7% del 2015.</w:t>
      </w:r>
    </w:p>
  </w:footnote>
  <w:footnote w:id="15">
    <w:p w14:paraId="0BB60B05" w14:textId="77777777" w:rsidR="00794D95" w:rsidRPr="00930DAE" w:rsidRDefault="00794D95" w:rsidP="00794D95">
      <w:pPr>
        <w:pStyle w:val="Textonotapie"/>
        <w:ind w:left="170" w:hanging="170"/>
        <w:jc w:val="both"/>
        <w:rPr>
          <w:rFonts w:ascii="Arial" w:hAnsi="Arial" w:cs="Arial"/>
          <w:lang w:val="es-AR"/>
        </w:rPr>
      </w:pPr>
      <w:r w:rsidRPr="00A911BD">
        <w:rPr>
          <w:rStyle w:val="Refdenotaalpie"/>
        </w:rPr>
        <w:footnoteRef/>
      </w:r>
      <w:r w:rsidRPr="00A371FB">
        <w:rPr>
          <w:lang w:val="es-ES"/>
        </w:rPr>
        <w:t xml:space="preserve"> </w:t>
      </w:r>
      <w:r w:rsidRPr="00A911BD">
        <w:rPr>
          <w:lang w:val="es-AR"/>
        </w:rPr>
        <w:t>El segmento Comercial creció 3.2% en 2016 respecto a 2015, mayor al 0.2% de 2014, e inferior al 3.8% del 2015.  En 2017, este segmento se redujo -0.4% y en 2018 otro -0.4%.</w:t>
      </w:r>
    </w:p>
  </w:footnote>
  <w:footnote w:id="16">
    <w:p w14:paraId="61D16E2B" w14:textId="77777777" w:rsidR="00794D95" w:rsidRPr="0012119D" w:rsidRDefault="00794D95" w:rsidP="00794D95">
      <w:pPr>
        <w:pStyle w:val="Textonotapie"/>
        <w:ind w:left="170" w:hanging="170"/>
        <w:jc w:val="both"/>
        <w:rPr>
          <w:rFonts w:ascii="Arial" w:hAnsi="Arial" w:cs="Arial"/>
          <w:lang w:val="es-AR"/>
        </w:rPr>
      </w:pPr>
      <w:r w:rsidRPr="0012119D">
        <w:rPr>
          <w:rStyle w:val="Refdenotaalpie"/>
          <w:rFonts w:ascii="Arial" w:hAnsi="Arial" w:cs="Arial"/>
        </w:rPr>
        <w:footnoteRef/>
      </w:r>
      <w:r w:rsidRPr="00A371FB">
        <w:rPr>
          <w:rFonts w:ascii="Arial" w:hAnsi="Arial" w:cs="Arial"/>
          <w:lang w:val="es-ES"/>
        </w:rPr>
        <w:t xml:space="preserve"> </w:t>
      </w:r>
      <w:r w:rsidRPr="00514274">
        <w:rPr>
          <w:lang w:val="es-AR"/>
        </w:rPr>
        <w:t>En 2016 la demanda eléctrica del segmento Industrial había tenido una reducción de -4.7% tras +0.8% de 2015. En 2017 la reactivación industrial arrojó un aumento de demanda eléctrica de 2.0%, en tanto 2018 finalizó con -1.3% con guarismos interanuales muy negativos de -5.8% y -9.7% en noviembre y diciembre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guin"/>
      <w:lvlText w:val="*"/>
      <w:lvlJc w:val="left"/>
    </w:lvl>
  </w:abstractNum>
  <w:abstractNum w:abstractNumId="1" w15:restartNumberingAfterBreak="0">
    <w:nsid w:val="0000001C"/>
    <w:multiLevelType w:val="hybridMultilevel"/>
    <w:tmpl w:val="3F0C3A5C"/>
    <w:lvl w:ilvl="0" w:tplc="BF4AEA40">
      <w:numFmt w:val="decimal"/>
      <w:lvlText w:val=""/>
      <w:lvlJc w:val="left"/>
    </w:lvl>
    <w:lvl w:ilvl="1" w:tplc="29A273E4">
      <w:numFmt w:val="decimal"/>
      <w:lvlText w:val=""/>
      <w:lvlJc w:val="left"/>
    </w:lvl>
    <w:lvl w:ilvl="2" w:tplc="69BA8730">
      <w:numFmt w:val="decimal"/>
      <w:lvlText w:val=""/>
      <w:lvlJc w:val="left"/>
    </w:lvl>
    <w:lvl w:ilvl="3" w:tplc="BA304E26">
      <w:numFmt w:val="decimal"/>
      <w:lvlText w:val=""/>
      <w:lvlJc w:val="left"/>
    </w:lvl>
    <w:lvl w:ilvl="4" w:tplc="7604FFBC">
      <w:numFmt w:val="decimal"/>
      <w:lvlText w:val=""/>
      <w:lvlJc w:val="left"/>
    </w:lvl>
    <w:lvl w:ilvl="5" w:tplc="7B980916">
      <w:numFmt w:val="decimal"/>
      <w:lvlText w:val=""/>
      <w:lvlJc w:val="left"/>
    </w:lvl>
    <w:lvl w:ilvl="6" w:tplc="F2B24C62">
      <w:numFmt w:val="decimal"/>
      <w:lvlText w:val=""/>
      <w:lvlJc w:val="left"/>
    </w:lvl>
    <w:lvl w:ilvl="7" w:tplc="D51ABE06">
      <w:numFmt w:val="decimal"/>
      <w:lvlText w:val=""/>
      <w:lvlJc w:val="left"/>
    </w:lvl>
    <w:lvl w:ilvl="8" w:tplc="668C82E2">
      <w:numFmt w:val="decimal"/>
      <w:lvlText w:val=""/>
      <w:lvlJc w:val="left"/>
    </w:lvl>
  </w:abstractNum>
  <w:abstractNum w:abstractNumId="2" w15:restartNumberingAfterBreak="0">
    <w:nsid w:val="004466A0"/>
    <w:multiLevelType w:val="hybridMultilevel"/>
    <w:tmpl w:val="52FADC62"/>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36C6783"/>
    <w:multiLevelType w:val="hybridMultilevel"/>
    <w:tmpl w:val="A028A5B6"/>
    <w:lvl w:ilvl="0" w:tplc="2C0A0001">
      <w:start w:val="1"/>
      <w:numFmt w:val="bullet"/>
      <w:lvlText w:val=""/>
      <w:lvlJc w:val="left"/>
      <w:pPr>
        <w:ind w:left="4406" w:hanging="360"/>
      </w:pPr>
      <w:rPr>
        <w:rFonts w:ascii="Symbol" w:hAnsi="Symbol" w:hint="default"/>
      </w:rPr>
    </w:lvl>
    <w:lvl w:ilvl="1" w:tplc="2C0A0003" w:tentative="1">
      <w:start w:val="1"/>
      <w:numFmt w:val="bullet"/>
      <w:lvlText w:val="o"/>
      <w:lvlJc w:val="left"/>
      <w:pPr>
        <w:ind w:left="5126" w:hanging="360"/>
      </w:pPr>
      <w:rPr>
        <w:rFonts w:ascii="Courier New" w:hAnsi="Courier New" w:cs="Courier New" w:hint="default"/>
      </w:rPr>
    </w:lvl>
    <w:lvl w:ilvl="2" w:tplc="2C0A0005" w:tentative="1">
      <w:start w:val="1"/>
      <w:numFmt w:val="bullet"/>
      <w:lvlText w:val=""/>
      <w:lvlJc w:val="left"/>
      <w:pPr>
        <w:ind w:left="5846" w:hanging="360"/>
      </w:pPr>
      <w:rPr>
        <w:rFonts w:ascii="Wingdings" w:hAnsi="Wingdings" w:hint="default"/>
      </w:rPr>
    </w:lvl>
    <w:lvl w:ilvl="3" w:tplc="2C0A0001" w:tentative="1">
      <w:start w:val="1"/>
      <w:numFmt w:val="bullet"/>
      <w:lvlText w:val=""/>
      <w:lvlJc w:val="left"/>
      <w:pPr>
        <w:ind w:left="6566" w:hanging="360"/>
      </w:pPr>
      <w:rPr>
        <w:rFonts w:ascii="Symbol" w:hAnsi="Symbol" w:hint="default"/>
      </w:rPr>
    </w:lvl>
    <w:lvl w:ilvl="4" w:tplc="2C0A0003" w:tentative="1">
      <w:start w:val="1"/>
      <w:numFmt w:val="bullet"/>
      <w:lvlText w:val="o"/>
      <w:lvlJc w:val="left"/>
      <w:pPr>
        <w:ind w:left="7286" w:hanging="360"/>
      </w:pPr>
      <w:rPr>
        <w:rFonts w:ascii="Courier New" w:hAnsi="Courier New" w:cs="Courier New" w:hint="default"/>
      </w:rPr>
    </w:lvl>
    <w:lvl w:ilvl="5" w:tplc="2C0A0005" w:tentative="1">
      <w:start w:val="1"/>
      <w:numFmt w:val="bullet"/>
      <w:lvlText w:val=""/>
      <w:lvlJc w:val="left"/>
      <w:pPr>
        <w:ind w:left="8006" w:hanging="360"/>
      </w:pPr>
      <w:rPr>
        <w:rFonts w:ascii="Wingdings" w:hAnsi="Wingdings" w:hint="default"/>
      </w:rPr>
    </w:lvl>
    <w:lvl w:ilvl="6" w:tplc="2C0A0001" w:tentative="1">
      <w:start w:val="1"/>
      <w:numFmt w:val="bullet"/>
      <w:lvlText w:val=""/>
      <w:lvlJc w:val="left"/>
      <w:pPr>
        <w:ind w:left="8726" w:hanging="360"/>
      </w:pPr>
      <w:rPr>
        <w:rFonts w:ascii="Symbol" w:hAnsi="Symbol" w:hint="default"/>
      </w:rPr>
    </w:lvl>
    <w:lvl w:ilvl="7" w:tplc="2C0A0003" w:tentative="1">
      <w:start w:val="1"/>
      <w:numFmt w:val="bullet"/>
      <w:lvlText w:val="o"/>
      <w:lvlJc w:val="left"/>
      <w:pPr>
        <w:ind w:left="9446" w:hanging="360"/>
      </w:pPr>
      <w:rPr>
        <w:rFonts w:ascii="Courier New" w:hAnsi="Courier New" w:cs="Courier New" w:hint="default"/>
      </w:rPr>
    </w:lvl>
    <w:lvl w:ilvl="8" w:tplc="2C0A0005" w:tentative="1">
      <w:start w:val="1"/>
      <w:numFmt w:val="bullet"/>
      <w:lvlText w:val=""/>
      <w:lvlJc w:val="left"/>
      <w:pPr>
        <w:ind w:left="10166" w:hanging="360"/>
      </w:pPr>
      <w:rPr>
        <w:rFonts w:ascii="Wingdings" w:hAnsi="Wingdings" w:hint="default"/>
      </w:rPr>
    </w:lvl>
  </w:abstractNum>
  <w:abstractNum w:abstractNumId="4" w15:restartNumberingAfterBreak="0">
    <w:nsid w:val="049A383C"/>
    <w:multiLevelType w:val="multilevel"/>
    <w:tmpl w:val="50B20D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84408E"/>
    <w:multiLevelType w:val="multilevel"/>
    <w:tmpl w:val="CF020DFA"/>
    <w:name w:val="PwCListNumbers1"/>
    <w:styleLink w:val="PwCListNumbers1"/>
    <w:lvl w:ilvl="0">
      <w:start w:val="1"/>
      <w:numFmt w:val="decimal"/>
      <w:pStyle w:val="Listaconnmeros"/>
      <w:lvlText w:val="%1."/>
      <w:lvlJc w:val="left"/>
      <w:pPr>
        <w:tabs>
          <w:tab w:val="num" w:pos="397"/>
        </w:tabs>
        <w:ind w:left="397" w:hanging="397"/>
      </w:pPr>
      <w:rPr>
        <w:rFonts w:hint="default"/>
      </w:rPr>
    </w:lvl>
    <w:lvl w:ilvl="1">
      <w:start w:val="1"/>
      <w:numFmt w:val="lowerLetter"/>
      <w:pStyle w:val="Listaconnmeros2"/>
      <w:lvlText w:val="%2."/>
      <w:lvlJc w:val="left"/>
      <w:pPr>
        <w:tabs>
          <w:tab w:val="num" w:pos="794"/>
        </w:tabs>
        <w:ind w:left="794" w:hanging="397"/>
      </w:pPr>
      <w:rPr>
        <w:rFonts w:hint="default"/>
      </w:rPr>
    </w:lvl>
    <w:lvl w:ilvl="2">
      <w:start w:val="1"/>
      <w:numFmt w:val="lowerRoman"/>
      <w:pStyle w:val="Listaconnmeros3"/>
      <w:lvlText w:val="%3."/>
      <w:lvlJc w:val="left"/>
      <w:pPr>
        <w:tabs>
          <w:tab w:val="num" w:pos="1191"/>
        </w:tabs>
        <w:ind w:left="1191" w:hanging="397"/>
      </w:pPr>
      <w:rPr>
        <w:rFonts w:hint="default"/>
      </w:rPr>
    </w:lvl>
    <w:lvl w:ilvl="3">
      <w:start w:val="1"/>
      <w:numFmt w:val="decimal"/>
      <w:pStyle w:val="Listaconnmeros4"/>
      <w:lvlText w:val="%4."/>
      <w:lvlJc w:val="left"/>
      <w:pPr>
        <w:tabs>
          <w:tab w:val="num" w:pos="1588"/>
        </w:tabs>
        <w:ind w:left="1588" w:hanging="397"/>
      </w:pPr>
      <w:rPr>
        <w:rFonts w:hint="default"/>
      </w:rPr>
    </w:lvl>
    <w:lvl w:ilvl="4">
      <w:start w:val="1"/>
      <w:numFmt w:val="lowerLetter"/>
      <w:pStyle w:val="Listaconnmeros5"/>
      <w:lvlText w:val="%5."/>
      <w:lvlJc w:val="left"/>
      <w:pPr>
        <w:tabs>
          <w:tab w:val="num" w:pos="1985"/>
        </w:tabs>
        <w:ind w:left="1985" w:hanging="397"/>
      </w:pPr>
      <w:rPr>
        <w:rFonts w:hint="default"/>
      </w:rPr>
    </w:lvl>
    <w:lvl w:ilvl="5">
      <w:start w:val="1"/>
      <w:numFmt w:val="lowerRoman"/>
      <w:lvlText w:val="%6."/>
      <w:lvlJc w:val="left"/>
      <w:pPr>
        <w:tabs>
          <w:tab w:val="num" w:pos="2381"/>
        </w:tabs>
        <w:ind w:left="2382" w:hanging="397"/>
      </w:pPr>
      <w:rPr>
        <w:rFonts w:hint="default"/>
      </w:rPr>
    </w:lvl>
    <w:lvl w:ilvl="6">
      <w:start w:val="1"/>
      <w:numFmt w:val="decimal"/>
      <w:lvlText w:val="%7."/>
      <w:lvlJc w:val="left"/>
      <w:pPr>
        <w:tabs>
          <w:tab w:val="num" w:pos="2778"/>
        </w:tabs>
        <w:ind w:left="2779" w:hanging="397"/>
      </w:pPr>
      <w:rPr>
        <w:rFonts w:hint="default"/>
      </w:rPr>
    </w:lvl>
    <w:lvl w:ilvl="7">
      <w:start w:val="1"/>
      <w:numFmt w:val="lowerLetter"/>
      <w:lvlText w:val="%8."/>
      <w:lvlJc w:val="left"/>
      <w:pPr>
        <w:tabs>
          <w:tab w:val="num" w:pos="3175"/>
        </w:tabs>
        <w:ind w:left="3176" w:hanging="397"/>
      </w:pPr>
      <w:rPr>
        <w:rFonts w:hint="default"/>
      </w:rPr>
    </w:lvl>
    <w:lvl w:ilvl="8">
      <w:start w:val="1"/>
      <w:numFmt w:val="lowerRoman"/>
      <w:lvlText w:val="%9."/>
      <w:lvlJc w:val="left"/>
      <w:pPr>
        <w:tabs>
          <w:tab w:val="num" w:pos="3572"/>
        </w:tabs>
        <w:ind w:left="3573" w:hanging="397"/>
      </w:pPr>
      <w:rPr>
        <w:rFonts w:hint="default"/>
      </w:rPr>
    </w:lvl>
  </w:abstractNum>
  <w:abstractNum w:abstractNumId="6" w15:restartNumberingAfterBreak="0">
    <w:nsid w:val="0C8C7721"/>
    <w:multiLevelType w:val="hybridMultilevel"/>
    <w:tmpl w:val="F9E686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23A82D18"/>
    <w:multiLevelType w:val="hybridMultilevel"/>
    <w:tmpl w:val="661476E8"/>
    <w:lvl w:ilvl="0" w:tplc="2C0A0001">
      <w:start w:val="1"/>
      <w:numFmt w:val="bullet"/>
      <w:lvlText w:val=""/>
      <w:lvlJc w:val="left"/>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23C024A3"/>
    <w:multiLevelType w:val="hybridMultilevel"/>
    <w:tmpl w:val="6A2CB004"/>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78312DB"/>
    <w:multiLevelType w:val="hybridMultilevel"/>
    <w:tmpl w:val="6368F358"/>
    <w:lvl w:ilvl="0" w:tplc="FE082744">
      <w:start w:val="1"/>
      <w:numFmt w:val="decimal"/>
      <w:lvlText w:val="%1."/>
      <w:lvlJc w:val="left"/>
      <w:pPr>
        <w:ind w:left="720"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299D3153"/>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15:restartNumberingAfterBreak="0">
    <w:nsid w:val="2A4273F8"/>
    <w:multiLevelType w:val="singleLevel"/>
    <w:tmpl w:val="FBF0D9FE"/>
    <w:lvl w:ilvl="0">
      <w:start w:val="1"/>
      <w:numFmt w:val="bullet"/>
      <w:pStyle w:val="Titulo2Vieta"/>
      <w:lvlText w:val=""/>
      <w:lvlJc w:val="left"/>
      <w:pPr>
        <w:tabs>
          <w:tab w:val="num" w:pos="360"/>
        </w:tabs>
        <w:ind w:left="360" w:hanging="360"/>
      </w:pPr>
      <w:rPr>
        <w:rFonts w:ascii="Wingdings" w:hAnsi="Wingdings" w:hint="default"/>
        <w:sz w:val="14"/>
      </w:rPr>
    </w:lvl>
  </w:abstractNum>
  <w:abstractNum w:abstractNumId="12" w15:restartNumberingAfterBreak="0">
    <w:nsid w:val="2C10224B"/>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31E60FD9"/>
    <w:multiLevelType w:val="hybridMultilevel"/>
    <w:tmpl w:val="B28AF236"/>
    <w:lvl w:ilvl="0" w:tplc="A9909918">
      <w:start w:val="1"/>
      <w:numFmt w:val="lowerLetter"/>
      <w:pStyle w:val="carol1"/>
      <w:lvlText w:val="(%1)"/>
      <w:lvlJc w:val="left"/>
      <w:pPr>
        <w:tabs>
          <w:tab w:val="num" w:pos="720"/>
        </w:tabs>
        <w:ind w:left="720" w:hanging="360"/>
      </w:pPr>
      <w:rPr>
        <w:rFonts w:hint="default"/>
      </w:r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14" w15:restartNumberingAfterBreak="0">
    <w:nsid w:val="385A0C2C"/>
    <w:multiLevelType w:val="hybridMultilevel"/>
    <w:tmpl w:val="70DC2F26"/>
    <w:lvl w:ilvl="0" w:tplc="EC38C386">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3FCD6F34"/>
    <w:multiLevelType w:val="hybridMultilevel"/>
    <w:tmpl w:val="685E5F18"/>
    <w:lvl w:ilvl="0" w:tplc="9B6E68D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4CD41686"/>
    <w:multiLevelType w:val="multilevel"/>
    <w:tmpl w:val="FA4617F4"/>
    <w:styleLink w:val="111111"/>
    <w:lvl w:ilvl="0">
      <w:start w:val="6"/>
      <w:numFmt w:val="decimal"/>
      <w:lvlText w:val="%1."/>
      <w:lvlJc w:val="left"/>
      <w:pPr>
        <w:tabs>
          <w:tab w:val="num" w:pos="360"/>
        </w:tabs>
        <w:ind w:left="360" w:hanging="360"/>
      </w:pPr>
      <w:rPr>
        <w:rFonts w:hint="default"/>
      </w:rPr>
    </w:lvl>
    <w:lvl w:ilvl="1">
      <w:start w:val="1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F03745D"/>
    <w:multiLevelType w:val="hybridMultilevel"/>
    <w:tmpl w:val="ACEC5AE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50DB38B1"/>
    <w:multiLevelType w:val="hybridMultilevel"/>
    <w:tmpl w:val="EB24508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5EED7905"/>
    <w:multiLevelType w:val="hybridMultilevel"/>
    <w:tmpl w:val="C9E02A4C"/>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0" w15:restartNumberingAfterBreak="0">
    <w:nsid w:val="72591CA9"/>
    <w:multiLevelType w:val="multilevel"/>
    <w:tmpl w:val="B790A32C"/>
    <w:name w:val="PwCListBullets1"/>
    <w:styleLink w:val="PwCListBullets1"/>
    <w:lvl w:ilvl="0">
      <w:start w:val="1"/>
      <w:numFmt w:val="bullet"/>
      <w:pStyle w:val="Listaconvietas"/>
      <w:lvlText w:val=""/>
      <w:lvlJc w:val="left"/>
      <w:pPr>
        <w:tabs>
          <w:tab w:val="num" w:pos="397"/>
        </w:tabs>
        <w:ind w:left="397" w:hanging="397"/>
      </w:pPr>
      <w:rPr>
        <w:rFonts w:ascii="Symbol" w:hAnsi="Symbol" w:hint="default"/>
      </w:rPr>
    </w:lvl>
    <w:lvl w:ilvl="1">
      <w:start w:val="1"/>
      <w:numFmt w:val="bullet"/>
      <w:pStyle w:val="Listaconvietas2"/>
      <w:lvlText w:val=""/>
      <w:lvlJc w:val="left"/>
      <w:pPr>
        <w:tabs>
          <w:tab w:val="num" w:pos="794"/>
        </w:tabs>
        <w:ind w:left="794" w:hanging="397"/>
      </w:pPr>
      <w:rPr>
        <w:rFonts w:ascii="Symbol" w:hAnsi="Symbol" w:hint="default"/>
      </w:rPr>
    </w:lvl>
    <w:lvl w:ilvl="2">
      <w:start w:val="1"/>
      <w:numFmt w:val="bullet"/>
      <w:pStyle w:val="Listaconvietas3"/>
      <w:lvlText w:val=""/>
      <w:lvlJc w:val="left"/>
      <w:pPr>
        <w:tabs>
          <w:tab w:val="num" w:pos="1191"/>
        </w:tabs>
        <w:ind w:left="1191" w:hanging="397"/>
      </w:pPr>
      <w:rPr>
        <w:rFonts w:ascii="Symbol" w:hAnsi="Symbol" w:hint="default"/>
      </w:rPr>
    </w:lvl>
    <w:lvl w:ilvl="3">
      <w:start w:val="1"/>
      <w:numFmt w:val="bullet"/>
      <w:pStyle w:val="Listaconvietas4"/>
      <w:lvlText w:val=""/>
      <w:lvlJc w:val="left"/>
      <w:pPr>
        <w:tabs>
          <w:tab w:val="num" w:pos="1588"/>
        </w:tabs>
        <w:ind w:left="1588" w:hanging="397"/>
      </w:pPr>
      <w:rPr>
        <w:rFonts w:ascii="Symbol" w:hAnsi="Symbol" w:hint="default"/>
      </w:rPr>
    </w:lvl>
    <w:lvl w:ilvl="4">
      <w:start w:val="1"/>
      <w:numFmt w:val="bullet"/>
      <w:pStyle w:val="Listaconvietas5"/>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21" w15:restartNumberingAfterBreak="0">
    <w:nsid w:val="747A2D6F"/>
    <w:multiLevelType w:val="multilevel"/>
    <w:tmpl w:val="C2AAAF08"/>
    <w:lvl w:ilvl="0">
      <w:start w:val="2"/>
      <w:numFmt w:val="decimal"/>
      <w:lvlText w:val="%1."/>
      <w:lvlJc w:val="left"/>
      <w:pPr>
        <w:ind w:left="4188" w:hanging="360"/>
      </w:pPr>
      <w:rPr>
        <w:rFonts w:hint="default"/>
        <w:sz w:val="22"/>
        <w:szCs w:val="22"/>
      </w:rPr>
    </w:lvl>
    <w:lvl w:ilvl="1">
      <w:start w:val="1"/>
      <w:numFmt w:val="decimal"/>
      <w:isLgl/>
      <w:lvlText w:val="%1.%2"/>
      <w:lvlJc w:val="left"/>
      <w:pPr>
        <w:ind w:left="720" w:hanging="360"/>
      </w:pPr>
      <w:rPr>
        <w:rFonts w:hint="default"/>
        <w:color w:val="auto"/>
        <w:u w:val="none"/>
      </w:rPr>
    </w:lvl>
    <w:lvl w:ilvl="2">
      <w:start w:val="1"/>
      <w:numFmt w:val="decimal"/>
      <w:isLgl/>
      <w:lvlText w:val="%1.%2.%3"/>
      <w:lvlJc w:val="left"/>
      <w:pPr>
        <w:ind w:left="1080" w:hanging="720"/>
      </w:pPr>
      <w:rPr>
        <w:rFonts w:hint="default"/>
        <w:color w:val="auto"/>
        <w:u w:val="none"/>
      </w:rPr>
    </w:lvl>
    <w:lvl w:ilvl="3">
      <w:start w:val="1"/>
      <w:numFmt w:val="decimal"/>
      <w:isLgl/>
      <w:lvlText w:val="%1.%2.%3.%4"/>
      <w:lvlJc w:val="left"/>
      <w:pPr>
        <w:ind w:left="1080" w:hanging="720"/>
      </w:pPr>
      <w:rPr>
        <w:rFonts w:hint="default"/>
        <w:color w:val="auto"/>
        <w:u w:val="none"/>
      </w:rPr>
    </w:lvl>
    <w:lvl w:ilvl="4">
      <w:start w:val="1"/>
      <w:numFmt w:val="decimal"/>
      <w:isLgl/>
      <w:lvlText w:val="%1.%2.%3.%4.%5"/>
      <w:lvlJc w:val="left"/>
      <w:pPr>
        <w:ind w:left="1080" w:hanging="720"/>
      </w:pPr>
      <w:rPr>
        <w:rFonts w:hint="default"/>
        <w:color w:val="auto"/>
        <w:u w:val="none"/>
      </w:rPr>
    </w:lvl>
    <w:lvl w:ilvl="5">
      <w:start w:val="1"/>
      <w:numFmt w:val="decimal"/>
      <w:isLgl/>
      <w:lvlText w:val="%1.%2.%3.%4.%5.%6"/>
      <w:lvlJc w:val="left"/>
      <w:pPr>
        <w:ind w:left="1440" w:hanging="1080"/>
      </w:pPr>
      <w:rPr>
        <w:rFonts w:hint="default"/>
        <w:color w:val="auto"/>
        <w:u w:val="none"/>
      </w:rPr>
    </w:lvl>
    <w:lvl w:ilvl="6">
      <w:start w:val="1"/>
      <w:numFmt w:val="decimal"/>
      <w:isLgl/>
      <w:lvlText w:val="%1.%2.%3.%4.%5.%6.%7"/>
      <w:lvlJc w:val="left"/>
      <w:pPr>
        <w:ind w:left="1440" w:hanging="1080"/>
      </w:pPr>
      <w:rPr>
        <w:rFonts w:hint="default"/>
        <w:color w:val="auto"/>
        <w:u w:val="none"/>
      </w:rPr>
    </w:lvl>
    <w:lvl w:ilvl="7">
      <w:start w:val="1"/>
      <w:numFmt w:val="decimal"/>
      <w:isLgl/>
      <w:lvlText w:val="%1.%2.%3.%4.%5.%6.%7.%8"/>
      <w:lvlJc w:val="left"/>
      <w:pPr>
        <w:ind w:left="1800" w:hanging="1440"/>
      </w:pPr>
      <w:rPr>
        <w:rFonts w:hint="default"/>
        <w:color w:val="auto"/>
        <w:u w:val="none"/>
      </w:rPr>
    </w:lvl>
    <w:lvl w:ilvl="8">
      <w:start w:val="1"/>
      <w:numFmt w:val="decimal"/>
      <w:isLgl/>
      <w:lvlText w:val="%1.%2.%3.%4.%5.%6.%7.%8.%9"/>
      <w:lvlJc w:val="left"/>
      <w:pPr>
        <w:ind w:left="1800" w:hanging="1440"/>
      </w:pPr>
      <w:rPr>
        <w:rFonts w:hint="default"/>
        <w:color w:val="auto"/>
        <w:u w:val="none"/>
      </w:rPr>
    </w:lvl>
  </w:abstractNum>
  <w:abstractNum w:abstractNumId="22" w15:restartNumberingAfterBreak="0">
    <w:nsid w:val="78ED677A"/>
    <w:multiLevelType w:val="hybridMultilevel"/>
    <w:tmpl w:val="A7D2BC68"/>
    <w:lvl w:ilvl="0" w:tplc="36D290E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214857018">
    <w:abstractNumId w:val="4"/>
  </w:num>
  <w:num w:numId="2" w16cid:durableId="383915136">
    <w:abstractNumId w:val="20"/>
  </w:num>
  <w:num w:numId="3" w16cid:durableId="1606230425">
    <w:abstractNumId w:val="5"/>
  </w:num>
  <w:num w:numId="4" w16cid:durableId="1403213945">
    <w:abstractNumId w:val="13"/>
  </w:num>
  <w:num w:numId="5" w16cid:durableId="1576012789">
    <w:abstractNumId w:val="16"/>
  </w:num>
  <w:num w:numId="6" w16cid:durableId="1740787967">
    <w:abstractNumId w:val="0"/>
    <w:lvlOverride w:ilvl="0">
      <w:lvl w:ilvl="0">
        <w:start w:val="1"/>
        <w:numFmt w:val="bullet"/>
        <w:pStyle w:val="guin"/>
        <w:lvlText w:val=""/>
        <w:legacy w:legacy="1" w:legacySpace="0" w:legacyIndent="360"/>
        <w:lvlJc w:val="left"/>
        <w:pPr>
          <w:ind w:left="1224" w:hanging="360"/>
        </w:pPr>
        <w:rPr>
          <w:rFonts w:ascii="Symbol" w:hAnsi="Symbol" w:hint="default"/>
          <w:sz w:val="16"/>
        </w:rPr>
      </w:lvl>
    </w:lvlOverride>
  </w:num>
  <w:num w:numId="7" w16cid:durableId="966163211">
    <w:abstractNumId w:val="11"/>
  </w:num>
  <w:num w:numId="8" w16cid:durableId="1589774471">
    <w:abstractNumId w:val="21"/>
  </w:num>
  <w:num w:numId="9" w16cid:durableId="106630142">
    <w:abstractNumId w:val="10"/>
  </w:num>
  <w:num w:numId="10" w16cid:durableId="1576738959">
    <w:abstractNumId w:val="12"/>
  </w:num>
  <w:num w:numId="11" w16cid:durableId="1378243252">
    <w:abstractNumId w:val="3"/>
  </w:num>
  <w:num w:numId="12" w16cid:durableId="1702244362">
    <w:abstractNumId w:val="9"/>
  </w:num>
  <w:num w:numId="13" w16cid:durableId="8087161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66314309">
    <w:abstractNumId w:val="17"/>
  </w:num>
  <w:num w:numId="15" w16cid:durableId="1226183958">
    <w:abstractNumId w:val="14"/>
  </w:num>
  <w:num w:numId="16" w16cid:durableId="1706826539">
    <w:abstractNumId w:val="15"/>
  </w:num>
  <w:num w:numId="17" w16cid:durableId="1634215123">
    <w:abstractNumId w:val="6"/>
  </w:num>
  <w:num w:numId="18" w16cid:durableId="142089006">
    <w:abstractNumId w:val="18"/>
  </w:num>
  <w:num w:numId="19" w16cid:durableId="1901092102">
    <w:abstractNumId w:val="7"/>
  </w:num>
  <w:num w:numId="20" w16cid:durableId="543297306">
    <w:abstractNumId w:val="1"/>
  </w:num>
  <w:num w:numId="21" w16cid:durableId="347952627">
    <w:abstractNumId w:val="2"/>
  </w:num>
  <w:num w:numId="22" w16cid:durableId="220753089">
    <w:abstractNumId w:val="22"/>
  </w:num>
  <w:num w:numId="23" w16cid:durableId="624777185">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849"/>
    <w:rsid w:val="0000042B"/>
    <w:rsid w:val="00000B5F"/>
    <w:rsid w:val="00001594"/>
    <w:rsid w:val="00003A29"/>
    <w:rsid w:val="000055B7"/>
    <w:rsid w:val="00006826"/>
    <w:rsid w:val="0000729E"/>
    <w:rsid w:val="00014C76"/>
    <w:rsid w:val="00016571"/>
    <w:rsid w:val="00020BAD"/>
    <w:rsid w:val="00020DF4"/>
    <w:rsid w:val="00022AB7"/>
    <w:rsid w:val="000262AB"/>
    <w:rsid w:val="00026511"/>
    <w:rsid w:val="0003047D"/>
    <w:rsid w:val="00031116"/>
    <w:rsid w:val="00031808"/>
    <w:rsid w:val="00031F9F"/>
    <w:rsid w:val="00033185"/>
    <w:rsid w:val="00043991"/>
    <w:rsid w:val="00043E47"/>
    <w:rsid w:val="000459D1"/>
    <w:rsid w:val="000478D7"/>
    <w:rsid w:val="00047D15"/>
    <w:rsid w:val="0005003C"/>
    <w:rsid w:val="000505FF"/>
    <w:rsid w:val="00051637"/>
    <w:rsid w:val="00052ECC"/>
    <w:rsid w:val="00054B30"/>
    <w:rsid w:val="00056C0D"/>
    <w:rsid w:val="000605C0"/>
    <w:rsid w:val="00060E9A"/>
    <w:rsid w:val="0006153E"/>
    <w:rsid w:val="00062109"/>
    <w:rsid w:val="000621C3"/>
    <w:rsid w:val="00062F5F"/>
    <w:rsid w:val="00064E02"/>
    <w:rsid w:val="0007186B"/>
    <w:rsid w:val="00072121"/>
    <w:rsid w:val="00072764"/>
    <w:rsid w:val="00072F8A"/>
    <w:rsid w:val="000764D1"/>
    <w:rsid w:val="000834D5"/>
    <w:rsid w:val="00083A93"/>
    <w:rsid w:val="00084E34"/>
    <w:rsid w:val="00086203"/>
    <w:rsid w:val="0009116E"/>
    <w:rsid w:val="00091891"/>
    <w:rsid w:val="000A6C44"/>
    <w:rsid w:val="000B1135"/>
    <w:rsid w:val="000B136D"/>
    <w:rsid w:val="000B3A26"/>
    <w:rsid w:val="000B49F0"/>
    <w:rsid w:val="000B74E0"/>
    <w:rsid w:val="000C1ACE"/>
    <w:rsid w:val="000C230E"/>
    <w:rsid w:val="000C3813"/>
    <w:rsid w:val="000C5D56"/>
    <w:rsid w:val="000C7420"/>
    <w:rsid w:val="000D2E7E"/>
    <w:rsid w:val="000D4333"/>
    <w:rsid w:val="000D596E"/>
    <w:rsid w:val="000D7658"/>
    <w:rsid w:val="000D7704"/>
    <w:rsid w:val="000D7DB0"/>
    <w:rsid w:val="000E0048"/>
    <w:rsid w:val="000E1D35"/>
    <w:rsid w:val="000E5B30"/>
    <w:rsid w:val="000E73B0"/>
    <w:rsid w:val="000E754A"/>
    <w:rsid w:val="000E796B"/>
    <w:rsid w:val="000F4B4F"/>
    <w:rsid w:val="000F5134"/>
    <w:rsid w:val="000F53CC"/>
    <w:rsid w:val="000F5DBD"/>
    <w:rsid w:val="00101755"/>
    <w:rsid w:val="00102416"/>
    <w:rsid w:val="0010332B"/>
    <w:rsid w:val="001037AB"/>
    <w:rsid w:val="001057CB"/>
    <w:rsid w:val="001058C5"/>
    <w:rsid w:val="00107B3F"/>
    <w:rsid w:val="00107D9E"/>
    <w:rsid w:val="00111B96"/>
    <w:rsid w:val="00111C0C"/>
    <w:rsid w:val="00115445"/>
    <w:rsid w:val="00115D8F"/>
    <w:rsid w:val="00117D11"/>
    <w:rsid w:val="00120F3C"/>
    <w:rsid w:val="00121BD7"/>
    <w:rsid w:val="0012217B"/>
    <w:rsid w:val="00123706"/>
    <w:rsid w:val="00123F1A"/>
    <w:rsid w:val="001244FC"/>
    <w:rsid w:val="00125E31"/>
    <w:rsid w:val="00126D6D"/>
    <w:rsid w:val="001302B5"/>
    <w:rsid w:val="00131411"/>
    <w:rsid w:val="0013193F"/>
    <w:rsid w:val="001356F9"/>
    <w:rsid w:val="0013611B"/>
    <w:rsid w:val="00136F9E"/>
    <w:rsid w:val="00141973"/>
    <w:rsid w:val="00142BB2"/>
    <w:rsid w:val="001431D3"/>
    <w:rsid w:val="00143298"/>
    <w:rsid w:val="001444BD"/>
    <w:rsid w:val="0015344E"/>
    <w:rsid w:val="00156AFF"/>
    <w:rsid w:val="00157335"/>
    <w:rsid w:val="00160086"/>
    <w:rsid w:val="0016162E"/>
    <w:rsid w:val="00161FD5"/>
    <w:rsid w:val="001650DD"/>
    <w:rsid w:val="00165A96"/>
    <w:rsid w:val="00167702"/>
    <w:rsid w:val="00170895"/>
    <w:rsid w:val="00171398"/>
    <w:rsid w:val="00171D37"/>
    <w:rsid w:val="00175711"/>
    <w:rsid w:val="00181C66"/>
    <w:rsid w:val="00185DC1"/>
    <w:rsid w:val="00191482"/>
    <w:rsid w:val="00192799"/>
    <w:rsid w:val="00195D3E"/>
    <w:rsid w:val="0019643D"/>
    <w:rsid w:val="001978F6"/>
    <w:rsid w:val="001A0153"/>
    <w:rsid w:val="001A0F8D"/>
    <w:rsid w:val="001A156F"/>
    <w:rsid w:val="001A7080"/>
    <w:rsid w:val="001A774B"/>
    <w:rsid w:val="001B1C5E"/>
    <w:rsid w:val="001B28A6"/>
    <w:rsid w:val="001B2F5D"/>
    <w:rsid w:val="001B3335"/>
    <w:rsid w:val="001B3C1D"/>
    <w:rsid w:val="001B4EDB"/>
    <w:rsid w:val="001B510C"/>
    <w:rsid w:val="001B5821"/>
    <w:rsid w:val="001B63AA"/>
    <w:rsid w:val="001B6675"/>
    <w:rsid w:val="001B7EB4"/>
    <w:rsid w:val="001B7F9E"/>
    <w:rsid w:val="001C01C2"/>
    <w:rsid w:val="001C15EC"/>
    <w:rsid w:val="001C1E6E"/>
    <w:rsid w:val="001C5E5C"/>
    <w:rsid w:val="001C68B3"/>
    <w:rsid w:val="001D2509"/>
    <w:rsid w:val="001D5723"/>
    <w:rsid w:val="001E0D3D"/>
    <w:rsid w:val="001E31AC"/>
    <w:rsid w:val="001E3373"/>
    <w:rsid w:val="001E4789"/>
    <w:rsid w:val="001E4FFF"/>
    <w:rsid w:val="001E6DF3"/>
    <w:rsid w:val="001E7A82"/>
    <w:rsid w:val="001F0875"/>
    <w:rsid w:val="001F582D"/>
    <w:rsid w:val="00203D33"/>
    <w:rsid w:val="00210655"/>
    <w:rsid w:val="00211146"/>
    <w:rsid w:val="00213493"/>
    <w:rsid w:val="0021563F"/>
    <w:rsid w:val="00216A65"/>
    <w:rsid w:val="00220BA9"/>
    <w:rsid w:val="00221410"/>
    <w:rsid w:val="002233EE"/>
    <w:rsid w:val="00225A71"/>
    <w:rsid w:val="00225AED"/>
    <w:rsid w:val="00226038"/>
    <w:rsid w:val="00226FBE"/>
    <w:rsid w:val="002277A6"/>
    <w:rsid w:val="002306CC"/>
    <w:rsid w:val="00230BB5"/>
    <w:rsid w:val="00230F39"/>
    <w:rsid w:val="00231A67"/>
    <w:rsid w:val="0023477F"/>
    <w:rsid w:val="00237D97"/>
    <w:rsid w:val="002450E4"/>
    <w:rsid w:val="0024652D"/>
    <w:rsid w:val="0025186A"/>
    <w:rsid w:val="00251BC8"/>
    <w:rsid w:val="002530DA"/>
    <w:rsid w:val="002539E8"/>
    <w:rsid w:val="00256C6B"/>
    <w:rsid w:val="00257E71"/>
    <w:rsid w:val="00262B34"/>
    <w:rsid w:val="00264052"/>
    <w:rsid w:val="00265FD0"/>
    <w:rsid w:val="002732AE"/>
    <w:rsid w:val="00275FCA"/>
    <w:rsid w:val="00276548"/>
    <w:rsid w:val="002770EE"/>
    <w:rsid w:val="0028023B"/>
    <w:rsid w:val="00280260"/>
    <w:rsid w:val="002804A6"/>
    <w:rsid w:val="00280F0C"/>
    <w:rsid w:val="002814FE"/>
    <w:rsid w:val="00284EBB"/>
    <w:rsid w:val="002852E5"/>
    <w:rsid w:val="00287B8C"/>
    <w:rsid w:val="0029165D"/>
    <w:rsid w:val="00291A4D"/>
    <w:rsid w:val="0029239F"/>
    <w:rsid w:val="00292CA0"/>
    <w:rsid w:val="00293D72"/>
    <w:rsid w:val="00294089"/>
    <w:rsid w:val="002958AC"/>
    <w:rsid w:val="002974F9"/>
    <w:rsid w:val="002A069B"/>
    <w:rsid w:val="002A247C"/>
    <w:rsid w:val="002A5D9B"/>
    <w:rsid w:val="002B117F"/>
    <w:rsid w:val="002B200E"/>
    <w:rsid w:val="002B3936"/>
    <w:rsid w:val="002B5DAA"/>
    <w:rsid w:val="002B79DE"/>
    <w:rsid w:val="002C0418"/>
    <w:rsid w:val="002C0B9B"/>
    <w:rsid w:val="002C6F9D"/>
    <w:rsid w:val="002C78F7"/>
    <w:rsid w:val="002D10F8"/>
    <w:rsid w:val="002D1372"/>
    <w:rsid w:val="002D186E"/>
    <w:rsid w:val="002E4996"/>
    <w:rsid w:val="002E5043"/>
    <w:rsid w:val="002E53D9"/>
    <w:rsid w:val="002F45E1"/>
    <w:rsid w:val="002F65A1"/>
    <w:rsid w:val="00300864"/>
    <w:rsid w:val="00304EF4"/>
    <w:rsid w:val="003050D3"/>
    <w:rsid w:val="003101FF"/>
    <w:rsid w:val="00312D54"/>
    <w:rsid w:val="0031345B"/>
    <w:rsid w:val="00315FA1"/>
    <w:rsid w:val="00317AD5"/>
    <w:rsid w:val="0032007C"/>
    <w:rsid w:val="00320404"/>
    <w:rsid w:val="00320E3C"/>
    <w:rsid w:val="003253C1"/>
    <w:rsid w:val="00325ABB"/>
    <w:rsid w:val="00325AC6"/>
    <w:rsid w:val="003300C8"/>
    <w:rsid w:val="003323DC"/>
    <w:rsid w:val="0033361D"/>
    <w:rsid w:val="00334938"/>
    <w:rsid w:val="00335CBA"/>
    <w:rsid w:val="00340954"/>
    <w:rsid w:val="00340DE1"/>
    <w:rsid w:val="00341408"/>
    <w:rsid w:val="003426EB"/>
    <w:rsid w:val="00342E18"/>
    <w:rsid w:val="00343F73"/>
    <w:rsid w:val="0034562C"/>
    <w:rsid w:val="003474A7"/>
    <w:rsid w:val="0035028F"/>
    <w:rsid w:val="003516BA"/>
    <w:rsid w:val="00351D67"/>
    <w:rsid w:val="00352351"/>
    <w:rsid w:val="0035408E"/>
    <w:rsid w:val="003543CD"/>
    <w:rsid w:val="00354D02"/>
    <w:rsid w:val="00361B8D"/>
    <w:rsid w:val="003627D7"/>
    <w:rsid w:val="00364264"/>
    <w:rsid w:val="0037172E"/>
    <w:rsid w:val="0037301A"/>
    <w:rsid w:val="00375E18"/>
    <w:rsid w:val="00377FF7"/>
    <w:rsid w:val="00381F89"/>
    <w:rsid w:val="003823F0"/>
    <w:rsid w:val="00382BE1"/>
    <w:rsid w:val="00383B07"/>
    <w:rsid w:val="003862FB"/>
    <w:rsid w:val="00392FDD"/>
    <w:rsid w:val="003965BF"/>
    <w:rsid w:val="003A02AE"/>
    <w:rsid w:val="003A1361"/>
    <w:rsid w:val="003A1824"/>
    <w:rsid w:val="003A2975"/>
    <w:rsid w:val="003A3D79"/>
    <w:rsid w:val="003B028D"/>
    <w:rsid w:val="003B1104"/>
    <w:rsid w:val="003B14CE"/>
    <w:rsid w:val="003B6AD8"/>
    <w:rsid w:val="003C50F3"/>
    <w:rsid w:val="003D06B1"/>
    <w:rsid w:val="003D2221"/>
    <w:rsid w:val="003D629A"/>
    <w:rsid w:val="003E0F6E"/>
    <w:rsid w:val="003E17D5"/>
    <w:rsid w:val="003E4B7C"/>
    <w:rsid w:val="003E4E85"/>
    <w:rsid w:val="003F1D9A"/>
    <w:rsid w:val="003F2C8B"/>
    <w:rsid w:val="003F36A2"/>
    <w:rsid w:val="003F3EFA"/>
    <w:rsid w:val="003F4B71"/>
    <w:rsid w:val="004064A1"/>
    <w:rsid w:val="0041086C"/>
    <w:rsid w:val="00416E57"/>
    <w:rsid w:val="00417073"/>
    <w:rsid w:val="00417A1A"/>
    <w:rsid w:val="00426F31"/>
    <w:rsid w:val="00430867"/>
    <w:rsid w:val="00430CA1"/>
    <w:rsid w:val="00433302"/>
    <w:rsid w:val="00436763"/>
    <w:rsid w:val="0043691A"/>
    <w:rsid w:val="004375AB"/>
    <w:rsid w:val="00440EF2"/>
    <w:rsid w:val="00441459"/>
    <w:rsid w:val="00444DD5"/>
    <w:rsid w:val="0044696F"/>
    <w:rsid w:val="004471DB"/>
    <w:rsid w:val="00452024"/>
    <w:rsid w:val="00456044"/>
    <w:rsid w:val="00457B4A"/>
    <w:rsid w:val="00457FC0"/>
    <w:rsid w:val="00462A83"/>
    <w:rsid w:val="004654EF"/>
    <w:rsid w:val="00466485"/>
    <w:rsid w:val="00472199"/>
    <w:rsid w:val="00472849"/>
    <w:rsid w:val="00472C37"/>
    <w:rsid w:val="00474577"/>
    <w:rsid w:val="00474ACD"/>
    <w:rsid w:val="00475039"/>
    <w:rsid w:val="00476352"/>
    <w:rsid w:val="00477F6D"/>
    <w:rsid w:val="00477FA7"/>
    <w:rsid w:val="00483B39"/>
    <w:rsid w:val="00486981"/>
    <w:rsid w:val="00487F3F"/>
    <w:rsid w:val="00493296"/>
    <w:rsid w:val="00496EFC"/>
    <w:rsid w:val="0049721A"/>
    <w:rsid w:val="004A05B8"/>
    <w:rsid w:val="004A1E49"/>
    <w:rsid w:val="004A538C"/>
    <w:rsid w:val="004A5454"/>
    <w:rsid w:val="004A62E9"/>
    <w:rsid w:val="004A709B"/>
    <w:rsid w:val="004B2B61"/>
    <w:rsid w:val="004B3BCA"/>
    <w:rsid w:val="004B4660"/>
    <w:rsid w:val="004B518A"/>
    <w:rsid w:val="004B5EB2"/>
    <w:rsid w:val="004B5F7F"/>
    <w:rsid w:val="004C014F"/>
    <w:rsid w:val="004C0DC0"/>
    <w:rsid w:val="004C1EE7"/>
    <w:rsid w:val="004C4473"/>
    <w:rsid w:val="004C67F5"/>
    <w:rsid w:val="004D0BF9"/>
    <w:rsid w:val="004D2B57"/>
    <w:rsid w:val="004D4467"/>
    <w:rsid w:val="004D4DF3"/>
    <w:rsid w:val="004D55FB"/>
    <w:rsid w:val="004D7772"/>
    <w:rsid w:val="004E14F4"/>
    <w:rsid w:val="004E2A8F"/>
    <w:rsid w:val="004E36A8"/>
    <w:rsid w:val="004E37DA"/>
    <w:rsid w:val="004E50C7"/>
    <w:rsid w:val="004E5B38"/>
    <w:rsid w:val="004F0572"/>
    <w:rsid w:val="004F070D"/>
    <w:rsid w:val="004F0AFA"/>
    <w:rsid w:val="004F0EA3"/>
    <w:rsid w:val="004F2DA4"/>
    <w:rsid w:val="004F2FDA"/>
    <w:rsid w:val="004F4214"/>
    <w:rsid w:val="004F5BCD"/>
    <w:rsid w:val="004F5EAF"/>
    <w:rsid w:val="004F6A52"/>
    <w:rsid w:val="00500A76"/>
    <w:rsid w:val="00502F50"/>
    <w:rsid w:val="005046BD"/>
    <w:rsid w:val="005069E4"/>
    <w:rsid w:val="0051792C"/>
    <w:rsid w:val="00521129"/>
    <w:rsid w:val="00523F83"/>
    <w:rsid w:val="0052561D"/>
    <w:rsid w:val="00525A39"/>
    <w:rsid w:val="00525C86"/>
    <w:rsid w:val="00530D31"/>
    <w:rsid w:val="005323D8"/>
    <w:rsid w:val="005330A4"/>
    <w:rsid w:val="005330AA"/>
    <w:rsid w:val="00534062"/>
    <w:rsid w:val="00534516"/>
    <w:rsid w:val="005350DC"/>
    <w:rsid w:val="00540ED4"/>
    <w:rsid w:val="00541A39"/>
    <w:rsid w:val="00545F46"/>
    <w:rsid w:val="00546316"/>
    <w:rsid w:val="0054741D"/>
    <w:rsid w:val="00551F88"/>
    <w:rsid w:val="00562334"/>
    <w:rsid w:val="0056268A"/>
    <w:rsid w:val="00562849"/>
    <w:rsid w:val="005706FC"/>
    <w:rsid w:val="00573519"/>
    <w:rsid w:val="005873B0"/>
    <w:rsid w:val="00592007"/>
    <w:rsid w:val="00592ACA"/>
    <w:rsid w:val="005A0F3E"/>
    <w:rsid w:val="005A21C3"/>
    <w:rsid w:val="005A29EC"/>
    <w:rsid w:val="005A4B14"/>
    <w:rsid w:val="005A6454"/>
    <w:rsid w:val="005A6520"/>
    <w:rsid w:val="005A787E"/>
    <w:rsid w:val="005A7895"/>
    <w:rsid w:val="005B3188"/>
    <w:rsid w:val="005B3386"/>
    <w:rsid w:val="005B3FA2"/>
    <w:rsid w:val="005B4FF3"/>
    <w:rsid w:val="005B70BD"/>
    <w:rsid w:val="005C2026"/>
    <w:rsid w:val="005C45BC"/>
    <w:rsid w:val="005C4D6F"/>
    <w:rsid w:val="005C5410"/>
    <w:rsid w:val="005D6535"/>
    <w:rsid w:val="005E135F"/>
    <w:rsid w:val="005E13BA"/>
    <w:rsid w:val="005E3CAA"/>
    <w:rsid w:val="005E796E"/>
    <w:rsid w:val="005F08AD"/>
    <w:rsid w:val="005F1334"/>
    <w:rsid w:val="005F3D1B"/>
    <w:rsid w:val="005F5C40"/>
    <w:rsid w:val="00601188"/>
    <w:rsid w:val="006013A7"/>
    <w:rsid w:val="006071C8"/>
    <w:rsid w:val="00607D3E"/>
    <w:rsid w:val="00610599"/>
    <w:rsid w:val="00612F7D"/>
    <w:rsid w:val="00613421"/>
    <w:rsid w:val="0061490A"/>
    <w:rsid w:val="00616C42"/>
    <w:rsid w:val="00617DF5"/>
    <w:rsid w:val="006270BC"/>
    <w:rsid w:val="00627F57"/>
    <w:rsid w:val="0063073E"/>
    <w:rsid w:val="00635AE6"/>
    <w:rsid w:val="00637208"/>
    <w:rsid w:val="0063731C"/>
    <w:rsid w:val="00637C1D"/>
    <w:rsid w:val="00637E59"/>
    <w:rsid w:val="006406CC"/>
    <w:rsid w:val="00640E8B"/>
    <w:rsid w:val="00643F87"/>
    <w:rsid w:val="00645877"/>
    <w:rsid w:val="00652D13"/>
    <w:rsid w:val="00652D84"/>
    <w:rsid w:val="00653A6A"/>
    <w:rsid w:val="00660ADB"/>
    <w:rsid w:val="00662400"/>
    <w:rsid w:val="0066362E"/>
    <w:rsid w:val="006648FE"/>
    <w:rsid w:val="006663FA"/>
    <w:rsid w:val="006710DB"/>
    <w:rsid w:val="006721AE"/>
    <w:rsid w:val="00674180"/>
    <w:rsid w:val="0067593D"/>
    <w:rsid w:val="00675D05"/>
    <w:rsid w:val="00676B21"/>
    <w:rsid w:val="006819E2"/>
    <w:rsid w:val="0068635E"/>
    <w:rsid w:val="00690C32"/>
    <w:rsid w:val="00692475"/>
    <w:rsid w:val="0069264C"/>
    <w:rsid w:val="00697F15"/>
    <w:rsid w:val="006A34FF"/>
    <w:rsid w:val="006B1684"/>
    <w:rsid w:val="006B1FB8"/>
    <w:rsid w:val="006B2FB7"/>
    <w:rsid w:val="006B3233"/>
    <w:rsid w:val="006B3855"/>
    <w:rsid w:val="006B6E17"/>
    <w:rsid w:val="006B7AE8"/>
    <w:rsid w:val="006C08CD"/>
    <w:rsid w:val="006C1DB9"/>
    <w:rsid w:val="006C5799"/>
    <w:rsid w:val="006C5DFD"/>
    <w:rsid w:val="006C7CFE"/>
    <w:rsid w:val="006D0AA8"/>
    <w:rsid w:val="006D30E8"/>
    <w:rsid w:val="006D3DB6"/>
    <w:rsid w:val="006E275E"/>
    <w:rsid w:val="006E3B59"/>
    <w:rsid w:val="006E3D27"/>
    <w:rsid w:val="006E41D7"/>
    <w:rsid w:val="006E49A1"/>
    <w:rsid w:val="006E6DCB"/>
    <w:rsid w:val="006F12DC"/>
    <w:rsid w:val="006F2898"/>
    <w:rsid w:val="006F421E"/>
    <w:rsid w:val="006F5FC3"/>
    <w:rsid w:val="00700E75"/>
    <w:rsid w:val="00705799"/>
    <w:rsid w:val="007120C2"/>
    <w:rsid w:val="007132D9"/>
    <w:rsid w:val="0071603D"/>
    <w:rsid w:val="007172D4"/>
    <w:rsid w:val="007251CD"/>
    <w:rsid w:val="007400C5"/>
    <w:rsid w:val="007414B8"/>
    <w:rsid w:val="007425A2"/>
    <w:rsid w:val="00754FD2"/>
    <w:rsid w:val="00757654"/>
    <w:rsid w:val="007618D2"/>
    <w:rsid w:val="00762647"/>
    <w:rsid w:val="00763E69"/>
    <w:rsid w:val="00767F9E"/>
    <w:rsid w:val="00770C69"/>
    <w:rsid w:val="00770DCA"/>
    <w:rsid w:val="00772858"/>
    <w:rsid w:val="00774302"/>
    <w:rsid w:val="00776CE6"/>
    <w:rsid w:val="007770AC"/>
    <w:rsid w:val="0077752B"/>
    <w:rsid w:val="007775CE"/>
    <w:rsid w:val="00777EA2"/>
    <w:rsid w:val="00781CB5"/>
    <w:rsid w:val="007831C4"/>
    <w:rsid w:val="007843DC"/>
    <w:rsid w:val="0078704C"/>
    <w:rsid w:val="0078772E"/>
    <w:rsid w:val="0079083C"/>
    <w:rsid w:val="00794C52"/>
    <w:rsid w:val="00794D95"/>
    <w:rsid w:val="00796510"/>
    <w:rsid w:val="007969CD"/>
    <w:rsid w:val="00796B60"/>
    <w:rsid w:val="00797FD1"/>
    <w:rsid w:val="007A1E37"/>
    <w:rsid w:val="007A6571"/>
    <w:rsid w:val="007A65BC"/>
    <w:rsid w:val="007A6D26"/>
    <w:rsid w:val="007A6E0D"/>
    <w:rsid w:val="007A7680"/>
    <w:rsid w:val="007A7872"/>
    <w:rsid w:val="007B2D15"/>
    <w:rsid w:val="007B6112"/>
    <w:rsid w:val="007C0CDE"/>
    <w:rsid w:val="007C2A26"/>
    <w:rsid w:val="007C2F8B"/>
    <w:rsid w:val="007C382F"/>
    <w:rsid w:val="007C3A99"/>
    <w:rsid w:val="007D3492"/>
    <w:rsid w:val="007D34F9"/>
    <w:rsid w:val="007D4283"/>
    <w:rsid w:val="007D6E78"/>
    <w:rsid w:val="007E1419"/>
    <w:rsid w:val="007E14E9"/>
    <w:rsid w:val="007E19B1"/>
    <w:rsid w:val="007E2CDC"/>
    <w:rsid w:val="007E3904"/>
    <w:rsid w:val="007E408A"/>
    <w:rsid w:val="007E44E5"/>
    <w:rsid w:val="007E5215"/>
    <w:rsid w:val="007F02BB"/>
    <w:rsid w:val="007F0D27"/>
    <w:rsid w:val="007F74D5"/>
    <w:rsid w:val="007F7D0F"/>
    <w:rsid w:val="00800B16"/>
    <w:rsid w:val="008079B0"/>
    <w:rsid w:val="00815722"/>
    <w:rsid w:val="008175EA"/>
    <w:rsid w:val="00817D34"/>
    <w:rsid w:val="0082252B"/>
    <w:rsid w:val="00823240"/>
    <w:rsid w:val="00826442"/>
    <w:rsid w:val="00826577"/>
    <w:rsid w:val="00826A90"/>
    <w:rsid w:val="008273B8"/>
    <w:rsid w:val="00827871"/>
    <w:rsid w:val="00842AE5"/>
    <w:rsid w:val="008479E4"/>
    <w:rsid w:val="00850048"/>
    <w:rsid w:val="00850DF3"/>
    <w:rsid w:val="00852896"/>
    <w:rsid w:val="00861850"/>
    <w:rsid w:val="0086392F"/>
    <w:rsid w:val="00865743"/>
    <w:rsid w:val="00865FC4"/>
    <w:rsid w:val="00871739"/>
    <w:rsid w:val="0087335C"/>
    <w:rsid w:val="0087622E"/>
    <w:rsid w:val="00881104"/>
    <w:rsid w:val="00881782"/>
    <w:rsid w:val="00881AF1"/>
    <w:rsid w:val="00883698"/>
    <w:rsid w:val="00885149"/>
    <w:rsid w:val="00891433"/>
    <w:rsid w:val="008952E0"/>
    <w:rsid w:val="00895B71"/>
    <w:rsid w:val="00896123"/>
    <w:rsid w:val="00896C5A"/>
    <w:rsid w:val="008974DB"/>
    <w:rsid w:val="008A0EEF"/>
    <w:rsid w:val="008A33D2"/>
    <w:rsid w:val="008A71E1"/>
    <w:rsid w:val="008B2BD3"/>
    <w:rsid w:val="008B5057"/>
    <w:rsid w:val="008C2363"/>
    <w:rsid w:val="008C3AA5"/>
    <w:rsid w:val="008C4B55"/>
    <w:rsid w:val="008C4D80"/>
    <w:rsid w:val="008C5904"/>
    <w:rsid w:val="008C5A03"/>
    <w:rsid w:val="008C5F20"/>
    <w:rsid w:val="008D4421"/>
    <w:rsid w:val="008D603B"/>
    <w:rsid w:val="008D77A2"/>
    <w:rsid w:val="008E71DC"/>
    <w:rsid w:val="008F0B7E"/>
    <w:rsid w:val="008F1370"/>
    <w:rsid w:val="008F1984"/>
    <w:rsid w:val="008F3B63"/>
    <w:rsid w:val="009008B8"/>
    <w:rsid w:val="00901A94"/>
    <w:rsid w:val="00901FE2"/>
    <w:rsid w:val="0090285D"/>
    <w:rsid w:val="009039B3"/>
    <w:rsid w:val="00904CE3"/>
    <w:rsid w:val="00904F94"/>
    <w:rsid w:val="00905658"/>
    <w:rsid w:val="00911C80"/>
    <w:rsid w:val="0091220A"/>
    <w:rsid w:val="00912938"/>
    <w:rsid w:val="00915DCF"/>
    <w:rsid w:val="009161CE"/>
    <w:rsid w:val="00917E53"/>
    <w:rsid w:val="00921BE9"/>
    <w:rsid w:val="009243AA"/>
    <w:rsid w:val="0092449C"/>
    <w:rsid w:val="00934F16"/>
    <w:rsid w:val="00935C3F"/>
    <w:rsid w:val="00936092"/>
    <w:rsid w:val="009365DB"/>
    <w:rsid w:val="009411CA"/>
    <w:rsid w:val="009416DE"/>
    <w:rsid w:val="00943134"/>
    <w:rsid w:val="00943562"/>
    <w:rsid w:val="009445EF"/>
    <w:rsid w:val="00947292"/>
    <w:rsid w:val="00956A34"/>
    <w:rsid w:val="00960B21"/>
    <w:rsid w:val="009615BF"/>
    <w:rsid w:val="009616CD"/>
    <w:rsid w:val="00961AA9"/>
    <w:rsid w:val="009644DF"/>
    <w:rsid w:val="00964AD5"/>
    <w:rsid w:val="009659E0"/>
    <w:rsid w:val="00966170"/>
    <w:rsid w:val="00974738"/>
    <w:rsid w:val="00976D0C"/>
    <w:rsid w:val="00977D22"/>
    <w:rsid w:val="009810DE"/>
    <w:rsid w:val="009813A0"/>
    <w:rsid w:val="00982379"/>
    <w:rsid w:val="00982EF3"/>
    <w:rsid w:val="00983137"/>
    <w:rsid w:val="009839E7"/>
    <w:rsid w:val="0098528E"/>
    <w:rsid w:val="00985BBC"/>
    <w:rsid w:val="00986092"/>
    <w:rsid w:val="00986F72"/>
    <w:rsid w:val="00987602"/>
    <w:rsid w:val="00991576"/>
    <w:rsid w:val="009936C4"/>
    <w:rsid w:val="009964DC"/>
    <w:rsid w:val="009A2848"/>
    <w:rsid w:val="009A2920"/>
    <w:rsid w:val="009A33B8"/>
    <w:rsid w:val="009A5CCB"/>
    <w:rsid w:val="009A6CA5"/>
    <w:rsid w:val="009B0632"/>
    <w:rsid w:val="009B1882"/>
    <w:rsid w:val="009B1FE9"/>
    <w:rsid w:val="009B37DB"/>
    <w:rsid w:val="009C5982"/>
    <w:rsid w:val="009C63A6"/>
    <w:rsid w:val="009C74E5"/>
    <w:rsid w:val="009D0946"/>
    <w:rsid w:val="009D0BA0"/>
    <w:rsid w:val="009D2468"/>
    <w:rsid w:val="009D2F2F"/>
    <w:rsid w:val="009E2CD5"/>
    <w:rsid w:val="009E43E8"/>
    <w:rsid w:val="009F4E60"/>
    <w:rsid w:val="009F77DF"/>
    <w:rsid w:val="00A026DD"/>
    <w:rsid w:val="00A0294F"/>
    <w:rsid w:val="00A03303"/>
    <w:rsid w:val="00A0348D"/>
    <w:rsid w:val="00A03A58"/>
    <w:rsid w:val="00A04044"/>
    <w:rsid w:val="00A10EA5"/>
    <w:rsid w:val="00A12ED4"/>
    <w:rsid w:val="00A13B9A"/>
    <w:rsid w:val="00A15132"/>
    <w:rsid w:val="00A160AA"/>
    <w:rsid w:val="00A1773D"/>
    <w:rsid w:val="00A2070F"/>
    <w:rsid w:val="00A23721"/>
    <w:rsid w:val="00A2536C"/>
    <w:rsid w:val="00A33AD6"/>
    <w:rsid w:val="00A347F2"/>
    <w:rsid w:val="00A35FFE"/>
    <w:rsid w:val="00A371FB"/>
    <w:rsid w:val="00A37664"/>
    <w:rsid w:val="00A4009F"/>
    <w:rsid w:val="00A4536E"/>
    <w:rsid w:val="00A458BD"/>
    <w:rsid w:val="00A47F53"/>
    <w:rsid w:val="00A47FFD"/>
    <w:rsid w:val="00A50FFA"/>
    <w:rsid w:val="00A52B67"/>
    <w:rsid w:val="00A54AAF"/>
    <w:rsid w:val="00A54C9D"/>
    <w:rsid w:val="00A56A1E"/>
    <w:rsid w:val="00A6448C"/>
    <w:rsid w:val="00A72364"/>
    <w:rsid w:val="00A73264"/>
    <w:rsid w:val="00A809AC"/>
    <w:rsid w:val="00A84544"/>
    <w:rsid w:val="00A84D95"/>
    <w:rsid w:val="00A86D72"/>
    <w:rsid w:val="00A93788"/>
    <w:rsid w:val="00A94E8E"/>
    <w:rsid w:val="00AA0927"/>
    <w:rsid w:val="00AA2225"/>
    <w:rsid w:val="00AA2BC7"/>
    <w:rsid w:val="00AA4D7B"/>
    <w:rsid w:val="00AB167C"/>
    <w:rsid w:val="00AB2DB3"/>
    <w:rsid w:val="00AB2F1B"/>
    <w:rsid w:val="00AB3F33"/>
    <w:rsid w:val="00AC0B98"/>
    <w:rsid w:val="00AC1DA7"/>
    <w:rsid w:val="00AC1E3D"/>
    <w:rsid w:val="00AD36F4"/>
    <w:rsid w:val="00AD3F1D"/>
    <w:rsid w:val="00AD7A0F"/>
    <w:rsid w:val="00AE0AC0"/>
    <w:rsid w:val="00AE0CC8"/>
    <w:rsid w:val="00AE106F"/>
    <w:rsid w:val="00AE4656"/>
    <w:rsid w:val="00AE4F68"/>
    <w:rsid w:val="00AF277C"/>
    <w:rsid w:val="00AF47CF"/>
    <w:rsid w:val="00B06B61"/>
    <w:rsid w:val="00B077F5"/>
    <w:rsid w:val="00B104A9"/>
    <w:rsid w:val="00B1232C"/>
    <w:rsid w:val="00B16720"/>
    <w:rsid w:val="00B21A79"/>
    <w:rsid w:val="00B22546"/>
    <w:rsid w:val="00B24EA2"/>
    <w:rsid w:val="00B2773E"/>
    <w:rsid w:val="00B32F07"/>
    <w:rsid w:val="00B34EA6"/>
    <w:rsid w:val="00B35715"/>
    <w:rsid w:val="00B35FA8"/>
    <w:rsid w:val="00B40312"/>
    <w:rsid w:val="00B40322"/>
    <w:rsid w:val="00B45285"/>
    <w:rsid w:val="00B457F2"/>
    <w:rsid w:val="00B635C9"/>
    <w:rsid w:val="00B63779"/>
    <w:rsid w:val="00B64300"/>
    <w:rsid w:val="00B668E7"/>
    <w:rsid w:val="00B6767F"/>
    <w:rsid w:val="00B71103"/>
    <w:rsid w:val="00B71780"/>
    <w:rsid w:val="00B72E42"/>
    <w:rsid w:val="00B7557E"/>
    <w:rsid w:val="00B75B9E"/>
    <w:rsid w:val="00B8177D"/>
    <w:rsid w:val="00B8196D"/>
    <w:rsid w:val="00B83CF3"/>
    <w:rsid w:val="00B849A4"/>
    <w:rsid w:val="00B85EA4"/>
    <w:rsid w:val="00B8655A"/>
    <w:rsid w:val="00B8781A"/>
    <w:rsid w:val="00B91A79"/>
    <w:rsid w:val="00B930BE"/>
    <w:rsid w:val="00B93B82"/>
    <w:rsid w:val="00B94108"/>
    <w:rsid w:val="00B94B1D"/>
    <w:rsid w:val="00B9526E"/>
    <w:rsid w:val="00B97E37"/>
    <w:rsid w:val="00BA07F6"/>
    <w:rsid w:val="00BA08B1"/>
    <w:rsid w:val="00BA19DB"/>
    <w:rsid w:val="00BA1F0D"/>
    <w:rsid w:val="00BA23C3"/>
    <w:rsid w:val="00BA3A1D"/>
    <w:rsid w:val="00BA5F9A"/>
    <w:rsid w:val="00BA757F"/>
    <w:rsid w:val="00BB14D3"/>
    <w:rsid w:val="00BB1A30"/>
    <w:rsid w:val="00BB1A5C"/>
    <w:rsid w:val="00BB4A48"/>
    <w:rsid w:val="00BB614C"/>
    <w:rsid w:val="00BB7D54"/>
    <w:rsid w:val="00BC3464"/>
    <w:rsid w:val="00BC48EC"/>
    <w:rsid w:val="00BC50E7"/>
    <w:rsid w:val="00BC7A93"/>
    <w:rsid w:val="00BD0EA0"/>
    <w:rsid w:val="00BD12EF"/>
    <w:rsid w:val="00BD130F"/>
    <w:rsid w:val="00BD2024"/>
    <w:rsid w:val="00BD205D"/>
    <w:rsid w:val="00BD2823"/>
    <w:rsid w:val="00BD3E80"/>
    <w:rsid w:val="00BD7F5E"/>
    <w:rsid w:val="00BE12DB"/>
    <w:rsid w:val="00BE3F99"/>
    <w:rsid w:val="00BE596B"/>
    <w:rsid w:val="00BE674A"/>
    <w:rsid w:val="00BE7BB0"/>
    <w:rsid w:val="00BF199C"/>
    <w:rsid w:val="00BF2D1D"/>
    <w:rsid w:val="00BF3B91"/>
    <w:rsid w:val="00BF43A1"/>
    <w:rsid w:val="00C006E9"/>
    <w:rsid w:val="00C0331D"/>
    <w:rsid w:val="00C0362B"/>
    <w:rsid w:val="00C05ACC"/>
    <w:rsid w:val="00C10B6C"/>
    <w:rsid w:val="00C12ADB"/>
    <w:rsid w:val="00C13714"/>
    <w:rsid w:val="00C13943"/>
    <w:rsid w:val="00C15D59"/>
    <w:rsid w:val="00C165EF"/>
    <w:rsid w:val="00C175B8"/>
    <w:rsid w:val="00C17C9B"/>
    <w:rsid w:val="00C2051E"/>
    <w:rsid w:val="00C223F1"/>
    <w:rsid w:val="00C22C8F"/>
    <w:rsid w:val="00C23DF4"/>
    <w:rsid w:val="00C24DC1"/>
    <w:rsid w:val="00C255FB"/>
    <w:rsid w:val="00C30133"/>
    <w:rsid w:val="00C3199D"/>
    <w:rsid w:val="00C32255"/>
    <w:rsid w:val="00C353C0"/>
    <w:rsid w:val="00C4304F"/>
    <w:rsid w:val="00C434FE"/>
    <w:rsid w:val="00C45E90"/>
    <w:rsid w:val="00C5021F"/>
    <w:rsid w:val="00C51A1B"/>
    <w:rsid w:val="00C572B7"/>
    <w:rsid w:val="00C610BF"/>
    <w:rsid w:val="00C61761"/>
    <w:rsid w:val="00C62D84"/>
    <w:rsid w:val="00C63F84"/>
    <w:rsid w:val="00C66817"/>
    <w:rsid w:val="00C718BD"/>
    <w:rsid w:val="00C75D3A"/>
    <w:rsid w:val="00C8078D"/>
    <w:rsid w:val="00C8165A"/>
    <w:rsid w:val="00C821B4"/>
    <w:rsid w:val="00C82455"/>
    <w:rsid w:val="00C85568"/>
    <w:rsid w:val="00C868C6"/>
    <w:rsid w:val="00C9552B"/>
    <w:rsid w:val="00C96297"/>
    <w:rsid w:val="00CA0964"/>
    <w:rsid w:val="00CA14C4"/>
    <w:rsid w:val="00CA2535"/>
    <w:rsid w:val="00CA3504"/>
    <w:rsid w:val="00CA49C8"/>
    <w:rsid w:val="00CA56D4"/>
    <w:rsid w:val="00CA57AF"/>
    <w:rsid w:val="00CA682F"/>
    <w:rsid w:val="00CA6B7E"/>
    <w:rsid w:val="00CA7A48"/>
    <w:rsid w:val="00CB22CA"/>
    <w:rsid w:val="00CB679E"/>
    <w:rsid w:val="00CC0A55"/>
    <w:rsid w:val="00CC1BB9"/>
    <w:rsid w:val="00CC59A0"/>
    <w:rsid w:val="00CD0A00"/>
    <w:rsid w:val="00CD2BA5"/>
    <w:rsid w:val="00CD3C4A"/>
    <w:rsid w:val="00CD644C"/>
    <w:rsid w:val="00CE1432"/>
    <w:rsid w:val="00CE2F80"/>
    <w:rsid w:val="00CE3766"/>
    <w:rsid w:val="00CE6D33"/>
    <w:rsid w:val="00CF0941"/>
    <w:rsid w:val="00CF1954"/>
    <w:rsid w:val="00CF2B5F"/>
    <w:rsid w:val="00CF2FB0"/>
    <w:rsid w:val="00CF5489"/>
    <w:rsid w:val="00D002EF"/>
    <w:rsid w:val="00D008EA"/>
    <w:rsid w:val="00D01ED3"/>
    <w:rsid w:val="00D027D8"/>
    <w:rsid w:val="00D04463"/>
    <w:rsid w:val="00D04C45"/>
    <w:rsid w:val="00D05191"/>
    <w:rsid w:val="00D0536D"/>
    <w:rsid w:val="00D06D2C"/>
    <w:rsid w:val="00D12917"/>
    <w:rsid w:val="00D165F0"/>
    <w:rsid w:val="00D16DDE"/>
    <w:rsid w:val="00D223E2"/>
    <w:rsid w:val="00D23933"/>
    <w:rsid w:val="00D25711"/>
    <w:rsid w:val="00D26483"/>
    <w:rsid w:val="00D26A22"/>
    <w:rsid w:val="00D26F33"/>
    <w:rsid w:val="00D2779A"/>
    <w:rsid w:val="00D315E6"/>
    <w:rsid w:val="00D35400"/>
    <w:rsid w:val="00D3556E"/>
    <w:rsid w:val="00D36BDA"/>
    <w:rsid w:val="00D36EF8"/>
    <w:rsid w:val="00D3755D"/>
    <w:rsid w:val="00D37868"/>
    <w:rsid w:val="00D456AD"/>
    <w:rsid w:val="00D458D4"/>
    <w:rsid w:val="00D46ACD"/>
    <w:rsid w:val="00D522DF"/>
    <w:rsid w:val="00D53C49"/>
    <w:rsid w:val="00D56416"/>
    <w:rsid w:val="00D56B12"/>
    <w:rsid w:val="00D60FDB"/>
    <w:rsid w:val="00D6118A"/>
    <w:rsid w:val="00D611A6"/>
    <w:rsid w:val="00D62847"/>
    <w:rsid w:val="00D6362C"/>
    <w:rsid w:val="00D64D40"/>
    <w:rsid w:val="00D702D4"/>
    <w:rsid w:val="00D7445E"/>
    <w:rsid w:val="00D74BD2"/>
    <w:rsid w:val="00D75BF6"/>
    <w:rsid w:val="00D76B28"/>
    <w:rsid w:val="00D779D0"/>
    <w:rsid w:val="00D80181"/>
    <w:rsid w:val="00D80C78"/>
    <w:rsid w:val="00D83109"/>
    <w:rsid w:val="00D8461C"/>
    <w:rsid w:val="00D87F75"/>
    <w:rsid w:val="00D92306"/>
    <w:rsid w:val="00D937C2"/>
    <w:rsid w:val="00D96048"/>
    <w:rsid w:val="00D96D42"/>
    <w:rsid w:val="00DA063A"/>
    <w:rsid w:val="00DA55F1"/>
    <w:rsid w:val="00DA7BD5"/>
    <w:rsid w:val="00DB2588"/>
    <w:rsid w:val="00DB421D"/>
    <w:rsid w:val="00DB4783"/>
    <w:rsid w:val="00DC3F07"/>
    <w:rsid w:val="00DC3FD6"/>
    <w:rsid w:val="00DC6EB0"/>
    <w:rsid w:val="00DC75D0"/>
    <w:rsid w:val="00DD00F2"/>
    <w:rsid w:val="00DD0C2B"/>
    <w:rsid w:val="00DD1BA5"/>
    <w:rsid w:val="00DD2BE4"/>
    <w:rsid w:val="00DD3C4A"/>
    <w:rsid w:val="00DE03D6"/>
    <w:rsid w:val="00DE5A63"/>
    <w:rsid w:val="00DE7628"/>
    <w:rsid w:val="00DE7ABB"/>
    <w:rsid w:val="00DF2A73"/>
    <w:rsid w:val="00DF3778"/>
    <w:rsid w:val="00DF4300"/>
    <w:rsid w:val="00DF43DF"/>
    <w:rsid w:val="00DF7D4B"/>
    <w:rsid w:val="00E00566"/>
    <w:rsid w:val="00E006B9"/>
    <w:rsid w:val="00E00ED7"/>
    <w:rsid w:val="00E1786C"/>
    <w:rsid w:val="00E17AB4"/>
    <w:rsid w:val="00E20398"/>
    <w:rsid w:val="00E20909"/>
    <w:rsid w:val="00E21FE9"/>
    <w:rsid w:val="00E239E3"/>
    <w:rsid w:val="00E24946"/>
    <w:rsid w:val="00E24FEC"/>
    <w:rsid w:val="00E32CE5"/>
    <w:rsid w:val="00E337C3"/>
    <w:rsid w:val="00E3495C"/>
    <w:rsid w:val="00E41327"/>
    <w:rsid w:val="00E456EC"/>
    <w:rsid w:val="00E45D55"/>
    <w:rsid w:val="00E477F7"/>
    <w:rsid w:val="00E54DC4"/>
    <w:rsid w:val="00E569CC"/>
    <w:rsid w:val="00E60B31"/>
    <w:rsid w:val="00E6288E"/>
    <w:rsid w:val="00E645DA"/>
    <w:rsid w:val="00E64DD8"/>
    <w:rsid w:val="00E66265"/>
    <w:rsid w:val="00E67943"/>
    <w:rsid w:val="00E70338"/>
    <w:rsid w:val="00E81448"/>
    <w:rsid w:val="00E8370C"/>
    <w:rsid w:val="00E84249"/>
    <w:rsid w:val="00E86130"/>
    <w:rsid w:val="00E86BCC"/>
    <w:rsid w:val="00E870BE"/>
    <w:rsid w:val="00E917D5"/>
    <w:rsid w:val="00E91991"/>
    <w:rsid w:val="00E9378C"/>
    <w:rsid w:val="00E96C7F"/>
    <w:rsid w:val="00E978BC"/>
    <w:rsid w:val="00EA31A4"/>
    <w:rsid w:val="00EA3A2B"/>
    <w:rsid w:val="00EA4151"/>
    <w:rsid w:val="00EA41AB"/>
    <w:rsid w:val="00EB4BBD"/>
    <w:rsid w:val="00EB500F"/>
    <w:rsid w:val="00EB70E5"/>
    <w:rsid w:val="00EC19D8"/>
    <w:rsid w:val="00EC38D1"/>
    <w:rsid w:val="00EC56CF"/>
    <w:rsid w:val="00ED214F"/>
    <w:rsid w:val="00ED24EB"/>
    <w:rsid w:val="00ED275B"/>
    <w:rsid w:val="00ED439E"/>
    <w:rsid w:val="00ED64B8"/>
    <w:rsid w:val="00ED786A"/>
    <w:rsid w:val="00ED7B52"/>
    <w:rsid w:val="00EE0445"/>
    <w:rsid w:val="00EE0B76"/>
    <w:rsid w:val="00EE41FA"/>
    <w:rsid w:val="00EE4AFB"/>
    <w:rsid w:val="00EE4EB1"/>
    <w:rsid w:val="00EE640E"/>
    <w:rsid w:val="00EF43DE"/>
    <w:rsid w:val="00EF4DA0"/>
    <w:rsid w:val="00EF4E30"/>
    <w:rsid w:val="00EF7EC0"/>
    <w:rsid w:val="00F01866"/>
    <w:rsid w:val="00F04A02"/>
    <w:rsid w:val="00F057D5"/>
    <w:rsid w:val="00F0584E"/>
    <w:rsid w:val="00F05A11"/>
    <w:rsid w:val="00F05DD9"/>
    <w:rsid w:val="00F1213C"/>
    <w:rsid w:val="00F153E6"/>
    <w:rsid w:val="00F17835"/>
    <w:rsid w:val="00F20121"/>
    <w:rsid w:val="00F22364"/>
    <w:rsid w:val="00F24565"/>
    <w:rsid w:val="00F25808"/>
    <w:rsid w:val="00F2712A"/>
    <w:rsid w:val="00F314F2"/>
    <w:rsid w:val="00F355E2"/>
    <w:rsid w:val="00F41D10"/>
    <w:rsid w:val="00F42BF8"/>
    <w:rsid w:val="00F434CF"/>
    <w:rsid w:val="00F43826"/>
    <w:rsid w:val="00F44E57"/>
    <w:rsid w:val="00F47F03"/>
    <w:rsid w:val="00F51D38"/>
    <w:rsid w:val="00F540CD"/>
    <w:rsid w:val="00F61F16"/>
    <w:rsid w:val="00F64323"/>
    <w:rsid w:val="00F650C1"/>
    <w:rsid w:val="00F65A96"/>
    <w:rsid w:val="00F65DA0"/>
    <w:rsid w:val="00F66478"/>
    <w:rsid w:val="00F7099C"/>
    <w:rsid w:val="00F7177C"/>
    <w:rsid w:val="00F75B63"/>
    <w:rsid w:val="00F80595"/>
    <w:rsid w:val="00F8370E"/>
    <w:rsid w:val="00F87CEE"/>
    <w:rsid w:val="00F90239"/>
    <w:rsid w:val="00F90295"/>
    <w:rsid w:val="00F914DC"/>
    <w:rsid w:val="00F91AFE"/>
    <w:rsid w:val="00F927BF"/>
    <w:rsid w:val="00F940B0"/>
    <w:rsid w:val="00F950A5"/>
    <w:rsid w:val="00F95142"/>
    <w:rsid w:val="00F96704"/>
    <w:rsid w:val="00F96AD6"/>
    <w:rsid w:val="00FA173E"/>
    <w:rsid w:val="00FA2CCC"/>
    <w:rsid w:val="00FA423F"/>
    <w:rsid w:val="00FA5513"/>
    <w:rsid w:val="00FA6BE8"/>
    <w:rsid w:val="00FB0263"/>
    <w:rsid w:val="00FB15E2"/>
    <w:rsid w:val="00FB210A"/>
    <w:rsid w:val="00FB3A98"/>
    <w:rsid w:val="00FB402C"/>
    <w:rsid w:val="00FB42EF"/>
    <w:rsid w:val="00FC0115"/>
    <w:rsid w:val="00FC0679"/>
    <w:rsid w:val="00FC0A5B"/>
    <w:rsid w:val="00FC13A4"/>
    <w:rsid w:val="00FC20A3"/>
    <w:rsid w:val="00FC3C93"/>
    <w:rsid w:val="00FC3E8F"/>
    <w:rsid w:val="00FC4FC0"/>
    <w:rsid w:val="00FC688E"/>
    <w:rsid w:val="00FC7E36"/>
    <w:rsid w:val="00FD014C"/>
    <w:rsid w:val="00FD1474"/>
    <w:rsid w:val="00FD35C4"/>
    <w:rsid w:val="00FD5F48"/>
    <w:rsid w:val="00FD6C1F"/>
    <w:rsid w:val="00FE24FD"/>
    <w:rsid w:val="00FE3868"/>
    <w:rsid w:val="00FE4ADE"/>
    <w:rsid w:val="00FF0463"/>
    <w:rsid w:val="00FF3154"/>
    <w:rsid w:val="00FF67E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662239"/>
  <w15:docId w15:val="{5715DADE-DD4D-4FBD-9255-D346EDCC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4"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14" w:unhideWhenUsed="1"/>
    <w:lsdException w:name="List 4" w:semiHidden="1" w:uiPriority="14"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iPriority="0" w:unhideWhenUsed="1"/>
    <w:lsdException w:name="Signature" w:semiHidden="1" w:unhideWhenUsed="1"/>
    <w:lsdException w:name="Default Paragraph Font" w:locked="1" w:uiPriority="1"/>
    <w:lsdException w:name="Body Text" w:semiHidden="1" w:unhideWhenUsed="1" w:qFormat="1"/>
    <w:lsdException w:name="Body Text Indent" w:semiHidden="1" w:unhideWhenUsed="1"/>
    <w:lsdException w:name="List Continue" w:semiHidden="1" w:uiPriority="14" w:unhideWhenUsed="1"/>
    <w:lsdException w:name="List Continue 2" w:semiHidden="1" w:uiPriority="14" w:unhideWhenUsed="1"/>
    <w:lsdException w:name="List Continue 3" w:semiHidden="1" w:uiPriority="14" w:unhideWhenUsed="1"/>
    <w:lsdException w:name="List Continue 4" w:semiHidden="1" w:uiPriority="14" w:unhideWhenUsed="1"/>
    <w:lsdException w:name="List Continue 5" w:semiHidden="1" w:uiPriority="14"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9E4"/>
    <w:pPr>
      <w:spacing w:after="200" w:line="276" w:lineRule="auto"/>
    </w:pPr>
  </w:style>
  <w:style w:type="paragraph" w:styleId="Ttulo1">
    <w:name w:val="heading 1"/>
    <w:basedOn w:val="Normal"/>
    <w:next w:val="Normal"/>
    <w:link w:val="Ttulo1Car"/>
    <w:uiPriority w:val="99"/>
    <w:qFormat/>
    <w:locked/>
    <w:rsid w:val="00E24FEC"/>
    <w:pPr>
      <w:keepNext/>
      <w:spacing w:after="240" w:line="264" w:lineRule="auto"/>
      <w:outlineLvl w:val="0"/>
    </w:pPr>
    <w:rPr>
      <w:rFonts w:ascii="Times New Roman" w:eastAsia="Times New Roman" w:hAnsi="Times New Roman"/>
      <w:b/>
      <w:bCs/>
      <w:sz w:val="24"/>
      <w:lang w:val="en-US" w:eastAsia="es-ES"/>
    </w:rPr>
  </w:style>
  <w:style w:type="paragraph" w:styleId="Ttulo2">
    <w:name w:val="heading 2"/>
    <w:aliases w:val="Tight Slug"/>
    <w:basedOn w:val="Normal"/>
    <w:next w:val="Normal"/>
    <w:link w:val="Ttulo2Car"/>
    <w:unhideWhenUsed/>
    <w:qFormat/>
    <w:locked/>
    <w:rsid w:val="004B3B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aliases w:val="Note to Director"/>
    <w:basedOn w:val="Normal"/>
    <w:next w:val="Textoindependiente"/>
    <w:link w:val="Ttulo3Car"/>
    <w:qFormat/>
    <w:locked/>
    <w:rsid w:val="000459D1"/>
    <w:pPr>
      <w:keepNext/>
      <w:keepLines/>
      <w:autoSpaceDE w:val="0"/>
      <w:autoSpaceDN w:val="0"/>
      <w:spacing w:after="60" w:line="280" w:lineRule="exact"/>
      <w:outlineLvl w:val="2"/>
    </w:pPr>
    <w:rPr>
      <w:rFonts w:asciiTheme="majorHAnsi" w:eastAsiaTheme="majorEastAsia" w:hAnsiTheme="majorHAnsi" w:cstheme="majorBidi"/>
      <w:bCs/>
      <w:color w:val="1F497D" w:themeColor="text2"/>
      <w:sz w:val="28"/>
    </w:rPr>
  </w:style>
  <w:style w:type="paragraph" w:styleId="Ttulo4">
    <w:name w:val="heading 4"/>
    <w:basedOn w:val="Normal"/>
    <w:next w:val="Textoindependiente"/>
    <w:link w:val="Ttulo4Car"/>
    <w:unhideWhenUsed/>
    <w:qFormat/>
    <w:locked/>
    <w:rsid w:val="000459D1"/>
    <w:pPr>
      <w:keepNext/>
      <w:keepLines/>
      <w:autoSpaceDE w:val="0"/>
      <w:autoSpaceDN w:val="0"/>
      <w:spacing w:after="60" w:line="240" w:lineRule="exact"/>
      <w:outlineLvl w:val="3"/>
    </w:pPr>
    <w:rPr>
      <w:rFonts w:asciiTheme="majorHAnsi" w:eastAsiaTheme="majorEastAsia" w:hAnsiTheme="majorHAnsi" w:cstheme="majorBidi"/>
      <w:bCs/>
      <w:iCs/>
      <w:color w:val="4F81BD" w:themeColor="accent1"/>
      <w:sz w:val="24"/>
    </w:rPr>
  </w:style>
  <w:style w:type="paragraph" w:styleId="Ttulo5">
    <w:name w:val="heading 5"/>
    <w:basedOn w:val="Normal"/>
    <w:next w:val="Textoindependiente"/>
    <w:link w:val="Ttulo5Car"/>
    <w:unhideWhenUsed/>
    <w:qFormat/>
    <w:locked/>
    <w:rsid w:val="000459D1"/>
    <w:pPr>
      <w:keepNext/>
      <w:keepLines/>
      <w:autoSpaceDE w:val="0"/>
      <w:autoSpaceDN w:val="0"/>
      <w:spacing w:after="60" w:line="210" w:lineRule="exact"/>
      <w:outlineLvl w:val="4"/>
    </w:pPr>
    <w:rPr>
      <w:rFonts w:asciiTheme="majorHAnsi" w:eastAsiaTheme="majorEastAsia" w:hAnsiTheme="majorHAnsi" w:cstheme="majorBidi"/>
      <w:color w:val="1F497D" w:themeColor="text2"/>
    </w:rPr>
  </w:style>
  <w:style w:type="paragraph" w:styleId="Ttulo6">
    <w:name w:val="heading 6"/>
    <w:basedOn w:val="Normal"/>
    <w:next w:val="Textoindependiente"/>
    <w:link w:val="Ttulo6Car"/>
    <w:unhideWhenUsed/>
    <w:qFormat/>
    <w:locked/>
    <w:rsid w:val="000459D1"/>
    <w:pPr>
      <w:keepNext/>
      <w:keepLines/>
      <w:autoSpaceDE w:val="0"/>
      <w:autoSpaceDN w:val="0"/>
      <w:spacing w:after="60" w:line="240" w:lineRule="auto"/>
      <w:outlineLvl w:val="5"/>
    </w:pPr>
    <w:rPr>
      <w:rFonts w:asciiTheme="majorHAnsi" w:eastAsiaTheme="majorEastAsia" w:hAnsiTheme="majorHAnsi" w:cstheme="majorBidi"/>
      <w:iCs/>
    </w:rPr>
  </w:style>
  <w:style w:type="paragraph" w:styleId="Ttulo7">
    <w:name w:val="heading 7"/>
    <w:basedOn w:val="Normal"/>
    <w:next w:val="Textoindependiente"/>
    <w:link w:val="Ttulo7Car"/>
    <w:unhideWhenUsed/>
    <w:qFormat/>
    <w:locked/>
    <w:rsid w:val="000459D1"/>
    <w:pPr>
      <w:keepNext/>
      <w:keepLines/>
      <w:autoSpaceDE w:val="0"/>
      <w:autoSpaceDN w:val="0"/>
      <w:spacing w:after="60" w:line="240" w:lineRule="auto"/>
      <w:outlineLvl w:val="6"/>
    </w:pPr>
    <w:rPr>
      <w:rFonts w:asciiTheme="majorHAnsi" w:eastAsiaTheme="majorEastAsia" w:hAnsiTheme="majorHAnsi" w:cstheme="majorBidi"/>
      <w:iCs/>
    </w:rPr>
  </w:style>
  <w:style w:type="paragraph" w:styleId="Ttulo8">
    <w:name w:val="heading 8"/>
    <w:basedOn w:val="Normal"/>
    <w:next w:val="Textoindependiente"/>
    <w:link w:val="Ttulo8Car"/>
    <w:unhideWhenUsed/>
    <w:qFormat/>
    <w:locked/>
    <w:rsid w:val="000459D1"/>
    <w:pPr>
      <w:keepNext/>
      <w:keepLines/>
      <w:autoSpaceDE w:val="0"/>
      <w:autoSpaceDN w:val="0"/>
      <w:spacing w:after="60" w:line="240" w:lineRule="auto"/>
      <w:outlineLvl w:val="7"/>
    </w:pPr>
    <w:rPr>
      <w:rFonts w:asciiTheme="majorHAnsi" w:eastAsiaTheme="majorEastAsia" w:hAnsiTheme="majorHAnsi" w:cstheme="majorBidi"/>
    </w:rPr>
  </w:style>
  <w:style w:type="paragraph" w:styleId="Ttulo9">
    <w:name w:val="heading 9"/>
    <w:basedOn w:val="Normal"/>
    <w:next w:val="Textoindependiente"/>
    <w:link w:val="Ttulo9Car"/>
    <w:unhideWhenUsed/>
    <w:qFormat/>
    <w:locked/>
    <w:rsid w:val="000459D1"/>
    <w:pPr>
      <w:keepNext/>
      <w:keepLines/>
      <w:autoSpaceDE w:val="0"/>
      <w:autoSpaceDN w:val="0"/>
      <w:spacing w:after="60" w:line="240" w:lineRule="auto"/>
      <w:outlineLvl w:val="8"/>
    </w:pPr>
    <w:rPr>
      <w:rFonts w:asciiTheme="majorHAnsi" w:eastAsiaTheme="majorEastAsia" w:hAnsiTheme="majorHAnsi"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הערת שוליים"/>
    <w:basedOn w:val="Normal"/>
    <w:link w:val="PrrafodelistaCar"/>
    <w:uiPriority w:val="34"/>
    <w:qFormat/>
    <w:rsid w:val="00562849"/>
    <w:pPr>
      <w:ind w:left="720"/>
      <w:contextualSpacing/>
    </w:pPr>
  </w:style>
  <w:style w:type="paragraph" w:styleId="Encabezado">
    <w:name w:val="header"/>
    <w:aliases w:val="encabezado"/>
    <w:basedOn w:val="Normal"/>
    <w:link w:val="EncabezadoCar"/>
    <w:uiPriority w:val="99"/>
    <w:rsid w:val="00612F7D"/>
    <w:pPr>
      <w:tabs>
        <w:tab w:val="center" w:pos="4419"/>
        <w:tab w:val="right" w:pos="8838"/>
      </w:tabs>
      <w:spacing w:after="0" w:line="240" w:lineRule="auto"/>
    </w:pPr>
    <w:rPr>
      <w:lang w:val="x-none" w:eastAsia="x-none"/>
    </w:rPr>
  </w:style>
  <w:style w:type="character" w:customStyle="1" w:styleId="EncabezadoCar">
    <w:name w:val="Encabezado Car"/>
    <w:aliases w:val="encabezado Car"/>
    <w:link w:val="Encabezado"/>
    <w:uiPriority w:val="99"/>
    <w:locked/>
    <w:rsid w:val="00612F7D"/>
    <w:rPr>
      <w:rFonts w:cs="Times New Roman"/>
    </w:rPr>
  </w:style>
  <w:style w:type="paragraph" w:styleId="Piedepgina">
    <w:name w:val="footer"/>
    <w:basedOn w:val="Normal"/>
    <w:link w:val="PiedepginaCar"/>
    <w:uiPriority w:val="99"/>
    <w:rsid w:val="00612F7D"/>
    <w:pPr>
      <w:tabs>
        <w:tab w:val="center" w:pos="4419"/>
        <w:tab w:val="right" w:pos="8838"/>
      </w:tabs>
      <w:spacing w:after="0" w:line="240" w:lineRule="auto"/>
    </w:pPr>
    <w:rPr>
      <w:lang w:val="x-none" w:eastAsia="x-none"/>
    </w:rPr>
  </w:style>
  <w:style w:type="character" w:customStyle="1" w:styleId="PiedepginaCar">
    <w:name w:val="Pie de página Car"/>
    <w:link w:val="Piedepgina"/>
    <w:uiPriority w:val="99"/>
    <w:locked/>
    <w:rsid w:val="00612F7D"/>
    <w:rPr>
      <w:rFonts w:cs="Times New Roman"/>
    </w:rPr>
  </w:style>
  <w:style w:type="paragraph" w:styleId="Textodeglobo">
    <w:name w:val="Balloon Text"/>
    <w:basedOn w:val="Normal"/>
    <w:link w:val="TextodegloboCar"/>
    <w:uiPriority w:val="99"/>
    <w:rsid w:val="00175711"/>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locked/>
    <w:rsid w:val="00175711"/>
    <w:rPr>
      <w:rFonts w:ascii="Tahoma" w:hAnsi="Tahoma" w:cs="Tahoma"/>
      <w:sz w:val="16"/>
      <w:szCs w:val="16"/>
    </w:rPr>
  </w:style>
  <w:style w:type="paragraph" w:styleId="Textosinformato">
    <w:name w:val="Plain Text"/>
    <w:basedOn w:val="Normal"/>
    <w:link w:val="TextosinformatoCar"/>
    <w:uiPriority w:val="99"/>
    <w:unhideWhenUsed/>
    <w:rsid w:val="00D702D4"/>
    <w:pPr>
      <w:spacing w:after="0" w:line="240" w:lineRule="auto"/>
    </w:pPr>
    <w:rPr>
      <w:szCs w:val="21"/>
      <w:lang w:val="x-none"/>
    </w:rPr>
  </w:style>
  <w:style w:type="character" w:customStyle="1" w:styleId="TextosinformatoCar">
    <w:name w:val="Texto sin formato Car"/>
    <w:link w:val="Textosinformato"/>
    <w:uiPriority w:val="99"/>
    <w:rsid w:val="00D702D4"/>
    <w:rPr>
      <w:rFonts w:eastAsia="Calibri" w:cs="Times New Roman"/>
      <w:szCs w:val="21"/>
      <w:lang w:eastAsia="en-US"/>
    </w:rPr>
  </w:style>
  <w:style w:type="paragraph" w:styleId="Sinespaciado">
    <w:name w:val="No Spacing"/>
    <w:link w:val="SinespaciadoCar"/>
    <w:uiPriority w:val="99"/>
    <w:qFormat/>
    <w:rsid w:val="00226FBE"/>
    <w:rPr>
      <w:rFonts w:cs="Calibri"/>
      <w:color w:val="000000"/>
      <w:szCs w:val="24"/>
      <w:lang w:eastAsia="en-US"/>
    </w:rPr>
  </w:style>
  <w:style w:type="character" w:customStyle="1" w:styleId="Ttulo1Car">
    <w:name w:val="Título 1 Car"/>
    <w:link w:val="Ttulo1"/>
    <w:uiPriority w:val="99"/>
    <w:rsid w:val="00E24FEC"/>
    <w:rPr>
      <w:rFonts w:ascii="Times New Roman" w:eastAsia="Times New Roman" w:hAnsi="Times New Roman"/>
      <w:b/>
      <w:bCs/>
      <w:sz w:val="24"/>
      <w:lang w:val="en-US" w:eastAsia="es-ES"/>
    </w:rPr>
  </w:style>
  <w:style w:type="paragraph" w:styleId="Textoindependiente">
    <w:name w:val="Body Text"/>
    <w:aliases w:val="bt,b,Borrador,body text,CG-Single Sp 0.5,s2,!Body Text .5(J),Second Heading 2,Second Heading,!Body Text .5s2(J),CG-Single Sp 0,!Body Text,5(J),5s2(J),s9,Second Heading 9,CG-Single Sp 0.51,s21,Bodytext,BT,bt wide,MBP_Bd Single Sp .5 L"/>
    <w:basedOn w:val="Normal"/>
    <w:link w:val="TextoindependienteCar"/>
    <w:uiPriority w:val="99"/>
    <w:qFormat/>
    <w:rsid w:val="00E24FEC"/>
    <w:pPr>
      <w:spacing w:after="240" w:line="264" w:lineRule="auto"/>
    </w:pPr>
    <w:rPr>
      <w:rFonts w:ascii="Times New Roman" w:eastAsia="Times New Roman" w:hAnsi="Times New Roman"/>
      <w:sz w:val="24"/>
      <w:lang w:val="es-ES" w:eastAsia="es-ES"/>
    </w:rPr>
  </w:style>
  <w:style w:type="character" w:customStyle="1" w:styleId="TextoindependienteCar">
    <w:name w:val="Texto independiente Car"/>
    <w:aliases w:val="bt Car,b Car,Borrador Car,body text Car,CG-Single Sp 0.5 Car,s2 Car,!Body Text .5(J) Car,Second Heading 2 Car,Second Heading Car,!Body Text .5s2(J) Car,CG-Single Sp 0 Car,!Body Text Car,5(J) Car,5s2(J) Car,s9 Car,s21 Car,BT Car"/>
    <w:link w:val="Textoindependiente"/>
    <w:uiPriority w:val="99"/>
    <w:rsid w:val="00E24FEC"/>
    <w:rPr>
      <w:rFonts w:ascii="Times New Roman" w:eastAsia="Times New Roman" w:hAnsi="Times New Roman"/>
      <w:sz w:val="24"/>
      <w:lang w:val="es-ES" w:eastAsia="es-ES"/>
    </w:rPr>
  </w:style>
  <w:style w:type="paragraph" w:styleId="Textonotapie">
    <w:name w:val="footnote text"/>
    <w:basedOn w:val="Normal"/>
    <w:link w:val="TextonotapieCar"/>
    <w:uiPriority w:val="99"/>
    <w:rsid w:val="00262B34"/>
    <w:pPr>
      <w:spacing w:after="0" w:line="240" w:lineRule="auto"/>
    </w:pPr>
    <w:rPr>
      <w:rFonts w:ascii="Times New Roman" w:eastAsia="Times New Roman" w:hAnsi="Times New Roman"/>
      <w:lang w:val="en-US" w:eastAsia="es-ES"/>
    </w:rPr>
  </w:style>
  <w:style w:type="character" w:customStyle="1" w:styleId="TextonotapieCar">
    <w:name w:val="Texto nota pie Car"/>
    <w:link w:val="Textonotapie"/>
    <w:uiPriority w:val="99"/>
    <w:rsid w:val="00262B34"/>
    <w:rPr>
      <w:rFonts w:ascii="Times New Roman" w:eastAsia="Times New Roman" w:hAnsi="Times New Roman"/>
      <w:lang w:val="en-US" w:eastAsia="es-ES"/>
    </w:rPr>
  </w:style>
  <w:style w:type="character" w:styleId="Refdenotaalpie">
    <w:name w:val="footnote reference"/>
    <w:uiPriority w:val="99"/>
    <w:rsid w:val="00262B34"/>
    <w:rPr>
      <w:vertAlign w:val="superscript"/>
    </w:rPr>
  </w:style>
  <w:style w:type="paragraph" w:styleId="Sangradetextonormal">
    <w:name w:val="Body Text Indent"/>
    <w:basedOn w:val="Normal"/>
    <w:link w:val="SangradetextonormalCar"/>
    <w:uiPriority w:val="99"/>
    <w:unhideWhenUsed/>
    <w:rsid w:val="005323D8"/>
    <w:pPr>
      <w:spacing w:after="120"/>
      <w:ind w:left="283"/>
    </w:pPr>
    <w:rPr>
      <w:lang w:val="x-none"/>
    </w:rPr>
  </w:style>
  <w:style w:type="character" w:customStyle="1" w:styleId="SangradetextonormalCar">
    <w:name w:val="Sangría de texto normal Car"/>
    <w:link w:val="Sangradetextonormal"/>
    <w:uiPriority w:val="99"/>
    <w:rsid w:val="005323D8"/>
    <w:rPr>
      <w:sz w:val="22"/>
      <w:szCs w:val="22"/>
      <w:lang w:eastAsia="en-US"/>
    </w:rPr>
  </w:style>
  <w:style w:type="character" w:styleId="Refdecomentario">
    <w:name w:val="annotation reference"/>
    <w:uiPriority w:val="99"/>
    <w:semiHidden/>
    <w:unhideWhenUsed/>
    <w:rsid w:val="00610599"/>
    <w:rPr>
      <w:sz w:val="16"/>
      <w:szCs w:val="16"/>
    </w:rPr>
  </w:style>
  <w:style w:type="paragraph" w:styleId="Textocomentario">
    <w:name w:val="annotation text"/>
    <w:basedOn w:val="Normal"/>
    <w:link w:val="TextocomentarioCar"/>
    <w:uiPriority w:val="99"/>
    <w:unhideWhenUsed/>
    <w:rsid w:val="00610599"/>
  </w:style>
  <w:style w:type="character" w:customStyle="1" w:styleId="TextocomentarioCar">
    <w:name w:val="Texto comentario Car"/>
    <w:link w:val="Textocomentario"/>
    <w:uiPriority w:val="99"/>
    <w:rsid w:val="00610599"/>
    <w:rPr>
      <w:lang w:eastAsia="en-US"/>
    </w:rPr>
  </w:style>
  <w:style w:type="paragraph" w:styleId="Asuntodelcomentario">
    <w:name w:val="annotation subject"/>
    <w:basedOn w:val="Textocomentario"/>
    <w:next w:val="Textocomentario"/>
    <w:link w:val="AsuntodelcomentarioCar"/>
    <w:uiPriority w:val="99"/>
    <w:semiHidden/>
    <w:unhideWhenUsed/>
    <w:rsid w:val="00610599"/>
    <w:rPr>
      <w:b/>
      <w:bCs/>
    </w:rPr>
  </w:style>
  <w:style w:type="character" w:customStyle="1" w:styleId="AsuntodelcomentarioCar">
    <w:name w:val="Asunto del comentario Car"/>
    <w:link w:val="Asuntodelcomentario"/>
    <w:uiPriority w:val="99"/>
    <w:semiHidden/>
    <w:rsid w:val="00610599"/>
    <w:rPr>
      <w:b/>
      <w:bCs/>
      <w:lang w:eastAsia="en-US"/>
    </w:rPr>
  </w:style>
  <w:style w:type="character" w:customStyle="1" w:styleId="Ttulo2Car">
    <w:name w:val="Título 2 Car"/>
    <w:aliases w:val="Tight Slug Car"/>
    <w:basedOn w:val="Fuentedeprrafopredeter"/>
    <w:link w:val="Ttulo2"/>
    <w:rsid w:val="004B3BCA"/>
    <w:rPr>
      <w:rFonts w:asciiTheme="majorHAnsi" w:eastAsiaTheme="majorEastAsia" w:hAnsiTheme="majorHAnsi" w:cstheme="majorBidi"/>
      <w:b/>
      <w:bCs/>
      <w:color w:val="4F81BD" w:themeColor="accent1"/>
      <w:sz w:val="26"/>
      <w:szCs w:val="26"/>
      <w:lang w:eastAsia="en-US"/>
    </w:rPr>
  </w:style>
  <w:style w:type="character" w:customStyle="1" w:styleId="TextodegloboCar1">
    <w:name w:val="Texto de globo Car1"/>
    <w:basedOn w:val="Fuentedeprrafopredeter"/>
    <w:uiPriority w:val="99"/>
    <w:rsid w:val="004B3BCA"/>
    <w:rPr>
      <w:rFonts w:ascii="Tahoma" w:hAnsi="Tahoma" w:cs="Tahoma"/>
      <w:sz w:val="16"/>
      <w:szCs w:val="16"/>
      <w:lang w:val="en-US"/>
    </w:rPr>
  </w:style>
  <w:style w:type="paragraph" w:styleId="TtuloTDC">
    <w:name w:val="TOC Heading"/>
    <w:basedOn w:val="Ttulo1"/>
    <w:next w:val="Normal"/>
    <w:uiPriority w:val="39"/>
    <w:unhideWhenUsed/>
    <w:qFormat/>
    <w:rsid w:val="00D937C2"/>
    <w:pPr>
      <w:keepLines/>
      <w:spacing w:before="480" w:after="0" w:line="276" w:lineRule="auto"/>
      <w:outlineLvl w:val="9"/>
    </w:pPr>
    <w:rPr>
      <w:rFonts w:asciiTheme="majorHAnsi" w:eastAsiaTheme="majorEastAsia" w:hAnsiTheme="majorHAnsi" w:cstheme="majorBidi"/>
      <w:color w:val="365F91" w:themeColor="accent1" w:themeShade="BF"/>
      <w:sz w:val="28"/>
      <w:szCs w:val="28"/>
      <w:lang w:val="es-AR" w:eastAsia="es-AR"/>
    </w:rPr>
  </w:style>
  <w:style w:type="paragraph" w:styleId="TDC2">
    <w:name w:val="toc 2"/>
    <w:basedOn w:val="Normal"/>
    <w:next w:val="Normal"/>
    <w:autoRedefine/>
    <w:uiPriority w:val="39"/>
    <w:unhideWhenUsed/>
    <w:qFormat/>
    <w:locked/>
    <w:rsid w:val="00D937C2"/>
    <w:pPr>
      <w:spacing w:after="100"/>
      <w:ind w:left="220"/>
    </w:pPr>
    <w:rPr>
      <w:rFonts w:asciiTheme="minorHAnsi" w:eastAsiaTheme="minorEastAsia" w:hAnsiTheme="minorHAnsi" w:cstheme="minorBidi"/>
    </w:rPr>
  </w:style>
  <w:style w:type="character" w:styleId="Hipervnculo">
    <w:name w:val="Hyperlink"/>
    <w:basedOn w:val="Fuentedeprrafopredeter"/>
    <w:uiPriority w:val="99"/>
    <w:unhideWhenUsed/>
    <w:rsid w:val="00D937C2"/>
    <w:rPr>
      <w:color w:val="0000FF" w:themeColor="hyperlink"/>
      <w:u w:val="single"/>
    </w:rPr>
  </w:style>
  <w:style w:type="paragraph" w:styleId="TDC1">
    <w:name w:val="toc 1"/>
    <w:basedOn w:val="Normal"/>
    <w:next w:val="Normal"/>
    <w:autoRedefine/>
    <w:uiPriority w:val="39"/>
    <w:qFormat/>
    <w:locked/>
    <w:rsid w:val="00D937C2"/>
    <w:pPr>
      <w:spacing w:after="100"/>
    </w:pPr>
  </w:style>
  <w:style w:type="paragraph" w:styleId="Descripcin">
    <w:name w:val="caption"/>
    <w:basedOn w:val="Normal"/>
    <w:next w:val="Normal"/>
    <w:unhideWhenUsed/>
    <w:qFormat/>
    <w:locked/>
    <w:rsid w:val="00DF43DF"/>
    <w:pPr>
      <w:spacing w:line="240" w:lineRule="auto"/>
    </w:pPr>
    <w:rPr>
      <w:b/>
      <w:bCs/>
      <w:color w:val="4F81BD" w:themeColor="accent1"/>
      <w:sz w:val="18"/>
      <w:szCs w:val="18"/>
    </w:rPr>
  </w:style>
  <w:style w:type="paragraph" w:styleId="TDC3">
    <w:name w:val="toc 3"/>
    <w:basedOn w:val="Normal"/>
    <w:next w:val="Normal"/>
    <w:autoRedefine/>
    <w:uiPriority w:val="39"/>
    <w:unhideWhenUsed/>
    <w:qFormat/>
    <w:locked/>
    <w:rsid w:val="00F7099C"/>
    <w:pPr>
      <w:spacing w:after="100"/>
      <w:ind w:left="440"/>
    </w:pPr>
    <w:rPr>
      <w:rFonts w:asciiTheme="minorHAnsi" w:eastAsiaTheme="minorEastAsia" w:hAnsiTheme="minorHAnsi" w:cstheme="minorBidi"/>
    </w:rPr>
  </w:style>
  <w:style w:type="paragraph" w:styleId="Ttulo">
    <w:name w:val="Title"/>
    <w:basedOn w:val="Normal"/>
    <w:next w:val="Normal"/>
    <w:link w:val="TtuloCar"/>
    <w:qFormat/>
    <w:locked/>
    <w:rsid w:val="0086574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rsid w:val="00865743"/>
    <w:rPr>
      <w:rFonts w:asciiTheme="majorHAnsi" w:eastAsiaTheme="majorEastAsia" w:hAnsiTheme="majorHAnsi" w:cstheme="majorBidi"/>
      <w:color w:val="17365D" w:themeColor="text2" w:themeShade="BF"/>
      <w:spacing w:val="5"/>
      <w:kern w:val="28"/>
      <w:sz w:val="52"/>
      <w:szCs w:val="52"/>
      <w:lang w:eastAsia="en-US"/>
    </w:rPr>
  </w:style>
  <w:style w:type="character" w:styleId="Hipervnculovisitado">
    <w:name w:val="FollowedHyperlink"/>
    <w:basedOn w:val="Fuentedeprrafopredeter"/>
    <w:uiPriority w:val="99"/>
    <w:unhideWhenUsed/>
    <w:rsid w:val="00865743"/>
    <w:rPr>
      <w:color w:val="800080" w:themeColor="followedHyperlink"/>
      <w:u w:val="single"/>
    </w:rPr>
  </w:style>
  <w:style w:type="paragraph" w:styleId="Revisin">
    <w:name w:val="Revision"/>
    <w:hidden/>
    <w:uiPriority w:val="99"/>
    <w:semiHidden/>
    <w:rsid w:val="008C5F20"/>
    <w:rPr>
      <w:sz w:val="22"/>
      <w:szCs w:val="22"/>
      <w:lang w:eastAsia="en-US"/>
    </w:rPr>
  </w:style>
  <w:style w:type="character" w:customStyle="1" w:styleId="Ttulo3Car">
    <w:name w:val="Título 3 Car"/>
    <w:aliases w:val="Note to Director Car"/>
    <w:basedOn w:val="Fuentedeprrafopredeter"/>
    <w:link w:val="Ttulo3"/>
    <w:rsid w:val="000459D1"/>
    <w:rPr>
      <w:rFonts w:asciiTheme="majorHAnsi" w:eastAsiaTheme="majorEastAsia" w:hAnsiTheme="majorHAnsi" w:cstheme="majorBidi"/>
      <w:bCs/>
      <w:color w:val="1F497D" w:themeColor="text2"/>
      <w:sz w:val="28"/>
    </w:rPr>
  </w:style>
  <w:style w:type="character" w:customStyle="1" w:styleId="Ttulo4Car">
    <w:name w:val="Título 4 Car"/>
    <w:basedOn w:val="Fuentedeprrafopredeter"/>
    <w:link w:val="Ttulo4"/>
    <w:rsid w:val="000459D1"/>
    <w:rPr>
      <w:rFonts w:asciiTheme="majorHAnsi" w:eastAsiaTheme="majorEastAsia" w:hAnsiTheme="majorHAnsi" w:cstheme="majorBidi"/>
      <w:bCs/>
      <w:iCs/>
      <w:color w:val="4F81BD" w:themeColor="accent1"/>
      <w:sz w:val="24"/>
    </w:rPr>
  </w:style>
  <w:style w:type="character" w:customStyle="1" w:styleId="Ttulo5Car">
    <w:name w:val="Título 5 Car"/>
    <w:basedOn w:val="Fuentedeprrafopredeter"/>
    <w:link w:val="Ttulo5"/>
    <w:rsid w:val="000459D1"/>
    <w:rPr>
      <w:rFonts w:asciiTheme="majorHAnsi" w:eastAsiaTheme="majorEastAsia" w:hAnsiTheme="majorHAnsi" w:cstheme="majorBidi"/>
      <w:color w:val="1F497D" w:themeColor="text2"/>
    </w:rPr>
  </w:style>
  <w:style w:type="character" w:customStyle="1" w:styleId="Ttulo6Car">
    <w:name w:val="Título 6 Car"/>
    <w:basedOn w:val="Fuentedeprrafopredeter"/>
    <w:link w:val="Ttulo6"/>
    <w:rsid w:val="000459D1"/>
    <w:rPr>
      <w:rFonts w:asciiTheme="majorHAnsi" w:eastAsiaTheme="majorEastAsia" w:hAnsiTheme="majorHAnsi" w:cstheme="majorBidi"/>
      <w:iCs/>
    </w:rPr>
  </w:style>
  <w:style w:type="character" w:customStyle="1" w:styleId="Ttulo7Car">
    <w:name w:val="Título 7 Car"/>
    <w:basedOn w:val="Fuentedeprrafopredeter"/>
    <w:link w:val="Ttulo7"/>
    <w:rsid w:val="000459D1"/>
    <w:rPr>
      <w:rFonts w:asciiTheme="majorHAnsi" w:eastAsiaTheme="majorEastAsia" w:hAnsiTheme="majorHAnsi" w:cstheme="majorBidi"/>
      <w:iCs/>
    </w:rPr>
  </w:style>
  <w:style w:type="character" w:customStyle="1" w:styleId="Ttulo8Car">
    <w:name w:val="Título 8 Car"/>
    <w:basedOn w:val="Fuentedeprrafopredeter"/>
    <w:link w:val="Ttulo8"/>
    <w:rsid w:val="000459D1"/>
    <w:rPr>
      <w:rFonts w:asciiTheme="majorHAnsi" w:eastAsiaTheme="majorEastAsia" w:hAnsiTheme="majorHAnsi" w:cstheme="majorBidi"/>
    </w:rPr>
  </w:style>
  <w:style w:type="character" w:customStyle="1" w:styleId="Ttulo9Car">
    <w:name w:val="Título 9 Car"/>
    <w:basedOn w:val="Fuentedeprrafopredeter"/>
    <w:link w:val="Ttulo9"/>
    <w:rsid w:val="000459D1"/>
    <w:rPr>
      <w:rFonts w:asciiTheme="majorHAnsi" w:eastAsiaTheme="majorEastAsia" w:hAnsiTheme="majorHAnsi" w:cstheme="majorBidi"/>
      <w:iCs/>
    </w:rPr>
  </w:style>
  <w:style w:type="paragraph" w:styleId="Subttulo">
    <w:name w:val="Subtitle"/>
    <w:basedOn w:val="Normal"/>
    <w:next w:val="Textoindependiente"/>
    <w:link w:val="SubttuloCar"/>
    <w:qFormat/>
    <w:locked/>
    <w:rsid w:val="000459D1"/>
    <w:pPr>
      <w:numPr>
        <w:ilvl w:val="1"/>
      </w:numPr>
      <w:autoSpaceDE w:val="0"/>
      <w:autoSpaceDN w:val="0"/>
      <w:spacing w:after="0" w:line="240" w:lineRule="auto"/>
    </w:pPr>
    <w:rPr>
      <w:rFonts w:asciiTheme="majorHAnsi" w:eastAsiaTheme="majorEastAsia" w:hAnsiTheme="majorHAnsi" w:cstheme="majorBidi"/>
      <w:iCs/>
      <w:color w:val="4F81BD" w:themeColor="accent1"/>
      <w:sz w:val="36"/>
      <w:szCs w:val="24"/>
    </w:rPr>
  </w:style>
  <w:style w:type="character" w:customStyle="1" w:styleId="SubttuloCar">
    <w:name w:val="Subtítulo Car"/>
    <w:basedOn w:val="Fuentedeprrafopredeter"/>
    <w:link w:val="Subttulo"/>
    <w:rsid w:val="000459D1"/>
    <w:rPr>
      <w:rFonts w:asciiTheme="majorHAnsi" w:eastAsiaTheme="majorEastAsia" w:hAnsiTheme="majorHAnsi" w:cstheme="majorBidi"/>
      <w:iCs/>
      <w:color w:val="4F81BD" w:themeColor="accent1"/>
      <w:sz w:val="36"/>
      <w:szCs w:val="24"/>
    </w:rPr>
  </w:style>
  <w:style w:type="paragraph" w:styleId="Textodebloque">
    <w:name w:val="Block Text"/>
    <w:basedOn w:val="Normal"/>
    <w:unhideWhenUsed/>
    <w:rsid w:val="000459D1"/>
    <w:pPr>
      <w:pBdr>
        <w:top w:val="single" w:sz="2" w:space="10" w:color="auto"/>
        <w:left w:val="single" w:sz="2" w:space="10" w:color="auto"/>
        <w:bottom w:val="single" w:sz="2" w:space="10" w:color="auto"/>
        <w:right w:val="single" w:sz="2" w:space="10" w:color="auto"/>
      </w:pBdr>
      <w:autoSpaceDE w:val="0"/>
      <w:autoSpaceDN w:val="0"/>
      <w:spacing w:after="0" w:line="240" w:lineRule="auto"/>
      <w:ind w:left="1152" w:right="1152"/>
    </w:pPr>
    <w:rPr>
      <w:rFonts w:ascii="Times New Roman" w:eastAsiaTheme="minorEastAsia" w:hAnsi="Times New Roman"/>
      <w:i/>
      <w:iCs/>
    </w:rPr>
  </w:style>
  <w:style w:type="character" w:styleId="nfasisintenso">
    <w:name w:val="Intense Emphasis"/>
    <w:basedOn w:val="Fuentedeprrafopredeter"/>
    <w:uiPriority w:val="21"/>
    <w:qFormat/>
    <w:rsid w:val="000459D1"/>
    <w:rPr>
      <w:b/>
      <w:bCs/>
      <w:i/>
      <w:iCs/>
      <w:color w:val="auto"/>
      <w:u w:val="none"/>
    </w:rPr>
  </w:style>
  <w:style w:type="paragraph" w:styleId="Citadestacada">
    <w:name w:val="Intense Quote"/>
    <w:basedOn w:val="Normal"/>
    <w:next w:val="Normal"/>
    <w:link w:val="CitadestacadaCar"/>
    <w:uiPriority w:val="30"/>
    <w:unhideWhenUsed/>
    <w:qFormat/>
    <w:rsid w:val="000459D1"/>
    <w:pPr>
      <w:pBdr>
        <w:bottom w:val="single" w:sz="4" w:space="4" w:color="auto"/>
      </w:pBdr>
      <w:autoSpaceDE w:val="0"/>
      <w:autoSpaceDN w:val="0"/>
      <w:spacing w:after="0" w:line="240" w:lineRule="auto"/>
      <w:ind w:left="936" w:right="936"/>
    </w:pPr>
    <w:rPr>
      <w:rFonts w:ascii="Times New Roman" w:eastAsia="Wingdings" w:hAnsi="Times New Roman"/>
      <w:b/>
      <w:bCs/>
      <w:i/>
      <w:iCs/>
    </w:rPr>
  </w:style>
  <w:style w:type="character" w:customStyle="1" w:styleId="CitadestacadaCar">
    <w:name w:val="Cita destacada Car"/>
    <w:basedOn w:val="Fuentedeprrafopredeter"/>
    <w:link w:val="Citadestacada"/>
    <w:uiPriority w:val="30"/>
    <w:rsid w:val="000459D1"/>
    <w:rPr>
      <w:rFonts w:ascii="Times New Roman" w:eastAsia="Wingdings" w:hAnsi="Times New Roman"/>
      <w:b/>
      <w:bCs/>
      <w:i/>
      <w:iCs/>
      <w:sz w:val="22"/>
      <w:szCs w:val="22"/>
    </w:rPr>
  </w:style>
  <w:style w:type="character" w:styleId="Referenciaintensa">
    <w:name w:val="Intense Reference"/>
    <w:basedOn w:val="Fuentedeprrafopredeter"/>
    <w:uiPriority w:val="32"/>
    <w:unhideWhenUsed/>
    <w:qFormat/>
    <w:rsid w:val="000459D1"/>
    <w:rPr>
      <w:b/>
      <w:bCs/>
      <w:i w:val="0"/>
      <w:smallCaps/>
      <w:color w:val="auto"/>
      <w:spacing w:val="5"/>
      <w:u w:val="none"/>
    </w:rPr>
  </w:style>
  <w:style w:type="character" w:styleId="nfasissutil">
    <w:name w:val="Subtle Emphasis"/>
    <w:basedOn w:val="Fuentedeprrafopredeter"/>
    <w:uiPriority w:val="19"/>
    <w:unhideWhenUsed/>
    <w:qFormat/>
    <w:rsid w:val="000459D1"/>
    <w:rPr>
      <w:b w:val="0"/>
      <w:i/>
      <w:iCs/>
      <w:color w:val="auto"/>
      <w:u w:val="none"/>
    </w:rPr>
  </w:style>
  <w:style w:type="character" w:styleId="Referenciasutil">
    <w:name w:val="Subtle Reference"/>
    <w:basedOn w:val="Fuentedeprrafopredeter"/>
    <w:uiPriority w:val="31"/>
    <w:unhideWhenUsed/>
    <w:qFormat/>
    <w:rsid w:val="000459D1"/>
    <w:rPr>
      <w:b w:val="0"/>
      <w:i w:val="0"/>
      <w:smallCaps/>
      <w:color w:val="auto"/>
      <w:u w:val="single"/>
    </w:rPr>
  </w:style>
  <w:style w:type="paragraph" w:styleId="Listaconvietas">
    <w:name w:val="List Bullet"/>
    <w:basedOn w:val="Normal"/>
    <w:qFormat/>
    <w:rsid w:val="000459D1"/>
    <w:pPr>
      <w:numPr>
        <w:numId w:val="2"/>
      </w:numPr>
      <w:autoSpaceDE w:val="0"/>
      <w:autoSpaceDN w:val="0"/>
      <w:spacing w:after="0" w:line="240" w:lineRule="auto"/>
    </w:pPr>
    <w:rPr>
      <w:rFonts w:ascii="Times New Roman" w:eastAsia="Wingdings" w:hAnsi="Times New Roman"/>
    </w:rPr>
  </w:style>
  <w:style w:type="paragraph" w:styleId="Listaconvietas2">
    <w:name w:val="List Bullet 2"/>
    <w:basedOn w:val="Normal"/>
    <w:rsid w:val="000459D1"/>
    <w:pPr>
      <w:numPr>
        <w:ilvl w:val="1"/>
        <w:numId w:val="2"/>
      </w:numPr>
      <w:autoSpaceDE w:val="0"/>
      <w:autoSpaceDN w:val="0"/>
      <w:spacing w:after="0" w:line="240" w:lineRule="auto"/>
    </w:pPr>
    <w:rPr>
      <w:rFonts w:ascii="Times New Roman" w:eastAsia="Wingdings" w:hAnsi="Times New Roman"/>
    </w:rPr>
  </w:style>
  <w:style w:type="paragraph" w:styleId="Listaconvietas3">
    <w:name w:val="List Bullet 3"/>
    <w:basedOn w:val="Normal"/>
    <w:rsid w:val="000459D1"/>
    <w:pPr>
      <w:numPr>
        <w:ilvl w:val="2"/>
        <w:numId w:val="2"/>
      </w:numPr>
      <w:autoSpaceDE w:val="0"/>
      <w:autoSpaceDN w:val="0"/>
      <w:spacing w:after="0" w:line="240" w:lineRule="auto"/>
    </w:pPr>
    <w:rPr>
      <w:rFonts w:ascii="Times New Roman" w:eastAsia="Wingdings" w:hAnsi="Times New Roman"/>
    </w:rPr>
  </w:style>
  <w:style w:type="table" w:styleId="Tablaconcuadrcula">
    <w:name w:val="Table Grid"/>
    <w:basedOn w:val="Tablanormal"/>
    <w:locked/>
    <w:rsid w:val="000459D1"/>
    <w:rPr>
      <w:rFonts w:asciiTheme="minorHAnsi" w:eastAsiaTheme="minorHAnsi" w:hAnsiTheme="minorHAnsi" w:cstheme="minorBidi"/>
      <w:color w:val="000000" w:themeColor="text1"/>
      <w:sz w:val="21"/>
      <w:szCs w:val="21"/>
      <w:lang w:val="en-GB"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ennegrita">
    <w:name w:val="Strong"/>
    <w:basedOn w:val="Fuentedeprrafopredeter"/>
    <w:qFormat/>
    <w:locked/>
    <w:rsid w:val="000459D1"/>
    <w:rPr>
      <w:b/>
      <w:bCs/>
    </w:rPr>
  </w:style>
  <w:style w:type="paragraph" w:styleId="Listaconnmeros">
    <w:name w:val="List Number"/>
    <w:basedOn w:val="Normal"/>
    <w:qFormat/>
    <w:rsid w:val="000459D1"/>
    <w:pPr>
      <w:numPr>
        <w:numId w:val="3"/>
      </w:numPr>
      <w:autoSpaceDE w:val="0"/>
      <w:autoSpaceDN w:val="0"/>
      <w:spacing w:after="0" w:line="240" w:lineRule="auto"/>
    </w:pPr>
    <w:rPr>
      <w:rFonts w:ascii="Times New Roman" w:eastAsia="Wingdings" w:hAnsi="Times New Roman"/>
    </w:rPr>
  </w:style>
  <w:style w:type="paragraph" w:customStyle="1" w:styleId="BodySingle">
    <w:name w:val="Body Single"/>
    <w:basedOn w:val="Textoindependiente"/>
    <w:link w:val="BodySingleChar"/>
    <w:qFormat/>
    <w:rsid w:val="000459D1"/>
    <w:pPr>
      <w:autoSpaceDE w:val="0"/>
      <w:autoSpaceDN w:val="0"/>
      <w:spacing w:after="0" w:line="240" w:lineRule="auto"/>
    </w:pPr>
    <w:rPr>
      <w:rFonts w:eastAsia="Wingdings"/>
    </w:rPr>
  </w:style>
  <w:style w:type="character" w:customStyle="1" w:styleId="BodySingleChar">
    <w:name w:val="Body Single Char"/>
    <w:basedOn w:val="TextoindependienteCar"/>
    <w:link w:val="BodySingle"/>
    <w:rsid w:val="000459D1"/>
    <w:rPr>
      <w:rFonts w:ascii="Times New Roman" w:eastAsia="Wingdings" w:hAnsi="Times New Roman"/>
      <w:sz w:val="24"/>
      <w:lang w:val="es-ES" w:eastAsia="es-ES"/>
    </w:rPr>
  </w:style>
  <w:style w:type="table" w:styleId="Sombreadoclaro-nfasis2">
    <w:name w:val="Light Shading Accent 2"/>
    <w:basedOn w:val="Tablanormal"/>
    <w:uiPriority w:val="60"/>
    <w:rsid w:val="000459D1"/>
    <w:rPr>
      <w:rFonts w:asciiTheme="minorHAnsi" w:eastAsiaTheme="minorHAnsi" w:hAnsiTheme="minorHAnsi" w:cstheme="minorBidi"/>
      <w:color w:val="943634" w:themeColor="accent2" w:themeShade="BF"/>
      <w:sz w:val="21"/>
      <w:szCs w:val="21"/>
      <w:lang w:val="en-GB"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medio1-nfasis4">
    <w:name w:val="Medium Shading 1 Accent 4"/>
    <w:basedOn w:val="Tablanormal"/>
    <w:uiPriority w:val="63"/>
    <w:rsid w:val="000459D1"/>
    <w:rPr>
      <w:rFonts w:asciiTheme="minorHAnsi" w:eastAsiaTheme="minorHAnsi" w:hAnsiTheme="minorHAnsi" w:cstheme="minorBidi"/>
      <w:color w:val="000000" w:themeColor="text1"/>
      <w:sz w:val="21"/>
      <w:szCs w:val="21"/>
      <w:lang w:val="en-GB"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1">
    <w:name w:val="Medium Shading 11"/>
    <w:basedOn w:val="Tablanormal"/>
    <w:uiPriority w:val="63"/>
    <w:rsid w:val="000459D1"/>
    <w:rPr>
      <w:rFonts w:asciiTheme="minorHAnsi" w:eastAsiaTheme="minorHAnsi" w:hAnsiTheme="minorHAnsi" w:cstheme="minorBidi"/>
      <w:color w:val="000000" w:themeColor="text1"/>
      <w:sz w:val="16"/>
      <w:szCs w:val="21"/>
      <w:lang w:val="en-GB"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anormal"/>
    <w:uiPriority w:val="63"/>
    <w:rsid w:val="000459D1"/>
    <w:rPr>
      <w:rFonts w:asciiTheme="minorHAnsi" w:eastAsiaTheme="minorHAnsi" w:hAnsiTheme="minorHAnsi" w:cstheme="minorBidi"/>
      <w:color w:val="000000" w:themeColor="text1"/>
      <w:sz w:val="21"/>
      <w:szCs w:val="21"/>
      <w:lang w:val="en-GB"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1">
    <w:name w:val="Light List1"/>
    <w:basedOn w:val="Tablanormal"/>
    <w:uiPriority w:val="61"/>
    <w:rsid w:val="000459D1"/>
    <w:rPr>
      <w:rFonts w:asciiTheme="minorHAnsi" w:eastAsiaTheme="minorHAnsi" w:hAnsiTheme="minorHAnsi" w:cstheme="minorBidi"/>
      <w:color w:val="000000" w:themeColor="text1"/>
      <w:sz w:val="21"/>
      <w:szCs w:val="21"/>
      <w:lang w:val="en-GB"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anormal"/>
    <w:uiPriority w:val="61"/>
    <w:rsid w:val="000459D1"/>
    <w:rPr>
      <w:rFonts w:asciiTheme="minorHAnsi" w:eastAsiaTheme="minorHAnsi" w:hAnsiTheme="minorHAnsi" w:cstheme="minorBidi"/>
      <w:color w:val="000000" w:themeColor="text1"/>
      <w:sz w:val="21"/>
      <w:szCs w:val="21"/>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ectionHeading">
    <w:name w:val="Section Heading"/>
    <w:basedOn w:val="Ttulo1"/>
    <w:next w:val="Textoindependiente"/>
    <w:uiPriority w:val="12"/>
    <w:qFormat/>
    <w:rsid w:val="000459D1"/>
    <w:pPr>
      <w:keepLines/>
      <w:pageBreakBefore/>
      <w:framePr w:w="10478" w:wrap="notBeside" w:vAnchor="page" w:hAnchor="margin" w:y="1135"/>
      <w:autoSpaceDE w:val="0"/>
      <w:autoSpaceDN w:val="0"/>
      <w:spacing w:after="120" w:line="720" w:lineRule="exact"/>
    </w:pPr>
    <w:rPr>
      <w:rFonts w:asciiTheme="majorHAnsi" w:eastAsiaTheme="majorEastAsia" w:hAnsiTheme="majorHAnsi" w:cstheme="majorBidi"/>
      <w:b w:val="0"/>
      <w:color w:val="1F497D" w:themeColor="text2"/>
      <w:sz w:val="72"/>
      <w:szCs w:val="28"/>
      <w:lang w:val="es-AR" w:eastAsia="es-AR"/>
    </w:rPr>
  </w:style>
  <w:style w:type="paragraph" w:customStyle="1" w:styleId="Logo">
    <w:name w:val="Logo"/>
    <w:basedOn w:val="Normal"/>
    <w:next w:val="Textoindependiente"/>
    <w:uiPriority w:val="15"/>
    <w:unhideWhenUsed/>
    <w:qFormat/>
    <w:rsid w:val="000459D1"/>
    <w:pPr>
      <w:autoSpaceDE w:val="0"/>
      <w:autoSpaceDN w:val="0"/>
      <w:spacing w:after="0" w:line="204" w:lineRule="auto"/>
      <w:jc w:val="right"/>
    </w:pPr>
    <w:rPr>
      <w:rFonts w:ascii="PwC_Logo" w:eastAsia="Wingdings" w:hAnsi="PwC_Logo"/>
      <w:color w:val="1F497D" w:themeColor="text2"/>
      <w:sz w:val="48"/>
      <w:szCs w:val="48"/>
    </w:rPr>
  </w:style>
  <w:style w:type="paragraph" w:styleId="Listaconnmeros2">
    <w:name w:val="List Number 2"/>
    <w:basedOn w:val="Normal"/>
    <w:rsid w:val="000459D1"/>
    <w:pPr>
      <w:numPr>
        <w:ilvl w:val="1"/>
        <w:numId w:val="3"/>
      </w:numPr>
      <w:autoSpaceDE w:val="0"/>
      <w:autoSpaceDN w:val="0"/>
      <w:spacing w:after="0" w:line="240" w:lineRule="auto"/>
    </w:pPr>
    <w:rPr>
      <w:rFonts w:ascii="Times New Roman" w:eastAsia="Wingdings" w:hAnsi="Times New Roman"/>
    </w:rPr>
  </w:style>
  <w:style w:type="paragraph" w:styleId="Listaconnmeros3">
    <w:name w:val="List Number 3"/>
    <w:basedOn w:val="Normal"/>
    <w:rsid w:val="000459D1"/>
    <w:pPr>
      <w:numPr>
        <w:ilvl w:val="2"/>
        <w:numId w:val="3"/>
      </w:numPr>
      <w:autoSpaceDE w:val="0"/>
      <w:autoSpaceDN w:val="0"/>
      <w:spacing w:after="0" w:line="240" w:lineRule="auto"/>
    </w:pPr>
    <w:rPr>
      <w:rFonts w:ascii="Times New Roman" w:eastAsia="Wingdings" w:hAnsi="Times New Roman"/>
    </w:rPr>
  </w:style>
  <w:style w:type="table" w:customStyle="1" w:styleId="PwCTable1">
    <w:name w:val="PwC Table 1"/>
    <w:basedOn w:val="Tablanormal"/>
    <w:uiPriority w:val="99"/>
    <w:qFormat/>
    <w:rsid w:val="000459D1"/>
    <w:rPr>
      <w:rFonts w:asciiTheme="minorHAnsi" w:eastAsiaTheme="minorHAnsi" w:hAnsiTheme="minorHAnsi" w:cstheme="minorBidi"/>
      <w:color w:val="000000" w:themeColor="text1"/>
      <w:sz w:val="18"/>
      <w:szCs w:val="22"/>
      <w:lang w:val="en-GB" w:eastAsia="en-US"/>
    </w:rPr>
    <w:tblPr>
      <w:tblStyleRowBandSize w:val="1"/>
      <w:tblBorders>
        <w:bottom w:val="single" w:sz="4" w:space="0" w:color="4F81BD" w:themeColor="accent1"/>
        <w:insideH w:val="single" w:sz="4" w:space="0" w:color="4F81BD" w:themeColor="accent1"/>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Theme="majorHAnsi" w:hAnsiTheme="majorHAnsi"/>
        <w:b/>
        <w:color w:val="4F81BD" w:themeColor="accent1"/>
        <w:sz w:val="18"/>
      </w:rPr>
      <w:tblPr/>
      <w:tcPr>
        <w:tcBorders>
          <w:top w:val="nil"/>
          <w:left w:val="nil"/>
          <w:bottom w:val="single" w:sz="8" w:space="0" w:color="1F497D" w:themeColor="text2"/>
          <w:right w:val="nil"/>
          <w:insideH w:val="nil"/>
          <w:insideV w:val="nil"/>
          <w:tl2br w:val="nil"/>
          <w:tr2bl w:val="nil"/>
        </w:tcBorders>
      </w:tcPr>
    </w:tblStylePr>
    <w:tblStylePr w:type="lastRow">
      <w:tblPr/>
      <w:tcPr>
        <w:tcBorders>
          <w:top w:val="nil"/>
          <w:left w:val="nil"/>
          <w:bottom w:val="single" w:sz="4" w:space="0" w:color="4F81BD" w:themeColor="accent1"/>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numbering" w:customStyle="1" w:styleId="PwCListBullets1">
    <w:name w:val="PwC List Bullets 1"/>
    <w:uiPriority w:val="99"/>
    <w:rsid w:val="000459D1"/>
    <w:pPr>
      <w:numPr>
        <w:numId w:val="2"/>
      </w:numPr>
    </w:pPr>
  </w:style>
  <w:style w:type="numbering" w:customStyle="1" w:styleId="PwCListNumbers1">
    <w:name w:val="PwC List Numbers 1"/>
    <w:uiPriority w:val="99"/>
    <w:rsid w:val="000459D1"/>
    <w:pPr>
      <w:numPr>
        <w:numId w:val="3"/>
      </w:numPr>
    </w:pPr>
  </w:style>
  <w:style w:type="paragraph" w:styleId="Listaconvietas4">
    <w:name w:val="List Bullet 4"/>
    <w:basedOn w:val="Normal"/>
    <w:unhideWhenUsed/>
    <w:rsid w:val="000459D1"/>
    <w:pPr>
      <w:numPr>
        <w:ilvl w:val="3"/>
        <w:numId w:val="2"/>
      </w:numPr>
      <w:autoSpaceDE w:val="0"/>
      <w:autoSpaceDN w:val="0"/>
      <w:spacing w:after="0" w:line="240" w:lineRule="auto"/>
    </w:pPr>
    <w:rPr>
      <w:rFonts w:ascii="Times New Roman" w:eastAsia="Wingdings" w:hAnsi="Times New Roman"/>
    </w:rPr>
  </w:style>
  <w:style w:type="paragraph" w:styleId="Continuarlista">
    <w:name w:val="List Continue"/>
    <w:basedOn w:val="Normal"/>
    <w:uiPriority w:val="14"/>
    <w:unhideWhenUsed/>
    <w:rsid w:val="000459D1"/>
    <w:pPr>
      <w:autoSpaceDE w:val="0"/>
      <w:autoSpaceDN w:val="0"/>
      <w:spacing w:after="0" w:line="240" w:lineRule="auto"/>
      <w:ind w:left="397"/>
    </w:pPr>
    <w:rPr>
      <w:rFonts w:ascii="Times New Roman" w:eastAsia="Wingdings" w:hAnsi="Times New Roman"/>
    </w:rPr>
  </w:style>
  <w:style w:type="paragraph" w:styleId="Continuarlista2">
    <w:name w:val="List Continue 2"/>
    <w:basedOn w:val="Normal"/>
    <w:uiPriority w:val="14"/>
    <w:unhideWhenUsed/>
    <w:rsid w:val="000459D1"/>
    <w:pPr>
      <w:autoSpaceDE w:val="0"/>
      <w:autoSpaceDN w:val="0"/>
      <w:spacing w:after="0" w:line="240" w:lineRule="auto"/>
      <w:ind w:left="794"/>
    </w:pPr>
    <w:rPr>
      <w:rFonts w:ascii="Times New Roman" w:eastAsia="Wingdings" w:hAnsi="Times New Roman"/>
    </w:rPr>
  </w:style>
  <w:style w:type="paragraph" w:styleId="Lista3">
    <w:name w:val="List 3"/>
    <w:basedOn w:val="Normal"/>
    <w:uiPriority w:val="14"/>
    <w:rsid w:val="000459D1"/>
    <w:pPr>
      <w:autoSpaceDE w:val="0"/>
      <w:autoSpaceDN w:val="0"/>
      <w:spacing w:after="0" w:line="240" w:lineRule="auto"/>
      <w:ind w:left="1191" w:hanging="397"/>
    </w:pPr>
    <w:rPr>
      <w:rFonts w:ascii="Times New Roman" w:eastAsia="Wingdings" w:hAnsi="Times New Roman"/>
    </w:rPr>
  </w:style>
  <w:style w:type="paragraph" w:styleId="Lista4">
    <w:name w:val="List 4"/>
    <w:basedOn w:val="Normal"/>
    <w:uiPriority w:val="14"/>
    <w:semiHidden/>
    <w:unhideWhenUsed/>
    <w:rsid w:val="000459D1"/>
    <w:pPr>
      <w:autoSpaceDE w:val="0"/>
      <w:autoSpaceDN w:val="0"/>
      <w:spacing w:after="0" w:line="240" w:lineRule="auto"/>
      <w:ind w:left="1588" w:hanging="397"/>
    </w:pPr>
    <w:rPr>
      <w:rFonts w:ascii="Times New Roman" w:eastAsia="Wingdings" w:hAnsi="Times New Roman"/>
    </w:rPr>
  </w:style>
  <w:style w:type="paragraph" w:styleId="Lista5">
    <w:name w:val="List 5"/>
    <w:basedOn w:val="Normal"/>
    <w:unhideWhenUsed/>
    <w:rsid w:val="000459D1"/>
    <w:pPr>
      <w:autoSpaceDE w:val="0"/>
      <w:autoSpaceDN w:val="0"/>
      <w:spacing w:after="0" w:line="240" w:lineRule="auto"/>
      <w:ind w:left="1985" w:hanging="397"/>
    </w:pPr>
    <w:rPr>
      <w:rFonts w:ascii="Times New Roman" w:eastAsia="Wingdings" w:hAnsi="Times New Roman"/>
    </w:rPr>
  </w:style>
  <w:style w:type="paragraph" w:styleId="Continuarlista3">
    <w:name w:val="List Continue 3"/>
    <w:basedOn w:val="Normal"/>
    <w:uiPriority w:val="14"/>
    <w:unhideWhenUsed/>
    <w:rsid w:val="000459D1"/>
    <w:pPr>
      <w:autoSpaceDE w:val="0"/>
      <w:autoSpaceDN w:val="0"/>
      <w:spacing w:after="0" w:line="240" w:lineRule="auto"/>
      <w:ind w:left="1191"/>
    </w:pPr>
    <w:rPr>
      <w:rFonts w:ascii="Times New Roman" w:eastAsia="Wingdings" w:hAnsi="Times New Roman"/>
    </w:rPr>
  </w:style>
  <w:style w:type="paragraph" w:styleId="Continuarlista4">
    <w:name w:val="List Continue 4"/>
    <w:basedOn w:val="Normal"/>
    <w:uiPriority w:val="14"/>
    <w:semiHidden/>
    <w:unhideWhenUsed/>
    <w:rsid w:val="000459D1"/>
    <w:pPr>
      <w:autoSpaceDE w:val="0"/>
      <w:autoSpaceDN w:val="0"/>
      <w:spacing w:after="0" w:line="240" w:lineRule="auto"/>
      <w:ind w:left="1588"/>
    </w:pPr>
    <w:rPr>
      <w:rFonts w:ascii="Times New Roman" w:eastAsia="Wingdings" w:hAnsi="Times New Roman"/>
    </w:rPr>
  </w:style>
  <w:style w:type="paragraph" w:styleId="Continuarlista5">
    <w:name w:val="List Continue 5"/>
    <w:basedOn w:val="Normal"/>
    <w:uiPriority w:val="14"/>
    <w:semiHidden/>
    <w:unhideWhenUsed/>
    <w:rsid w:val="000459D1"/>
    <w:pPr>
      <w:autoSpaceDE w:val="0"/>
      <w:autoSpaceDN w:val="0"/>
      <w:spacing w:after="0" w:line="240" w:lineRule="auto"/>
      <w:ind w:left="1985"/>
    </w:pPr>
    <w:rPr>
      <w:rFonts w:ascii="Times New Roman" w:eastAsia="Wingdings" w:hAnsi="Times New Roman"/>
    </w:rPr>
  </w:style>
  <w:style w:type="paragraph" w:styleId="Listaconnmeros4">
    <w:name w:val="List Number 4"/>
    <w:basedOn w:val="Normal"/>
    <w:unhideWhenUsed/>
    <w:rsid w:val="000459D1"/>
    <w:pPr>
      <w:numPr>
        <w:ilvl w:val="3"/>
        <w:numId w:val="3"/>
      </w:numPr>
      <w:autoSpaceDE w:val="0"/>
      <w:autoSpaceDN w:val="0"/>
      <w:spacing w:after="0" w:line="240" w:lineRule="auto"/>
    </w:pPr>
    <w:rPr>
      <w:rFonts w:ascii="Times New Roman" w:eastAsia="Wingdings" w:hAnsi="Times New Roman"/>
    </w:rPr>
  </w:style>
  <w:style w:type="paragraph" w:styleId="Listaconnmeros5">
    <w:name w:val="List Number 5"/>
    <w:basedOn w:val="Normal"/>
    <w:unhideWhenUsed/>
    <w:rsid w:val="000459D1"/>
    <w:pPr>
      <w:numPr>
        <w:ilvl w:val="4"/>
        <w:numId w:val="3"/>
      </w:numPr>
      <w:autoSpaceDE w:val="0"/>
      <w:autoSpaceDN w:val="0"/>
      <w:spacing w:after="0" w:line="240" w:lineRule="auto"/>
    </w:pPr>
    <w:rPr>
      <w:rFonts w:ascii="Times New Roman" w:eastAsia="Wingdings" w:hAnsi="Times New Roman"/>
    </w:rPr>
  </w:style>
  <w:style w:type="paragraph" w:styleId="Listaconvietas5">
    <w:name w:val="List Bullet 5"/>
    <w:basedOn w:val="Normal"/>
    <w:unhideWhenUsed/>
    <w:rsid w:val="000459D1"/>
    <w:pPr>
      <w:numPr>
        <w:ilvl w:val="4"/>
        <w:numId w:val="2"/>
      </w:numPr>
      <w:autoSpaceDE w:val="0"/>
      <w:autoSpaceDN w:val="0"/>
      <w:spacing w:after="0" w:line="240" w:lineRule="auto"/>
    </w:pPr>
    <w:rPr>
      <w:rFonts w:ascii="Times New Roman" w:eastAsia="Wingdings" w:hAnsi="Times New Roman"/>
    </w:rPr>
  </w:style>
  <w:style w:type="paragraph" w:styleId="Lista2">
    <w:name w:val="List 2"/>
    <w:basedOn w:val="Normal"/>
    <w:rsid w:val="000459D1"/>
    <w:pPr>
      <w:autoSpaceDE w:val="0"/>
      <w:autoSpaceDN w:val="0"/>
      <w:spacing w:after="0" w:line="240" w:lineRule="auto"/>
      <w:ind w:left="794" w:hanging="397"/>
    </w:pPr>
    <w:rPr>
      <w:rFonts w:ascii="Times New Roman" w:eastAsia="Wingdings" w:hAnsi="Times New Roman"/>
    </w:rPr>
  </w:style>
  <w:style w:type="paragraph" w:styleId="Lista">
    <w:name w:val="List"/>
    <w:basedOn w:val="Normal"/>
    <w:uiPriority w:val="14"/>
    <w:rsid w:val="000459D1"/>
    <w:pPr>
      <w:autoSpaceDE w:val="0"/>
      <w:autoSpaceDN w:val="0"/>
      <w:spacing w:after="0" w:line="240" w:lineRule="auto"/>
      <w:ind w:left="397" w:hanging="397"/>
    </w:pPr>
    <w:rPr>
      <w:rFonts w:ascii="Times New Roman" w:eastAsia="Wingdings" w:hAnsi="Times New Roman"/>
    </w:rPr>
  </w:style>
  <w:style w:type="character" w:styleId="Nmerodepgina">
    <w:name w:val="page number"/>
    <w:basedOn w:val="Fuentedeprrafopredeter"/>
    <w:rsid w:val="000459D1"/>
  </w:style>
  <w:style w:type="paragraph" w:customStyle="1" w:styleId="Texto">
    <w:name w:val="Texto"/>
    <w:basedOn w:val="Normal"/>
    <w:rsid w:val="000459D1"/>
    <w:pPr>
      <w:widowControl w:val="0"/>
      <w:autoSpaceDE w:val="0"/>
      <w:autoSpaceDN w:val="0"/>
      <w:spacing w:after="0" w:line="240" w:lineRule="auto"/>
      <w:jc w:val="both"/>
    </w:pPr>
    <w:rPr>
      <w:rFonts w:ascii="Times New Roman" w:eastAsia="Wingdings" w:hAnsi="Times New Roman"/>
    </w:rPr>
  </w:style>
  <w:style w:type="paragraph" w:customStyle="1" w:styleId="Estndar">
    <w:name w:val="Estándar"/>
    <w:rsid w:val="000459D1"/>
    <w:pPr>
      <w:widowControl w:val="0"/>
    </w:pPr>
    <w:rPr>
      <w:rFonts w:ascii="Times New Roman" w:eastAsia="Times New Roman" w:hAnsi="Times New Roman"/>
      <w:snapToGrid w:val="0"/>
      <w:color w:val="000000"/>
      <w:lang w:val="es-ES" w:eastAsia="en-US"/>
    </w:rPr>
  </w:style>
  <w:style w:type="character" w:customStyle="1" w:styleId="TextoindependienteCar2">
    <w:name w:val="Texto independiente Car2"/>
    <w:aliases w:val="bt Car2,b Car2,Borrador Car2,body text Car1,CG-Single Sp 0.5 Car1,s2 Car1,!Body Text .5(J) Car1,Second Heading 2 Car1,Second Heading Car1,!Body Text .5s2(J) Car1,CG-Single Sp 0 Car1,!Body Text Car1,5(J) Car1,5s2(J) Car1,s9 Car1"/>
    <w:rsid w:val="000459D1"/>
    <w:rPr>
      <w:rFonts w:ascii="Times New Roman" w:eastAsia="Times New Roman" w:hAnsi="Times New Roman" w:cs="Times New Roman"/>
      <w:sz w:val="20"/>
      <w:szCs w:val="20"/>
      <w:lang w:val="en-US"/>
    </w:rPr>
  </w:style>
  <w:style w:type="paragraph" w:customStyle="1" w:styleId="Textos">
    <w:name w:val="Textos"/>
    <w:basedOn w:val="Normal"/>
    <w:rsid w:val="000459D1"/>
    <w:pPr>
      <w:spacing w:after="0" w:line="240" w:lineRule="auto"/>
      <w:jc w:val="both"/>
    </w:pPr>
    <w:rPr>
      <w:rFonts w:ascii="Wingdings" w:eastAsia="Times New Roman" w:hAnsi="Wingdings"/>
      <w:sz w:val="24"/>
      <w:lang w:val="es-ES_tradnl"/>
    </w:rPr>
  </w:style>
  <w:style w:type="paragraph" w:customStyle="1" w:styleId="Pie">
    <w:name w:val="Pie"/>
    <w:basedOn w:val="Normal"/>
    <w:rsid w:val="000459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pPr>
    <w:rPr>
      <w:rFonts w:ascii="Arial" w:eastAsia="Times New Roman" w:hAnsi="Arial"/>
      <w:sz w:val="16"/>
      <w:lang w:val="en-US"/>
    </w:rPr>
  </w:style>
  <w:style w:type="character" w:customStyle="1" w:styleId="TextocomentarioCar1">
    <w:name w:val="Texto comentario Car1"/>
    <w:rsid w:val="000459D1"/>
    <w:rPr>
      <w:lang w:val="en-US" w:eastAsia="en-US"/>
    </w:rPr>
  </w:style>
  <w:style w:type="character" w:styleId="nfasis">
    <w:name w:val="Emphasis"/>
    <w:qFormat/>
    <w:locked/>
    <w:rsid w:val="000459D1"/>
    <w:rPr>
      <w:i/>
      <w:iCs/>
    </w:rPr>
  </w:style>
  <w:style w:type="character" w:customStyle="1" w:styleId="Reenvio">
    <w:name w:val="Reenvio"/>
    <w:uiPriority w:val="99"/>
    <w:rsid w:val="000459D1"/>
  </w:style>
  <w:style w:type="paragraph" w:customStyle="1" w:styleId="Simple">
    <w:name w:val="Simple"/>
    <w:rsid w:val="000459D1"/>
    <w:pPr>
      <w:widowControl w:val="0"/>
    </w:pPr>
    <w:rPr>
      <w:rFonts w:ascii="Times New Roman" w:eastAsia="Times New Roman" w:hAnsi="Times New Roman"/>
      <w:snapToGrid w:val="0"/>
      <w:color w:val="000000"/>
      <w:sz w:val="24"/>
      <w:lang w:val="es-ES" w:eastAsia="en-US"/>
    </w:rPr>
  </w:style>
  <w:style w:type="paragraph" w:customStyle="1" w:styleId="Tabla">
    <w:name w:val="Tabla"/>
    <w:rsid w:val="000459D1"/>
    <w:pPr>
      <w:widowControl w:val="0"/>
    </w:pPr>
    <w:rPr>
      <w:rFonts w:ascii="Arial" w:eastAsia="Times New Roman" w:hAnsi="Arial"/>
      <w:snapToGrid w:val="0"/>
      <w:color w:val="000000"/>
      <w:lang w:val="es-ES" w:eastAsia="en-US"/>
    </w:rPr>
  </w:style>
  <w:style w:type="paragraph" w:customStyle="1" w:styleId="Textopredete">
    <w:name w:val="Texto predete"/>
    <w:basedOn w:val="Normal"/>
    <w:rsid w:val="000459D1"/>
    <w:pPr>
      <w:spacing w:after="0" w:line="240" w:lineRule="auto"/>
    </w:pPr>
    <w:rPr>
      <w:rFonts w:ascii="Times New Roman" w:eastAsia="Times New Roman" w:hAnsi="Times New Roman"/>
      <w:sz w:val="24"/>
      <w:lang w:val="en-US"/>
    </w:rPr>
  </w:style>
  <w:style w:type="paragraph" w:customStyle="1" w:styleId="Textopredeterminado">
    <w:name w:val="Texto predeterminado"/>
    <w:basedOn w:val="Normal"/>
    <w:rsid w:val="000459D1"/>
    <w:pPr>
      <w:spacing w:after="0" w:line="240" w:lineRule="auto"/>
      <w:jc w:val="both"/>
    </w:pPr>
    <w:rPr>
      <w:rFonts w:ascii="Times New Roman" w:eastAsia="Times New Roman" w:hAnsi="Times New Roman"/>
      <w:noProof/>
      <w:sz w:val="24"/>
      <w:lang w:val="en-US"/>
    </w:rPr>
  </w:style>
  <w:style w:type="paragraph" w:customStyle="1" w:styleId="Tabla8">
    <w:name w:val="Tabla8"/>
    <w:basedOn w:val="Normal"/>
    <w:rsid w:val="000459D1"/>
    <w:pPr>
      <w:spacing w:after="0" w:line="240" w:lineRule="auto"/>
    </w:pPr>
    <w:rPr>
      <w:rFonts w:ascii="Times New Roman" w:eastAsia="Times New Roman" w:hAnsi="Times New Roman"/>
      <w:sz w:val="16"/>
      <w:lang w:val="en-US"/>
    </w:rPr>
  </w:style>
  <w:style w:type="paragraph" w:customStyle="1" w:styleId="Textonota2">
    <w:name w:val="Texto nota 2"/>
    <w:basedOn w:val="Normal"/>
    <w:rsid w:val="000459D1"/>
    <w:pPr>
      <w:spacing w:after="0" w:line="240" w:lineRule="auto"/>
      <w:ind w:left="1152"/>
    </w:pPr>
    <w:rPr>
      <w:rFonts w:ascii="Arial" w:eastAsia="Times New Roman" w:hAnsi="Arial"/>
      <w:sz w:val="19"/>
      <w:szCs w:val="24"/>
      <w:lang w:val="en-US"/>
    </w:rPr>
  </w:style>
  <w:style w:type="paragraph" w:customStyle="1" w:styleId="CommentSubject1">
    <w:name w:val="Comment Subject1"/>
    <w:basedOn w:val="Textocomentario"/>
    <w:next w:val="Textocomentario"/>
    <w:semiHidden/>
    <w:rsid w:val="000459D1"/>
    <w:pPr>
      <w:spacing w:after="0" w:line="240" w:lineRule="auto"/>
    </w:pPr>
    <w:rPr>
      <w:rFonts w:ascii="Wingdings" w:eastAsia="Times New Roman" w:hAnsi="Wingdings"/>
      <w:b/>
      <w:bCs/>
      <w:lang w:val="es-ES_tradnl"/>
    </w:rPr>
  </w:style>
  <w:style w:type="paragraph" w:customStyle="1" w:styleId="3Subttulo">
    <w:name w:val="3Subtítulo"/>
    <w:basedOn w:val="Normal"/>
    <w:rsid w:val="000459D1"/>
    <w:pPr>
      <w:spacing w:after="0" w:line="240" w:lineRule="auto"/>
      <w:jc w:val="center"/>
    </w:pPr>
    <w:rPr>
      <w:rFonts w:ascii="Times New Roman" w:eastAsia="Times New Roman" w:hAnsi="Times New Roman"/>
      <w:sz w:val="24"/>
      <w:lang w:val="es-ES_tradnl" w:eastAsia="es-ES"/>
    </w:rPr>
  </w:style>
  <w:style w:type="paragraph" w:customStyle="1" w:styleId="CharChar">
    <w:name w:val="Char Char"/>
    <w:basedOn w:val="Normal"/>
    <w:rsid w:val="000459D1"/>
    <w:pPr>
      <w:tabs>
        <w:tab w:val="left" w:pos="720"/>
      </w:tabs>
      <w:spacing w:after="160" w:line="240" w:lineRule="exact"/>
    </w:pPr>
    <w:rPr>
      <w:rFonts w:ascii="Wingdings" w:eastAsia="Wingdings" w:hAnsi="Wingdings"/>
      <w:lang w:val="en-US"/>
    </w:rPr>
  </w:style>
  <w:style w:type="paragraph" w:styleId="Textoindependiente2">
    <w:name w:val="Body Text 2"/>
    <w:basedOn w:val="Normal"/>
    <w:link w:val="Textoindependiente2Car"/>
    <w:rsid w:val="000459D1"/>
    <w:pPr>
      <w:spacing w:after="120" w:line="480" w:lineRule="auto"/>
    </w:pPr>
    <w:rPr>
      <w:rFonts w:ascii="Times New Roman" w:eastAsia="Times New Roman" w:hAnsi="Times New Roman"/>
      <w:lang w:val="en-US"/>
    </w:rPr>
  </w:style>
  <w:style w:type="character" w:customStyle="1" w:styleId="Textoindependiente2Car">
    <w:name w:val="Texto independiente 2 Car"/>
    <w:basedOn w:val="Fuentedeprrafopredeter"/>
    <w:link w:val="Textoindependiente2"/>
    <w:rsid w:val="000459D1"/>
    <w:rPr>
      <w:rFonts w:ascii="Times New Roman" w:eastAsia="Times New Roman" w:hAnsi="Times New Roman"/>
      <w:lang w:val="en-US" w:eastAsia="en-US"/>
    </w:rPr>
  </w:style>
  <w:style w:type="paragraph" w:customStyle="1" w:styleId="TABLA80">
    <w:name w:val="TABLA8"/>
    <w:rsid w:val="000459D1"/>
    <w:pPr>
      <w:widowControl w:val="0"/>
    </w:pPr>
    <w:rPr>
      <w:rFonts w:ascii="Times New Roman" w:eastAsia="Times New Roman" w:hAnsi="Times New Roman"/>
      <w:snapToGrid w:val="0"/>
      <w:color w:val="000000"/>
      <w:sz w:val="16"/>
      <w:lang w:val="es-ES" w:eastAsia="en-US"/>
    </w:rPr>
  </w:style>
  <w:style w:type="paragraph" w:customStyle="1" w:styleId="Textodetabla">
    <w:name w:val="Texto de tabla"/>
    <w:basedOn w:val="Normal"/>
    <w:rsid w:val="000459D1"/>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pPr>
    <w:rPr>
      <w:rFonts w:ascii="Arial" w:eastAsia="Times New Roman" w:hAnsi="Arial"/>
      <w:lang w:val="en-US"/>
    </w:rPr>
  </w:style>
  <w:style w:type="paragraph" w:customStyle="1" w:styleId="Textospie8">
    <w:name w:val="Textos pie ( 8 )"/>
    <w:basedOn w:val="Normal"/>
    <w:rsid w:val="000459D1"/>
    <w:pPr>
      <w:spacing w:after="0" w:line="240" w:lineRule="auto"/>
      <w:jc w:val="both"/>
    </w:pPr>
    <w:rPr>
      <w:rFonts w:ascii="Arial" w:eastAsia="Times New Roman" w:hAnsi="Arial"/>
      <w:sz w:val="16"/>
      <w:lang w:val="en-US" w:eastAsia="es-ES"/>
    </w:rPr>
  </w:style>
  <w:style w:type="paragraph" w:customStyle="1" w:styleId="carol1">
    <w:name w:val="carol1"/>
    <w:basedOn w:val="Normal"/>
    <w:rsid w:val="000459D1"/>
    <w:pPr>
      <w:numPr>
        <w:numId w:val="4"/>
      </w:numPr>
      <w:spacing w:after="0" w:line="240" w:lineRule="atLeast"/>
    </w:pPr>
    <w:rPr>
      <w:rFonts w:ascii="Times New Roman" w:eastAsia="Times New Roman" w:hAnsi="Times New Roman"/>
      <w:lang w:val="en-GB"/>
    </w:rPr>
  </w:style>
  <w:style w:type="paragraph" w:styleId="Sangra3detindependiente">
    <w:name w:val="Body Text Indent 3"/>
    <w:basedOn w:val="Normal"/>
    <w:link w:val="Sangra3detindependienteCar"/>
    <w:rsid w:val="000459D1"/>
    <w:pPr>
      <w:autoSpaceDE w:val="0"/>
      <w:autoSpaceDN w:val="0"/>
      <w:adjustRightInd w:val="0"/>
      <w:spacing w:after="0" w:line="240" w:lineRule="atLeast"/>
      <w:ind w:left="284" w:hanging="261"/>
    </w:pPr>
    <w:rPr>
      <w:rFonts w:ascii="Times New Roman" w:eastAsia="Times New Roman" w:hAnsi="Times New Roman"/>
      <w:color w:val="000000"/>
      <w:sz w:val="24"/>
      <w:lang w:val="en-GB"/>
    </w:rPr>
  </w:style>
  <w:style w:type="character" w:customStyle="1" w:styleId="Sangra3detindependienteCar">
    <w:name w:val="Sangría 3 de t. independiente Car"/>
    <w:basedOn w:val="Fuentedeprrafopredeter"/>
    <w:link w:val="Sangra3detindependiente"/>
    <w:rsid w:val="000459D1"/>
    <w:rPr>
      <w:rFonts w:ascii="Times New Roman" w:eastAsia="Times New Roman" w:hAnsi="Times New Roman"/>
      <w:color w:val="000000"/>
      <w:sz w:val="24"/>
      <w:lang w:val="en-GB" w:eastAsia="en-US"/>
    </w:rPr>
  </w:style>
  <w:style w:type="paragraph" w:customStyle="1" w:styleId="Tabla10">
    <w:name w:val="Tabla10"/>
    <w:basedOn w:val="Normal"/>
    <w:rsid w:val="000459D1"/>
    <w:pPr>
      <w:spacing w:after="0" w:line="240" w:lineRule="auto"/>
    </w:pPr>
    <w:rPr>
      <w:rFonts w:ascii="Times New Roman" w:eastAsia="Times New Roman" w:hAnsi="Times New Roman"/>
      <w:lang w:val="en-US"/>
    </w:rPr>
  </w:style>
  <w:style w:type="paragraph" w:customStyle="1" w:styleId="Style1">
    <w:name w:val="Style 1"/>
    <w:basedOn w:val="Normal"/>
    <w:rsid w:val="000459D1"/>
    <w:pPr>
      <w:widowControl w:val="0"/>
      <w:autoSpaceDE w:val="0"/>
      <w:autoSpaceDN w:val="0"/>
      <w:adjustRightInd w:val="0"/>
      <w:spacing w:after="0" w:line="240" w:lineRule="auto"/>
    </w:pPr>
    <w:rPr>
      <w:rFonts w:ascii="Times New Roman" w:eastAsia="Times New Roman" w:hAnsi="Times New Roman"/>
      <w:szCs w:val="24"/>
      <w:lang w:val="en-US"/>
    </w:rPr>
  </w:style>
  <w:style w:type="paragraph" w:customStyle="1" w:styleId="TABLA100">
    <w:name w:val="TABLA10"/>
    <w:rsid w:val="000459D1"/>
    <w:pPr>
      <w:widowControl w:val="0"/>
      <w:tabs>
        <w:tab w:val="left" w:pos="330"/>
        <w:tab w:val="left" w:pos="570"/>
        <w:tab w:val="left" w:pos="780"/>
      </w:tabs>
    </w:pPr>
    <w:rPr>
      <w:rFonts w:ascii="Times New Roman" w:eastAsia="Times New Roman" w:hAnsi="Times New Roman"/>
      <w:snapToGrid w:val="0"/>
      <w:color w:val="000000"/>
      <w:lang w:val="es-ES" w:eastAsia="en-US"/>
    </w:rPr>
  </w:style>
  <w:style w:type="paragraph" w:customStyle="1" w:styleId="2titulo">
    <w:name w:val="2titulo"/>
    <w:basedOn w:val="Normal"/>
    <w:rsid w:val="000459D1"/>
    <w:pPr>
      <w:spacing w:after="0" w:line="240" w:lineRule="auto"/>
    </w:pPr>
    <w:rPr>
      <w:rFonts w:ascii="Times New Roman" w:eastAsia="Times New Roman" w:hAnsi="Times New Roman"/>
      <w:lang w:val="en-US"/>
    </w:rPr>
  </w:style>
  <w:style w:type="paragraph" w:styleId="Textoindependiente3">
    <w:name w:val="Body Text 3"/>
    <w:basedOn w:val="Normal"/>
    <w:link w:val="Textoindependiente3Car"/>
    <w:rsid w:val="000459D1"/>
    <w:pPr>
      <w:spacing w:after="220" w:line="220" w:lineRule="atLeast"/>
    </w:pPr>
    <w:rPr>
      <w:rFonts w:ascii="Arial" w:eastAsia="Wingdings" w:hAnsi="Arial"/>
      <w:sz w:val="16"/>
      <w:lang w:val="en-GB" w:eastAsia="zh-CN"/>
    </w:rPr>
  </w:style>
  <w:style w:type="character" w:customStyle="1" w:styleId="Textoindependiente3Car">
    <w:name w:val="Texto independiente 3 Car"/>
    <w:basedOn w:val="Fuentedeprrafopredeter"/>
    <w:link w:val="Textoindependiente3"/>
    <w:rsid w:val="000459D1"/>
    <w:rPr>
      <w:rFonts w:ascii="Arial" w:eastAsia="Wingdings" w:hAnsi="Arial"/>
      <w:sz w:val="16"/>
      <w:lang w:val="en-GB" w:eastAsia="zh-CN"/>
    </w:rPr>
  </w:style>
  <w:style w:type="paragraph" w:styleId="Direccinsobre">
    <w:name w:val="envelope address"/>
    <w:basedOn w:val="Normal"/>
    <w:rsid w:val="000459D1"/>
    <w:pPr>
      <w:framePr w:w="7920" w:h="1980" w:hRule="exact" w:hSpace="180" w:wrap="auto" w:hAnchor="page" w:xAlign="center" w:yAlign="bottom"/>
      <w:spacing w:after="0" w:line="240" w:lineRule="atLeast"/>
      <w:ind w:left="2976"/>
    </w:pPr>
    <w:rPr>
      <w:rFonts w:ascii="Arial" w:eastAsia="Wingdings" w:hAnsi="Arial"/>
      <w:lang w:val="en-GB" w:eastAsia="zh-CN"/>
    </w:rPr>
  </w:style>
  <w:style w:type="paragraph" w:styleId="Textoindependienteprimerasangra">
    <w:name w:val="Body Text First Indent"/>
    <w:basedOn w:val="Textoindependiente"/>
    <w:link w:val="TextoindependienteprimerasangraCar"/>
    <w:rsid w:val="000459D1"/>
    <w:pPr>
      <w:autoSpaceDE w:val="0"/>
      <w:autoSpaceDN w:val="0"/>
      <w:spacing w:after="0" w:line="240" w:lineRule="auto"/>
      <w:ind w:firstLine="595"/>
    </w:pPr>
    <w:rPr>
      <w:rFonts w:ascii="Arial" w:eastAsia="Wingdings" w:hAnsi="Arial"/>
      <w:sz w:val="20"/>
      <w:lang w:val="es-AR" w:eastAsia="zh-CN"/>
    </w:rPr>
  </w:style>
  <w:style w:type="character" w:customStyle="1" w:styleId="TextoindependienteprimerasangraCar">
    <w:name w:val="Texto independiente primera sangría Car"/>
    <w:basedOn w:val="TextoindependienteCar"/>
    <w:link w:val="Textoindependienteprimerasangra"/>
    <w:rsid w:val="000459D1"/>
    <w:rPr>
      <w:rFonts w:ascii="Arial" w:eastAsia="Wingdings" w:hAnsi="Arial"/>
      <w:sz w:val="24"/>
      <w:lang w:val="es-ES" w:eastAsia="zh-CN"/>
    </w:rPr>
  </w:style>
  <w:style w:type="paragraph" w:styleId="Cierre">
    <w:name w:val="Closing"/>
    <w:basedOn w:val="Normal"/>
    <w:link w:val="CierreCar"/>
    <w:rsid w:val="000459D1"/>
    <w:pPr>
      <w:spacing w:after="0" w:line="240" w:lineRule="atLeast"/>
    </w:pPr>
    <w:rPr>
      <w:rFonts w:ascii="Arial" w:eastAsia="Wingdings" w:hAnsi="Arial"/>
      <w:lang w:val="en-GB" w:eastAsia="zh-CN"/>
    </w:rPr>
  </w:style>
  <w:style w:type="character" w:customStyle="1" w:styleId="CierreCar">
    <w:name w:val="Cierre Car"/>
    <w:basedOn w:val="Fuentedeprrafopredeter"/>
    <w:link w:val="Cierre"/>
    <w:rsid w:val="000459D1"/>
    <w:rPr>
      <w:rFonts w:ascii="Arial" w:eastAsia="Wingdings" w:hAnsi="Arial"/>
      <w:lang w:val="en-GB" w:eastAsia="zh-CN"/>
    </w:rPr>
  </w:style>
  <w:style w:type="paragraph" w:styleId="ndice2">
    <w:name w:val="index 2"/>
    <w:basedOn w:val="Normal"/>
    <w:next w:val="Normal"/>
    <w:semiHidden/>
    <w:rsid w:val="000459D1"/>
    <w:pPr>
      <w:spacing w:after="0" w:line="240" w:lineRule="atLeast"/>
      <w:ind w:left="400" w:hanging="200"/>
    </w:pPr>
    <w:rPr>
      <w:rFonts w:ascii="Arial" w:eastAsia="Wingdings" w:hAnsi="Arial"/>
      <w:sz w:val="18"/>
      <w:lang w:val="en-GB" w:eastAsia="zh-CN"/>
    </w:rPr>
  </w:style>
  <w:style w:type="paragraph" w:styleId="ndice3">
    <w:name w:val="index 3"/>
    <w:basedOn w:val="Normal"/>
    <w:next w:val="Normal"/>
    <w:semiHidden/>
    <w:rsid w:val="000459D1"/>
    <w:pPr>
      <w:spacing w:after="0" w:line="240" w:lineRule="atLeast"/>
      <w:ind w:left="600" w:hanging="200"/>
    </w:pPr>
    <w:rPr>
      <w:rFonts w:ascii="Arial" w:eastAsia="Wingdings" w:hAnsi="Arial"/>
      <w:sz w:val="18"/>
      <w:lang w:val="en-GB" w:eastAsia="zh-CN"/>
    </w:rPr>
  </w:style>
  <w:style w:type="paragraph" w:customStyle="1" w:styleId="CharCharCharCharCharCharCharChar">
    <w:name w:val="Char Char Char Char Char Char Char Char"/>
    <w:basedOn w:val="Normal"/>
    <w:rsid w:val="000459D1"/>
    <w:pPr>
      <w:tabs>
        <w:tab w:val="left" w:pos="720"/>
      </w:tabs>
      <w:spacing w:after="160" w:line="240" w:lineRule="exact"/>
    </w:pPr>
    <w:rPr>
      <w:rFonts w:ascii="Wingdings" w:eastAsia="Wingdings" w:hAnsi="Wingdings"/>
      <w:lang w:val="en-US"/>
    </w:rPr>
  </w:style>
  <w:style w:type="paragraph" w:customStyle="1" w:styleId="CarCarCarCarCarCar">
    <w:name w:val="Car Car Car Car Car Car"/>
    <w:basedOn w:val="Normal"/>
    <w:rsid w:val="000459D1"/>
    <w:pPr>
      <w:tabs>
        <w:tab w:val="left" w:pos="720"/>
      </w:tabs>
      <w:spacing w:after="160" w:line="240" w:lineRule="exact"/>
    </w:pPr>
    <w:rPr>
      <w:rFonts w:ascii="Wingdings" w:eastAsia="Wingdings" w:hAnsi="Wingdings"/>
      <w:lang w:val="en-US"/>
    </w:rPr>
  </w:style>
  <w:style w:type="numbering" w:styleId="111111">
    <w:name w:val="Outline List 2"/>
    <w:basedOn w:val="Sinlista"/>
    <w:rsid w:val="000459D1"/>
    <w:pPr>
      <w:numPr>
        <w:numId w:val="5"/>
      </w:numPr>
    </w:pPr>
  </w:style>
  <w:style w:type="paragraph" w:customStyle="1" w:styleId="titlet">
    <w:name w:val="title t"/>
    <w:basedOn w:val="Subttulo"/>
    <w:rsid w:val="000459D1"/>
    <w:pPr>
      <w:numPr>
        <w:ilvl w:val="0"/>
      </w:numPr>
      <w:ind w:left="700" w:hanging="700"/>
    </w:pPr>
    <w:rPr>
      <w:rFonts w:ascii="Times New Roman" w:eastAsia="Wingdings" w:hAnsi="Times New Roman" w:cs="Times New Roman"/>
      <w:b/>
      <w:bCs/>
      <w:iCs w:val="0"/>
      <w:color w:val="auto"/>
      <w:sz w:val="20"/>
      <w:szCs w:val="20"/>
      <w:lang w:val="en-US"/>
    </w:rPr>
  </w:style>
  <w:style w:type="paragraph" w:customStyle="1" w:styleId="CarCar">
    <w:name w:val="Car Car"/>
    <w:basedOn w:val="Normal"/>
    <w:rsid w:val="000459D1"/>
    <w:pPr>
      <w:tabs>
        <w:tab w:val="left" w:pos="720"/>
      </w:tabs>
      <w:spacing w:after="160" w:line="240" w:lineRule="exact"/>
    </w:pPr>
    <w:rPr>
      <w:rFonts w:ascii="Wingdings" w:eastAsia="Wingdings" w:hAnsi="Wingdings"/>
      <w:lang w:val="en-US"/>
    </w:rPr>
  </w:style>
  <w:style w:type="paragraph" w:customStyle="1" w:styleId="Timesnewroman">
    <w:name w:val="Times new roman"/>
    <w:basedOn w:val="Normal"/>
    <w:rsid w:val="000459D1"/>
    <w:pPr>
      <w:spacing w:after="0" w:line="240" w:lineRule="auto"/>
    </w:pPr>
    <w:rPr>
      <w:rFonts w:ascii="Arial" w:eastAsia="Times New Roman" w:hAnsi="Arial" w:cs="Arial"/>
      <w:sz w:val="18"/>
      <w:szCs w:val="18"/>
      <w:lang w:val="en-US"/>
    </w:rPr>
  </w:style>
  <w:style w:type="paragraph" w:customStyle="1" w:styleId="CharChar1">
    <w:name w:val="Char Char1"/>
    <w:basedOn w:val="Normal"/>
    <w:rsid w:val="000459D1"/>
    <w:pPr>
      <w:tabs>
        <w:tab w:val="left" w:pos="720"/>
      </w:tabs>
      <w:spacing w:after="160" w:line="240" w:lineRule="exact"/>
    </w:pPr>
    <w:rPr>
      <w:rFonts w:ascii="Wingdings" w:eastAsia="Wingdings" w:hAnsi="Wingdings"/>
      <w:lang w:val="en-US"/>
    </w:rPr>
  </w:style>
  <w:style w:type="paragraph" w:customStyle="1" w:styleId="Cabecera">
    <w:name w:val="Cabecera"/>
    <w:rsid w:val="000459D1"/>
    <w:pPr>
      <w:widowControl w:val="0"/>
    </w:pPr>
    <w:rPr>
      <w:rFonts w:ascii="Times New Roman" w:eastAsia="Times New Roman" w:hAnsi="Times New Roman"/>
      <w:snapToGrid w:val="0"/>
      <w:color w:val="000000"/>
      <w:sz w:val="24"/>
      <w:lang w:val="es-ES" w:eastAsia="en-US"/>
    </w:rPr>
  </w:style>
  <w:style w:type="paragraph" w:customStyle="1" w:styleId="CharCharCharCharChar">
    <w:name w:val="Char Char Char Char Char"/>
    <w:basedOn w:val="Normal"/>
    <w:rsid w:val="000459D1"/>
    <w:pPr>
      <w:tabs>
        <w:tab w:val="left" w:pos="720"/>
      </w:tabs>
      <w:spacing w:after="160" w:line="240" w:lineRule="exact"/>
    </w:pPr>
    <w:rPr>
      <w:rFonts w:ascii="Wingdings" w:eastAsia="Wingdings" w:hAnsi="Wingdings"/>
      <w:lang w:val="en-US"/>
    </w:rPr>
  </w:style>
  <w:style w:type="paragraph" w:customStyle="1" w:styleId="Prrafodelista1">
    <w:name w:val="Párrafo de lista1"/>
    <w:basedOn w:val="Normal"/>
    <w:uiPriority w:val="34"/>
    <w:qFormat/>
    <w:rsid w:val="000459D1"/>
    <w:pPr>
      <w:spacing w:after="0" w:line="240" w:lineRule="auto"/>
      <w:ind w:left="720"/>
    </w:pPr>
    <w:rPr>
      <w:rFonts w:ascii="Times New Roman" w:eastAsia="Times New Roman" w:hAnsi="Times New Roman"/>
      <w:lang w:val="en-US"/>
    </w:rPr>
  </w:style>
  <w:style w:type="paragraph" w:customStyle="1" w:styleId="Revisin1">
    <w:name w:val="Revisión1"/>
    <w:hidden/>
    <w:uiPriority w:val="99"/>
    <w:semiHidden/>
    <w:rsid w:val="000459D1"/>
    <w:rPr>
      <w:rFonts w:ascii="Times New Roman" w:eastAsia="Times New Roman" w:hAnsi="Times New Roman"/>
      <w:lang w:val="en-US" w:eastAsia="en-US"/>
    </w:rPr>
  </w:style>
  <w:style w:type="paragraph" w:customStyle="1" w:styleId="btext">
    <w:name w:val="btext"/>
    <w:basedOn w:val="Normal"/>
    <w:rsid w:val="000459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2">
    <w:name w:val="Char Char2"/>
    <w:basedOn w:val="Normal"/>
    <w:rsid w:val="000459D1"/>
    <w:pPr>
      <w:tabs>
        <w:tab w:val="left" w:pos="720"/>
      </w:tabs>
      <w:spacing w:after="160" w:line="240" w:lineRule="exact"/>
    </w:pPr>
    <w:rPr>
      <w:rFonts w:ascii="Wingdings" w:eastAsia="Wingdings" w:hAnsi="Wingdings"/>
      <w:lang w:val="en-US"/>
    </w:rPr>
  </w:style>
  <w:style w:type="character" w:customStyle="1" w:styleId="Ttulo1Car1">
    <w:name w:val="Título 1 Car1"/>
    <w:uiPriority w:val="9"/>
    <w:rsid w:val="000459D1"/>
    <w:rPr>
      <w:rFonts w:ascii="Arial" w:eastAsia="Times New Roman" w:hAnsi="Arial"/>
      <w:b/>
      <w:bCs/>
      <w:kern w:val="32"/>
      <w:sz w:val="26"/>
      <w:szCs w:val="32"/>
      <w:u w:val="single"/>
    </w:rPr>
  </w:style>
  <w:style w:type="character" w:customStyle="1" w:styleId="Ttulo2Car1">
    <w:name w:val="Título 2 Car1"/>
    <w:aliases w:val="Tight Slug Car1"/>
    <w:uiPriority w:val="9"/>
    <w:rsid w:val="000459D1"/>
    <w:rPr>
      <w:rFonts w:ascii="Arial" w:hAnsi="Arial"/>
      <w:b/>
      <w:bCs/>
      <w:iCs/>
      <w:szCs w:val="28"/>
      <w:u w:val="single"/>
      <w:lang w:val="es-ES" w:eastAsia="es-ES"/>
    </w:rPr>
  </w:style>
  <w:style w:type="paragraph" w:customStyle="1" w:styleId="Memo">
    <w:name w:val="Memo"/>
    <w:basedOn w:val="Normal"/>
    <w:link w:val="MemoChar"/>
    <w:qFormat/>
    <w:rsid w:val="000459D1"/>
    <w:pPr>
      <w:autoSpaceDE w:val="0"/>
      <w:autoSpaceDN w:val="0"/>
      <w:adjustRightInd w:val="0"/>
      <w:spacing w:before="120" w:after="0" w:line="240" w:lineRule="atLeast"/>
      <w:jc w:val="both"/>
    </w:pPr>
    <w:rPr>
      <w:rFonts w:ascii="Arial" w:eastAsia="Times New Roman" w:hAnsi="Arial"/>
      <w:color w:val="000000"/>
      <w:lang w:val="en-US"/>
    </w:rPr>
  </w:style>
  <w:style w:type="character" w:customStyle="1" w:styleId="MemoChar">
    <w:name w:val="Memo Char"/>
    <w:link w:val="Memo"/>
    <w:rsid w:val="000459D1"/>
    <w:rPr>
      <w:rFonts w:ascii="Arial" w:eastAsia="Times New Roman" w:hAnsi="Arial"/>
      <w:color w:val="000000"/>
      <w:lang w:val="en-US"/>
    </w:rPr>
  </w:style>
  <w:style w:type="character" w:customStyle="1" w:styleId="hps">
    <w:name w:val="hps"/>
    <w:basedOn w:val="Fuentedeprrafopredeter"/>
    <w:rsid w:val="000459D1"/>
  </w:style>
  <w:style w:type="character" w:customStyle="1" w:styleId="AsuntodelcomentarioCar1">
    <w:name w:val="Asunto del comentario Car1"/>
    <w:uiPriority w:val="99"/>
    <w:semiHidden/>
    <w:rsid w:val="000459D1"/>
    <w:rPr>
      <w:b/>
      <w:bCs/>
      <w:lang w:val="en-US" w:eastAsia="en-US"/>
    </w:rPr>
  </w:style>
  <w:style w:type="character" w:customStyle="1" w:styleId="EncabezadoCar1">
    <w:name w:val="Encabezado Car1"/>
    <w:aliases w:val="encabezado Car1"/>
    <w:uiPriority w:val="99"/>
    <w:rsid w:val="000459D1"/>
    <w:rPr>
      <w:sz w:val="22"/>
      <w:lang w:val="en-GB" w:eastAsia="en-US"/>
    </w:rPr>
  </w:style>
  <w:style w:type="character" w:customStyle="1" w:styleId="PiedepginaCar1">
    <w:name w:val="Pie de página Car1"/>
    <w:uiPriority w:val="99"/>
    <w:rsid w:val="000459D1"/>
    <w:rPr>
      <w:i/>
      <w:sz w:val="18"/>
      <w:lang w:val="en-GB" w:eastAsia="en-US"/>
    </w:rPr>
  </w:style>
  <w:style w:type="character" w:customStyle="1" w:styleId="Gras">
    <w:name w:val="Gras"/>
    <w:uiPriority w:val="99"/>
    <w:rsid w:val="000459D1"/>
    <w:rPr>
      <w:rFonts w:ascii="Arial" w:hAnsi="Arial"/>
      <w:b/>
      <w:sz w:val="24"/>
    </w:rPr>
  </w:style>
  <w:style w:type="paragraph" w:customStyle="1" w:styleId="TextePrinc">
    <w:name w:val="TextePrinc"/>
    <w:basedOn w:val="Normal"/>
    <w:uiPriority w:val="99"/>
    <w:rsid w:val="000459D1"/>
    <w:pPr>
      <w:tabs>
        <w:tab w:val="left" w:pos="1413"/>
        <w:tab w:val="left" w:pos="2122"/>
        <w:tab w:val="left" w:pos="2832"/>
        <w:tab w:val="left" w:pos="3538"/>
        <w:tab w:val="left" w:pos="4248"/>
        <w:tab w:val="left" w:pos="4957"/>
        <w:tab w:val="left" w:pos="5661"/>
        <w:tab w:val="left" w:pos="6368"/>
        <w:tab w:val="left" w:pos="7077"/>
        <w:tab w:val="left" w:pos="7787"/>
        <w:tab w:val="left" w:pos="8496"/>
      </w:tabs>
      <w:overflowPunct w:val="0"/>
      <w:autoSpaceDE w:val="0"/>
      <w:autoSpaceDN w:val="0"/>
      <w:adjustRightInd w:val="0"/>
      <w:spacing w:after="0" w:line="240" w:lineRule="auto"/>
      <w:textAlignment w:val="baseline"/>
    </w:pPr>
    <w:rPr>
      <w:rFonts w:ascii="Arial" w:eastAsia="Times New Roman" w:hAnsi="Arial"/>
      <w:noProof/>
      <w:color w:val="000000"/>
      <w:sz w:val="18"/>
      <w:lang w:val="es-ES" w:eastAsia="es-ES"/>
    </w:rPr>
  </w:style>
  <w:style w:type="character" w:customStyle="1" w:styleId="Rango">
    <w:name w:val="Rango"/>
    <w:uiPriority w:val="99"/>
    <w:rsid w:val="000459D1"/>
  </w:style>
  <w:style w:type="character" w:customStyle="1" w:styleId="TextonotapieCar1">
    <w:name w:val="Texto nota pie Car1"/>
    <w:uiPriority w:val="99"/>
    <w:semiHidden/>
    <w:rsid w:val="000459D1"/>
    <w:rPr>
      <w:rFonts w:ascii="Times New Roman" w:eastAsia="Times New Roman" w:hAnsi="Times New Roman" w:cs="Times New Roman"/>
      <w:color w:val="auto"/>
      <w:sz w:val="20"/>
      <w:szCs w:val="20"/>
      <w:lang w:val="en-US"/>
    </w:rPr>
  </w:style>
  <w:style w:type="character" w:customStyle="1" w:styleId="TextoindependienteCar1">
    <w:name w:val="Texto independiente Car1"/>
    <w:aliases w:val="bt Car1,b Car1,Borrador Car1"/>
    <w:semiHidden/>
    <w:rsid w:val="000459D1"/>
    <w:rPr>
      <w:rFonts w:ascii="Times New Roman" w:eastAsia="Times New Roman" w:hAnsi="Times New Roman" w:cs="Times New Roman"/>
      <w:sz w:val="20"/>
      <w:szCs w:val="20"/>
      <w:lang w:val="en-US"/>
    </w:rPr>
  </w:style>
  <w:style w:type="paragraph" w:customStyle="1" w:styleId="font5">
    <w:name w:val="font5"/>
    <w:basedOn w:val="Normal"/>
    <w:rsid w:val="000459D1"/>
    <w:pPr>
      <w:spacing w:before="100" w:beforeAutospacing="1" w:after="100" w:afterAutospacing="1" w:line="240" w:lineRule="auto"/>
    </w:pPr>
    <w:rPr>
      <w:rFonts w:ascii="Times New Roman" w:eastAsia="Times New Roman" w:hAnsi="Times New Roman"/>
      <w:color w:val="000000"/>
    </w:rPr>
  </w:style>
  <w:style w:type="paragraph" w:customStyle="1" w:styleId="xl100">
    <w:name w:val="xl100"/>
    <w:basedOn w:val="Normal"/>
    <w:rsid w:val="000459D1"/>
    <w:pPr>
      <w:shd w:val="clear" w:color="000000" w:fill="FFFFFF"/>
      <w:spacing w:before="100" w:beforeAutospacing="1" w:after="100" w:afterAutospacing="1" w:line="240" w:lineRule="auto"/>
    </w:pPr>
    <w:rPr>
      <w:rFonts w:ascii="Times New Roman" w:eastAsia="Times New Roman" w:hAnsi="Times New Roman"/>
      <w:color w:val="000000"/>
    </w:rPr>
  </w:style>
  <w:style w:type="paragraph" w:customStyle="1" w:styleId="xl101">
    <w:name w:val="xl101"/>
    <w:basedOn w:val="Normal"/>
    <w:rsid w:val="000459D1"/>
    <w:pPr>
      <w:shd w:val="clear" w:color="000000" w:fill="FFFFFF"/>
      <w:spacing w:before="100" w:beforeAutospacing="1" w:after="100" w:afterAutospacing="1" w:line="240" w:lineRule="auto"/>
    </w:pPr>
    <w:rPr>
      <w:rFonts w:ascii="Times New Roman" w:eastAsia="Times New Roman" w:hAnsi="Times New Roman"/>
      <w:color w:val="000000"/>
    </w:rPr>
  </w:style>
  <w:style w:type="paragraph" w:customStyle="1" w:styleId="xl102">
    <w:name w:val="xl102"/>
    <w:basedOn w:val="Normal"/>
    <w:rsid w:val="000459D1"/>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rPr>
  </w:style>
  <w:style w:type="paragraph" w:customStyle="1" w:styleId="xl103">
    <w:name w:val="xl103"/>
    <w:basedOn w:val="Normal"/>
    <w:rsid w:val="000459D1"/>
    <w:pPr>
      <w:pBdr>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olor w:val="000000"/>
    </w:rPr>
  </w:style>
  <w:style w:type="paragraph" w:customStyle="1" w:styleId="xl104">
    <w:name w:val="xl104"/>
    <w:basedOn w:val="Normal"/>
    <w:rsid w:val="000459D1"/>
    <w:pPr>
      <w:shd w:val="clear" w:color="000000" w:fill="FFFFFF"/>
      <w:spacing w:before="100" w:beforeAutospacing="1" w:after="100" w:afterAutospacing="1" w:line="240" w:lineRule="auto"/>
      <w:jc w:val="right"/>
    </w:pPr>
    <w:rPr>
      <w:rFonts w:ascii="Times New Roman" w:eastAsia="Times New Roman" w:hAnsi="Times New Roman"/>
      <w:color w:val="000000"/>
    </w:rPr>
  </w:style>
  <w:style w:type="paragraph" w:customStyle="1" w:styleId="xl105">
    <w:name w:val="xl105"/>
    <w:basedOn w:val="Normal"/>
    <w:rsid w:val="000459D1"/>
    <w:pPr>
      <w:spacing w:before="100" w:beforeAutospacing="1" w:after="100" w:afterAutospacing="1" w:line="240" w:lineRule="auto"/>
      <w:jc w:val="right"/>
    </w:pPr>
    <w:rPr>
      <w:rFonts w:ascii="Times New Roman" w:eastAsia="Times New Roman" w:hAnsi="Times New Roman"/>
      <w:color w:val="000000"/>
    </w:rPr>
  </w:style>
  <w:style w:type="paragraph" w:customStyle="1" w:styleId="xl106">
    <w:name w:val="xl106"/>
    <w:basedOn w:val="Normal"/>
    <w:rsid w:val="000459D1"/>
    <w:pP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rPr>
  </w:style>
  <w:style w:type="paragraph" w:customStyle="1" w:styleId="xl107">
    <w:name w:val="xl107"/>
    <w:basedOn w:val="Normal"/>
    <w:rsid w:val="000459D1"/>
    <w:pPr>
      <w:shd w:val="clear" w:color="000000" w:fill="FFFFFF"/>
      <w:spacing w:before="100" w:beforeAutospacing="1" w:after="100" w:afterAutospacing="1" w:line="240" w:lineRule="auto"/>
    </w:pPr>
    <w:rPr>
      <w:rFonts w:ascii="Times New Roman" w:eastAsia="Times New Roman" w:hAnsi="Times New Roman"/>
      <w:color w:val="000000"/>
    </w:rPr>
  </w:style>
  <w:style w:type="paragraph" w:customStyle="1" w:styleId="xl108">
    <w:name w:val="xl108"/>
    <w:basedOn w:val="Normal"/>
    <w:rsid w:val="000459D1"/>
    <w:pPr>
      <w:shd w:val="clear" w:color="000000" w:fill="FFFFFF"/>
      <w:spacing w:before="100" w:beforeAutospacing="1" w:after="100" w:afterAutospacing="1" w:line="240" w:lineRule="auto"/>
    </w:pPr>
    <w:rPr>
      <w:rFonts w:ascii="Times New Roman" w:eastAsia="Times New Roman" w:hAnsi="Times New Roman"/>
      <w:color w:val="000000"/>
    </w:rPr>
  </w:style>
  <w:style w:type="paragraph" w:customStyle="1" w:styleId="xl109">
    <w:name w:val="xl109"/>
    <w:basedOn w:val="Normal"/>
    <w:rsid w:val="000459D1"/>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olor w:val="000000"/>
    </w:rPr>
  </w:style>
  <w:style w:type="paragraph" w:customStyle="1" w:styleId="xl110">
    <w:name w:val="xl110"/>
    <w:basedOn w:val="Normal"/>
    <w:rsid w:val="000459D1"/>
    <w:pPr>
      <w:shd w:val="clear" w:color="000000" w:fill="FFFFFF"/>
      <w:spacing w:before="100" w:beforeAutospacing="1" w:after="100" w:afterAutospacing="1" w:line="240" w:lineRule="auto"/>
      <w:textAlignment w:val="top"/>
    </w:pPr>
    <w:rPr>
      <w:rFonts w:ascii="Times New Roman" w:eastAsia="Times New Roman" w:hAnsi="Times New Roman"/>
      <w:color w:val="000000"/>
    </w:rPr>
  </w:style>
  <w:style w:type="paragraph" w:customStyle="1" w:styleId="xl111">
    <w:name w:val="xl111"/>
    <w:basedOn w:val="Normal"/>
    <w:rsid w:val="000459D1"/>
    <w:pPr>
      <w:pBdr>
        <w:bottom w:val="single" w:sz="4" w:space="0" w:color="auto"/>
      </w:pBdr>
      <w:spacing w:before="100" w:beforeAutospacing="1" w:after="100" w:afterAutospacing="1" w:line="240" w:lineRule="auto"/>
      <w:jc w:val="right"/>
    </w:pPr>
    <w:rPr>
      <w:rFonts w:ascii="Times New Roman" w:eastAsia="Times New Roman" w:hAnsi="Times New Roman"/>
      <w:color w:val="000000"/>
    </w:rPr>
  </w:style>
  <w:style w:type="paragraph" w:customStyle="1" w:styleId="xl112">
    <w:name w:val="xl112"/>
    <w:basedOn w:val="Normal"/>
    <w:rsid w:val="000459D1"/>
    <w:pPr>
      <w:spacing w:before="100" w:beforeAutospacing="1" w:after="100" w:afterAutospacing="1" w:line="240" w:lineRule="auto"/>
    </w:pPr>
    <w:rPr>
      <w:rFonts w:ascii="Times New Roman" w:eastAsia="Times New Roman" w:hAnsi="Times New Roman"/>
      <w:color w:val="000000"/>
    </w:rPr>
  </w:style>
  <w:style w:type="paragraph" w:customStyle="1" w:styleId="xl113">
    <w:name w:val="xl113"/>
    <w:basedOn w:val="Normal"/>
    <w:rsid w:val="000459D1"/>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rPr>
  </w:style>
  <w:style w:type="paragraph" w:customStyle="1" w:styleId="xl114">
    <w:name w:val="xl114"/>
    <w:basedOn w:val="Normal"/>
    <w:rsid w:val="000459D1"/>
    <w:pPr>
      <w:spacing w:before="100" w:beforeAutospacing="1" w:after="100" w:afterAutospacing="1" w:line="240" w:lineRule="auto"/>
    </w:pPr>
    <w:rPr>
      <w:rFonts w:ascii="Times New Roman" w:eastAsia="Times New Roman" w:hAnsi="Times New Roman"/>
      <w:color w:val="000000"/>
    </w:rPr>
  </w:style>
  <w:style w:type="paragraph" w:customStyle="1" w:styleId="xl115">
    <w:name w:val="xl115"/>
    <w:basedOn w:val="Normal"/>
    <w:rsid w:val="000459D1"/>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rPr>
  </w:style>
  <w:style w:type="paragraph" w:customStyle="1" w:styleId="xl116">
    <w:name w:val="xl116"/>
    <w:basedOn w:val="Normal"/>
    <w:rsid w:val="000459D1"/>
    <w:pPr>
      <w:shd w:val="clear" w:color="000000" w:fill="FFFFFF"/>
      <w:spacing w:before="100" w:beforeAutospacing="1" w:after="100" w:afterAutospacing="1" w:line="240" w:lineRule="auto"/>
    </w:pPr>
    <w:rPr>
      <w:rFonts w:ascii="Times New Roman" w:eastAsia="Times New Roman" w:hAnsi="Times New Roman"/>
      <w:color w:val="000000"/>
    </w:rPr>
  </w:style>
  <w:style w:type="paragraph" w:customStyle="1" w:styleId="xl117">
    <w:name w:val="xl117"/>
    <w:basedOn w:val="Normal"/>
    <w:rsid w:val="000459D1"/>
    <w:pPr>
      <w:spacing w:before="100" w:beforeAutospacing="1" w:after="100" w:afterAutospacing="1" w:line="240" w:lineRule="auto"/>
    </w:pPr>
    <w:rPr>
      <w:rFonts w:ascii="Times New Roman" w:eastAsia="Times New Roman" w:hAnsi="Times New Roman"/>
      <w:color w:val="000000"/>
    </w:rPr>
  </w:style>
  <w:style w:type="paragraph" w:customStyle="1" w:styleId="xl118">
    <w:name w:val="xl118"/>
    <w:basedOn w:val="Normal"/>
    <w:rsid w:val="000459D1"/>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rPr>
  </w:style>
  <w:style w:type="paragraph" w:customStyle="1" w:styleId="xl119">
    <w:name w:val="xl119"/>
    <w:basedOn w:val="Normal"/>
    <w:rsid w:val="000459D1"/>
    <w:pPr>
      <w:pBdr>
        <w:top w:val="single" w:sz="4" w:space="0" w:color="auto"/>
        <w:bottom w:val="single" w:sz="4" w:space="0" w:color="auto"/>
      </w:pBdr>
      <w:shd w:val="clear" w:color="000000" w:fill="FFFF00"/>
      <w:spacing w:before="100" w:beforeAutospacing="1" w:after="100" w:afterAutospacing="1" w:line="240" w:lineRule="auto"/>
      <w:jc w:val="right"/>
    </w:pPr>
    <w:rPr>
      <w:rFonts w:ascii="Times New Roman" w:eastAsia="Times New Roman" w:hAnsi="Times New Roman"/>
      <w:color w:val="000000"/>
    </w:rPr>
  </w:style>
  <w:style w:type="paragraph" w:customStyle="1" w:styleId="xl120">
    <w:name w:val="xl120"/>
    <w:basedOn w:val="Normal"/>
    <w:rsid w:val="000459D1"/>
    <w:pP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rPr>
  </w:style>
  <w:style w:type="paragraph" w:customStyle="1" w:styleId="xl121">
    <w:name w:val="xl121"/>
    <w:basedOn w:val="Normal"/>
    <w:rsid w:val="000459D1"/>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rPr>
  </w:style>
  <w:style w:type="paragraph" w:customStyle="1" w:styleId="xl122">
    <w:name w:val="xl122"/>
    <w:basedOn w:val="Normal"/>
    <w:rsid w:val="000459D1"/>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rPr>
  </w:style>
  <w:style w:type="paragraph" w:customStyle="1" w:styleId="xl123">
    <w:name w:val="xl123"/>
    <w:basedOn w:val="Normal"/>
    <w:rsid w:val="000459D1"/>
    <w:pPr>
      <w:shd w:val="clear" w:color="000000" w:fill="FFFFFF"/>
      <w:spacing w:before="100" w:beforeAutospacing="1" w:after="100" w:afterAutospacing="1" w:line="240" w:lineRule="auto"/>
      <w:textAlignment w:val="top"/>
    </w:pPr>
    <w:rPr>
      <w:rFonts w:ascii="Times New Roman" w:eastAsia="Times New Roman" w:hAnsi="Times New Roman"/>
      <w:color w:val="000000"/>
    </w:rPr>
  </w:style>
  <w:style w:type="paragraph" w:customStyle="1" w:styleId="xl124">
    <w:name w:val="xl124"/>
    <w:basedOn w:val="Normal"/>
    <w:rsid w:val="000459D1"/>
    <w:pPr>
      <w:shd w:val="clear" w:color="000000" w:fill="FFFFFF"/>
      <w:spacing w:before="100" w:beforeAutospacing="1" w:after="100" w:afterAutospacing="1" w:line="240" w:lineRule="auto"/>
      <w:textAlignment w:val="top"/>
    </w:pPr>
    <w:rPr>
      <w:rFonts w:ascii="Times New Roman" w:eastAsia="Times New Roman" w:hAnsi="Times New Roman"/>
      <w:color w:val="000000"/>
    </w:rPr>
  </w:style>
  <w:style w:type="paragraph" w:customStyle="1" w:styleId="xl125">
    <w:name w:val="xl125"/>
    <w:basedOn w:val="Normal"/>
    <w:rsid w:val="000459D1"/>
    <w:pPr>
      <w:pBdr>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rPr>
  </w:style>
  <w:style w:type="paragraph" w:customStyle="1" w:styleId="xl126">
    <w:name w:val="xl126"/>
    <w:basedOn w:val="Normal"/>
    <w:rsid w:val="000459D1"/>
    <w:pPr>
      <w:pBdr>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rPr>
  </w:style>
  <w:style w:type="paragraph" w:customStyle="1" w:styleId="xl127">
    <w:name w:val="xl127"/>
    <w:basedOn w:val="Normal"/>
    <w:rsid w:val="000459D1"/>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olor w:val="000000"/>
    </w:rPr>
  </w:style>
  <w:style w:type="character" w:customStyle="1" w:styleId="Ttulo4Car1">
    <w:name w:val="Título 4 Car1"/>
    <w:rsid w:val="000459D1"/>
    <w:rPr>
      <w:rFonts w:ascii="Times New Roman" w:eastAsia="Wingdings" w:hAnsi="Times New Roman"/>
      <w:color w:val="000000"/>
      <w:sz w:val="24"/>
      <w:szCs w:val="24"/>
      <w:lang w:eastAsia="es-AR"/>
    </w:rPr>
  </w:style>
  <w:style w:type="character" w:customStyle="1" w:styleId="Ttulo5Car1">
    <w:name w:val="Título 5 Car1"/>
    <w:rsid w:val="000459D1"/>
    <w:rPr>
      <w:rFonts w:ascii="Times New Roman" w:eastAsia="Wingdings" w:hAnsi="Times New Roman"/>
      <w:b/>
      <w:bCs/>
      <w:sz w:val="28"/>
      <w:szCs w:val="28"/>
      <w:lang w:val="es-AR" w:eastAsia="es-AR"/>
    </w:rPr>
  </w:style>
  <w:style w:type="character" w:customStyle="1" w:styleId="Ttulo7Car1">
    <w:name w:val="Título 7 Car1"/>
    <w:rsid w:val="000459D1"/>
    <w:rPr>
      <w:rFonts w:ascii="Times New Roman" w:eastAsia="Wingdings" w:hAnsi="Times New Roman"/>
      <w:b/>
      <w:bCs/>
      <w:sz w:val="22"/>
      <w:szCs w:val="22"/>
      <w:lang w:val="es-AR" w:eastAsia="es-AR"/>
    </w:rPr>
  </w:style>
  <w:style w:type="character" w:customStyle="1" w:styleId="Ttulo8Car1">
    <w:name w:val="Título 8 Car1"/>
    <w:rsid w:val="000459D1"/>
    <w:rPr>
      <w:rFonts w:ascii="Times New Roman" w:eastAsia="Wingdings" w:hAnsi="Times New Roman"/>
      <w:b/>
      <w:bCs/>
      <w:sz w:val="24"/>
      <w:szCs w:val="24"/>
      <w:lang w:val="es-AR" w:eastAsia="es-AR"/>
    </w:rPr>
  </w:style>
  <w:style w:type="character" w:customStyle="1" w:styleId="Ttulo9Car1">
    <w:name w:val="Título 9 Car1"/>
    <w:rsid w:val="000459D1"/>
    <w:rPr>
      <w:rFonts w:ascii="Times New Roman" w:eastAsia="Wingdings" w:hAnsi="Times New Roman"/>
      <w:b/>
      <w:bCs/>
      <w:sz w:val="22"/>
      <w:szCs w:val="22"/>
      <w:u w:val="single"/>
      <w:lang w:val="es-AR" w:eastAsia="es-AR"/>
    </w:rPr>
  </w:style>
  <w:style w:type="paragraph" w:styleId="Sangra2detindependiente">
    <w:name w:val="Body Text Indent 2"/>
    <w:basedOn w:val="Normal"/>
    <w:link w:val="Sangra2detindependienteCar1"/>
    <w:rsid w:val="000459D1"/>
    <w:pPr>
      <w:tabs>
        <w:tab w:val="left" w:pos="720"/>
        <w:tab w:val="left" w:pos="1843"/>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0" w:line="276" w:lineRule="exact"/>
      <w:ind w:left="1843"/>
      <w:jc w:val="both"/>
    </w:pPr>
    <w:rPr>
      <w:rFonts w:ascii="Times New Roman" w:eastAsia="Wingdings" w:hAnsi="Times New Roman"/>
    </w:rPr>
  </w:style>
  <w:style w:type="character" w:customStyle="1" w:styleId="Sangra2detindependienteCar">
    <w:name w:val="Sangría 2 de t. independiente Car"/>
    <w:basedOn w:val="Fuentedeprrafopredeter"/>
    <w:semiHidden/>
    <w:rsid w:val="000459D1"/>
    <w:rPr>
      <w:sz w:val="22"/>
      <w:szCs w:val="22"/>
      <w:lang w:eastAsia="en-US"/>
    </w:rPr>
  </w:style>
  <w:style w:type="character" w:customStyle="1" w:styleId="Sangra2detindependienteCar1">
    <w:name w:val="Sangría 2 de t. independiente Car1"/>
    <w:link w:val="Sangra2detindependiente"/>
    <w:rsid w:val="000459D1"/>
    <w:rPr>
      <w:rFonts w:ascii="Times New Roman" w:eastAsia="Wingdings" w:hAnsi="Times New Roman"/>
      <w:sz w:val="22"/>
      <w:szCs w:val="22"/>
    </w:rPr>
  </w:style>
  <w:style w:type="paragraph" w:styleId="Mapadeldocumento">
    <w:name w:val="Document Map"/>
    <w:basedOn w:val="Normal"/>
    <w:link w:val="MapadeldocumentoCar1"/>
    <w:rsid w:val="000459D1"/>
    <w:pPr>
      <w:shd w:val="clear" w:color="auto" w:fill="000080"/>
      <w:autoSpaceDE w:val="0"/>
      <w:autoSpaceDN w:val="0"/>
      <w:spacing w:after="0" w:line="240" w:lineRule="auto"/>
    </w:pPr>
    <w:rPr>
      <w:rFonts w:ascii="Times New Roman" w:eastAsia="Wingdings" w:hAnsi="Times New Roman"/>
    </w:rPr>
  </w:style>
  <w:style w:type="character" w:customStyle="1" w:styleId="MapadeldocumentoCar">
    <w:name w:val="Mapa del documento Car"/>
    <w:basedOn w:val="Fuentedeprrafopredeter"/>
    <w:semiHidden/>
    <w:rsid w:val="000459D1"/>
    <w:rPr>
      <w:rFonts w:ascii="Segoe UI" w:hAnsi="Segoe UI" w:cs="Segoe UI"/>
      <w:sz w:val="16"/>
      <w:szCs w:val="16"/>
      <w:lang w:eastAsia="en-US"/>
    </w:rPr>
  </w:style>
  <w:style w:type="character" w:customStyle="1" w:styleId="MapadeldocumentoCar1">
    <w:name w:val="Mapa del documento Car1"/>
    <w:link w:val="Mapadeldocumento"/>
    <w:rsid w:val="000459D1"/>
    <w:rPr>
      <w:rFonts w:ascii="Times New Roman" w:eastAsia="Wingdings" w:hAnsi="Times New Roman"/>
      <w:shd w:val="clear" w:color="auto" w:fill="000080"/>
    </w:rPr>
  </w:style>
  <w:style w:type="paragraph" w:customStyle="1" w:styleId="Textoprincip">
    <w:name w:val="Textoprincip"/>
    <w:basedOn w:val="Normal"/>
    <w:rsid w:val="000459D1"/>
    <w:pPr>
      <w:widowControl w:val="0"/>
      <w:autoSpaceDE w:val="0"/>
      <w:autoSpaceDN w:val="0"/>
      <w:spacing w:after="0" w:line="240" w:lineRule="auto"/>
      <w:jc w:val="both"/>
    </w:pPr>
    <w:rPr>
      <w:rFonts w:ascii="Times New Roman" w:eastAsia="Wingdings" w:hAnsi="Times New Roman"/>
    </w:rPr>
  </w:style>
  <w:style w:type="paragraph" w:customStyle="1" w:styleId="ttulonota">
    <w:name w:val="título nota"/>
    <w:basedOn w:val="Normal"/>
    <w:rsid w:val="000459D1"/>
    <w:pPr>
      <w:autoSpaceDE w:val="0"/>
      <w:autoSpaceDN w:val="0"/>
      <w:snapToGrid w:val="0"/>
      <w:spacing w:after="0" w:line="240" w:lineRule="auto"/>
      <w:jc w:val="both"/>
    </w:pPr>
    <w:rPr>
      <w:rFonts w:ascii="Times New Roman" w:eastAsia="Wingdings" w:hAnsi="Times New Roman"/>
      <w:b/>
      <w:bCs/>
    </w:rPr>
  </w:style>
  <w:style w:type="paragraph" w:customStyle="1" w:styleId="Ttuloprincipal">
    <w:name w:val="Título principal"/>
    <w:basedOn w:val="Normal"/>
    <w:rsid w:val="000459D1"/>
    <w:pPr>
      <w:widowControl w:val="0"/>
      <w:autoSpaceDE w:val="0"/>
      <w:autoSpaceDN w:val="0"/>
      <w:spacing w:after="0" w:line="240" w:lineRule="auto"/>
      <w:jc w:val="center"/>
    </w:pPr>
    <w:rPr>
      <w:rFonts w:ascii="Times New Roman" w:eastAsia="Wingdings" w:hAnsi="Times New Roman"/>
      <w:b/>
      <w:bCs/>
      <w:sz w:val="24"/>
      <w:szCs w:val="24"/>
    </w:rPr>
  </w:style>
  <w:style w:type="paragraph" w:customStyle="1" w:styleId="Ttulonota0">
    <w:name w:val="Título nota"/>
    <w:basedOn w:val="Normal"/>
    <w:rsid w:val="000459D1"/>
    <w:pPr>
      <w:widowControl w:val="0"/>
      <w:autoSpaceDE w:val="0"/>
      <w:autoSpaceDN w:val="0"/>
      <w:spacing w:after="0" w:line="240" w:lineRule="auto"/>
      <w:jc w:val="both"/>
    </w:pPr>
    <w:rPr>
      <w:rFonts w:ascii="Times New Roman" w:eastAsia="Wingdings" w:hAnsi="Times New Roman"/>
      <w:b/>
      <w:bCs/>
    </w:rPr>
  </w:style>
  <w:style w:type="paragraph" w:customStyle="1" w:styleId="BodyText21">
    <w:name w:val="Body Text 21"/>
    <w:basedOn w:val="Normal"/>
    <w:rsid w:val="000459D1"/>
    <w:pPr>
      <w:widowControl w:val="0"/>
      <w:tabs>
        <w:tab w:val="center" w:pos="2435"/>
      </w:tabs>
      <w:suppressAutoHyphens/>
      <w:autoSpaceDE w:val="0"/>
      <w:autoSpaceDN w:val="0"/>
      <w:spacing w:after="0" w:line="240" w:lineRule="auto"/>
      <w:jc w:val="center"/>
    </w:pPr>
    <w:rPr>
      <w:rFonts w:ascii="Times New Roman" w:eastAsia="Wingdings" w:hAnsi="Times New Roman"/>
      <w:spacing w:val="-3"/>
    </w:rPr>
  </w:style>
  <w:style w:type="paragraph" w:styleId="Sangranormal">
    <w:name w:val="Normal Indent"/>
    <w:basedOn w:val="Normal"/>
    <w:rsid w:val="000459D1"/>
    <w:pPr>
      <w:spacing w:after="0" w:line="240" w:lineRule="auto"/>
      <w:ind w:left="708"/>
    </w:pPr>
    <w:rPr>
      <w:rFonts w:ascii="Times New Roman" w:eastAsia="Wingdings" w:hAnsi="Times New Roman"/>
      <w:lang w:val="es-ES_tradnl" w:eastAsia="es-ES"/>
    </w:rPr>
  </w:style>
  <w:style w:type="paragraph" w:customStyle="1" w:styleId="Notacuerpo">
    <w:name w:val="Nota cuerpo"/>
    <w:basedOn w:val="Normal"/>
    <w:rsid w:val="000459D1"/>
    <w:pPr>
      <w:spacing w:after="0" w:line="240" w:lineRule="auto"/>
      <w:ind w:left="1440"/>
      <w:jc w:val="both"/>
    </w:pPr>
    <w:rPr>
      <w:rFonts w:ascii="Arial" w:eastAsia="Wingdings" w:hAnsi="Arial"/>
      <w:sz w:val="24"/>
      <w:lang w:eastAsia="es-ES"/>
    </w:rPr>
  </w:style>
  <w:style w:type="paragraph" w:customStyle="1" w:styleId="NotaN">
    <w:name w:val="Nota Nº"/>
    <w:basedOn w:val="Normal"/>
    <w:rsid w:val="000459D1"/>
    <w:pPr>
      <w:spacing w:after="0" w:line="240" w:lineRule="auto"/>
      <w:jc w:val="both"/>
    </w:pPr>
    <w:rPr>
      <w:rFonts w:ascii="Arial" w:eastAsia="Wingdings" w:hAnsi="Arial"/>
      <w:b/>
      <w:sz w:val="24"/>
      <w:u w:val="single"/>
      <w:lang w:eastAsia="es-ES"/>
    </w:rPr>
  </w:style>
  <w:style w:type="paragraph" w:customStyle="1" w:styleId="AONormal">
    <w:name w:val="AONormal"/>
    <w:rsid w:val="000459D1"/>
    <w:pPr>
      <w:autoSpaceDE w:val="0"/>
      <w:autoSpaceDN w:val="0"/>
      <w:adjustRightInd w:val="0"/>
      <w:spacing w:before="200"/>
    </w:pPr>
    <w:rPr>
      <w:rFonts w:ascii="Times New Roman" w:eastAsia="Wingdings" w:hAnsi="Times New Roman"/>
      <w:lang w:val="en-US" w:eastAsia="zh-CN"/>
    </w:rPr>
  </w:style>
  <w:style w:type="paragraph" w:styleId="ndice1">
    <w:name w:val="index 1"/>
    <w:basedOn w:val="Normal"/>
    <w:next w:val="Normal"/>
    <w:rsid w:val="000459D1"/>
    <w:pPr>
      <w:spacing w:after="0" w:line="240" w:lineRule="auto"/>
    </w:pPr>
    <w:rPr>
      <w:rFonts w:ascii="Times New Roman" w:eastAsia="Wingdings" w:hAnsi="Times New Roman"/>
      <w:lang w:val="es-ES_tradnl" w:eastAsia="es-ES"/>
    </w:rPr>
  </w:style>
  <w:style w:type="paragraph" w:customStyle="1" w:styleId="xl32">
    <w:name w:val="xl32"/>
    <w:basedOn w:val="Normal"/>
    <w:rsid w:val="000459D1"/>
    <w:pPr>
      <w:spacing w:before="100" w:beforeAutospacing="1" w:after="100" w:afterAutospacing="1" w:line="240" w:lineRule="auto"/>
      <w:jc w:val="center"/>
      <w:textAlignment w:val="center"/>
    </w:pPr>
    <w:rPr>
      <w:rFonts w:ascii="Wingdings" w:eastAsia="Wingdings" w:hAnsi="Wingdings" w:cs="Wingdings"/>
      <w:sz w:val="24"/>
      <w:szCs w:val="24"/>
      <w:lang w:val="es-ES" w:eastAsia="es-ES"/>
    </w:rPr>
  </w:style>
  <w:style w:type="paragraph" w:customStyle="1" w:styleId="CarChar">
    <w:name w:val="Car Char"/>
    <w:basedOn w:val="Normal"/>
    <w:rsid w:val="000459D1"/>
    <w:pPr>
      <w:spacing w:after="160" w:line="240" w:lineRule="exact"/>
    </w:pPr>
    <w:rPr>
      <w:rFonts w:ascii="Wingdings" w:eastAsia="Wingdings" w:hAnsi="Wingdings"/>
      <w:lang w:val="en-US"/>
    </w:rPr>
  </w:style>
  <w:style w:type="paragraph" w:customStyle="1" w:styleId="Documento1">
    <w:name w:val="Documento 1"/>
    <w:rsid w:val="000459D1"/>
    <w:pPr>
      <w:keepNext/>
      <w:keepLines/>
      <w:tabs>
        <w:tab w:val="left" w:pos="-720"/>
      </w:tabs>
      <w:suppressAutoHyphens/>
    </w:pPr>
    <w:rPr>
      <w:rFonts w:ascii="Wingdings" w:eastAsia="Wingdings" w:hAnsi="Wingdings" w:cs="Wingdings"/>
      <w:sz w:val="24"/>
      <w:szCs w:val="24"/>
      <w:lang w:val="en-US" w:eastAsia="es-ES"/>
    </w:rPr>
  </w:style>
  <w:style w:type="character" w:customStyle="1" w:styleId="TtuloCar1">
    <w:name w:val="Título Car1"/>
    <w:rsid w:val="000459D1"/>
    <w:rPr>
      <w:rFonts w:ascii="Times New Roman" w:eastAsia="Wingdings" w:hAnsi="Times New Roman"/>
      <w:b/>
      <w:bCs/>
      <w:spacing w:val="-4"/>
      <w:sz w:val="28"/>
      <w:szCs w:val="28"/>
    </w:rPr>
  </w:style>
  <w:style w:type="paragraph" w:customStyle="1" w:styleId="Estilo">
    <w:name w:val="Estilo"/>
    <w:basedOn w:val="Normal"/>
    <w:next w:val="BodyTextIndent1"/>
    <w:rsid w:val="000459D1"/>
    <w:pPr>
      <w:tabs>
        <w:tab w:val="left" w:pos="-720"/>
        <w:tab w:val="left" w:pos="720"/>
        <w:tab w:val="left" w:pos="1440"/>
        <w:tab w:val="left" w:pos="2160"/>
      </w:tabs>
      <w:suppressAutoHyphens/>
      <w:spacing w:after="0" w:line="240" w:lineRule="auto"/>
      <w:ind w:left="1418"/>
      <w:jc w:val="both"/>
    </w:pPr>
    <w:rPr>
      <w:rFonts w:ascii="Arial" w:eastAsia="Wingdings" w:hAnsi="Arial" w:cs="Arial"/>
      <w:spacing w:val="-3"/>
      <w:lang w:eastAsia="es-ES"/>
    </w:rPr>
  </w:style>
  <w:style w:type="paragraph" w:customStyle="1" w:styleId="BodyTextIndent1">
    <w:name w:val="Body Text Indent1"/>
    <w:basedOn w:val="Normal"/>
    <w:rsid w:val="000459D1"/>
    <w:pPr>
      <w:spacing w:after="120" w:line="240" w:lineRule="auto"/>
      <w:ind w:left="283"/>
    </w:pPr>
    <w:rPr>
      <w:rFonts w:ascii="Times New Roman" w:eastAsia="Wingdings" w:hAnsi="Times New Roman"/>
      <w:lang w:eastAsia="es-ES"/>
    </w:rPr>
  </w:style>
  <w:style w:type="paragraph" w:customStyle="1" w:styleId="BodyTex1">
    <w:name w:val="BodyTex1"/>
    <w:basedOn w:val="Textoindependiente"/>
    <w:rsid w:val="000459D1"/>
    <w:pPr>
      <w:widowControl w:val="0"/>
      <w:tabs>
        <w:tab w:val="left" w:pos="454"/>
        <w:tab w:val="left" w:pos="907"/>
      </w:tabs>
      <w:autoSpaceDE w:val="0"/>
      <w:autoSpaceDN w:val="0"/>
      <w:spacing w:after="0" w:line="240" w:lineRule="auto"/>
      <w:ind w:left="851" w:hanging="851"/>
      <w:jc w:val="both"/>
    </w:pPr>
    <w:rPr>
      <w:rFonts w:eastAsia="Wingdings"/>
      <w:sz w:val="20"/>
      <w:lang w:val="en-US"/>
    </w:rPr>
  </w:style>
  <w:style w:type="paragraph" w:customStyle="1" w:styleId="Textonota">
    <w:name w:val="Texto nota"/>
    <w:basedOn w:val="Normal"/>
    <w:rsid w:val="000459D1"/>
    <w:pPr>
      <w:widowControl w:val="0"/>
      <w:spacing w:after="0" w:line="240" w:lineRule="auto"/>
      <w:ind w:left="446"/>
      <w:jc w:val="both"/>
    </w:pPr>
    <w:rPr>
      <w:rFonts w:ascii="Wingdings" w:eastAsia="Wingdings" w:hAnsi="Wingdings" w:cs="Wingdings"/>
      <w:lang w:val="es-ES_tradnl" w:eastAsia="es-ES"/>
    </w:rPr>
  </w:style>
  <w:style w:type="paragraph" w:customStyle="1" w:styleId="Estilo1">
    <w:name w:val="Estilo1"/>
    <w:basedOn w:val="Normal"/>
    <w:next w:val="BodyTextIndent1"/>
    <w:rsid w:val="000459D1"/>
    <w:pPr>
      <w:tabs>
        <w:tab w:val="left" w:pos="-720"/>
        <w:tab w:val="left" w:pos="720"/>
        <w:tab w:val="left" w:pos="1440"/>
        <w:tab w:val="left" w:pos="2160"/>
      </w:tabs>
      <w:suppressAutoHyphens/>
      <w:spacing w:after="0" w:line="240" w:lineRule="auto"/>
      <w:ind w:left="1418"/>
      <w:jc w:val="both"/>
    </w:pPr>
    <w:rPr>
      <w:rFonts w:ascii="Arial" w:eastAsia="Wingdings" w:hAnsi="Arial" w:cs="Arial"/>
      <w:spacing w:val="-3"/>
      <w:lang w:eastAsia="es-ES"/>
    </w:rPr>
  </w:style>
  <w:style w:type="paragraph" w:customStyle="1" w:styleId="Textodenotaalfinal">
    <w:name w:val="Texto de nota al final"/>
    <w:basedOn w:val="Normal"/>
    <w:rsid w:val="000459D1"/>
    <w:pPr>
      <w:widowControl w:val="0"/>
      <w:spacing w:after="0" w:line="240" w:lineRule="auto"/>
    </w:pPr>
    <w:rPr>
      <w:rFonts w:ascii="Courier New" w:eastAsia="Wingdings" w:hAnsi="Courier New" w:cs="Courier New"/>
      <w:sz w:val="24"/>
      <w:szCs w:val="24"/>
      <w:lang w:val="es-ES" w:eastAsia="es-ES"/>
    </w:rPr>
  </w:style>
  <w:style w:type="paragraph" w:customStyle="1" w:styleId="Companies">
    <w:name w:val="Companies"/>
    <w:basedOn w:val="Normal"/>
    <w:rsid w:val="000459D1"/>
    <w:pPr>
      <w:widowControl w:val="0"/>
      <w:tabs>
        <w:tab w:val="center" w:pos="4680"/>
        <w:tab w:val="right" w:pos="9360"/>
      </w:tabs>
      <w:spacing w:after="0" w:line="240" w:lineRule="auto"/>
    </w:pPr>
    <w:rPr>
      <w:rFonts w:ascii="Arial" w:eastAsia="Wingdings" w:hAnsi="Arial" w:cs="Arial"/>
      <w:b/>
      <w:bCs/>
      <w:sz w:val="24"/>
      <w:szCs w:val="24"/>
      <w:lang w:val="en-US" w:eastAsia="es-ES"/>
    </w:rPr>
  </w:style>
  <w:style w:type="paragraph" w:customStyle="1" w:styleId="CPNormalLeft">
    <w:name w:val="CPNormalLeft"/>
    <w:basedOn w:val="CPNormal"/>
    <w:rsid w:val="000459D1"/>
    <w:pPr>
      <w:widowControl/>
      <w:spacing w:after="240" w:line="240" w:lineRule="exact"/>
      <w:ind w:firstLine="0"/>
      <w:jc w:val="left"/>
    </w:pPr>
    <w:rPr>
      <w:rFonts w:ascii="Arial" w:hAnsi="Arial" w:cs="Arial"/>
    </w:rPr>
  </w:style>
  <w:style w:type="paragraph" w:customStyle="1" w:styleId="CPNormal">
    <w:name w:val="CPNormal"/>
    <w:basedOn w:val="Normal"/>
    <w:rsid w:val="000459D1"/>
    <w:pPr>
      <w:widowControl w:val="0"/>
      <w:spacing w:after="0" w:line="-240" w:lineRule="auto"/>
      <w:ind w:firstLine="720"/>
      <w:jc w:val="both"/>
    </w:pPr>
    <w:rPr>
      <w:rFonts w:ascii="Times New Roman" w:eastAsia="Wingdings" w:hAnsi="Times New Roman"/>
      <w:lang w:val="en-US" w:eastAsia="es-ES"/>
    </w:rPr>
  </w:style>
  <w:style w:type="paragraph" w:customStyle="1" w:styleId="CPN-Leftbold">
    <w:name w:val="CPN-Left/bold"/>
    <w:basedOn w:val="Normal"/>
    <w:rsid w:val="000459D1"/>
    <w:pPr>
      <w:keepNext/>
      <w:keepLines/>
      <w:tabs>
        <w:tab w:val="left" w:pos="990"/>
      </w:tabs>
      <w:spacing w:after="240" w:line="240" w:lineRule="auto"/>
      <w:jc w:val="both"/>
    </w:pPr>
    <w:rPr>
      <w:rFonts w:ascii="Arial" w:eastAsia="Wingdings" w:hAnsi="Arial" w:cs="Arial"/>
      <w:b/>
      <w:bCs/>
      <w:noProof/>
      <w:lang w:eastAsia="es-ES"/>
    </w:rPr>
  </w:style>
  <w:style w:type="paragraph" w:customStyle="1" w:styleId="CPN-normal">
    <w:name w:val="CPN-normal"/>
    <w:basedOn w:val="Normal"/>
    <w:rsid w:val="000459D1"/>
    <w:pPr>
      <w:widowControl w:val="0"/>
      <w:spacing w:after="240" w:line="-240" w:lineRule="auto"/>
      <w:ind w:firstLine="720"/>
      <w:jc w:val="both"/>
    </w:pPr>
    <w:rPr>
      <w:rFonts w:ascii="Arial" w:eastAsia="Wingdings" w:hAnsi="Arial" w:cs="Arial"/>
      <w:lang w:val="en-US" w:eastAsia="es-ES"/>
    </w:rPr>
  </w:style>
  <w:style w:type="paragraph" w:customStyle="1" w:styleId="CPTableCol-1">
    <w:name w:val="CPTableCol-1"/>
    <w:basedOn w:val="CPTableText"/>
    <w:rsid w:val="000459D1"/>
    <w:pPr>
      <w:tabs>
        <w:tab w:val="right" w:leader="dot" w:pos="2970"/>
      </w:tabs>
      <w:spacing w:line="240" w:lineRule="auto"/>
      <w:jc w:val="left"/>
    </w:pPr>
    <w:rPr>
      <w:rFonts w:ascii="Wingdings" w:hAnsi="Wingdings" w:cs="Wingdings"/>
    </w:rPr>
  </w:style>
  <w:style w:type="paragraph" w:customStyle="1" w:styleId="CPTableText">
    <w:name w:val="CPTableText"/>
    <w:basedOn w:val="CPNormal"/>
    <w:rsid w:val="000459D1"/>
    <w:pPr>
      <w:widowControl/>
      <w:spacing w:line="240" w:lineRule="exact"/>
      <w:ind w:firstLine="0"/>
    </w:pPr>
    <w:rPr>
      <w:rFonts w:ascii="Arial" w:hAnsi="Arial" w:cs="Arial"/>
    </w:rPr>
  </w:style>
  <w:style w:type="paragraph" w:customStyle="1" w:styleId="CPN-nleftbold">
    <w:name w:val="CPN-n/*leftbold"/>
    <w:basedOn w:val="CPN-normal"/>
    <w:rsid w:val="000459D1"/>
    <w:pPr>
      <w:keepNext/>
      <w:keepLines/>
      <w:ind w:firstLine="0"/>
      <w:jc w:val="left"/>
    </w:pPr>
    <w:rPr>
      <w:b/>
      <w:bCs/>
    </w:rPr>
  </w:style>
  <w:style w:type="paragraph" w:customStyle="1" w:styleId="CPN-nheading">
    <w:name w:val="CPN-n/heading"/>
    <w:basedOn w:val="Normal"/>
    <w:rsid w:val="000459D1"/>
    <w:pPr>
      <w:keepNext/>
      <w:keepLines/>
      <w:spacing w:before="120" w:after="240" w:line="240" w:lineRule="exact"/>
      <w:jc w:val="center"/>
    </w:pPr>
    <w:rPr>
      <w:rFonts w:ascii="Arial" w:eastAsia="Wingdings" w:hAnsi="Arial" w:cs="Arial"/>
      <w:b/>
      <w:bCs/>
      <w:lang w:val="en-US" w:eastAsia="es-ES"/>
    </w:rPr>
  </w:style>
  <w:style w:type="character" w:customStyle="1" w:styleId="TABLES9PT">
    <w:name w:val="TABLES 9PT"/>
    <w:rsid w:val="000459D1"/>
    <w:rPr>
      <w:rFonts w:ascii="Times New Roman" w:hAnsi="Times New Roman"/>
      <w:sz w:val="18"/>
    </w:rPr>
  </w:style>
  <w:style w:type="paragraph" w:styleId="NormalWeb">
    <w:name w:val="Normal (Web)"/>
    <w:basedOn w:val="Normal"/>
    <w:rsid w:val="000459D1"/>
    <w:pPr>
      <w:spacing w:before="100" w:after="100" w:line="240" w:lineRule="auto"/>
    </w:pPr>
    <w:rPr>
      <w:rFonts w:ascii="Wingdings" w:eastAsia="Wingdings" w:hAnsi="Times New Roman" w:cs="Wingdings"/>
      <w:sz w:val="24"/>
      <w:szCs w:val="24"/>
      <w:lang w:val="es-ES" w:eastAsia="es-ES"/>
    </w:rPr>
  </w:style>
  <w:style w:type="paragraph" w:customStyle="1" w:styleId="BodyText2SglJ">
    <w:name w:val="Body Text 2 Sgl J"/>
    <w:aliases w:val="b2"/>
    <w:basedOn w:val="Normal"/>
    <w:rsid w:val="000459D1"/>
    <w:pPr>
      <w:spacing w:after="240" w:line="240" w:lineRule="auto"/>
      <w:ind w:firstLine="720"/>
      <w:jc w:val="both"/>
    </w:pPr>
    <w:rPr>
      <w:rFonts w:ascii="Times New Roman" w:eastAsia="Wingdings" w:hAnsi="Times New Roman"/>
      <w:lang w:val="en-US"/>
    </w:rPr>
  </w:style>
  <w:style w:type="character" w:customStyle="1" w:styleId="Tcnico3">
    <w:name w:val="TÀ)Àcnico 3"/>
    <w:rsid w:val="000459D1"/>
    <w:rPr>
      <w:rFonts w:ascii="Wingdings" w:hAnsi="Wingdings" w:cs="Wingdings"/>
      <w:sz w:val="24"/>
      <w:szCs w:val="24"/>
      <w:lang w:val="en-US"/>
    </w:rPr>
  </w:style>
  <w:style w:type="paragraph" w:customStyle="1" w:styleId="BodyText2Sgl11pt">
    <w:name w:val="Body Text 2 Sgl 11pt"/>
    <w:basedOn w:val="Normal"/>
    <w:rsid w:val="000459D1"/>
    <w:pPr>
      <w:spacing w:after="240" w:line="240" w:lineRule="auto"/>
      <w:ind w:firstLine="720"/>
    </w:pPr>
    <w:rPr>
      <w:rFonts w:ascii="Times New Roman" w:eastAsia="Wingdings" w:hAnsi="Times New Roman"/>
      <w:lang w:val="en-US"/>
    </w:rPr>
  </w:style>
  <w:style w:type="paragraph" w:customStyle="1" w:styleId="ListB">
    <w:name w:val="ListB"/>
    <w:basedOn w:val="Normal"/>
    <w:rsid w:val="000459D1"/>
    <w:pPr>
      <w:keepNext/>
      <w:spacing w:after="240" w:line="240" w:lineRule="auto"/>
    </w:pPr>
    <w:rPr>
      <w:rFonts w:ascii="Times New Roman" w:eastAsia="Wingdings" w:hAnsi="Times New Roman"/>
      <w:b/>
      <w:bCs/>
      <w:lang w:val="es-ES"/>
    </w:rPr>
  </w:style>
  <w:style w:type="paragraph" w:customStyle="1" w:styleId="TABLENOTES">
    <w:name w:val="TABLE NOTES"/>
    <w:basedOn w:val="Normal"/>
    <w:next w:val="Normal"/>
    <w:rsid w:val="000459D1"/>
    <w:pPr>
      <w:spacing w:after="0" w:line="240" w:lineRule="auto"/>
      <w:ind w:left="432" w:hanging="432"/>
    </w:pPr>
    <w:rPr>
      <w:rFonts w:ascii="Times New Roman" w:eastAsia="Wingdings" w:hAnsi="Times New Roman"/>
      <w:sz w:val="14"/>
      <w:szCs w:val="14"/>
      <w:lang w:val="en-US"/>
    </w:rPr>
  </w:style>
  <w:style w:type="paragraph" w:customStyle="1" w:styleId="LISTIB">
    <w:name w:val="LISTIB"/>
    <w:basedOn w:val="Normal"/>
    <w:rsid w:val="000459D1"/>
    <w:pPr>
      <w:keepNext/>
      <w:spacing w:after="240" w:line="240" w:lineRule="auto"/>
      <w:ind w:left="720"/>
    </w:pPr>
    <w:rPr>
      <w:rFonts w:ascii="Times New Roman" w:eastAsia="Wingdings" w:hAnsi="Times New Roman"/>
      <w:b/>
      <w:bCs/>
      <w:i/>
      <w:iCs/>
      <w:lang w:val="en-US"/>
    </w:rPr>
  </w:style>
  <w:style w:type="paragraph" w:customStyle="1" w:styleId="CPN-Left-bold">
    <w:name w:val="CPN-Left-bold"/>
    <w:basedOn w:val="Normal"/>
    <w:rsid w:val="000459D1"/>
    <w:pPr>
      <w:keepNext/>
      <w:keepLines/>
      <w:overflowPunct w:val="0"/>
      <w:autoSpaceDE w:val="0"/>
      <w:autoSpaceDN w:val="0"/>
      <w:adjustRightInd w:val="0"/>
      <w:spacing w:line="240" w:lineRule="auto"/>
      <w:jc w:val="both"/>
      <w:textAlignment w:val="baseline"/>
    </w:pPr>
    <w:rPr>
      <w:rFonts w:ascii="Times New Roman" w:eastAsia="Wingdings" w:hAnsi="Times New Roman"/>
      <w:b/>
      <w:bCs/>
      <w:lang w:val="en-US"/>
    </w:rPr>
  </w:style>
  <w:style w:type="paragraph" w:customStyle="1" w:styleId="ListExh">
    <w:name w:val="List Exh."/>
    <w:basedOn w:val="Normal"/>
    <w:next w:val="Normal"/>
    <w:rsid w:val="000459D1"/>
    <w:pPr>
      <w:tabs>
        <w:tab w:val="num" w:pos="0"/>
        <w:tab w:val="num" w:pos="360"/>
        <w:tab w:val="num" w:pos="1975"/>
      </w:tabs>
      <w:spacing w:after="240" w:line="240" w:lineRule="auto"/>
      <w:ind w:left="1975" w:hanging="57"/>
    </w:pPr>
    <w:rPr>
      <w:rFonts w:ascii="Times New Roman" w:eastAsia="Wingdings" w:hAnsi="Times New Roman"/>
      <w:noProof/>
      <w:sz w:val="24"/>
      <w:szCs w:val="24"/>
      <w:lang w:val="en-US"/>
    </w:rPr>
  </w:style>
  <w:style w:type="paragraph" w:customStyle="1" w:styleId="TOCPage">
    <w:name w:val="TOC Page"/>
    <w:basedOn w:val="Normal"/>
    <w:rsid w:val="000459D1"/>
    <w:pPr>
      <w:spacing w:after="240" w:line="240" w:lineRule="auto"/>
      <w:jc w:val="right"/>
    </w:pPr>
    <w:rPr>
      <w:rFonts w:ascii="Times New Roman" w:eastAsia="Wingdings" w:hAnsi="Times New Roman"/>
      <w:b/>
      <w:bCs/>
      <w:sz w:val="24"/>
      <w:szCs w:val="24"/>
      <w:lang w:val="en-US"/>
    </w:rPr>
  </w:style>
  <w:style w:type="paragraph" w:customStyle="1" w:styleId="Bullet39Sgl">
    <w:name w:val="Bullet .39 Sgl"/>
    <w:basedOn w:val="Normal"/>
    <w:rsid w:val="000459D1"/>
    <w:pPr>
      <w:tabs>
        <w:tab w:val="left" w:pos="850"/>
        <w:tab w:val="num" w:pos="1440"/>
      </w:tabs>
      <w:autoSpaceDE w:val="0"/>
      <w:autoSpaceDN w:val="0"/>
      <w:adjustRightInd w:val="0"/>
      <w:spacing w:after="240" w:line="240" w:lineRule="auto"/>
      <w:ind w:left="1440" w:hanging="57"/>
    </w:pPr>
    <w:rPr>
      <w:rFonts w:ascii="Times New Roman" w:eastAsia="Wingdings" w:hAnsi="Times New Roman"/>
      <w:lang w:val="en-US" w:eastAsia="es-ES"/>
    </w:rPr>
  </w:style>
  <w:style w:type="paragraph" w:customStyle="1" w:styleId="CPN-nleft-italics">
    <w:name w:val="CPN-n/*left-italics"/>
    <w:basedOn w:val="CPN-normal"/>
    <w:rsid w:val="000459D1"/>
    <w:pPr>
      <w:keepNext/>
      <w:keepLines/>
      <w:ind w:left="720" w:firstLine="0"/>
    </w:pPr>
    <w:rPr>
      <w:i/>
      <w:iCs/>
      <w:u w:val="single"/>
    </w:rPr>
  </w:style>
  <w:style w:type="paragraph" w:customStyle="1" w:styleId="CPN-bullet">
    <w:name w:val="CPN-bullet"/>
    <w:basedOn w:val="Normal"/>
    <w:rsid w:val="000459D1"/>
    <w:pPr>
      <w:widowControl w:val="0"/>
      <w:tabs>
        <w:tab w:val="left" w:pos="990"/>
      </w:tabs>
      <w:spacing w:after="240" w:line="240" w:lineRule="auto"/>
      <w:ind w:left="900" w:hanging="360"/>
      <w:jc w:val="both"/>
    </w:pPr>
    <w:rPr>
      <w:rFonts w:ascii="Arial" w:eastAsia="Wingdings" w:hAnsi="Arial" w:cs="Arial"/>
      <w:lang w:val="en-AU" w:eastAsia="es-ES"/>
    </w:rPr>
  </w:style>
  <w:style w:type="paragraph" w:customStyle="1" w:styleId="Organizacin">
    <w:name w:val="Organización"/>
    <w:basedOn w:val="Textoindependiente"/>
    <w:rsid w:val="000459D1"/>
    <w:pPr>
      <w:keepLines/>
      <w:framePr w:w="8640" w:h="1440" w:wrap="notBeside" w:vAnchor="page" w:hAnchor="margin" w:xAlign="center" w:y="889" w:anchorLock="1"/>
      <w:autoSpaceDE w:val="0"/>
      <w:autoSpaceDN w:val="0"/>
      <w:spacing w:after="80" w:line="240" w:lineRule="auto"/>
      <w:jc w:val="center"/>
    </w:pPr>
    <w:rPr>
      <w:rFonts w:ascii="Wingdings" w:eastAsia="Wingdings" w:hAnsi="Wingdings" w:cs="Wingdings"/>
      <w:caps/>
      <w:spacing w:val="75"/>
      <w:sz w:val="20"/>
    </w:rPr>
  </w:style>
  <w:style w:type="paragraph" w:customStyle="1" w:styleId="CPN-Left">
    <w:name w:val="CPN-Left"/>
    <w:basedOn w:val="Normal"/>
    <w:rsid w:val="000459D1"/>
    <w:pPr>
      <w:widowControl w:val="0"/>
      <w:spacing w:after="0" w:line="240" w:lineRule="auto"/>
    </w:pPr>
    <w:rPr>
      <w:rFonts w:ascii="Wingdings" w:eastAsia="Wingdings" w:hAnsi="Wingdings" w:cs="Wingdings"/>
      <w:sz w:val="24"/>
      <w:szCs w:val="24"/>
      <w:lang w:val="en-US" w:eastAsia="es-ES"/>
    </w:rPr>
  </w:style>
  <w:style w:type="paragraph" w:customStyle="1" w:styleId="xl24">
    <w:name w:val="xl24"/>
    <w:basedOn w:val="Normal"/>
    <w:rsid w:val="000459D1"/>
    <w:pPr>
      <w:shd w:val="clear" w:color="auto" w:fill="FFFFFF"/>
      <w:spacing w:before="100" w:beforeAutospacing="1" w:after="100" w:afterAutospacing="1" w:line="240" w:lineRule="auto"/>
    </w:pPr>
    <w:rPr>
      <w:rFonts w:ascii="Wingdings" w:eastAsia="Wingdings" w:hAnsi="Wingdings" w:cs="Wingdings"/>
      <w:lang w:val="es-ES" w:eastAsia="es-ES"/>
    </w:rPr>
  </w:style>
  <w:style w:type="paragraph" w:customStyle="1" w:styleId="xl25">
    <w:name w:val="xl25"/>
    <w:basedOn w:val="Normal"/>
    <w:rsid w:val="000459D1"/>
    <w:pPr>
      <w:pBdr>
        <w:top w:val="single" w:sz="4" w:space="0" w:color="auto"/>
        <w:bottom w:val="single" w:sz="4" w:space="0" w:color="auto"/>
      </w:pBdr>
      <w:shd w:val="clear" w:color="auto" w:fill="FFFFFF"/>
      <w:spacing w:before="100" w:beforeAutospacing="1" w:after="100" w:afterAutospacing="1" w:line="240" w:lineRule="auto"/>
    </w:pPr>
    <w:rPr>
      <w:rFonts w:ascii="Wingdings" w:eastAsia="Wingdings" w:hAnsi="Wingdings" w:cs="Wingdings"/>
      <w:b/>
      <w:bCs/>
      <w:sz w:val="24"/>
      <w:szCs w:val="24"/>
      <w:lang w:val="es-ES" w:eastAsia="es-ES"/>
    </w:rPr>
  </w:style>
  <w:style w:type="paragraph" w:customStyle="1" w:styleId="xl26">
    <w:name w:val="xl26"/>
    <w:basedOn w:val="Normal"/>
    <w:rsid w:val="000459D1"/>
    <w:pPr>
      <w:pBdr>
        <w:top w:val="single" w:sz="4" w:space="0" w:color="auto"/>
        <w:left w:val="single" w:sz="4" w:space="0" w:color="auto"/>
      </w:pBdr>
      <w:shd w:val="clear" w:color="auto" w:fill="FFFFFF"/>
      <w:spacing w:before="100" w:beforeAutospacing="1" w:after="100" w:afterAutospacing="1" w:line="240" w:lineRule="auto"/>
    </w:pPr>
    <w:rPr>
      <w:rFonts w:ascii="Wingdings" w:eastAsia="Wingdings" w:hAnsi="Wingdings" w:cs="Wingdings"/>
      <w:lang w:val="es-ES" w:eastAsia="es-ES"/>
    </w:rPr>
  </w:style>
  <w:style w:type="paragraph" w:customStyle="1" w:styleId="xl27">
    <w:name w:val="xl27"/>
    <w:basedOn w:val="Normal"/>
    <w:rsid w:val="000459D1"/>
    <w:pPr>
      <w:pBdr>
        <w:top w:val="single" w:sz="4" w:space="0" w:color="auto"/>
      </w:pBdr>
      <w:shd w:val="clear" w:color="auto" w:fill="FFFFFF"/>
      <w:spacing w:before="100" w:beforeAutospacing="1" w:after="100" w:afterAutospacing="1" w:line="240" w:lineRule="auto"/>
    </w:pPr>
    <w:rPr>
      <w:rFonts w:ascii="Wingdings" w:eastAsia="Wingdings" w:hAnsi="Wingdings" w:cs="Wingdings"/>
      <w:lang w:val="es-ES" w:eastAsia="es-ES"/>
    </w:rPr>
  </w:style>
  <w:style w:type="paragraph" w:customStyle="1" w:styleId="xl28">
    <w:name w:val="xl28"/>
    <w:basedOn w:val="Normal"/>
    <w:rsid w:val="000459D1"/>
    <w:pPr>
      <w:pBdr>
        <w:top w:val="single" w:sz="4" w:space="0" w:color="auto"/>
      </w:pBdr>
      <w:shd w:val="clear" w:color="auto" w:fill="FFFFFF"/>
      <w:spacing w:before="100" w:beforeAutospacing="1" w:after="100" w:afterAutospacing="1" w:line="240" w:lineRule="auto"/>
    </w:pPr>
    <w:rPr>
      <w:rFonts w:ascii="Wingdings" w:eastAsia="Wingdings" w:hAnsi="Times New Roman" w:cs="Wingdings"/>
      <w:sz w:val="24"/>
      <w:szCs w:val="24"/>
      <w:lang w:val="es-ES" w:eastAsia="es-ES"/>
    </w:rPr>
  </w:style>
  <w:style w:type="paragraph" w:customStyle="1" w:styleId="xl29">
    <w:name w:val="xl29"/>
    <w:basedOn w:val="Normal"/>
    <w:rsid w:val="000459D1"/>
    <w:pPr>
      <w:pBdr>
        <w:top w:val="single" w:sz="4" w:space="0" w:color="auto"/>
      </w:pBdr>
      <w:shd w:val="clear" w:color="auto" w:fill="FFFFFF"/>
      <w:spacing w:before="100" w:beforeAutospacing="1" w:after="100" w:afterAutospacing="1" w:line="240" w:lineRule="auto"/>
      <w:jc w:val="center"/>
    </w:pPr>
    <w:rPr>
      <w:rFonts w:ascii="Wingdings" w:eastAsia="Wingdings" w:hAnsi="Wingdings" w:cs="Wingdings"/>
      <w:b/>
      <w:bCs/>
      <w:sz w:val="24"/>
      <w:szCs w:val="24"/>
      <w:lang w:val="es-ES" w:eastAsia="es-ES"/>
    </w:rPr>
  </w:style>
  <w:style w:type="paragraph" w:customStyle="1" w:styleId="xl30">
    <w:name w:val="xl30"/>
    <w:basedOn w:val="Normal"/>
    <w:rsid w:val="000459D1"/>
    <w:pPr>
      <w:pBdr>
        <w:top w:val="single" w:sz="4" w:space="0" w:color="auto"/>
        <w:right w:val="single" w:sz="4" w:space="0" w:color="auto"/>
      </w:pBdr>
      <w:shd w:val="clear" w:color="auto" w:fill="FFFFFF"/>
      <w:spacing w:before="100" w:beforeAutospacing="1" w:after="100" w:afterAutospacing="1" w:line="240" w:lineRule="auto"/>
      <w:jc w:val="center"/>
    </w:pPr>
    <w:rPr>
      <w:rFonts w:ascii="Wingdings" w:eastAsia="Wingdings" w:hAnsi="Wingdings" w:cs="Wingdings"/>
      <w:b/>
      <w:bCs/>
      <w:sz w:val="24"/>
      <w:szCs w:val="24"/>
      <w:lang w:val="es-ES" w:eastAsia="es-ES"/>
    </w:rPr>
  </w:style>
  <w:style w:type="paragraph" w:customStyle="1" w:styleId="xl31">
    <w:name w:val="xl31"/>
    <w:basedOn w:val="Normal"/>
    <w:rsid w:val="000459D1"/>
    <w:pPr>
      <w:pBdr>
        <w:left w:val="single" w:sz="4" w:space="0" w:color="auto"/>
      </w:pBdr>
      <w:shd w:val="clear" w:color="auto" w:fill="FFFFFF"/>
      <w:spacing w:before="100" w:beforeAutospacing="1" w:after="100" w:afterAutospacing="1" w:line="240" w:lineRule="auto"/>
    </w:pPr>
    <w:rPr>
      <w:rFonts w:ascii="Wingdings" w:eastAsia="Wingdings" w:hAnsi="Wingdings" w:cs="Wingdings"/>
      <w:lang w:val="es-ES" w:eastAsia="es-ES"/>
    </w:rPr>
  </w:style>
  <w:style w:type="paragraph" w:customStyle="1" w:styleId="xl33">
    <w:name w:val="xl33"/>
    <w:basedOn w:val="Normal"/>
    <w:rsid w:val="000459D1"/>
    <w:pPr>
      <w:shd w:val="clear" w:color="auto" w:fill="FFFFFF"/>
      <w:spacing w:before="100" w:beforeAutospacing="1" w:after="100" w:afterAutospacing="1" w:line="240" w:lineRule="auto"/>
    </w:pPr>
    <w:rPr>
      <w:rFonts w:ascii="Wingdings" w:eastAsia="Wingdings" w:hAnsi="Times New Roman" w:cs="Wingdings"/>
      <w:sz w:val="24"/>
      <w:szCs w:val="24"/>
      <w:lang w:val="es-ES" w:eastAsia="es-ES"/>
    </w:rPr>
  </w:style>
  <w:style w:type="paragraph" w:customStyle="1" w:styleId="xl34">
    <w:name w:val="xl34"/>
    <w:basedOn w:val="Normal"/>
    <w:rsid w:val="000459D1"/>
    <w:pPr>
      <w:pBdr>
        <w:right w:val="single" w:sz="4" w:space="0" w:color="auto"/>
      </w:pBdr>
      <w:shd w:val="clear" w:color="auto" w:fill="FFFFFF"/>
      <w:spacing w:before="100" w:beforeAutospacing="1" w:after="100" w:afterAutospacing="1" w:line="240" w:lineRule="auto"/>
    </w:pPr>
    <w:rPr>
      <w:rFonts w:ascii="Wingdings" w:eastAsia="Wingdings" w:hAnsi="Times New Roman" w:cs="Wingdings"/>
      <w:sz w:val="24"/>
      <w:szCs w:val="24"/>
      <w:lang w:val="es-ES" w:eastAsia="es-ES"/>
    </w:rPr>
  </w:style>
  <w:style w:type="paragraph" w:customStyle="1" w:styleId="xl35">
    <w:name w:val="xl35"/>
    <w:basedOn w:val="Normal"/>
    <w:rsid w:val="000459D1"/>
    <w:pPr>
      <w:pBdr>
        <w:left w:val="single" w:sz="4" w:space="0" w:color="auto"/>
      </w:pBdr>
      <w:shd w:val="clear" w:color="auto" w:fill="FFFFFF"/>
      <w:spacing w:before="100" w:beforeAutospacing="1" w:after="100" w:afterAutospacing="1" w:line="240" w:lineRule="auto"/>
    </w:pPr>
    <w:rPr>
      <w:rFonts w:ascii="Wingdings" w:eastAsia="Wingdings" w:hAnsi="Wingdings" w:cs="Wingdings"/>
      <w:b/>
      <w:bCs/>
      <w:lang w:val="es-ES" w:eastAsia="es-ES"/>
    </w:rPr>
  </w:style>
  <w:style w:type="paragraph" w:customStyle="1" w:styleId="xl36">
    <w:name w:val="xl36"/>
    <w:basedOn w:val="Normal"/>
    <w:rsid w:val="000459D1"/>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Wingdings" w:eastAsia="Wingdings" w:hAnsi="Wingdings" w:cs="Wingdings"/>
      <w:b/>
      <w:bCs/>
      <w:sz w:val="24"/>
      <w:szCs w:val="24"/>
      <w:lang w:val="es-ES" w:eastAsia="es-ES"/>
    </w:rPr>
  </w:style>
  <w:style w:type="paragraph" w:customStyle="1" w:styleId="xl37">
    <w:name w:val="xl37"/>
    <w:basedOn w:val="Normal"/>
    <w:rsid w:val="000459D1"/>
    <w:pPr>
      <w:pBdr>
        <w:left w:val="single" w:sz="4" w:space="0" w:color="auto"/>
      </w:pBdr>
      <w:shd w:val="clear" w:color="auto" w:fill="FFFFFF"/>
      <w:spacing w:before="100" w:beforeAutospacing="1" w:after="100" w:afterAutospacing="1" w:line="240" w:lineRule="auto"/>
    </w:pPr>
    <w:rPr>
      <w:rFonts w:ascii="Times New Roman" w:eastAsia="Wingdings" w:hAnsi="Times New Roman"/>
      <w:lang w:val="es-ES" w:eastAsia="es-ES"/>
    </w:rPr>
  </w:style>
  <w:style w:type="paragraph" w:customStyle="1" w:styleId="xl38">
    <w:name w:val="xl38"/>
    <w:basedOn w:val="Normal"/>
    <w:rsid w:val="000459D1"/>
    <w:pPr>
      <w:pBdr>
        <w:right w:val="single" w:sz="4" w:space="0" w:color="auto"/>
      </w:pBdr>
      <w:shd w:val="clear" w:color="auto" w:fill="FFFFFF"/>
      <w:spacing w:before="100" w:beforeAutospacing="1" w:after="100" w:afterAutospacing="1" w:line="240" w:lineRule="auto"/>
    </w:pPr>
    <w:rPr>
      <w:rFonts w:ascii="Wingdings" w:eastAsia="Wingdings" w:hAnsi="Times New Roman" w:cs="Wingdings"/>
      <w:sz w:val="24"/>
      <w:szCs w:val="24"/>
      <w:lang w:val="es-ES" w:eastAsia="es-ES"/>
    </w:rPr>
  </w:style>
  <w:style w:type="paragraph" w:customStyle="1" w:styleId="xl39">
    <w:name w:val="xl39"/>
    <w:basedOn w:val="Normal"/>
    <w:rsid w:val="000459D1"/>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Wingdings" w:eastAsia="Wingdings" w:hAnsi="Wingdings" w:cs="Wingdings"/>
      <w:b/>
      <w:bCs/>
      <w:sz w:val="24"/>
      <w:szCs w:val="24"/>
      <w:lang w:val="es-ES" w:eastAsia="es-ES"/>
    </w:rPr>
  </w:style>
  <w:style w:type="paragraph" w:customStyle="1" w:styleId="xl40">
    <w:name w:val="xl40"/>
    <w:basedOn w:val="Normal"/>
    <w:rsid w:val="000459D1"/>
    <w:pPr>
      <w:pBdr>
        <w:right w:val="single" w:sz="4" w:space="0" w:color="auto"/>
      </w:pBdr>
      <w:shd w:val="clear" w:color="auto" w:fill="FFFFFF"/>
      <w:spacing w:before="100" w:beforeAutospacing="1" w:after="100" w:afterAutospacing="1" w:line="240" w:lineRule="auto"/>
    </w:pPr>
    <w:rPr>
      <w:rFonts w:ascii="Wingdings" w:eastAsia="Wingdings" w:hAnsi="Times New Roman" w:cs="Wingdings"/>
      <w:sz w:val="24"/>
      <w:szCs w:val="24"/>
      <w:lang w:val="es-ES" w:eastAsia="es-ES"/>
    </w:rPr>
  </w:style>
  <w:style w:type="paragraph" w:customStyle="1" w:styleId="xl41">
    <w:name w:val="xl41"/>
    <w:basedOn w:val="Normal"/>
    <w:rsid w:val="000459D1"/>
    <w:pPr>
      <w:pBdr>
        <w:left w:val="single" w:sz="4" w:space="0" w:color="auto"/>
        <w:bottom w:val="single" w:sz="4" w:space="0" w:color="auto"/>
      </w:pBdr>
      <w:shd w:val="clear" w:color="auto" w:fill="FFFFFF"/>
      <w:spacing w:before="100" w:beforeAutospacing="1" w:after="100" w:afterAutospacing="1" w:line="240" w:lineRule="auto"/>
    </w:pPr>
    <w:rPr>
      <w:rFonts w:ascii="Wingdings" w:eastAsia="Wingdings" w:hAnsi="Wingdings" w:cs="Wingdings"/>
      <w:b/>
      <w:bCs/>
      <w:lang w:val="es-ES" w:eastAsia="es-ES"/>
    </w:rPr>
  </w:style>
  <w:style w:type="paragraph" w:customStyle="1" w:styleId="xl42">
    <w:name w:val="xl42"/>
    <w:basedOn w:val="Normal"/>
    <w:rsid w:val="000459D1"/>
    <w:pPr>
      <w:pBdr>
        <w:bottom w:val="single" w:sz="4" w:space="0" w:color="auto"/>
      </w:pBdr>
      <w:shd w:val="clear" w:color="auto" w:fill="FFFFFF"/>
      <w:spacing w:before="100" w:beforeAutospacing="1" w:after="100" w:afterAutospacing="1" w:line="240" w:lineRule="auto"/>
    </w:pPr>
    <w:rPr>
      <w:rFonts w:ascii="Wingdings" w:eastAsia="Wingdings" w:hAnsi="Wingdings" w:cs="Wingdings"/>
      <w:lang w:val="es-ES" w:eastAsia="es-ES"/>
    </w:rPr>
  </w:style>
  <w:style w:type="paragraph" w:customStyle="1" w:styleId="xl43">
    <w:name w:val="xl43"/>
    <w:basedOn w:val="Normal"/>
    <w:rsid w:val="000459D1"/>
    <w:pPr>
      <w:pBdr>
        <w:bottom w:val="single" w:sz="4" w:space="0" w:color="auto"/>
      </w:pBdr>
      <w:shd w:val="clear" w:color="auto" w:fill="FFFFFF"/>
      <w:spacing w:before="100" w:beforeAutospacing="1" w:after="100" w:afterAutospacing="1" w:line="240" w:lineRule="auto"/>
    </w:pPr>
    <w:rPr>
      <w:rFonts w:ascii="Wingdings" w:eastAsia="Wingdings" w:hAnsi="Times New Roman" w:cs="Wingdings"/>
      <w:sz w:val="24"/>
      <w:szCs w:val="24"/>
      <w:lang w:val="es-ES" w:eastAsia="es-ES"/>
    </w:rPr>
  </w:style>
  <w:style w:type="character" w:customStyle="1" w:styleId="TABLES10PT">
    <w:name w:val="TABLES10PT"/>
    <w:rsid w:val="000459D1"/>
    <w:rPr>
      <w:rFonts w:ascii="Times New Roman" w:hAnsi="Times New Roman"/>
      <w:sz w:val="20"/>
    </w:rPr>
  </w:style>
  <w:style w:type="paragraph" w:customStyle="1" w:styleId="CPN-nitalics">
    <w:name w:val="CPN-n/italics"/>
    <w:basedOn w:val="Normal"/>
    <w:rsid w:val="000459D1"/>
    <w:pPr>
      <w:keepNext/>
      <w:overflowPunct w:val="0"/>
      <w:autoSpaceDE w:val="0"/>
      <w:autoSpaceDN w:val="0"/>
      <w:adjustRightInd w:val="0"/>
      <w:spacing w:after="240" w:line="240" w:lineRule="exact"/>
      <w:textAlignment w:val="baseline"/>
    </w:pPr>
    <w:rPr>
      <w:rFonts w:ascii="Times New Roman" w:eastAsia="Wingdings" w:hAnsi="Times New Roman"/>
      <w:i/>
      <w:iCs/>
      <w:lang w:val="en-US" w:eastAsia="es-ES"/>
    </w:rPr>
  </w:style>
  <w:style w:type="paragraph" w:styleId="DireccinHTML">
    <w:name w:val="HTML Address"/>
    <w:basedOn w:val="Normal"/>
    <w:link w:val="DireccinHTMLCar1"/>
    <w:rsid w:val="000459D1"/>
    <w:pPr>
      <w:spacing w:after="0" w:line="240" w:lineRule="auto"/>
    </w:pPr>
    <w:rPr>
      <w:rFonts w:ascii="Times New Roman" w:eastAsia="Wingdings" w:hAnsi="Times New Roman"/>
      <w:i/>
      <w:iCs/>
    </w:rPr>
  </w:style>
  <w:style w:type="character" w:customStyle="1" w:styleId="DireccinHTMLCar">
    <w:name w:val="Dirección HTML Car"/>
    <w:basedOn w:val="Fuentedeprrafopredeter"/>
    <w:semiHidden/>
    <w:rsid w:val="000459D1"/>
    <w:rPr>
      <w:i/>
      <w:iCs/>
      <w:sz w:val="22"/>
      <w:szCs w:val="22"/>
      <w:lang w:eastAsia="en-US"/>
    </w:rPr>
  </w:style>
  <w:style w:type="character" w:customStyle="1" w:styleId="DireccinHTMLCar1">
    <w:name w:val="Dirección HTML Car1"/>
    <w:link w:val="DireccinHTML"/>
    <w:rsid w:val="000459D1"/>
    <w:rPr>
      <w:rFonts w:ascii="Times New Roman" w:eastAsia="Wingdings" w:hAnsi="Times New Roman"/>
      <w:i/>
      <w:iCs/>
    </w:rPr>
  </w:style>
  <w:style w:type="paragraph" w:styleId="Firmadecorreoelectrnico">
    <w:name w:val="E-mail Signature"/>
    <w:basedOn w:val="Normal"/>
    <w:link w:val="FirmadecorreoelectrnicoCar1"/>
    <w:rsid w:val="000459D1"/>
    <w:pPr>
      <w:spacing w:after="0" w:line="240" w:lineRule="auto"/>
    </w:pPr>
    <w:rPr>
      <w:rFonts w:ascii="Times New Roman" w:eastAsia="Wingdings" w:hAnsi="Times New Roman"/>
    </w:rPr>
  </w:style>
  <w:style w:type="character" w:customStyle="1" w:styleId="FirmadecorreoelectrnicoCar">
    <w:name w:val="Firma de correo electrónico Car"/>
    <w:basedOn w:val="Fuentedeprrafopredeter"/>
    <w:semiHidden/>
    <w:rsid w:val="000459D1"/>
    <w:rPr>
      <w:sz w:val="22"/>
      <w:szCs w:val="22"/>
      <w:lang w:eastAsia="en-US"/>
    </w:rPr>
  </w:style>
  <w:style w:type="character" w:customStyle="1" w:styleId="FirmadecorreoelectrnicoCar1">
    <w:name w:val="Firma de correo electrónico Car1"/>
    <w:link w:val="Firmadecorreoelectrnico"/>
    <w:rsid w:val="000459D1"/>
    <w:rPr>
      <w:rFonts w:ascii="Times New Roman" w:eastAsia="Wingdings" w:hAnsi="Times New Roman"/>
    </w:rPr>
  </w:style>
  <w:style w:type="paragraph" w:styleId="HTMLconformatoprevio">
    <w:name w:val="HTML Preformatted"/>
    <w:basedOn w:val="Normal"/>
    <w:link w:val="HTMLconformatoprevioCar1"/>
    <w:rsid w:val="000459D1"/>
    <w:pPr>
      <w:spacing w:after="0" w:line="240" w:lineRule="auto"/>
    </w:pPr>
    <w:rPr>
      <w:rFonts w:ascii="Courier New" w:eastAsia="Wingdings" w:hAnsi="Courier New"/>
    </w:rPr>
  </w:style>
  <w:style w:type="character" w:customStyle="1" w:styleId="HTMLconformatoprevioCar">
    <w:name w:val="HTML con formato previo Car"/>
    <w:basedOn w:val="Fuentedeprrafopredeter"/>
    <w:semiHidden/>
    <w:rsid w:val="000459D1"/>
    <w:rPr>
      <w:rFonts w:ascii="Consolas" w:hAnsi="Consolas" w:cs="Consolas"/>
      <w:lang w:eastAsia="en-US"/>
    </w:rPr>
  </w:style>
  <w:style w:type="character" w:customStyle="1" w:styleId="HTMLconformatoprevioCar1">
    <w:name w:val="HTML con formato previo Car1"/>
    <w:link w:val="HTMLconformatoprevio"/>
    <w:rsid w:val="000459D1"/>
    <w:rPr>
      <w:rFonts w:ascii="Courier New" w:eastAsia="Wingdings" w:hAnsi="Courier New"/>
    </w:rPr>
  </w:style>
  <w:style w:type="character" w:customStyle="1" w:styleId="DeltaViewInsertion">
    <w:name w:val="DeltaView Insertion"/>
    <w:rsid w:val="000459D1"/>
    <w:rPr>
      <w:color w:val="0000FF"/>
      <w:u w:val="double"/>
    </w:rPr>
  </w:style>
  <w:style w:type="paragraph" w:customStyle="1" w:styleId="blocktextbold">
    <w:name w:val="block text bold"/>
    <w:basedOn w:val="Textodebloque"/>
    <w:rsid w:val="000459D1"/>
    <w:pPr>
      <w:pBdr>
        <w:top w:val="none" w:sz="0" w:space="0" w:color="auto"/>
        <w:left w:val="none" w:sz="0" w:space="0" w:color="auto"/>
        <w:bottom w:val="none" w:sz="0" w:space="0" w:color="auto"/>
        <w:right w:val="none" w:sz="0" w:space="0" w:color="auto"/>
      </w:pBdr>
      <w:ind w:left="0" w:right="0"/>
    </w:pPr>
    <w:rPr>
      <w:rFonts w:eastAsia="Wingdings"/>
      <w:b/>
      <w:bCs/>
      <w:i w:val="0"/>
      <w:iCs w:val="0"/>
      <w:lang w:val="en-US"/>
    </w:rPr>
  </w:style>
  <w:style w:type="paragraph" w:customStyle="1" w:styleId="notaalpie">
    <w:name w:val="nota al pie"/>
    <w:basedOn w:val="Normal"/>
    <w:rsid w:val="000459D1"/>
    <w:pPr>
      <w:spacing w:after="0" w:line="240" w:lineRule="auto"/>
    </w:pPr>
    <w:rPr>
      <w:rFonts w:ascii="Wingdings" w:eastAsia="Wingdings" w:hAnsi="Wingdings" w:cs="Wingdings"/>
      <w:sz w:val="16"/>
      <w:szCs w:val="16"/>
      <w:lang w:eastAsia="es-ES"/>
    </w:rPr>
  </w:style>
  <w:style w:type="paragraph" w:customStyle="1" w:styleId="Prder7">
    <w:name w:val="PÀÀr. der. 7"/>
    <w:rsid w:val="000459D1"/>
    <w:pPr>
      <w:widowControl w:val="0"/>
      <w:tabs>
        <w:tab w:val="left" w:pos="-720"/>
        <w:tab w:val="left" w:pos="0"/>
        <w:tab w:val="left" w:pos="720"/>
        <w:tab w:val="left" w:pos="1440"/>
        <w:tab w:val="left" w:pos="2160"/>
        <w:tab w:val="left" w:pos="2880"/>
        <w:tab w:val="left" w:pos="3600"/>
        <w:tab w:val="left" w:pos="4320"/>
        <w:tab w:val="decimal" w:pos="5040"/>
      </w:tabs>
      <w:suppressAutoHyphens/>
      <w:ind w:left="5040" w:hanging="222"/>
    </w:pPr>
    <w:rPr>
      <w:rFonts w:ascii="Wingdings" w:eastAsia="Wingdings" w:hAnsi="Wingdings" w:cs="Wingdings"/>
      <w:sz w:val="24"/>
      <w:szCs w:val="24"/>
      <w:lang w:val="en-US" w:eastAsia="es-ES"/>
    </w:rPr>
  </w:style>
  <w:style w:type="paragraph" w:customStyle="1" w:styleId="WW-Textoindependiente3">
    <w:name w:val="WW-Texto independiente 3"/>
    <w:basedOn w:val="Normal"/>
    <w:rsid w:val="000459D1"/>
    <w:pPr>
      <w:tabs>
        <w:tab w:val="left" w:pos="3402"/>
      </w:tabs>
      <w:suppressAutoHyphens/>
      <w:spacing w:after="0" w:line="240" w:lineRule="auto"/>
      <w:jc w:val="both"/>
    </w:pPr>
    <w:rPr>
      <w:rFonts w:ascii="Times New Roman" w:eastAsia="Wingdings" w:hAnsi="Times New Roman"/>
    </w:rPr>
  </w:style>
  <w:style w:type="paragraph" w:customStyle="1" w:styleId="NormalArial">
    <w:name w:val="Normal + Arial"/>
    <w:aliases w:val="Justificado,Izquierda:  2,75 cm,Comprimido  0,2 pto"/>
    <w:basedOn w:val="Normal"/>
    <w:rsid w:val="000459D1"/>
    <w:pPr>
      <w:spacing w:after="0" w:line="280" w:lineRule="exact"/>
      <w:ind w:left="1080" w:right="-289"/>
      <w:jc w:val="both"/>
    </w:pPr>
    <w:rPr>
      <w:rFonts w:ascii="Arial" w:eastAsia="Wingdings" w:hAnsi="Arial" w:cs="Arial"/>
      <w:lang w:eastAsia="es-ES"/>
    </w:rPr>
  </w:style>
  <w:style w:type="character" w:customStyle="1" w:styleId="TextosinformatoCar1">
    <w:name w:val="Texto sin formato Car1"/>
    <w:uiPriority w:val="99"/>
    <w:rsid w:val="000459D1"/>
    <w:rPr>
      <w:rFonts w:ascii="Courier New" w:eastAsia="Wingdings" w:hAnsi="Courier New" w:cs="Times New Roman"/>
      <w:color w:val="auto"/>
      <w:sz w:val="20"/>
      <w:szCs w:val="20"/>
      <w:lang w:val="es-ES_tradnl" w:eastAsia="es-AR"/>
    </w:rPr>
  </w:style>
  <w:style w:type="paragraph" w:customStyle="1" w:styleId="BodyText2SglChar">
    <w:name w:val="Body Text 2 Sgl Char"/>
    <w:basedOn w:val="Normal"/>
    <w:rsid w:val="000459D1"/>
    <w:pPr>
      <w:spacing w:after="240" w:line="240" w:lineRule="auto"/>
      <w:ind w:firstLine="720"/>
    </w:pPr>
    <w:rPr>
      <w:rFonts w:ascii="Times New Roman" w:eastAsia="Wingdings" w:hAnsi="Times New Roman"/>
      <w:szCs w:val="24"/>
      <w:lang w:val="en-US"/>
    </w:rPr>
  </w:style>
  <w:style w:type="character" w:customStyle="1" w:styleId="BodyText2SglCharChar">
    <w:name w:val="Body Text 2 Sgl Char Char"/>
    <w:rsid w:val="000459D1"/>
    <w:rPr>
      <w:sz w:val="22"/>
      <w:szCs w:val="24"/>
      <w:lang w:val="en-US" w:eastAsia="en-US" w:bidi="ar-SA"/>
    </w:rPr>
  </w:style>
  <w:style w:type="paragraph" w:customStyle="1" w:styleId="Table10pt">
    <w:name w:val="Table 10 pt"/>
    <w:basedOn w:val="Normal"/>
    <w:rsid w:val="000459D1"/>
    <w:pPr>
      <w:autoSpaceDE w:val="0"/>
      <w:autoSpaceDN w:val="0"/>
      <w:adjustRightInd w:val="0"/>
      <w:spacing w:after="0" w:line="240" w:lineRule="auto"/>
    </w:pPr>
    <w:rPr>
      <w:rFonts w:ascii="Wingdings" w:eastAsia="Wingdings" w:hAnsi="Wingdings" w:cs="Wingdings"/>
      <w:lang w:val="en-US" w:eastAsia="es-ES"/>
    </w:rPr>
  </w:style>
  <w:style w:type="paragraph" w:customStyle="1" w:styleId="TableNotes0">
    <w:name w:val="Table Notes"/>
    <w:basedOn w:val="Normal"/>
    <w:rsid w:val="000459D1"/>
    <w:pPr>
      <w:autoSpaceDE w:val="0"/>
      <w:autoSpaceDN w:val="0"/>
      <w:adjustRightInd w:val="0"/>
      <w:spacing w:after="120" w:line="240" w:lineRule="auto"/>
      <w:ind w:left="360" w:hanging="360"/>
    </w:pPr>
    <w:rPr>
      <w:rFonts w:ascii="Wingdings" w:eastAsia="Wingdings" w:hAnsi="Wingdings" w:cs="Wingdings"/>
      <w:sz w:val="17"/>
      <w:szCs w:val="17"/>
      <w:lang w:val="en-US" w:eastAsia="es-ES"/>
    </w:rPr>
  </w:style>
  <w:style w:type="paragraph" w:customStyle="1" w:styleId="TableLine">
    <w:name w:val="Table Line"/>
    <w:basedOn w:val="Normal"/>
    <w:next w:val="TableNotes0"/>
    <w:rsid w:val="000459D1"/>
    <w:pPr>
      <w:pBdr>
        <w:bottom w:val="single" w:sz="4" w:space="1" w:color="auto"/>
      </w:pBdr>
      <w:autoSpaceDE w:val="0"/>
      <w:autoSpaceDN w:val="0"/>
      <w:adjustRightInd w:val="0"/>
      <w:spacing w:after="60" w:line="240" w:lineRule="auto"/>
      <w:ind w:right="7920"/>
    </w:pPr>
    <w:rPr>
      <w:rFonts w:ascii="Wingdings" w:eastAsia="Wingdings" w:hAnsi="Wingdings" w:cs="Wingdings"/>
      <w:lang w:val="en-US" w:eastAsia="es-ES"/>
    </w:rPr>
  </w:style>
  <w:style w:type="character" w:customStyle="1" w:styleId="Table9pt">
    <w:name w:val="Table 9pt"/>
    <w:rsid w:val="000459D1"/>
    <w:rPr>
      <w:rFonts w:ascii="Times New Roman" w:hAnsi="Times New Roman" w:cs="Times New Roman"/>
      <w:spacing w:val="0"/>
      <w:sz w:val="18"/>
      <w:szCs w:val="18"/>
    </w:rPr>
  </w:style>
  <w:style w:type="paragraph" w:customStyle="1" w:styleId="BodyText2Sgl">
    <w:name w:val="Body Text 2 Sgl"/>
    <w:basedOn w:val="Normal"/>
    <w:rsid w:val="000459D1"/>
    <w:pPr>
      <w:spacing w:after="240" w:line="240" w:lineRule="auto"/>
      <w:ind w:firstLine="720"/>
    </w:pPr>
    <w:rPr>
      <w:rFonts w:ascii="Times New Roman" w:eastAsia="Wingdings" w:hAnsi="Times New Roman"/>
      <w:szCs w:val="24"/>
      <w:lang w:val="en-US"/>
    </w:rPr>
  </w:style>
  <w:style w:type="paragraph" w:customStyle="1" w:styleId="BlockTextSgl">
    <w:name w:val="Block Text Sgl"/>
    <w:basedOn w:val="Normal"/>
    <w:link w:val="BlockTextSglChar"/>
    <w:qFormat/>
    <w:rsid w:val="000459D1"/>
    <w:pPr>
      <w:spacing w:line="240" w:lineRule="auto"/>
    </w:pPr>
    <w:rPr>
      <w:rFonts w:ascii="Times New Roman" w:eastAsia="Wingdings" w:hAnsi="Times New Roman"/>
      <w:szCs w:val="24"/>
      <w:lang w:val="en-US"/>
    </w:rPr>
  </w:style>
  <w:style w:type="paragraph" w:customStyle="1" w:styleId="TitleIndentBI">
    <w:name w:val="Title Indent BI"/>
    <w:basedOn w:val="Normal"/>
    <w:rsid w:val="000459D1"/>
    <w:pPr>
      <w:keepNext/>
      <w:keepLines/>
      <w:widowControl w:val="0"/>
      <w:spacing w:after="240" w:line="240" w:lineRule="auto"/>
      <w:ind w:left="720"/>
    </w:pPr>
    <w:rPr>
      <w:rFonts w:ascii="Times New Roman" w:eastAsia="Wingdings" w:hAnsi="Times New Roman"/>
      <w:b/>
      <w:i/>
      <w:szCs w:val="24"/>
      <w:lang w:val="en-US"/>
    </w:rPr>
  </w:style>
  <w:style w:type="character" w:customStyle="1" w:styleId="BodyText2SglCar">
    <w:name w:val="Body Text 2 Sgl Car"/>
    <w:rsid w:val="000459D1"/>
    <w:rPr>
      <w:sz w:val="22"/>
      <w:szCs w:val="24"/>
      <w:lang w:val="en-US" w:eastAsia="en-US" w:bidi="ar-SA"/>
    </w:rPr>
  </w:style>
  <w:style w:type="paragraph" w:customStyle="1" w:styleId="BodyTextIndent2">
    <w:name w:val="Body Text Indent2"/>
    <w:basedOn w:val="Normal"/>
    <w:rsid w:val="000459D1"/>
    <w:pPr>
      <w:spacing w:after="120" w:line="240" w:lineRule="auto"/>
      <w:ind w:left="283"/>
    </w:pPr>
    <w:rPr>
      <w:rFonts w:ascii="Times New Roman" w:eastAsia="Wingdings" w:hAnsi="Times New Roman"/>
      <w:lang w:eastAsia="es-ES"/>
    </w:rPr>
  </w:style>
  <w:style w:type="paragraph" w:customStyle="1" w:styleId="Texto1">
    <w:name w:val="Texto 1"/>
    <w:basedOn w:val="Normal"/>
    <w:rsid w:val="000459D1"/>
    <w:pPr>
      <w:spacing w:after="0" w:line="240" w:lineRule="auto"/>
      <w:ind w:left="360"/>
    </w:pPr>
    <w:rPr>
      <w:rFonts w:ascii="Arial" w:eastAsia="Times New Roman" w:hAnsi="Arial"/>
      <w:sz w:val="19"/>
      <w:lang w:val="es-ES_tradnl"/>
    </w:rPr>
  </w:style>
  <w:style w:type="paragraph" w:customStyle="1" w:styleId="Texto2">
    <w:name w:val="Texto 2"/>
    <w:basedOn w:val="Normal"/>
    <w:rsid w:val="000459D1"/>
    <w:pPr>
      <w:spacing w:after="0" w:line="240" w:lineRule="auto"/>
      <w:ind w:left="864"/>
    </w:pPr>
    <w:rPr>
      <w:rFonts w:ascii="Arial" w:eastAsia="Times New Roman" w:hAnsi="Arial"/>
      <w:sz w:val="19"/>
      <w:lang w:val="es-ES_tradnl"/>
    </w:rPr>
  </w:style>
  <w:style w:type="paragraph" w:customStyle="1" w:styleId="Textonota1">
    <w:name w:val="Texto nota 1"/>
    <w:basedOn w:val="Textonota"/>
    <w:rsid w:val="000459D1"/>
    <w:pPr>
      <w:widowControl/>
      <w:ind w:left="806"/>
      <w:jc w:val="left"/>
    </w:pPr>
    <w:rPr>
      <w:rFonts w:ascii="Arial" w:eastAsia="Times New Roman" w:hAnsi="Arial" w:cs="Times New Roman"/>
      <w:sz w:val="19"/>
      <w:lang w:eastAsia="en-US"/>
    </w:rPr>
  </w:style>
  <w:style w:type="paragraph" w:customStyle="1" w:styleId="Texto3">
    <w:name w:val="Texto 3"/>
    <w:basedOn w:val="Normal"/>
    <w:rsid w:val="000459D1"/>
    <w:pPr>
      <w:spacing w:after="0" w:line="240" w:lineRule="auto"/>
      <w:ind w:left="1224"/>
    </w:pPr>
    <w:rPr>
      <w:rFonts w:ascii="Arial" w:eastAsia="Times New Roman" w:hAnsi="Arial"/>
      <w:sz w:val="19"/>
      <w:lang w:val="es-ES_tradnl"/>
    </w:rPr>
  </w:style>
  <w:style w:type="paragraph" w:customStyle="1" w:styleId="Textoinfaud">
    <w:name w:val="Texto inf. aud."/>
    <w:basedOn w:val="Normal"/>
    <w:rsid w:val="000459D1"/>
    <w:pPr>
      <w:tabs>
        <w:tab w:val="left" w:pos="720"/>
        <w:tab w:val="left" w:pos="1080"/>
      </w:tabs>
      <w:spacing w:after="0" w:line="360" w:lineRule="atLeast"/>
    </w:pPr>
    <w:rPr>
      <w:rFonts w:ascii="Arial" w:eastAsia="Times New Roman" w:hAnsi="Arial"/>
      <w:sz w:val="19"/>
      <w:lang w:val="es-ES_tradnl"/>
    </w:rPr>
  </w:style>
  <w:style w:type="paragraph" w:customStyle="1" w:styleId="Textoinfaud1">
    <w:name w:val="Texto inf. aud.1"/>
    <w:basedOn w:val="Textoinfaud"/>
    <w:rsid w:val="000459D1"/>
    <w:pPr>
      <w:tabs>
        <w:tab w:val="clear" w:pos="1080"/>
      </w:tabs>
      <w:ind w:left="360"/>
      <w:jc w:val="both"/>
    </w:pPr>
  </w:style>
  <w:style w:type="paragraph" w:customStyle="1" w:styleId="Textonota3">
    <w:name w:val="Texto nota 3"/>
    <w:basedOn w:val="Textonota1"/>
    <w:rsid w:val="000459D1"/>
    <w:pPr>
      <w:ind w:left="893"/>
    </w:pPr>
  </w:style>
  <w:style w:type="paragraph" w:customStyle="1" w:styleId="Textoindependiente21">
    <w:name w:val="Texto independiente 21"/>
    <w:basedOn w:val="Normal"/>
    <w:rsid w:val="000459D1"/>
    <w:pPr>
      <w:tabs>
        <w:tab w:val="left" w:pos="1134"/>
      </w:tabs>
      <w:spacing w:after="0" w:line="280" w:lineRule="atLeast"/>
      <w:jc w:val="both"/>
    </w:pPr>
    <w:rPr>
      <w:rFonts w:ascii="Arial" w:eastAsia="Times New Roman" w:hAnsi="Arial"/>
      <w:lang w:val="en-US"/>
    </w:rPr>
  </w:style>
  <w:style w:type="paragraph" w:styleId="Textonotaalfinal">
    <w:name w:val="endnote text"/>
    <w:basedOn w:val="Normal"/>
    <w:link w:val="TextonotaalfinalCar1"/>
    <w:rsid w:val="000459D1"/>
    <w:pPr>
      <w:spacing w:after="0" w:line="240" w:lineRule="auto"/>
    </w:pPr>
    <w:rPr>
      <w:rFonts w:ascii="Times New Roman" w:eastAsia="Times New Roman" w:hAnsi="Times New Roman"/>
      <w:lang w:val="es-ES_tradnl"/>
    </w:rPr>
  </w:style>
  <w:style w:type="character" w:customStyle="1" w:styleId="TextonotaalfinalCar">
    <w:name w:val="Texto nota al final Car"/>
    <w:basedOn w:val="Fuentedeprrafopredeter"/>
    <w:rsid w:val="000459D1"/>
    <w:rPr>
      <w:lang w:eastAsia="en-US"/>
    </w:rPr>
  </w:style>
  <w:style w:type="character" w:customStyle="1" w:styleId="TextonotaalfinalCar1">
    <w:name w:val="Texto nota al final Car1"/>
    <w:link w:val="Textonotaalfinal"/>
    <w:rsid w:val="000459D1"/>
    <w:rPr>
      <w:rFonts w:ascii="Times New Roman" w:eastAsia="Times New Roman" w:hAnsi="Times New Roman"/>
      <w:lang w:val="es-ES_tradnl" w:eastAsia="en-US"/>
    </w:rPr>
  </w:style>
  <w:style w:type="paragraph" w:customStyle="1" w:styleId="TEXTO0">
    <w:name w:val="TEXTO"/>
    <w:basedOn w:val="Normal"/>
    <w:rsid w:val="000459D1"/>
    <w:pPr>
      <w:spacing w:after="0" w:line="240" w:lineRule="auto"/>
      <w:jc w:val="both"/>
    </w:pPr>
    <w:rPr>
      <w:rFonts w:ascii="Times New Roman" w:eastAsia="Times New Roman" w:hAnsi="Times New Roman"/>
      <w:sz w:val="24"/>
      <w:lang w:val="es-ES_tradnl"/>
    </w:rPr>
  </w:style>
  <w:style w:type="paragraph" w:customStyle="1" w:styleId="TITULOS">
    <w:name w:val="TITULOS"/>
    <w:basedOn w:val="Normal"/>
    <w:rsid w:val="000459D1"/>
    <w:pPr>
      <w:spacing w:after="0" w:line="240" w:lineRule="auto"/>
    </w:pPr>
    <w:rPr>
      <w:rFonts w:ascii="Times New Roman" w:eastAsia="Times New Roman" w:hAnsi="Times New Roman"/>
      <w:sz w:val="24"/>
      <w:lang w:val="es-ES_tradnl"/>
    </w:rPr>
  </w:style>
  <w:style w:type="paragraph" w:customStyle="1" w:styleId="Titulo2Vieta">
    <w:name w:val="Titulo 2 Viñeta"/>
    <w:basedOn w:val="Normal"/>
    <w:rsid w:val="000459D1"/>
    <w:pPr>
      <w:numPr>
        <w:numId w:val="7"/>
      </w:numPr>
      <w:spacing w:after="120" w:line="360" w:lineRule="auto"/>
      <w:jc w:val="both"/>
    </w:pPr>
    <w:rPr>
      <w:rFonts w:ascii="Arial" w:eastAsia="Times New Roman" w:hAnsi="Arial"/>
      <w:lang w:eastAsia="es-ES"/>
    </w:rPr>
  </w:style>
  <w:style w:type="paragraph" w:customStyle="1" w:styleId="guin">
    <w:name w:val="guión"/>
    <w:basedOn w:val="Normal"/>
    <w:rsid w:val="000459D1"/>
    <w:pPr>
      <w:numPr>
        <w:numId w:val="6"/>
      </w:numPr>
      <w:tabs>
        <w:tab w:val="left" w:pos="425"/>
      </w:tabs>
      <w:spacing w:after="0" w:line="240" w:lineRule="auto"/>
      <w:ind w:left="1152"/>
    </w:pPr>
    <w:rPr>
      <w:rFonts w:ascii="Times New Roman" w:eastAsia="Times New Roman" w:hAnsi="Times New Roman"/>
      <w:sz w:val="24"/>
      <w:szCs w:val="24"/>
      <w:lang w:val="en-US" w:eastAsia="es-ES"/>
    </w:rPr>
  </w:style>
  <w:style w:type="paragraph" w:customStyle="1" w:styleId="Textoindependientebodytextbt">
    <w:name w:val="Texto independiente.body text.bt"/>
    <w:basedOn w:val="Normal"/>
    <w:rsid w:val="000459D1"/>
    <w:pPr>
      <w:spacing w:after="0" w:line="240" w:lineRule="auto"/>
      <w:jc w:val="both"/>
    </w:pPr>
    <w:rPr>
      <w:rFonts w:ascii="Times New Roman" w:eastAsia="Times New Roman" w:hAnsi="Times New Roman"/>
      <w:lang w:val="es-ES_tradnl" w:eastAsia="es-ES"/>
    </w:rPr>
  </w:style>
  <w:style w:type="paragraph" w:customStyle="1" w:styleId="CG-Title-Left-Italic">
    <w:name w:val="CG-Title-Left-Italic"/>
    <w:aliases w:val="t6"/>
    <w:basedOn w:val="Normal"/>
    <w:next w:val="Normal"/>
    <w:rsid w:val="000459D1"/>
    <w:pPr>
      <w:keepNext/>
      <w:spacing w:after="240" w:line="240" w:lineRule="auto"/>
      <w:ind w:left="720"/>
      <w:jc w:val="both"/>
    </w:pPr>
    <w:rPr>
      <w:rFonts w:ascii="Times New Roman" w:eastAsia="Times New Roman" w:hAnsi="Times New Roman"/>
      <w:b/>
      <w:i/>
      <w:lang w:val="en-US" w:eastAsia="es-ES"/>
    </w:rPr>
  </w:style>
  <w:style w:type="paragraph" w:customStyle="1" w:styleId="CG-SingleSp">
    <w:name w:val="CG-Single Sp"/>
    <w:aliases w:val="s1,DPWfd tbl stub10,Second Heading 1"/>
    <w:basedOn w:val="Normal"/>
    <w:rsid w:val="000459D1"/>
    <w:pPr>
      <w:spacing w:after="240" w:line="240" w:lineRule="auto"/>
      <w:jc w:val="both"/>
    </w:pPr>
    <w:rPr>
      <w:rFonts w:ascii="Times New Roman" w:eastAsia="Times New Roman" w:hAnsi="Times New Roman"/>
      <w:lang w:val="en-US" w:eastAsia="es-ES"/>
    </w:rPr>
  </w:style>
  <w:style w:type="paragraph" w:customStyle="1" w:styleId="CG-Title-Left-Bold">
    <w:name w:val="CG-Title-Left-Bold"/>
    <w:aliases w:val="t3"/>
    <w:basedOn w:val="Normal"/>
    <w:next w:val="Normal"/>
    <w:rsid w:val="000459D1"/>
    <w:pPr>
      <w:keepNext/>
      <w:spacing w:after="240" w:line="240" w:lineRule="auto"/>
    </w:pPr>
    <w:rPr>
      <w:rFonts w:ascii="Times New Roman" w:eastAsia="Times New Roman" w:hAnsi="Times New Roman"/>
      <w:b/>
      <w:lang w:val="en-US"/>
    </w:rPr>
  </w:style>
  <w:style w:type="paragraph" w:customStyle="1" w:styleId="Annex9Heading5">
    <w:name w:val="Annex 9 Heading 5"/>
    <w:basedOn w:val="Normal"/>
    <w:next w:val="Textoindependiente"/>
    <w:rsid w:val="000459D1"/>
    <w:pPr>
      <w:tabs>
        <w:tab w:val="left" w:pos="-720"/>
      </w:tabs>
      <w:suppressAutoHyphens/>
      <w:spacing w:after="240" w:line="240" w:lineRule="auto"/>
      <w:ind w:firstLine="1440"/>
      <w:jc w:val="both"/>
      <w:outlineLvl w:val="4"/>
    </w:pPr>
    <w:rPr>
      <w:rFonts w:ascii="Times New Roman" w:eastAsia="Times New Roman" w:hAnsi="Times New Roman"/>
      <w:noProof/>
      <w:color w:val="000000"/>
      <w:spacing w:val="-3"/>
      <w:lang w:eastAsia="es-ES"/>
    </w:rPr>
  </w:style>
  <w:style w:type="paragraph" w:customStyle="1" w:styleId="Annex9Heading6">
    <w:name w:val="Annex 9 Heading 6"/>
    <w:basedOn w:val="Normal"/>
    <w:next w:val="Textoindependiente"/>
    <w:rsid w:val="000459D1"/>
    <w:pPr>
      <w:keepNext/>
      <w:spacing w:after="0" w:line="240" w:lineRule="auto"/>
      <w:jc w:val="center"/>
      <w:outlineLvl w:val="5"/>
    </w:pPr>
    <w:rPr>
      <w:rFonts w:ascii="Times New Roman" w:eastAsia="Times New Roman" w:hAnsi="Times New Roman"/>
      <w:noProof/>
      <w:lang w:eastAsia="es-ES"/>
    </w:rPr>
  </w:style>
  <w:style w:type="paragraph" w:customStyle="1" w:styleId="Annex9Heading7">
    <w:name w:val="Annex 9 Heading 7"/>
    <w:basedOn w:val="Normal"/>
    <w:next w:val="Textoindependiente"/>
    <w:rsid w:val="000459D1"/>
    <w:pPr>
      <w:keepNext/>
      <w:tabs>
        <w:tab w:val="left" w:pos="-720"/>
      </w:tabs>
      <w:suppressAutoHyphens/>
      <w:spacing w:after="0" w:line="240" w:lineRule="auto"/>
      <w:jc w:val="center"/>
      <w:outlineLvl w:val="6"/>
    </w:pPr>
    <w:rPr>
      <w:rFonts w:ascii="Times New Roman" w:eastAsia="Times New Roman" w:hAnsi="Times New Roman"/>
      <w:noProof/>
      <w:color w:val="000000"/>
      <w:spacing w:val="-3"/>
      <w:lang w:eastAsia="es-ES"/>
    </w:rPr>
  </w:style>
  <w:style w:type="paragraph" w:customStyle="1" w:styleId="Annex9Heading8">
    <w:name w:val="Annex 9 Heading 8"/>
    <w:basedOn w:val="Normal"/>
    <w:next w:val="Textoindependiente"/>
    <w:rsid w:val="000459D1"/>
    <w:pPr>
      <w:spacing w:before="240" w:after="0" w:line="240" w:lineRule="auto"/>
      <w:ind w:left="3600" w:hanging="720"/>
      <w:outlineLvl w:val="7"/>
    </w:pPr>
    <w:rPr>
      <w:rFonts w:ascii="Times New Roman" w:eastAsia="Times New Roman" w:hAnsi="Times New Roman"/>
      <w:noProof/>
      <w:lang w:eastAsia="es-ES"/>
    </w:rPr>
  </w:style>
  <w:style w:type="paragraph" w:customStyle="1" w:styleId="Annex9Heading9">
    <w:name w:val="Annex 9 Heading 9"/>
    <w:basedOn w:val="Normal"/>
    <w:next w:val="Textoindependiente"/>
    <w:rsid w:val="000459D1"/>
    <w:pPr>
      <w:spacing w:before="240" w:after="0" w:line="240" w:lineRule="auto"/>
      <w:ind w:left="4320" w:hanging="720"/>
      <w:outlineLvl w:val="8"/>
    </w:pPr>
    <w:rPr>
      <w:rFonts w:ascii="Times New Roman" w:eastAsia="Times New Roman" w:hAnsi="Times New Roman"/>
      <w:noProof/>
      <w:lang w:eastAsia="es-ES"/>
    </w:rPr>
  </w:style>
  <w:style w:type="paragraph" w:customStyle="1" w:styleId="ListLegal3">
    <w:name w:val="List Legal 3"/>
    <w:basedOn w:val="Normal"/>
    <w:next w:val="Textoindependiente21"/>
    <w:rsid w:val="000459D1"/>
    <w:pPr>
      <w:tabs>
        <w:tab w:val="left" w:pos="50"/>
        <w:tab w:val="num" w:pos="360"/>
      </w:tabs>
      <w:spacing w:after="240" w:line="240" w:lineRule="auto"/>
      <w:ind w:left="619" w:hanging="619"/>
      <w:jc w:val="both"/>
    </w:pPr>
    <w:rPr>
      <w:rFonts w:ascii="Times New Roman" w:eastAsia="Times New Roman" w:hAnsi="Times New Roman"/>
      <w:lang w:val="en-US" w:eastAsia="es-ES"/>
    </w:rPr>
  </w:style>
  <w:style w:type="paragraph" w:customStyle="1" w:styleId="ListRoman3">
    <w:name w:val="List Roman 3"/>
    <w:basedOn w:val="Normal"/>
    <w:next w:val="Textoindependiente3"/>
    <w:rsid w:val="000459D1"/>
    <w:pPr>
      <w:tabs>
        <w:tab w:val="left" w:pos="68"/>
        <w:tab w:val="num" w:pos="360"/>
      </w:tabs>
      <w:spacing w:after="240" w:line="240" w:lineRule="auto"/>
      <w:ind w:left="360" w:hanging="360"/>
      <w:jc w:val="both"/>
    </w:pPr>
    <w:rPr>
      <w:rFonts w:ascii="Times New Roman" w:eastAsia="Times New Roman" w:hAnsi="Times New Roman"/>
      <w:lang w:val="en-US" w:eastAsia="es-ES"/>
    </w:rPr>
  </w:style>
  <w:style w:type="paragraph" w:customStyle="1" w:styleId="PartHeadings">
    <w:name w:val="Part Headings"/>
    <w:basedOn w:val="Normal"/>
    <w:next w:val="Normal"/>
    <w:rsid w:val="000459D1"/>
    <w:pPr>
      <w:suppressAutoHyphens/>
      <w:spacing w:after="300" w:line="312" w:lineRule="auto"/>
      <w:ind w:left="360" w:hanging="360"/>
      <w:jc w:val="center"/>
      <w:outlineLvl w:val="2"/>
    </w:pPr>
    <w:rPr>
      <w:rFonts w:ascii="Times New Roman" w:eastAsia="Times New Roman" w:hAnsi="Times New Roman"/>
      <w:b/>
      <w:sz w:val="21"/>
      <w:lang w:val="en-US" w:eastAsia="es-ES"/>
    </w:rPr>
  </w:style>
  <w:style w:type="paragraph" w:customStyle="1" w:styleId="CG-Title-Left-BoldItal">
    <w:name w:val="CG-Title-Left-BoldItal"/>
    <w:aliases w:val="t3i"/>
    <w:basedOn w:val="CG-Title-Left-Bold"/>
    <w:rsid w:val="000459D1"/>
    <w:rPr>
      <w:i/>
      <w:lang w:eastAsia="es-ES"/>
    </w:rPr>
  </w:style>
  <w:style w:type="paragraph" w:customStyle="1" w:styleId="KPMG">
    <w:name w:val="KPMG"/>
    <w:basedOn w:val="Normal"/>
    <w:rsid w:val="000459D1"/>
    <w:pPr>
      <w:spacing w:after="0" w:line="240" w:lineRule="auto"/>
      <w:jc w:val="both"/>
    </w:pPr>
    <w:rPr>
      <w:rFonts w:ascii="Wingdings" w:eastAsia="Times New Roman" w:hAnsi="Wingdings"/>
      <w:sz w:val="24"/>
    </w:rPr>
  </w:style>
  <w:style w:type="paragraph" w:styleId="ndice8">
    <w:name w:val="index 8"/>
    <w:basedOn w:val="Normal"/>
    <w:next w:val="Normal"/>
    <w:autoRedefine/>
    <w:rsid w:val="000459D1"/>
    <w:pPr>
      <w:tabs>
        <w:tab w:val="left" w:pos="0"/>
        <w:tab w:val="right" w:pos="9072"/>
      </w:tabs>
      <w:spacing w:after="0" w:line="240" w:lineRule="auto"/>
      <w:jc w:val="center"/>
    </w:pPr>
    <w:rPr>
      <w:rFonts w:ascii="Times New Roman" w:eastAsia="Times New Roman" w:hAnsi="Times New Roman"/>
      <w:lang w:val="es-ES_tradnl"/>
    </w:rPr>
  </w:style>
  <w:style w:type="paragraph" w:customStyle="1" w:styleId="BodyText22">
    <w:name w:val="Body Text 22"/>
    <w:basedOn w:val="Normal"/>
    <w:rsid w:val="000459D1"/>
    <w:pPr>
      <w:spacing w:after="0" w:line="240" w:lineRule="auto"/>
      <w:jc w:val="both"/>
    </w:pPr>
    <w:rPr>
      <w:rFonts w:ascii="Times New Roman" w:eastAsia="Times New Roman" w:hAnsi="Times New Roman"/>
      <w:lang w:val="es-ES" w:eastAsia="es-ES"/>
    </w:rPr>
  </w:style>
  <w:style w:type="paragraph" w:customStyle="1" w:styleId="Sinespaciado1">
    <w:name w:val="Sin espaciado1"/>
    <w:aliases w:val="No Spacing1,Normal2"/>
    <w:basedOn w:val="BodyText2Sgl"/>
    <w:qFormat/>
    <w:rsid w:val="000459D1"/>
    <w:pPr>
      <w:tabs>
        <w:tab w:val="left" w:pos="0"/>
      </w:tabs>
      <w:ind w:firstLine="0"/>
      <w:jc w:val="both"/>
    </w:pPr>
    <w:rPr>
      <w:rFonts w:ascii="Wingdings" w:hAnsi="Wingdings" w:cs="Wingdings"/>
      <w:color w:val="000000"/>
      <w:szCs w:val="20"/>
      <w:lang w:val="es-ES"/>
    </w:rPr>
  </w:style>
  <w:style w:type="paragraph" w:customStyle="1" w:styleId="Car">
    <w:name w:val="Car"/>
    <w:basedOn w:val="Normal"/>
    <w:rsid w:val="000459D1"/>
    <w:pPr>
      <w:spacing w:after="160" w:line="240" w:lineRule="exact"/>
    </w:pPr>
    <w:rPr>
      <w:rFonts w:ascii="Wingdings" w:eastAsia="Wingdings" w:hAnsi="Wingdings"/>
      <w:lang w:val="en-US"/>
    </w:rPr>
  </w:style>
  <w:style w:type="paragraph" w:customStyle="1" w:styleId="2Ttulo">
    <w:name w:val="2Título"/>
    <w:basedOn w:val="Normal"/>
    <w:rsid w:val="000459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jc w:val="center"/>
    </w:pPr>
    <w:rPr>
      <w:rFonts w:ascii="Times New Roman" w:eastAsia="Times New Roman" w:hAnsi="Times New Roman"/>
      <w:b/>
      <w:sz w:val="24"/>
      <w:lang w:eastAsia="es-ES"/>
    </w:rPr>
  </w:style>
  <w:style w:type="paragraph" w:customStyle="1" w:styleId="AnexoN">
    <w:name w:val="Anexo Nº"/>
    <w:basedOn w:val="Normal"/>
    <w:rsid w:val="000459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jc w:val="right"/>
    </w:pPr>
    <w:rPr>
      <w:rFonts w:ascii="Times New Roman" w:eastAsia="Times New Roman" w:hAnsi="Times New Roman"/>
      <w:b/>
      <w:sz w:val="24"/>
      <w:lang w:eastAsia="es-ES"/>
    </w:rPr>
  </w:style>
  <w:style w:type="paragraph" w:customStyle="1" w:styleId="CarChar1">
    <w:name w:val="Car Char1"/>
    <w:basedOn w:val="Normal"/>
    <w:rsid w:val="000459D1"/>
    <w:pPr>
      <w:spacing w:after="160" w:line="240" w:lineRule="exact"/>
    </w:pPr>
    <w:rPr>
      <w:rFonts w:ascii="Wingdings" w:eastAsia="Wingdings" w:hAnsi="Wingdings"/>
      <w:lang w:val="en-US"/>
    </w:rPr>
  </w:style>
  <w:style w:type="character" w:customStyle="1" w:styleId="Tcnico31">
    <w:name w:val="TÀ)Àcnico 31"/>
    <w:rsid w:val="000459D1"/>
    <w:rPr>
      <w:rFonts w:ascii="Wingdings" w:hAnsi="Wingdings" w:cs="Wingdings"/>
      <w:sz w:val="24"/>
      <w:szCs w:val="24"/>
      <w:lang w:val="en-US"/>
    </w:rPr>
  </w:style>
  <w:style w:type="paragraph" w:customStyle="1" w:styleId="Prder71">
    <w:name w:val="PÀÀr. der. 71"/>
    <w:rsid w:val="000459D1"/>
    <w:pPr>
      <w:widowControl w:val="0"/>
      <w:tabs>
        <w:tab w:val="left" w:pos="-720"/>
        <w:tab w:val="left" w:pos="0"/>
        <w:tab w:val="left" w:pos="720"/>
        <w:tab w:val="left" w:pos="1440"/>
        <w:tab w:val="left" w:pos="2160"/>
        <w:tab w:val="left" w:pos="2880"/>
        <w:tab w:val="left" w:pos="3600"/>
        <w:tab w:val="left" w:pos="4320"/>
        <w:tab w:val="decimal" w:pos="5040"/>
      </w:tabs>
      <w:suppressAutoHyphens/>
      <w:ind w:left="5040" w:hanging="222"/>
    </w:pPr>
    <w:rPr>
      <w:rFonts w:ascii="Wingdings" w:eastAsia="Wingdings" w:hAnsi="Wingdings" w:cs="Wingdings"/>
      <w:sz w:val="24"/>
      <w:szCs w:val="24"/>
      <w:lang w:val="en-US" w:eastAsia="es-ES"/>
    </w:rPr>
  </w:style>
  <w:style w:type="paragraph" w:customStyle="1" w:styleId="Car1">
    <w:name w:val="Car1"/>
    <w:basedOn w:val="Normal"/>
    <w:rsid w:val="000459D1"/>
    <w:pPr>
      <w:spacing w:after="160" w:line="240" w:lineRule="exact"/>
    </w:pPr>
    <w:rPr>
      <w:rFonts w:ascii="Wingdings" w:eastAsia="Wingdings" w:hAnsi="Wingdings"/>
      <w:lang w:val="en-US"/>
    </w:rPr>
  </w:style>
  <w:style w:type="paragraph" w:customStyle="1" w:styleId="TableSlug">
    <w:name w:val="Table Slug"/>
    <w:aliases w:val="ts"/>
    <w:basedOn w:val="Normal"/>
    <w:rsid w:val="000459D1"/>
    <w:pPr>
      <w:pBdr>
        <w:bottom w:val="single" w:sz="4" w:space="1" w:color="auto"/>
      </w:pBdr>
      <w:spacing w:after="120" w:line="240" w:lineRule="auto"/>
      <w:ind w:right="7200"/>
    </w:pPr>
    <w:rPr>
      <w:rFonts w:ascii="Times New Roman" w:eastAsia="Wingdings" w:hAnsi="Times New Roman"/>
      <w:sz w:val="16"/>
      <w:szCs w:val="24"/>
      <w:lang w:val="en-US" w:eastAsia="es-ES"/>
    </w:rPr>
  </w:style>
  <w:style w:type="paragraph" w:customStyle="1" w:styleId="TAbleLastFootnote">
    <w:name w:val="TAble Last Footnote"/>
    <w:aliases w:val="tlf"/>
    <w:basedOn w:val="Normal"/>
    <w:rsid w:val="000459D1"/>
    <w:pPr>
      <w:spacing w:after="240" w:line="240" w:lineRule="auto"/>
      <w:ind w:left="432" w:hanging="432"/>
    </w:pPr>
    <w:rPr>
      <w:rFonts w:ascii="Times New Roman" w:eastAsia="Wingdings" w:hAnsi="Times New Roman"/>
      <w:sz w:val="16"/>
      <w:lang w:val="en-US"/>
    </w:rPr>
  </w:style>
  <w:style w:type="paragraph" w:customStyle="1" w:styleId="CarCharCar3CharCarCharCar">
    <w:name w:val="Car Char Car3 Char Car Char Car"/>
    <w:basedOn w:val="Normal"/>
    <w:rsid w:val="000459D1"/>
    <w:pPr>
      <w:spacing w:after="160" w:line="240" w:lineRule="exact"/>
    </w:pPr>
    <w:rPr>
      <w:rFonts w:ascii="Wingdings" w:eastAsia="Wingdings" w:hAnsi="Wingdings"/>
      <w:lang w:val="en-US"/>
    </w:rPr>
  </w:style>
  <w:style w:type="paragraph" w:customStyle="1" w:styleId="otros">
    <w:name w:val="otros"/>
    <w:basedOn w:val="Normal"/>
    <w:rsid w:val="000459D1"/>
    <w:pPr>
      <w:spacing w:after="0" w:line="240" w:lineRule="auto"/>
      <w:jc w:val="both"/>
    </w:pPr>
    <w:rPr>
      <w:rFonts w:ascii="Times New Roman" w:eastAsia="Times New Roman" w:hAnsi="Times New Roman"/>
      <w:b/>
      <w:sz w:val="24"/>
      <w:lang w:val="es-ES_tradnl"/>
    </w:rPr>
  </w:style>
  <w:style w:type="character" w:styleId="MquinadeescribirHTML">
    <w:name w:val="HTML Typewriter"/>
    <w:uiPriority w:val="99"/>
    <w:unhideWhenUsed/>
    <w:rsid w:val="000459D1"/>
    <w:rPr>
      <w:rFonts w:ascii="Courier New" w:eastAsia="Wingdings" w:hAnsi="Courier New" w:cs="Courier New" w:hint="default"/>
      <w:sz w:val="20"/>
      <w:szCs w:val="20"/>
    </w:rPr>
  </w:style>
  <w:style w:type="paragraph" w:customStyle="1" w:styleId="Titulos0">
    <w:name w:val="Titulos"/>
    <w:basedOn w:val="Normal"/>
    <w:rsid w:val="000459D1"/>
    <w:pPr>
      <w:spacing w:after="0" w:line="240" w:lineRule="auto"/>
    </w:pPr>
    <w:rPr>
      <w:rFonts w:ascii="Times New Roman" w:eastAsia="Times New Roman" w:hAnsi="Times New Roman"/>
      <w:b/>
      <w:caps/>
      <w:sz w:val="24"/>
      <w:lang w:val="es-ES_tradnl" w:eastAsia="es-ES"/>
    </w:rPr>
  </w:style>
  <w:style w:type="paragraph" w:customStyle="1" w:styleId="3-Ttulo">
    <w:name w:val="3-Título"/>
    <w:basedOn w:val="Normal"/>
    <w:rsid w:val="000459D1"/>
    <w:pPr>
      <w:spacing w:after="0" w:line="264" w:lineRule="auto"/>
      <w:jc w:val="both"/>
    </w:pPr>
    <w:rPr>
      <w:rFonts w:ascii="Wingdings" w:eastAsia="Times New Roman" w:hAnsi="Wingdings"/>
      <w:b/>
      <w:color w:val="2172AE"/>
      <w:lang w:val="es-ES_tradnl" w:eastAsia="es-ES"/>
    </w:rPr>
  </w:style>
  <w:style w:type="paragraph" w:customStyle="1" w:styleId="CG-BoldItalic">
    <w:name w:val="CG-Bold/Italic"/>
    <w:aliases w:val="bi"/>
    <w:basedOn w:val="Normal"/>
    <w:rsid w:val="000459D1"/>
    <w:pPr>
      <w:keepNext/>
      <w:spacing w:after="240" w:line="240" w:lineRule="auto"/>
    </w:pPr>
    <w:rPr>
      <w:rFonts w:ascii="Times New Roman" w:eastAsia="Wingdings" w:hAnsi="Times New Roman"/>
      <w:b/>
      <w:bCs/>
      <w:i/>
      <w:iCs/>
      <w:lang w:val="en-US"/>
    </w:rPr>
  </w:style>
  <w:style w:type="paragraph" w:customStyle="1" w:styleId="4-subttulo">
    <w:name w:val="4-subtítulo"/>
    <w:basedOn w:val="Normal"/>
    <w:qFormat/>
    <w:rsid w:val="000459D1"/>
    <w:pPr>
      <w:spacing w:after="0" w:line="264" w:lineRule="auto"/>
      <w:jc w:val="both"/>
    </w:pPr>
    <w:rPr>
      <w:rFonts w:ascii="Wingdings" w:eastAsia="Wingdings" w:hAnsi="Wingdings"/>
      <w:b/>
      <w:color w:val="2172AE"/>
      <w:lang w:val="es-ES_tradnl" w:eastAsia="es-ES"/>
    </w:rPr>
  </w:style>
  <w:style w:type="paragraph" w:customStyle="1" w:styleId="Nota-cuerpo">
    <w:name w:val="Nota - cuerpo"/>
    <w:basedOn w:val="Normal"/>
    <w:rsid w:val="000459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jc w:val="both"/>
    </w:pPr>
    <w:rPr>
      <w:rFonts w:ascii="Times New Roman" w:eastAsia="Times New Roman" w:hAnsi="Times New Roman"/>
      <w:sz w:val="24"/>
    </w:rPr>
  </w:style>
  <w:style w:type="paragraph" w:customStyle="1" w:styleId="1Empresa3">
    <w:name w:val="1Empresa:3"/>
    <w:basedOn w:val="Normal"/>
    <w:rsid w:val="000459D1"/>
    <w:pPr>
      <w:spacing w:after="0" w:line="240" w:lineRule="auto"/>
      <w:jc w:val="center"/>
    </w:pPr>
    <w:rPr>
      <w:rFonts w:ascii="Times New Roman" w:eastAsia="Times New Roman" w:hAnsi="Times New Roman"/>
      <w:b/>
      <w:sz w:val="36"/>
      <w:lang w:val="es-ES_tradnl" w:eastAsia="es-ES"/>
    </w:rPr>
  </w:style>
  <w:style w:type="paragraph" w:customStyle="1" w:styleId="Textodetabla3">
    <w:name w:val="Texto de tabla:3"/>
    <w:basedOn w:val="Normal"/>
    <w:rsid w:val="000459D1"/>
    <w:pPr>
      <w:tabs>
        <w:tab w:val="decimal"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jc w:val="both"/>
    </w:pPr>
    <w:rPr>
      <w:rFonts w:ascii="Times New Roman" w:eastAsia="Times New Roman" w:hAnsi="Times New Roman"/>
      <w:sz w:val="16"/>
      <w:lang w:eastAsia="es-ES"/>
    </w:rPr>
  </w:style>
  <w:style w:type="paragraph" w:customStyle="1" w:styleId="footnotedescription">
    <w:name w:val="footnote description"/>
    <w:next w:val="Normal"/>
    <w:link w:val="footnotedescriptionChar"/>
    <w:hidden/>
    <w:rsid w:val="00F04A02"/>
    <w:pPr>
      <w:spacing w:line="259" w:lineRule="auto"/>
      <w:ind w:left="142" w:hanging="142"/>
    </w:pPr>
    <w:rPr>
      <w:rFonts w:ascii="Times New Roman" w:eastAsia="Times New Roman" w:hAnsi="Times New Roman"/>
      <w:color w:val="000000"/>
      <w:sz w:val="18"/>
      <w:szCs w:val="22"/>
    </w:rPr>
  </w:style>
  <w:style w:type="character" w:customStyle="1" w:styleId="footnotedescriptionChar">
    <w:name w:val="footnote description Char"/>
    <w:link w:val="footnotedescription"/>
    <w:rsid w:val="00F04A02"/>
    <w:rPr>
      <w:rFonts w:ascii="Times New Roman" w:eastAsia="Times New Roman" w:hAnsi="Times New Roman"/>
      <w:color w:val="000000"/>
      <w:sz w:val="18"/>
      <w:szCs w:val="22"/>
    </w:rPr>
  </w:style>
  <w:style w:type="character" w:customStyle="1" w:styleId="footnotemark">
    <w:name w:val="footnote mark"/>
    <w:hidden/>
    <w:rsid w:val="00F04A02"/>
    <w:rPr>
      <w:rFonts w:ascii="Times New Roman" w:eastAsia="Times New Roman" w:hAnsi="Times New Roman" w:cs="Times New Roman"/>
      <w:color w:val="000000"/>
      <w:sz w:val="18"/>
      <w:vertAlign w:val="superscript"/>
    </w:rPr>
  </w:style>
  <w:style w:type="character" w:customStyle="1" w:styleId="SinespaciadoCar">
    <w:name w:val="Sin espaciado Car"/>
    <w:link w:val="Sinespaciado"/>
    <w:uiPriority w:val="99"/>
    <w:rsid w:val="00CC59A0"/>
    <w:rPr>
      <w:rFonts w:cs="Calibri"/>
      <w:color w:val="000000"/>
      <w:szCs w:val="24"/>
      <w:lang w:eastAsia="en-US"/>
    </w:rPr>
  </w:style>
  <w:style w:type="paragraph" w:customStyle="1" w:styleId="Default">
    <w:name w:val="Default"/>
    <w:rsid w:val="00FB42EF"/>
    <w:pPr>
      <w:autoSpaceDE w:val="0"/>
      <w:autoSpaceDN w:val="0"/>
      <w:adjustRightInd w:val="0"/>
    </w:pPr>
    <w:rPr>
      <w:rFonts w:ascii="Times New Roman" w:hAnsi="Times New Roman"/>
      <w:color w:val="000000"/>
      <w:sz w:val="24"/>
      <w:szCs w:val="24"/>
    </w:rPr>
  </w:style>
  <w:style w:type="character" w:customStyle="1" w:styleId="PrrafodelistaCar">
    <w:name w:val="Párrafo de lista Car"/>
    <w:aliases w:val="הערת שוליים Car"/>
    <w:link w:val="Prrafodelista"/>
    <w:uiPriority w:val="99"/>
    <w:locked/>
    <w:rsid w:val="0025186A"/>
    <w:rPr>
      <w:sz w:val="22"/>
      <w:szCs w:val="22"/>
      <w:lang w:eastAsia="en-US"/>
    </w:rPr>
  </w:style>
  <w:style w:type="character" w:customStyle="1" w:styleId="BlockTextSglChar">
    <w:name w:val="Block Text Sgl Char"/>
    <w:link w:val="BlockTextSgl"/>
    <w:rsid w:val="00D2779A"/>
    <w:rPr>
      <w:rFonts w:ascii="Times New Roman" w:eastAsia="Wingdings" w:hAnsi="Times New Roman"/>
      <w:szCs w:val="24"/>
      <w:lang w:val="en-US" w:eastAsia="en-US"/>
    </w:rPr>
  </w:style>
  <w:style w:type="character" w:customStyle="1" w:styleId="A9">
    <w:name w:val="A9"/>
    <w:uiPriority w:val="99"/>
    <w:rsid w:val="00B16720"/>
    <w:rPr>
      <w:rFonts w:cs="HelveticaNeueLT Std"/>
      <w:color w:val="000000"/>
      <w:sz w:val="17"/>
      <w:szCs w:val="17"/>
    </w:rPr>
  </w:style>
  <w:style w:type="numbering" w:customStyle="1" w:styleId="Sinlista1">
    <w:name w:val="Sin lista1"/>
    <w:next w:val="Sinlista"/>
    <w:uiPriority w:val="99"/>
    <w:semiHidden/>
    <w:unhideWhenUsed/>
    <w:rsid w:val="00794D95"/>
  </w:style>
  <w:style w:type="paragraph" w:customStyle="1" w:styleId="Pa120">
    <w:name w:val="Pa120"/>
    <w:basedOn w:val="Default"/>
    <w:next w:val="Default"/>
    <w:uiPriority w:val="99"/>
    <w:rsid w:val="00794D95"/>
    <w:pPr>
      <w:spacing w:line="161" w:lineRule="atLeast"/>
    </w:pPr>
    <w:rPr>
      <w:rFonts w:ascii="HelveticaNeueLT Std" w:hAnsi="HelveticaNeueLT Std"/>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59700">
      <w:bodyDiv w:val="1"/>
      <w:marLeft w:val="0"/>
      <w:marRight w:val="0"/>
      <w:marTop w:val="0"/>
      <w:marBottom w:val="0"/>
      <w:divBdr>
        <w:top w:val="none" w:sz="0" w:space="0" w:color="auto"/>
        <w:left w:val="none" w:sz="0" w:space="0" w:color="auto"/>
        <w:bottom w:val="none" w:sz="0" w:space="0" w:color="auto"/>
        <w:right w:val="none" w:sz="0" w:space="0" w:color="auto"/>
      </w:divBdr>
    </w:div>
    <w:div w:id="227887450">
      <w:bodyDiv w:val="1"/>
      <w:marLeft w:val="0"/>
      <w:marRight w:val="0"/>
      <w:marTop w:val="0"/>
      <w:marBottom w:val="0"/>
      <w:divBdr>
        <w:top w:val="none" w:sz="0" w:space="0" w:color="auto"/>
        <w:left w:val="none" w:sz="0" w:space="0" w:color="auto"/>
        <w:bottom w:val="none" w:sz="0" w:space="0" w:color="auto"/>
        <w:right w:val="none" w:sz="0" w:space="0" w:color="auto"/>
      </w:divBdr>
    </w:div>
    <w:div w:id="344014196">
      <w:bodyDiv w:val="1"/>
      <w:marLeft w:val="0"/>
      <w:marRight w:val="0"/>
      <w:marTop w:val="0"/>
      <w:marBottom w:val="0"/>
      <w:divBdr>
        <w:top w:val="none" w:sz="0" w:space="0" w:color="auto"/>
        <w:left w:val="none" w:sz="0" w:space="0" w:color="auto"/>
        <w:bottom w:val="none" w:sz="0" w:space="0" w:color="auto"/>
        <w:right w:val="none" w:sz="0" w:space="0" w:color="auto"/>
      </w:divBdr>
    </w:div>
    <w:div w:id="367343152">
      <w:bodyDiv w:val="1"/>
      <w:marLeft w:val="0"/>
      <w:marRight w:val="0"/>
      <w:marTop w:val="0"/>
      <w:marBottom w:val="0"/>
      <w:divBdr>
        <w:top w:val="none" w:sz="0" w:space="0" w:color="auto"/>
        <w:left w:val="none" w:sz="0" w:space="0" w:color="auto"/>
        <w:bottom w:val="none" w:sz="0" w:space="0" w:color="auto"/>
        <w:right w:val="none" w:sz="0" w:space="0" w:color="auto"/>
      </w:divBdr>
    </w:div>
    <w:div w:id="437454848">
      <w:bodyDiv w:val="1"/>
      <w:marLeft w:val="0"/>
      <w:marRight w:val="0"/>
      <w:marTop w:val="0"/>
      <w:marBottom w:val="0"/>
      <w:divBdr>
        <w:top w:val="none" w:sz="0" w:space="0" w:color="auto"/>
        <w:left w:val="none" w:sz="0" w:space="0" w:color="auto"/>
        <w:bottom w:val="none" w:sz="0" w:space="0" w:color="auto"/>
        <w:right w:val="none" w:sz="0" w:space="0" w:color="auto"/>
      </w:divBdr>
    </w:div>
    <w:div w:id="568535101">
      <w:bodyDiv w:val="1"/>
      <w:marLeft w:val="0"/>
      <w:marRight w:val="0"/>
      <w:marTop w:val="0"/>
      <w:marBottom w:val="0"/>
      <w:divBdr>
        <w:top w:val="none" w:sz="0" w:space="0" w:color="auto"/>
        <w:left w:val="none" w:sz="0" w:space="0" w:color="auto"/>
        <w:bottom w:val="none" w:sz="0" w:space="0" w:color="auto"/>
        <w:right w:val="none" w:sz="0" w:space="0" w:color="auto"/>
      </w:divBdr>
    </w:div>
    <w:div w:id="577324414">
      <w:bodyDiv w:val="1"/>
      <w:marLeft w:val="0"/>
      <w:marRight w:val="0"/>
      <w:marTop w:val="0"/>
      <w:marBottom w:val="0"/>
      <w:divBdr>
        <w:top w:val="none" w:sz="0" w:space="0" w:color="auto"/>
        <w:left w:val="none" w:sz="0" w:space="0" w:color="auto"/>
        <w:bottom w:val="none" w:sz="0" w:space="0" w:color="auto"/>
        <w:right w:val="none" w:sz="0" w:space="0" w:color="auto"/>
      </w:divBdr>
      <w:divsChild>
        <w:div w:id="376318007">
          <w:marLeft w:val="0"/>
          <w:marRight w:val="0"/>
          <w:marTop w:val="0"/>
          <w:marBottom w:val="0"/>
          <w:divBdr>
            <w:top w:val="none" w:sz="0" w:space="0" w:color="auto"/>
            <w:left w:val="none" w:sz="0" w:space="0" w:color="auto"/>
            <w:bottom w:val="none" w:sz="0" w:space="0" w:color="auto"/>
            <w:right w:val="none" w:sz="0" w:space="0" w:color="auto"/>
          </w:divBdr>
        </w:div>
        <w:div w:id="1748651885">
          <w:marLeft w:val="0"/>
          <w:marRight w:val="0"/>
          <w:marTop w:val="0"/>
          <w:marBottom w:val="0"/>
          <w:divBdr>
            <w:top w:val="none" w:sz="0" w:space="0" w:color="auto"/>
            <w:left w:val="none" w:sz="0" w:space="0" w:color="auto"/>
            <w:bottom w:val="none" w:sz="0" w:space="0" w:color="auto"/>
            <w:right w:val="none" w:sz="0" w:space="0" w:color="auto"/>
          </w:divBdr>
        </w:div>
        <w:div w:id="943222637">
          <w:marLeft w:val="0"/>
          <w:marRight w:val="0"/>
          <w:marTop w:val="0"/>
          <w:marBottom w:val="0"/>
          <w:divBdr>
            <w:top w:val="none" w:sz="0" w:space="0" w:color="auto"/>
            <w:left w:val="none" w:sz="0" w:space="0" w:color="auto"/>
            <w:bottom w:val="none" w:sz="0" w:space="0" w:color="auto"/>
            <w:right w:val="none" w:sz="0" w:space="0" w:color="auto"/>
          </w:divBdr>
        </w:div>
        <w:div w:id="1176962247">
          <w:marLeft w:val="0"/>
          <w:marRight w:val="0"/>
          <w:marTop w:val="0"/>
          <w:marBottom w:val="0"/>
          <w:divBdr>
            <w:top w:val="none" w:sz="0" w:space="0" w:color="auto"/>
            <w:left w:val="none" w:sz="0" w:space="0" w:color="auto"/>
            <w:bottom w:val="none" w:sz="0" w:space="0" w:color="auto"/>
            <w:right w:val="none" w:sz="0" w:space="0" w:color="auto"/>
          </w:divBdr>
        </w:div>
        <w:div w:id="1649242677">
          <w:marLeft w:val="0"/>
          <w:marRight w:val="0"/>
          <w:marTop w:val="0"/>
          <w:marBottom w:val="0"/>
          <w:divBdr>
            <w:top w:val="none" w:sz="0" w:space="0" w:color="auto"/>
            <w:left w:val="none" w:sz="0" w:space="0" w:color="auto"/>
            <w:bottom w:val="none" w:sz="0" w:space="0" w:color="auto"/>
            <w:right w:val="none" w:sz="0" w:space="0" w:color="auto"/>
          </w:divBdr>
        </w:div>
        <w:div w:id="201745335">
          <w:marLeft w:val="0"/>
          <w:marRight w:val="0"/>
          <w:marTop w:val="0"/>
          <w:marBottom w:val="0"/>
          <w:divBdr>
            <w:top w:val="none" w:sz="0" w:space="0" w:color="auto"/>
            <w:left w:val="none" w:sz="0" w:space="0" w:color="auto"/>
            <w:bottom w:val="none" w:sz="0" w:space="0" w:color="auto"/>
            <w:right w:val="none" w:sz="0" w:space="0" w:color="auto"/>
          </w:divBdr>
        </w:div>
        <w:div w:id="401484981">
          <w:marLeft w:val="0"/>
          <w:marRight w:val="0"/>
          <w:marTop w:val="0"/>
          <w:marBottom w:val="0"/>
          <w:divBdr>
            <w:top w:val="none" w:sz="0" w:space="0" w:color="auto"/>
            <w:left w:val="none" w:sz="0" w:space="0" w:color="auto"/>
            <w:bottom w:val="none" w:sz="0" w:space="0" w:color="auto"/>
            <w:right w:val="none" w:sz="0" w:space="0" w:color="auto"/>
          </w:divBdr>
        </w:div>
        <w:div w:id="1091663813">
          <w:marLeft w:val="0"/>
          <w:marRight w:val="0"/>
          <w:marTop w:val="0"/>
          <w:marBottom w:val="0"/>
          <w:divBdr>
            <w:top w:val="none" w:sz="0" w:space="0" w:color="auto"/>
            <w:left w:val="none" w:sz="0" w:space="0" w:color="auto"/>
            <w:bottom w:val="none" w:sz="0" w:space="0" w:color="auto"/>
            <w:right w:val="none" w:sz="0" w:space="0" w:color="auto"/>
          </w:divBdr>
        </w:div>
        <w:div w:id="1845364870">
          <w:marLeft w:val="0"/>
          <w:marRight w:val="0"/>
          <w:marTop w:val="0"/>
          <w:marBottom w:val="0"/>
          <w:divBdr>
            <w:top w:val="none" w:sz="0" w:space="0" w:color="auto"/>
            <w:left w:val="none" w:sz="0" w:space="0" w:color="auto"/>
            <w:bottom w:val="none" w:sz="0" w:space="0" w:color="auto"/>
            <w:right w:val="none" w:sz="0" w:space="0" w:color="auto"/>
          </w:divBdr>
        </w:div>
      </w:divsChild>
    </w:div>
    <w:div w:id="600339394">
      <w:marLeft w:val="0"/>
      <w:marRight w:val="0"/>
      <w:marTop w:val="0"/>
      <w:marBottom w:val="0"/>
      <w:divBdr>
        <w:top w:val="none" w:sz="0" w:space="0" w:color="auto"/>
        <w:left w:val="none" w:sz="0" w:space="0" w:color="auto"/>
        <w:bottom w:val="none" w:sz="0" w:space="0" w:color="auto"/>
        <w:right w:val="none" w:sz="0" w:space="0" w:color="auto"/>
      </w:divBdr>
    </w:div>
    <w:div w:id="600339395">
      <w:marLeft w:val="0"/>
      <w:marRight w:val="0"/>
      <w:marTop w:val="0"/>
      <w:marBottom w:val="0"/>
      <w:divBdr>
        <w:top w:val="none" w:sz="0" w:space="0" w:color="auto"/>
        <w:left w:val="none" w:sz="0" w:space="0" w:color="auto"/>
        <w:bottom w:val="none" w:sz="0" w:space="0" w:color="auto"/>
        <w:right w:val="none" w:sz="0" w:space="0" w:color="auto"/>
      </w:divBdr>
    </w:div>
    <w:div w:id="891502391">
      <w:bodyDiv w:val="1"/>
      <w:marLeft w:val="0"/>
      <w:marRight w:val="0"/>
      <w:marTop w:val="0"/>
      <w:marBottom w:val="0"/>
      <w:divBdr>
        <w:top w:val="none" w:sz="0" w:space="0" w:color="auto"/>
        <w:left w:val="none" w:sz="0" w:space="0" w:color="auto"/>
        <w:bottom w:val="none" w:sz="0" w:space="0" w:color="auto"/>
        <w:right w:val="none" w:sz="0" w:space="0" w:color="auto"/>
      </w:divBdr>
    </w:div>
    <w:div w:id="903375105">
      <w:bodyDiv w:val="1"/>
      <w:marLeft w:val="0"/>
      <w:marRight w:val="0"/>
      <w:marTop w:val="0"/>
      <w:marBottom w:val="0"/>
      <w:divBdr>
        <w:top w:val="none" w:sz="0" w:space="0" w:color="auto"/>
        <w:left w:val="none" w:sz="0" w:space="0" w:color="auto"/>
        <w:bottom w:val="none" w:sz="0" w:space="0" w:color="auto"/>
        <w:right w:val="none" w:sz="0" w:space="0" w:color="auto"/>
      </w:divBdr>
    </w:div>
    <w:div w:id="1004553779">
      <w:bodyDiv w:val="1"/>
      <w:marLeft w:val="0"/>
      <w:marRight w:val="0"/>
      <w:marTop w:val="0"/>
      <w:marBottom w:val="0"/>
      <w:divBdr>
        <w:top w:val="none" w:sz="0" w:space="0" w:color="auto"/>
        <w:left w:val="none" w:sz="0" w:space="0" w:color="auto"/>
        <w:bottom w:val="none" w:sz="0" w:space="0" w:color="auto"/>
        <w:right w:val="none" w:sz="0" w:space="0" w:color="auto"/>
      </w:divBdr>
    </w:div>
    <w:div w:id="1061057200">
      <w:bodyDiv w:val="1"/>
      <w:marLeft w:val="0"/>
      <w:marRight w:val="0"/>
      <w:marTop w:val="0"/>
      <w:marBottom w:val="0"/>
      <w:divBdr>
        <w:top w:val="none" w:sz="0" w:space="0" w:color="auto"/>
        <w:left w:val="none" w:sz="0" w:space="0" w:color="auto"/>
        <w:bottom w:val="none" w:sz="0" w:space="0" w:color="auto"/>
        <w:right w:val="none" w:sz="0" w:space="0" w:color="auto"/>
      </w:divBdr>
    </w:div>
    <w:div w:id="1224099935">
      <w:bodyDiv w:val="1"/>
      <w:marLeft w:val="0"/>
      <w:marRight w:val="0"/>
      <w:marTop w:val="0"/>
      <w:marBottom w:val="0"/>
      <w:divBdr>
        <w:top w:val="none" w:sz="0" w:space="0" w:color="auto"/>
        <w:left w:val="none" w:sz="0" w:space="0" w:color="auto"/>
        <w:bottom w:val="none" w:sz="0" w:space="0" w:color="auto"/>
        <w:right w:val="none" w:sz="0" w:space="0" w:color="auto"/>
      </w:divBdr>
    </w:div>
    <w:div w:id="1481851329">
      <w:bodyDiv w:val="1"/>
      <w:marLeft w:val="0"/>
      <w:marRight w:val="0"/>
      <w:marTop w:val="0"/>
      <w:marBottom w:val="0"/>
      <w:divBdr>
        <w:top w:val="none" w:sz="0" w:space="0" w:color="auto"/>
        <w:left w:val="none" w:sz="0" w:space="0" w:color="auto"/>
        <w:bottom w:val="none" w:sz="0" w:space="0" w:color="auto"/>
        <w:right w:val="none" w:sz="0" w:space="0" w:color="auto"/>
      </w:divBdr>
    </w:div>
    <w:div w:id="1506901428">
      <w:bodyDiv w:val="1"/>
      <w:marLeft w:val="0"/>
      <w:marRight w:val="0"/>
      <w:marTop w:val="0"/>
      <w:marBottom w:val="0"/>
      <w:divBdr>
        <w:top w:val="none" w:sz="0" w:space="0" w:color="auto"/>
        <w:left w:val="none" w:sz="0" w:space="0" w:color="auto"/>
        <w:bottom w:val="none" w:sz="0" w:space="0" w:color="auto"/>
        <w:right w:val="none" w:sz="0" w:space="0" w:color="auto"/>
      </w:divBdr>
    </w:div>
    <w:div w:id="1648046931">
      <w:bodyDiv w:val="1"/>
      <w:marLeft w:val="0"/>
      <w:marRight w:val="0"/>
      <w:marTop w:val="0"/>
      <w:marBottom w:val="0"/>
      <w:divBdr>
        <w:top w:val="none" w:sz="0" w:space="0" w:color="auto"/>
        <w:left w:val="none" w:sz="0" w:space="0" w:color="auto"/>
        <w:bottom w:val="none" w:sz="0" w:space="0" w:color="auto"/>
        <w:right w:val="none" w:sz="0" w:space="0" w:color="auto"/>
      </w:divBdr>
    </w:div>
    <w:div w:id="1816528116">
      <w:bodyDiv w:val="1"/>
      <w:marLeft w:val="0"/>
      <w:marRight w:val="0"/>
      <w:marTop w:val="0"/>
      <w:marBottom w:val="0"/>
      <w:divBdr>
        <w:top w:val="none" w:sz="0" w:space="0" w:color="auto"/>
        <w:left w:val="none" w:sz="0" w:space="0" w:color="auto"/>
        <w:bottom w:val="none" w:sz="0" w:space="0" w:color="auto"/>
        <w:right w:val="none" w:sz="0" w:space="0" w:color="auto"/>
      </w:divBdr>
    </w:div>
    <w:div w:id="1824806937">
      <w:bodyDiv w:val="1"/>
      <w:marLeft w:val="0"/>
      <w:marRight w:val="0"/>
      <w:marTop w:val="0"/>
      <w:marBottom w:val="0"/>
      <w:divBdr>
        <w:top w:val="none" w:sz="0" w:space="0" w:color="auto"/>
        <w:left w:val="none" w:sz="0" w:space="0" w:color="auto"/>
        <w:bottom w:val="none" w:sz="0" w:space="0" w:color="auto"/>
        <w:right w:val="none" w:sz="0" w:space="0" w:color="auto"/>
      </w:divBdr>
      <w:divsChild>
        <w:div w:id="1165121501">
          <w:marLeft w:val="0"/>
          <w:marRight w:val="0"/>
          <w:marTop w:val="0"/>
          <w:marBottom w:val="0"/>
          <w:divBdr>
            <w:top w:val="none" w:sz="0" w:space="0" w:color="auto"/>
            <w:left w:val="none" w:sz="0" w:space="0" w:color="auto"/>
            <w:bottom w:val="none" w:sz="0" w:space="0" w:color="auto"/>
            <w:right w:val="none" w:sz="0" w:space="0" w:color="auto"/>
          </w:divBdr>
        </w:div>
        <w:div w:id="1548102591">
          <w:marLeft w:val="0"/>
          <w:marRight w:val="0"/>
          <w:marTop w:val="0"/>
          <w:marBottom w:val="0"/>
          <w:divBdr>
            <w:top w:val="none" w:sz="0" w:space="0" w:color="auto"/>
            <w:left w:val="none" w:sz="0" w:space="0" w:color="auto"/>
            <w:bottom w:val="none" w:sz="0" w:space="0" w:color="auto"/>
            <w:right w:val="none" w:sz="0" w:space="0" w:color="auto"/>
          </w:divBdr>
        </w:div>
        <w:div w:id="1097486047">
          <w:marLeft w:val="0"/>
          <w:marRight w:val="0"/>
          <w:marTop w:val="0"/>
          <w:marBottom w:val="0"/>
          <w:divBdr>
            <w:top w:val="none" w:sz="0" w:space="0" w:color="auto"/>
            <w:left w:val="none" w:sz="0" w:space="0" w:color="auto"/>
            <w:bottom w:val="none" w:sz="0" w:space="0" w:color="auto"/>
            <w:right w:val="none" w:sz="0" w:space="0" w:color="auto"/>
          </w:divBdr>
        </w:div>
        <w:div w:id="1306736891">
          <w:marLeft w:val="0"/>
          <w:marRight w:val="0"/>
          <w:marTop w:val="0"/>
          <w:marBottom w:val="0"/>
          <w:divBdr>
            <w:top w:val="none" w:sz="0" w:space="0" w:color="auto"/>
            <w:left w:val="none" w:sz="0" w:space="0" w:color="auto"/>
            <w:bottom w:val="none" w:sz="0" w:space="0" w:color="auto"/>
            <w:right w:val="none" w:sz="0" w:space="0" w:color="auto"/>
          </w:divBdr>
        </w:div>
        <w:div w:id="297612424">
          <w:marLeft w:val="0"/>
          <w:marRight w:val="0"/>
          <w:marTop w:val="0"/>
          <w:marBottom w:val="0"/>
          <w:divBdr>
            <w:top w:val="none" w:sz="0" w:space="0" w:color="auto"/>
            <w:left w:val="none" w:sz="0" w:space="0" w:color="auto"/>
            <w:bottom w:val="none" w:sz="0" w:space="0" w:color="auto"/>
            <w:right w:val="none" w:sz="0" w:space="0" w:color="auto"/>
          </w:divBdr>
        </w:div>
        <w:div w:id="1581525907">
          <w:marLeft w:val="0"/>
          <w:marRight w:val="0"/>
          <w:marTop w:val="0"/>
          <w:marBottom w:val="0"/>
          <w:divBdr>
            <w:top w:val="none" w:sz="0" w:space="0" w:color="auto"/>
            <w:left w:val="none" w:sz="0" w:space="0" w:color="auto"/>
            <w:bottom w:val="none" w:sz="0" w:space="0" w:color="auto"/>
            <w:right w:val="none" w:sz="0" w:space="0" w:color="auto"/>
          </w:divBdr>
        </w:div>
        <w:div w:id="1126966773">
          <w:marLeft w:val="0"/>
          <w:marRight w:val="0"/>
          <w:marTop w:val="0"/>
          <w:marBottom w:val="0"/>
          <w:divBdr>
            <w:top w:val="none" w:sz="0" w:space="0" w:color="auto"/>
            <w:left w:val="none" w:sz="0" w:space="0" w:color="auto"/>
            <w:bottom w:val="none" w:sz="0" w:space="0" w:color="auto"/>
            <w:right w:val="none" w:sz="0" w:space="0" w:color="auto"/>
          </w:divBdr>
        </w:div>
        <w:div w:id="750859789">
          <w:marLeft w:val="0"/>
          <w:marRight w:val="0"/>
          <w:marTop w:val="0"/>
          <w:marBottom w:val="0"/>
          <w:divBdr>
            <w:top w:val="none" w:sz="0" w:space="0" w:color="auto"/>
            <w:left w:val="none" w:sz="0" w:space="0" w:color="auto"/>
            <w:bottom w:val="none" w:sz="0" w:space="0" w:color="auto"/>
            <w:right w:val="none" w:sz="0" w:space="0" w:color="auto"/>
          </w:divBdr>
        </w:div>
        <w:div w:id="915044589">
          <w:marLeft w:val="0"/>
          <w:marRight w:val="0"/>
          <w:marTop w:val="0"/>
          <w:marBottom w:val="0"/>
          <w:divBdr>
            <w:top w:val="none" w:sz="0" w:space="0" w:color="auto"/>
            <w:left w:val="none" w:sz="0" w:space="0" w:color="auto"/>
            <w:bottom w:val="none" w:sz="0" w:space="0" w:color="auto"/>
            <w:right w:val="none" w:sz="0" w:space="0" w:color="auto"/>
          </w:divBdr>
        </w:div>
      </w:divsChild>
    </w:div>
    <w:div w:id="1898003804">
      <w:bodyDiv w:val="1"/>
      <w:marLeft w:val="0"/>
      <w:marRight w:val="0"/>
      <w:marTop w:val="0"/>
      <w:marBottom w:val="0"/>
      <w:divBdr>
        <w:top w:val="none" w:sz="0" w:space="0" w:color="auto"/>
        <w:left w:val="none" w:sz="0" w:space="0" w:color="auto"/>
        <w:bottom w:val="none" w:sz="0" w:space="0" w:color="auto"/>
        <w:right w:val="none" w:sz="0" w:space="0" w:color="auto"/>
      </w:divBdr>
    </w:div>
    <w:div w:id="197166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7.emf"/><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package" Target="embeddings/Microsoft_Excel_Worksheet1.xlsx"/><Relationship Id="rId47" Type="http://schemas.openxmlformats.org/officeDocument/2006/relationships/image" Target="media/image33.emf"/><Relationship Id="rId50"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20.png"/><Relationship Id="rId11" Type="http://schemas.openxmlformats.org/officeDocument/2006/relationships/chart" Target="charts/chart1.xml"/><Relationship Id="rId24" Type="http://schemas.openxmlformats.org/officeDocument/2006/relationships/image" Target="media/image15.emf"/><Relationship Id="rId32" Type="http://schemas.openxmlformats.org/officeDocument/2006/relationships/image" Target="media/image23.png"/><Relationship Id="rId37" Type="http://schemas.openxmlformats.org/officeDocument/2006/relationships/hyperlink" Target="https://gemedi.sharepoint.com/:f:/s/ProgramadeIntegridaddelGrupoAlbanesi/EiS7PGfhaM9MsocUkcMCg-8B7nC4hSQoBSZBjzMUVYThhw?e=aNsvww" TargetMode="External"/><Relationship Id="rId40" Type="http://schemas.openxmlformats.org/officeDocument/2006/relationships/package" Target="embeddings/Microsoft_Excel_Worksheet.xlsx"/><Relationship Id="rId45" Type="http://schemas.openxmlformats.org/officeDocument/2006/relationships/image" Target="media/image31.emf"/><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0.e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www.albanesi.com.ar/programa-integridad.php" TargetMode="External"/><Relationship Id="rId43" Type="http://schemas.openxmlformats.org/officeDocument/2006/relationships/image" Target="media/image29.emf"/><Relationship Id="rId48" Type="http://schemas.openxmlformats.org/officeDocument/2006/relationships/package" Target="embeddings/Microsoft_Excel_Worksheet2.xlsx"/><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6.emf"/><Relationship Id="rId46" Type="http://schemas.openxmlformats.org/officeDocument/2006/relationships/image" Target="media/image32.emf"/><Relationship Id="rId20" Type="http://schemas.openxmlformats.org/officeDocument/2006/relationships/image" Target="media/image11.png"/><Relationship Id="rId41"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png"/><Relationship Id="rId36" Type="http://schemas.openxmlformats.org/officeDocument/2006/relationships/hyperlink" Target="http://www.albanesi.com.ar/linea-etica.php" TargetMode="External"/><Relationship Id="rId49" Type="http://schemas.openxmlformats.org/officeDocument/2006/relationships/image" Target="media/image34.emf"/></Relationships>
</file>

<file path=word/charts/_rels/chart1.xml.rels><?xml version="1.0" encoding="UTF-8" standalone="yes"?>
<Relationships xmlns="http://schemas.openxmlformats.org/package/2006/relationships"><Relationship Id="rId3" Type="http://schemas.openxmlformats.org/officeDocument/2006/relationships/oleObject" Target="file:///\\rga-fs\DiscoH\Grupo%20Albanesi\Contabilidad\Trimestrales%20-%20Anuales\Generadoras\2022\Anual%2012-2022\Memorias\Informacion%20macro\Grafico%20inflaci&#243;n%202022%20(Actualiza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rga-fs\DiscoH\Grupo%20Albanesi\Contabilidad\Trimestrales%20-%20Anuales\Generadoras\2022\Anual%2012-2022\Memorias\Informacion%20macro\Grafico%20inflaci&#243;n%202022%20(Actualizar).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PBI Argentina</a:t>
            </a:r>
          </a:p>
        </c:rich>
      </c:tx>
      <c:layout>
        <c:manualLayout>
          <c:xMode val="edge"/>
          <c:yMode val="edge"/>
          <c:x val="0.37742080731287903"/>
          <c:y val="3.111111111111111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AR"/>
        </a:p>
      </c:txPr>
    </c:title>
    <c:autoTitleDeleted val="0"/>
    <c:plotArea>
      <c:layout/>
      <c:lineChart>
        <c:grouping val="standard"/>
        <c:varyColors val="0"/>
        <c:ser>
          <c:idx val="0"/>
          <c:order val="0"/>
          <c:tx>
            <c:strRef>
              <c:f>PBI!$D$9</c:f>
              <c:strCache>
                <c:ptCount val="1"/>
                <c:pt idx="0">
                  <c:v>PBI argentina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PBI!$E$8:$O$8</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PBI!$E$9:$O$9</c:f>
              <c:numCache>
                <c:formatCode>General</c:formatCode>
                <c:ptCount val="11"/>
                <c:pt idx="0">
                  <c:v>-1</c:v>
                </c:pt>
                <c:pt idx="1">
                  <c:v>2.4</c:v>
                </c:pt>
                <c:pt idx="2">
                  <c:v>-2.5</c:v>
                </c:pt>
                <c:pt idx="3">
                  <c:v>2.7</c:v>
                </c:pt>
                <c:pt idx="4">
                  <c:v>-2.1</c:v>
                </c:pt>
                <c:pt idx="5">
                  <c:v>2.8</c:v>
                </c:pt>
                <c:pt idx="6">
                  <c:v>-2.6</c:v>
                </c:pt>
                <c:pt idx="7">
                  <c:v>-2.1</c:v>
                </c:pt>
                <c:pt idx="8">
                  <c:v>-9.9</c:v>
                </c:pt>
                <c:pt idx="9">
                  <c:v>10.3</c:v>
                </c:pt>
                <c:pt idx="10">
                  <c:v>4</c:v>
                </c:pt>
              </c:numCache>
            </c:numRef>
          </c:val>
          <c:smooth val="0"/>
          <c:extLst>
            <c:ext xmlns:c16="http://schemas.microsoft.com/office/drawing/2014/chart" uri="{C3380CC4-5D6E-409C-BE32-E72D297353CC}">
              <c16:uniqueId val="{00000000-F835-4E8F-90B6-557A2A755C49}"/>
            </c:ext>
          </c:extLst>
        </c:ser>
        <c:dLbls>
          <c:showLegendKey val="0"/>
          <c:showVal val="0"/>
          <c:showCatName val="0"/>
          <c:showSerName val="0"/>
          <c:showPercent val="0"/>
          <c:showBubbleSize val="0"/>
        </c:dLbls>
        <c:marker val="1"/>
        <c:smooth val="0"/>
        <c:axId val="1534552832"/>
        <c:axId val="1534553248"/>
      </c:lineChart>
      <c:catAx>
        <c:axId val="153455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AR"/>
          </a:p>
        </c:txPr>
        <c:crossAx val="1534553248"/>
        <c:crosses val="autoZero"/>
        <c:auto val="1"/>
        <c:lblAlgn val="ctr"/>
        <c:lblOffset val="100"/>
        <c:noMultiLvlLbl val="0"/>
      </c:catAx>
      <c:valAx>
        <c:axId val="1534553248"/>
        <c:scaling>
          <c:orientation val="minMax"/>
          <c:min val="-1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AR"/>
          </a:p>
        </c:txPr>
        <c:crossAx val="1534552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A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7537356321839077"/>
          <c:y val="0.04"/>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barChart>
        <c:barDir val="col"/>
        <c:grouping val="clustered"/>
        <c:varyColors val="0"/>
        <c:ser>
          <c:idx val="0"/>
          <c:order val="0"/>
          <c:tx>
            <c:strRef>
              <c:f>IPC!$D$3</c:f>
              <c:strCache>
                <c:ptCount val="1"/>
                <c:pt idx="0">
                  <c:v>Inflación (IPC)</c:v>
                </c:pt>
              </c:strCache>
            </c:strRef>
          </c:tx>
          <c:spPr>
            <a:solidFill>
              <a:schemeClr val="accent1"/>
            </a:solidFill>
            <a:ln>
              <a:noFill/>
            </a:ln>
            <a:effectLst/>
          </c:spPr>
          <c:invertIfNegative val="0"/>
          <c:cat>
            <c:numRef>
              <c:f>IPC!$C$4:$C$8</c:f>
              <c:numCache>
                <c:formatCode>General</c:formatCode>
                <c:ptCount val="5"/>
                <c:pt idx="0">
                  <c:v>2018</c:v>
                </c:pt>
                <c:pt idx="1">
                  <c:v>2019</c:v>
                </c:pt>
                <c:pt idx="2">
                  <c:v>2020</c:v>
                </c:pt>
                <c:pt idx="3">
                  <c:v>2021</c:v>
                </c:pt>
                <c:pt idx="4">
                  <c:v>2022</c:v>
                </c:pt>
              </c:numCache>
            </c:numRef>
          </c:cat>
          <c:val>
            <c:numRef>
              <c:f>IPC!$D$4:$D$8</c:f>
              <c:numCache>
                <c:formatCode>0.0%</c:formatCode>
                <c:ptCount val="5"/>
                <c:pt idx="0">
                  <c:v>0.4764559006888065</c:v>
                </c:pt>
                <c:pt idx="1">
                  <c:v>0.5383240201633388</c:v>
                </c:pt>
                <c:pt idx="2">
                  <c:v>0.36140587812345415</c:v>
                </c:pt>
                <c:pt idx="3">
                  <c:v>0.5089999999999999</c:v>
                </c:pt>
                <c:pt idx="4">
                  <c:v>0.94789999999999996</c:v>
                </c:pt>
              </c:numCache>
            </c:numRef>
          </c:val>
          <c:extLst>
            <c:ext xmlns:c16="http://schemas.microsoft.com/office/drawing/2014/chart" uri="{C3380CC4-5D6E-409C-BE32-E72D297353CC}">
              <c16:uniqueId val="{00000000-0FA6-4B87-ACED-3E5C835DE186}"/>
            </c:ext>
          </c:extLst>
        </c:ser>
        <c:dLbls>
          <c:showLegendKey val="0"/>
          <c:showVal val="0"/>
          <c:showCatName val="0"/>
          <c:showSerName val="0"/>
          <c:showPercent val="0"/>
          <c:showBubbleSize val="0"/>
        </c:dLbls>
        <c:gapWidth val="150"/>
        <c:axId val="1800814560"/>
        <c:axId val="1800799168"/>
      </c:barChart>
      <c:catAx>
        <c:axId val="180081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1800799168"/>
        <c:crosses val="autoZero"/>
        <c:auto val="1"/>
        <c:lblAlgn val="ctr"/>
        <c:lblOffset val="100"/>
        <c:noMultiLvlLbl val="0"/>
      </c:catAx>
      <c:valAx>
        <c:axId val="1800799168"/>
        <c:scaling>
          <c:orientation val="minMax"/>
          <c:min val="0.1500000000000000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1800814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98951-859A-417C-93D8-5606B45C2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13807</Words>
  <Characters>75944</Characters>
  <Application>Microsoft Office Word</Application>
  <DocSecurity>0</DocSecurity>
  <Lines>632</Lines>
  <Paragraphs>179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Memoria Ejercicio 2012</vt:lpstr>
    </vt:vector>
  </TitlesOfParts>
  <Company>Albanesi SA</Company>
  <LinksUpToDate>false</LinksUpToDate>
  <CharactersWithSpaces>89572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Francisco Matias Tessi</dc:creator>
  <cp:lastModifiedBy>Franco Robiglio</cp:lastModifiedBy>
  <cp:revision>6</cp:revision>
  <cp:lastPrinted>2020-02-21T13:01:00Z</cp:lastPrinted>
  <dcterms:created xsi:type="dcterms:W3CDTF">2023-03-09T14:13:00Z</dcterms:created>
  <dcterms:modified xsi:type="dcterms:W3CDTF">2023-03-09T19:12:00Z</dcterms:modified>
</cp:coreProperties>
</file>