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383" w:rsidRPr="00A823BF" w:rsidRDefault="001E2383" w:rsidP="001E2383">
      <w:pPr>
        <w:jc w:val="right"/>
        <w:rPr>
          <w:snapToGrid w:val="0"/>
          <w:sz w:val="22"/>
          <w:szCs w:val="22"/>
          <w:lang w:val="es-ES"/>
        </w:rPr>
      </w:pPr>
    </w:p>
    <w:p w:rsidR="001E2383" w:rsidRPr="00790C51" w:rsidRDefault="00237216" w:rsidP="00237216">
      <w:pPr>
        <w:jc w:val="center"/>
        <w:rPr>
          <w:b/>
          <w:snapToGrid w:val="0"/>
          <w:sz w:val="20"/>
          <w:szCs w:val="20"/>
          <w:u w:val="single"/>
          <w:lang w:val="es-ES"/>
        </w:rPr>
      </w:pPr>
      <w:r w:rsidRPr="00790C51">
        <w:rPr>
          <w:b/>
          <w:snapToGrid w:val="0"/>
          <w:sz w:val="20"/>
          <w:szCs w:val="20"/>
          <w:u w:val="single"/>
          <w:lang w:val="es-ES"/>
        </w:rPr>
        <w:t>ACTA DE SUBDELEGADO</w:t>
      </w:r>
    </w:p>
    <w:p w:rsidR="00237216" w:rsidRPr="00790C51" w:rsidRDefault="00237216" w:rsidP="00237216">
      <w:pPr>
        <w:jc w:val="center"/>
        <w:rPr>
          <w:b/>
          <w:snapToGrid w:val="0"/>
          <w:sz w:val="20"/>
          <w:szCs w:val="20"/>
          <w:u w:val="single"/>
          <w:lang w:val="es-ES"/>
        </w:rPr>
      </w:pPr>
    </w:p>
    <w:p w:rsidR="001E2383" w:rsidRPr="00790C51" w:rsidRDefault="0087203B" w:rsidP="001E2383">
      <w:pPr>
        <w:jc w:val="right"/>
        <w:rPr>
          <w:snapToGrid w:val="0"/>
          <w:sz w:val="20"/>
          <w:szCs w:val="20"/>
          <w:lang w:val="es-ES"/>
        </w:rPr>
      </w:pPr>
      <w:r w:rsidRPr="00790C51">
        <w:rPr>
          <w:snapToGrid w:val="0"/>
          <w:sz w:val="20"/>
          <w:szCs w:val="20"/>
          <w:lang w:val="es-ES"/>
        </w:rPr>
        <w:t xml:space="preserve">Ciudad Autónoma de </w:t>
      </w:r>
      <w:r w:rsidR="001E2383" w:rsidRPr="00790C51">
        <w:rPr>
          <w:snapToGrid w:val="0"/>
          <w:sz w:val="20"/>
          <w:szCs w:val="20"/>
          <w:lang w:val="es-ES"/>
        </w:rPr>
        <w:t xml:space="preserve">Buenos Aires, </w:t>
      </w:r>
      <w:r w:rsidR="00606502">
        <w:rPr>
          <w:snapToGrid w:val="0"/>
          <w:sz w:val="20"/>
          <w:szCs w:val="20"/>
          <w:lang w:val="es-ES"/>
        </w:rPr>
        <w:t>27</w:t>
      </w:r>
      <w:r w:rsidR="00A823BF" w:rsidRPr="00790C51">
        <w:rPr>
          <w:snapToGrid w:val="0"/>
          <w:sz w:val="20"/>
          <w:szCs w:val="20"/>
          <w:lang w:val="es-ES"/>
        </w:rPr>
        <w:t xml:space="preserve"> </w:t>
      </w:r>
      <w:r w:rsidR="001E2383" w:rsidRPr="00790C51">
        <w:rPr>
          <w:snapToGrid w:val="0"/>
          <w:sz w:val="20"/>
          <w:szCs w:val="20"/>
          <w:lang w:val="es-ES"/>
        </w:rPr>
        <w:t xml:space="preserve">de </w:t>
      </w:r>
      <w:r w:rsidR="00606502">
        <w:rPr>
          <w:snapToGrid w:val="0"/>
          <w:sz w:val="20"/>
          <w:szCs w:val="20"/>
          <w:lang w:val="es-ES"/>
        </w:rPr>
        <w:t xml:space="preserve">mayo </w:t>
      </w:r>
      <w:r w:rsidR="001E2383" w:rsidRPr="00790C51">
        <w:rPr>
          <w:snapToGrid w:val="0"/>
          <w:sz w:val="20"/>
          <w:szCs w:val="20"/>
          <w:lang w:val="es-ES"/>
        </w:rPr>
        <w:t>de 201</w:t>
      </w:r>
      <w:r w:rsidR="00606502">
        <w:rPr>
          <w:snapToGrid w:val="0"/>
          <w:sz w:val="20"/>
          <w:szCs w:val="20"/>
          <w:lang w:val="es-ES"/>
        </w:rPr>
        <w:t>9</w:t>
      </w:r>
      <w:r w:rsidRPr="00790C51">
        <w:rPr>
          <w:snapToGrid w:val="0"/>
          <w:sz w:val="20"/>
          <w:szCs w:val="20"/>
          <w:lang w:val="es-ES"/>
        </w:rPr>
        <w:t>.</w:t>
      </w:r>
    </w:p>
    <w:p w:rsidR="001E2383" w:rsidRPr="00790C51" w:rsidRDefault="001E2383" w:rsidP="001E2383">
      <w:pPr>
        <w:rPr>
          <w:sz w:val="20"/>
          <w:szCs w:val="20"/>
          <w:lang w:val="es-ES"/>
        </w:rPr>
      </w:pPr>
    </w:p>
    <w:p w:rsidR="001E2383" w:rsidRPr="00790C51" w:rsidRDefault="001E2383" w:rsidP="001E2383">
      <w:pPr>
        <w:jc w:val="both"/>
        <w:rPr>
          <w:snapToGrid w:val="0"/>
          <w:sz w:val="20"/>
          <w:szCs w:val="20"/>
          <w:lang w:val="es-ES"/>
        </w:rPr>
      </w:pPr>
      <w:r w:rsidRPr="00790C51">
        <w:rPr>
          <w:snapToGrid w:val="0"/>
          <w:sz w:val="20"/>
          <w:szCs w:val="20"/>
          <w:lang w:val="es-ES"/>
        </w:rPr>
        <w:t xml:space="preserve">En </w:t>
      </w:r>
      <w:r w:rsidR="00611CB6">
        <w:rPr>
          <w:snapToGrid w:val="0"/>
          <w:sz w:val="20"/>
          <w:szCs w:val="20"/>
          <w:lang w:val="es-ES"/>
        </w:rPr>
        <w:t>nuestro</w:t>
      </w:r>
      <w:r w:rsidRPr="00790C51">
        <w:rPr>
          <w:snapToGrid w:val="0"/>
          <w:sz w:val="20"/>
          <w:szCs w:val="20"/>
          <w:lang w:val="es-ES"/>
        </w:rPr>
        <w:t xml:space="preserve"> carácter de subdelegado</w:t>
      </w:r>
      <w:r w:rsidR="00611CB6">
        <w:rPr>
          <w:snapToGrid w:val="0"/>
          <w:sz w:val="20"/>
          <w:szCs w:val="20"/>
          <w:lang w:val="es-ES"/>
        </w:rPr>
        <w:t>s</w:t>
      </w:r>
      <w:r w:rsidRPr="00790C51">
        <w:rPr>
          <w:snapToGrid w:val="0"/>
          <w:sz w:val="20"/>
          <w:szCs w:val="20"/>
          <w:lang w:val="es-ES"/>
        </w:rPr>
        <w:t xml:space="preserve"> de </w:t>
      </w:r>
      <w:r w:rsidR="00A823BF" w:rsidRPr="00790C51">
        <w:rPr>
          <w:snapToGrid w:val="0"/>
          <w:sz w:val="20"/>
          <w:szCs w:val="20"/>
          <w:lang w:val="es-ES"/>
        </w:rPr>
        <w:t>Puente Hnos. S.A.</w:t>
      </w:r>
      <w:r w:rsidRPr="00790C51">
        <w:rPr>
          <w:snapToGrid w:val="0"/>
          <w:sz w:val="20"/>
          <w:szCs w:val="20"/>
          <w:lang w:val="es-ES"/>
        </w:rPr>
        <w:t xml:space="preserve"> (“</w:t>
      </w:r>
      <w:r w:rsidR="00A823BF" w:rsidRPr="00790C51">
        <w:rPr>
          <w:snapToGrid w:val="0"/>
          <w:sz w:val="20"/>
          <w:szCs w:val="20"/>
          <w:lang w:val="es-ES"/>
        </w:rPr>
        <w:t>P</w:t>
      </w:r>
      <w:r w:rsidR="00A823BF" w:rsidRPr="00790C51">
        <w:rPr>
          <w:snapToGrid w:val="0"/>
          <w:sz w:val="20"/>
          <w:szCs w:val="20"/>
          <w:u w:val="single"/>
          <w:lang w:val="es-ES"/>
        </w:rPr>
        <w:t>uente</w:t>
      </w:r>
      <w:r w:rsidRPr="00790C51">
        <w:rPr>
          <w:snapToGrid w:val="0"/>
          <w:sz w:val="20"/>
          <w:szCs w:val="20"/>
          <w:lang w:val="es-ES"/>
        </w:rPr>
        <w:t xml:space="preserve">”), y en ejercicio de las facultades que </w:t>
      </w:r>
      <w:r w:rsidR="00832B02">
        <w:rPr>
          <w:snapToGrid w:val="0"/>
          <w:sz w:val="20"/>
          <w:szCs w:val="20"/>
          <w:lang w:val="es-ES"/>
        </w:rPr>
        <w:t>nos</w:t>
      </w:r>
      <w:r w:rsidRPr="00790C51">
        <w:rPr>
          <w:snapToGrid w:val="0"/>
          <w:sz w:val="20"/>
          <w:szCs w:val="20"/>
          <w:lang w:val="es-ES"/>
        </w:rPr>
        <w:t xml:space="preserve"> fueran subdelegadas </w:t>
      </w:r>
      <w:r w:rsidRPr="00606502">
        <w:rPr>
          <w:snapToGrid w:val="0"/>
          <w:sz w:val="20"/>
          <w:szCs w:val="20"/>
          <w:lang w:val="es-ES"/>
        </w:rPr>
        <w:t xml:space="preserve">en la reunión de Directorio de </w:t>
      </w:r>
      <w:r w:rsidR="00A823BF" w:rsidRPr="00606502">
        <w:rPr>
          <w:snapToGrid w:val="0"/>
          <w:sz w:val="20"/>
          <w:szCs w:val="20"/>
          <w:lang w:val="es-ES"/>
        </w:rPr>
        <w:t>Puente</w:t>
      </w:r>
      <w:r w:rsidR="00237216" w:rsidRPr="00606502">
        <w:rPr>
          <w:snapToGrid w:val="0"/>
          <w:sz w:val="20"/>
          <w:szCs w:val="20"/>
          <w:lang w:val="es-ES"/>
        </w:rPr>
        <w:t xml:space="preserve"> de fecha </w:t>
      </w:r>
      <w:r w:rsidR="00606502" w:rsidRPr="00606502">
        <w:rPr>
          <w:snapToGrid w:val="0"/>
          <w:sz w:val="20"/>
          <w:szCs w:val="20"/>
          <w:lang w:val="es-ES"/>
        </w:rPr>
        <w:t>2</w:t>
      </w:r>
      <w:r w:rsidR="00292696">
        <w:rPr>
          <w:snapToGrid w:val="0"/>
          <w:sz w:val="20"/>
          <w:szCs w:val="20"/>
          <w:lang w:val="es-ES"/>
        </w:rPr>
        <w:t>4</w:t>
      </w:r>
      <w:r w:rsidR="00237216" w:rsidRPr="00606502">
        <w:rPr>
          <w:snapToGrid w:val="0"/>
          <w:sz w:val="20"/>
          <w:szCs w:val="20"/>
          <w:lang w:val="es-ES"/>
        </w:rPr>
        <w:t xml:space="preserve"> de </w:t>
      </w:r>
      <w:r w:rsidR="00606502" w:rsidRPr="00606502">
        <w:rPr>
          <w:snapToGrid w:val="0"/>
          <w:sz w:val="20"/>
          <w:szCs w:val="20"/>
          <w:lang w:val="es-ES"/>
        </w:rPr>
        <w:t xml:space="preserve">mayo </w:t>
      </w:r>
      <w:r w:rsidR="00237216" w:rsidRPr="00606502">
        <w:rPr>
          <w:snapToGrid w:val="0"/>
          <w:sz w:val="20"/>
          <w:szCs w:val="20"/>
          <w:lang w:val="es-ES"/>
        </w:rPr>
        <w:t>de 201</w:t>
      </w:r>
      <w:r w:rsidR="00606502" w:rsidRPr="00606502">
        <w:rPr>
          <w:snapToGrid w:val="0"/>
          <w:sz w:val="20"/>
          <w:szCs w:val="20"/>
          <w:lang w:val="es-ES"/>
        </w:rPr>
        <w:t>9</w:t>
      </w:r>
      <w:r w:rsidR="00237216" w:rsidRPr="00606502">
        <w:rPr>
          <w:snapToGrid w:val="0"/>
          <w:sz w:val="20"/>
          <w:szCs w:val="20"/>
          <w:lang w:val="es-ES"/>
        </w:rPr>
        <w:t xml:space="preserve"> </w:t>
      </w:r>
      <w:r w:rsidRPr="00606502">
        <w:rPr>
          <w:snapToGrid w:val="0"/>
          <w:sz w:val="20"/>
          <w:szCs w:val="20"/>
          <w:lang w:val="es-ES"/>
        </w:rPr>
        <w:t>con</w:t>
      </w:r>
      <w:r w:rsidRPr="00790C51">
        <w:rPr>
          <w:snapToGrid w:val="0"/>
          <w:sz w:val="20"/>
          <w:szCs w:val="20"/>
          <w:lang w:val="es-ES"/>
        </w:rPr>
        <w:t xml:space="preserve"> relación a la emisión de </w:t>
      </w:r>
      <w:r w:rsidR="00606502">
        <w:rPr>
          <w:snapToGrid w:val="0"/>
          <w:sz w:val="20"/>
          <w:szCs w:val="20"/>
          <w:lang w:val="es-ES"/>
        </w:rPr>
        <w:t xml:space="preserve">Obligaciones Negociables Clase 1 </w:t>
      </w:r>
      <w:r w:rsidR="00606502" w:rsidRPr="00606502">
        <w:rPr>
          <w:snapToGrid w:val="0"/>
          <w:sz w:val="20"/>
          <w:szCs w:val="20"/>
          <w:lang w:val="es-ES"/>
        </w:rPr>
        <w:t>por un valor nominal glob</w:t>
      </w:r>
      <w:bookmarkStart w:id="0" w:name="_GoBack"/>
      <w:bookmarkEnd w:id="0"/>
      <w:r w:rsidR="00606502" w:rsidRPr="00606502">
        <w:rPr>
          <w:snapToGrid w:val="0"/>
          <w:sz w:val="20"/>
          <w:szCs w:val="20"/>
          <w:lang w:val="es-ES"/>
        </w:rPr>
        <w:t xml:space="preserve">al de hasta U$S10.000.000 (Dólares Estadounidenses diez millones) ampliables por hasta el Monto Máximo del Programa o su equivalente en </w:t>
      </w:r>
      <w:r w:rsidR="000E0CF1">
        <w:rPr>
          <w:snapToGrid w:val="0"/>
          <w:sz w:val="20"/>
          <w:szCs w:val="20"/>
          <w:lang w:val="es-ES"/>
        </w:rPr>
        <w:t>otras monedas</w:t>
      </w:r>
      <w:r w:rsidR="000E0CF1" w:rsidRPr="00606502">
        <w:rPr>
          <w:snapToGrid w:val="0"/>
          <w:sz w:val="20"/>
          <w:szCs w:val="20"/>
          <w:lang w:val="es-ES"/>
        </w:rPr>
        <w:t xml:space="preserve"> </w:t>
      </w:r>
      <w:r w:rsidR="0087203B" w:rsidRPr="00606502">
        <w:rPr>
          <w:snapToGrid w:val="0"/>
          <w:sz w:val="20"/>
          <w:szCs w:val="20"/>
          <w:lang w:val="es-ES"/>
        </w:rPr>
        <w:t>(el “Monto de Emisión”), a ser emitid</w:t>
      </w:r>
      <w:r w:rsidR="000E0CF1">
        <w:rPr>
          <w:snapToGrid w:val="0"/>
          <w:sz w:val="20"/>
          <w:szCs w:val="20"/>
          <w:lang w:val="es-ES"/>
        </w:rPr>
        <w:t>a</w:t>
      </w:r>
      <w:r w:rsidR="0087203B" w:rsidRPr="00606502">
        <w:rPr>
          <w:snapToGrid w:val="0"/>
          <w:sz w:val="20"/>
          <w:szCs w:val="20"/>
          <w:lang w:val="es-ES"/>
        </w:rPr>
        <w:t xml:space="preserve">s bajo el </w:t>
      </w:r>
      <w:r w:rsidR="00606502" w:rsidRPr="00606502">
        <w:rPr>
          <w:snapToGrid w:val="0"/>
          <w:sz w:val="20"/>
          <w:szCs w:val="20"/>
          <w:lang w:val="es-ES"/>
        </w:rPr>
        <w:t xml:space="preserve">programa global para la emisión de obligaciones negociables simples, a corto, mediano y/o largo plazo,  no convertibles en acciones, subordinadas o no, con o sin garantía, ajustables o no, con interés fijo o variable, o sobre una base descontada, las cuales podrán estar representadas en forma escritural, en forma </w:t>
      </w:r>
      <w:proofErr w:type="spellStart"/>
      <w:r w:rsidR="00606502" w:rsidRPr="00606502">
        <w:rPr>
          <w:snapToGrid w:val="0"/>
          <w:sz w:val="20"/>
          <w:szCs w:val="20"/>
          <w:lang w:val="es-ES"/>
        </w:rPr>
        <w:t>cartular</w:t>
      </w:r>
      <w:proofErr w:type="spellEnd"/>
      <w:r w:rsidR="00606502" w:rsidRPr="00606502">
        <w:rPr>
          <w:snapToGrid w:val="0"/>
          <w:sz w:val="20"/>
          <w:szCs w:val="20"/>
          <w:lang w:val="es-ES"/>
        </w:rPr>
        <w:t xml:space="preserve">, en un certificado global o, en la medida que ello se encuentre permitido por las leyes y regulaciones argentinas aplicables, denominadas en pesos, en dólares estadounidenses, o en cualquier otra moneda, por hasta un valor nominal en circulación en cualquier momento que no podrá exceder los U$S150.000.000 (Dólares Estadounidenses ciento cincuenta millones) o su equivalente en otras monedas </w:t>
      </w:r>
      <w:r w:rsidR="0087203B" w:rsidRPr="00606502">
        <w:rPr>
          <w:snapToGrid w:val="0"/>
          <w:sz w:val="20"/>
          <w:szCs w:val="20"/>
          <w:lang w:val="es-ES"/>
        </w:rPr>
        <w:t xml:space="preserve">(el "Programa"), </w:t>
      </w:r>
      <w:r w:rsidRPr="00790C51">
        <w:rPr>
          <w:snapToGrid w:val="0"/>
          <w:sz w:val="20"/>
          <w:szCs w:val="20"/>
          <w:lang w:val="es-ES"/>
        </w:rPr>
        <w:t>por la presente res</w:t>
      </w:r>
      <w:r w:rsidR="00832B02">
        <w:rPr>
          <w:snapToGrid w:val="0"/>
          <w:sz w:val="20"/>
          <w:szCs w:val="20"/>
          <w:lang w:val="es-ES"/>
        </w:rPr>
        <w:t>olvemos</w:t>
      </w:r>
      <w:r w:rsidRPr="00790C51">
        <w:rPr>
          <w:snapToGrid w:val="0"/>
          <w:sz w:val="20"/>
          <w:szCs w:val="20"/>
          <w:lang w:val="es-ES"/>
        </w:rPr>
        <w:t>:</w:t>
      </w:r>
    </w:p>
    <w:p w:rsidR="0087203B" w:rsidRPr="00790C51" w:rsidRDefault="0087203B" w:rsidP="001E2383">
      <w:pPr>
        <w:jc w:val="both"/>
        <w:rPr>
          <w:snapToGrid w:val="0"/>
          <w:sz w:val="20"/>
          <w:szCs w:val="20"/>
          <w:lang w:val="es-ES"/>
        </w:rPr>
      </w:pPr>
    </w:p>
    <w:p w:rsidR="0087203B" w:rsidRPr="00790C51" w:rsidRDefault="0087203B" w:rsidP="0087203B">
      <w:pPr>
        <w:jc w:val="both"/>
        <w:rPr>
          <w:snapToGrid w:val="0"/>
          <w:sz w:val="20"/>
          <w:szCs w:val="20"/>
          <w:lang w:val="es-ES"/>
        </w:rPr>
      </w:pPr>
      <w:r w:rsidRPr="00790C51">
        <w:rPr>
          <w:snapToGrid w:val="0"/>
          <w:sz w:val="20"/>
          <w:szCs w:val="20"/>
          <w:lang w:val="es-ES"/>
        </w:rPr>
        <w:t xml:space="preserve">Aprobar los términos y condiciones </w:t>
      </w:r>
      <w:r w:rsidR="00790C51" w:rsidRPr="00790C51">
        <w:rPr>
          <w:snapToGrid w:val="0"/>
          <w:sz w:val="20"/>
          <w:szCs w:val="20"/>
          <w:lang w:val="es-ES"/>
        </w:rPr>
        <w:t>definitivas</w:t>
      </w:r>
      <w:r w:rsidRPr="00790C51">
        <w:rPr>
          <w:snapToGrid w:val="0"/>
          <w:sz w:val="20"/>
          <w:szCs w:val="20"/>
          <w:lang w:val="es-ES"/>
        </w:rPr>
        <w:t xml:space="preserve"> de </w:t>
      </w:r>
      <w:r w:rsidR="00606502">
        <w:rPr>
          <w:snapToGrid w:val="0"/>
          <w:sz w:val="20"/>
          <w:szCs w:val="20"/>
          <w:lang w:val="es-ES"/>
        </w:rPr>
        <w:t xml:space="preserve">las Obligaciones Negociables Clase 1 </w:t>
      </w:r>
      <w:r w:rsidRPr="00790C51">
        <w:rPr>
          <w:snapToGrid w:val="0"/>
          <w:sz w:val="20"/>
          <w:szCs w:val="20"/>
          <w:lang w:val="es-ES"/>
        </w:rPr>
        <w:t xml:space="preserve">a emitir y el monto de los mismos, según el detalle que surge a continuación de acuerdo con la información volcada en el Suplemento de Precio: </w:t>
      </w:r>
    </w:p>
    <w:p w:rsidR="00A823BF" w:rsidRPr="00A823BF" w:rsidRDefault="00A823BF" w:rsidP="001E2383">
      <w:pPr>
        <w:jc w:val="both"/>
        <w:rPr>
          <w:snapToGrid w:val="0"/>
          <w:sz w:val="22"/>
          <w:szCs w:val="22"/>
          <w:lang w:val="es-ES"/>
        </w:rPr>
      </w:pPr>
    </w:p>
    <w:tbl>
      <w:tblPr>
        <w:tblW w:w="5011" w:type="pct"/>
        <w:jc w:val="center"/>
        <w:tblLook w:val="04A0" w:firstRow="1" w:lastRow="0" w:firstColumn="1" w:lastColumn="0" w:noHBand="0" w:noVBand="1"/>
      </w:tblPr>
      <w:tblGrid>
        <w:gridCol w:w="2613"/>
        <w:gridCol w:w="6244"/>
      </w:tblGrid>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Emisora:</w:t>
            </w:r>
          </w:p>
        </w:tc>
        <w:tc>
          <w:tcPr>
            <w:tcW w:w="3525" w:type="pct"/>
            <w:shd w:val="clear" w:color="auto" w:fill="auto"/>
          </w:tcPr>
          <w:p w:rsidR="00606502" w:rsidRPr="005617E6" w:rsidRDefault="00606502" w:rsidP="00FD16BC">
            <w:pPr>
              <w:rPr>
                <w:noProof/>
                <w:sz w:val="18"/>
                <w:szCs w:val="18"/>
                <w:lang w:val="es-AR"/>
              </w:rPr>
            </w:pPr>
            <w:r w:rsidRPr="005617E6">
              <w:rPr>
                <w:noProof/>
                <w:sz w:val="18"/>
                <w:szCs w:val="18"/>
                <w:lang w:val="es-AR"/>
              </w:rPr>
              <w:t xml:space="preserve">Puente Hnos. S.A. </w:t>
            </w: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rPr>
                <w:noProof/>
                <w:sz w:val="18"/>
                <w:szCs w:val="18"/>
                <w:lang w:val="es-AR"/>
              </w:rPr>
            </w:pP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Clase</w:t>
            </w:r>
          </w:p>
        </w:tc>
        <w:tc>
          <w:tcPr>
            <w:tcW w:w="3525" w:type="pct"/>
            <w:shd w:val="clear" w:color="auto" w:fill="auto"/>
          </w:tcPr>
          <w:p w:rsidR="00606502" w:rsidRPr="005617E6" w:rsidRDefault="00606502" w:rsidP="00FD16BC">
            <w:pPr>
              <w:rPr>
                <w:noProof/>
                <w:sz w:val="18"/>
                <w:szCs w:val="18"/>
                <w:lang w:val="es-AR"/>
              </w:rPr>
            </w:pPr>
            <w:r w:rsidRPr="005617E6">
              <w:rPr>
                <w:noProof/>
                <w:sz w:val="18"/>
                <w:szCs w:val="18"/>
                <w:lang w:val="es-AR"/>
              </w:rPr>
              <w:t>Obligaciones Negociables Clase 1.</w:t>
            </w: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Descripción</w:t>
            </w:r>
          </w:p>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Las Obligaciones Negociables Clase 1 serán obligaciones negociables simples, no convertibles en acciones, no subordinadas, con garantía común sobre el patrimonio de la Emisora.</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Monto de la Emisión</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Las Obligaciones Negociables Clase 1 se emitirán por un V/N de hasta U$S 10</w:t>
            </w:r>
            <w:r w:rsidRPr="005617E6">
              <w:rPr>
                <w:sz w:val="18"/>
                <w:lang w:val="es-AR"/>
              </w:rPr>
              <w:t>.000.000</w:t>
            </w:r>
            <w:r w:rsidRPr="005617E6">
              <w:rPr>
                <w:noProof/>
                <w:sz w:val="18"/>
                <w:szCs w:val="18"/>
                <w:lang w:val="es-AR"/>
              </w:rPr>
              <w:t xml:space="preserve"> (Dólares Estadounidenses diez millones) </w:t>
            </w:r>
            <w:r w:rsidRPr="005617E6">
              <w:rPr>
                <w:sz w:val="18"/>
                <w:lang w:val="es-AR"/>
              </w:rPr>
              <w:t>ampliable</w:t>
            </w:r>
            <w:r w:rsidRPr="005617E6">
              <w:rPr>
                <w:noProof/>
                <w:sz w:val="18"/>
                <w:szCs w:val="18"/>
                <w:lang w:val="es-AR"/>
              </w:rPr>
              <w:t xml:space="preserve"> </w:t>
            </w:r>
            <w:r>
              <w:rPr>
                <w:noProof/>
                <w:sz w:val="18"/>
                <w:szCs w:val="18"/>
                <w:lang w:val="es-AR"/>
              </w:rPr>
              <w:t xml:space="preserve">por el monto máximo del programa. </w:t>
            </w:r>
          </w:p>
          <w:p w:rsidR="00606502" w:rsidRPr="005617E6" w:rsidRDefault="00606502" w:rsidP="00FD16BC">
            <w:pPr>
              <w:rPr>
                <w:noProof/>
                <w:sz w:val="18"/>
                <w:szCs w:val="18"/>
                <w:lang w:val="es-AR"/>
              </w:rPr>
            </w:pPr>
          </w:p>
          <w:p w:rsidR="00606502" w:rsidRPr="005617E6" w:rsidRDefault="00606502" w:rsidP="00FD16BC">
            <w:pPr>
              <w:jc w:val="both"/>
              <w:rPr>
                <w:sz w:val="18"/>
                <w:szCs w:val="18"/>
                <w:lang w:val="es-AR"/>
              </w:rPr>
            </w:pPr>
            <w:r w:rsidRPr="005617E6">
              <w:rPr>
                <w:sz w:val="18"/>
                <w:szCs w:val="18"/>
                <w:lang w:val="es-AR"/>
              </w:rPr>
              <w:t>El monto total de la emisión de las Obligaciones Negociables</w:t>
            </w:r>
            <w:r w:rsidRPr="005617E6">
              <w:rPr>
                <w:noProof/>
                <w:sz w:val="18"/>
                <w:szCs w:val="18"/>
                <w:lang w:val="es-AR"/>
              </w:rPr>
              <w:t xml:space="preserve"> Clase 1</w:t>
            </w:r>
            <w:r w:rsidRPr="005617E6">
              <w:rPr>
                <w:sz w:val="18"/>
                <w:szCs w:val="18"/>
                <w:lang w:val="es-AR"/>
              </w:rPr>
              <w:t xml:space="preserve"> será determinado con anterioridad a la Fecha de Emisión </w:t>
            </w:r>
            <w:r w:rsidRPr="00606502">
              <w:rPr>
                <w:sz w:val="18"/>
                <w:szCs w:val="18"/>
                <w:lang w:val="es-AR"/>
              </w:rPr>
              <w:t>y Liquidación</w:t>
            </w:r>
            <w:r w:rsidRPr="005617E6">
              <w:rPr>
                <w:rStyle w:val="DeltaViewInsertion"/>
                <w:sz w:val="18"/>
                <w:szCs w:val="18"/>
                <w:lang w:val="es-AR"/>
              </w:rPr>
              <w:t xml:space="preserve"> </w:t>
            </w:r>
            <w:r w:rsidRPr="005617E6">
              <w:rPr>
                <w:sz w:val="18"/>
                <w:szCs w:val="18"/>
                <w:lang w:val="es-AR"/>
              </w:rPr>
              <w:t xml:space="preserve">(según este término se define más adelante) y será informado mediante la publicación del </w:t>
            </w:r>
            <w:r w:rsidRPr="005617E6">
              <w:rPr>
                <w:bCs/>
                <w:sz w:val="18"/>
                <w:szCs w:val="18"/>
                <w:lang w:val="es-AR"/>
              </w:rPr>
              <w:t>Aviso de Resultados</w:t>
            </w:r>
            <w:r w:rsidRPr="005617E6">
              <w:rPr>
                <w:sz w:val="18"/>
                <w:szCs w:val="18"/>
                <w:lang w:val="es-AR"/>
              </w:rPr>
              <w:t xml:space="preserve">. </w:t>
            </w:r>
          </w:p>
          <w:p w:rsidR="00606502" w:rsidRPr="005617E6" w:rsidRDefault="00606502" w:rsidP="00FD16BC">
            <w:pPr>
              <w:jc w:val="both"/>
              <w:rPr>
                <w:sz w:val="18"/>
                <w:szCs w:val="18"/>
                <w:lang w:val="es-AR"/>
              </w:rPr>
            </w:pPr>
          </w:p>
          <w:p w:rsidR="00606502" w:rsidRPr="005617E6" w:rsidRDefault="00606502" w:rsidP="00FD16BC">
            <w:pPr>
              <w:jc w:val="both"/>
              <w:rPr>
                <w:noProof/>
                <w:sz w:val="18"/>
                <w:szCs w:val="18"/>
                <w:lang w:val="es-AR"/>
              </w:rPr>
            </w:pPr>
            <w:r w:rsidRPr="005617E6">
              <w:rPr>
                <w:noProof/>
                <w:sz w:val="18"/>
                <w:szCs w:val="18"/>
                <w:lang w:val="es-AR"/>
              </w:rPr>
              <w:t>Las Obligaciones Negociables Clase 1 serán emitidas de acuerdo a la normativa de la Ley de Mercado de Capitales, las Normas de la CNV y la Ley de Obligaciones Negociables.</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Moneda de denominación, suscripción e integración</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Las Obligaciones Negociables Clase 1 estarán denominadas en Dólares Estadounidenses</w:t>
            </w:r>
            <w:r w:rsidRPr="005617E6">
              <w:rPr>
                <w:sz w:val="18"/>
                <w:szCs w:val="18"/>
                <w:lang w:val="es-AR"/>
              </w:rPr>
              <w:t>.</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Fecha de Vencimiento de las Obligaciones Clase 1</w:t>
            </w:r>
          </w:p>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Es la fecha en que se cumplan 24 (veinticuatro) meses contados desde la Fecha de Emisión</w:t>
            </w:r>
            <w:r w:rsidRPr="00606502">
              <w:rPr>
                <w:sz w:val="18"/>
                <w:szCs w:val="18"/>
                <w:lang w:val="es-AR"/>
              </w:rPr>
              <w:t xml:space="preserve"> y Liquidación</w:t>
            </w:r>
            <w:r w:rsidRPr="005617E6">
              <w:rPr>
                <w:sz w:val="18"/>
                <w:szCs w:val="18"/>
                <w:lang w:val="es-AR"/>
              </w:rPr>
              <w:t xml:space="preserve"> </w:t>
            </w:r>
            <w:r w:rsidRPr="00606502">
              <w:rPr>
                <w:sz w:val="18"/>
                <w:szCs w:val="18"/>
                <w:lang w:val="es-AR"/>
              </w:rPr>
              <w:t>(la “Fecha de Vencimiento”), o aquella fecha que se publique en el Aviso de Suscripción</w:t>
            </w:r>
            <w:r w:rsidRPr="005617E6">
              <w:rPr>
                <w:sz w:val="18"/>
                <w:szCs w:val="18"/>
                <w:lang w:val="es-AR"/>
              </w:rPr>
              <w:t xml:space="preserve">. </w:t>
            </w:r>
          </w:p>
          <w:p w:rsidR="00606502" w:rsidRPr="005617E6" w:rsidRDefault="00606502" w:rsidP="00FD16BC">
            <w:pPr>
              <w:jc w:val="both"/>
              <w:rPr>
                <w:sz w:val="18"/>
                <w:szCs w:val="18"/>
                <w:lang w:val="es-AR"/>
              </w:rPr>
            </w:pPr>
          </w:p>
          <w:p w:rsidR="00606502" w:rsidRPr="005617E6" w:rsidRDefault="00606502" w:rsidP="00FD16BC">
            <w:pPr>
              <w:jc w:val="both"/>
              <w:rPr>
                <w:noProof/>
                <w:sz w:val="18"/>
                <w:szCs w:val="18"/>
                <w:lang w:val="es-AR"/>
              </w:rPr>
            </w:pPr>
            <w:r w:rsidRPr="005617E6">
              <w:rPr>
                <w:sz w:val="18"/>
                <w:szCs w:val="18"/>
                <w:lang w:val="es-AR"/>
              </w:rPr>
              <w:t>La Fecha de Vencimiento de las Obligaciones Negociables Clase 1 será informada mediante la publicación del Aviso de Resultados (conforme dicho término se define más adelante).</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Amortización</w:t>
            </w:r>
          </w:p>
          <w:p w:rsidR="00606502" w:rsidRPr="005617E6" w:rsidRDefault="00606502" w:rsidP="00FD16BC">
            <w:pPr>
              <w:rPr>
                <w:b/>
                <w:noProof/>
                <w:sz w:val="18"/>
                <w:szCs w:val="18"/>
                <w:lang w:val="es-AR"/>
              </w:rPr>
            </w:pPr>
          </w:p>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El capital de las Obligaciones Negociables Clase 1 será amortizado en 2 (dos) cuotas consecutivas, pagaderas anualmente, cada una equivalente al cincuenta por ciento (50%) del valor nominal de las Obligaciones Negociables, en las fechas en que se cumplan 12 (doce) y 24 (veinticuatro) meses contados desde la Fecha de Emisión y Liquidación.</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Tasa de Interés</w:t>
            </w:r>
          </w:p>
        </w:tc>
        <w:tc>
          <w:tcPr>
            <w:tcW w:w="3525" w:type="pct"/>
            <w:shd w:val="clear" w:color="auto" w:fill="auto"/>
          </w:tcPr>
          <w:p w:rsidR="00606502" w:rsidRPr="005617E6" w:rsidRDefault="00606502" w:rsidP="00606502">
            <w:pPr>
              <w:jc w:val="both"/>
              <w:rPr>
                <w:sz w:val="18"/>
                <w:szCs w:val="18"/>
                <w:lang w:val="es-AR"/>
              </w:rPr>
            </w:pPr>
            <w:r w:rsidRPr="005617E6">
              <w:rPr>
                <w:sz w:val="18"/>
                <w:szCs w:val="18"/>
                <w:lang w:val="es-AR"/>
              </w:rPr>
              <w:t>Las Obligaciones Negociables Clase 1 devengarán interés a tasa de interés fija nominal anual que se determinará una vez finalizado el Período de Licitación conforme al procedimiento que se describe en la Sección “</w:t>
            </w:r>
            <w:r w:rsidRPr="00606502">
              <w:rPr>
                <w:i/>
                <w:sz w:val="18"/>
                <w:szCs w:val="18"/>
                <w:lang w:val="es-AR"/>
              </w:rPr>
              <w:t>Esfuerzos de Colocación y Proceso de Colocación y Adjudicación</w:t>
            </w:r>
            <w:r w:rsidRPr="005617E6">
              <w:rPr>
                <w:sz w:val="18"/>
                <w:szCs w:val="18"/>
                <w:lang w:val="es-AR"/>
              </w:rPr>
              <w:t>” de</w:t>
            </w:r>
            <w:r>
              <w:rPr>
                <w:sz w:val="18"/>
                <w:szCs w:val="18"/>
                <w:lang w:val="es-AR"/>
              </w:rPr>
              <w:t>l</w:t>
            </w:r>
            <w:r w:rsidRPr="005617E6">
              <w:rPr>
                <w:sz w:val="18"/>
                <w:szCs w:val="18"/>
                <w:lang w:val="es-AR"/>
              </w:rPr>
              <w:t xml:space="preserve"> Suplemento y que será informada a los inversores </w:t>
            </w:r>
            <w:r>
              <w:rPr>
                <w:sz w:val="18"/>
                <w:szCs w:val="18"/>
                <w:lang w:val="es-AR"/>
              </w:rPr>
              <w:t>mediante el Aviso de Resultados.</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Pago de Intereses</w:t>
            </w:r>
          </w:p>
        </w:tc>
        <w:tc>
          <w:tcPr>
            <w:tcW w:w="3525" w:type="pct"/>
            <w:shd w:val="clear" w:color="auto" w:fill="auto"/>
          </w:tcPr>
          <w:p w:rsidR="00606502" w:rsidRPr="005617E6" w:rsidRDefault="00606502" w:rsidP="00FD16BC">
            <w:pPr>
              <w:jc w:val="both"/>
              <w:rPr>
                <w:noProof/>
                <w:sz w:val="18"/>
                <w:szCs w:val="18"/>
                <w:lang w:val="es-AR"/>
              </w:rPr>
            </w:pPr>
            <w:r w:rsidRPr="005617E6">
              <w:rPr>
                <w:sz w:val="18"/>
                <w:szCs w:val="18"/>
                <w:lang w:val="es-AR"/>
              </w:rPr>
              <w:t>Los intereses serán pagados trimestralmente, en forma vencida a partir de la Fecha de Emisión y Liquidación, en las fechas que sean un número de día idéntico a la Fecha de Emisión y Liquidación, pero del correspondiente trimestre o, de no ser un Día Hábil o no existir dicho día, el primer Día Hábil inmediato posterior (cada una, una “</w:t>
            </w:r>
            <w:r w:rsidRPr="005617E6">
              <w:rPr>
                <w:sz w:val="18"/>
                <w:szCs w:val="18"/>
                <w:u w:val="single"/>
                <w:lang w:val="es-AR"/>
              </w:rPr>
              <w:t>Fecha de Pago de Intereses</w:t>
            </w:r>
            <w:r w:rsidRPr="005617E6">
              <w:rPr>
                <w:sz w:val="18"/>
                <w:szCs w:val="18"/>
                <w:lang w:val="es-AR"/>
              </w:rPr>
              <w:t>”). Las Fechas de Pago de Intereses serán informadas mediante la publicación del Aviso de Resultados</w:t>
            </w:r>
            <w:r>
              <w:rPr>
                <w:sz w:val="18"/>
                <w:szCs w:val="18"/>
                <w:lang w:val="es-AR"/>
              </w:rPr>
              <w:t>.</w:t>
            </w:r>
          </w:p>
        </w:tc>
      </w:tr>
      <w:tr w:rsidR="00606502" w:rsidRPr="00611CB6" w:rsidTr="00FD16BC">
        <w:tblPrEx>
          <w:tblLook w:val="01E0" w:firstRow="1" w:lastRow="1" w:firstColumn="1" w:lastColumn="1" w:noHBand="0" w:noVBand="0"/>
        </w:tblPrEx>
        <w:trPr>
          <w:jc w:val="center"/>
        </w:trPr>
        <w:tc>
          <w:tcPr>
            <w:tcW w:w="1475" w:type="pct"/>
          </w:tcPr>
          <w:p w:rsidR="00606502" w:rsidRPr="005617E6" w:rsidRDefault="00606502" w:rsidP="00FD16BC">
            <w:pPr>
              <w:rPr>
                <w:b/>
                <w:lang w:val="es-AR"/>
              </w:rPr>
            </w:pPr>
          </w:p>
        </w:tc>
        <w:tc>
          <w:tcPr>
            <w:tcW w:w="3525" w:type="pct"/>
          </w:tcPr>
          <w:p w:rsidR="00606502" w:rsidRPr="005617E6" w:rsidRDefault="00606502" w:rsidP="00FD16BC">
            <w:pPr>
              <w:rPr>
                <w:lang w:val="es-AR"/>
              </w:rPr>
            </w:pPr>
          </w:p>
        </w:tc>
      </w:tr>
      <w:tr w:rsidR="00606502" w:rsidRPr="00611CB6" w:rsidTr="00FD16BC">
        <w:tblPrEx>
          <w:tblLook w:val="01E0" w:firstRow="1" w:lastRow="1" w:firstColumn="1" w:lastColumn="1" w:noHBand="0" w:noVBand="0"/>
        </w:tblPrEx>
        <w:trPr>
          <w:jc w:val="center"/>
        </w:trPr>
        <w:tc>
          <w:tcPr>
            <w:tcW w:w="1475" w:type="pct"/>
          </w:tcPr>
          <w:p w:rsidR="00606502" w:rsidRPr="005617E6" w:rsidRDefault="00606502" w:rsidP="00FD16BC">
            <w:pPr>
              <w:rPr>
                <w:b/>
                <w:noProof/>
                <w:sz w:val="18"/>
                <w:szCs w:val="18"/>
                <w:lang w:val="es-AR"/>
              </w:rPr>
            </w:pPr>
            <w:r w:rsidRPr="005617E6">
              <w:rPr>
                <w:b/>
                <w:noProof/>
                <w:sz w:val="18"/>
                <w:szCs w:val="18"/>
                <w:lang w:val="es-AR"/>
              </w:rPr>
              <w:t>Período de Devengamiento de Intereses:</w:t>
            </w:r>
          </w:p>
        </w:tc>
        <w:tc>
          <w:tcPr>
            <w:tcW w:w="3525" w:type="pct"/>
          </w:tcPr>
          <w:p w:rsidR="00606502" w:rsidRPr="005617E6" w:rsidRDefault="00606502" w:rsidP="00FD16BC">
            <w:pPr>
              <w:jc w:val="both"/>
              <w:rPr>
                <w:noProof/>
                <w:sz w:val="18"/>
                <w:szCs w:val="18"/>
                <w:lang w:val="es-AR"/>
              </w:rPr>
            </w:pPr>
            <w:r w:rsidRPr="005617E6">
              <w:rPr>
                <w:noProof/>
                <w:sz w:val="18"/>
                <w:szCs w:val="18"/>
                <w:lang w:val="es-AR"/>
              </w:rPr>
              <w:t>Es el período comprendido entre una Fecha de Pago de Intereses y</w:t>
            </w:r>
            <w:r>
              <w:rPr>
                <w:noProof/>
                <w:sz w:val="18"/>
                <w:szCs w:val="18"/>
                <w:lang w:val="es-AR"/>
              </w:rPr>
              <w:t xml:space="preserve"> la Fecha de Pago de Intereses </w:t>
            </w:r>
            <w:r w:rsidRPr="005617E6">
              <w:rPr>
                <w:noProof/>
                <w:sz w:val="18"/>
                <w:szCs w:val="18"/>
                <w:lang w:val="es-AR"/>
              </w:rPr>
              <w:t xml:space="preserve">inmediatamente posterior, incluyendo el primer </w:t>
            </w:r>
            <w:r>
              <w:rPr>
                <w:noProof/>
                <w:sz w:val="18"/>
                <w:szCs w:val="18"/>
                <w:lang w:val="es-AR"/>
              </w:rPr>
              <w:t>día y excluyendo el último día (el “</w:t>
            </w:r>
            <w:r w:rsidRPr="00B778EB">
              <w:rPr>
                <w:noProof/>
                <w:sz w:val="18"/>
                <w:szCs w:val="18"/>
                <w:u w:val="single"/>
                <w:lang w:val="es-AR"/>
              </w:rPr>
              <w:t>Período de Devengamiento</w:t>
            </w:r>
            <w:r>
              <w:rPr>
                <w:noProof/>
                <w:sz w:val="18"/>
                <w:szCs w:val="18"/>
                <w:u w:val="single"/>
                <w:lang w:val="es-AR"/>
              </w:rPr>
              <w:t xml:space="preserve"> de Intereses</w:t>
            </w:r>
            <w:r>
              <w:rPr>
                <w:noProof/>
                <w:sz w:val="18"/>
                <w:szCs w:val="18"/>
                <w:lang w:val="es-AR"/>
              </w:rPr>
              <w:t xml:space="preserve">”). </w:t>
            </w:r>
            <w:r w:rsidRPr="005617E6">
              <w:rPr>
                <w:noProof/>
                <w:sz w:val="18"/>
                <w:szCs w:val="18"/>
                <w:lang w:val="es-AR"/>
              </w:rPr>
              <w:t xml:space="preserve">Respecto de la primera Fecha de Pago de Intereses, se </w:t>
            </w:r>
            <w:r w:rsidRPr="00B778EB">
              <w:rPr>
                <w:noProof/>
                <w:sz w:val="18"/>
                <w:szCs w:val="18"/>
                <w:lang w:val="es-AR"/>
              </w:rPr>
              <w:t>considerará Período de Devengamiento de Intereses el comprendido entre la Fecha de Emisión y Liquidación y la primera Fecha de Pago de Intereses, incluyendo el primer día y excluyendo el último día.</w:t>
            </w:r>
            <w:r w:rsidRPr="005617E6">
              <w:rPr>
                <w:noProof/>
                <w:sz w:val="18"/>
                <w:szCs w:val="18"/>
                <w:lang w:val="es-AR"/>
              </w:rPr>
              <w:t xml:space="preserve"> </w:t>
            </w:r>
          </w:p>
        </w:tc>
      </w:tr>
      <w:tr w:rsidR="00606502" w:rsidRPr="00611CB6" w:rsidTr="00FD16BC">
        <w:tblPrEx>
          <w:tblLook w:val="01E0" w:firstRow="1" w:lastRow="1" w:firstColumn="1" w:lastColumn="1" w:noHBand="0" w:noVBand="0"/>
        </w:tblPrEx>
        <w:trPr>
          <w:jc w:val="center"/>
        </w:trPr>
        <w:tc>
          <w:tcPr>
            <w:tcW w:w="1475" w:type="pct"/>
          </w:tcPr>
          <w:p w:rsidR="00606502" w:rsidRPr="005617E6" w:rsidRDefault="00606502" w:rsidP="00FD16BC">
            <w:pPr>
              <w:rPr>
                <w:b/>
                <w:noProof/>
                <w:sz w:val="18"/>
                <w:szCs w:val="18"/>
                <w:lang w:val="es-AR"/>
              </w:rPr>
            </w:pPr>
          </w:p>
        </w:tc>
        <w:tc>
          <w:tcPr>
            <w:tcW w:w="3525" w:type="pct"/>
          </w:tcPr>
          <w:p w:rsidR="00606502" w:rsidRPr="005617E6" w:rsidRDefault="00606502" w:rsidP="00FD16BC">
            <w:pPr>
              <w:jc w:val="both"/>
              <w:rPr>
                <w:noProof/>
                <w:sz w:val="18"/>
                <w:szCs w:val="18"/>
                <w:lang w:val="es-AR"/>
              </w:rPr>
            </w:pPr>
          </w:p>
        </w:tc>
      </w:tr>
      <w:tr w:rsidR="00606502" w:rsidRPr="00611CB6" w:rsidTr="00FD16BC">
        <w:tblPrEx>
          <w:tblLook w:val="01E0" w:firstRow="1" w:lastRow="1" w:firstColumn="1" w:lastColumn="1" w:noHBand="0" w:noVBand="0"/>
        </w:tblPrEx>
        <w:trPr>
          <w:jc w:val="center"/>
        </w:trPr>
        <w:tc>
          <w:tcPr>
            <w:tcW w:w="1475" w:type="pct"/>
          </w:tcPr>
          <w:p w:rsidR="00606502" w:rsidRPr="005617E6" w:rsidRDefault="00606502" w:rsidP="00FD16BC">
            <w:pPr>
              <w:rPr>
                <w:b/>
                <w:noProof/>
                <w:sz w:val="18"/>
                <w:szCs w:val="18"/>
                <w:lang w:val="es-AR"/>
              </w:rPr>
            </w:pPr>
            <w:r w:rsidRPr="005617E6">
              <w:rPr>
                <w:b/>
                <w:noProof/>
                <w:sz w:val="18"/>
                <w:szCs w:val="18"/>
                <w:lang w:val="es-AR"/>
              </w:rPr>
              <w:t xml:space="preserve">Base de Cálculo para </w:t>
            </w:r>
          </w:p>
          <w:p w:rsidR="00606502" w:rsidRPr="005617E6" w:rsidRDefault="00606502" w:rsidP="00FD16BC">
            <w:pPr>
              <w:rPr>
                <w:b/>
                <w:noProof/>
                <w:sz w:val="18"/>
                <w:szCs w:val="18"/>
                <w:lang w:val="es-AR"/>
              </w:rPr>
            </w:pPr>
            <w:r w:rsidRPr="005617E6">
              <w:rPr>
                <w:b/>
                <w:noProof/>
                <w:sz w:val="18"/>
                <w:szCs w:val="18"/>
                <w:lang w:val="es-AR"/>
              </w:rPr>
              <w:t>el pago de los Intereses:</w:t>
            </w:r>
          </w:p>
        </w:tc>
        <w:tc>
          <w:tcPr>
            <w:tcW w:w="3525" w:type="pct"/>
          </w:tcPr>
          <w:p w:rsidR="00606502" w:rsidRPr="005617E6" w:rsidRDefault="00606502" w:rsidP="00FD16BC">
            <w:pPr>
              <w:jc w:val="both"/>
              <w:rPr>
                <w:noProof/>
                <w:sz w:val="18"/>
                <w:szCs w:val="18"/>
                <w:lang w:val="es-AR"/>
              </w:rPr>
            </w:pPr>
            <w:r w:rsidRPr="005617E6">
              <w:rPr>
                <w:noProof/>
                <w:sz w:val="18"/>
                <w:szCs w:val="18"/>
                <w:lang w:val="es-AR"/>
              </w:rPr>
              <w:t>Para el cálculo de los intereses se considerará 12 meses de 30 días y un año de 360 días (30/360).</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Garantía</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Las Obligaciones Negociables Clase 1 cuentan únicamente con garantía común sobre el patrimonio de la Emisora.</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 xml:space="preserve">Organizador y Colocador  </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 xml:space="preserve">Puente Hnos. S.A. </w:t>
            </w: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Agente de Liquidación</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Puente Hnos. S.A.</w:t>
            </w: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Precio de Emisión</w:t>
            </w:r>
          </w:p>
        </w:tc>
        <w:tc>
          <w:tcPr>
            <w:tcW w:w="3525" w:type="pct"/>
            <w:shd w:val="clear" w:color="auto" w:fill="auto"/>
          </w:tcPr>
          <w:p w:rsidR="00606502" w:rsidRPr="005617E6" w:rsidRDefault="00606502" w:rsidP="00FD16BC">
            <w:pPr>
              <w:jc w:val="both"/>
              <w:rPr>
                <w:noProof/>
                <w:sz w:val="18"/>
                <w:szCs w:val="18"/>
                <w:lang w:val="es-AR"/>
              </w:rPr>
            </w:pPr>
            <w:r w:rsidRPr="005617E6">
              <w:rPr>
                <w:sz w:val="18"/>
                <w:szCs w:val="18"/>
                <w:lang w:val="es-AR"/>
              </w:rPr>
              <w:t>100% del valor nominal.</w:t>
            </w:r>
          </w:p>
        </w:tc>
      </w:tr>
      <w:tr w:rsidR="00606502" w:rsidRPr="005617E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Integración</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Los Inversores</w:t>
            </w:r>
            <w:r>
              <w:rPr>
                <w:sz w:val="18"/>
                <w:szCs w:val="18"/>
                <w:lang w:val="es-AR"/>
              </w:rPr>
              <w:t xml:space="preserve"> (conforme este término se define más adelante) </w:t>
            </w:r>
            <w:r w:rsidRPr="005617E6">
              <w:rPr>
                <w:sz w:val="18"/>
                <w:szCs w:val="18"/>
                <w:lang w:val="es-AR"/>
              </w:rPr>
              <w:t>podrán integrar el precio de suscripción de las Obligaciones Negociables Clase 1, total o parcialmente: (i) en Dólares Estadounidenses (MEP y/o Cable); (ii) en Pesos, convertidos al Tipo de Cambio Aplicable (conforme dicho término se define más adelante)</w:t>
            </w:r>
            <w:r w:rsidRPr="005617E6">
              <w:rPr>
                <w:noProof/>
                <w:sz w:val="18"/>
                <w:szCs w:val="18"/>
                <w:lang w:val="es-AR"/>
              </w:rPr>
              <w:t xml:space="preserve">; y/o (iii) </w:t>
            </w:r>
            <w:r w:rsidRPr="005617E6">
              <w:rPr>
                <w:sz w:val="18"/>
                <w:szCs w:val="18"/>
                <w:lang w:val="es-AR"/>
              </w:rPr>
              <w:t xml:space="preserve">mediante la entrega de </w:t>
            </w:r>
            <w:proofErr w:type="spellStart"/>
            <w:r w:rsidRPr="005617E6">
              <w:rPr>
                <w:sz w:val="18"/>
                <w:szCs w:val="18"/>
                <w:lang w:val="es-AR"/>
              </w:rPr>
              <w:t>VCPs</w:t>
            </w:r>
            <w:proofErr w:type="spellEnd"/>
            <w:r w:rsidRPr="005617E6">
              <w:rPr>
                <w:sz w:val="18"/>
                <w:szCs w:val="18"/>
                <w:lang w:val="es-AR"/>
              </w:rPr>
              <w:t xml:space="preserve"> de la Emisora, conforme la Relación de Canje (tal como se define a continuación).</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Se entiende por “</w:t>
            </w:r>
            <w:proofErr w:type="spellStart"/>
            <w:r w:rsidRPr="005617E6">
              <w:rPr>
                <w:sz w:val="18"/>
                <w:szCs w:val="18"/>
                <w:lang w:val="es-AR"/>
              </w:rPr>
              <w:t>VCP</w:t>
            </w:r>
            <w:r>
              <w:rPr>
                <w:sz w:val="18"/>
                <w:szCs w:val="18"/>
                <w:lang w:val="es-AR"/>
              </w:rPr>
              <w:t>s</w:t>
            </w:r>
            <w:proofErr w:type="spellEnd"/>
            <w:r w:rsidRPr="005617E6">
              <w:rPr>
                <w:sz w:val="18"/>
                <w:szCs w:val="18"/>
                <w:lang w:val="es-AR"/>
              </w:rPr>
              <w:t xml:space="preserve">” los </w:t>
            </w:r>
            <w:r>
              <w:rPr>
                <w:sz w:val="18"/>
                <w:szCs w:val="18"/>
                <w:lang w:val="es-AR"/>
              </w:rPr>
              <w:t xml:space="preserve">siguientes </w:t>
            </w:r>
            <w:r w:rsidRPr="005617E6">
              <w:rPr>
                <w:sz w:val="18"/>
                <w:szCs w:val="18"/>
                <w:lang w:val="es-AR"/>
              </w:rPr>
              <w:t>valores de corto plazo:</w:t>
            </w:r>
          </w:p>
          <w:p w:rsidR="00606502" w:rsidRPr="005617E6" w:rsidRDefault="00606502" w:rsidP="00FD16BC">
            <w:pPr>
              <w:jc w:val="both"/>
              <w:rPr>
                <w:sz w:val="18"/>
                <w:szCs w:val="18"/>
                <w:lang w:val="es-AR"/>
              </w:rPr>
            </w:pPr>
          </w:p>
          <w:p w:rsidR="00606502" w:rsidRPr="00166115" w:rsidRDefault="00606502" w:rsidP="00FD16BC">
            <w:pPr>
              <w:jc w:val="both"/>
              <w:rPr>
                <w:sz w:val="18"/>
                <w:szCs w:val="18"/>
                <w:lang w:val="es-AR"/>
              </w:rPr>
            </w:pPr>
            <w:r w:rsidRPr="00166115">
              <w:rPr>
                <w:sz w:val="18"/>
                <w:szCs w:val="18"/>
                <w:lang w:val="es-AR"/>
              </w:rPr>
              <w:t xml:space="preserve">(i) VCP Clase 13 en circulación emitidas por la Emisora en el marco del Programa </w:t>
            </w:r>
            <w:r>
              <w:rPr>
                <w:sz w:val="18"/>
                <w:szCs w:val="18"/>
                <w:lang w:val="es-AR"/>
              </w:rPr>
              <w:t xml:space="preserve">Global </w:t>
            </w:r>
            <w:r w:rsidRPr="00166115">
              <w:rPr>
                <w:sz w:val="18"/>
                <w:szCs w:val="18"/>
                <w:lang w:val="es-AR"/>
              </w:rPr>
              <w:t xml:space="preserve">de </w:t>
            </w:r>
            <w:r>
              <w:rPr>
                <w:sz w:val="18"/>
                <w:szCs w:val="18"/>
                <w:lang w:val="es-AR"/>
              </w:rPr>
              <w:t>Emisión de Valores Representativos de Deuda de Corto Plazo</w:t>
            </w:r>
            <w:r w:rsidRPr="00166115">
              <w:rPr>
                <w:sz w:val="18"/>
                <w:szCs w:val="18"/>
                <w:lang w:val="es-AR"/>
              </w:rPr>
              <w:t xml:space="preserve">, con fecha </w:t>
            </w:r>
            <w:r>
              <w:rPr>
                <w:sz w:val="18"/>
                <w:szCs w:val="18"/>
                <w:lang w:val="es-AR"/>
              </w:rPr>
              <w:t>7</w:t>
            </w:r>
            <w:r w:rsidRPr="00166115">
              <w:rPr>
                <w:sz w:val="18"/>
                <w:szCs w:val="18"/>
                <w:lang w:val="es-AR"/>
              </w:rPr>
              <w:t xml:space="preserve"> de </w:t>
            </w:r>
            <w:r>
              <w:rPr>
                <w:sz w:val="18"/>
                <w:szCs w:val="18"/>
                <w:lang w:val="es-AR"/>
              </w:rPr>
              <w:t>junio</w:t>
            </w:r>
            <w:r w:rsidRPr="00166115">
              <w:rPr>
                <w:sz w:val="18"/>
                <w:szCs w:val="18"/>
                <w:lang w:val="es-AR"/>
              </w:rPr>
              <w:t xml:space="preserve"> de 2018 y, por V/N </w:t>
            </w:r>
            <w:r>
              <w:rPr>
                <w:sz w:val="18"/>
                <w:szCs w:val="18"/>
                <w:lang w:val="es-AR"/>
              </w:rPr>
              <w:t>U$S 12.000.000</w:t>
            </w:r>
            <w:r w:rsidRPr="00166115">
              <w:rPr>
                <w:sz w:val="18"/>
                <w:szCs w:val="18"/>
                <w:lang w:val="es-AR"/>
              </w:rPr>
              <w:t xml:space="preserve">, con vencimiento el </w:t>
            </w:r>
            <w:r>
              <w:rPr>
                <w:sz w:val="18"/>
                <w:szCs w:val="18"/>
                <w:lang w:val="es-AR"/>
              </w:rPr>
              <w:t xml:space="preserve">8 </w:t>
            </w:r>
            <w:r w:rsidRPr="00166115">
              <w:rPr>
                <w:sz w:val="18"/>
                <w:szCs w:val="18"/>
                <w:lang w:val="es-AR"/>
              </w:rPr>
              <w:t xml:space="preserve">de </w:t>
            </w:r>
            <w:r>
              <w:rPr>
                <w:sz w:val="18"/>
                <w:szCs w:val="18"/>
                <w:lang w:val="es-AR"/>
              </w:rPr>
              <w:t>junio</w:t>
            </w:r>
            <w:r w:rsidRPr="00166115">
              <w:rPr>
                <w:sz w:val="18"/>
                <w:szCs w:val="18"/>
                <w:lang w:val="es-AR"/>
              </w:rPr>
              <w:t xml:space="preserve"> de 2019, cuyos términos y condiciones fueran publicados en el suplemento de precio de fecha </w:t>
            </w:r>
            <w:r>
              <w:rPr>
                <w:sz w:val="18"/>
                <w:szCs w:val="18"/>
                <w:lang w:val="es-AR"/>
              </w:rPr>
              <w:t>1</w:t>
            </w:r>
            <w:r w:rsidRPr="00166115">
              <w:rPr>
                <w:sz w:val="18"/>
                <w:szCs w:val="18"/>
                <w:lang w:val="es-AR"/>
              </w:rPr>
              <w:t xml:space="preserve"> de </w:t>
            </w:r>
            <w:r>
              <w:rPr>
                <w:sz w:val="18"/>
                <w:szCs w:val="18"/>
                <w:lang w:val="es-AR"/>
              </w:rPr>
              <w:t>junio</w:t>
            </w:r>
            <w:r w:rsidRPr="00166115">
              <w:rPr>
                <w:sz w:val="18"/>
                <w:szCs w:val="18"/>
                <w:lang w:val="es-AR"/>
              </w:rPr>
              <w:t xml:space="preserve"> de 2018 y </w:t>
            </w:r>
            <w:r>
              <w:rPr>
                <w:sz w:val="18"/>
                <w:szCs w:val="18"/>
                <w:lang w:val="es-AR"/>
              </w:rPr>
              <w:t>el suplemento de precio por la</w:t>
            </w:r>
            <w:r w:rsidRPr="00166115">
              <w:rPr>
                <w:sz w:val="18"/>
                <w:szCs w:val="18"/>
                <w:lang w:val="es-AR"/>
              </w:rPr>
              <w:t xml:space="preserve"> reapertura de fecha </w:t>
            </w:r>
            <w:r>
              <w:rPr>
                <w:sz w:val="18"/>
                <w:szCs w:val="18"/>
                <w:lang w:val="es-AR"/>
              </w:rPr>
              <w:t xml:space="preserve">4 de julio de 2018 por V/N U$S 7.200.000 (TICKER BCBA: </w:t>
            </w:r>
            <w:r w:rsidRPr="003B049F">
              <w:rPr>
                <w:sz w:val="18"/>
                <w:szCs w:val="18"/>
                <w:lang w:val="es-AR"/>
              </w:rPr>
              <w:t>PHCEV</w:t>
            </w:r>
            <w:r>
              <w:rPr>
                <w:sz w:val="18"/>
                <w:szCs w:val="18"/>
                <w:lang w:val="es-AR"/>
              </w:rPr>
              <w:t xml:space="preserve">; ESPECIE CVSA: </w:t>
            </w:r>
            <w:r w:rsidRPr="003B049F">
              <w:rPr>
                <w:sz w:val="18"/>
                <w:szCs w:val="18"/>
                <w:lang w:val="es-AR"/>
              </w:rPr>
              <w:t>53539</w:t>
            </w:r>
            <w:r>
              <w:rPr>
                <w:sz w:val="18"/>
                <w:szCs w:val="18"/>
                <w:lang w:val="es-AR"/>
              </w:rPr>
              <w:t xml:space="preserve">; ISIN: </w:t>
            </w:r>
            <w:r w:rsidRPr="003B049F">
              <w:rPr>
                <w:sz w:val="18"/>
                <w:szCs w:val="18"/>
                <w:lang w:val="es-AR"/>
              </w:rPr>
              <w:t>ARPUEH5900B4</w:t>
            </w:r>
            <w:r>
              <w:rPr>
                <w:sz w:val="18"/>
                <w:szCs w:val="18"/>
                <w:lang w:val="es-AR"/>
              </w:rPr>
              <w:t>).</w:t>
            </w:r>
          </w:p>
          <w:p w:rsidR="00606502" w:rsidRPr="00166115" w:rsidRDefault="00606502" w:rsidP="00FD16BC">
            <w:pPr>
              <w:jc w:val="both"/>
              <w:rPr>
                <w:sz w:val="18"/>
                <w:szCs w:val="18"/>
                <w:lang w:val="es-AR"/>
              </w:rPr>
            </w:pPr>
          </w:p>
          <w:p w:rsidR="00606502" w:rsidRPr="005617E6" w:rsidRDefault="00606502" w:rsidP="00FD16BC">
            <w:pPr>
              <w:jc w:val="both"/>
              <w:rPr>
                <w:sz w:val="18"/>
                <w:szCs w:val="18"/>
                <w:lang w:val="es-AR"/>
              </w:rPr>
            </w:pPr>
            <w:r w:rsidRPr="00166115">
              <w:rPr>
                <w:sz w:val="18"/>
                <w:szCs w:val="18"/>
                <w:lang w:val="es-AR"/>
              </w:rPr>
              <w:t xml:space="preserve">(ii) VCP Clase 14 en circulación emitidas por la Emisora en el marco del Programa </w:t>
            </w:r>
            <w:r w:rsidRPr="00FB68F6">
              <w:rPr>
                <w:sz w:val="18"/>
                <w:szCs w:val="18"/>
                <w:lang w:val="es-AR"/>
              </w:rPr>
              <w:t>Global de Emisión de Valores Representativos de Deuda de Corto Plazo</w:t>
            </w:r>
            <w:r w:rsidRPr="00166115">
              <w:rPr>
                <w:sz w:val="18"/>
                <w:szCs w:val="18"/>
                <w:lang w:val="es-AR"/>
              </w:rPr>
              <w:t xml:space="preserve">, con fecha </w:t>
            </w:r>
            <w:r>
              <w:rPr>
                <w:sz w:val="18"/>
                <w:szCs w:val="18"/>
                <w:lang w:val="es-AR"/>
              </w:rPr>
              <w:t>24</w:t>
            </w:r>
            <w:r w:rsidRPr="00166115">
              <w:rPr>
                <w:sz w:val="18"/>
                <w:szCs w:val="18"/>
                <w:lang w:val="es-AR"/>
              </w:rPr>
              <w:t xml:space="preserve"> de </w:t>
            </w:r>
            <w:r>
              <w:rPr>
                <w:sz w:val="18"/>
                <w:szCs w:val="18"/>
                <w:lang w:val="es-AR"/>
              </w:rPr>
              <w:t>septiembre</w:t>
            </w:r>
            <w:r w:rsidRPr="00166115">
              <w:rPr>
                <w:sz w:val="18"/>
                <w:szCs w:val="18"/>
                <w:lang w:val="es-AR"/>
              </w:rPr>
              <w:t xml:space="preserve"> de 2018 y, por V/N </w:t>
            </w:r>
            <w:r>
              <w:rPr>
                <w:sz w:val="18"/>
                <w:szCs w:val="18"/>
                <w:lang w:val="es-AR"/>
              </w:rPr>
              <w:t>U</w:t>
            </w:r>
            <w:r w:rsidRPr="00166115">
              <w:rPr>
                <w:sz w:val="18"/>
                <w:szCs w:val="18"/>
                <w:lang w:val="es-AR"/>
              </w:rPr>
              <w:t>$</w:t>
            </w:r>
            <w:r>
              <w:rPr>
                <w:sz w:val="18"/>
                <w:szCs w:val="18"/>
                <w:lang w:val="es-AR"/>
              </w:rPr>
              <w:t>S</w:t>
            </w:r>
            <w:r w:rsidRPr="00166115">
              <w:rPr>
                <w:sz w:val="18"/>
                <w:szCs w:val="18"/>
                <w:lang w:val="es-AR"/>
              </w:rPr>
              <w:t xml:space="preserve"> </w:t>
            </w:r>
            <w:r>
              <w:rPr>
                <w:sz w:val="18"/>
                <w:szCs w:val="18"/>
                <w:lang w:val="es-AR"/>
              </w:rPr>
              <w:t>10.000.000</w:t>
            </w:r>
            <w:r w:rsidRPr="00166115">
              <w:rPr>
                <w:sz w:val="18"/>
                <w:szCs w:val="18"/>
                <w:lang w:val="es-AR"/>
              </w:rPr>
              <w:t xml:space="preserve">, con vencimiento el </w:t>
            </w:r>
            <w:r>
              <w:rPr>
                <w:sz w:val="18"/>
                <w:szCs w:val="18"/>
                <w:lang w:val="es-AR"/>
              </w:rPr>
              <w:t>24</w:t>
            </w:r>
            <w:r w:rsidRPr="00166115">
              <w:rPr>
                <w:sz w:val="18"/>
                <w:szCs w:val="18"/>
                <w:lang w:val="es-AR"/>
              </w:rPr>
              <w:t xml:space="preserve"> de </w:t>
            </w:r>
            <w:r>
              <w:rPr>
                <w:sz w:val="18"/>
                <w:szCs w:val="18"/>
                <w:lang w:val="es-AR"/>
              </w:rPr>
              <w:t>septiembre</w:t>
            </w:r>
            <w:r w:rsidRPr="00166115">
              <w:rPr>
                <w:sz w:val="18"/>
                <w:szCs w:val="18"/>
                <w:lang w:val="es-AR"/>
              </w:rPr>
              <w:t xml:space="preserve"> de </w:t>
            </w:r>
            <w:r>
              <w:rPr>
                <w:sz w:val="18"/>
                <w:szCs w:val="18"/>
                <w:lang w:val="es-AR"/>
              </w:rPr>
              <w:t>2019</w:t>
            </w:r>
            <w:r w:rsidRPr="00166115">
              <w:rPr>
                <w:sz w:val="18"/>
                <w:szCs w:val="18"/>
                <w:lang w:val="es-AR"/>
              </w:rPr>
              <w:t xml:space="preserve">, cuyos términos y condiciones fueran publicados en el suplemento de precio correspondiente de fecha </w:t>
            </w:r>
            <w:r>
              <w:rPr>
                <w:sz w:val="18"/>
                <w:szCs w:val="18"/>
                <w:lang w:val="es-AR"/>
              </w:rPr>
              <w:t>14</w:t>
            </w:r>
            <w:r w:rsidRPr="00166115">
              <w:rPr>
                <w:sz w:val="18"/>
                <w:szCs w:val="18"/>
                <w:lang w:val="es-AR"/>
              </w:rPr>
              <w:t xml:space="preserve"> de </w:t>
            </w:r>
            <w:r>
              <w:rPr>
                <w:sz w:val="18"/>
                <w:szCs w:val="18"/>
                <w:lang w:val="es-AR"/>
              </w:rPr>
              <w:t>septiembre</w:t>
            </w:r>
            <w:r w:rsidRPr="00166115">
              <w:rPr>
                <w:sz w:val="18"/>
                <w:szCs w:val="18"/>
                <w:lang w:val="es-AR"/>
              </w:rPr>
              <w:t xml:space="preserve"> de 201</w:t>
            </w:r>
            <w:r>
              <w:rPr>
                <w:sz w:val="18"/>
                <w:szCs w:val="18"/>
                <w:lang w:val="es-AR"/>
              </w:rPr>
              <w:t xml:space="preserve">8 (TICKER BCBA: </w:t>
            </w:r>
            <w:r w:rsidRPr="003B049F">
              <w:rPr>
                <w:sz w:val="18"/>
                <w:szCs w:val="18"/>
                <w:lang w:val="es-AR"/>
              </w:rPr>
              <w:t>PHCFV</w:t>
            </w:r>
            <w:r>
              <w:rPr>
                <w:sz w:val="18"/>
                <w:szCs w:val="18"/>
                <w:lang w:val="es-AR"/>
              </w:rPr>
              <w:t xml:space="preserve">; ESPECIE CVSA: 53740; ISIN: </w:t>
            </w:r>
            <w:r w:rsidRPr="003B049F">
              <w:rPr>
                <w:sz w:val="18"/>
                <w:szCs w:val="18"/>
                <w:lang w:val="es-AR"/>
              </w:rPr>
              <w:t>ARPUEH5900C2</w:t>
            </w:r>
            <w:r>
              <w:rPr>
                <w:sz w:val="18"/>
                <w:szCs w:val="18"/>
                <w:lang w:val="es-AR"/>
              </w:rPr>
              <w:t>)</w:t>
            </w:r>
            <w:r w:rsidRPr="00166115">
              <w:rPr>
                <w:sz w:val="18"/>
                <w:szCs w:val="18"/>
                <w:lang w:val="es-AR"/>
              </w:rPr>
              <w:t>.</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Relación de Canje</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La relación de canje será: por cada US$ 1 de valor nominal de los </w:t>
            </w:r>
            <w:proofErr w:type="spellStart"/>
            <w:r w:rsidRPr="005617E6">
              <w:rPr>
                <w:sz w:val="18"/>
                <w:szCs w:val="18"/>
                <w:lang w:val="es-AR"/>
              </w:rPr>
              <w:t>VC</w:t>
            </w:r>
            <w:r>
              <w:rPr>
                <w:sz w:val="18"/>
                <w:szCs w:val="18"/>
                <w:lang w:val="es-AR"/>
              </w:rPr>
              <w:t>P</w:t>
            </w:r>
            <w:r w:rsidRPr="005617E6">
              <w:rPr>
                <w:sz w:val="18"/>
                <w:szCs w:val="18"/>
                <w:lang w:val="es-AR"/>
              </w:rPr>
              <w:t>s</w:t>
            </w:r>
            <w:proofErr w:type="spellEnd"/>
            <w:r w:rsidRPr="005617E6">
              <w:rPr>
                <w:sz w:val="18"/>
                <w:szCs w:val="18"/>
                <w:lang w:val="es-AR"/>
              </w:rPr>
              <w:t xml:space="preserve"> presentados como integración en especie, cada oferente recibirá US$1 de valor nominal de las Obligaciones Negociables Clase 1.</w:t>
            </w:r>
          </w:p>
          <w:p w:rsidR="00606502" w:rsidRPr="005617E6" w:rsidRDefault="00606502" w:rsidP="00FD16BC">
            <w:pPr>
              <w:jc w:val="both"/>
              <w:rPr>
                <w:sz w:val="18"/>
                <w:szCs w:val="18"/>
                <w:lang w:val="es-AR"/>
              </w:rPr>
            </w:pPr>
          </w:p>
          <w:p w:rsidR="00606502" w:rsidRPr="00B778EB" w:rsidRDefault="00606502" w:rsidP="00FD16BC">
            <w:pPr>
              <w:jc w:val="both"/>
              <w:rPr>
                <w:sz w:val="18"/>
                <w:szCs w:val="18"/>
                <w:lang w:val="es-AR"/>
              </w:rPr>
            </w:pPr>
            <w:r w:rsidRPr="005617E6">
              <w:rPr>
                <w:sz w:val="18"/>
                <w:szCs w:val="18"/>
                <w:lang w:val="es-AR"/>
              </w:rPr>
              <w:lastRenderedPageBreak/>
              <w:t xml:space="preserve">Los </w:t>
            </w:r>
            <w:r w:rsidRPr="00B778EB">
              <w:rPr>
                <w:sz w:val="18"/>
                <w:szCs w:val="18"/>
                <w:lang w:val="es-AR"/>
              </w:rPr>
              <w:t xml:space="preserve">servicios de capital e intereses de los </w:t>
            </w:r>
            <w:proofErr w:type="spellStart"/>
            <w:r w:rsidRPr="00B778EB">
              <w:rPr>
                <w:sz w:val="18"/>
                <w:szCs w:val="18"/>
                <w:lang w:val="es-AR"/>
              </w:rPr>
              <w:t>VCPs</w:t>
            </w:r>
            <w:proofErr w:type="spellEnd"/>
            <w:r w:rsidRPr="00B778EB">
              <w:rPr>
                <w:sz w:val="18"/>
                <w:szCs w:val="18"/>
                <w:lang w:val="es-AR"/>
              </w:rPr>
              <w:t xml:space="preserve"> que tengan lugar antes de la Fecha de Emisión y Liquidación de las Obligaciones Negociables Clase 1, serán pagados por la Emisora según lo previsto en las condiciones de emisión de los </w:t>
            </w:r>
            <w:proofErr w:type="spellStart"/>
            <w:r w:rsidRPr="00B778EB">
              <w:rPr>
                <w:sz w:val="18"/>
                <w:szCs w:val="18"/>
                <w:lang w:val="es-AR"/>
              </w:rPr>
              <w:t>VCPs</w:t>
            </w:r>
            <w:proofErr w:type="spellEnd"/>
            <w:r w:rsidRPr="00B778EB">
              <w:rPr>
                <w:sz w:val="18"/>
                <w:szCs w:val="18"/>
                <w:lang w:val="es-AR"/>
              </w:rPr>
              <w:t xml:space="preserve"> y no serán tenidos en cuenta a los efectos de establecer la Relación de Canje. </w:t>
            </w:r>
          </w:p>
          <w:p w:rsidR="00606502" w:rsidRPr="00B778EB" w:rsidRDefault="00606502" w:rsidP="00FD16BC">
            <w:pPr>
              <w:jc w:val="both"/>
              <w:rPr>
                <w:sz w:val="18"/>
                <w:szCs w:val="18"/>
                <w:lang w:val="es-AR"/>
              </w:rPr>
            </w:pPr>
          </w:p>
          <w:p w:rsidR="00606502" w:rsidRPr="005617E6" w:rsidRDefault="00606502" w:rsidP="00FD16BC">
            <w:pPr>
              <w:jc w:val="both"/>
              <w:rPr>
                <w:sz w:val="18"/>
                <w:szCs w:val="18"/>
                <w:lang w:val="es-AR"/>
              </w:rPr>
            </w:pPr>
            <w:r w:rsidRPr="00B778EB">
              <w:rPr>
                <w:sz w:val="18"/>
                <w:szCs w:val="18"/>
                <w:lang w:val="es-AR"/>
              </w:rPr>
              <w:t xml:space="preserve">En la Fecha de Emisión y Liquidación de las Obligaciones Negociables Clase 1 serán pagados los servicios de intereses devengados y no pagados de los </w:t>
            </w:r>
            <w:proofErr w:type="spellStart"/>
            <w:r w:rsidRPr="00B778EB">
              <w:rPr>
                <w:sz w:val="18"/>
                <w:szCs w:val="18"/>
                <w:lang w:val="es-AR"/>
              </w:rPr>
              <w:t>VCPs</w:t>
            </w:r>
            <w:proofErr w:type="spellEnd"/>
            <w:r w:rsidRPr="00B778EB">
              <w:rPr>
                <w:sz w:val="18"/>
                <w:szCs w:val="18"/>
                <w:lang w:val="es-AR"/>
              </w:rPr>
              <w:t xml:space="preserve"> presentados como integración en especie, a través</w:t>
            </w:r>
            <w:r>
              <w:rPr>
                <w:sz w:val="18"/>
                <w:szCs w:val="18"/>
                <w:lang w:val="es-AR"/>
              </w:rPr>
              <w:t xml:space="preserve"> de Caja de </w:t>
            </w:r>
            <w:r w:rsidRPr="005617E6">
              <w:rPr>
                <w:sz w:val="18"/>
                <w:szCs w:val="18"/>
                <w:lang w:val="es-AR"/>
              </w:rPr>
              <w:t>V</w:t>
            </w:r>
            <w:r>
              <w:rPr>
                <w:sz w:val="18"/>
                <w:szCs w:val="18"/>
                <w:lang w:val="es-AR"/>
              </w:rPr>
              <w:t xml:space="preserve">alores </w:t>
            </w:r>
            <w:r w:rsidRPr="005617E6">
              <w:rPr>
                <w:sz w:val="18"/>
                <w:szCs w:val="18"/>
                <w:lang w:val="es-AR"/>
              </w:rPr>
              <w:t>S</w:t>
            </w:r>
            <w:r>
              <w:rPr>
                <w:sz w:val="18"/>
                <w:szCs w:val="18"/>
                <w:lang w:val="es-AR"/>
              </w:rPr>
              <w:t>.</w:t>
            </w:r>
            <w:r w:rsidRPr="005617E6">
              <w:rPr>
                <w:sz w:val="18"/>
                <w:szCs w:val="18"/>
                <w:lang w:val="es-AR"/>
              </w:rPr>
              <w:t xml:space="preserve">A. </w:t>
            </w:r>
            <w:r>
              <w:rPr>
                <w:sz w:val="18"/>
                <w:szCs w:val="18"/>
                <w:lang w:val="es-AR"/>
              </w:rPr>
              <w:t>(“</w:t>
            </w:r>
            <w:r w:rsidRPr="0086799B">
              <w:rPr>
                <w:sz w:val="18"/>
                <w:szCs w:val="18"/>
                <w:u w:val="single"/>
                <w:lang w:val="es-AR"/>
              </w:rPr>
              <w:t>CVSA</w:t>
            </w:r>
            <w:r>
              <w:rPr>
                <w:sz w:val="18"/>
                <w:szCs w:val="18"/>
                <w:lang w:val="es-AR"/>
              </w:rPr>
              <w:t>”).</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 xml:space="preserve">El tenedor de los </w:t>
            </w:r>
            <w:proofErr w:type="spellStart"/>
            <w:r w:rsidRPr="005617E6">
              <w:rPr>
                <w:sz w:val="18"/>
                <w:szCs w:val="18"/>
                <w:lang w:val="es-AR"/>
              </w:rPr>
              <w:t>VPCs</w:t>
            </w:r>
            <w:proofErr w:type="spellEnd"/>
            <w:r w:rsidRPr="005617E6">
              <w:rPr>
                <w:sz w:val="18"/>
                <w:szCs w:val="18"/>
                <w:lang w:val="es-AR"/>
              </w:rPr>
              <w:t xml:space="preserve"> que no suscriba Obligaciones Negociables Clase 1 en especie no verá afectados los términos y condiciones de sus </w:t>
            </w:r>
            <w:proofErr w:type="spellStart"/>
            <w:r w:rsidRPr="00B778EB">
              <w:rPr>
                <w:sz w:val="18"/>
                <w:szCs w:val="18"/>
                <w:lang w:val="es-AR"/>
              </w:rPr>
              <w:t>VCPs</w:t>
            </w:r>
            <w:proofErr w:type="spellEnd"/>
            <w:r w:rsidRPr="00B778EB">
              <w:rPr>
                <w:sz w:val="18"/>
                <w:szCs w:val="18"/>
                <w:lang w:val="es-AR"/>
              </w:rPr>
              <w:t>, los cuales continuarán rigiéndose por el suplemento de prospecto correspondiente a dichos títulos</w:t>
            </w:r>
            <w:r w:rsidRPr="005617E6">
              <w:rPr>
                <w:sz w:val="18"/>
                <w:szCs w:val="18"/>
                <w:lang w:val="es-AR"/>
              </w:rPr>
              <w:t xml:space="preserve"> publicado</w:t>
            </w:r>
            <w:r>
              <w:rPr>
                <w:sz w:val="18"/>
                <w:szCs w:val="18"/>
                <w:lang w:val="es-AR"/>
              </w:rPr>
              <w:t>s</w:t>
            </w:r>
            <w:r w:rsidRPr="005617E6">
              <w:rPr>
                <w:sz w:val="18"/>
                <w:szCs w:val="18"/>
                <w:lang w:val="es-AR"/>
              </w:rPr>
              <w:t xml:space="preserve"> en </w:t>
            </w:r>
            <w:r>
              <w:rPr>
                <w:sz w:val="18"/>
                <w:szCs w:val="18"/>
                <w:lang w:val="es-AR"/>
              </w:rPr>
              <w:t>el Sitio</w:t>
            </w:r>
            <w:r w:rsidRPr="005617E6">
              <w:rPr>
                <w:sz w:val="18"/>
                <w:szCs w:val="18"/>
                <w:lang w:val="es-AR"/>
              </w:rPr>
              <w:t xml:space="preserve"> Web de la CNV.</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 xml:space="preserve">Los tenedores de </w:t>
            </w:r>
            <w:proofErr w:type="spellStart"/>
            <w:r w:rsidRPr="005617E6">
              <w:rPr>
                <w:sz w:val="18"/>
                <w:szCs w:val="18"/>
                <w:lang w:val="es-AR"/>
              </w:rPr>
              <w:t>VCPs</w:t>
            </w:r>
            <w:proofErr w:type="spellEnd"/>
            <w:r w:rsidRPr="005617E6">
              <w:rPr>
                <w:sz w:val="18"/>
                <w:szCs w:val="18"/>
                <w:lang w:val="es-AR"/>
              </w:rPr>
              <w:t xml:space="preserve"> deberán considerar los riesgos descriptos bajo los apartados “</w:t>
            </w:r>
            <w:r w:rsidRPr="0086799B">
              <w:rPr>
                <w:i/>
                <w:sz w:val="18"/>
                <w:szCs w:val="18"/>
                <w:lang w:val="es-AR"/>
              </w:rPr>
              <w:t xml:space="preserve">Si se integraran las Obligaciones Negociables Clase 1 con una porción relevante de los </w:t>
            </w:r>
            <w:proofErr w:type="spellStart"/>
            <w:r w:rsidRPr="0086799B">
              <w:rPr>
                <w:i/>
                <w:sz w:val="18"/>
                <w:szCs w:val="18"/>
                <w:lang w:val="es-AR"/>
              </w:rPr>
              <w:t>VCPs</w:t>
            </w:r>
            <w:proofErr w:type="spellEnd"/>
            <w:r w:rsidRPr="0086799B">
              <w:rPr>
                <w:i/>
                <w:sz w:val="18"/>
                <w:szCs w:val="18"/>
                <w:lang w:val="es-AR"/>
              </w:rPr>
              <w:t xml:space="preserve">, el mercado de negociación para los </w:t>
            </w:r>
            <w:proofErr w:type="spellStart"/>
            <w:r w:rsidRPr="0086799B">
              <w:rPr>
                <w:i/>
                <w:sz w:val="18"/>
                <w:szCs w:val="18"/>
                <w:lang w:val="es-AR"/>
              </w:rPr>
              <w:t>VCPs</w:t>
            </w:r>
            <w:proofErr w:type="spellEnd"/>
            <w:r w:rsidRPr="0086799B">
              <w:rPr>
                <w:i/>
                <w:sz w:val="18"/>
                <w:szCs w:val="18"/>
                <w:lang w:val="es-AR"/>
              </w:rPr>
              <w:t xml:space="preserve"> que continúen vigentes podría no tener liquidez lo que podría afectar adversamente el valor de mercado de dichos valores negociables y la posibilidad de los tenedores de venderlos</w:t>
            </w:r>
            <w:r w:rsidRPr="005617E6">
              <w:rPr>
                <w:sz w:val="18"/>
                <w:szCs w:val="18"/>
                <w:lang w:val="es-AR"/>
              </w:rPr>
              <w:t>” y “</w:t>
            </w:r>
            <w:r w:rsidRPr="0086799B">
              <w:rPr>
                <w:i/>
                <w:sz w:val="18"/>
                <w:szCs w:val="18"/>
                <w:lang w:val="es-AR"/>
              </w:rPr>
              <w:t xml:space="preserve">La Relación de Canje podría no reflejar una valuación justa de los </w:t>
            </w:r>
            <w:proofErr w:type="spellStart"/>
            <w:r w:rsidRPr="0086799B">
              <w:rPr>
                <w:i/>
                <w:sz w:val="18"/>
                <w:szCs w:val="18"/>
                <w:lang w:val="es-AR"/>
              </w:rPr>
              <w:t>VCPs</w:t>
            </w:r>
            <w:proofErr w:type="spellEnd"/>
            <w:r w:rsidRPr="0086799B">
              <w:rPr>
                <w:i/>
                <w:sz w:val="18"/>
                <w:szCs w:val="18"/>
                <w:lang w:val="es-AR"/>
              </w:rPr>
              <w:t xml:space="preserve"> y se encuentra sujeta a la volatilidad del mercado</w:t>
            </w:r>
            <w:r w:rsidRPr="005617E6">
              <w:rPr>
                <w:sz w:val="18"/>
                <w:szCs w:val="18"/>
                <w:lang w:val="es-AR"/>
              </w:rPr>
              <w:t xml:space="preserve">”, en la </w:t>
            </w:r>
            <w:r>
              <w:rPr>
                <w:sz w:val="18"/>
                <w:szCs w:val="18"/>
                <w:lang w:val="es-AR"/>
              </w:rPr>
              <w:t>S</w:t>
            </w:r>
            <w:r w:rsidRPr="005617E6">
              <w:rPr>
                <w:sz w:val="18"/>
                <w:szCs w:val="18"/>
                <w:lang w:val="es-AR"/>
              </w:rPr>
              <w:t>ección “</w:t>
            </w:r>
            <w:r w:rsidRPr="0086799B">
              <w:rPr>
                <w:i/>
                <w:sz w:val="18"/>
                <w:szCs w:val="18"/>
                <w:lang w:val="es-AR"/>
              </w:rPr>
              <w:t>Factores de Riesgo</w:t>
            </w:r>
            <w:r w:rsidRPr="005617E6">
              <w:rPr>
                <w:sz w:val="18"/>
                <w:szCs w:val="18"/>
                <w:lang w:val="es-AR"/>
              </w:rPr>
              <w:t>” de</w:t>
            </w:r>
            <w:r>
              <w:rPr>
                <w:sz w:val="18"/>
                <w:szCs w:val="18"/>
                <w:lang w:val="es-AR"/>
              </w:rPr>
              <w:t>l</w:t>
            </w:r>
            <w:r w:rsidRPr="005617E6">
              <w:rPr>
                <w:sz w:val="18"/>
                <w:szCs w:val="18"/>
                <w:lang w:val="es-AR"/>
              </w:rPr>
              <w:t xml:space="preserve"> Suplemento. </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 xml:space="preserve">El precio de listado y negociación de los </w:t>
            </w:r>
            <w:proofErr w:type="spellStart"/>
            <w:r w:rsidRPr="005617E6">
              <w:rPr>
                <w:sz w:val="18"/>
                <w:szCs w:val="18"/>
                <w:lang w:val="es-AR"/>
              </w:rPr>
              <w:t>VCPs</w:t>
            </w:r>
            <w:proofErr w:type="spellEnd"/>
            <w:r w:rsidRPr="005617E6">
              <w:rPr>
                <w:sz w:val="18"/>
                <w:szCs w:val="18"/>
                <w:lang w:val="es-AR"/>
              </w:rPr>
              <w:t xml:space="preserve"> pueden ser </w:t>
            </w:r>
            <w:r w:rsidRPr="00CB37A4">
              <w:rPr>
                <w:sz w:val="18"/>
                <w:szCs w:val="18"/>
                <w:lang w:val="es-AR"/>
              </w:rPr>
              <w:t>consultados en los Sistemas Informativos de los Mercados, en particular, en el Boletín Diario de la BCBA, en la página web del BYMA (www.bolsar.com) y en el Sitio Web del MAE.</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Tipo de Cambio Aplicable</w:t>
            </w:r>
          </w:p>
        </w:tc>
        <w:tc>
          <w:tcPr>
            <w:tcW w:w="3525" w:type="pct"/>
            <w:shd w:val="clear" w:color="auto" w:fill="auto"/>
          </w:tcPr>
          <w:p w:rsidR="00606502" w:rsidRPr="005617E6" w:rsidRDefault="00606502" w:rsidP="00FD16BC">
            <w:pPr>
              <w:jc w:val="both"/>
              <w:rPr>
                <w:noProof/>
                <w:sz w:val="18"/>
                <w:szCs w:val="18"/>
                <w:lang w:val="es-AR"/>
              </w:rPr>
            </w:pPr>
            <w:r w:rsidRPr="005617E6">
              <w:rPr>
                <w:sz w:val="18"/>
                <w:szCs w:val="18"/>
                <w:lang w:val="es-AR"/>
              </w:rPr>
              <w:t xml:space="preserve">Es el tipo de cambio determinado y publicado por el BCRA conforme la Comunicación “A” 3500 (o la regulación que la sucediere o modificare en el futuro) </w:t>
            </w:r>
            <w:r w:rsidRPr="005617E6">
              <w:rPr>
                <w:bCs/>
                <w:sz w:val="18"/>
                <w:szCs w:val="18"/>
                <w:lang w:val="es-AR"/>
              </w:rPr>
              <w:t>al cierre de la jornada cambiaria a la fecha de cierre del Período de Licitación</w:t>
            </w:r>
            <w:r>
              <w:rPr>
                <w:bCs/>
                <w:sz w:val="18"/>
                <w:szCs w:val="18"/>
                <w:lang w:val="es-AR"/>
              </w:rPr>
              <w:t xml:space="preserve"> </w:t>
            </w:r>
            <w:r w:rsidRPr="005617E6">
              <w:rPr>
                <w:sz w:val="18"/>
                <w:szCs w:val="18"/>
                <w:lang w:val="es-AR"/>
              </w:rPr>
              <w:t>según se define más adelante)</w:t>
            </w:r>
            <w:r>
              <w:rPr>
                <w:sz w:val="18"/>
                <w:szCs w:val="18"/>
                <w:lang w:val="es-AR"/>
              </w:rPr>
              <w:t xml:space="preserve"> </w:t>
            </w:r>
            <w:r w:rsidRPr="005617E6">
              <w:rPr>
                <w:sz w:val="18"/>
                <w:szCs w:val="18"/>
                <w:lang w:val="es-AR"/>
              </w:rPr>
              <w:t>y que será informado en el Aviso de Resultados</w:t>
            </w:r>
            <w:r>
              <w:rPr>
                <w:sz w:val="18"/>
                <w:szCs w:val="18"/>
                <w:lang w:val="es-AR"/>
              </w:rPr>
              <w:t>.</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Fecha de Emisión y Liquidación</w:t>
            </w:r>
          </w:p>
          <w:p w:rsidR="00606502" w:rsidRPr="005617E6" w:rsidRDefault="00606502" w:rsidP="00FD16BC">
            <w:pPr>
              <w:rPr>
                <w:b/>
                <w:noProof/>
                <w:sz w:val="18"/>
                <w:szCs w:val="18"/>
                <w:lang w:val="es-AR"/>
              </w:rPr>
            </w:pPr>
          </w:p>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r w:rsidRPr="005617E6">
              <w:rPr>
                <w:sz w:val="18"/>
                <w:szCs w:val="18"/>
                <w:lang w:val="es-AR"/>
              </w:rPr>
              <w:t>Será informada mediante la publicación del Aviso de Resultados</w:t>
            </w:r>
            <w:r>
              <w:rPr>
                <w:sz w:val="18"/>
                <w:szCs w:val="18"/>
                <w:lang w:val="es-AR"/>
              </w:rPr>
              <w:t xml:space="preserve"> </w:t>
            </w:r>
            <w:r w:rsidRPr="005617E6">
              <w:rPr>
                <w:sz w:val="18"/>
                <w:szCs w:val="18"/>
                <w:lang w:val="es-AR"/>
              </w:rPr>
              <w:t xml:space="preserve">y ocurrirá dentro de los </w:t>
            </w:r>
            <w:r w:rsidRPr="005617E6">
              <w:rPr>
                <w:noProof/>
                <w:sz w:val="18"/>
                <w:szCs w:val="18"/>
                <w:lang w:val="es-AR"/>
              </w:rPr>
              <w:t>5</w:t>
            </w:r>
            <w:r w:rsidRPr="005617E6">
              <w:rPr>
                <w:sz w:val="18"/>
                <w:szCs w:val="18"/>
                <w:lang w:val="es-AR"/>
              </w:rPr>
              <w:t xml:space="preserve"> (</w:t>
            </w:r>
            <w:r w:rsidRPr="005617E6">
              <w:rPr>
                <w:noProof/>
                <w:sz w:val="18"/>
                <w:szCs w:val="18"/>
                <w:lang w:val="es-AR"/>
              </w:rPr>
              <w:t>cinco</w:t>
            </w:r>
            <w:r w:rsidRPr="005617E6">
              <w:rPr>
                <w:sz w:val="18"/>
                <w:szCs w:val="18"/>
                <w:lang w:val="es-AR"/>
              </w:rPr>
              <w:t>) Días Hábiles siguientes al día</w:t>
            </w:r>
            <w:r>
              <w:rPr>
                <w:sz w:val="18"/>
                <w:szCs w:val="18"/>
                <w:lang w:val="es-AR"/>
              </w:rPr>
              <w:t xml:space="preserve"> del cierre</w:t>
            </w:r>
            <w:r w:rsidRPr="005617E6">
              <w:rPr>
                <w:sz w:val="18"/>
                <w:szCs w:val="18"/>
                <w:lang w:val="es-AR"/>
              </w:rPr>
              <w:t xml:space="preserve"> del Período de Licitación (según se define más adelante) (la “</w:t>
            </w:r>
            <w:r w:rsidRPr="005617E6">
              <w:rPr>
                <w:sz w:val="18"/>
                <w:szCs w:val="18"/>
                <w:u w:val="single"/>
                <w:lang w:val="es-AR"/>
              </w:rPr>
              <w:t>Fecha de Emisión y Liquidación</w:t>
            </w:r>
            <w:r w:rsidRPr="005617E6">
              <w:rPr>
                <w:sz w:val="18"/>
                <w:szCs w:val="18"/>
                <w:lang w:val="es-AR"/>
              </w:rPr>
              <w:t>”).</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Rango de subordinación</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Las Obligaciones Negociables</w:t>
            </w:r>
            <w:r w:rsidRPr="005617E6">
              <w:rPr>
                <w:noProof/>
                <w:sz w:val="18"/>
                <w:szCs w:val="18"/>
                <w:lang w:val="es-AR"/>
              </w:rPr>
              <w:t xml:space="preserve"> Clase 1</w:t>
            </w:r>
            <w:r w:rsidRPr="005617E6">
              <w:rPr>
                <w:sz w:val="18"/>
                <w:szCs w:val="18"/>
                <w:lang w:val="es-AR"/>
              </w:rPr>
              <w:t xml:space="preserve"> constituirán un endeudamiento directo, incondicional, no privilegiado y no subordinado de Puente y tendrán en todo momento el mismo rango en su derecho de pago que todas las deudas existentes y futuras no privilegiadas y no subordinadas de Puente (salvo las obligaciones que gozan de preferencia por ley o de puro derecho, inclusive, entre otros, las acreencias por impuestos y de índole laboral). </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bookmarkStart w:id="1" w:name="_Hlk511749651"/>
            <w:r w:rsidRPr="005617E6">
              <w:rPr>
                <w:b/>
                <w:noProof/>
                <w:sz w:val="18"/>
                <w:szCs w:val="18"/>
                <w:lang w:val="es-AR"/>
              </w:rPr>
              <w:t>Pago</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Todos los pagos serán efectuados en Dólares Estadounidenses por Puente mediante transferencia de los importes correspondientes a </w:t>
            </w:r>
            <w:r w:rsidRPr="0086799B">
              <w:rPr>
                <w:sz w:val="18"/>
                <w:szCs w:val="18"/>
                <w:lang w:val="es-AR"/>
              </w:rPr>
              <w:t>CVSA</w:t>
            </w:r>
            <w:r w:rsidRPr="005617E6">
              <w:rPr>
                <w:sz w:val="18"/>
                <w:szCs w:val="18"/>
                <w:lang w:val="es-AR"/>
              </w:rPr>
              <w:t xml:space="preserve"> para su acreditación en las respectivas cuentas de los tenedores con derecho a cobro</w:t>
            </w:r>
            <w:r>
              <w:rPr>
                <w:sz w:val="18"/>
                <w:szCs w:val="18"/>
                <w:lang w:val="es-AR"/>
              </w:rPr>
              <w:t xml:space="preserve"> (</w:t>
            </w:r>
            <w:r w:rsidRPr="005617E6">
              <w:rPr>
                <w:sz w:val="18"/>
                <w:szCs w:val="18"/>
                <w:lang w:val="es-AR"/>
              </w:rPr>
              <w:t>los “</w:t>
            </w:r>
            <w:r w:rsidRPr="005617E6">
              <w:rPr>
                <w:bCs/>
                <w:sz w:val="18"/>
                <w:szCs w:val="18"/>
                <w:u w:val="single"/>
                <w:lang w:val="es-AR"/>
              </w:rPr>
              <w:t>Tenedores</w:t>
            </w:r>
            <w:r w:rsidRPr="005617E6">
              <w:rPr>
                <w:sz w:val="18"/>
                <w:szCs w:val="18"/>
                <w:lang w:val="es-AR"/>
              </w:rPr>
              <w:t>”).</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Si cualquier fecha de pago de cualquier monto bajo las Obligaciones Negociables</w:t>
            </w:r>
            <w:r w:rsidRPr="005617E6">
              <w:rPr>
                <w:noProof/>
                <w:sz w:val="18"/>
                <w:szCs w:val="18"/>
                <w:lang w:val="es-AR"/>
              </w:rPr>
              <w:t xml:space="preserve"> Clase 1</w:t>
            </w:r>
            <w:r w:rsidRPr="005617E6">
              <w:rPr>
                <w:sz w:val="18"/>
                <w:szCs w:val="18"/>
                <w:lang w:val="es-AR"/>
              </w:rPr>
              <w:t xml:space="preserve"> no fuera un Día Hábil, dicho pago será efectuado el Día Hábil inmediatamente posterior. Cualquier pago adeudado bajo las Obligaciones Negociables</w:t>
            </w:r>
            <w:r w:rsidRPr="005617E6">
              <w:rPr>
                <w:noProof/>
                <w:sz w:val="18"/>
                <w:szCs w:val="18"/>
                <w:lang w:val="es-AR"/>
              </w:rPr>
              <w:t xml:space="preserve"> Clase 1</w:t>
            </w:r>
            <w:r w:rsidRPr="005617E6">
              <w:rPr>
                <w:sz w:val="18"/>
                <w:szCs w:val="18"/>
                <w:lang w:val="es-AR"/>
              </w:rPr>
              <w:t xml:space="preserve"> efectuado en dicho Día Hábil inmediatamente posterior tendrá la misma validez que si hubiera sido efectuado en la fecha en la cual vencía el mismo, y no se devengarán intereses durante el período comprendido entre dicha fecha y el Día Hábil inmediato posterior, </w:t>
            </w:r>
            <w:bookmarkStart w:id="2" w:name="_Hlk511749574"/>
            <w:r w:rsidRPr="005617E6">
              <w:rPr>
                <w:sz w:val="18"/>
                <w:szCs w:val="18"/>
                <w:lang w:val="es-AR"/>
              </w:rPr>
              <w:t xml:space="preserve">salvo con relación a la Fecha de Vencimiento de las Obligaciones Negociables </w:t>
            </w:r>
            <w:bookmarkEnd w:id="2"/>
            <w:r w:rsidRPr="005617E6">
              <w:rPr>
                <w:sz w:val="18"/>
                <w:szCs w:val="18"/>
                <w:lang w:val="es-AR"/>
              </w:rPr>
              <w:t xml:space="preserve">respecto de las cuales, en caso que el pago deba realizarse un día que no fuera un Día Hábil, </w:t>
            </w:r>
            <w:bookmarkStart w:id="3" w:name="_Hlk511749632"/>
            <w:r w:rsidRPr="005617E6">
              <w:rPr>
                <w:sz w:val="18"/>
                <w:szCs w:val="18"/>
                <w:lang w:val="es-AR"/>
              </w:rPr>
              <w:t>la Emisora pagará los intereses devengados entre dicha fecha y el día en que efectivamente se realice el pago</w:t>
            </w:r>
            <w:bookmarkEnd w:id="3"/>
            <w:r w:rsidRPr="005617E6">
              <w:rPr>
                <w:sz w:val="18"/>
                <w:szCs w:val="18"/>
                <w:lang w:val="es-AR"/>
              </w:rPr>
              <w:t>.</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w:t>
            </w:r>
            <w:bookmarkStart w:id="4" w:name="_Hlk511749669"/>
            <w:r w:rsidRPr="005617E6">
              <w:rPr>
                <w:sz w:val="18"/>
                <w:szCs w:val="18"/>
                <w:u w:val="single"/>
                <w:lang w:val="es-AR"/>
              </w:rPr>
              <w:t>Día Hábil</w:t>
            </w:r>
            <w:r w:rsidRPr="005617E6">
              <w:rPr>
                <w:sz w:val="18"/>
                <w:szCs w:val="18"/>
                <w:lang w:val="es-AR"/>
              </w:rPr>
              <w:t xml:space="preserve">” significa cualquier día en el cual los Bancos comerciales en la Ciudad Autónoma de Buenos Aires y los mercados autorizados en que se listen y/o negocien las Obligaciones Negociables estuvieran autorizados o requeridos por las normas </w:t>
            </w:r>
            <w:r w:rsidRPr="005617E6">
              <w:rPr>
                <w:sz w:val="18"/>
                <w:szCs w:val="18"/>
                <w:lang w:val="es-AR"/>
              </w:rPr>
              <w:lastRenderedPageBreak/>
              <w:t>vigentes a cerrar o que, de otra forma, no estuvieran abiertos para operar o tuvieran alguna restricción para operar dispuesta por el BCRA o cualquier otro día en el cual los Bancos comerciales de la Ciudad Autónoma de Buenos Aires y los mercados autorizados no estuvieran abiertos por otra causa o motivo, incluyendo causas de fuerza mayor</w:t>
            </w:r>
            <w:bookmarkEnd w:id="4"/>
            <w:r w:rsidRPr="005617E6">
              <w:rPr>
                <w:sz w:val="18"/>
                <w:szCs w:val="18"/>
                <w:lang w:val="es-AR"/>
              </w:rPr>
              <w:t>.</w:t>
            </w:r>
          </w:p>
        </w:tc>
      </w:tr>
      <w:bookmarkEnd w:id="1"/>
      <w:tr w:rsidR="00606502" w:rsidRPr="00611CB6" w:rsidTr="00FD16BC">
        <w:trPr>
          <w:jc w:val="center"/>
        </w:trPr>
        <w:tc>
          <w:tcPr>
            <w:tcW w:w="1475" w:type="pct"/>
            <w:shd w:val="clear" w:color="auto" w:fill="auto"/>
          </w:tcPr>
          <w:p w:rsidR="00606502" w:rsidRPr="005617E6" w:rsidRDefault="00606502" w:rsidP="00FD16BC">
            <w:pPr>
              <w:rPr>
                <w:b/>
                <w:noProof/>
                <w:sz w:val="18"/>
                <w:szCs w:val="18"/>
                <w:highlight w:val="green"/>
                <w:lang w:val="es-AR"/>
              </w:rPr>
            </w:pPr>
          </w:p>
        </w:tc>
        <w:tc>
          <w:tcPr>
            <w:tcW w:w="3525" w:type="pct"/>
            <w:shd w:val="clear" w:color="auto" w:fill="auto"/>
          </w:tcPr>
          <w:p w:rsidR="00606502" w:rsidRPr="005617E6" w:rsidRDefault="00606502" w:rsidP="00FD16BC">
            <w:pPr>
              <w:jc w:val="both"/>
              <w:rPr>
                <w:noProof/>
                <w:sz w:val="18"/>
                <w:szCs w:val="18"/>
                <w:highlight w:val="green"/>
                <w:u w:val="words"/>
                <w:lang w:val="es-AR"/>
              </w:rPr>
            </w:pP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r w:rsidRPr="005617E6">
              <w:rPr>
                <w:b/>
                <w:noProof/>
                <w:sz w:val="18"/>
                <w:szCs w:val="18"/>
                <w:lang w:val="es-AR"/>
              </w:rPr>
              <w:t>Calificación de Riesgo</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Las Obligaciones Negociables Clase 1 han sido calificadas por FIX SCR S.A. AGENTE DE CALIFICACIÓN DE RIESGO (afiliada de Fitch Ratings – Reg. CNV N°9), con fecha </w:t>
            </w:r>
            <w:r w:rsidRPr="005830EB">
              <w:rPr>
                <w:sz w:val="18"/>
                <w:szCs w:val="18"/>
                <w:lang w:val="es-AR"/>
              </w:rPr>
              <w:t>24</w:t>
            </w:r>
            <w:r w:rsidRPr="005617E6">
              <w:rPr>
                <w:sz w:val="18"/>
                <w:szCs w:val="18"/>
                <w:lang w:val="es-AR"/>
              </w:rPr>
              <w:t xml:space="preserve"> de </w:t>
            </w:r>
            <w:r>
              <w:rPr>
                <w:sz w:val="18"/>
                <w:szCs w:val="18"/>
                <w:lang w:val="es-AR"/>
              </w:rPr>
              <w:t xml:space="preserve">mayo </w:t>
            </w:r>
            <w:r w:rsidRPr="005617E6">
              <w:rPr>
                <w:sz w:val="18"/>
                <w:szCs w:val="18"/>
                <w:lang w:val="es-AR"/>
              </w:rPr>
              <w:t>de 2019, como “</w:t>
            </w:r>
            <w:r>
              <w:rPr>
                <w:sz w:val="18"/>
                <w:szCs w:val="18"/>
                <w:lang w:val="es-AR"/>
              </w:rPr>
              <w:t>A(</w:t>
            </w:r>
            <w:proofErr w:type="spellStart"/>
            <w:r>
              <w:rPr>
                <w:sz w:val="18"/>
                <w:szCs w:val="18"/>
                <w:lang w:val="es-AR"/>
              </w:rPr>
              <w:t>arg</w:t>
            </w:r>
            <w:proofErr w:type="spellEnd"/>
            <w:r>
              <w:rPr>
                <w:sz w:val="18"/>
                <w:szCs w:val="18"/>
                <w:lang w:val="es-AR"/>
              </w:rPr>
              <w:t>)</w:t>
            </w:r>
            <w:r w:rsidRPr="005617E6">
              <w:rPr>
                <w:sz w:val="18"/>
                <w:szCs w:val="18"/>
                <w:lang w:val="es-AR"/>
              </w:rPr>
              <w:t>”.</w:t>
            </w:r>
          </w:p>
          <w:p w:rsidR="00606502" w:rsidRPr="005617E6" w:rsidRDefault="00606502" w:rsidP="00FD16BC">
            <w:pPr>
              <w:jc w:val="both"/>
              <w:rPr>
                <w:sz w:val="18"/>
                <w:szCs w:val="18"/>
                <w:lang w:val="es-AR"/>
              </w:rPr>
            </w:pPr>
          </w:p>
          <w:p w:rsidR="00606502" w:rsidRPr="005617E6" w:rsidRDefault="00606502" w:rsidP="00606502">
            <w:pPr>
              <w:jc w:val="both"/>
              <w:rPr>
                <w:sz w:val="18"/>
                <w:szCs w:val="18"/>
                <w:lang w:val="es-AR"/>
              </w:rPr>
            </w:pPr>
            <w:r w:rsidRPr="005617E6">
              <w:rPr>
                <w:sz w:val="18"/>
                <w:szCs w:val="18"/>
                <w:lang w:val="es-AR"/>
              </w:rPr>
              <w:t>Para más información al respecto, véase la Sección “</w:t>
            </w:r>
            <w:r w:rsidRPr="005617E6">
              <w:rPr>
                <w:i/>
                <w:iCs/>
                <w:sz w:val="18"/>
                <w:szCs w:val="18"/>
                <w:lang w:val="es-AR"/>
              </w:rPr>
              <w:t>Calificación de Riesgo</w:t>
            </w:r>
            <w:r w:rsidRPr="005617E6">
              <w:rPr>
                <w:sz w:val="18"/>
                <w:szCs w:val="18"/>
                <w:lang w:val="es-AR"/>
              </w:rPr>
              <w:t>” en</w:t>
            </w:r>
            <w:r>
              <w:rPr>
                <w:sz w:val="18"/>
                <w:szCs w:val="18"/>
                <w:lang w:val="es-AR"/>
              </w:rPr>
              <w:t xml:space="preserve"> el </w:t>
            </w:r>
            <w:r w:rsidRPr="005617E6">
              <w:rPr>
                <w:sz w:val="18"/>
                <w:szCs w:val="18"/>
                <w:lang w:val="es-AR"/>
              </w:rPr>
              <w:t>Suplemento.</w:t>
            </w:r>
          </w:p>
        </w:tc>
      </w:tr>
      <w:tr w:rsidR="00606502" w:rsidRPr="00611CB6" w:rsidTr="00FD16BC">
        <w:trPr>
          <w:jc w:val="center"/>
        </w:trPr>
        <w:tc>
          <w:tcPr>
            <w:tcW w:w="1475" w:type="pct"/>
            <w:shd w:val="clear" w:color="auto" w:fill="auto"/>
          </w:tcPr>
          <w:p w:rsidR="00606502" w:rsidRPr="005617E6" w:rsidRDefault="00606502" w:rsidP="00FD16BC">
            <w:pPr>
              <w:rPr>
                <w:b/>
                <w:noProof/>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Rescate por Razones Impositivas</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Las </w:t>
            </w:r>
            <w:r w:rsidRPr="00F15C6E">
              <w:rPr>
                <w:sz w:val="18"/>
                <w:szCs w:val="18"/>
                <w:lang w:val="es-AR"/>
              </w:rPr>
              <w:t>Obligaciones Negociables</w:t>
            </w:r>
            <w:r w:rsidRPr="00F15C6E">
              <w:rPr>
                <w:noProof/>
                <w:sz w:val="18"/>
                <w:szCs w:val="18"/>
                <w:lang w:val="es-AR"/>
              </w:rPr>
              <w:t xml:space="preserve"> Clase 1</w:t>
            </w:r>
            <w:r w:rsidRPr="00F15C6E">
              <w:rPr>
                <w:sz w:val="18"/>
                <w:szCs w:val="18"/>
                <w:lang w:val="es-AR"/>
              </w:rPr>
              <w:t xml:space="preserve"> podrán ser rescatadas a opción de la Emisora en su totalidad, pero no parcialmente, en los casos y en las condiciones que se detallan en el Capítulo “</w:t>
            </w:r>
            <w:r w:rsidRPr="00F15C6E">
              <w:rPr>
                <w:i/>
                <w:iCs/>
                <w:sz w:val="18"/>
                <w:szCs w:val="18"/>
                <w:lang w:val="es-AR"/>
              </w:rPr>
              <w:t>XIII. De la Oferta y del Listado para la Negociación – Rescate por Razones Impositivas</w:t>
            </w:r>
            <w:r w:rsidRPr="00F15C6E">
              <w:rPr>
                <w:sz w:val="18"/>
                <w:szCs w:val="18"/>
                <w:lang w:val="es-AR"/>
              </w:rPr>
              <w:t>” del Prospecto.</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Rescate Opcional.</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Desde el mes 12 contado desde la Fecha de Emisión y Liquidación, </w:t>
            </w:r>
            <w:r>
              <w:rPr>
                <w:sz w:val="18"/>
                <w:szCs w:val="18"/>
                <w:lang w:val="es-AR"/>
              </w:rPr>
              <w:t xml:space="preserve">y </w:t>
            </w:r>
            <w:r w:rsidRPr="005617E6">
              <w:rPr>
                <w:sz w:val="18"/>
                <w:szCs w:val="18"/>
                <w:lang w:val="es-AR"/>
              </w:rPr>
              <w:t xml:space="preserve">a su sola opción, la Emisora podrá rescatar todas las Obligaciones Negociables Clase 1 debiendo informar a los </w:t>
            </w:r>
            <w:r w:rsidRPr="00B778EB">
              <w:rPr>
                <w:sz w:val="18"/>
                <w:szCs w:val="18"/>
                <w:lang w:val="es-AR"/>
              </w:rPr>
              <w:t>Tenedores del ejercicio de dicha opción con una anticipación mínima de 5 (cinco) días corridos, mediante la publicación de un aviso complementario (“</w:t>
            </w:r>
            <w:r w:rsidRPr="00B778EB">
              <w:rPr>
                <w:sz w:val="18"/>
                <w:szCs w:val="18"/>
                <w:u w:val="single"/>
                <w:lang w:val="es-AR"/>
              </w:rPr>
              <w:t>Aviso de Rescate</w:t>
            </w:r>
            <w:r w:rsidRPr="00B778EB">
              <w:rPr>
                <w:sz w:val="18"/>
                <w:szCs w:val="18"/>
                <w:lang w:val="es-AR"/>
              </w:rPr>
              <w:t>”) por un día en los Sistemas Informativos de los Mercados, en el Sitio Web de la CNV y en el Sitio Web de Puente.</w:t>
            </w:r>
            <w:r>
              <w:rPr>
                <w:sz w:val="18"/>
                <w:szCs w:val="18"/>
                <w:lang w:val="es-AR"/>
              </w:rPr>
              <w:t xml:space="preserve"> </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El Aviso de Rescate deberá informar, entre otros conceptos, la fecha en la que se ejercerá el rescate opcional (la “</w:t>
            </w:r>
            <w:r w:rsidRPr="00F15C6E">
              <w:rPr>
                <w:sz w:val="18"/>
                <w:szCs w:val="18"/>
                <w:u w:val="single"/>
                <w:lang w:val="es-AR"/>
              </w:rPr>
              <w:t>Fecha de Rescate</w:t>
            </w:r>
            <w:r w:rsidRPr="005617E6">
              <w:rPr>
                <w:sz w:val="18"/>
                <w:szCs w:val="18"/>
                <w:lang w:val="es-AR"/>
              </w:rPr>
              <w:t xml:space="preserve">”) y el monto total de Obligaciones Negociables Clase 1 en circulación a rescatar. </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En la Fecha de Rescate todos los Tenedores de las Obligaciones Negociables Clase 1 recibirán: (i) en concepto de capital, el valor nominal de las Obligaciones Negociables Clase 1 pendientes de pago hasta la Fecha de Rescate inclusive</w:t>
            </w:r>
            <w:r>
              <w:rPr>
                <w:sz w:val="18"/>
                <w:szCs w:val="18"/>
                <w:lang w:val="es-AR"/>
              </w:rPr>
              <w:t xml:space="preserve"> y</w:t>
            </w:r>
            <w:r w:rsidRPr="005617E6">
              <w:rPr>
                <w:sz w:val="18"/>
                <w:szCs w:val="18"/>
                <w:lang w:val="es-AR"/>
              </w:rPr>
              <w:t>; (ii) los intereses correspondientes a las Obligaciones Negociables Clase 1 devengados hasta la Fecha de Rescate inclusive</w:t>
            </w:r>
            <w:r>
              <w:rPr>
                <w:sz w:val="18"/>
                <w:szCs w:val="18"/>
                <w:lang w:val="es-AR"/>
              </w:rPr>
              <w:t>.</w:t>
            </w:r>
          </w:p>
          <w:p w:rsidR="00606502" w:rsidRPr="005617E6" w:rsidRDefault="00606502" w:rsidP="00FD16BC">
            <w:pPr>
              <w:jc w:val="both"/>
              <w:rPr>
                <w:sz w:val="18"/>
                <w:szCs w:val="18"/>
                <w:lang w:val="es-AR"/>
              </w:rPr>
            </w:pPr>
          </w:p>
          <w:p w:rsidR="00606502" w:rsidRPr="005617E6" w:rsidRDefault="00606502" w:rsidP="00FD16BC">
            <w:pPr>
              <w:jc w:val="both"/>
              <w:rPr>
                <w:sz w:val="18"/>
                <w:szCs w:val="18"/>
                <w:lang w:val="es-AR"/>
              </w:rPr>
            </w:pPr>
            <w:r w:rsidRPr="005617E6">
              <w:rPr>
                <w:sz w:val="18"/>
                <w:szCs w:val="18"/>
                <w:lang w:val="es-AR"/>
              </w:rPr>
              <w:t>Se deja constancia que en todos los casos la Emisora respetará el trato igualitario entre los inversores</w:t>
            </w:r>
            <w:r>
              <w:rPr>
                <w:sz w:val="18"/>
                <w:szCs w:val="18"/>
                <w:lang w:val="es-AR"/>
              </w:rPr>
              <w:t xml:space="preserve">, en cumplimiento de la Ley de Mercado de Capitales, </w:t>
            </w:r>
            <w:r w:rsidRPr="005617E6">
              <w:rPr>
                <w:noProof/>
                <w:sz w:val="18"/>
                <w:szCs w:val="18"/>
                <w:lang w:val="es-AR"/>
              </w:rPr>
              <w:t>las Normas de la CNV y la Ley de Obligaciones Negociables.</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trHeight w:val="826"/>
          <w:jc w:val="center"/>
        </w:trPr>
        <w:tc>
          <w:tcPr>
            <w:tcW w:w="1475" w:type="pct"/>
            <w:shd w:val="clear" w:color="auto" w:fill="auto"/>
          </w:tcPr>
          <w:p w:rsidR="00606502" w:rsidRPr="005617E6" w:rsidRDefault="00606502" w:rsidP="00FD16BC">
            <w:pPr>
              <w:rPr>
                <w:sz w:val="18"/>
                <w:szCs w:val="18"/>
                <w:lang w:val="es-AR"/>
              </w:rPr>
            </w:pPr>
            <w:r w:rsidRPr="005617E6">
              <w:rPr>
                <w:b/>
                <w:bCs/>
                <w:sz w:val="18"/>
                <w:szCs w:val="18"/>
                <w:lang w:val="es-AR"/>
              </w:rPr>
              <w:t>Recompra</w:t>
            </w:r>
          </w:p>
        </w:tc>
        <w:tc>
          <w:tcPr>
            <w:tcW w:w="3525" w:type="pct"/>
            <w:shd w:val="clear" w:color="auto" w:fill="auto"/>
          </w:tcPr>
          <w:p w:rsidR="00606502" w:rsidRPr="005617E6" w:rsidRDefault="00606502" w:rsidP="00606502">
            <w:pPr>
              <w:jc w:val="both"/>
              <w:rPr>
                <w:sz w:val="18"/>
                <w:szCs w:val="18"/>
                <w:lang w:val="es-AR"/>
              </w:rPr>
            </w:pPr>
            <w:r w:rsidRPr="005617E6">
              <w:rPr>
                <w:sz w:val="18"/>
                <w:szCs w:val="18"/>
                <w:lang w:val="es-AR"/>
              </w:rPr>
              <w:t>Puente y/o sus sociedades controladas y/o vinculadas, podrán en cualquier momento y periódicamente, recomprar en los mercados autorizados en que se listen y/o negocien las Obligaciones Negociables</w:t>
            </w:r>
            <w:r w:rsidRPr="005617E6">
              <w:rPr>
                <w:noProof/>
                <w:sz w:val="18"/>
                <w:szCs w:val="18"/>
                <w:lang w:val="es-AR"/>
              </w:rPr>
              <w:t xml:space="preserve"> Clase 1,</w:t>
            </w:r>
            <w:r>
              <w:rPr>
                <w:noProof/>
                <w:sz w:val="18"/>
                <w:szCs w:val="18"/>
                <w:lang w:val="es-AR"/>
              </w:rPr>
              <w:t xml:space="preserve"> y</w:t>
            </w:r>
            <w:r w:rsidRPr="005617E6">
              <w:rPr>
                <w:sz w:val="18"/>
                <w:szCs w:val="18"/>
                <w:lang w:val="es-AR"/>
              </w:rPr>
              <w:t xml:space="preserve"> en los términos previstos en el Prospecto y el</w:t>
            </w:r>
            <w:r>
              <w:rPr>
                <w:sz w:val="18"/>
                <w:szCs w:val="18"/>
                <w:lang w:val="es-AR"/>
              </w:rPr>
              <w:t xml:space="preserve"> </w:t>
            </w:r>
            <w:r w:rsidRPr="005617E6">
              <w:rPr>
                <w:sz w:val="18"/>
                <w:szCs w:val="18"/>
                <w:lang w:val="es-AR"/>
              </w:rPr>
              <w:t>Suplemento</w:t>
            </w:r>
            <w:r>
              <w:rPr>
                <w:sz w:val="18"/>
                <w:szCs w:val="18"/>
                <w:lang w:val="es-AR"/>
              </w:rPr>
              <w:t>,</w:t>
            </w:r>
            <w:r w:rsidRPr="005617E6">
              <w:rPr>
                <w:sz w:val="18"/>
                <w:szCs w:val="18"/>
                <w:lang w:val="es-AR"/>
              </w:rPr>
              <w:t xml:space="preserve"> respetando el principio de trato igualitario entre los inversores.</w:t>
            </w:r>
          </w:p>
        </w:tc>
      </w:tr>
      <w:tr w:rsidR="00606502" w:rsidRPr="00611CB6" w:rsidTr="00FD16BC">
        <w:trPr>
          <w:trHeight w:val="279"/>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trHeight w:val="2410"/>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Obligaciones Negociables Adicionales</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La Emisora </w:t>
            </w:r>
            <w:r w:rsidRPr="00B778EB">
              <w:rPr>
                <w:sz w:val="18"/>
                <w:szCs w:val="18"/>
                <w:lang w:val="es-AR"/>
              </w:rPr>
              <w:t>podrá, sin el consentimiento de los Tenedores de las Obligaciones Negociables Clase 1, emitir nuevas Obligaciones Negociables Clase</w:t>
            </w:r>
            <w:r w:rsidRPr="005617E6">
              <w:rPr>
                <w:sz w:val="18"/>
                <w:szCs w:val="18"/>
                <w:lang w:val="es-AR"/>
              </w:rPr>
              <w:t xml:space="preserve"> 1 en una o más transacciones, que tendrán sustancialmente los mismos términos y condiciones de las Obligaciones Negociables Clase 1 en circulación, con la salvedad de que podrán tener (i) una fecha de emisión distinta; (ii) un precio de emisión distinto; (iii) </w:t>
            </w:r>
            <w:r>
              <w:rPr>
                <w:sz w:val="18"/>
                <w:szCs w:val="18"/>
                <w:lang w:val="es-AR"/>
              </w:rPr>
              <w:t>una</w:t>
            </w:r>
            <w:r w:rsidRPr="005617E6">
              <w:rPr>
                <w:sz w:val="18"/>
                <w:szCs w:val="18"/>
                <w:lang w:val="es-AR"/>
              </w:rPr>
              <w:t xml:space="preserve"> fecha desde la cual devengar intereses distinta; (iv) una suma de intereses diferente a pagar </w:t>
            </w:r>
            <w:r w:rsidRPr="00B778EB">
              <w:rPr>
                <w:sz w:val="18"/>
                <w:szCs w:val="18"/>
                <w:lang w:val="es-AR"/>
              </w:rPr>
              <w:t>en la primera Fecha de pago de Intereses después de su emisión; y/o (v) los cambios y ajustes que fueran necesarios para dar cumplimiento a la normativa aplicable vigente en tal momento. Cualquier obligación negociable así emitida será consolidada y formará una sola clase junto con las Obligaciones</w:t>
            </w:r>
            <w:r w:rsidRPr="005617E6">
              <w:rPr>
                <w:sz w:val="18"/>
                <w:szCs w:val="18"/>
                <w:lang w:val="es-AR"/>
              </w:rPr>
              <w:t xml:space="preserve"> Negociables Clase 1 en circulación, de modo que, entre otras cuestiones, los tenedores de las obligaciones negociables así emitidas tendrán el derecho de votar en las asambleas conjuntamente con los </w:t>
            </w:r>
            <w:r>
              <w:rPr>
                <w:sz w:val="18"/>
                <w:szCs w:val="18"/>
                <w:lang w:val="es-AR"/>
              </w:rPr>
              <w:t>T</w:t>
            </w:r>
            <w:r w:rsidRPr="005617E6">
              <w:rPr>
                <w:sz w:val="18"/>
                <w:szCs w:val="18"/>
                <w:lang w:val="es-AR"/>
              </w:rPr>
              <w:t>enedores de las Obligaciones Negociables Clase 1 como una sola clase.</w:t>
            </w:r>
          </w:p>
        </w:tc>
      </w:tr>
      <w:tr w:rsidR="00606502" w:rsidRPr="00611CB6" w:rsidTr="00FD16BC">
        <w:trPr>
          <w:trHeight w:val="293"/>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Compromisos de la Emisora</w:t>
            </w:r>
          </w:p>
        </w:tc>
        <w:tc>
          <w:tcPr>
            <w:tcW w:w="3525" w:type="pct"/>
            <w:shd w:val="clear" w:color="auto" w:fill="auto"/>
          </w:tcPr>
          <w:p w:rsidR="00606502" w:rsidRPr="005617E6" w:rsidRDefault="00606502" w:rsidP="00606502">
            <w:pPr>
              <w:pStyle w:val="Sangradetextonormal"/>
              <w:tabs>
                <w:tab w:val="left" w:pos="0"/>
              </w:tabs>
              <w:spacing w:after="0"/>
              <w:ind w:left="0"/>
              <w:jc w:val="both"/>
              <w:rPr>
                <w:sz w:val="18"/>
                <w:szCs w:val="18"/>
                <w:lang w:val="es-AR"/>
              </w:rPr>
            </w:pPr>
            <w:r w:rsidRPr="005617E6">
              <w:rPr>
                <w:sz w:val="18"/>
                <w:szCs w:val="18"/>
                <w:lang w:val="es-AR"/>
              </w:rPr>
              <w:t>La Emisora asumirá ciertos compromisos los cuales se encuentran especificados en la Sección “</w:t>
            </w:r>
            <w:r w:rsidRPr="005617E6">
              <w:rPr>
                <w:i/>
                <w:iCs/>
                <w:sz w:val="18"/>
                <w:szCs w:val="18"/>
                <w:lang w:val="es-AR"/>
              </w:rPr>
              <w:t xml:space="preserve">De la Oferta y del Listado para la Negociación – Compromisos” </w:t>
            </w:r>
            <w:r w:rsidRPr="005617E6">
              <w:rPr>
                <w:sz w:val="18"/>
                <w:szCs w:val="18"/>
                <w:lang w:val="es-AR"/>
              </w:rPr>
              <w:t xml:space="preserve">del </w:t>
            </w:r>
            <w:r w:rsidRPr="005617E6">
              <w:rPr>
                <w:sz w:val="18"/>
                <w:szCs w:val="18"/>
                <w:lang w:val="es-AR"/>
              </w:rPr>
              <w:lastRenderedPageBreak/>
              <w:t>Prospecto, mientras cualquiera de las Obligaciones Negociables</w:t>
            </w:r>
            <w:r w:rsidRPr="005617E6">
              <w:rPr>
                <w:noProof/>
                <w:sz w:val="18"/>
                <w:szCs w:val="18"/>
                <w:lang w:val="es-AR"/>
              </w:rPr>
              <w:t xml:space="preserve"> Clase 1</w:t>
            </w:r>
            <w:r w:rsidRPr="005617E6">
              <w:rPr>
                <w:sz w:val="18"/>
                <w:szCs w:val="18"/>
                <w:lang w:val="es-AR"/>
              </w:rPr>
              <w:t xml:space="preserve"> se encuentre en circulación.</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pStyle w:val="Sangradetextonormal"/>
              <w:tabs>
                <w:tab w:val="left" w:pos="0"/>
                <w:tab w:val="left" w:pos="295"/>
              </w:tabs>
              <w:spacing w:after="0"/>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Forma</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Las Obligaciones Negociables</w:t>
            </w:r>
            <w:r w:rsidRPr="005617E6">
              <w:rPr>
                <w:noProof/>
                <w:sz w:val="18"/>
                <w:szCs w:val="18"/>
                <w:lang w:val="es-AR"/>
              </w:rPr>
              <w:t xml:space="preserve"> Clase 1</w:t>
            </w:r>
            <w:r w:rsidRPr="005617E6">
              <w:rPr>
                <w:sz w:val="18"/>
                <w:szCs w:val="18"/>
                <w:lang w:val="es-AR"/>
              </w:rPr>
              <w:t xml:space="preserve"> estarán representadas en un certificado global permanente, a ser depositado en CVSA de acuerdo con lo establecido por la Ley </w:t>
            </w:r>
            <w:proofErr w:type="spellStart"/>
            <w:r w:rsidRPr="005617E6">
              <w:rPr>
                <w:sz w:val="18"/>
                <w:szCs w:val="18"/>
                <w:lang w:val="es-AR"/>
              </w:rPr>
              <w:t>N°</w:t>
            </w:r>
            <w:proofErr w:type="spellEnd"/>
            <w:r w:rsidRPr="005617E6">
              <w:rPr>
                <w:sz w:val="18"/>
                <w:szCs w:val="18"/>
                <w:lang w:val="es-AR"/>
              </w:rPr>
              <w:t xml:space="preserve"> 24.587 de </w:t>
            </w:r>
            <w:proofErr w:type="spellStart"/>
            <w:r w:rsidRPr="005617E6">
              <w:rPr>
                <w:sz w:val="18"/>
                <w:szCs w:val="18"/>
                <w:lang w:val="es-AR"/>
              </w:rPr>
              <w:t>Nominatividad</w:t>
            </w:r>
            <w:proofErr w:type="spellEnd"/>
            <w:r w:rsidRPr="005617E6">
              <w:rPr>
                <w:sz w:val="18"/>
                <w:szCs w:val="18"/>
                <w:lang w:val="es-AR"/>
              </w:rPr>
              <w:t xml:space="preserve"> de los Títulos Valores Privados </w:t>
            </w:r>
            <w:r w:rsidRPr="005617E6">
              <w:rPr>
                <w:rStyle w:val="DeltaViewInsertion"/>
                <w:sz w:val="18"/>
                <w:szCs w:val="18"/>
                <w:lang w:val="es-AR"/>
              </w:rPr>
              <w:t>(la “</w:t>
            </w:r>
            <w:r w:rsidRPr="005617E6">
              <w:rPr>
                <w:rStyle w:val="DeltaViewInsertion"/>
                <w:bCs/>
                <w:sz w:val="18"/>
                <w:szCs w:val="18"/>
                <w:u w:val="single"/>
                <w:lang w:val="es-AR"/>
              </w:rPr>
              <w:t xml:space="preserve">Ley de </w:t>
            </w:r>
            <w:proofErr w:type="spellStart"/>
            <w:r w:rsidRPr="005617E6">
              <w:rPr>
                <w:rStyle w:val="DeltaViewInsertion"/>
                <w:bCs/>
                <w:sz w:val="18"/>
                <w:szCs w:val="18"/>
                <w:u w:val="single"/>
                <w:lang w:val="es-AR"/>
              </w:rPr>
              <w:t>Nominatividad</w:t>
            </w:r>
            <w:proofErr w:type="spellEnd"/>
            <w:r w:rsidRPr="005617E6">
              <w:rPr>
                <w:rStyle w:val="DeltaViewInsertion"/>
                <w:sz w:val="18"/>
                <w:szCs w:val="18"/>
                <w:lang w:val="es-AR"/>
              </w:rPr>
              <w:t>”)</w:t>
            </w:r>
            <w:r w:rsidRPr="005617E6">
              <w:rPr>
                <w:sz w:val="18"/>
                <w:szCs w:val="18"/>
                <w:lang w:val="es-AR"/>
              </w:rPr>
              <w:t xml:space="preserve">. Los Tenedores renuncian al derecho a exigir la entrega de láminas individuales. Las transferencias se realizarán dentro del sistema de depósito colectivo, conforme a la Ley Nº 20.643 y sus posteriores modificaciones, encontrándose habilitada CVSA para cobrar aranceles a los depositantes, que éstos podrán trasladar a los Tenedores. </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sz w:val="18"/>
                <w:lang w:val="es-AR"/>
              </w:rPr>
            </w:pPr>
            <w:r w:rsidRPr="005617E6">
              <w:rPr>
                <w:b/>
                <w:sz w:val="18"/>
                <w:lang w:val="es-AR"/>
              </w:rPr>
              <w:t>Monto Mínimo de Suscripción</w:t>
            </w:r>
          </w:p>
        </w:tc>
        <w:tc>
          <w:tcPr>
            <w:tcW w:w="3525" w:type="pct"/>
            <w:shd w:val="clear" w:color="auto" w:fill="auto"/>
          </w:tcPr>
          <w:p w:rsidR="00606502" w:rsidRPr="005617E6" w:rsidRDefault="00606502" w:rsidP="00FD16BC">
            <w:pPr>
              <w:jc w:val="both"/>
              <w:rPr>
                <w:sz w:val="18"/>
                <w:lang w:val="es-AR"/>
              </w:rPr>
            </w:pPr>
            <w:r w:rsidRPr="005617E6">
              <w:rPr>
                <w:sz w:val="18"/>
                <w:lang w:val="es-AR"/>
              </w:rPr>
              <w:t xml:space="preserve">U$S 100 (Dólares Estadounidenses cien) y múltiplos de U$S 1,00 (Dólares Estadounidenses uno). </w:t>
            </w:r>
          </w:p>
        </w:tc>
      </w:tr>
      <w:tr w:rsidR="00606502" w:rsidRPr="00611CB6" w:rsidTr="00FD16BC">
        <w:trPr>
          <w:jc w:val="center"/>
        </w:trPr>
        <w:tc>
          <w:tcPr>
            <w:tcW w:w="1475" w:type="pct"/>
            <w:shd w:val="clear" w:color="auto" w:fill="auto"/>
          </w:tcPr>
          <w:p w:rsidR="00606502" w:rsidRPr="005617E6" w:rsidRDefault="00606502" w:rsidP="00FD16BC">
            <w:pPr>
              <w:rPr>
                <w:b/>
                <w:sz w:val="18"/>
                <w:lang w:val="es-AR"/>
              </w:rPr>
            </w:pPr>
          </w:p>
        </w:tc>
        <w:tc>
          <w:tcPr>
            <w:tcW w:w="3525" w:type="pct"/>
            <w:shd w:val="clear" w:color="auto" w:fill="auto"/>
          </w:tcPr>
          <w:p w:rsidR="00606502" w:rsidRPr="005617E6" w:rsidRDefault="00606502" w:rsidP="00FD16BC">
            <w:pPr>
              <w:jc w:val="both"/>
              <w:rPr>
                <w:sz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sz w:val="18"/>
                <w:lang w:val="es-AR"/>
              </w:rPr>
            </w:pPr>
            <w:r w:rsidRPr="005617E6">
              <w:rPr>
                <w:b/>
                <w:sz w:val="18"/>
                <w:lang w:val="es-AR"/>
              </w:rPr>
              <w:t>Unidad Mínima de Negociación</w:t>
            </w:r>
          </w:p>
        </w:tc>
        <w:tc>
          <w:tcPr>
            <w:tcW w:w="3525" w:type="pct"/>
            <w:shd w:val="clear" w:color="auto" w:fill="auto"/>
          </w:tcPr>
          <w:p w:rsidR="00606502" w:rsidRPr="005617E6" w:rsidRDefault="00606502" w:rsidP="00FD16BC">
            <w:pPr>
              <w:jc w:val="both"/>
              <w:rPr>
                <w:sz w:val="18"/>
                <w:lang w:val="es-AR"/>
              </w:rPr>
            </w:pPr>
            <w:r w:rsidRPr="005617E6">
              <w:rPr>
                <w:sz w:val="18"/>
                <w:lang w:val="es-AR"/>
              </w:rPr>
              <w:t>U$S 1</w:t>
            </w:r>
            <w:r>
              <w:rPr>
                <w:sz w:val="18"/>
                <w:lang w:val="es-AR"/>
              </w:rPr>
              <w:t>,00</w:t>
            </w:r>
            <w:r w:rsidRPr="005617E6">
              <w:rPr>
                <w:sz w:val="18"/>
                <w:lang w:val="es-AR"/>
              </w:rPr>
              <w:t xml:space="preserve"> (Dólares Estadounidenses </w:t>
            </w:r>
            <w:r>
              <w:rPr>
                <w:sz w:val="18"/>
                <w:lang w:val="es-AR"/>
              </w:rPr>
              <w:t>uno</w:t>
            </w:r>
            <w:r w:rsidRPr="005617E6">
              <w:rPr>
                <w:sz w:val="18"/>
                <w:lang w:val="es-AR"/>
              </w:rPr>
              <w:t xml:space="preserve">) y múltiplos de U$S 1,00 (Dólares Estadounidenses uno). </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Destino de los Fondos</w:t>
            </w:r>
          </w:p>
        </w:tc>
        <w:tc>
          <w:tcPr>
            <w:tcW w:w="3525" w:type="pct"/>
            <w:shd w:val="clear" w:color="auto" w:fill="auto"/>
          </w:tcPr>
          <w:p w:rsidR="00606502" w:rsidRPr="005617E6" w:rsidRDefault="00606502" w:rsidP="00606502">
            <w:pPr>
              <w:jc w:val="both"/>
              <w:rPr>
                <w:sz w:val="18"/>
                <w:szCs w:val="18"/>
                <w:lang w:val="es-AR"/>
              </w:rPr>
            </w:pPr>
            <w:r w:rsidRPr="005617E6">
              <w:rPr>
                <w:sz w:val="18"/>
                <w:szCs w:val="18"/>
                <w:lang w:val="es-AR"/>
              </w:rPr>
              <w:t>Puente utilizará la totalidad del producido neto proveniente de la colocación de las Obligaciones Negociables</w:t>
            </w:r>
            <w:r w:rsidRPr="005617E6">
              <w:rPr>
                <w:noProof/>
                <w:sz w:val="18"/>
                <w:szCs w:val="18"/>
                <w:lang w:val="es-AR"/>
              </w:rPr>
              <w:t xml:space="preserve"> Clase 1</w:t>
            </w:r>
            <w:r w:rsidRPr="005617E6">
              <w:rPr>
                <w:sz w:val="18"/>
                <w:szCs w:val="18"/>
                <w:lang w:val="es-AR"/>
              </w:rPr>
              <w:t xml:space="preserve">, de acuerdo con lo establecido bajo la Sección </w:t>
            </w:r>
            <w:r w:rsidRPr="005617E6">
              <w:rPr>
                <w:i/>
                <w:iCs/>
                <w:sz w:val="18"/>
                <w:szCs w:val="18"/>
                <w:lang w:val="es-AR"/>
              </w:rPr>
              <w:t>“Destino de los Fondos”</w:t>
            </w:r>
            <w:r w:rsidRPr="005617E6">
              <w:rPr>
                <w:sz w:val="18"/>
                <w:szCs w:val="18"/>
                <w:lang w:val="es-AR"/>
              </w:rPr>
              <w:t xml:space="preserve"> del Suplemento.</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sz w:val="18"/>
                <w:szCs w:val="18"/>
                <w:lang w:val="es-AR"/>
              </w:rPr>
            </w:pPr>
            <w:bookmarkStart w:id="5" w:name="_Hlk511750469"/>
            <w:r w:rsidRPr="005617E6">
              <w:rPr>
                <w:b/>
                <w:sz w:val="18"/>
                <w:szCs w:val="18"/>
                <w:lang w:val="es-AR"/>
              </w:rPr>
              <w:t>Liquidación y Compensación</w:t>
            </w:r>
          </w:p>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outlineLvl w:val="2"/>
              <w:rPr>
                <w:sz w:val="18"/>
                <w:szCs w:val="18"/>
                <w:lang w:val="es-AR"/>
              </w:rPr>
            </w:pPr>
            <w:r w:rsidRPr="005617E6">
              <w:rPr>
                <w:sz w:val="18"/>
                <w:szCs w:val="18"/>
                <w:lang w:val="es-AR"/>
              </w:rPr>
              <w:t>Se realizará a través de MAE Clear (“</w:t>
            </w:r>
            <w:r w:rsidRPr="005617E6">
              <w:rPr>
                <w:sz w:val="18"/>
                <w:szCs w:val="18"/>
                <w:u w:val="single"/>
                <w:lang w:val="es-AR"/>
              </w:rPr>
              <w:t>MAE Clear</w:t>
            </w:r>
            <w:r w:rsidRPr="005617E6">
              <w:rPr>
                <w:sz w:val="18"/>
                <w:szCs w:val="18"/>
                <w:lang w:val="es-AR"/>
              </w:rPr>
              <w:t xml:space="preserve">”) y/o el Colocador, en caso de que los Inversores </w:t>
            </w:r>
            <w:r>
              <w:rPr>
                <w:sz w:val="18"/>
                <w:szCs w:val="18"/>
                <w:lang w:val="es-AR"/>
              </w:rPr>
              <w:t xml:space="preserve">(conforme este término se define más adelante) </w:t>
            </w:r>
            <w:r w:rsidRPr="005617E6">
              <w:rPr>
                <w:sz w:val="18"/>
                <w:szCs w:val="18"/>
                <w:lang w:val="es-AR"/>
              </w:rPr>
              <w:t xml:space="preserve">opten por suscribir e integrar las Obligaciones Negociables Clase 1 por intermedio de éste último. </w:t>
            </w:r>
          </w:p>
        </w:tc>
      </w:tr>
      <w:bookmarkEnd w:id="5"/>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Listado y Negociación</w:t>
            </w:r>
          </w:p>
        </w:tc>
        <w:tc>
          <w:tcPr>
            <w:tcW w:w="3525" w:type="pct"/>
            <w:shd w:val="clear" w:color="auto" w:fill="auto"/>
          </w:tcPr>
          <w:p w:rsidR="00606502" w:rsidRPr="005617E6" w:rsidRDefault="00606502" w:rsidP="00FD16BC">
            <w:pPr>
              <w:jc w:val="both"/>
              <w:rPr>
                <w:sz w:val="18"/>
                <w:szCs w:val="18"/>
                <w:lang w:val="es-AR"/>
              </w:rPr>
            </w:pPr>
            <w:r w:rsidRPr="005617E6">
              <w:rPr>
                <w:noProof/>
                <w:sz w:val="18"/>
                <w:szCs w:val="18"/>
                <w:lang w:val="es-AR"/>
              </w:rPr>
              <w:t>Las Obligaciones Negociables Clase 1 serán listadas y negociadas en ByMA y en el MAE respectivamente.</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5617E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Agente de Cálculo</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Puente Hnos. S.A. </w:t>
            </w:r>
          </w:p>
        </w:tc>
      </w:tr>
      <w:tr w:rsidR="00606502" w:rsidRPr="005617E6" w:rsidTr="00FD16BC">
        <w:trPr>
          <w:trHeight w:val="267"/>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bookmarkStart w:id="6" w:name="_Hlk511749722"/>
            <w:r w:rsidRPr="005617E6">
              <w:rPr>
                <w:b/>
                <w:sz w:val="18"/>
                <w:szCs w:val="18"/>
                <w:lang w:val="es-AR"/>
              </w:rPr>
              <w:t>Transferencia</w:t>
            </w:r>
          </w:p>
        </w:tc>
        <w:tc>
          <w:tcPr>
            <w:tcW w:w="3525" w:type="pct"/>
            <w:shd w:val="clear" w:color="auto" w:fill="auto"/>
          </w:tcPr>
          <w:p w:rsidR="00606502" w:rsidRPr="005617E6" w:rsidRDefault="00606502" w:rsidP="00FD16BC">
            <w:pPr>
              <w:jc w:val="both"/>
              <w:rPr>
                <w:sz w:val="18"/>
                <w:szCs w:val="18"/>
                <w:lang w:val="es-AR"/>
              </w:rPr>
            </w:pPr>
            <w:r w:rsidRPr="005617E6">
              <w:rPr>
                <w:sz w:val="18"/>
                <w:szCs w:val="18"/>
                <w:lang w:val="es-AR"/>
              </w:rPr>
              <w:t xml:space="preserve">Puente podrá realizar la solicitud para que las Obligaciones Negociables Clase 1 sean elegibles para su transferencia a través de </w:t>
            </w:r>
            <w:proofErr w:type="spellStart"/>
            <w:r w:rsidRPr="005617E6">
              <w:rPr>
                <w:sz w:val="18"/>
                <w:szCs w:val="18"/>
                <w:lang w:val="es-AR"/>
              </w:rPr>
              <w:t>Euroclear</w:t>
            </w:r>
            <w:proofErr w:type="spellEnd"/>
            <w:r w:rsidRPr="005617E6">
              <w:rPr>
                <w:sz w:val="18"/>
                <w:szCs w:val="18"/>
                <w:lang w:val="es-AR"/>
              </w:rPr>
              <w:t xml:space="preserve"> y/o </w:t>
            </w:r>
            <w:proofErr w:type="spellStart"/>
            <w:r w:rsidRPr="005617E6">
              <w:rPr>
                <w:sz w:val="18"/>
                <w:szCs w:val="18"/>
                <w:lang w:val="es-AR"/>
              </w:rPr>
              <w:t>Clearstream</w:t>
            </w:r>
            <w:proofErr w:type="spellEnd"/>
            <w:r w:rsidRPr="005617E6">
              <w:rPr>
                <w:sz w:val="18"/>
                <w:szCs w:val="18"/>
                <w:lang w:val="es-AR"/>
              </w:rPr>
              <w:t xml:space="preserve">. El número de ISIN correspondiente será informado en el Aviso de Resultados o </w:t>
            </w:r>
            <w:r>
              <w:rPr>
                <w:sz w:val="18"/>
                <w:szCs w:val="18"/>
                <w:lang w:val="es-AR"/>
              </w:rPr>
              <w:t xml:space="preserve">en </w:t>
            </w:r>
            <w:r w:rsidRPr="005617E6">
              <w:rPr>
                <w:sz w:val="18"/>
                <w:szCs w:val="18"/>
                <w:lang w:val="es-AR"/>
              </w:rPr>
              <w:t>un aviso complementario</w:t>
            </w:r>
            <w:r>
              <w:rPr>
                <w:sz w:val="18"/>
                <w:szCs w:val="18"/>
                <w:lang w:val="es-AR"/>
              </w:rPr>
              <w:t xml:space="preserve"> al Suplemento.</w:t>
            </w:r>
          </w:p>
        </w:tc>
      </w:tr>
      <w:tr w:rsidR="00606502" w:rsidRPr="00611CB6" w:rsidTr="00FD16BC">
        <w:trPr>
          <w:jc w:val="center"/>
        </w:trPr>
        <w:tc>
          <w:tcPr>
            <w:tcW w:w="1475" w:type="pct"/>
            <w:shd w:val="clear" w:color="auto" w:fill="auto"/>
          </w:tcPr>
          <w:p w:rsidR="00606502" w:rsidRPr="005617E6" w:rsidRDefault="00606502" w:rsidP="00FD16BC">
            <w:pPr>
              <w:rPr>
                <w:b/>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bookmarkEnd w:id="6"/>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Supuestos de Incumplimiento</w:t>
            </w:r>
          </w:p>
        </w:tc>
        <w:tc>
          <w:tcPr>
            <w:tcW w:w="3525" w:type="pct"/>
            <w:shd w:val="clear" w:color="auto" w:fill="auto"/>
          </w:tcPr>
          <w:p w:rsidR="00606502" w:rsidRPr="005617E6" w:rsidRDefault="00606502" w:rsidP="00FD16BC">
            <w:pPr>
              <w:tabs>
                <w:tab w:val="left" w:pos="152"/>
                <w:tab w:val="left" w:pos="302"/>
              </w:tabs>
              <w:jc w:val="both"/>
              <w:rPr>
                <w:sz w:val="18"/>
                <w:szCs w:val="18"/>
                <w:lang w:val="es-AR"/>
              </w:rPr>
            </w:pPr>
            <w:r w:rsidRPr="005617E6">
              <w:rPr>
                <w:sz w:val="18"/>
                <w:szCs w:val="18"/>
                <w:lang w:val="es-AR"/>
              </w:rPr>
              <w:t>Se considerarán Supuestos de Incumplimiento bajo las Obligaciones Negociables</w:t>
            </w:r>
            <w:r w:rsidRPr="005617E6">
              <w:rPr>
                <w:noProof/>
                <w:sz w:val="18"/>
                <w:szCs w:val="18"/>
                <w:lang w:val="es-AR"/>
              </w:rPr>
              <w:t xml:space="preserve"> Clase 1</w:t>
            </w:r>
            <w:r w:rsidRPr="005617E6">
              <w:rPr>
                <w:sz w:val="18"/>
                <w:szCs w:val="18"/>
                <w:lang w:val="es-AR"/>
              </w:rPr>
              <w:t xml:space="preserve"> los detallados en la Sección “</w:t>
            </w:r>
            <w:r w:rsidRPr="005617E6">
              <w:rPr>
                <w:i/>
                <w:iCs/>
                <w:sz w:val="18"/>
                <w:szCs w:val="18"/>
                <w:lang w:val="es-AR"/>
              </w:rPr>
              <w:t>De la Oferta y del Listado para la Negociación – Supuestos de Incumplimiento”</w:t>
            </w:r>
            <w:r w:rsidRPr="005617E6">
              <w:rPr>
                <w:sz w:val="18"/>
                <w:szCs w:val="18"/>
                <w:lang w:val="es-AR"/>
              </w:rPr>
              <w:t xml:space="preserve"> del Prospecto. </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tabs>
                <w:tab w:val="left" w:pos="152"/>
                <w:tab w:val="left" w:pos="302"/>
              </w:tabs>
              <w:jc w:val="both"/>
              <w:rPr>
                <w:rStyle w:val="DeltaViewInsertion"/>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r w:rsidRPr="005617E6">
              <w:rPr>
                <w:b/>
                <w:bCs/>
                <w:sz w:val="18"/>
                <w:szCs w:val="18"/>
                <w:lang w:val="es-AR"/>
              </w:rPr>
              <w:t>Intereses moratorios</w:t>
            </w:r>
          </w:p>
        </w:tc>
        <w:tc>
          <w:tcPr>
            <w:tcW w:w="3525" w:type="pct"/>
            <w:shd w:val="clear" w:color="auto" w:fill="auto"/>
          </w:tcPr>
          <w:p w:rsidR="00606502" w:rsidRPr="005617E6" w:rsidRDefault="00606502" w:rsidP="00FD16BC">
            <w:pPr>
              <w:tabs>
                <w:tab w:val="left" w:pos="152"/>
                <w:tab w:val="left" w:pos="302"/>
              </w:tabs>
              <w:jc w:val="both"/>
              <w:rPr>
                <w:sz w:val="18"/>
                <w:szCs w:val="18"/>
                <w:lang w:val="es-AR"/>
              </w:rPr>
            </w:pPr>
            <w:r w:rsidRPr="00606502">
              <w:rPr>
                <w:noProof/>
                <w:sz w:val="18"/>
                <w:szCs w:val="18"/>
                <w:lang w:val="es-AR"/>
              </w:rPr>
              <w:t>En el supuesto en que la Emisora no abonara cualquier monto adeudado bajo las Obligaciones Negociables</w:t>
            </w:r>
            <w:r w:rsidRPr="005617E6">
              <w:rPr>
                <w:noProof/>
                <w:sz w:val="18"/>
                <w:szCs w:val="18"/>
                <w:lang w:val="es-AR"/>
              </w:rPr>
              <w:t xml:space="preserve"> Clase 1</w:t>
            </w:r>
            <w:r w:rsidRPr="00606502">
              <w:rPr>
                <w:noProof/>
                <w:sz w:val="18"/>
                <w:szCs w:val="18"/>
                <w:lang w:val="es-AR"/>
              </w:rPr>
              <w:t>, la Emisora deberá abonar un interés moratorio equivalente al 50 % nominal anual sobre la tasa de interés correspondiente al período vencido e impago.</w:t>
            </w:r>
            <w:r>
              <w:rPr>
                <w:rStyle w:val="DeltaViewInsertion"/>
                <w:sz w:val="18"/>
                <w:szCs w:val="18"/>
                <w:lang w:val="es-AR"/>
              </w:rPr>
              <w:t xml:space="preserve"> </w:t>
            </w:r>
          </w:p>
        </w:tc>
      </w:tr>
      <w:tr w:rsidR="00606502" w:rsidRPr="00611CB6" w:rsidTr="00FD16BC">
        <w:trPr>
          <w:jc w:val="center"/>
        </w:trPr>
        <w:tc>
          <w:tcPr>
            <w:tcW w:w="1475" w:type="pct"/>
            <w:shd w:val="clear" w:color="auto" w:fill="auto"/>
          </w:tcPr>
          <w:p w:rsidR="00606502" w:rsidRPr="005617E6" w:rsidRDefault="00606502" w:rsidP="00FD16BC">
            <w:pPr>
              <w:rPr>
                <w:b/>
                <w:bCs/>
                <w:sz w:val="18"/>
                <w:szCs w:val="18"/>
                <w:lang w:val="es-AR"/>
              </w:rPr>
            </w:pPr>
          </w:p>
        </w:tc>
        <w:tc>
          <w:tcPr>
            <w:tcW w:w="3525" w:type="pct"/>
            <w:shd w:val="clear" w:color="auto" w:fill="auto"/>
          </w:tcPr>
          <w:p w:rsidR="00606502" w:rsidRPr="005617E6" w:rsidRDefault="00606502" w:rsidP="00FD16BC">
            <w:pPr>
              <w:jc w:val="both"/>
              <w:rPr>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noProof/>
                <w:color w:val="000000"/>
                <w:sz w:val="18"/>
                <w:szCs w:val="18"/>
                <w:lang w:val="es-AR"/>
              </w:rPr>
            </w:pPr>
            <w:r w:rsidRPr="005617E6">
              <w:rPr>
                <w:b/>
                <w:bCs/>
                <w:noProof/>
                <w:color w:val="000000"/>
                <w:sz w:val="18"/>
                <w:szCs w:val="18"/>
                <w:lang w:val="es-AR"/>
              </w:rPr>
              <w:t>Acción Ejecutiva</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Las Obligaciones Negociables Clase 1 constituirán “obligaciones negociables” de conformidad con las disposiciones de la Ley de Obligaciones Negociables y gozarán de los derechos allí establecidos. En particular, conforme con el artículo 29 de dicha ley y de conformidad con el artículo 129 inc. e) y 131 de la Ley de Mercado de Capitales, en el supuesto de incumplimiento por parte de la Emisora en el pago de cualquier monto adeudado bajo las Obligaciones Negociables Clase 1, los Tenedores podrán iniciar acciones ejecutivas ante tribunales competentes de la República Argentina para reclamar el pago de los montos adeudados a su vencimiento por la Emisora.</w:t>
            </w:r>
          </w:p>
          <w:p w:rsidR="00606502" w:rsidRPr="005617E6" w:rsidRDefault="00606502" w:rsidP="00FD16BC">
            <w:pPr>
              <w:jc w:val="both"/>
              <w:rPr>
                <w:noProof/>
                <w:sz w:val="18"/>
                <w:szCs w:val="18"/>
                <w:lang w:val="es-AR"/>
              </w:rPr>
            </w:pPr>
          </w:p>
          <w:p w:rsidR="00606502" w:rsidRPr="005617E6" w:rsidRDefault="00606502" w:rsidP="00FD16BC">
            <w:pPr>
              <w:jc w:val="both"/>
              <w:rPr>
                <w:bCs/>
                <w:noProof/>
                <w:color w:val="000000"/>
                <w:sz w:val="18"/>
                <w:szCs w:val="18"/>
                <w:lang w:val="es-AR"/>
              </w:rPr>
            </w:pPr>
            <w:r w:rsidRPr="005617E6">
              <w:rPr>
                <w:noProof/>
                <w:sz w:val="18"/>
                <w:szCs w:val="18"/>
                <w:lang w:val="es-AR"/>
              </w:rPr>
              <w:t>En virtud del régimen de depósito colectivo establecido de conformidad con los términos de la Ley de Nominatividad, CVSA podrá expedir certificados de tenencia a favor de los Tenedores en cuestión a solicitud de éstos y éstos podrán iniciar con tales certificados las acciones ejecutivas mencionadas.</w:t>
            </w:r>
          </w:p>
        </w:tc>
      </w:tr>
      <w:tr w:rsidR="00606502" w:rsidRPr="00611CB6" w:rsidTr="00FD16BC">
        <w:trPr>
          <w:jc w:val="center"/>
        </w:trPr>
        <w:tc>
          <w:tcPr>
            <w:tcW w:w="1475" w:type="pct"/>
            <w:shd w:val="clear" w:color="auto" w:fill="auto"/>
          </w:tcPr>
          <w:p w:rsidR="00606502" w:rsidRPr="005617E6" w:rsidRDefault="00606502" w:rsidP="00FD16BC">
            <w:pPr>
              <w:rPr>
                <w:b/>
                <w:bCs/>
                <w:noProof/>
                <w:color w:val="000000"/>
                <w:sz w:val="18"/>
                <w:szCs w:val="18"/>
                <w:lang w:val="es-AR"/>
              </w:rPr>
            </w:pPr>
          </w:p>
        </w:tc>
        <w:tc>
          <w:tcPr>
            <w:tcW w:w="3525" w:type="pct"/>
            <w:shd w:val="clear" w:color="auto" w:fill="auto"/>
          </w:tcPr>
          <w:p w:rsidR="00606502" w:rsidRPr="005617E6" w:rsidRDefault="00606502" w:rsidP="00FD16BC">
            <w:pPr>
              <w:jc w:val="both"/>
              <w:rPr>
                <w:noProof/>
                <w:sz w:val="18"/>
                <w:szCs w:val="18"/>
                <w:lang w:val="es-AR"/>
              </w:rPr>
            </w:pPr>
          </w:p>
        </w:tc>
      </w:tr>
      <w:tr w:rsidR="00606502" w:rsidRPr="00611CB6" w:rsidTr="00FD16BC">
        <w:trPr>
          <w:jc w:val="center"/>
        </w:trPr>
        <w:tc>
          <w:tcPr>
            <w:tcW w:w="1475" w:type="pct"/>
            <w:shd w:val="clear" w:color="auto" w:fill="auto"/>
          </w:tcPr>
          <w:p w:rsidR="00606502" w:rsidRPr="005617E6" w:rsidRDefault="00606502" w:rsidP="00FD16BC">
            <w:pPr>
              <w:rPr>
                <w:b/>
                <w:bCs/>
                <w:noProof/>
                <w:color w:val="000000"/>
                <w:sz w:val="18"/>
                <w:szCs w:val="18"/>
                <w:lang w:val="es-AR"/>
              </w:rPr>
            </w:pPr>
            <w:r w:rsidRPr="005617E6">
              <w:rPr>
                <w:b/>
                <w:bCs/>
                <w:noProof/>
                <w:color w:val="000000"/>
                <w:sz w:val="18"/>
                <w:szCs w:val="18"/>
                <w:lang w:val="es-AR"/>
              </w:rPr>
              <w:t>Ley Aplicable y Jurisdicción</w:t>
            </w:r>
          </w:p>
        </w:tc>
        <w:tc>
          <w:tcPr>
            <w:tcW w:w="3525" w:type="pct"/>
            <w:shd w:val="clear" w:color="auto" w:fill="auto"/>
          </w:tcPr>
          <w:p w:rsidR="00606502" w:rsidRPr="005617E6" w:rsidRDefault="00606502" w:rsidP="00FD16BC">
            <w:pPr>
              <w:jc w:val="both"/>
              <w:rPr>
                <w:noProof/>
                <w:sz w:val="18"/>
                <w:szCs w:val="18"/>
                <w:lang w:val="es-AR"/>
              </w:rPr>
            </w:pPr>
            <w:r w:rsidRPr="005617E6">
              <w:rPr>
                <w:noProof/>
                <w:sz w:val="18"/>
                <w:szCs w:val="18"/>
                <w:lang w:val="es-AR"/>
              </w:rPr>
              <w:t xml:space="preserve">Las Obligaciones Negociables Clase 1 se emitirán conforme con la Ley de </w:t>
            </w:r>
            <w:r w:rsidRPr="005617E6">
              <w:rPr>
                <w:noProof/>
                <w:sz w:val="18"/>
                <w:szCs w:val="18"/>
                <w:lang w:val="es-AR"/>
              </w:rPr>
              <w:lastRenderedPageBreak/>
              <w:t>Obligaciones Negociables y demás normas vigentes en la República Argentina que resultaren de aplicación en la Fecha de Emisión y Liquidación. Toda controversia que se suscite entre la Emisora y los Tenedores en relación con las Obligaciones Negociables Clase 1 se someterá a la jurisdicción del tribunal de arbitraje del mercado en el que se listen las Obligaciones Negociables Clase 1, o el que en el futuro lo reemplace, de conformidad con el artículo 46 de la Ley de Mercado de Capitales, sin perjuicio del derecho de los Tenedores de optar por recurrir a los tribunales judiciales competentes.</w:t>
            </w:r>
          </w:p>
        </w:tc>
      </w:tr>
    </w:tbl>
    <w:p w:rsidR="00A823BF" w:rsidRPr="00790C51" w:rsidRDefault="00A823BF" w:rsidP="001E2383">
      <w:pPr>
        <w:jc w:val="both"/>
        <w:rPr>
          <w:snapToGrid w:val="0"/>
          <w:sz w:val="22"/>
          <w:szCs w:val="22"/>
          <w:lang w:val="es-AR"/>
        </w:rPr>
      </w:pPr>
    </w:p>
    <w:p w:rsidR="00591EA3" w:rsidRPr="00A823BF" w:rsidRDefault="00591EA3" w:rsidP="00A823BF">
      <w:pPr>
        <w:tabs>
          <w:tab w:val="left" w:pos="0"/>
          <w:tab w:val="left" w:pos="284"/>
        </w:tabs>
        <w:suppressAutoHyphens/>
        <w:ind w:right="-2"/>
        <w:jc w:val="both"/>
        <w:rPr>
          <w:sz w:val="22"/>
          <w:szCs w:val="22"/>
          <w:lang w:val="es-MX"/>
        </w:rPr>
      </w:pPr>
    </w:p>
    <w:p w:rsidR="0087203B" w:rsidRPr="00A823BF" w:rsidRDefault="0087203B" w:rsidP="0087203B">
      <w:pPr>
        <w:jc w:val="both"/>
        <w:rPr>
          <w:snapToGrid w:val="0"/>
          <w:sz w:val="22"/>
          <w:szCs w:val="22"/>
          <w:lang w:val="es-AR"/>
        </w:rPr>
      </w:pPr>
      <w:r w:rsidRPr="00A823BF">
        <w:rPr>
          <w:snapToGrid w:val="0"/>
          <w:sz w:val="22"/>
          <w:szCs w:val="22"/>
          <w:lang w:val="es-AR"/>
        </w:rPr>
        <w:t>Los términos en mayúscula utilizados y no definidos en el presente tendrán el significado que a ellos se les asigna en el Suplemento de Precio.</w:t>
      </w:r>
    </w:p>
    <w:p w:rsidR="00790C51" w:rsidRDefault="00790C51" w:rsidP="00591EA3">
      <w:pPr>
        <w:jc w:val="center"/>
        <w:rPr>
          <w:sz w:val="22"/>
          <w:szCs w:val="22"/>
          <w:lang w:val="es-AR"/>
        </w:rPr>
      </w:pPr>
    </w:p>
    <w:p w:rsidR="00790C51" w:rsidRDefault="00790C51" w:rsidP="00591EA3">
      <w:pPr>
        <w:jc w:val="center"/>
        <w:rPr>
          <w:sz w:val="22"/>
          <w:szCs w:val="22"/>
          <w:lang w:val="es-AR"/>
        </w:rPr>
      </w:pPr>
    </w:p>
    <w:p w:rsidR="00790C51" w:rsidRDefault="00790C51" w:rsidP="00591EA3">
      <w:pPr>
        <w:jc w:val="center"/>
        <w:rPr>
          <w:sz w:val="22"/>
          <w:szCs w:val="22"/>
          <w:lang w:val="es-AR"/>
        </w:rPr>
      </w:pPr>
    </w:p>
    <w:p w:rsidR="00790C51" w:rsidRDefault="00790C51" w:rsidP="00591EA3">
      <w:pPr>
        <w:jc w:val="center"/>
        <w:rPr>
          <w:sz w:val="22"/>
          <w:szCs w:val="22"/>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90C51" w:rsidTr="00790C51">
        <w:tc>
          <w:tcPr>
            <w:tcW w:w="8828" w:type="dxa"/>
          </w:tcPr>
          <w:p w:rsidR="00790C51" w:rsidRDefault="00790C51" w:rsidP="00790C51">
            <w:pPr>
              <w:jc w:val="center"/>
              <w:rPr>
                <w:sz w:val="22"/>
                <w:szCs w:val="22"/>
                <w:lang w:val="es-AR"/>
              </w:rPr>
            </w:pPr>
            <w:r>
              <w:rPr>
                <w:sz w:val="22"/>
                <w:szCs w:val="22"/>
                <w:lang w:val="es-AR"/>
              </w:rPr>
              <w:t>__________________________</w:t>
            </w:r>
          </w:p>
        </w:tc>
      </w:tr>
      <w:tr w:rsidR="00790C51" w:rsidRPr="00611CB6" w:rsidTr="00790C51">
        <w:tc>
          <w:tcPr>
            <w:tcW w:w="8828" w:type="dxa"/>
          </w:tcPr>
          <w:p w:rsidR="00790C51" w:rsidRDefault="00606502" w:rsidP="00832B02">
            <w:pPr>
              <w:jc w:val="center"/>
              <w:rPr>
                <w:sz w:val="22"/>
                <w:szCs w:val="22"/>
                <w:lang w:val="es-AR"/>
              </w:rPr>
            </w:pPr>
            <w:r w:rsidRPr="00292696">
              <w:rPr>
                <w:rFonts w:ascii="Garamond" w:hAnsi="Garamond"/>
                <w:lang w:val="es-AR"/>
              </w:rPr>
              <w:t xml:space="preserve">Marcelo </w:t>
            </w:r>
            <w:proofErr w:type="spellStart"/>
            <w:r w:rsidRPr="00292696">
              <w:rPr>
                <w:rFonts w:ascii="Garamond" w:hAnsi="Garamond"/>
                <w:lang w:val="es-AR"/>
              </w:rPr>
              <w:t>Barreyro</w:t>
            </w:r>
            <w:proofErr w:type="spellEnd"/>
            <w:r w:rsidR="00832B02" w:rsidRPr="00292696">
              <w:rPr>
                <w:rFonts w:ascii="Garamond" w:hAnsi="Garamond"/>
                <w:lang w:val="es-AR"/>
              </w:rPr>
              <w:t xml:space="preserve"> </w:t>
            </w:r>
            <w:r w:rsidRPr="00292696">
              <w:rPr>
                <w:rFonts w:ascii="Garamond" w:hAnsi="Garamond"/>
                <w:lang w:val="es-AR"/>
              </w:rPr>
              <w:t>y Gonzalo Spinedi</w:t>
            </w:r>
            <w:r w:rsidRPr="00606502">
              <w:rPr>
                <w:rFonts w:ascii="Garamond" w:hAnsi="Garamond"/>
                <w:lang w:val="es-AR"/>
              </w:rPr>
              <w:t xml:space="preserve"> </w:t>
            </w:r>
          </w:p>
        </w:tc>
      </w:tr>
      <w:tr w:rsidR="00790C51" w:rsidTr="00790C51">
        <w:tc>
          <w:tcPr>
            <w:tcW w:w="8828" w:type="dxa"/>
          </w:tcPr>
          <w:p w:rsidR="00790C51" w:rsidRDefault="00790C51" w:rsidP="00790C51">
            <w:pPr>
              <w:jc w:val="center"/>
              <w:rPr>
                <w:sz w:val="22"/>
                <w:szCs w:val="22"/>
                <w:lang w:val="es-AR"/>
              </w:rPr>
            </w:pPr>
            <w:r w:rsidRPr="00A823BF">
              <w:rPr>
                <w:sz w:val="22"/>
                <w:szCs w:val="22"/>
                <w:lang w:val="es-AR"/>
              </w:rPr>
              <w:t>Subdelegado</w:t>
            </w:r>
            <w:r w:rsidR="00832B02">
              <w:rPr>
                <w:sz w:val="22"/>
                <w:szCs w:val="22"/>
                <w:lang w:val="es-AR"/>
              </w:rPr>
              <w:t>s</w:t>
            </w:r>
          </w:p>
        </w:tc>
      </w:tr>
    </w:tbl>
    <w:p w:rsidR="00790C51" w:rsidRDefault="00790C51" w:rsidP="00591EA3">
      <w:pPr>
        <w:jc w:val="center"/>
        <w:rPr>
          <w:sz w:val="22"/>
          <w:szCs w:val="22"/>
          <w:lang w:val="es-AR"/>
        </w:rPr>
      </w:pPr>
    </w:p>
    <w:p w:rsidR="00790C51" w:rsidRPr="00A823BF" w:rsidRDefault="00790C51">
      <w:pPr>
        <w:jc w:val="center"/>
        <w:rPr>
          <w:sz w:val="22"/>
          <w:szCs w:val="22"/>
          <w:lang w:val="es-ES"/>
        </w:rPr>
      </w:pPr>
    </w:p>
    <w:sectPr w:rsidR="00790C51" w:rsidRPr="00A823B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D76" w:rsidRDefault="00DD0D76" w:rsidP="001E2383">
      <w:r>
        <w:separator/>
      </w:r>
    </w:p>
  </w:endnote>
  <w:endnote w:type="continuationSeparator" w:id="0">
    <w:p w:rsidR="00DD0D76" w:rsidRDefault="00DD0D76" w:rsidP="001E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D76" w:rsidRDefault="00DD0D76" w:rsidP="001E2383">
      <w:r>
        <w:separator/>
      </w:r>
    </w:p>
  </w:footnote>
  <w:footnote w:type="continuationSeparator" w:id="0">
    <w:p w:rsidR="00DD0D76" w:rsidRDefault="00DD0D76" w:rsidP="001E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383" w:rsidRDefault="00A823BF" w:rsidP="001E2383">
    <w:pPr>
      <w:pStyle w:val="Encabezado"/>
      <w:jc w:val="center"/>
    </w:pPr>
    <w:r>
      <w:rPr>
        <w:noProof/>
        <w:lang w:val="es-AR" w:eastAsia="es-AR"/>
      </w:rPr>
      <w:drawing>
        <wp:inline distT="0" distB="0" distL="0" distR="0">
          <wp:extent cx="2232660" cy="588010"/>
          <wp:effectExtent l="0" t="0" r="0" b="2540"/>
          <wp:docPr id="1" name="Imagen 1" descr="Logo_Puente-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ente-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588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A5369"/>
    <w:multiLevelType w:val="hybridMultilevel"/>
    <w:tmpl w:val="66BCD174"/>
    <w:lvl w:ilvl="0" w:tplc="5310E37A">
      <w:start w:val="1"/>
      <w:numFmt w:val="decimal"/>
      <w:lvlText w:val="(%1)"/>
      <w:lvlJc w:val="left"/>
      <w:pPr>
        <w:tabs>
          <w:tab w:val="num" w:pos="720"/>
        </w:tabs>
        <w:ind w:left="720" w:hanging="360"/>
      </w:pPr>
      <w:rPr>
        <w:rFonts w:hint="default"/>
      </w:rPr>
    </w:lvl>
    <w:lvl w:ilvl="1" w:tplc="FCD4E79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4948E8"/>
    <w:multiLevelType w:val="hybridMultilevel"/>
    <w:tmpl w:val="2048A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83"/>
    <w:rsid w:val="000E0CF1"/>
    <w:rsid w:val="00152059"/>
    <w:rsid w:val="001E2383"/>
    <w:rsid w:val="00237216"/>
    <w:rsid w:val="00292696"/>
    <w:rsid w:val="00336306"/>
    <w:rsid w:val="00591EA3"/>
    <w:rsid w:val="00606502"/>
    <w:rsid w:val="00611CB6"/>
    <w:rsid w:val="00790C51"/>
    <w:rsid w:val="00832B02"/>
    <w:rsid w:val="0087203B"/>
    <w:rsid w:val="009679FD"/>
    <w:rsid w:val="009D74A4"/>
    <w:rsid w:val="00A823BF"/>
    <w:rsid w:val="00B24A46"/>
    <w:rsid w:val="00C34176"/>
    <w:rsid w:val="00DD0D76"/>
    <w:rsid w:val="00FD0D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E1AB"/>
  <w15:docId w15:val="{20C16B4E-A28C-4E8E-A6F2-026C03A9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383"/>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2383"/>
    <w:pPr>
      <w:tabs>
        <w:tab w:val="center" w:pos="4419"/>
        <w:tab w:val="right" w:pos="8838"/>
      </w:tabs>
    </w:pPr>
  </w:style>
  <w:style w:type="character" w:customStyle="1" w:styleId="EncabezadoCar">
    <w:name w:val="Encabezado Car"/>
    <w:basedOn w:val="Fuentedeprrafopredeter"/>
    <w:link w:val="Encabezado"/>
    <w:uiPriority w:val="99"/>
    <w:rsid w:val="001E2383"/>
  </w:style>
  <w:style w:type="paragraph" w:styleId="Piedepgina">
    <w:name w:val="footer"/>
    <w:basedOn w:val="Normal"/>
    <w:link w:val="PiedepginaCar"/>
    <w:uiPriority w:val="99"/>
    <w:unhideWhenUsed/>
    <w:rsid w:val="001E2383"/>
    <w:pPr>
      <w:tabs>
        <w:tab w:val="center" w:pos="4419"/>
        <w:tab w:val="right" w:pos="8838"/>
      </w:tabs>
    </w:pPr>
  </w:style>
  <w:style w:type="character" w:customStyle="1" w:styleId="PiedepginaCar">
    <w:name w:val="Pie de página Car"/>
    <w:basedOn w:val="Fuentedeprrafopredeter"/>
    <w:link w:val="Piedepgina"/>
    <w:uiPriority w:val="99"/>
    <w:rsid w:val="001E2383"/>
  </w:style>
  <w:style w:type="paragraph" w:styleId="Prrafodelista">
    <w:name w:val="List Paragraph"/>
    <w:basedOn w:val="Normal"/>
    <w:uiPriority w:val="34"/>
    <w:qFormat/>
    <w:rsid w:val="00591EA3"/>
    <w:pPr>
      <w:ind w:left="720"/>
      <w:contextualSpacing/>
    </w:pPr>
  </w:style>
  <w:style w:type="paragraph" w:styleId="Textoindependiente2">
    <w:name w:val="Body Text 2"/>
    <w:basedOn w:val="Normal"/>
    <w:link w:val="Textoindependiente2Car"/>
    <w:rsid w:val="009D74A4"/>
    <w:pPr>
      <w:tabs>
        <w:tab w:val="left" w:pos="720"/>
      </w:tabs>
      <w:ind w:right="18"/>
      <w:jc w:val="both"/>
    </w:pPr>
    <w:rPr>
      <w:rFonts w:ascii="Garamond" w:hAnsi="Garamond"/>
      <w:sz w:val="22"/>
      <w:szCs w:val="20"/>
      <w:lang w:val="es-AR"/>
    </w:rPr>
  </w:style>
  <w:style w:type="character" w:customStyle="1" w:styleId="Textoindependiente2Car">
    <w:name w:val="Texto independiente 2 Car"/>
    <w:basedOn w:val="Fuentedeprrafopredeter"/>
    <w:link w:val="Textoindependiente2"/>
    <w:rsid w:val="009D74A4"/>
    <w:rPr>
      <w:rFonts w:ascii="Garamond" w:eastAsia="Times New Roman" w:hAnsi="Garamond" w:cs="Times New Roman"/>
      <w:szCs w:val="20"/>
      <w:lang w:val="es-AR"/>
    </w:rPr>
  </w:style>
  <w:style w:type="paragraph" w:customStyle="1" w:styleId="Default">
    <w:name w:val="Default"/>
    <w:rsid w:val="009D74A4"/>
    <w:pPr>
      <w:autoSpaceDE w:val="0"/>
      <w:autoSpaceDN w:val="0"/>
      <w:adjustRightInd w:val="0"/>
      <w:spacing w:after="0" w:line="240" w:lineRule="auto"/>
    </w:pPr>
    <w:rPr>
      <w:rFonts w:ascii="Times New Roman" w:eastAsia="Times New Roman" w:hAnsi="Times New Roman" w:cs="Times New Roman"/>
      <w:color w:val="000000"/>
      <w:sz w:val="24"/>
      <w:szCs w:val="24"/>
      <w:lang w:val="es-AR" w:eastAsia="es-AR"/>
    </w:rPr>
  </w:style>
  <w:style w:type="character" w:customStyle="1" w:styleId="DeltaViewInsertion">
    <w:name w:val="DeltaView Insertion"/>
    <w:rsid w:val="009D74A4"/>
    <w:rPr>
      <w:color w:val="0000FF"/>
      <w:spacing w:val="0"/>
      <w:u w:val="double"/>
    </w:rPr>
  </w:style>
  <w:style w:type="paragraph" w:customStyle="1" w:styleId="BHTexto">
    <w:name w:val="BH Texto"/>
    <w:basedOn w:val="Normal"/>
    <w:link w:val="BHTextoCar"/>
    <w:qFormat/>
    <w:rsid w:val="009D74A4"/>
    <w:pPr>
      <w:autoSpaceDE w:val="0"/>
      <w:autoSpaceDN w:val="0"/>
      <w:adjustRightInd w:val="0"/>
      <w:spacing w:before="120" w:after="120"/>
      <w:jc w:val="both"/>
    </w:pPr>
    <w:rPr>
      <w:rFonts w:eastAsia="Calibri"/>
      <w:sz w:val="20"/>
      <w:szCs w:val="20"/>
      <w:lang w:eastAsia="es-AR"/>
    </w:rPr>
  </w:style>
  <w:style w:type="character" w:customStyle="1" w:styleId="BHTextoCar">
    <w:name w:val="BH Texto Car"/>
    <w:link w:val="BHTexto"/>
    <w:rsid w:val="009D74A4"/>
    <w:rPr>
      <w:rFonts w:ascii="Times New Roman" w:eastAsia="Calibri" w:hAnsi="Times New Roman" w:cs="Times New Roman"/>
      <w:sz w:val="20"/>
      <w:szCs w:val="20"/>
      <w:lang w:val="en-US" w:eastAsia="es-AR"/>
    </w:rPr>
  </w:style>
  <w:style w:type="paragraph" w:customStyle="1" w:styleId="default0">
    <w:name w:val="default"/>
    <w:basedOn w:val="Normal"/>
    <w:uiPriority w:val="99"/>
    <w:rsid w:val="009D74A4"/>
    <w:pPr>
      <w:autoSpaceDE w:val="0"/>
      <w:autoSpaceDN w:val="0"/>
    </w:pPr>
    <w:rPr>
      <w:rFonts w:ascii="Garamond" w:eastAsia="Calibri" w:hAnsi="Garamond"/>
      <w:color w:val="000000"/>
      <w:lang w:val="es-ES" w:eastAsia="es-ES"/>
    </w:rPr>
  </w:style>
  <w:style w:type="character" w:customStyle="1" w:styleId="DeltaViewMoveDestination">
    <w:name w:val="DeltaView Move Destination"/>
    <w:rsid w:val="00A823BF"/>
    <w:rPr>
      <w:color w:val="00C000"/>
      <w:spacing w:val="0"/>
      <w:u w:val="double"/>
    </w:rPr>
  </w:style>
  <w:style w:type="table" w:styleId="Tablaconcuadrcula">
    <w:name w:val="Table Grid"/>
    <w:basedOn w:val="Tablanormal"/>
    <w:uiPriority w:val="39"/>
    <w:rsid w:val="0079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606502"/>
    <w:pPr>
      <w:spacing w:after="120"/>
      <w:ind w:left="283"/>
    </w:pPr>
  </w:style>
  <w:style w:type="character" w:customStyle="1" w:styleId="SangradetextonormalCar">
    <w:name w:val="Sangría de texto normal Car"/>
    <w:basedOn w:val="Fuentedeprrafopredeter"/>
    <w:link w:val="Sangradetextonormal"/>
    <w:uiPriority w:val="99"/>
    <w:semiHidden/>
    <w:rsid w:val="00606502"/>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611CB6"/>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CB6"/>
    <w:rPr>
      <w:rFonts w:ascii="Tahoma" w:eastAsia="Times New Roman" w:hAnsi="Tahoma" w:cs="Tahoma"/>
      <w:sz w:val="16"/>
      <w:szCs w:val="16"/>
      <w:lang w:val="en-US"/>
    </w:rPr>
  </w:style>
  <w:style w:type="paragraph" w:styleId="Revisin">
    <w:name w:val="Revision"/>
    <w:hidden/>
    <w:uiPriority w:val="99"/>
    <w:semiHidden/>
    <w:rsid w:val="000E0CF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2943</Words>
  <Characters>16189</Characters>
  <Application>Microsoft Office Word</Application>
  <DocSecurity>4</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Puente</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Nantes</dc:creator>
  <cp:lastModifiedBy>Rocio Carrica</cp:lastModifiedBy>
  <cp:revision>2</cp:revision>
  <dcterms:created xsi:type="dcterms:W3CDTF">2019-05-27T19:33:00Z</dcterms:created>
  <dcterms:modified xsi:type="dcterms:W3CDTF">2019-05-27T19:33:00Z</dcterms:modified>
</cp:coreProperties>
</file>