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03A2" w14:textId="3759FFE8" w:rsidR="004134D2" w:rsidRPr="00C13A70" w:rsidRDefault="00442A4F" w:rsidP="00C13A70">
      <w:pPr>
        <w:spacing w:line="276" w:lineRule="auto"/>
        <w:ind w:right="-74"/>
        <w:jc w:val="right"/>
        <w:rPr>
          <w:rFonts w:ascii="Times New Roman" w:hAnsi="Times New Roman"/>
          <w:szCs w:val="22"/>
        </w:rPr>
      </w:pPr>
      <w:r>
        <w:rPr>
          <w:rFonts w:ascii="Times New Roman" w:hAnsi="Times New Roman"/>
          <w:szCs w:val="22"/>
        </w:rPr>
        <w:t>Córdoba, Provincia de Córdoba</w:t>
      </w:r>
      <w:r w:rsidR="004134D2" w:rsidRPr="00C13A70">
        <w:rPr>
          <w:rFonts w:ascii="Times New Roman" w:hAnsi="Times New Roman"/>
          <w:szCs w:val="22"/>
        </w:rPr>
        <w:t xml:space="preserve">, </w:t>
      </w:r>
      <w:r w:rsidR="00DB0D8C">
        <w:rPr>
          <w:rFonts w:ascii="Times New Roman" w:hAnsi="Times New Roman"/>
          <w:szCs w:val="22"/>
        </w:rPr>
        <w:t>11 de agosto de 2023</w:t>
      </w:r>
    </w:p>
    <w:p w14:paraId="047B548B" w14:textId="77777777" w:rsidR="004134D2" w:rsidRPr="00C13A70" w:rsidRDefault="004134D2" w:rsidP="00C13A70">
      <w:pPr>
        <w:spacing w:line="276" w:lineRule="auto"/>
        <w:ind w:right="-74"/>
        <w:rPr>
          <w:rFonts w:ascii="Times New Roman" w:hAnsi="Times New Roman"/>
          <w:szCs w:val="22"/>
        </w:rPr>
      </w:pPr>
    </w:p>
    <w:p w14:paraId="0A670130" w14:textId="77777777" w:rsidR="004134D2" w:rsidRPr="00C13A70" w:rsidRDefault="004134D2" w:rsidP="00C13A70">
      <w:pPr>
        <w:spacing w:line="276" w:lineRule="auto"/>
        <w:ind w:right="-74"/>
        <w:rPr>
          <w:rFonts w:ascii="Times New Roman" w:hAnsi="Times New Roman"/>
          <w:szCs w:val="22"/>
        </w:rPr>
      </w:pPr>
      <w:r w:rsidRPr="00C13A70">
        <w:rPr>
          <w:rFonts w:ascii="Times New Roman" w:hAnsi="Times New Roman"/>
          <w:szCs w:val="22"/>
        </w:rPr>
        <w:t>Señores</w:t>
      </w:r>
    </w:p>
    <w:p w14:paraId="2CA533C1" w14:textId="0E581B9B" w:rsidR="004134D2" w:rsidRPr="00C13A70" w:rsidRDefault="004134D2" w:rsidP="00C13A70">
      <w:pPr>
        <w:spacing w:line="276" w:lineRule="auto"/>
        <w:ind w:right="-74"/>
        <w:rPr>
          <w:rFonts w:ascii="Times New Roman" w:hAnsi="Times New Roman"/>
          <w:b/>
          <w:szCs w:val="22"/>
        </w:rPr>
      </w:pPr>
      <w:r w:rsidRPr="00C13A70">
        <w:rPr>
          <w:rFonts w:ascii="Times New Roman" w:hAnsi="Times New Roman"/>
          <w:b/>
          <w:szCs w:val="22"/>
        </w:rPr>
        <w:t>Comisión Nacional de Valores</w:t>
      </w:r>
    </w:p>
    <w:p w14:paraId="58BF381F" w14:textId="6527B73D" w:rsidR="00286E83" w:rsidRPr="00C13A70" w:rsidRDefault="00286E83" w:rsidP="00C13A70">
      <w:pPr>
        <w:spacing w:line="276" w:lineRule="auto"/>
        <w:ind w:right="-74"/>
        <w:rPr>
          <w:rFonts w:ascii="Times New Roman" w:hAnsi="Times New Roman"/>
          <w:b/>
          <w:szCs w:val="22"/>
        </w:rPr>
      </w:pPr>
      <w:r w:rsidRPr="00C13A70">
        <w:rPr>
          <w:rFonts w:ascii="Times New Roman" w:hAnsi="Times New Roman"/>
          <w:b/>
          <w:szCs w:val="22"/>
        </w:rPr>
        <w:t>Bolsas y Mercados Argentinos S.A.</w:t>
      </w:r>
    </w:p>
    <w:p w14:paraId="3AD8E244" w14:textId="77777777" w:rsidR="00286E83" w:rsidRPr="00C13A70" w:rsidRDefault="00286E83" w:rsidP="00C13A70">
      <w:pPr>
        <w:spacing w:line="276" w:lineRule="auto"/>
        <w:ind w:right="-74"/>
        <w:rPr>
          <w:rFonts w:ascii="Times New Roman" w:hAnsi="Times New Roman"/>
          <w:b/>
          <w:szCs w:val="22"/>
        </w:rPr>
      </w:pPr>
      <w:r w:rsidRPr="00C13A70">
        <w:rPr>
          <w:rFonts w:ascii="Times New Roman" w:hAnsi="Times New Roman"/>
          <w:b/>
          <w:szCs w:val="22"/>
        </w:rPr>
        <w:t>Mercado Abierto Electrónico S.A.</w:t>
      </w:r>
    </w:p>
    <w:p w14:paraId="2D6D1ED9" w14:textId="77777777" w:rsidR="004134D2" w:rsidRPr="00C13A70" w:rsidRDefault="004134D2" w:rsidP="00C13A70">
      <w:pPr>
        <w:spacing w:line="276" w:lineRule="auto"/>
        <w:ind w:right="-74"/>
        <w:rPr>
          <w:rFonts w:ascii="Times New Roman" w:hAnsi="Times New Roman"/>
          <w:bCs/>
          <w:szCs w:val="22"/>
          <w:u w:val="single"/>
        </w:rPr>
      </w:pPr>
      <w:r w:rsidRPr="00C13A70">
        <w:rPr>
          <w:rFonts w:ascii="Times New Roman" w:hAnsi="Times New Roman"/>
          <w:bCs/>
          <w:szCs w:val="22"/>
          <w:u w:val="single"/>
        </w:rPr>
        <w:t xml:space="preserve">Presente </w:t>
      </w:r>
    </w:p>
    <w:p w14:paraId="4E4543FF" w14:textId="77777777" w:rsidR="004134D2" w:rsidRPr="00C13A70" w:rsidRDefault="004134D2" w:rsidP="00C13A70">
      <w:pPr>
        <w:tabs>
          <w:tab w:val="left" w:pos="7500"/>
        </w:tabs>
        <w:spacing w:line="276" w:lineRule="auto"/>
        <w:ind w:right="-74"/>
        <w:rPr>
          <w:rFonts w:ascii="Times New Roman" w:hAnsi="Times New Roman"/>
          <w:bCs/>
          <w:szCs w:val="22"/>
          <w:u w:val="single"/>
        </w:rPr>
      </w:pPr>
    </w:p>
    <w:p w14:paraId="524E6D52" w14:textId="5E9EFAB6" w:rsidR="004134D2" w:rsidRPr="00C13A70" w:rsidRDefault="004134D2" w:rsidP="00C13A70">
      <w:pPr>
        <w:spacing w:line="276" w:lineRule="auto"/>
        <w:ind w:right="-74"/>
        <w:jc w:val="right"/>
        <w:rPr>
          <w:rFonts w:ascii="Times New Roman" w:hAnsi="Times New Roman"/>
          <w:b/>
          <w:color w:val="000000"/>
          <w:szCs w:val="22"/>
        </w:rPr>
      </w:pPr>
      <w:r w:rsidRPr="00C13A70">
        <w:rPr>
          <w:rFonts w:ascii="Times New Roman" w:hAnsi="Times New Roman"/>
          <w:b/>
          <w:color w:val="000000"/>
          <w:szCs w:val="22"/>
          <w:u w:val="single"/>
        </w:rPr>
        <w:t>Ref</w:t>
      </w:r>
      <w:r w:rsidR="00C13A70">
        <w:rPr>
          <w:rFonts w:ascii="Times New Roman" w:hAnsi="Times New Roman"/>
          <w:b/>
          <w:color w:val="000000"/>
          <w:szCs w:val="22"/>
          <w:u w:val="single"/>
        </w:rPr>
        <w:t>.</w:t>
      </w:r>
      <w:r w:rsidRPr="00C13A70">
        <w:rPr>
          <w:rFonts w:ascii="Times New Roman" w:hAnsi="Times New Roman"/>
          <w:b/>
          <w:color w:val="000000"/>
          <w:szCs w:val="22"/>
          <w:u w:val="single"/>
        </w:rPr>
        <w:t>:</w:t>
      </w:r>
      <w:r w:rsidRPr="00C13A70">
        <w:rPr>
          <w:rFonts w:ascii="Times New Roman" w:hAnsi="Times New Roman"/>
          <w:b/>
          <w:color w:val="000000"/>
          <w:szCs w:val="22"/>
        </w:rPr>
        <w:t xml:space="preserve"> </w:t>
      </w:r>
      <w:r w:rsidR="00DB0D8C">
        <w:rPr>
          <w:rFonts w:ascii="Times New Roman" w:hAnsi="Times New Roman"/>
          <w:b/>
          <w:color w:val="000000"/>
          <w:szCs w:val="22"/>
        </w:rPr>
        <w:t>Hecho Relevante. Renuncia de Director Titular.</w:t>
      </w:r>
    </w:p>
    <w:p w14:paraId="25C4BAE8" w14:textId="77777777" w:rsidR="004134D2" w:rsidRPr="00C13A70" w:rsidRDefault="004134D2" w:rsidP="00C13A70">
      <w:pPr>
        <w:spacing w:line="276" w:lineRule="auto"/>
        <w:ind w:right="-74"/>
        <w:rPr>
          <w:rFonts w:ascii="Times New Roman" w:hAnsi="Times New Roman"/>
          <w:b/>
          <w:szCs w:val="22"/>
        </w:rPr>
      </w:pPr>
    </w:p>
    <w:p w14:paraId="07432123" w14:textId="77777777" w:rsidR="004134D2" w:rsidRPr="00C13A70" w:rsidRDefault="004134D2" w:rsidP="00C13A70">
      <w:pPr>
        <w:spacing w:line="276" w:lineRule="auto"/>
        <w:ind w:right="-74"/>
        <w:rPr>
          <w:rFonts w:ascii="Times New Roman" w:hAnsi="Times New Roman"/>
          <w:szCs w:val="22"/>
        </w:rPr>
      </w:pPr>
      <w:r w:rsidRPr="00C13A70">
        <w:rPr>
          <w:rFonts w:ascii="Times New Roman" w:hAnsi="Times New Roman"/>
          <w:szCs w:val="22"/>
        </w:rPr>
        <w:t>De mi consideración:</w:t>
      </w:r>
    </w:p>
    <w:p w14:paraId="4404BE87" w14:textId="77777777" w:rsidR="00C13A70" w:rsidRPr="00C13A70" w:rsidRDefault="00C13A70" w:rsidP="00C13A70">
      <w:pPr>
        <w:spacing w:line="276" w:lineRule="auto"/>
        <w:ind w:right="-74"/>
        <w:rPr>
          <w:rFonts w:ascii="Times New Roman" w:hAnsi="Times New Roman"/>
          <w:color w:val="000000"/>
          <w:szCs w:val="22"/>
        </w:rPr>
      </w:pPr>
    </w:p>
    <w:p w14:paraId="4F463B20" w14:textId="77777777" w:rsidR="00AF5AE6" w:rsidRDefault="004C421E" w:rsidP="00AF5AE6">
      <w:pPr>
        <w:spacing w:line="276" w:lineRule="auto"/>
        <w:ind w:right="-74" w:firstLine="708"/>
        <w:rPr>
          <w:rFonts w:ascii="Times New Roman" w:hAnsi="Times New Roman"/>
          <w:color w:val="000000"/>
          <w:szCs w:val="22"/>
          <w:lang w:val="es-AR"/>
        </w:rPr>
      </w:pPr>
      <w:r w:rsidRPr="00C13A70">
        <w:rPr>
          <w:rFonts w:ascii="Times New Roman" w:hAnsi="Times New Roman"/>
          <w:color w:val="000000"/>
          <w:szCs w:val="22"/>
        </w:rPr>
        <w:t xml:space="preserve">Me dirijo a Ustedes en mi carácter de </w:t>
      </w:r>
      <w:r w:rsidR="002D2F96" w:rsidRPr="00C13A70">
        <w:rPr>
          <w:rFonts w:ascii="Times New Roman" w:hAnsi="Times New Roman"/>
          <w:color w:val="000000"/>
          <w:szCs w:val="22"/>
        </w:rPr>
        <w:t xml:space="preserve">Responsable </w:t>
      </w:r>
      <w:r w:rsidRPr="00C13A70">
        <w:rPr>
          <w:rFonts w:ascii="Times New Roman" w:hAnsi="Times New Roman"/>
          <w:color w:val="000000"/>
          <w:szCs w:val="22"/>
        </w:rPr>
        <w:t xml:space="preserve">de Relaciones con el Mercado </w:t>
      </w:r>
      <w:r w:rsidR="004134D2" w:rsidRPr="00C13A70">
        <w:rPr>
          <w:rFonts w:ascii="Times New Roman" w:hAnsi="Times New Roman"/>
          <w:color w:val="000000"/>
          <w:szCs w:val="22"/>
        </w:rPr>
        <w:t xml:space="preserve">de </w:t>
      </w:r>
      <w:proofErr w:type="spellStart"/>
      <w:r w:rsidR="00C13A70" w:rsidRPr="008C5838">
        <w:rPr>
          <w:rFonts w:ascii="Times New Roman" w:hAnsi="Times New Roman"/>
          <w:b/>
          <w:bCs/>
          <w:color w:val="000000"/>
          <w:szCs w:val="22"/>
        </w:rPr>
        <w:t>Tecnomyl</w:t>
      </w:r>
      <w:proofErr w:type="spellEnd"/>
      <w:r w:rsidR="00DA65D2" w:rsidRPr="008C5838">
        <w:rPr>
          <w:rFonts w:ascii="Times New Roman" w:hAnsi="Times New Roman"/>
          <w:b/>
          <w:bCs/>
          <w:color w:val="000000"/>
          <w:szCs w:val="22"/>
        </w:rPr>
        <w:t xml:space="preserve"> S.A</w:t>
      </w:r>
      <w:r w:rsidR="00DA65D2" w:rsidRPr="00C13A70">
        <w:rPr>
          <w:rFonts w:ascii="Times New Roman" w:hAnsi="Times New Roman"/>
          <w:color w:val="000000"/>
          <w:szCs w:val="22"/>
        </w:rPr>
        <w:t>. (</w:t>
      </w:r>
      <w:r w:rsidR="004134D2" w:rsidRPr="00C13A70">
        <w:rPr>
          <w:rFonts w:ascii="Times New Roman" w:hAnsi="Times New Roman"/>
          <w:color w:val="000000"/>
          <w:szCs w:val="22"/>
        </w:rPr>
        <w:t>la “</w:t>
      </w:r>
      <w:r w:rsidR="004134D2" w:rsidRPr="00C13A70">
        <w:rPr>
          <w:rFonts w:ascii="Times New Roman" w:hAnsi="Times New Roman"/>
          <w:color w:val="000000"/>
          <w:szCs w:val="22"/>
          <w:u w:val="single"/>
        </w:rPr>
        <w:t>Sociedad</w:t>
      </w:r>
      <w:r w:rsidR="004134D2" w:rsidRPr="00C13A70">
        <w:rPr>
          <w:rFonts w:ascii="Times New Roman" w:hAnsi="Times New Roman"/>
          <w:color w:val="000000"/>
          <w:szCs w:val="22"/>
        </w:rPr>
        <w:t>”)</w:t>
      </w:r>
      <w:r w:rsidR="008C5838">
        <w:rPr>
          <w:rFonts w:ascii="Times New Roman" w:hAnsi="Times New Roman"/>
          <w:color w:val="000000"/>
          <w:szCs w:val="22"/>
        </w:rPr>
        <w:t xml:space="preserve">, en cumplimiento del artículo 3°, inciso 3°, de la Sección II, Capítulo I, Título XII de las Normas de la Comisión Nacional de Valores (Según T.O. 2013 y mod.), y </w:t>
      </w:r>
      <w:r w:rsidR="00835BAA" w:rsidRPr="00835BAA">
        <w:rPr>
          <w:rFonts w:ascii="Times New Roman" w:hAnsi="Times New Roman"/>
          <w:color w:val="000000"/>
          <w:szCs w:val="22"/>
          <w:lang w:val="es-AR"/>
        </w:rPr>
        <w:t xml:space="preserve">a fin de informar que </w:t>
      </w:r>
      <w:r w:rsidR="00DB0D8C">
        <w:rPr>
          <w:rFonts w:ascii="Times New Roman" w:hAnsi="Times New Roman"/>
          <w:color w:val="000000"/>
          <w:szCs w:val="22"/>
          <w:lang w:val="es-AR"/>
        </w:rPr>
        <w:t xml:space="preserve">el Directorio de la Sociedad ha recibido la renuncia del Sr. Director Titular Roberto Parisi al cargo para el cual había sido designado mediante Acta de Asamblea General Ordinaria de Accionistas de fecha 17 de febrero de 2023, </w:t>
      </w:r>
      <w:r w:rsidR="00835BAA" w:rsidRPr="00835BAA">
        <w:rPr>
          <w:rFonts w:ascii="Times New Roman" w:hAnsi="Times New Roman"/>
          <w:color w:val="000000"/>
          <w:szCs w:val="22"/>
          <w:lang w:val="es-AR"/>
        </w:rPr>
        <w:t>debido a la necesidad de efectuar una reorganización dentro del órgano de administración, para mejor y más eficaz funcionamiento del mismo</w:t>
      </w:r>
      <w:r w:rsidR="00DB0D8C">
        <w:rPr>
          <w:rFonts w:ascii="Times New Roman" w:hAnsi="Times New Roman"/>
          <w:color w:val="000000"/>
          <w:szCs w:val="22"/>
          <w:lang w:val="es-AR"/>
        </w:rPr>
        <w:t>.</w:t>
      </w:r>
    </w:p>
    <w:p w14:paraId="2A295CE1" w14:textId="77777777" w:rsidR="00AF5AE6" w:rsidRDefault="00AF5AE6" w:rsidP="00AF5AE6">
      <w:pPr>
        <w:spacing w:line="276" w:lineRule="auto"/>
        <w:ind w:right="-74" w:firstLine="708"/>
        <w:rPr>
          <w:rFonts w:ascii="Times New Roman" w:hAnsi="Times New Roman"/>
          <w:color w:val="000000"/>
          <w:szCs w:val="22"/>
          <w:lang w:val="es-AR"/>
        </w:rPr>
      </w:pPr>
    </w:p>
    <w:p w14:paraId="6059D382" w14:textId="50CE94AC" w:rsidR="00AF5AE6" w:rsidRPr="00AF5AE6" w:rsidRDefault="00AF5AE6" w:rsidP="00AF5AE6">
      <w:pPr>
        <w:spacing w:line="276" w:lineRule="auto"/>
        <w:ind w:right="-74" w:firstLine="708"/>
        <w:rPr>
          <w:rFonts w:ascii="Times New Roman" w:hAnsi="Times New Roman"/>
          <w:color w:val="000000"/>
          <w:szCs w:val="22"/>
          <w:lang w:val="es-AR"/>
        </w:rPr>
      </w:pPr>
      <w:r>
        <w:rPr>
          <w:rFonts w:ascii="Times New Roman" w:hAnsi="Times New Roman"/>
          <w:color w:val="000000"/>
          <w:szCs w:val="22"/>
          <w:lang w:val="es-AR"/>
        </w:rPr>
        <w:t>Asimismo, se deja</w:t>
      </w:r>
      <w:r w:rsidRPr="004F6FC8">
        <w:rPr>
          <w:rFonts w:ascii="Times New Roman" w:hAnsi="Times New Roman"/>
        </w:rPr>
        <w:t xml:space="preserve"> constancia que la misma no es dolosa ni intempestiva ni afecta el normal desenvolvimiento de la Sociedad</w:t>
      </w:r>
      <w:r w:rsidRPr="004F6FC8">
        <w:rPr>
          <w:rFonts w:ascii="Times New Roman" w:eastAsia="MS Mincho" w:hAnsi="Times New Roman"/>
          <w:color w:val="000000"/>
        </w:rPr>
        <w:t>.</w:t>
      </w:r>
    </w:p>
    <w:p w14:paraId="58917C49" w14:textId="77777777" w:rsidR="00AF5AE6" w:rsidRDefault="00AF5AE6" w:rsidP="00DB0D8C">
      <w:pPr>
        <w:spacing w:line="276" w:lineRule="auto"/>
        <w:ind w:right="-74"/>
        <w:rPr>
          <w:rFonts w:ascii="Times New Roman" w:hAnsi="Times New Roman"/>
          <w:szCs w:val="22"/>
        </w:rPr>
      </w:pPr>
    </w:p>
    <w:p w14:paraId="0203BBA8" w14:textId="1CA12E0B" w:rsidR="004134D2" w:rsidRPr="00C13A70" w:rsidRDefault="004134D2" w:rsidP="00C13A70">
      <w:pPr>
        <w:spacing w:line="276" w:lineRule="auto"/>
        <w:ind w:right="-74" w:firstLine="708"/>
        <w:rPr>
          <w:rFonts w:ascii="Times New Roman" w:hAnsi="Times New Roman"/>
          <w:color w:val="000000"/>
          <w:szCs w:val="22"/>
        </w:rPr>
      </w:pPr>
      <w:r w:rsidRPr="00C13A70">
        <w:rPr>
          <w:rFonts w:ascii="Times New Roman" w:hAnsi="Times New Roman"/>
          <w:szCs w:val="22"/>
        </w:rPr>
        <w:t>Sin otro particular saludo a Ud. muy atentamente.</w:t>
      </w:r>
    </w:p>
    <w:p w14:paraId="6442CF35" w14:textId="4FB43E7B" w:rsidR="00580E1C" w:rsidRDefault="00580E1C" w:rsidP="00C13A70">
      <w:pPr>
        <w:spacing w:line="276" w:lineRule="auto"/>
        <w:rPr>
          <w:rFonts w:ascii="Times New Roman" w:hAnsi="Times New Roman"/>
          <w:szCs w:val="22"/>
        </w:rPr>
      </w:pPr>
    </w:p>
    <w:p w14:paraId="50CDC442" w14:textId="00EEEE13" w:rsidR="00332DA2" w:rsidRDefault="00332DA2" w:rsidP="00C13A70">
      <w:pPr>
        <w:spacing w:line="276" w:lineRule="auto"/>
        <w:rPr>
          <w:rFonts w:ascii="Times New Roman" w:hAnsi="Times New Roman"/>
          <w:szCs w:val="22"/>
        </w:rPr>
      </w:pPr>
    </w:p>
    <w:p w14:paraId="692FF710" w14:textId="77777777" w:rsidR="00332DA2" w:rsidRDefault="00332DA2" w:rsidP="00C13A70">
      <w:pPr>
        <w:spacing w:line="276" w:lineRule="auto"/>
        <w:rPr>
          <w:rFonts w:ascii="Times New Roman" w:hAnsi="Times New Roman"/>
          <w:szCs w:val="22"/>
        </w:rPr>
      </w:pPr>
    </w:p>
    <w:p w14:paraId="2E50D050" w14:textId="77777777" w:rsidR="00D879B8" w:rsidRDefault="00D879B8" w:rsidP="00C13A70">
      <w:pPr>
        <w:spacing w:line="276" w:lineRule="auto"/>
        <w:rPr>
          <w:rFonts w:ascii="Times New Roman" w:hAnsi="Times New Roman"/>
          <w:szCs w:val="22"/>
        </w:rPr>
      </w:pPr>
    </w:p>
    <w:p w14:paraId="5661C71A" w14:textId="77777777" w:rsidR="00D879B8" w:rsidRDefault="00D879B8" w:rsidP="00C13A70">
      <w:pPr>
        <w:spacing w:line="276" w:lineRule="auto"/>
        <w:rPr>
          <w:rFonts w:ascii="Times New Roman" w:hAnsi="Times New Roman"/>
          <w:szCs w:val="22"/>
        </w:rPr>
      </w:pPr>
    </w:p>
    <w:p w14:paraId="31CBD75C" w14:textId="7411B411" w:rsidR="00C13A70" w:rsidRDefault="00C13A70" w:rsidP="00C13A70">
      <w:pPr>
        <w:spacing w:line="276" w:lineRule="auto"/>
        <w:rPr>
          <w:rFonts w:ascii="Times New Roman" w:hAnsi="Times New Roman"/>
          <w:szCs w:val="22"/>
        </w:rPr>
      </w:pPr>
    </w:p>
    <w:p w14:paraId="4CBD01F8" w14:textId="08144F0D" w:rsidR="00653A78" w:rsidRPr="00C13A70" w:rsidRDefault="0095740D" w:rsidP="00C13A70">
      <w:pPr>
        <w:spacing w:line="276" w:lineRule="auto"/>
        <w:jc w:val="center"/>
        <w:rPr>
          <w:rFonts w:ascii="Times New Roman" w:hAnsi="Times New Roman"/>
          <w:i/>
          <w:szCs w:val="22"/>
        </w:rPr>
      </w:pPr>
      <w:r>
        <w:rPr>
          <w:rFonts w:ascii="Times New Roman" w:hAnsi="Times New Roman"/>
          <w:i/>
          <w:szCs w:val="22"/>
        </w:rPr>
        <w:t>Nicolás Aleksandrowicz</w:t>
      </w:r>
    </w:p>
    <w:p w14:paraId="0F82066D" w14:textId="261B450A" w:rsidR="00653A78" w:rsidRPr="00C13A70" w:rsidRDefault="00C13A70" w:rsidP="00C13A70">
      <w:pPr>
        <w:spacing w:line="276" w:lineRule="auto"/>
        <w:jc w:val="center"/>
        <w:rPr>
          <w:rFonts w:ascii="Times New Roman" w:hAnsi="Times New Roman"/>
          <w:b/>
          <w:bCs/>
          <w:iCs/>
          <w:szCs w:val="22"/>
        </w:rPr>
      </w:pPr>
      <w:proofErr w:type="spellStart"/>
      <w:r w:rsidRPr="00C13A70">
        <w:rPr>
          <w:rFonts w:ascii="Times New Roman" w:hAnsi="Times New Roman"/>
          <w:b/>
          <w:bCs/>
          <w:iCs/>
          <w:szCs w:val="22"/>
        </w:rPr>
        <w:t>Tecnomyl</w:t>
      </w:r>
      <w:proofErr w:type="spellEnd"/>
      <w:r w:rsidR="00653A78" w:rsidRPr="00C13A70">
        <w:rPr>
          <w:rFonts w:ascii="Times New Roman" w:hAnsi="Times New Roman"/>
          <w:b/>
          <w:bCs/>
          <w:iCs/>
          <w:szCs w:val="22"/>
        </w:rPr>
        <w:t xml:space="preserve"> S.A.</w:t>
      </w:r>
    </w:p>
    <w:p w14:paraId="1EE0AAFB" w14:textId="77777777" w:rsidR="002611EA" w:rsidRPr="00D879B8" w:rsidRDefault="004C421E" w:rsidP="00C13A70">
      <w:pPr>
        <w:pStyle w:val="Textoindependiente"/>
        <w:tabs>
          <w:tab w:val="left" w:pos="2410"/>
          <w:tab w:val="left" w:pos="3402"/>
        </w:tabs>
        <w:spacing w:after="0" w:line="276" w:lineRule="auto"/>
        <w:ind w:left="993" w:right="958"/>
        <w:jc w:val="center"/>
        <w:rPr>
          <w:rFonts w:ascii="Times New Roman" w:hAnsi="Times New Roman"/>
          <w:b w:val="0"/>
          <w:caps w:val="0"/>
          <w:szCs w:val="22"/>
        </w:rPr>
      </w:pPr>
      <w:r w:rsidRPr="00D879B8">
        <w:rPr>
          <w:rFonts w:ascii="Times New Roman" w:hAnsi="Times New Roman"/>
          <w:b w:val="0"/>
          <w:caps w:val="0"/>
          <w:szCs w:val="22"/>
        </w:rPr>
        <w:t>Responsable de Relaciones con el Mercado</w:t>
      </w:r>
    </w:p>
    <w:p w14:paraId="6AD7D9A7" w14:textId="2BDE6F13" w:rsidR="004C421E" w:rsidRPr="004C421E" w:rsidRDefault="004C421E" w:rsidP="00C13A70">
      <w:pPr>
        <w:spacing w:line="276" w:lineRule="auto"/>
        <w:rPr>
          <w:rFonts w:ascii="Times New Roman" w:hAnsi="Times New Roman"/>
          <w:b/>
          <w:caps/>
          <w:sz w:val="24"/>
          <w:szCs w:val="24"/>
        </w:rPr>
      </w:pPr>
    </w:p>
    <w:sectPr w:rsidR="004C421E" w:rsidRPr="004C421E" w:rsidSect="00580E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279"/>
    <w:multiLevelType w:val="hybridMultilevel"/>
    <w:tmpl w:val="5792F5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6CC6A21"/>
    <w:multiLevelType w:val="hybridMultilevel"/>
    <w:tmpl w:val="7722B3AA"/>
    <w:lvl w:ilvl="0" w:tplc="F1E815D4">
      <w:start w:val="1"/>
      <w:numFmt w:val="lowerRoman"/>
      <w:lvlText w:val="(%1)"/>
      <w:lvlJc w:val="left"/>
      <w:pPr>
        <w:ind w:left="1211"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145615316">
    <w:abstractNumId w:val="0"/>
  </w:num>
  <w:num w:numId="2" w16cid:durableId="1825782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D2"/>
    <w:rsid w:val="00044BD0"/>
    <w:rsid w:val="000C202A"/>
    <w:rsid w:val="000E2FE4"/>
    <w:rsid w:val="00120260"/>
    <w:rsid w:val="00193976"/>
    <w:rsid w:val="002611EA"/>
    <w:rsid w:val="00286E83"/>
    <w:rsid w:val="0028715D"/>
    <w:rsid w:val="002A3C00"/>
    <w:rsid w:val="002D2F96"/>
    <w:rsid w:val="00314F55"/>
    <w:rsid w:val="00332DA2"/>
    <w:rsid w:val="003369B1"/>
    <w:rsid w:val="00403D83"/>
    <w:rsid w:val="004134D2"/>
    <w:rsid w:val="004215AF"/>
    <w:rsid w:val="00442A4F"/>
    <w:rsid w:val="004C421E"/>
    <w:rsid w:val="00580E1C"/>
    <w:rsid w:val="005A4EEC"/>
    <w:rsid w:val="005E2138"/>
    <w:rsid w:val="006065A7"/>
    <w:rsid w:val="00646674"/>
    <w:rsid w:val="00653A78"/>
    <w:rsid w:val="0068391F"/>
    <w:rsid w:val="00721C88"/>
    <w:rsid w:val="0074093B"/>
    <w:rsid w:val="00780E27"/>
    <w:rsid w:val="008158D1"/>
    <w:rsid w:val="00816F21"/>
    <w:rsid w:val="00835BAA"/>
    <w:rsid w:val="00890E0D"/>
    <w:rsid w:val="008B04FE"/>
    <w:rsid w:val="008C5838"/>
    <w:rsid w:val="00930161"/>
    <w:rsid w:val="0095740D"/>
    <w:rsid w:val="009D243F"/>
    <w:rsid w:val="009E3429"/>
    <w:rsid w:val="00A0530D"/>
    <w:rsid w:val="00AA183C"/>
    <w:rsid w:val="00AF5AE6"/>
    <w:rsid w:val="00B53EC6"/>
    <w:rsid w:val="00B625A4"/>
    <w:rsid w:val="00BD5E2A"/>
    <w:rsid w:val="00BE69DD"/>
    <w:rsid w:val="00C13A70"/>
    <w:rsid w:val="00C233CB"/>
    <w:rsid w:val="00C36C1C"/>
    <w:rsid w:val="00C8612D"/>
    <w:rsid w:val="00D114B1"/>
    <w:rsid w:val="00D6470F"/>
    <w:rsid w:val="00D822C1"/>
    <w:rsid w:val="00D879B8"/>
    <w:rsid w:val="00DA65D2"/>
    <w:rsid w:val="00DA70AF"/>
    <w:rsid w:val="00DB0D8C"/>
    <w:rsid w:val="00E416CE"/>
    <w:rsid w:val="00EF59DB"/>
    <w:rsid w:val="00F85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119A"/>
  <w15:docId w15:val="{4A94C0DC-D7A5-434E-B42D-272A3C26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D2"/>
    <w:pPr>
      <w:spacing w:line="360" w:lineRule="auto"/>
      <w:jc w:val="both"/>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134D2"/>
    <w:pPr>
      <w:spacing w:after="120"/>
    </w:pPr>
    <w:rPr>
      <w:rFonts w:ascii="Tahoma" w:hAnsi="Tahoma"/>
      <w:b/>
      <w:caps/>
    </w:rPr>
  </w:style>
  <w:style w:type="character" w:customStyle="1" w:styleId="TextoindependienteCar">
    <w:name w:val="Texto independiente Car"/>
    <w:basedOn w:val="Fuentedeprrafopredeter"/>
    <w:link w:val="Textoindependiente"/>
    <w:rsid w:val="004134D2"/>
    <w:rPr>
      <w:rFonts w:ascii="Tahoma" w:eastAsia="Times New Roman" w:hAnsi="Tahoma" w:cs="Times New Roman"/>
      <w:b/>
      <w:caps/>
      <w:szCs w:val="20"/>
      <w:lang w:val="es-ES_tradnl" w:eastAsia="es-ES"/>
    </w:rPr>
  </w:style>
  <w:style w:type="paragraph" w:styleId="Revisin">
    <w:name w:val="Revision"/>
    <w:hidden/>
    <w:uiPriority w:val="99"/>
    <w:semiHidden/>
    <w:rsid w:val="004215AF"/>
    <w:rPr>
      <w:rFonts w:ascii="Arial" w:eastAsia="Times New Roman" w:hAnsi="Arial" w:cs="Times New Roman"/>
      <w:szCs w:val="20"/>
      <w:lang w:val="es-ES_tradnl" w:eastAsia="es-ES"/>
    </w:rPr>
  </w:style>
  <w:style w:type="paragraph" w:styleId="Prrafodelista">
    <w:name w:val="List Paragraph"/>
    <w:basedOn w:val="Normal"/>
    <w:uiPriority w:val="34"/>
    <w:qFormat/>
    <w:rsid w:val="00C13A70"/>
    <w:pPr>
      <w:ind w:left="720"/>
      <w:contextualSpacing/>
    </w:pPr>
  </w:style>
  <w:style w:type="character" w:styleId="Refdecomentario">
    <w:name w:val="annotation reference"/>
    <w:basedOn w:val="Fuentedeprrafopredeter"/>
    <w:uiPriority w:val="99"/>
    <w:semiHidden/>
    <w:unhideWhenUsed/>
    <w:rsid w:val="00D6470F"/>
    <w:rPr>
      <w:sz w:val="16"/>
      <w:szCs w:val="16"/>
    </w:rPr>
  </w:style>
  <w:style w:type="paragraph" w:styleId="Textocomentario">
    <w:name w:val="annotation text"/>
    <w:basedOn w:val="Normal"/>
    <w:link w:val="TextocomentarioCar"/>
    <w:uiPriority w:val="99"/>
    <w:unhideWhenUsed/>
    <w:rsid w:val="00D6470F"/>
    <w:pPr>
      <w:spacing w:line="240" w:lineRule="auto"/>
    </w:pPr>
    <w:rPr>
      <w:sz w:val="20"/>
    </w:rPr>
  </w:style>
  <w:style w:type="character" w:customStyle="1" w:styleId="TextocomentarioCar">
    <w:name w:val="Texto comentario Car"/>
    <w:basedOn w:val="Fuentedeprrafopredeter"/>
    <w:link w:val="Textocomentario"/>
    <w:uiPriority w:val="99"/>
    <w:rsid w:val="00D6470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6470F"/>
    <w:rPr>
      <w:b/>
      <w:bCs/>
    </w:rPr>
  </w:style>
  <w:style w:type="character" w:customStyle="1" w:styleId="AsuntodelcomentarioCar">
    <w:name w:val="Asunto del comentario Car"/>
    <w:basedOn w:val="TextocomentarioCar"/>
    <w:link w:val="Asuntodelcomentario"/>
    <w:uiPriority w:val="99"/>
    <w:semiHidden/>
    <w:rsid w:val="00D6470F"/>
    <w:rPr>
      <w:rFonts w:ascii="Arial" w:eastAsia="Times New Roman" w:hAnsi="Arial"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6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e8d9fc-c8b4-48aa-959e-ad80febfb106">
      <UserInfo>
        <DisplayName/>
        <AccountId xsi:nil="true"/>
        <AccountType/>
      </UserInfo>
    </SharedWithUsers>
    <lcf76f155ced4ddcb4097134ff3c332f xmlns="f8fd6dc7-2d01-4d38-9854-4db86d9057e2">
      <Terms xmlns="http://schemas.microsoft.com/office/infopath/2007/PartnerControls"/>
    </lcf76f155ced4ddcb4097134ff3c332f>
    <TaxCatchAll xmlns="d1e8d9fc-c8b4-48aa-959e-ad80febfb1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79C21EE81AB7B40861247318B0686B5" ma:contentTypeVersion="14" ma:contentTypeDescription="Crear nuevo documento." ma:contentTypeScope="" ma:versionID="3cb03233803756c3072651cd902c60a9">
  <xsd:schema xmlns:xsd="http://www.w3.org/2001/XMLSchema" xmlns:xs="http://www.w3.org/2001/XMLSchema" xmlns:p="http://schemas.microsoft.com/office/2006/metadata/properties" xmlns:ns2="f8fd6dc7-2d01-4d38-9854-4db86d9057e2" xmlns:ns3="d1e8d9fc-c8b4-48aa-959e-ad80febfb106" targetNamespace="http://schemas.microsoft.com/office/2006/metadata/properties" ma:root="true" ma:fieldsID="26d9570bf3d14ab584dcb63d10a46537" ns2:_="" ns3:_="">
    <xsd:import namespace="f8fd6dc7-2d01-4d38-9854-4db86d9057e2"/>
    <xsd:import namespace="d1e8d9fc-c8b4-48aa-959e-ad80febfb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d6dc7-2d01-4d38-9854-4db86d90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be1d658-6484-42b1-a040-5542837f6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8d9fc-c8b4-48aa-959e-ad80febfb10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83ad5a92-c607-43de-8622-73ab46b9d198}" ma:internalName="TaxCatchAll" ma:showField="CatchAllData" ma:web="d1e8d9fc-c8b4-48aa-959e-ad80febfb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D6C6A-2CB1-4911-AFF8-9936F3C80089}">
  <ds:schemaRefs>
    <ds:schemaRef ds:uri="http://schemas.microsoft.com/office/2006/metadata/properties"/>
    <ds:schemaRef ds:uri="http://schemas.microsoft.com/office/infopath/2007/PartnerControls"/>
    <ds:schemaRef ds:uri="d1e8d9fc-c8b4-48aa-959e-ad80febfb106"/>
    <ds:schemaRef ds:uri="f8fd6dc7-2d01-4d38-9854-4db86d9057e2"/>
  </ds:schemaRefs>
</ds:datastoreItem>
</file>

<file path=customXml/itemProps2.xml><?xml version="1.0" encoding="utf-8"?>
<ds:datastoreItem xmlns:ds="http://schemas.openxmlformats.org/officeDocument/2006/customXml" ds:itemID="{B19F47E4-0883-4135-897D-E20464667146}">
  <ds:schemaRefs>
    <ds:schemaRef ds:uri="http://schemas.microsoft.com/sharepoint/v3/contenttype/forms"/>
  </ds:schemaRefs>
</ds:datastoreItem>
</file>

<file path=customXml/itemProps3.xml><?xml version="1.0" encoding="utf-8"?>
<ds:datastoreItem xmlns:ds="http://schemas.openxmlformats.org/officeDocument/2006/customXml" ds:itemID="{19395FC3-E105-44A4-8435-1816C18E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d6dc7-2d01-4d38-9854-4db86d9057e2"/>
    <ds:schemaRef ds:uri="d1e8d9fc-c8b4-48aa-959e-ad80febfb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jkrasnansky</dc:creator>
  <cp:keywords/>
  <dc:description/>
  <cp:lastModifiedBy>Beccar Varela</cp:lastModifiedBy>
  <cp:revision>36</cp:revision>
  <dcterms:created xsi:type="dcterms:W3CDTF">2023-02-22T18:25:00Z</dcterms:created>
  <dcterms:modified xsi:type="dcterms:W3CDTF">2023-08-11T20:37:00Z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0x010100A79C21EE81AB7B40861247318B0686B5</vt:lpwstr>
  </property>
  <property fmtid="{D5CDD505-2E9C-101B-9397-08002B2CF9AE}" pid="3" name="Order">
    <vt:r8>11066800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