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D48" w:rsidRPr="00DE4D48" w:rsidRDefault="00DE4D48" w:rsidP="00DE4D48">
      <w:pPr>
        <w:pStyle w:val="Textodebloque"/>
        <w:widowControl/>
        <w:tabs>
          <w:tab w:val="clear" w:pos="5103"/>
          <w:tab w:val="left" w:pos="5100"/>
        </w:tabs>
        <w:adjustRightInd/>
        <w:ind w:left="2232" w:right="632" w:firstLine="0"/>
        <w:jc w:val="center"/>
        <w:textAlignment w:val="auto"/>
        <w:outlineLvl w:val="0"/>
        <w:rPr>
          <w:rFonts w:ascii="Arial" w:hAnsi="Arial"/>
          <w:position w:val="0"/>
          <w:szCs w:val="24"/>
          <w:lang w:val="es-ES_tradnl"/>
          <w14:shadow w14:blurRad="50800" w14:dist="38100" w14:dir="2700000" w14:sx="100000" w14:sy="100000" w14:kx="0" w14:ky="0" w14:algn="tl">
            <w14:srgbClr w14:val="000000">
              <w14:alpha w14:val="60000"/>
            </w14:srgbClr>
          </w14:shadow>
        </w:rPr>
      </w:pPr>
      <w:r w:rsidRPr="00DE4D48">
        <w:rPr>
          <w:rFonts w:ascii="Arial" w:hAnsi="Arial"/>
          <w:position w:val="0"/>
          <w:szCs w:val="24"/>
          <w:lang w:val="es-ES_tradnl"/>
          <w14:shadow w14:blurRad="50800" w14:dist="38100" w14:dir="2700000" w14:sx="100000" w14:sy="100000" w14:kx="0" w14:ky="0" w14:algn="tl">
            <w14:srgbClr w14:val="000000">
              <w14:alpha w14:val="60000"/>
            </w14:srgbClr>
          </w14:shadow>
        </w:rPr>
        <w:t>BBVA BANCO FRANCÉS S. A.</w:t>
      </w:r>
    </w:p>
    <w:p w:rsidR="00DE4D48" w:rsidRDefault="00DE4D48" w:rsidP="00DE4D48">
      <w:pPr>
        <w:pStyle w:val="Textodebloque"/>
        <w:tabs>
          <w:tab w:val="left" w:pos="1985"/>
        </w:tabs>
        <w:spacing w:after="120"/>
        <w:ind w:left="2127" w:right="-618" w:firstLine="24"/>
        <w:rPr>
          <w:rFonts w:ascii="Arial" w:hAnsi="Arial" w:cs="Arial"/>
          <w:b w:val="0"/>
          <w:position w:val="0"/>
          <w:szCs w:val="24"/>
          <w:lang w:val="es-ES_tradnl"/>
        </w:rPr>
      </w:pPr>
    </w:p>
    <w:p w:rsidR="005165CB" w:rsidRDefault="005165CB" w:rsidP="005165CB">
      <w:pPr>
        <w:pStyle w:val="Textodebloque"/>
        <w:tabs>
          <w:tab w:val="left" w:pos="1985"/>
        </w:tabs>
        <w:spacing w:after="120"/>
        <w:ind w:left="1985" w:right="-476" w:firstLine="24"/>
        <w:rPr>
          <w:rFonts w:ascii="Arial" w:hAnsi="Arial" w:cs="Arial"/>
          <w:b w:val="0"/>
          <w:position w:val="0"/>
          <w:szCs w:val="24"/>
        </w:rPr>
      </w:pPr>
      <w:r w:rsidRPr="00D54E50">
        <w:rPr>
          <w:rFonts w:ascii="Arial" w:hAnsi="Arial" w:cs="Arial"/>
          <w:b w:val="0"/>
          <w:position w:val="0"/>
          <w:szCs w:val="24"/>
        </w:rPr>
        <w:t>Convócase a los señores accionistas de BBVA Banco Francés S.A., a la Asamblea General Ordinaria y Extraordinaria, a celebrarse el día 24 de abril de 2019, a las 16 horas, en primera convocatoria y para el</w:t>
      </w:r>
      <w:r w:rsidRPr="00D54E50">
        <w:rPr>
          <w:rFonts w:cs="Arial"/>
          <w:sz w:val="22"/>
          <w:szCs w:val="22"/>
        </w:rPr>
        <w:t xml:space="preserve"> </w:t>
      </w:r>
      <w:r w:rsidRPr="00D54E50">
        <w:rPr>
          <w:rFonts w:ascii="Arial" w:hAnsi="Arial" w:cs="Arial"/>
          <w:b w:val="0"/>
          <w:position w:val="0"/>
          <w:szCs w:val="24"/>
        </w:rPr>
        <w:t>mismo día a las 17 horas, en</w:t>
      </w:r>
      <w:r w:rsidRPr="00D54E50">
        <w:rPr>
          <w:rFonts w:cs="Arial"/>
          <w:sz w:val="22"/>
          <w:szCs w:val="22"/>
        </w:rPr>
        <w:t xml:space="preserve"> </w:t>
      </w:r>
      <w:r w:rsidRPr="00D54E50">
        <w:rPr>
          <w:rFonts w:ascii="Arial" w:hAnsi="Arial" w:cs="Arial"/>
          <w:b w:val="0"/>
          <w:position w:val="0"/>
          <w:szCs w:val="24"/>
        </w:rPr>
        <w:t>segunda convocatoria, para el caso de no obtenerse quórum en la primera convocatoria. En caso de no reunirse el quórum necesario para sesionar como Asamblea Extraordinaria para tratar los puntos 2, 3, 4, 12, 13,</w:t>
      </w:r>
      <w:r>
        <w:rPr>
          <w:rFonts w:ascii="Arial" w:hAnsi="Arial" w:cs="Arial"/>
          <w:b w:val="0"/>
          <w:position w:val="0"/>
          <w:szCs w:val="24"/>
        </w:rPr>
        <w:t xml:space="preserve"> 14, 15 y 16 </w:t>
      </w:r>
      <w:r w:rsidRPr="00D54E50">
        <w:rPr>
          <w:rFonts w:ascii="Arial" w:hAnsi="Arial" w:cs="Arial"/>
          <w:b w:val="0"/>
          <w:position w:val="0"/>
          <w:szCs w:val="24"/>
        </w:rPr>
        <w:t xml:space="preserve">del Orden del Día, la misma será convocada en segunda convocatoria con posterioridad. La Asamblea tendrá lugar en Av. Córdoba 111, piso 1, de la Ciudad de Buenos Aires, que no constituye la sede social, para tratar el siguiente: </w:t>
      </w:r>
    </w:p>
    <w:p w:rsidR="005765CE" w:rsidRPr="005765CE" w:rsidRDefault="005765CE" w:rsidP="005765CE">
      <w:pPr>
        <w:pStyle w:val="Textodebloque"/>
        <w:tabs>
          <w:tab w:val="clear" w:pos="5103"/>
          <w:tab w:val="left" w:pos="2694"/>
          <w:tab w:val="left" w:pos="4678"/>
          <w:tab w:val="left" w:pos="10488"/>
        </w:tabs>
        <w:ind w:left="1985" w:right="-476" w:firstLine="3118"/>
        <w:rPr>
          <w:rFonts w:ascii="Arial" w:hAnsi="Arial" w:cs="Arial"/>
          <w:szCs w:val="24"/>
        </w:rPr>
      </w:pPr>
      <w:r>
        <w:rPr>
          <w:rFonts w:ascii="Arial" w:hAnsi="Arial" w:cs="Arial"/>
          <w:szCs w:val="24"/>
        </w:rPr>
        <w:t>Orden del Día</w:t>
      </w:r>
    </w:p>
    <w:p w:rsidR="005165CB" w:rsidRPr="00D54E50" w:rsidRDefault="005165CB" w:rsidP="005165CB">
      <w:pPr>
        <w:pStyle w:val="Textodebloque"/>
        <w:tabs>
          <w:tab w:val="left" w:pos="2552"/>
        </w:tabs>
        <w:ind w:left="2552" w:right="-476" w:hanging="567"/>
        <w:rPr>
          <w:rFonts w:ascii="Arial" w:hAnsi="Arial" w:cs="Arial"/>
          <w:b w:val="0"/>
          <w:position w:val="0"/>
          <w:szCs w:val="24"/>
        </w:rPr>
      </w:pPr>
      <w:r w:rsidRPr="00D54E50">
        <w:rPr>
          <w:rFonts w:ascii="Arial" w:hAnsi="Arial" w:cs="Arial"/>
          <w:b w:val="0"/>
          <w:position w:val="0"/>
          <w:szCs w:val="24"/>
        </w:rPr>
        <w:t>1)</w:t>
      </w:r>
      <w:r w:rsidRPr="00D54E50">
        <w:rPr>
          <w:rFonts w:ascii="Arial" w:hAnsi="Arial" w:cs="Arial"/>
          <w:b w:val="0"/>
          <w:position w:val="0"/>
          <w:szCs w:val="24"/>
        </w:rPr>
        <w:tab/>
        <w:t>Designación de dos accionistas para confeccionar y firmar el acta de la asamblea, juntamente con el Presidente de la Asamblea.</w:t>
      </w:r>
    </w:p>
    <w:p w:rsidR="005165CB" w:rsidRPr="00D54E50" w:rsidRDefault="005165CB" w:rsidP="005165CB">
      <w:pPr>
        <w:pStyle w:val="Textodebloque"/>
        <w:tabs>
          <w:tab w:val="left" w:pos="2552"/>
        </w:tabs>
        <w:ind w:left="2552" w:right="-476" w:hanging="567"/>
        <w:rPr>
          <w:rFonts w:ascii="Arial" w:hAnsi="Arial" w:cs="Arial"/>
          <w:b w:val="0"/>
          <w:position w:val="0"/>
          <w:szCs w:val="24"/>
        </w:rPr>
      </w:pPr>
      <w:r w:rsidRPr="00D54E50">
        <w:rPr>
          <w:rFonts w:ascii="Arial" w:hAnsi="Arial" w:cs="Arial"/>
          <w:b w:val="0"/>
          <w:position w:val="0"/>
          <w:szCs w:val="24"/>
        </w:rPr>
        <w:t>2)</w:t>
      </w:r>
      <w:r w:rsidRPr="00D54E50">
        <w:rPr>
          <w:rFonts w:ascii="Arial" w:hAnsi="Arial" w:cs="Arial"/>
          <w:b w:val="0"/>
          <w:position w:val="0"/>
          <w:szCs w:val="24"/>
        </w:rPr>
        <w:tab/>
        <w:t xml:space="preserve">Consideración de la Memoria, Informe Anual de Responsabilidad Corporativa, Estados Contables, Información Complementaria y demás Información Contable, Informe de la Comisión Fiscalizadora e Informe del Auditor, correspondientes al Ejercicio Social N° 144, finalizado el 31 de diciembre de 2018. </w:t>
      </w:r>
    </w:p>
    <w:p w:rsidR="005165CB" w:rsidRPr="00D54E50" w:rsidRDefault="005165CB" w:rsidP="005165CB">
      <w:pPr>
        <w:pStyle w:val="Textodebloque"/>
        <w:tabs>
          <w:tab w:val="left" w:pos="2268"/>
          <w:tab w:val="left" w:pos="2552"/>
        </w:tabs>
        <w:ind w:left="2552" w:right="-476" w:hanging="567"/>
        <w:rPr>
          <w:rFonts w:ascii="Arial" w:hAnsi="Arial" w:cs="Arial"/>
          <w:b w:val="0"/>
          <w:position w:val="0"/>
          <w:szCs w:val="24"/>
        </w:rPr>
      </w:pPr>
      <w:r w:rsidRPr="00D54E50">
        <w:rPr>
          <w:rFonts w:ascii="Arial" w:hAnsi="Arial" w:cs="Arial"/>
          <w:b w:val="0"/>
          <w:position w:val="0"/>
          <w:szCs w:val="24"/>
        </w:rPr>
        <w:t xml:space="preserve">3) </w:t>
      </w:r>
      <w:r w:rsidRPr="00D54E50">
        <w:rPr>
          <w:rFonts w:ascii="Arial" w:hAnsi="Arial" w:cs="Arial"/>
          <w:b w:val="0"/>
          <w:position w:val="0"/>
          <w:szCs w:val="24"/>
        </w:rPr>
        <w:tab/>
      </w:r>
      <w:r w:rsidRPr="00D54E50">
        <w:rPr>
          <w:rFonts w:ascii="Arial" w:hAnsi="Arial" w:cs="Arial"/>
          <w:b w:val="0"/>
          <w:position w:val="0"/>
          <w:szCs w:val="24"/>
        </w:rPr>
        <w:tab/>
        <w:t xml:space="preserve">Consideración de la gestión del Directorio, Gerente General y </w:t>
      </w:r>
      <w:r w:rsidRPr="00D54E50">
        <w:rPr>
          <w:rFonts w:ascii="Arial" w:hAnsi="Arial" w:cs="Arial"/>
          <w:b w:val="0"/>
          <w:position w:val="0"/>
          <w:szCs w:val="24"/>
        </w:rPr>
        <w:lastRenderedPageBreak/>
        <w:t>de la Comisión Fiscalizadora.</w:t>
      </w:r>
    </w:p>
    <w:p w:rsidR="00AE12D1" w:rsidRDefault="005165CB" w:rsidP="00AE12D1">
      <w:pPr>
        <w:pStyle w:val="Textodebloque"/>
        <w:tabs>
          <w:tab w:val="clear" w:pos="5103"/>
          <w:tab w:val="num" w:pos="2552"/>
          <w:tab w:val="left" w:pos="10488"/>
        </w:tabs>
        <w:ind w:left="2552" w:right="-476" w:hanging="567"/>
        <w:rPr>
          <w:rFonts w:ascii="Arial" w:hAnsi="Arial" w:cs="Arial"/>
          <w:b w:val="0"/>
          <w:position w:val="0"/>
          <w:szCs w:val="24"/>
        </w:rPr>
      </w:pPr>
      <w:r w:rsidRPr="00D54E50">
        <w:rPr>
          <w:rFonts w:ascii="Arial" w:hAnsi="Arial" w:cs="Arial"/>
          <w:b w:val="0"/>
          <w:position w:val="0"/>
          <w:szCs w:val="24"/>
        </w:rPr>
        <w:t>4)</w:t>
      </w:r>
      <w:r w:rsidRPr="00D54E50">
        <w:rPr>
          <w:rFonts w:ascii="Arial" w:hAnsi="Arial" w:cs="Arial"/>
          <w:b w:val="0"/>
          <w:position w:val="0"/>
          <w:szCs w:val="24"/>
        </w:rPr>
        <w:tab/>
      </w:r>
      <w:r w:rsidR="00AE12D1" w:rsidRPr="00D54E50">
        <w:rPr>
          <w:rFonts w:ascii="Arial" w:hAnsi="Arial" w:cs="Arial"/>
          <w:b w:val="0"/>
          <w:position w:val="0"/>
          <w:szCs w:val="24"/>
        </w:rPr>
        <w:t>Consideración de los resultados del Ejercicio Social N° 144, finalizado el 31 de diciembre de 2018. Tratamiento de los Resultados no Asignados al 31 de diciembre de 201</w:t>
      </w:r>
      <w:r w:rsidR="00AE12D1">
        <w:rPr>
          <w:rFonts w:ascii="Arial" w:hAnsi="Arial" w:cs="Arial"/>
          <w:b w:val="0"/>
          <w:position w:val="0"/>
          <w:szCs w:val="24"/>
        </w:rPr>
        <w:t>8 por la suma de $ 9.613.686.995</w:t>
      </w:r>
      <w:r w:rsidR="00AE12D1" w:rsidRPr="00D54E50">
        <w:rPr>
          <w:rFonts w:ascii="Arial" w:hAnsi="Arial" w:cs="Arial"/>
          <w:b w:val="0"/>
          <w:position w:val="0"/>
          <w:szCs w:val="24"/>
        </w:rPr>
        <w:t>,15</w:t>
      </w:r>
      <w:r w:rsidR="00AE12D1">
        <w:rPr>
          <w:rFonts w:ascii="Arial" w:hAnsi="Arial" w:cs="Arial"/>
          <w:b w:val="0"/>
          <w:position w:val="0"/>
          <w:szCs w:val="24"/>
        </w:rPr>
        <w:t>.</w:t>
      </w:r>
      <w:r w:rsidR="00AE12D1" w:rsidRPr="00D54E50">
        <w:rPr>
          <w:rFonts w:ascii="Arial" w:hAnsi="Arial" w:cs="Arial"/>
          <w:b w:val="0"/>
          <w:position w:val="0"/>
          <w:szCs w:val="24"/>
        </w:rPr>
        <w:t xml:space="preserve"> Se proponen destinar: a) $  1</w:t>
      </w:r>
      <w:r w:rsidR="00AE12D1">
        <w:rPr>
          <w:rFonts w:ascii="Arial" w:hAnsi="Arial" w:cs="Arial"/>
          <w:b w:val="0"/>
          <w:position w:val="0"/>
          <w:szCs w:val="24"/>
        </w:rPr>
        <w:t>.922.737.399,03</w:t>
      </w:r>
      <w:r w:rsidR="00AE12D1" w:rsidRPr="00D54E50">
        <w:rPr>
          <w:rFonts w:ascii="Arial" w:hAnsi="Arial" w:cs="Arial"/>
          <w:b w:val="0"/>
          <w:position w:val="0"/>
          <w:szCs w:val="24"/>
        </w:rPr>
        <w:t xml:space="preserve"> a Reserva Legal; (b</w:t>
      </w:r>
      <w:r w:rsidR="00AE12D1">
        <w:rPr>
          <w:rFonts w:ascii="Arial" w:hAnsi="Arial" w:cs="Arial"/>
          <w:b w:val="0"/>
          <w:position w:val="0"/>
          <w:szCs w:val="24"/>
        </w:rPr>
        <w:t>) $ 2.407.000.000</w:t>
      </w:r>
      <w:r w:rsidR="00AE12D1" w:rsidRPr="00D54E50">
        <w:rPr>
          <w:rFonts w:ascii="Arial" w:hAnsi="Arial" w:cs="Arial"/>
          <w:b w:val="0"/>
          <w:position w:val="0"/>
          <w:szCs w:val="24"/>
        </w:rPr>
        <w:t xml:space="preserve"> a la distribución de dividendos en </w:t>
      </w:r>
      <w:r w:rsidR="00AE12D1" w:rsidRPr="007529D8">
        <w:rPr>
          <w:rFonts w:ascii="Arial" w:hAnsi="Arial" w:cs="Arial"/>
          <w:b w:val="0"/>
          <w:position w:val="0"/>
          <w:szCs w:val="24"/>
        </w:rPr>
        <w:t>efectivo;</w:t>
      </w:r>
      <w:r w:rsidR="00AE12D1" w:rsidRPr="00D54E50">
        <w:rPr>
          <w:rFonts w:ascii="Arial" w:hAnsi="Arial" w:cs="Arial"/>
          <w:b w:val="0"/>
          <w:position w:val="0"/>
          <w:szCs w:val="24"/>
        </w:rPr>
        <w:t xml:space="preserve"> y c) $ </w:t>
      </w:r>
      <w:r w:rsidR="00AE12D1">
        <w:rPr>
          <w:rFonts w:ascii="Arial" w:hAnsi="Arial" w:cs="Arial"/>
          <w:b w:val="0"/>
          <w:position w:val="0"/>
          <w:szCs w:val="24"/>
        </w:rPr>
        <w:t>5.283.949.596,12</w:t>
      </w:r>
      <w:r w:rsidR="00AE12D1" w:rsidRPr="00D54E50">
        <w:rPr>
          <w:rFonts w:ascii="Arial" w:hAnsi="Arial" w:cs="Arial"/>
          <w:b w:val="0"/>
          <w:position w:val="0"/>
          <w:szCs w:val="24"/>
        </w:rPr>
        <w:t xml:space="preserve"> a la reserva facultativa para futura distribución de resultados, conforme a la Comunicación “A” 6464 del Banco Central de la República Argentina.</w:t>
      </w:r>
    </w:p>
    <w:p w:rsidR="005165CB" w:rsidRPr="00D54E50" w:rsidRDefault="005165CB" w:rsidP="005165CB">
      <w:pPr>
        <w:pStyle w:val="Textodebloque"/>
        <w:tabs>
          <w:tab w:val="clear" w:pos="5103"/>
          <w:tab w:val="num" w:pos="2552"/>
          <w:tab w:val="left" w:pos="10488"/>
        </w:tabs>
        <w:ind w:left="2552" w:right="-476" w:hanging="567"/>
        <w:rPr>
          <w:rFonts w:ascii="Arial" w:hAnsi="Arial" w:cs="Arial"/>
          <w:b w:val="0"/>
          <w:position w:val="0"/>
          <w:szCs w:val="24"/>
        </w:rPr>
      </w:pPr>
      <w:r w:rsidRPr="00D54E50">
        <w:rPr>
          <w:rFonts w:ascii="Arial" w:hAnsi="Arial" w:cs="Arial"/>
          <w:b w:val="0"/>
          <w:position w:val="0"/>
          <w:szCs w:val="24"/>
        </w:rPr>
        <w:t>5)</w:t>
      </w:r>
      <w:r w:rsidRPr="00D54E50">
        <w:rPr>
          <w:rFonts w:ascii="Arial" w:hAnsi="Arial" w:cs="Arial"/>
          <w:b w:val="0"/>
          <w:position w:val="0"/>
          <w:szCs w:val="24"/>
        </w:rPr>
        <w:tab/>
        <w:t>Consideración de la remuneración del Directorio correspondiente al Ejercicio Social N° 144, finalizado el 31 de Diciembre de 2018.</w:t>
      </w:r>
    </w:p>
    <w:p w:rsidR="005165CB" w:rsidRPr="00D54E50" w:rsidRDefault="005165CB" w:rsidP="005165CB">
      <w:pPr>
        <w:pStyle w:val="Textodebloque"/>
        <w:tabs>
          <w:tab w:val="clear" w:pos="5103"/>
          <w:tab w:val="num" w:pos="2552"/>
          <w:tab w:val="left" w:pos="10488"/>
        </w:tabs>
        <w:ind w:left="2552" w:right="-476" w:hanging="567"/>
        <w:rPr>
          <w:rFonts w:ascii="Arial" w:hAnsi="Arial" w:cs="Arial"/>
          <w:b w:val="0"/>
          <w:position w:val="0"/>
          <w:szCs w:val="24"/>
        </w:rPr>
      </w:pPr>
      <w:r w:rsidRPr="00D54E50">
        <w:rPr>
          <w:rFonts w:ascii="Arial" w:hAnsi="Arial" w:cs="Arial"/>
          <w:b w:val="0"/>
          <w:position w:val="0"/>
          <w:szCs w:val="24"/>
        </w:rPr>
        <w:t>6)</w:t>
      </w:r>
      <w:r w:rsidRPr="00D54E50">
        <w:rPr>
          <w:rFonts w:ascii="Arial" w:hAnsi="Arial" w:cs="Arial"/>
          <w:b w:val="0"/>
          <w:position w:val="0"/>
          <w:szCs w:val="24"/>
        </w:rPr>
        <w:tab/>
        <w:t>Consideración de la remuneración de la Comisión Fiscalizadora correspondiente al Ejercicio Social Nº 144, finalizado el 31 de diciembre de 2018.</w:t>
      </w:r>
    </w:p>
    <w:p w:rsidR="005165CB" w:rsidRPr="00D54E50" w:rsidRDefault="005165CB" w:rsidP="005165CB">
      <w:pPr>
        <w:pStyle w:val="Textodebloque"/>
        <w:tabs>
          <w:tab w:val="clear" w:pos="5103"/>
          <w:tab w:val="num" w:pos="2552"/>
          <w:tab w:val="left" w:pos="10488"/>
        </w:tabs>
        <w:ind w:left="2552" w:right="-476" w:hanging="567"/>
        <w:rPr>
          <w:rFonts w:ascii="Arial" w:hAnsi="Arial" w:cs="Arial"/>
          <w:b w:val="0"/>
          <w:position w:val="0"/>
          <w:szCs w:val="24"/>
        </w:rPr>
      </w:pPr>
      <w:r w:rsidRPr="00D54E50">
        <w:rPr>
          <w:rFonts w:ascii="Arial" w:hAnsi="Arial" w:cs="Arial"/>
          <w:b w:val="0"/>
          <w:position w:val="0"/>
          <w:szCs w:val="24"/>
        </w:rPr>
        <w:t>7)</w:t>
      </w:r>
      <w:r w:rsidRPr="00D54E50">
        <w:rPr>
          <w:rFonts w:ascii="Arial" w:hAnsi="Arial" w:cs="Arial"/>
          <w:b w:val="0"/>
          <w:position w:val="0"/>
          <w:szCs w:val="24"/>
        </w:rPr>
        <w:tab/>
        <w:t>Determinación del número de integrantes del Directorio y elección de los directores que correspondiere.</w:t>
      </w:r>
    </w:p>
    <w:p w:rsidR="005165CB" w:rsidRPr="00D54E50" w:rsidRDefault="005165CB" w:rsidP="005165CB">
      <w:pPr>
        <w:pStyle w:val="Textodebloque"/>
        <w:tabs>
          <w:tab w:val="clear" w:pos="5103"/>
          <w:tab w:val="num" w:pos="2552"/>
          <w:tab w:val="left" w:pos="10488"/>
        </w:tabs>
        <w:ind w:left="2552" w:right="-476" w:hanging="567"/>
        <w:rPr>
          <w:rFonts w:ascii="Arial" w:hAnsi="Arial" w:cs="Arial"/>
          <w:b w:val="0"/>
          <w:position w:val="0"/>
          <w:szCs w:val="24"/>
        </w:rPr>
      </w:pPr>
      <w:r w:rsidRPr="00D54E50">
        <w:rPr>
          <w:rFonts w:ascii="Arial" w:hAnsi="Arial" w:cs="Arial"/>
          <w:b w:val="0"/>
          <w:position w:val="0"/>
          <w:szCs w:val="24"/>
        </w:rPr>
        <w:t>8)</w:t>
      </w:r>
      <w:r w:rsidRPr="00D54E50">
        <w:rPr>
          <w:rFonts w:ascii="Arial" w:hAnsi="Arial" w:cs="Arial"/>
          <w:b w:val="0"/>
          <w:position w:val="0"/>
          <w:szCs w:val="24"/>
        </w:rPr>
        <w:tab/>
        <w:t>Elección de tres síndicos titulares y tres síndicos suplentes para integrar la Comisión Fiscalizadora durante el ejercicio en curso.</w:t>
      </w:r>
    </w:p>
    <w:p w:rsidR="005165CB" w:rsidRPr="00D54E50" w:rsidRDefault="005165CB" w:rsidP="005165CB">
      <w:pPr>
        <w:pStyle w:val="Textodebloque"/>
        <w:tabs>
          <w:tab w:val="clear" w:pos="5103"/>
          <w:tab w:val="num" w:pos="2552"/>
          <w:tab w:val="left" w:pos="10488"/>
        </w:tabs>
        <w:ind w:left="2552" w:right="-476" w:hanging="567"/>
        <w:rPr>
          <w:rFonts w:ascii="Arial" w:hAnsi="Arial" w:cs="Arial"/>
          <w:b w:val="0"/>
          <w:position w:val="0"/>
          <w:szCs w:val="24"/>
        </w:rPr>
      </w:pPr>
      <w:r w:rsidRPr="00D54E50">
        <w:rPr>
          <w:rFonts w:ascii="Arial" w:hAnsi="Arial" w:cs="Arial"/>
          <w:b w:val="0"/>
          <w:position w:val="0"/>
          <w:szCs w:val="24"/>
        </w:rPr>
        <w:t>9)</w:t>
      </w:r>
      <w:r w:rsidRPr="00D54E50">
        <w:rPr>
          <w:rFonts w:ascii="Arial" w:hAnsi="Arial" w:cs="Arial"/>
          <w:b w:val="0"/>
          <w:position w:val="0"/>
          <w:szCs w:val="24"/>
        </w:rPr>
        <w:tab/>
        <w:t>Remuneración del contador dictaminante de los estados contables correspondientes al Ejercicio Social N° 144, finalizado el 31 de diciembre de 2018.</w:t>
      </w:r>
    </w:p>
    <w:p w:rsidR="005165CB" w:rsidRPr="00D54E50" w:rsidRDefault="005165CB" w:rsidP="005165CB">
      <w:pPr>
        <w:pStyle w:val="Textodebloque"/>
        <w:tabs>
          <w:tab w:val="clear" w:pos="5103"/>
          <w:tab w:val="num" w:pos="2268"/>
          <w:tab w:val="left" w:pos="2552"/>
          <w:tab w:val="left" w:pos="10488"/>
        </w:tabs>
        <w:ind w:left="2552" w:right="-476" w:hanging="567"/>
        <w:rPr>
          <w:rFonts w:ascii="Arial" w:hAnsi="Arial" w:cs="Arial"/>
          <w:b w:val="0"/>
          <w:position w:val="0"/>
          <w:szCs w:val="24"/>
        </w:rPr>
      </w:pPr>
      <w:r w:rsidRPr="00D54E50">
        <w:rPr>
          <w:rFonts w:ascii="Arial" w:hAnsi="Arial" w:cs="Arial"/>
          <w:b w:val="0"/>
          <w:position w:val="0"/>
          <w:szCs w:val="24"/>
        </w:rPr>
        <w:t>10)</w:t>
      </w:r>
      <w:r w:rsidRPr="00D54E50">
        <w:rPr>
          <w:rFonts w:ascii="Arial" w:hAnsi="Arial" w:cs="Arial"/>
          <w:b w:val="0"/>
          <w:position w:val="0"/>
          <w:szCs w:val="24"/>
        </w:rPr>
        <w:tab/>
        <w:t xml:space="preserve">Designación del contador dictaminante para los estados </w:t>
      </w:r>
      <w:r w:rsidRPr="00D54E50">
        <w:rPr>
          <w:rFonts w:ascii="Arial" w:hAnsi="Arial" w:cs="Arial"/>
          <w:b w:val="0"/>
          <w:position w:val="0"/>
          <w:szCs w:val="24"/>
        </w:rPr>
        <w:lastRenderedPageBreak/>
        <w:t xml:space="preserve">contables correspondientes al ejercicio 2019.  </w:t>
      </w:r>
    </w:p>
    <w:p w:rsidR="005165CB" w:rsidRPr="00D54E50" w:rsidRDefault="005165CB" w:rsidP="005165CB">
      <w:pPr>
        <w:pStyle w:val="Textodebloque"/>
        <w:tabs>
          <w:tab w:val="clear" w:pos="5103"/>
          <w:tab w:val="num" w:pos="2268"/>
          <w:tab w:val="left" w:pos="2552"/>
          <w:tab w:val="left" w:pos="10488"/>
        </w:tabs>
        <w:ind w:left="2552" w:right="-476" w:hanging="567"/>
        <w:rPr>
          <w:rFonts w:ascii="Arial" w:hAnsi="Arial" w:cs="Arial"/>
          <w:b w:val="0"/>
          <w:position w:val="0"/>
          <w:szCs w:val="24"/>
        </w:rPr>
      </w:pPr>
      <w:r w:rsidRPr="00D54E50">
        <w:rPr>
          <w:rFonts w:ascii="Arial" w:hAnsi="Arial" w:cs="Arial"/>
          <w:b w:val="0"/>
          <w:position w:val="0"/>
          <w:szCs w:val="24"/>
        </w:rPr>
        <w:t>11)</w:t>
      </w:r>
      <w:r w:rsidRPr="00D54E50">
        <w:rPr>
          <w:rFonts w:ascii="Arial" w:hAnsi="Arial" w:cs="Arial"/>
          <w:b w:val="0"/>
          <w:position w:val="0"/>
          <w:szCs w:val="24"/>
        </w:rPr>
        <w:tab/>
        <w:t>Asignación del presupuesto al Comité de Auditoría Ley de Mercado de Capitales Nro. 26.831 para recabar asesoramiento profesional.</w:t>
      </w:r>
    </w:p>
    <w:p w:rsidR="005165CB" w:rsidRPr="00D54E50" w:rsidRDefault="005165CB" w:rsidP="005165CB">
      <w:pPr>
        <w:pStyle w:val="Textodebloque"/>
        <w:tabs>
          <w:tab w:val="clear" w:pos="5103"/>
          <w:tab w:val="num" w:pos="2268"/>
          <w:tab w:val="left" w:pos="2552"/>
          <w:tab w:val="left" w:pos="10488"/>
        </w:tabs>
        <w:ind w:left="2552" w:right="-476" w:hanging="567"/>
        <w:rPr>
          <w:rFonts w:ascii="Arial" w:hAnsi="Arial" w:cs="Arial"/>
          <w:b w:val="0"/>
          <w:position w:val="0"/>
          <w:szCs w:val="24"/>
        </w:rPr>
      </w:pPr>
      <w:r w:rsidRPr="00D54E50">
        <w:rPr>
          <w:rFonts w:ascii="Arial" w:hAnsi="Arial" w:cs="Arial"/>
          <w:b w:val="0"/>
          <w:position w:val="0"/>
          <w:szCs w:val="24"/>
        </w:rPr>
        <w:t xml:space="preserve">12)   Fusión por absorción de BBVA Francés Valores S.A. con BBVA Banco Francés S.A. en los términos del Art. 82, 2da. Parte, sgts. y ccts. de la Ley </w:t>
      </w:r>
      <w:r>
        <w:rPr>
          <w:rFonts w:ascii="Arial" w:hAnsi="Arial" w:cs="Arial"/>
          <w:b w:val="0"/>
          <w:position w:val="0"/>
          <w:szCs w:val="24"/>
        </w:rPr>
        <w:t xml:space="preserve">General </w:t>
      </w:r>
      <w:r w:rsidRPr="00D54E50">
        <w:rPr>
          <w:rFonts w:ascii="Arial" w:hAnsi="Arial" w:cs="Arial"/>
          <w:b w:val="0"/>
          <w:position w:val="0"/>
          <w:szCs w:val="24"/>
        </w:rPr>
        <w:t xml:space="preserve">de Sociedades y normas complementarias. Consideración de: (i) </w:t>
      </w:r>
      <w:r>
        <w:rPr>
          <w:rFonts w:ascii="Arial" w:hAnsi="Arial" w:cs="Arial"/>
          <w:b w:val="0"/>
          <w:position w:val="0"/>
          <w:szCs w:val="24"/>
        </w:rPr>
        <w:t xml:space="preserve">el </w:t>
      </w:r>
      <w:r w:rsidRPr="00D54E50">
        <w:rPr>
          <w:rFonts w:ascii="Arial" w:hAnsi="Arial" w:cs="Arial"/>
          <w:b w:val="0"/>
          <w:position w:val="0"/>
          <w:szCs w:val="24"/>
        </w:rPr>
        <w:t xml:space="preserve">Compromiso Previo de Fusión; (ii) </w:t>
      </w:r>
      <w:r>
        <w:rPr>
          <w:rFonts w:ascii="Arial" w:hAnsi="Arial" w:cs="Arial"/>
          <w:b w:val="0"/>
          <w:position w:val="0"/>
          <w:szCs w:val="24"/>
        </w:rPr>
        <w:t xml:space="preserve">el </w:t>
      </w:r>
      <w:r w:rsidRPr="00D54E50">
        <w:rPr>
          <w:rFonts w:ascii="Arial" w:hAnsi="Arial" w:cs="Arial"/>
          <w:b w:val="0"/>
          <w:position w:val="0"/>
          <w:szCs w:val="24"/>
        </w:rPr>
        <w:t xml:space="preserve">Balance Consolidado de Fusión al 31 de diciembre de 2018 y los respectivos informes de la Comisión Fiscalizadora y el Auditor Externo de la sociedad; (iii) </w:t>
      </w:r>
      <w:r>
        <w:rPr>
          <w:rFonts w:ascii="Arial" w:hAnsi="Arial" w:cs="Arial"/>
          <w:b w:val="0"/>
          <w:position w:val="0"/>
          <w:szCs w:val="24"/>
        </w:rPr>
        <w:t>la r</w:t>
      </w:r>
      <w:r w:rsidRPr="00D54E50">
        <w:rPr>
          <w:rFonts w:ascii="Arial" w:hAnsi="Arial" w:cs="Arial"/>
          <w:b w:val="0"/>
          <w:position w:val="0"/>
          <w:szCs w:val="24"/>
        </w:rPr>
        <w:t xml:space="preserve">elación de Canje; </w:t>
      </w:r>
      <w:r>
        <w:rPr>
          <w:rFonts w:ascii="Arial" w:hAnsi="Arial" w:cs="Arial"/>
          <w:b w:val="0"/>
          <w:position w:val="0"/>
          <w:szCs w:val="24"/>
        </w:rPr>
        <w:t xml:space="preserve"> (iv) </w:t>
      </w:r>
      <w:r w:rsidRPr="00D54E50">
        <w:rPr>
          <w:rFonts w:ascii="Arial" w:hAnsi="Arial" w:cs="Arial"/>
          <w:b w:val="0"/>
          <w:position w:val="0"/>
          <w:szCs w:val="24"/>
        </w:rPr>
        <w:t xml:space="preserve">el aumento de capital de la sociedad como resultado de la Fusión por la suma </w:t>
      </w:r>
      <w:r>
        <w:rPr>
          <w:rFonts w:ascii="Arial" w:hAnsi="Arial" w:cs="Arial"/>
          <w:b w:val="0"/>
          <w:position w:val="0"/>
          <w:szCs w:val="24"/>
        </w:rPr>
        <w:t>de $ 50.441</w:t>
      </w:r>
      <w:r w:rsidRPr="00D54E50">
        <w:rPr>
          <w:rFonts w:ascii="Arial" w:hAnsi="Arial" w:cs="Arial"/>
          <w:b w:val="0"/>
          <w:position w:val="0"/>
          <w:szCs w:val="24"/>
        </w:rPr>
        <w:t xml:space="preserve">, correspondiente a </w:t>
      </w:r>
      <w:r>
        <w:rPr>
          <w:rFonts w:ascii="Arial" w:hAnsi="Arial" w:cs="Arial"/>
          <w:b w:val="0"/>
          <w:position w:val="0"/>
          <w:szCs w:val="24"/>
        </w:rPr>
        <w:t>igual cantidad de</w:t>
      </w:r>
      <w:r w:rsidRPr="00D54E50">
        <w:rPr>
          <w:rFonts w:ascii="Arial" w:hAnsi="Arial" w:cs="Arial"/>
          <w:b w:val="0"/>
          <w:position w:val="0"/>
          <w:szCs w:val="24"/>
        </w:rPr>
        <w:t xml:space="preserve"> acciones ordinarias y escriturales, de valor nominal un peso cada una y de un voto por acción. Solicitud de incorporación del aumento de capital al régimen de oferta pública y cotización de títulos valores</w:t>
      </w:r>
      <w:r>
        <w:rPr>
          <w:rFonts w:ascii="Arial" w:hAnsi="Arial" w:cs="Arial"/>
          <w:b w:val="0"/>
          <w:position w:val="0"/>
          <w:szCs w:val="24"/>
        </w:rPr>
        <w:t>; (v)</w:t>
      </w:r>
      <w:r w:rsidRPr="00D54E50">
        <w:rPr>
          <w:rFonts w:ascii="Arial" w:hAnsi="Arial" w:cs="Arial"/>
          <w:b w:val="0"/>
          <w:position w:val="0"/>
          <w:szCs w:val="24"/>
        </w:rPr>
        <w:t xml:space="preserve"> </w:t>
      </w:r>
      <w:r>
        <w:rPr>
          <w:rFonts w:ascii="Arial" w:hAnsi="Arial" w:cs="Arial"/>
          <w:b w:val="0"/>
          <w:position w:val="0"/>
          <w:szCs w:val="24"/>
        </w:rPr>
        <w:t>la d</w:t>
      </w:r>
      <w:r w:rsidRPr="00D54E50">
        <w:rPr>
          <w:rFonts w:ascii="Arial" w:hAnsi="Arial" w:cs="Arial"/>
          <w:b w:val="0"/>
          <w:position w:val="0"/>
          <w:szCs w:val="24"/>
        </w:rPr>
        <w:t>esignación de los firmantes del Acuerdo Definitivo de Fusión</w:t>
      </w:r>
      <w:r>
        <w:rPr>
          <w:rFonts w:ascii="Arial" w:hAnsi="Arial" w:cs="Arial"/>
          <w:b w:val="0"/>
          <w:position w:val="0"/>
          <w:szCs w:val="24"/>
        </w:rPr>
        <w:t>; y (vi) la d</w:t>
      </w:r>
      <w:r w:rsidRPr="00D54E50">
        <w:rPr>
          <w:rFonts w:ascii="Arial" w:hAnsi="Arial" w:cs="Arial"/>
          <w:b w:val="0"/>
          <w:position w:val="0"/>
          <w:szCs w:val="24"/>
        </w:rPr>
        <w:t>elegación en el Directorio de la</w:t>
      </w:r>
      <w:r>
        <w:rPr>
          <w:rFonts w:ascii="Arial" w:hAnsi="Arial" w:cs="Arial"/>
          <w:b w:val="0"/>
          <w:position w:val="0"/>
          <w:szCs w:val="24"/>
        </w:rPr>
        <w:t>s</w:t>
      </w:r>
      <w:r w:rsidRPr="00D54E50">
        <w:rPr>
          <w:rFonts w:ascii="Arial" w:hAnsi="Arial" w:cs="Arial"/>
          <w:b w:val="0"/>
          <w:position w:val="0"/>
          <w:szCs w:val="24"/>
        </w:rPr>
        <w:t xml:space="preserve"> facultad</w:t>
      </w:r>
      <w:r>
        <w:rPr>
          <w:rFonts w:ascii="Arial" w:hAnsi="Arial" w:cs="Arial"/>
          <w:b w:val="0"/>
          <w:position w:val="0"/>
          <w:szCs w:val="24"/>
        </w:rPr>
        <w:t>es</w:t>
      </w:r>
      <w:r w:rsidRPr="00D54E50">
        <w:rPr>
          <w:rFonts w:ascii="Arial" w:hAnsi="Arial" w:cs="Arial"/>
          <w:b w:val="0"/>
          <w:position w:val="0"/>
          <w:szCs w:val="24"/>
        </w:rPr>
        <w:t xml:space="preserve"> de realizar modificaciones que eventualmente sugieran los organismos de control</w:t>
      </w:r>
      <w:r>
        <w:rPr>
          <w:rFonts w:ascii="Arial" w:hAnsi="Arial" w:cs="Arial"/>
          <w:b w:val="0"/>
          <w:position w:val="0"/>
          <w:szCs w:val="24"/>
        </w:rPr>
        <w:t xml:space="preserve"> </w:t>
      </w:r>
      <w:r w:rsidRPr="00D54E50">
        <w:rPr>
          <w:rFonts w:ascii="Arial" w:hAnsi="Arial" w:cs="Arial"/>
          <w:b w:val="0"/>
          <w:position w:val="0"/>
          <w:szCs w:val="24"/>
        </w:rPr>
        <w:t>en relación a la Fusión</w:t>
      </w:r>
      <w:r>
        <w:rPr>
          <w:rFonts w:ascii="Arial" w:hAnsi="Arial" w:cs="Arial"/>
          <w:b w:val="0"/>
          <w:position w:val="0"/>
          <w:szCs w:val="24"/>
        </w:rPr>
        <w:t xml:space="preserve"> y todos sus aspectos (incluyendo, sin limitación, la instrumentación del canje de acciones)</w:t>
      </w:r>
      <w:r w:rsidRPr="00D54E50">
        <w:rPr>
          <w:rFonts w:ascii="Arial" w:hAnsi="Arial" w:cs="Arial"/>
          <w:b w:val="0"/>
          <w:position w:val="0"/>
          <w:szCs w:val="24"/>
        </w:rPr>
        <w:t>.</w:t>
      </w:r>
    </w:p>
    <w:p w:rsidR="005165CB" w:rsidRPr="00D54E50" w:rsidRDefault="005165CB" w:rsidP="005165CB">
      <w:pPr>
        <w:pStyle w:val="Textodebloque"/>
        <w:tabs>
          <w:tab w:val="clear" w:pos="5103"/>
          <w:tab w:val="num" w:pos="2268"/>
          <w:tab w:val="left" w:pos="2552"/>
          <w:tab w:val="left" w:pos="10488"/>
        </w:tabs>
        <w:ind w:left="2552" w:right="-476" w:hanging="567"/>
        <w:rPr>
          <w:rFonts w:ascii="Arial" w:hAnsi="Arial" w:cs="Arial"/>
          <w:b w:val="0"/>
          <w:position w:val="0"/>
          <w:szCs w:val="24"/>
        </w:rPr>
      </w:pPr>
      <w:r w:rsidRPr="00D54E50">
        <w:rPr>
          <w:rFonts w:ascii="Arial" w:hAnsi="Arial" w:cs="Arial"/>
          <w:b w:val="0"/>
          <w:position w:val="0"/>
          <w:szCs w:val="24"/>
        </w:rPr>
        <w:t>1</w:t>
      </w:r>
      <w:r>
        <w:rPr>
          <w:rFonts w:ascii="Arial" w:hAnsi="Arial" w:cs="Arial"/>
          <w:b w:val="0"/>
          <w:position w:val="0"/>
          <w:szCs w:val="24"/>
        </w:rPr>
        <w:t>3</w:t>
      </w:r>
      <w:r w:rsidRPr="00D54E50">
        <w:rPr>
          <w:rFonts w:ascii="Arial" w:hAnsi="Arial" w:cs="Arial"/>
          <w:b w:val="0"/>
          <w:position w:val="0"/>
          <w:szCs w:val="24"/>
        </w:rPr>
        <w:t>)   Modificación y sustitución del Artículo Primero del Estatuto Social por cambio de la denominación social.</w:t>
      </w:r>
    </w:p>
    <w:p w:rsidR="005165CB" w:rsidRPr="00D54E50" w:rsidRDefault="005165CB" w:rsidP="005165CB">
      <w:pPr>
        <w:pStyle w:val="Textodebloque"/>
        <w:tabs>
          <w:tab w:val="clear" w:pos="5103"/>
          <w:tab w:val="num" w:pos="2268"/>
          <w:tab w:val="left" w:pos="2552"/>
          <w:tab w:val="left" w:pos="10488"/>
        </w:tabs>
        <w:ind w:left="2552" w:right="-476" w:hanging="567"/>
        <w:rPr>
          <w:rFonts w:ascii="Arial" w:hAnsi="Arial" w:cs="Arial"/>
          <w:b w:val="0"/>
          <w:position w:val="0"/>
          <w:szCs w:val="24"/>
        </w:rPr>
      </w:pPr>
      <w:r w:rsidRPr="00D54E50">
        <w:rPr>
          <w:rFonts w:ascii="Arial" w:hAnsi="Arial" w:cs="Arial"/>
          <w:b w:val="0"/>
          <w:position w:val="0"/>
          <w:szCs w:val="24"/>
        </w:rPr>
        <w:lastRenderedPageBreak/>
        <w:t>1</w:t>
      </w:r>
      <w:r>
        <w:rPr>
          <w:rFonts w:ascii="Arial" w:hAnsi="Arial" w:cs="Arial"/>
          <w:b w:val="0"/>
          <w:position w:val="0"/>
          <w:szCs w:val="24"/>
        </w:rPr>
        <w:t>4</w:t>
      </w:r>
      <w:r w:rsidRPr="00D54E50">
        <w:rPr>
          <w:rFonts w:ascii="Arial" w:hAnsi="Arial" w:cs="Arial"/>
          <w:b w:val="0"/>
          <w:position w:val="0"/>
          <w:szCs w:val="24"/>
        </w:rPr>
        <w:t xml:space="preserve">)   Modificación y sustitución del Artículo Sexto del Estatuto Social, en función de lo dispuesto por </w:t>
      </w:r>
      <w:r>
        <w:rPr>
          <w:rFonts w:ascii="Arial" w:hAnsi="Arial" w:cs="Arial"/>
          <w:b w:val="0"/>
          <w:position w:val="0"/>
          <w:szCs w:val="24"/>
        </w:rPr>
        <w:t>los</w:t>
      </w:r>
      <w:r w:rsidRPr="00D54E50">
        <w:rPr>
          <w:rFonts w:ascii="Arial" w:hAnsi="Arial" w:cs="Arial"/>
          <w:b w:val="0"/>
          <w:position w:val="0"/>
          <w:szCs w:val="24"/>
        </w:rPr>
        <w:t xml:space="preserve"> art</w:t>
      </w:r>
      <w:r>
        <w:rPr>
          <w:rFonts w:ascii="Arial" w:hAnsi="Arial" w:cs="Arial"/>
          <w:b w:val="0"/>
          <w:position w:val="0"/>
          <w:szCs w:val="24"/>
        </w:rPr>
        <w:t>s</w:t>
      </w:r>
      <w:r w:rsidRPr="00D54E50">
        <w:rPr>
          <w:rFonts w:ascii="Arial" w:hAnsi="Arial" w:cs="Arial"/>
          <w:b w:val="0"/>
          <w:position w:val="0"/>
          <w:szCs w:val="24"/>
        </w:rPr>
        <w:t>. 62 bis (incorporado por la Ley 27.440)</w:t>
      </w:r>
      <w:r>
        <w:rPr>
          <w:rFonts w:ascii="Arial" w:hAnsi="Arial" w:cs="Arial"/>
          <w:b w:val="0"/>
          <w:position w:val="0"/>
          <w:szCs w:val="24"/>
        </w:rPr>
        <w:t xml:space="preserve"> </w:t>
      </w:r>
      <w:r w:rsidRPr="00D54E50">
        <w:rPr>
          <w:rFonts w:ascii="Arial" w:hAnsi="Arial" w:cs="Arial"/>
          <w:b w:val="0"/>
          <w:position w:val="0"/>
          <w:szCs w:val="24"/>
        </w:rPr>
        <w:t xml:space="preserve">y 63 de la Ley 26.831, en relación </w:t>
      </w:r>
      <w:r>
        <w:rPr>
          <w:rFonts w:ascii="Arial" w:hAnsi="Arial" w:cs="Arial"/>
          <w:b w:val="0"/>
          <w:position w:val="0"/>
          <w:szCs w:val="24"/>
        </w:rPr>
        <w:t>a: (a) e</w:t>
      </w:r>
      <w:r w:rsidRPr="00D54E50">
        <w:rPr>
          <w:rFonts w:ascii="Arial" w:hAnsi="Arial" w:cs="Arial"/>
          <w:b w:val="0"/>
          <w:position w:val="0"/>
          <w:szCs w:val="24"/>
        </w:rPr>
        <w:t xml:space="preserve">l ofrecimiento mediante oferta pública de acciones y obligaciones negociables convertibles en acciones, a fin de (i) establecer que el derecho de preferencia solo pueda ser ejercido en los términos establecidos por dicho art. 62 bis; </w:t>
      </w:r>
      <w:r>
        <w:rPr>
          <w:rFonts w:ascii="Arial" w:hAnsi="Arial" w:cs="Arial"/>
          <w:b w:val="0"/>
          <w:position w:val="0"/>
          <w:szCs w:val="24"/>
        </w:rPr>
        <w:t xml:space="preserve">y </w:t>
      </w:r>
      <w:r w:rsidRPr="00D54E50">
        <w:rPr>
          <w:rFonts w:ascii="Arial" w:hAnsi="Arial" w:cs="Arial"/>
          <w:b w:val="0"/>
          <w:position w:val="0"/>
          <w:szCs w:val="24"/>
        </w:rPr>
        <w:t>(ii) eliminar el derecho de acrecer</w:t>
      </w:r>
      <w:r>
        <w:rPr>
          <w:rFonts w:ascii="Arial" w:hAnsi="Arial" w:cs="Arial"/>
          <w:b w:val="0"/>
          <w:position w:val="0"/>
          <w:szCs w:val="24"/>
        </w:rPr>
        <w:t>;</w:t>
      </w:r>
      <w:r w:rsidRPr="00D54E50">
        <w:rPr>
          <w:rFonts w:ascii="Arial" w:hAnsi="Arial" w:cs="Arial"/>
          <w:b w:val="0"/>
          <w:position w:val="0"/>
          <w:szCs w:val="24"/>
        </w:rPr>
        <w:t xml:space="preserve"> y (</w:t>
      </w:r>
      <w:r>
        <w:rPr>
          <w:rFonts w:ascii="Arial" w:hAnsi="Arial" w:cs="Arial"/>
          <w:b w:val="0"/>
          <w:position w:val="0"/>
          <w:szCs w:val="24"/>
        </w:rPr>
        <w:t>b</w:t>
      </w:r>
      <w:r w:rsidRPr="00D54E50">
        <w:rPr>
          <w:rFonts w:ascii="Arial" w:hAnsi="Arial" w:cs="Arial"/>
          <w:b w:val="0"/>
          <w:position w:val="0"/>
          <w:szCs w:val="24"/>
        </w:rPr>
        <w:t xml:space="preserve">) la incorporación de la posibilidad de emitir opciones sobre acciones a emitir </w:t>
      </w:r>
      <w:r w:rsidRPr="005B4A7D">
        <w:rPr>
          <w:rFonts w:ascii="Arial" w:hAnsi="Arial" w:cs="Arial"/>
          <w:b w:val="0"/>
          <w:position w:val="0"/>
          <w:szCs w:val="24"/>
        </w:rPr>
        <w:t>o valores convertibles en acciones a emitir</w:t>
      </w:r>
      <w:r w:rsidRPr="00D54E50">
        <w:rPr>
          <w:rFonts w:ascii="Arial" w:hAnsi="Arial" w:cs="Arial"/>
          <w:b w:val="0"/>
          <w:position w:val="0"/>
          <w:szCs w:val="24"/>
        </w:rPr>
        <w:t xml:space="preserve"> de acuerdo a lo dispuesto por el art. 63 de la Ley 26.831. </w:t>
      </w:r>
    </w:p>
    <w:p w:rsidR="005165CB" w:rsidRPr="00D54E50" w:rsidRDefault="005165CB" w:rsidP="005165CB">
      <w:pPr>
        <w:pStyle w:val="Textodebloque"/>
        <w:tabs>
          <w:tab w:val="clear" w:pos="5103"/>
          <w:tab w:val="num" w:pos="2268"/>
          <w:tab w:val="left" w:pos="2552"/>
          <w:tab w:val="left" w:pos="2694"/>
          <w:tab w:val="left" w:pos="10488"/>
        </w:tabs>
        <w:ind w:left="2552" w:right="-476" w:hanging="567"/>
        <w:rPr>
          <w:rFonts w:ascii="Arial" w:hAnsi="Arial" w:cs="Arial"/>
          <w:b w:val="0"/>
          <w:position w:val="0"/>
          <w:szCs w:val="24"/>
        </w:rPr>
      </w:pPr>
      <w:r w:rsidRPr="00D54E50">
        <w:rPr>
          <w:rFonts w:ascii="Arial" w:hAnsi="Arial" w:cs="Arial"/>
          <w:b w:val="0"/>
          <w:position w:val="0"/>
          <w:szCs w:val="24"/>
        </w:rPr>
        <w:t>1</w:t>
      </w:r>
      <w:r>
        <w:rPr>
          <w:rFonts w:ascii="Arial" w:hAnsi="Arial" w:cs="Arial"/>
          <w:b w:val="0"/>
          <w:position w:val="0"/>
          <w:szCs w:val="24"/>
        </w:rPr>
        <w:t>5</w:t>
      </w:r>
      <w:r w:rsidRPr="00D54E50">
        <w:rPr>
          <w:rFonts w:ascii="Arial" w:hAnsi="Arial" w:cs="Arial"/>
          <w:b w:val="0"/>
          <w:position w:val="0"/>
          <w:szCs w:val="24"/>
        </w:rPr>
        <w:t>)  Modificación y sustitución del Artículo Décimo Quinto del Estatuto Social, en función de lo dispuesto por el art. 9 de la Ley 23.576 (modificada por la Ley 27.440), a fin de incorporar la facultad del Directorio de emitir obligaciones negociables sin necesidad de una asamblea de accionistas.</w:t>
      </w:r>
    </w:p>
    <w:p w:rsidR="005165CB" w:rsidRPr="00D54E50" w:rsidRDefault="005165CB" w:rsidP="005165CB">
      <w:pPr>
        <w:pStyle w:val="Textodebloque"/>
        <w:tabs>
          <w:tab w:val="clear" w:pos="5103"/>
          <w:tab w:val="num" w:pos="2268"/>
          <w:tab w:val="left" w:pos="2552"/>
          <w:tab w:val="left" w:pos="10488"/>
        </w:tabs>
        <w:ind w:left="2552" w:right="-476" w:hanging="567"/>
        <w:rPr>
          <w:rFonts w:ascii="Arial" w:hAnsi="Arial" w:cs="Arial"/>
          <w:b w:val="0"/>
          <w:position w:val="0"/>
          <w:szCs w:val="24"/>
        </w:rPr>
      </w:pPr>
      <w:r w:rsidRPr="00D54E50">
        <w:rPr>
          <w:rFonts w:ascii="Arial" w:hAnsi="Arial" w:cs="Arial"/>
          <w:b w:val="0"/>
          <w:position w:val="0"/>
          <w:szCs w:val="24"/>
        </w:rPr>
        <w:t>1</w:t>
      </w:r>
      <w:r>
        <w:rPr>
          <w:rFonts w:ascii="Arial" w:hAnsi="Arial" w:cs="Arial"/>
          <w:b w:val="0"/>
          <w:position w:val="0"/>
          <w:szCs w:val="24"/>
        </w:rPr>
        <w:t>6</w:t>
      </w:r>
      <w:r w:rsidRPr="00D54E50">
        <w:rPr>
          <w:rFonts w:ascii="Arial" w:hAnsi="Arial" w:cs="Arial"/>
          <w:b w:val="0"/>
          <w:position w:val="0"/>
          <w:szCs w:val="24"/>
        </w:rPr>
        <w:t>)  Autorización al Directorio para realizar y aprobar un texto ordenado del Estatuto Social.</w:t>
      </w:r>
    </w:p>
    <w:p w:rsidR="005165CB" w:rsidRPr="00D54E50" w:rsidRDefault="005165CB" w:rsidP="005165CB">
      <w:pPr>
        <w:pStyle w:val="Textodebloque"/>
        <w:tabs>
          <w:tab w:val="clear" w:pos="5103"/>
          <w:tab w:val="num" w:pos="2268"/>
          <w:tab w:val="left" w:pos="2552"/>
          <w:tab w:val="left" w:pos="10488"/>
        </w:tabs>
        <w:ind w:left="2552" w:right="-476" w:hanging="567"/>
        <w:rPr>
          <w:rFonts w:ascii="Arial" w:hAnsi="Arial" w:cs="Arial"/>
          <w:b w:val="0"/>
          <w:position w:val="0"/>
          <w:szCs w:val="24"/>
        </w:rPr>
      </w:pPr>
    </w:p>
    <w:p w:rsidR="005165CB" w:rsidRPr="00D54E50" w:rsidRDefault="005165CB" w:rsidP="005165CB">
      <w:pPr>
        <w:pStyle w:val="Textodebloque"/>
        <w:tabs>
          <w:tab w:val="clear" w:pos="5103"/>
          <w:tab w:val="num" w:pos="2268"/>
          <w:tab w:val="num" w:pos="2760"/>
          <w:tab w:val="left" w:pos="2835"/>
          <w:tab w:val="left" w:pos="10488"/>
        </w:tabs>
        <w:ind w:left="1985" w:right="-476" w:firstLine="0"/>
        <w:rPr>
          <w:rFonts w:ascii="Arial" w:hAnsi="Arial" w:cs="Arial"/>
          <w:szCs w:val="24"/>
        </w:rPr>
      </w:pPr>
      <w:r w:rsidRPr="00D54E50">
        <w:rPr>
          <w:rFonts w:ascii="Arial" w:hAnsi="Arial" w:cs="Arial"/>
          <w:szCs w:val="24"/>
        </w:rPr>
        <w:t>Notas:</w:t>
      </w:r>
    </w:p>
    <w:p w:rsidR="005165CB" w:rsidRPr="00D54E50" w:rsidRDefault="005165CB" w:rsidP="005165CB">
      <w:pPr>
        <w:pStyle w:val="Textodebloque"/>
        <w:tabs>
          <w:tab w:val="clear" w:pos="5103"/>
          <w:tab w:val="num" w:pos="2552"/>
          <w:tab w:val="left" w:pos="9816"/>
          <w:tab w:val="left" w:pos="15072"/>
        </w:tabs>
        <w:spacing w:after="120"/>
        <w:ind w:left="1985" w:right="-476" w:firstLine="0"/>
        <w:rPr>
          <w:rFonts w:ascii="Arial" w:hAnsi="Arial" w:cs="Arial"/>
          <w:b w:val="0"/>
          <w:szCs w:val="24"/>
        </w:rPr>
      </w:pPr>
      <w:r w:rsidRPr="00D54E50">
        <w:rPr>
          <w:rFonts w:ascii="Arial" w:hAnsi="Arial" w:cs="Arial"/>
          <w:b w:val="0"/>
          <w:szCs w:val="24"/>
        </w:rPr>
        <w:t>(a)</w:t>
      </w:r>
      <w:r w:rsidRPr="00D54E50">
        <w:rPr>
          <w:rFonts w:cs="Arial"/>
          <w:sz w:val="22"/>
          <w:szCs w:val="22"/>
        </w:rPr>
        <w:t xml:space="preserve"> </w:t>
      </w:r>
      <w:r w:rsidRPr="00D54E50">
        <w:rPr>
          <w:rFonts w:ascii="Arial" w:hAnsi="Arial" w:cs="Arial"/>
          <w:b w:val="0"/>
          <w:szCs w:val="24"/>
          <w:u w:val="single"/>
        </w:rPr>
        <w:t>Depósito de constancias y certificados</w:t>
      </w:r>
      <w:r w:rsidRPr="00D54E50">
        <w:rPr>
          <w:rFonts w:ascii="Arial" w:hAnsi="Arial" w:cs="Arial"/>
          <w:b w:val="0"/>
          <w:szCs w:val="24"/>
        </w:rPr>
        <w:t xml:space="preserve">: Para concurrir a la Asamblea (artículo 238 de la Ley de Sociedades Comerciales), los accionistas deberán depositar el certificado extendido por Caja de </w:t>
      </w:r>
      <w:r w:rsidRPr="00D54E50">
        <w:rPr>
          <w:rFonts w:ascii="Arial" w:hAnsi="Arial" w:cs="Arial"/>
          <w:b w:val="0"/>
          <w:szCs w:val="24"/>
        </w:rPr>
        <w:lastRenderedPageBreak/>
        <w:t xml:space="preserve">Valores S.A. que acredite su condición de tal. El depósito deberá efectuarse en la Oficina de Títulos – Custodia, sita en Reconquista 199, P.B. Hall Central, Ciudad Autónoma de Buenos Aires, de lunes a viernes, en el horario </w:t>
      </w:r>
      <w:smartTag w:uri="urn:schemas-microsoft-com:office:smarttags" w:element="metricconverter">
        <w:smartTagPr>
          <w:attr w:name="ProductID" w:val="10 a"/>
        </w:smartTagPr>
        <w:r w:rsidRPr="00D54E50">
          <w:rPr>
            <w:rFonts w:ascii="Arial" w:hAnsi="Arial" w:cs="Arial"/>
            <w:b w:val="0"/>
            <w:szCs w:val="24"/>
          </w:rPr>
          <w:t>10 a</w:t>
        </w:r>
      </w:smartTag>
      <w:r w:rsidRPr="00D54E50">
        <w:rPr>
          <w:rFonts w:ascii="Arial" w:hAnsi="Arial" w:cs="Arial"/>
          <w:b w:val="0"/>
          <w:szCs w:val="24"/>
        </w:rPr>
        <w:t xml:space="preserve"> 15 horas, hasta el 16 de abril de 2019 inclusive. La Sociedad les entregará el comprobante que servirá para la admisión a la Asamblea. Se ruega a los señores apoderados de accionistas que deseen concurrir a la Asamblea, presentarse en Av. Córdoba 111, piso 1, de la Ciudad de Buenos Aires, provistos de la documentación pertinente, con una hora de antelación al inicio de la Asamblea, a los efectos de su debida acreditación. </w:t>
      </w:r>
    </w:p>
    <w:p w:rsidR="005165CB" w:rsidRPr="00D54E50" w:rsidRDefault="005165CB" w:rsidP="005165CB">
      <w:pPr>
        <w:pStyle w:val="Textodebloque"/>
        <w:widowControl/>
        <w:tabs>
          <w:tab w:val="clear" w:pos="5103"/>
          <w:tab w:val="left" w:pos="2616"/>
          <w:tab w:val="left" w:pos="9816"/>
        </w:tabs>
        <w:adjustRightInd/>
        <w:spacing w:after="120"/>
        <w:ind w:left="1985" w:right="-476" w:firstLine="0"/>
        <w:rPr>
          <w:rFonts w:ascii="Arial" w:hAnsi="Arial" w:cs="Arial"/>
          <w:b w:val="0"/>
          <w:szCs w:val="24"/>
        </w:rPr>
      </w:pPr>
      <w:r w:rsidRPr="00D54E50">
        <w:rPr>
          <w:rFonts w:ascii="Arial" w:hAnsi="Arial" w:cs="Arial"/>
          <w:b w:val="0"/>
          <w:szCs w:val="24"/>
        </w:rPr>
        <w:t xml:space="preserve">(b) Para la consideración de los puntos </w:t>
      </w:r>
      <w:r w:rsidRPr="00031C50">
        <w:rPr>
          <w:rFonts w:ascii="Arial" w:hAnsi="Arial" w:cs="Arial"/>
          <w:b w:val="0"/>
          <w:szCs w:val="24"/>
        </w:rPr>
        <w:t xml:space="preserve">2, 3, 4, 12, 13, </w:t>
      </w:r>
      <w:r>
        <w:rPr>
          <w:rFonts w:ascii="Arial" w:hAnsi="Arial" w:cs="Arial"/>
          <w:b w:val="0"/>
          <w:szCs w:val="24"/>
        </w:rPr>
        <w:t xml:space="preserve">14, 15 y 16 </w:t>
      </w:r>
      <w:r w:rsidRPr="00D54E50">
        <w:rPr>
          <w:rFonts w:ascii="Arial" w:hAnsi="Arial" w:cs="Arial"/>
          <w:b w:val="0"/>
          <w:szCs w:val="24"/>
        </w:rPr>
        <w:t>del Orden del Día, la Asamblea tendrá carácter de Extraordinaria.</w:t>
      </w:r>
    </w:p>
    <w:p w:rsidR="005165CB" w:rsidRPr="00271F69" w:rsidRDefault="005165CB" w:rsidP="00271F69">
      <w:pPr>
        <w:tabs>
          <w:tab w:val="num" w:pos="360"/>
          <w:tab w:val="num" w:pos="2552"/>
          <w:tab w:val="left" w:pos="5088"/>
          <w:tab w:val="left" w:pos="9816"/>
        </w:tabs>
        <w:spacing w:after="240" w:line="480" w:lineRule="auto"/>
        <w:ind w:left="1985" w:right="-476"/>
        <w:rPr>
          <w:rFonts w:ascii="Arial" w:hAnsi="Arial" w:cs="Arial"/>
          <w:szCs w:val="24"/>
        </w:rPr>
      </w:pPr>
      <w:r w:rsidRPr="00D54E50">
        <w:rPr>
          <w:rFonts w:ascii="Arial" w:hAnsi="Arial" w:cs="Arial"/>
          <w:szCs w:val="24"/>
        </w:rPr>
        <w:t xml:space="preserve">La documentación que considerará la Asamblea se halla a disposición de los señores accionistas: (i) en la Oficina de Títulos – Custodia, sito en Reconquista 199, P.B. Hall Central, Ciudad Autónoma de Buenos Aires; y (ii) a través del Área de Relaciones con Inversores, At. Cecilia Acuña </w:t>
      </w:r>
      <w:hyperlink r:id="rId6" w:history="1">
        <w:r w:rsidRPr="00D54E50">
          <w:rPr>
            <w:rStyle w:val="Hipervnculo"/>
            <w:rFonts w:ascii="Arial" w:hAnsi="Arial" w:cs="Arial"/>
            <w:szCs w:val="24"/>
          </w:rPr>
          <w:t>ceciliaviviana.acuna@bbva.com</w:t>
        </w:r>
      </w:hyperlink>
      <w:r w:rsidRPr="00D54E50">
        <w:rPr>
          <w:rFonts w:ascii="Arial" w:hAnsi="Arial" w:cs="Arial"/>
          <w:szCs w:val="24"/>
        </w:rPr>
        <w:t>.</w:t>
      </w:r>
      <w:r>
        <w:rPr>
          <w:rFonts w:ascii="Arial" w:hAnsi="Arial" w:cs="Arial"/>
          <w:szCs w:val="24"/>
        </w:rPr>
        <w:t xml:space="preserve"> </w:t>
      </w:r>
    </w:p>
    <w:p w:rsidR="00DE4D48" w:rsidRPr="001F480F" w:rsidRDefault="00DE4D48" w:rsidP="005165CB">
      <w:pPr>
        <w:tabs>
          <w:tab w:val="num" w:pos="360"/>
          <w:tab w:val="num" w:pos="2552"/>
          <w:tab w:val="left" w:pos="5088"/>
          <w:tab w:val="left" w:pos="9816"/>
        </w:tabs>
        <w:spacing w:after="120" w:line="480" w:lineRule="auto"/>
        <w:ind w:left="1985" w:right="-618"/>
        <w:rPr>
          <w:rFonts w:ascii="Arial" w:hAnsi="Arial" w:cs="Arial"/>
          <w:szCs w:val="24"/>
        </w:rPr>
      </w:pPr>
      <w:r w:rsidRPr="001F480F">
        <w:rPr>
          <w:rFonts w:ascii="Arial" w:hAnsi="Arial" w:cs="Arial"/>
          <w:szCs w:val="24"/>
        </w:rPr>
        <w:t>El señor Jorge Carlos Bledel, Presidente de BBVA Banco Francés S.A., ha sido designado en tal carácter por la Asamblea General Ordinaria y Extraordi</w:t>
      </w:r>
      <w:r w:rsidR="005765CE">
        <w:rPr>
          <w:rFonts w:ascii="Arial" w:hAnsi="Arial" w:cs="Arial"/>
          <w:szCs w:val="24"/>
        </w:rPr>
        <w:t>naria de accionistas de fecha 10 de abril de 2018</w:t>
      </w:r>
      <w:bookmarkStart w:id="0" w:name="_GoBack"/>
      <w:bookmarkEnd w:id="0"/>
      <w:r>
        <w:rPr>
          <w:rFonts w:ascii="Arial" w:hAnsi="Arial" w:cs="Arial"/>
          <w:szCs w:val="24"/>
        </w:rPr>
        <w:t xml:space="preserve"> </w:t>
      </w:r>
      <w:r w:rsidRPr="001F480F">
        <w:rPr>
          <w:rFonts w:ascii="Arial" w:hAnsi="Arial" w:cs="Arial"/>
          <w:szCs w:val="24"/>
        </w:rPr>
        <w:t xml:space="preserve">y reunión del Directorio de la misma fecha. </w:t>
      </w:r>
    </w:p>
    <w:p w:rsidR="00DE4D48" w:rsidRPr="00D907BC" w:rsidRDefault="00DE4D48" w:rsidP="005165CB">
      <w:pPr>
        <w:tabs>
          <w:tab w:val="num" w:pos="360"/>
          <w:tab w:val="num" w:pos="2552"/>
          <w:tab w:val="left" w:pos="5088"/>
          <w:tab w:val="left" w:pos="9816"/>
        </w:tabs>
        <w:spacing w:line="480" w:lineRule="auto"/>
        <w:ind w:left="1985" w:right="-618"/>
        <w:rPr>
          <w:rFonts w:ascii="Arial" w:hAnsi="Arial" w:cs="Arial"/>
          <w:b/>
          <w:szCs w:val="24"/>
        </w:rPr>
      </w:pPr>
      <w:r w:rsidRPr="00D907BC">
        <w:rPr>
          <w:rFonts w:ascii="Arial" w:hAnsi="Arial" w:cs="Arial"/>
          <w:b/>
          <w:szCs w:val="24"/>
        </w:rPr>
        <w:t>Jorge Carlos Bledel - Presidente</w:t>
      </w:r>
    </w:p>
    <w:p w:rsidR="00DE4D48" w:rsidRDefault="00DE4D48" w:rsidP="00DE4D48">
      <w:pPr>
        <w:tabs>
          <w:tab w:val="num" w:pos="360"/>
          <w:tab w:val="num" w:pos="2552"/>
          <w:tab w:val="left" w:pos="5088"/>
          <w:tab w:val="left" w:pos="9816"/>
        </w:tabs>
        <w:spacing w:after="120" w:line="480" w:lineRule="auto"/>
        <w:ind w:left="2126" w:right="-618"/>
        <w:rPr>
          <w:rFonts w:ascii="Arial" w:hAnsi="Arial" w:cs="Arial"/>
          <w:szCs w:val="24"/>
        </w:rPr>
      </w:pPr>
    </w:p>
    <w:p w:rsidR="00EA6134" w:rsidRDefault="00EA6134"/>
    <w:sectPr w:rsidR="00EA613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A70" w:rsidRDefault="00161A70" w:rsidP="00161A70">
      <w:pPr>
        <w:spacing w:line="240" w:lineRule="auto"/>
      </w:pPr>
      <w:r>
        <w:separator/>
      </w:r>
    </w:p>
  </w:endnote>
  <w:endnote w:type="continuationSeparator" w:id="0">
    <w:p w:rsidR="00161A70" w:rsidRDefault="00161A70" w:rsidP="00161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A70" w:rsidRDefault="00161A70" w:rsidP="00161A70">
      <w:pPr>
        <w:spacing w:line="240" w:lineRule="auto"/>
      </w:pPr>
      <w:r>
        <w:separator/>
      </w:r>
    </w:p>
  </w:footnote>
  <w:footnote w:type="continuationSeparator" w:id="0">
    <w:p w:rsidR="00161A70" w:rsidRDefault="00161A70" w:rsidP="00161A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D48"/>
    <w:rsid w:val="00050915"/>
    <w:rsid w:val="001058AD"/>
    <w:rsid w:val="00124221"/>
    <w:rsid w:val="00126554"/>
    <w:rsid w:val="00161A70"/>
    <w:rsid w:val="00207531"/>
    <w:rsid w:val="00271F69"/>
    <w:rsid w:val="00294844"/>
    <w:rsid w:val="002D2AE7"/>
    <w:rsid w:val="00311BEF"/>
    <w:rsid w:val="003635EE"/>
    <w:rsid w:val="0037719D"/>
    <w:rsid w:val="003C1A97"/>
    <w:rsid w:val="00477A86"/>
    <w:rsid w:val="0048773A"/>
    <w:rsid w:val="004E363A"/>
    <w:rsid w:val="005106DB"/>
    <w:rsid w:val="005165CB"/>
    <w:rsid w:val="005765CE"/>
    <w:rsid w:val="00595D87"/>
    <w:rsid w:val="005C43E1"/>
    <w:rsid w:val="005E65C5"/>
    <w:rsid w:val="005E70FD"/>
    <w:rsid w:val="005F475F"/>
    <w:rsid w:val="00617788"/>
    <w:rsid w:val="006352CA"/>
    <w:rsid w:val="006A07DA"/>
    <w:rsid w:val="00736599"/>
    <w:rsid w:val="00765764"/>
    <w:rsid w:val="00882E78"/>
    <w:rsid w:val="00916F0F"/>
    <w:rsid w:val="009722B7"/>
    <w:rsid w:val="00A000FE"/>
    <w:rsid w:val="00A0765C"/>
    <w:rsid w:val="00A31E89"/>
    <w:rsid w:val="00A90C35"/>
    <w:rsid w:val="00AA7A9F"/>
    <w:rsid w:val="00AE12D1"/>
    <w:rsid w:val="00B54DEA"/>
    <w:rsid w:val="00CA3FF9"/>
    <w:rsid w:val="00D12703"/>
    <w:rsid w:val="00D70097"/>
    <w:rsid w:val="00DE4D48"/>
    <w:rsid w:val="00E02C83"/>
    <w:rsid w:val="00E0683C"/>
    <w:rsid w:val="00E4582C"/>
    <w:rsid w:val="00E57735"/>
    <w:rsid w:val="00EA6134"/>
    <w:rsid w:val="00EC3A4A"/>
    <w:rsid w:val="00F0557E"/>
    <w:rsid w:val="00FA217C"/>
    <w:rsid w:val="00FD0C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9AB6E51-2231-4F1E-B916-E2C58D95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D48"/>
    <w:pPr>
      <w:widowControl w:val="0"/>
      <w:adjustRightInd w:val="0"/>
      <w:spacing w:after="0" w:line="360" w:lineRule="atLeast"/>
      <w:jc w:val="both"/>
      <w:textAlignment w:val="baseline"/>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DE4D48"/>
    <w:pPr>
      <w:tabs>
        <w:tab w:val="left" w:pos="5103"/>
      </w:tabs>
      <w:spacing w:line="480" w:lineRule="auto"/>
      <w:ind w:left="2285" w:right="941" w:hanging="2262"/>
    </w:pPr>
    <w:rPr>
      <w:rFonts w:ascii="Geneva" w:hAnsi="Geneva"/>
      <w:b/>
      <w:position w:val="6"/>
    </w:rPr>
  </w:style>
  <w:style w:type="character" w:styleId="Hipervnculo">
    <w:name w:val="Hyperlink"/>
    <w:rsid w:val="00DE4D48"/>
    <w:rPr>
      <w:color w:val="0000FF"/>
      <w:u w:val="single"/>
    </w:rPr>
  </w:style>
  <w:style w:type="paragraph" w:styleId="Textodeglobo">
    <w:name w:val="Balloon Text"/>
    <w:basedOn w:val="Normal"/>
    <w:link w:val="TextodegloboCar"/>
    <w:uiPriority w:val="99"/>
    <w:semiHidden/>
    <w:unhideWhenUsed/>
    <w:rsid w:val="0061778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7788"/>
    <w:rPr>
      <w:rFonts w:ascii="Segoe UI" w:eastAsia="Times New Roman" w:hAnsi="Segoe UI" w:cs="Segoe UI"/>
      <w:sz w:val="18"/>
      <w:szCs w:val="18"/>
      <w:lang w:eastAsia="es-ES"/>
    </w:rPr>
  </w:style>
  <w:style w:type="paragraph" w:customStyle="1" w:styleId="m7676441889038933897m5493164460569533899m3543294004890640409m6917340029096878728msolistparagraph">
    <w:name w:val="m_7676441889038933897m_5493164460569533899m3543294004890640409m6917340029096878728msolistparagraph"/>
    <w:basedOn w:val="Normal"/>
    <w:rsid w:val="00617788"/>
    <w:pPr>
      <w:widowControl/>
      <w:adjustRightInd/>
      <w:spacing w:before="100" w:beforeAutospacing="1" w:after="100" w:afterAutospacing="1" w:line="240" w:lineRule="auto"/>
      <w:jc w:val="left"/>
      <w:textAlignment w:val="auto"/>
    </w:pPr>
    <w:rPr>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58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ciliaviviana.acuna@bbv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CC4DABBD</Template>
  <TotalTime>10</TotalTime>
  <Pages>6</Pages>
  <Words>1012</Words>
  <Characters>5571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 Gabriela</dc:creator>
  <cp:keywords/>
  <dc:description/>
  <cp:lastModifiedBy>Valdez, Gabriela</cp:lastModifiedBy>
  <cp:revision>30</cp:revision>
  <cp:lastPrinted>2019-03-06T16:34:00Z</cp:lastPrinted>
  <dcterms:created xsi:type="dcterms:W3CDTF">2019-03-06T16:27:00Z</dcterms:created>
  <dcterms:modified xsi:type="dcterms:W3CDTF">2019-03-11T13:26:00Z</dcterms:modified>
</cp:coreProperties>
</file>