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28" w:rsidRDefault="00890828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528"/>
      </w:tblGrid>
      <w:tr w:rsidR="00890828" w:rsidTr="007661D0">
        <w:tc>
          <w:tcPr>
            <w:tcW w:w="4248" w:type="dxa"/>
          </w:tcPr>
          <w:p w:rsidR="00890828" w:rsidRDefault="00890828">
            <w:r>
              <w:t>1</w:t>
            </w:r>
            <w:r>
              <w:tab/>
              <w:t>Emisor</w:t>
            </w:r>
          </w:p>
        </w:tc>
        <w:tc>
          <w:tcPr>
            <w:tcW w:w="5528" w:type="dxa"/>
          </w:tcPr>
          <w:p w:rsidR="00890828" w:rsidRDefault="00DA5D69">
            <w:r w:rsidRPr="00DA5D69">
              <w:t>BBVA Argentina S.A.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r>
              <w:t>2</w:t>
            </w:r>
            <w:r>
              <w:tab/>
              <w:t>Tipo de valor negociable emitido:</w:t>
            </w:r>
          </w:p>
        </w:tc>
        <w:tc>
          <w:tcPr>
            <w:tcW w:w="5528" w:type="dxa"/>
          </w:tcPr>
          <w:p w:rsidR="00890828" w:rsidRPr="00586217" w:rsidRDefault="00586217">
            <w:r w:rsidRPr="00586217">
              <w:t>Obligaciones negociables simples, no convertibles en acciones.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3</w:t>
            </w:r>
            <w:r>
              <w:tab/>
              <w:t>Fecha autorización CNV del programa:</w:t>
            </w:r>
            <w:r>
              <w:tab/>
            </w:r>
          </w:p>
        </w:tc>
        <w:tc>
          <w:tcPr>
            <w:tcW w:w="5528" w:type="dxa"/>
          </w:tcPr>
          <w:p w:rsidR="00890828" w:rsidRPr="00B22A07" w:rsidRDefault="00B22A07" w:rsidP="00794B34">
            <w:r w:rsidRPr="00B22A07">
              <w:t>La oferta pública de los títulos emitidos bajo el Programa ha sido autorizada por Resoluciones No. 14.967 de fecha 29 de noviembre de 2004, No. 16.010 de fecha 6 de noviembre de 2008</w:t>
            </w:r>
            <w:r w:rsidR="005A24E8">
              <w:t>,</w:t>
            </w:r>
            <w:r w:rsidRPr="00B22A07">
              <w:t xml:space="preserve"> No. 16.611 de fecha 21 de julio de 2011</w:t>
            </w:r>
            <w:r w:rsidR="005A24E8">
              <w:t>, No. 16.8</w:t>
            </w:r>
            <w:r w:rsidR="00233CB5">
              <w:t>26 de fecha 30 de mayo de 2012,</w:t>
            </w:r>
            <w:r w:rsidR="005A24E8">
              <w:t xml:space="preserve"> No. 17.127 de fecha 11 de julio de 2013</w:t>
            </w:r>
            <w:r w:rsidR="00794B34">
              <w:t>,</w:t>
            </w:r>
            <w:r w:rsidR="00233CB5">
              <w:t xml:space="preserve"> No. 19.516 de fecha 17 de mayo de 2018</w:t>
            </w:r>
            <w:r w:rsidRPr="00B22A07">
              <w:t xml:space="preserve"> </w:t>
            </w:r>
            <w:r w:rsidR="00794B34">
              <w:t>y fecha 19 de Noviembre de 2019</w:t>
            </w:r>
            <w:r w:rsidR="00794B34" w:rsidRPr="00B22A07">
              <w:t xml:space="preserve"> </w:t>
            </w:r>
            <w:r w:rsidRPr="00B22A07">
              <w:t>de la CNV.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4</w:t>
            </w:r>
            <w:r>
              <w:tab/>
              <w:t>Monto autorizado del programa:</w:t>
            </w:r>
            <w:r>
              <w:tab/>
            </w:r>
            <w:r>
              <w:tab/>
            </w:r>
          </w:p>
        </w:tc>
        <w:tc>
          <w:tcPr>
            <w:tcW w:w="5528" w:type="dxa"/>
          </w:tcPr>
          <w:p w:rsidR="00890828" w:rsidRPr="00B22A07" w:rsidRDefault="00B22A07">
            <w:r>
              <w:t>M</w:t>
            </w:r>
            <w:r w:rsidRPr="00B22A07">
              <w:t xml:space="preserve">onto </w:t>
            </w:r>
            <w:r w:rsidR="00C26111">
              <w:t>máximo de hasta US$</w:t>
            </w:r>
            <w:r w:rsidR="00C80B78">
              <w:t xml:space="preserve"> </w:t>
            </w:r>
            <w:r w:rsidR="00017DB8">
              <w:t>1.50</w:t>
            </w:r>
            <w:r w:rsidR="00C26111">
              <w:t xml:space="preserve">0.000.000 </w:t>
            </w:r>
            <w:r w:rsidR="00D871BD">
              <w:t>o</w:t>
            </w:r>
            <w:r w:rsidRPr="00B22A07">
              <w:t xml:space="preserve"> su equivalente en otras monedas</w:t>
            </w:r>
            <w:r>
              <w:t>.</w:t>
            </w:r>
          </w:p>
        </w:tc>
      </w:tr>
      <w:tr w:rsidR="00890828" w:rsidTr="007661D0">
        <w:trPr>
          <w:trHeight w:val="315"/>
        </w:trPr>
        <w:tc>
          <w:tcPr>
            <w:tcW w:w="4248" w:type="dxa"/>
          </w:tcPr>
          <w:p w:rsidR="00890828" w:rsidRDefault="00890828">
            <w:r>
              <w:tab/>
              <w:t>Moneda:</w:t>
            </w:r>
            <w:r>
              <w:tab/>
            </w:r>
            <w:r>
              <w:tab/>
            </w:r>
          </w:p>
        </w:tc>
        <w:tc>
          <w:tcPr>
            <w:tcW w:w="5528" w:type="dxa"/>
          </w:tcPr>
          <w:p w:rsidR="00890828" w:rsidRDefault="00586217">
            <w:r>
              <w:t>Pesos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5</w:t>
            </w:r>
            <w:r>
              <w:tab/>
              <w:t>Fecha de colocación:</w:t>
            </w:r>
            <w:r>
              <w:tab/>
            </w:r>
          </w:p>
        </w:tc>
        <w:tc>
          <w:tcPr>
            <w:tcW w:w="5528" w:type="dxa"/>
          </w:tcPr>
          <w:p w:rsidR="00DB7B80" w:rsidRDefault="00644ACB" w:rsidP="00624074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r>
              <w:tab/>
              <w:t>Serie y/o clase</w:t>
            </w:r>
            <w:r>
              <w:tab/>
            </w:r>
          </w:p>
        </w:tc>
        <w:tc>
          <w:tcPr>
            <w:tcW w:w="5528" w:type="dxa"/>
          </w:tcPr>
          <w:p w:rsidR="00890828" w:rsidRDefault="00644ACB" w:rsidP="00624074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r>
              <w:t>6</w:t>
            </w:r>
            <w:r>
              <w:tab/>
              <w:t>Para cada clase y/o serie:</w:t>
            </w:r>
          </w:p>
        </w:tc>
        <w:tc>
          <w:tcPr>
            <w:tcW w:w="5528" w:type="dxa"/>
          </w:tcPr>
          <w:p w:rsidR="00890828" w:rsidRDefault="00644ACB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r>
              <w:tab/>
              <w:t>a) Monto colocado total:</w:t>
            </w:r>
            <w:r>
              <w:tab/>
            </w:r>
            <w:r>
              <w:tab/>
            </w:r>
          </w:p>
        </w:tc>
        <w:tc>
          <w:tcPr>
            <w:tcW w:w="5528" w:type="dxa"/>
          </w:tcPr>
          <w:p w:rsidR="00DB7B80" w:rsidRPr="000C4725" w:rsidRDefault="00644ACB" w:rsidP="00624074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r>
              <w:tab/>
              <w:t>b) Monto total en circulación:</w:t>
            </w:r>
            <w:r>
              <w:tab/>
            </w:r>
          </w:p>
        </w:tc>
        <w:tc>
          <w:tcPr>
            <w:tcW w:w="5528" w:type="dxa"/>
          </w:tcPr>
          <w:p w:rsidR="00FC5FE4" w:rsidRPr="00FE14E6" w:rsidRDefault="00644ACB" w:rsidP="007661D0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ab/>
              <w:t>c) Monto total cancelado:</w:t>
            </w:r>
            <w:r>
              <w:tab/>
            </w:r>
            <w:r>
              <w:tab/>
            </w:r>
          </w:p>
        </w:tc>
        <w:tc>
          <w:tcPr>
            <w:tcW w:w="5528" w:type="dxa"/>
          </w:tcPr>
          <w:p w:rsidR="005206B2" w:rsidRPr="007661D0" w:rsidRDefault="00644ACB" w:rsidP="00E91F1D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7</w:t>
            </w:r>
            <w:r>
              <w:tab/>
              <w:t>Precio de colocación (en %):</w:t>
            </w:r>
            <w:r>
              <w:tab/>
            </w:r>
          </w:p>
        </w:tc>
        <w:tc>
          <w:tcPr>
            <w:tcW w:w="5528" w:type="dxa"/>
          </w:tcPr>
          <w:p w:rsidR="00890828" w:rsidRPr="00B3420B" w:rsidRDefault="00644ACB" w:rsidP="007661D0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8</w:t>
            </w:r>
            <w:r>
              <w:tab/>
              <w:t>Tasa de interés:</w:t>
            </w:r>
            <w:r>
              <w:tab/>
            </w:r>
          </w:p>
        </w:tc>
        <w:tc>
          <w:tcPr>
            <w:tcW w:w="5528" w:type="dxa"/>
          </w:tcPr>
          <w:p w:rsidR="002C5E8C" w:rsidRPr="00586217" w:rsidRDefault="00644ACB" w:rsidP="000841BB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r>
              <w:tab/>
              <w:t xml:space="preserve">Margen s/ tasa </w:t>
            </w:r>
            <w:r w:rsidR="00B22A07">
              <w:t>variable</w:t>
            </w:r>
            <w:r>
              <w:tab/>
            </w:r>
            <w:r>
              <w:tab/>
            </w:r>
          </w:p>
        </w:tc>
        <w:tc>
          <w:tcPr>
            <w:tcW w:w="5528" w:type="dxa"/>
          </w:tcPr>
          <w:p w:rsidR="008E33BE" w:rsidRPr="00B22A07" w:rsidRDefault="00644ACB" w:rsidP="00624074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9</w:t>
            </w:r>
            <w:r>
              <w:tab/>
              <w:t>Fecha de vencimiento de la serie y/o clase:</w:t>
            </w:r>
          </w:p>
        </w:tc>
        <w:tc>
          <w:tcPr>
            <w:tcW w:w="5528" w:type="dxa"/>
          </w:tcPr>
          <w:p w:rsidR="008E33BE" w:rsidRDefault="00644ACB" w:rsidP="00624074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10</w:t>
            </w:r>
            <w:r>
              <w:tab/>
              <w:t>Fecha primer pago de interés y periodicidad en meses:</w:t>
            </w:r>
          </w:p>
        </w:tc>
        <w:tc>
          <w:tcPr>
            <w:tcW w:w="5528" w:type="dxa"/>
          </w:tcPr>
          <w:p w:rsidR="008E33BE" w:rsidRDefault="00644ACB" w:rsidP="00624074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11</w:t>
            </w:r>
            <w:r>
              <w:tab/>
              <w:t>Fecha amortización y periodicidad en meses:</w:t>
            </w:r>
          </w:p>
        </w:tc>
        <w:tc>
          <w:tcPr>
            <w:tcW w:w="5528" w:type="dxa"/>
          </w:tcPr>
          <w:p w:rsidR="008E33BE" w:rsidRDefault="00644ACB" w:rsidP="00624074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12</w:t>
            </w:r>
            <w:r>
              <w:tab/>
              <w:t>Detalle de amortización e interés:</w:t>
            </w:r>
          </w:p>
        </w:tc>
        <w:tc>
          <w:tcPr>
            <w:tcW w:w="5528" w:type="dxa"/>
          </w:tcPr>
          <w:p w:rsidR="00890828" w:rsidRDefault="00890828"/>
        </w:tc>
      </w:tr>
      <w:tr w:rsidR="00890828" w:rsidTr="007661D0">
        <w:tc>
          <w:tcPr>
            <w:tcW w:w="4248" w:type="dxa"/>
          </w:tcPr>
          <w:p w:rsidR="00890828" w:rsidRPr="00EE2060" w:rsidRDefault="00890828">
            <w:pPr>
              <w:ind w:left="709"/>
            </w:pPr>
            <w:r w:rsidRPr="00EE2060">
              <w:t>Fecha, monto amortizado / interés pagado s/ condiciones de emisión</w:t>
            </w:r>
          </w:p>
        </w:tc>
        <w:tc>
          <w:tcPr>
            <w:tcW w:w="5528" w:type="dxa"/>
          </w:tcPr>
          <w:p w:rsidR="00227D18" w:rsidRPr="00734BD8" w:rsidRDefault="00644ACB" w:rsidP="00F4640D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/>
            </w:pPr>
            <w:r>
              <w:t>Fecha, amortizaciones s/ condiciones de emisión</w:t>
            </w:r>
          </w:p>
        </w:tc>
        <w:tc>
          <w:tcPr>
            <w:tcW w:w="5528" w:type="dxa"/>
          </w:tcPr>
          <w:p w:rsidR="00F27A7A" w:rsidRDefault="00644ACB" w:rsidP="00624074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13</w:t>
            </w:r>
            <w:r>
              <w:tab/>
              <w:t>Cotización: (indicar Bolsas y/o Mercados Nacionales o Extranjeros en los que cotiza el programa, cada serie y/o clase)</w:t>
            </w:r>
          </w:p>
        </w:tc>
        <w:tc>
          <w:tcPr>
            <w:tcW w:w="5528" w:type="dxa"/>
          </w:tcPr>
          <w:p w:rsidR="00890828" w:rsidRPr="00FB4825" w:rsidRDefault="00644ACB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Pr="00EE2060" w:rsidRDefault="00890828">
            <w:pPr>
              <w:ind w:left="709" w:hanging="709"/>
            </w:pPr>
            <w:r w:rsidRPr="00EE2060">
              <w:t>14</w:t>
            </w:r>
            <w:r w:rsidRPr="00EE2060">
              <w:tab/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5528" w:type="dxa"/>
          </w:tcPr>
          <w:p w:rsidR="00F4640D" w:rsidRDefault="00644ACB" w:rsidP="00F4640D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r>
              <w:tab/>
              <w:t>Fecha</w:t>
            </w:r>
          </w:p>
        </w:tc>
        <w:tc>
          <w:tcPr>
            <w:tcW w:w="5528" w:type="dxa"/>
          </w:tcPr>
          <w:p w:rsidR="00890828" w:rsidRDefault="00FB4825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Pr="00EE2060" w:rsidRDefault="00890828">
            <w:r w:rsidRPr="00EE2060">
              <w:tab/>
              <w:t>Monto equivalente en u$s</w:t>
            </w:r>
            <w:r w:rsidRPr="00EE2060">
              <w:tab/>
            </w:r>
          </w:p>
        </w:tc>
        <w:tc>
          <w:tcPr>
            <w:tcW w:w="5528" w:type="dxa"/>
          </w:tcPr>
          <w:p w:rsidR="00890828" w:rsidRDefault="00644ACB" w:rsidP="00F4640D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15</w:t>
            </w:r>
            <w:r>
              <w:tab/>
              <w:t>Tipo de garantía del programa, cada serie y/o clase:</w:t>
            </w:r>
          </w:p>
        </w:tc>
        <w:tc>
          <w:tcPr>
            <w:tcW w:w="5528" w:type="dxa"/>
          </w:tcPr>
          <w:p w:rsidR="00890828" w:rsidRDefault="00644ACB" w:rsidP="00FB4825"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pPr>
              <w:ind w:left="709" w:hanging="709"/>
            </w:pPr>
            <w:r>
              <w:t>16</w:t>
            </w:r>
            <w:r>
              <w:tab/>
              <w:t>Fecha de publicación del prospecto y/o suplementos (indicar lugar y fecha de todas las publicaciones y/o sus modificaciones):</w:t>
            </w:r>
          </w:p>
        </w:tc>
        <w:tc>
          <w:tcPr>
            <w:tcW w:w="5528" w:type="dxa"/>
          </w:tcPr>
          <w:p w:rsidR="00731E23" w:rsidRDefault="00644ACB" w:rsidP="00B8550E">
            <w:pPr>
              <w:ind w:right="-70"/>
            </w:pPr>
            <w:r>
              <w:t>---</w:t>
            </w:r>
          </w:p>
        </w:tc>
      </w:tr>
      <w:tr w:rsidR="00890828" w:rsidTr="007661D0">
        <w:tc>
          <w:tcPr>
            <w:tcW w:w="4248" w:type="dxa"/>
          </w:tcPr>
          <w:p w:rsidR="00890828" w:rsidRDefault="00890828">
            <w:r>
              <w:t>17</w:t>
            </w:r>
            <w:r>
              <w:tab/>
              <w:t>Observaciones:</w:t>
            </w:r>
            <w:r>
              <w:tab/>
            </w:r>
            <w:r>
              <w:tab/>
            </w:r>
          </w:p>
        </w:tc>
        <w:tc>
          <w:tcPr>
            <w:tcW w:w="5528" w:type="dxa"/>
          </w:tcPr>
          <w:p w:rsidR="00890828" w:rsidRDefault="00644ACB" w:rsidP="00644ACB">
            <w:r>
              <w:t xml:space="preserve">A la fecha del informe </w:t>
            </w:r>
            <w:r w:rsidRPr="00DA5D69">
              <w:t>BBVA Argentina S.A.</w:t>
            </w:r>
            <w:r>
              <w:t xml:space="preserve"> no tiene emisiones de </w:t>
            </w:r>
            <w:r w:rsidR="00871A42">
              <w:t>Obligaciones N</w:t>
            </w:r>
            <w:r w:rsidRPr="00586217">
              <w:t>egociables</w:t>
            </w:r>
            <w:r>
              <w:t xml:space="preserve"> vigentes.</w:t>
            </w:r>
          </w:p>
        </w:tc>
      </w:tr>
    </w:tbl>
    <w:p w:rsidR="00890828" w:rsidRDefault="00890828"/>
    <w:p w:rsidR="00644ACB" w:rsidRDefault="00644ACB">
      <w:bookmarkStart w:id="0" w:name="_GoBack"/>
      <w:bookmarkEnd w:id="0"/>
    </w:p>
    <w:sectPr w:rsidR="00644ACB" w:rsidSect="00A32034">
      <w:pgSz w:w="12240" w:h="20160" w:code="5"/>
      <w:pgMar w:top="851" w:right="851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85"/>
    <w:rsid w:val="00003B2D"/>
    <w:rsid w:val="0000727D"/>
    <w:rsid w:val="00007929"/>
    <w:rsid w:val="00017DB8"/>
    <w:rsid w:val="00022399"/>
    <w:rsid w:val="00026E18"/>
    <w:rsid w:val="00050BC2"/>
    <w:rsid w:val="00061744"/>
    <w:rsid w:val="00063F84"/>
    <w:rsid w:val="0006638B"/>
    <w:rsid w:val="000745D4"/>
    <w:rsid w:val="000772BC"/>
    <w:rsid w:val="0008050F"/>
    <w:rsid w:val="000841BB"/>
    <w:rsid w:val="00095B6C"/>
    <w:rsid w:val="000A747C"/>
    <w:rsid w:val="000C4725"/>
    <w:rsid w:val="000D4AFB"/>
    <w:rsid w:val="000E7019"/>
    <w:rsid w:val="000F713A"/>
    <w:rsid w:val="00101C4B"/>
    <w:rsid w:val="001044D3"/>
    <w:rsid w:val="001330DE"/>
    <w:rsid w:val="00146102"/>
    <w:rsid w:val="001461C3"/>
    <w:rsid w:val="00150568"/>
    <w:rsid w:val="00162BE8"/>
    <w:rsid w:val="00164BFC"/>
    <w:rsid w:val="001757E2"/>
    <w:rsid w:val="00180726"/>
    <w:rsid w:val="00182259"/>
    <w:rsid w:val="00186D63"/>
    <w:rsid w:val="001A49CB"/>
    <w:rsid w:val="001B35AF"/>
    <w:rsid w:val="001D0715"/>
    <w:rsid w:val="001D2845"/>
    <w:rsid w:val="001F34C4"/>
    <w:rsid w:val="001F6E84"/>
    <w:rsid w:val="001F7250"/>
    <w:rsid w:val="00200D4D"/>
    <w:rsid w:val="00204985"/>
    <w:rsid w:val="00214712"/>
    <w:rsid w:val="00227D18"/>
    <w:rsid w:val="00233CB5"/>
    <w:rsid w:val="00254763"/>
    <w:rsid w:val="00274BD7"/>
    <w:rsid w:val="00274EFC"/>
    <w:rsid w:val="00294DD7"/>
    <w:rsid w:val="002A04C0"/>
    <w:rsid w:val="002A3155"/>
    <w:rsid w:val="002A71D9"/>
    <w:rsid w:val="002B5480"/>
    <w:rsid w:val="002C5E8C"/>
    <w:rsid w:val="002C7836"/>
    <w:rsid w:val="002E7714"/>
    <w:rsid w:val="002F23DA"/>
    <w:rsid w:val="00310195"/>
    <w:rsid w:val="00317E69"/>
    <w:rsid w:val="00320B8A"/>
    <w:rsid w:val="00323574"/>
    <w:rsid w:val="00341165"/>
    <w:rsid w:val="003440B5"/>
    <w:rsid w:val="003537DF"/>
    <w:rsid w:val="0035469D"/>
    <w:rsid w:val="00356A78"/>
    <w:rsid w:val="00356D01"/>
    <w:rsid w:val="00391C63"/>
    <w:rsid w:val="00393985"/>
    <w:rsid w:val="00394BF9"/>
    <w:rsid w:val="003B5D54"/>
    <w:rsid w:val="003C5F58"/>
    <w:rsid w:val="003D745E"/>
    <w:rsid w:val="003F0DBB"/>
    <w:rsid w:val="003F260D"/>
    <w:rsid w:val="0040293A"/>
    <w:rsid w:val="00403C18"/>
    <w:rsid w:val="00424633"/>
    <w:rsid w:val="0042625E"/>
    <w:rsid w:val="00462870"/>
    <w:rsid w:val="00481014"/>
    <w:rsid w:val="004823EF"/>
    <w:rsid w:val="004A34EE"/>
    <w:rsid w:val="004C1003"/>
    <w:rsid w:val="004D3923"/>
    <w:rsid w:val="004F06A8"/>
    <w:rsid w:val="004F2F6A"/>
    <w:rsid w:val="004F70F1"/>
    <w:rsid w:val="005206B2"/>
    <w:rsid w:val="0052154E"/>
    <w:rsid w:val="00524681"/>
    <w:rsid w:val="005263E0"/>
    <w:rsid w:val="005309C5"/>
    <w:rsid w:val="005362DB"/>
    <w:rsid w:val="005365C0"/>
    <w:rsid w:val="005610A4"/>
    <w:rsid w:val="005624D8"/>
    <w:rsid w:val="00571F15"/>
    <w:rsid w:val="005731AB"/>
    <w:rsid w:val="00577F90"/>
    <w:rsid w:val="00584B7B"/>
    <w:rsid w:val="00586217"/>
    <w:rsid w:val="00597F3A"/>
    <w:rsid w:val="005A02DB"/>
    <w:rsid w:val="005A24E8"/>
    <w:rsid w:val="005B617B"/>
    <w:rsid w:val="005C6F65"/>
    <w:rsid w:val="005E38FE"/>
    <w:rsid w:val="005F0F63"/>
    <w:rsid w:val="00610386"/>
    <w:rsid w:val="006119B8"/>
    <w:rsid w:val="006154E0"/>
    <w:rsid w:val="00624074"/>
    <w:rsid w:val="006243ED"/>
    <w:rsid w:val="006305FF"/>
    <w:rsid w:val="006349E0"/>
    <w:rsid w:val="00636402"/>
    <w:rsid w:val="00644ACB"/>
    <w:rsid w:val="006642B8"/>
    <w:rsid w:val="00677338"/>
    <w:rsid w:val="00692375"/>
    <w:rsid w:val="006A1766"/>
    <w:rsid w:val="006C6D6F"/>
    <w:rsid w:val="006E3843"/>
    <w:rsid w:val="006F2F2F"/>
    <w:rsid w:val="006F4DA4"/>
    <w:rsid w:val="00702695"/>
    <w:rsid w:val="0071474A"/>
    <w:rsid w:val="00730C15"/>
    <w:rsid w:val="00731E23"/>
    <w:rsid w:val="00734BD8"/>
    <w:rsid w:val="00735694"/>
    <w:rsid w:val="0073758D"/>
    <w:rsid w:val="00746616"/>
    <w:rsid w:val="00752181"/>
    <w:rsid w:val="00762077"/>
    <w:rsid w:val="0076498D"/>
    <w:rsid w:val="007661D0"/>
    <w:rsid w:val="0077571F"/>
    <w:rsid w:val="00780AB2"/>
    <w:rsid w:val="00780E50"/>
    <w:rsid w:val="00794B34"/>
    <w:rsid w:val="007A07C9"/>
    <w:rsid w:val="007A6B58"/>
    <w:rsid w:val="007B13A4"/>
    <w:rsid w:val="007C02B3"/>
    <w:rsid w:val="007E09F3"/>
    <w:rsid w:val="007F5B5A"/>
    <w:rsid w:val="00813802"/>
    <w:rsid w:val="00817B48"/>
    <w:rsid w:val="008244D0"/>
    <w:rsid w:val="008654AE"/>
    <w:rsid w:val="00871A42"/>
    <w:rsid w:val="008809D0"/>
    <w:rsid w:val="00890828"/>
    <w:rsid w:val="00890C7F"/>
    <w:rsid w:val="0089262F"/>
    <w:rsid w:val="008976C8"/>
    <w:rsid w:val="008A2DB7"/>
    <w:rsid w:val="008B0B8B"/>
    <w:rsid w:val="008C65B7"/>
    <w:rsid w:val="008E33BE"/>
    <w:rsid w:val="009203D9"/>
    <w:rsid w:val="00951D12"/>
    <w:rsid w:val="009670B3"/>
    <w:rsid w:val="00972148"/>
    <w:rsid w:val="00977A59"/>
    <w:rsid w:val="009A06F4"/>
    <w:rsid w:val="009A76F5"/>
    <w:rsid w:val="009B06F6"/>
    <w:rsid w:val="009C4FEC"/>
    <w:rsid w:val="009D5E7C"/>
    <w:rsid w:val="009E6419"/>
    <w:rsid w:val="009F0BB5"/>
    <w:rsid w:val="009F36DE"/>
    <w:rsid w:val="009F4B76"/>
    <w:rsid w:val="009F76DE"/>
    <w:rsid w:val="00A32034"/>
    <w:rsid w:val="00A358DD"/>
    <w:rsid w:val="00A41829"/>
    <w:rsid w:val="00A50EFB"/>
    <w:rsid w:val="00A53D8F"/>
    <w:rsid w:val="00A53EA0"/>
    <w:rsid w:val="00A57464"/>
    <w:rsid w:val="00A63273"/>
    <w:rsid w:val="00A669B3"/>
    <w:rsid w:val="00A67FD3"/>
    <w:rsid w:val="00A83254"/>
    <w:rsid w:val="00A87900"/>
    <w:rsid w:val="00A93AB6"/>
    <w:rsid w:val="00AA370D"/>
    <w:rsid w:val="00AB1ED6"/>
    <w:rsid w:val="00AC4146"/>
    <w:rsid w:val="00AD2B38"/>
    <w:rsid w:val="00AE62F4"/>
    <w:rsid w:val="00B05718"/>
    <w:rsid w:val="00B07E9B"/>
    <w:rsid w:val="00B13ECD"/>
    <w:rsid w:val="00B16F7A"/>
    <w:rsid w:val="00B22A07"/>
    <w:rsid w:val="00B24462"/>
    <w:rsid w:val="00B3420B"/>
    <w:rsid w:val="00B3530E"/>
    <w:rsid w:val="00B8550E"/>
    <w:rsid w:val="00BA2D26"/>
    <w:rsid w:val="00BA7E83"/>
    <w:rsid w:val="00BC4915"/>
    <w:rsid w:val="00BD179F"/>
    <w:rsid w:val="00BE1BD7"/>
    <w:rsid w:val="00BE2F9F"/>
    <w:rsid w:val="00BE7237"/>
    <w:rsid w:val="00C011CF"/>
    <w:rsid w:val="00C1018C"/>
    <w:rsid w:val="00C16892"/>
    <w:rsid w:val="00C17E15"/>
    <w:rsid w:val="00C211CC"/>
    <w:rsid w:val="00C24FDA"/>
    <w:rsid w:val="00C26111"/>
    <w:rsid w:val="00C423A1"/>
    <w:rsid w:val="00C67088"/>
    <w:rsid w:val="00C75D8A"/>
    <w:rsid w:val="00C80B78"/>
    <w:rsid w:val="00C82689"/>
    <w:rsid w:val="00C922FF"/>
    <w:rsid w:val="00CA26B7"/>
    <w:rsid w:val="00CB5E10"/>
    <w:rsid w:val="00CC268F"/>
    <w:rsid w:val="00CD2D66"/>
    <w:rsid w:val="00CE4108"/>
    <w:rsid w:val="00D01BBC"/>
    <w:rsid w:val="00D23FE5"/>
    <w:rsid w:val="00D27087"/>
    <w:rsid w:val="00D40FA2"/>
    <w:rsid w:val="00D50D1E"/>
    <w:rsid w:val="00D828AC"/>
    <w:rsid w:val="00D82CA7"/>
    <w:rsid w:val="00D871BD"/>
    <w:rsid w:val="00DA174D"/>
    <w:rsid w:val="00DA5D69"/>
    <w:rsid w:val="00DB459B"/>
    <w:rsid w:val="00DB7B80"/>
    <w:rsid w:val="00DC5943"/>
    <w:rsid w:val="00DD4EBD"/>
    <w:rsid w:val="00DF5BAF"/>
    <w:rsid w:val="00DF699A"/>
    <w:rsid w:val="00E06425"/>
    <w:rsid w:val="00E12FD3"/>
    <w:rsid w:val="00E2756E"/>
    <w:rsid w:val="00E8066A"/>
    <w:rsid w:val="00E81FA7"/>
    <w:rsid w:val="00E91F1D"/>
    <w:rsid w:val="00EB047D"/>
    <w:rsid w:val="00EB0EE1"/>
    <w:rsid w:val="00EB387A"/>
    <w:rsid w:val="00EB66BF"/>
    <w:rsid w:val="00EC1EFF"/>
    <w:rsid w:val="00ED0FE2"/>
    <w:rsid w:val="00ED2B57"/>
    <w:rsid w:val="00EE2060"/>
    <w:rsid w:val="00EE7839"/>
    <w:rsid w:val="00EF06EE"/>
    <w:rsid w:val="00F027F1"/>
    <w:rsid w:val="00F06684"/>
    <w:rsid w:val="00F07C72"/>
    <w:rsid w:val="00F27A7A"/>
    <w:rsid w:val="00F347CB"/>
    <w:rsid w:val="00F37208"/>
    <w:rsid w:val="00F461EB"/>
    <w:rsid w:val="00F4640D"/>
    <w:rsid w:val="00F76DCF"/>
    <w:rsid w:val="00F865D7"/>
    <w:rsid w:val="00F93CA5"/>
    <w:rsid w:val="00FA3D70"/>
    <w:rsid w:val="00FA5AD1"/>
    <w:rsid w:val="00FB4825"/>
    <w:rsid w:val="00FC0078"/>
    <w:rsid w:val="00FC5FE4"/>
    <w:rsid w:val="00FE14E6"/>
    <w:rsid w:val="00FF3DFD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AF959A-E4E0-479F-8AF2-18C386ED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B66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B66B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5837E4E1</Template>
  <TotalTime>87</TotalTime>
  <Pages>1</Pages>
  <Words>323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BBVA Banco Francés S.A.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Rodrigo Adrián Tesone</dc:creator>
  <cp:keywords/>
  <dc:description/>
  <cp:lastModifiedBy>De Bonis, Carla Liliana</cp:lastModifiedBy>
  <cp:revision>17</cp:revision>
  <cp:lastPrinted>2019-09-30T14:54:00Z</cp:lastPrinted>
  <dcterms:created xsi:type="dcterms:W3CDTF">2020-04-01T13:42:00Z</dcterms:created>
  <dcterms:modified xsi:type="dcterms:W3CDTF">2021-03-04T16:31:00Z</dcterms:modified>
</cp:coreProperties>
</file>